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4D5C" w14:textId="77777777" w:rsidR="00C83846" w:rsidRDefault="00C83846" w:rsidP="006A6448">
      <w:pPr>
        <w:spacing w:after="0" w:line="240" w:lineRule="auto"/>
        <w:ind w:left="-567" w:right="-658"/>
        <w:jc w:val="center"/>
        <w:rPr>
          <w:rFonts w:ascii="Arial" w:hAnsi="Arial" w:cs="Arial"/>
          <w:b/>
          <w:sz w:val="24"/>
          <w:szCs w:val="24"/>
        </w:rPr>
      </w:pPr>
    </w:p>
    <w:p w14:paraId="60410A9C" w14:textId="1DDCD7D2" w:rsidR="00B05080" w:rsidRDefault="00B05080" w:rsidP="006A6448">
      <w:pPr>
        <w:spacing w:after="0" w:line="240" w:lineRule="auto"/>
        <w:ind w:left="-567" w:right="-658"/>
        <w:jc w:val="center"/>
        <w:rPr>
          <w:rFonts w:ascii="Arial" w:hAnsi="Arial" w:cs="Arial"/>
          <w:b/>
          <w:sz w:val="24"/>
          <w:szCs w:val="24"/>
        </w:rPr>
      </w:pPr>
      <w:r>
        <w:rPr>
          <w:rFonts w:ascii="Arial" w:hAnsi="Arial" w:cs="Arial"/>
          <w:b/>
          <w:sz w:val="24"/>
          <w:szCs w:val="24"/>
        </w:rPr>
        <w:t>ENCUESTA DE COMERCIO INTERNACIONAL DE SERVICIOS (ECIS) 2021</w:t>
      </w:r>
    </w:p>
    <w:p w14:paraId="3A40E787" w14:textId="0EFC9FEE" w:rsidR="002478E6" w:rsidRDefault="002478E6" w:rsidP="006A6448">
      <w:pPr>
        <w:spacing w:after="0" w:line="240" w:lineRule="auto"/>
        <w:jc w:val="both"/>
        <w:rPr>
          <w:rFonts w:ascii="Arial" w:hAnsi="Arial" w:cs="Arial"/>
          <w:bCs/>
          <w:sz w:val="24"/>
          <w:szCs w:val="24"/>
        </w:rPr>
      </w:pPr>
    </w:p>
    <w:p w14:paraId="0C902D14" w14:textId="55AD6CEB" w:rsidR="00E2485A" w:rsidRDefault="00771125" w:rsidP="002561B9">
      <w:pPr>
        <w:pStyle w:val="Prrafodelista"/>
        <w:numPr>
          <w:ilvl w:val="0"/>
          <w:numId w:val="3"/>
        </w:numPr>
        <w:spacing w:after="0" w:line="240" w:lineRule="auto"/>
        <w:ind w:right="447"/>
        <w:jc w:val="both"/>
        <w:rPr>
          <w:rFonts w:ascii="Arial" w:hAnsi="Arial" w:cs="Arial"/>
          <w:bCs/>
          <w:sz w:val="24"/>
          <w:szCs w:val="24"/>
        </w:rPr>
      </w:pPr>
      <w:r>
        <w:rPr>
          <w:rFonts w:ascii="Arial" w:hAnsi="Arial" w:cs="Arial"/>
          <w:bCs/>
          <w:sz w:val="24"/>
          <w:szCs w:val="24"/>
        </w:rPr>
        <w:t>El INEGI presenta</w:t>
      </w:r>
      <w:r w:rsidR="007C59A2">
        <w:rPr>
          <w:rFonts w:ascii="Arial" w:hAnsi="Arial" w:cs="Arial"/>
          <w:bCs/>
          <w:sz w:val="24"/>
          <w:szCs w:val="24"/>
        </w:rPr>
        <w:t xml:space="preserve"> </w:t>
      </w:r>
      <w:r>
        <w:rPr>
          <w:rFonts w:ascii="Arial" w:hAnsi="Arial" w:cs="Arial"/>
          <w:bCs/>
          <w:sz w:val="24"/>
          <w:szCs w:val="24"/>
        </w:rPr>
        <w:t>por primera vez</w:t>
      </w:r>
      <w:r w:rsidR="007067E9">
        <w:rPr>
          <w:rFonts w:ascii="Arial" w:hAnsi="Arial" w:cs="Arial"/>
          <w:bCs/>
          <w:sz w:val="24"/>
          <w:szCs w:val="24"/>
        </w:rPr>
        <w:t xml:space="preserve"> la </w:t>
      </w:r>
      <w:r w:rsidR="007067E9" w:rsidRPr="00C50677">
        <w:rPr>
          <w:rFonts w:ascii="Arial" w:hAnsi="Arial" w:cs="Arial"/>
          <w:bCs/>
          <w:sz w:val="24"/>
          <w:szCs w:val="24"/>
        </w:rPr>
        <w:t>Encuesta de Comercio Internacional de Servicios</w:t>
      </w:r>
      <w:r w:rsidR="00FD1B54">
        <w:rPr>
          <w:rFonts w:ascii="Arial" w:hAnsi="Arial" w:cs="Arial"/>
          <w:bCs/>
          <w:sz w:val="24"/>
          <w:szCs w:val="24"/>
        </w:rPr>
        <w:t xml:space="preserve"> (ECIS)</w:t>
      </w:r>
      <w:r w:rsidR="007C59A2">
        <w:rPr>
          <w:rFonts w:ascii="Arial" w:hAnsi="Arial" w:cs="Arial"/>
          <w:bCs/>
          <w:sz w:val="24"/>
          <w:szCs w:val="24"/>
        </w:rPr>
        <w:t>,</w:t>
      </w:r>
      <w:r w:rsidR="00EF472D">
        <w:rPr>
          <w:rFonts w:ascii="Arial" w:hAnsi="Arial" w:cs="Arial"/>
          <w:bCs/>
          <w:sz w:val="24"/>
          <w:szCs w:val="24"/>
        </w:rPr>
        <w:t xml:space="preserve"> </w:t>
      </w:r>
      <w:r>
        <w:rPr>
          <w:rFonts w:ascii="Arial" w:hAnsi="Arial" w:cs="Arial"/>
          <w:bCs/>
          <w:sz w:val="24"/>
          <w:szCs w:val="24"/>
        </w:rPr>
        <w:t xml:space="preserve">que </w:t>
      </w:r>
      <w:r w:rsidRPr="00C50677">
        <w:rPr>
          <w:rFonts w:ascii="Arial" w:hAnsi="Arial" w:cs="Arial"/>
          <w:bCs/>
          <w:sz w:val="24"/>
          <w:szCs w:val="24"/>
        </w:rPr>
        <w:t xml:space="preserve">complementa y fortalece </w:t>
      </w:r>
      <w:r w:rsidR="007C59A2">
        <w:rPr>
          <w:rFonts w:ascii="Arial" w:hAnsi="Arial" w:cs="Arial"/>
          <w:bCs/>
          <w:sz w:val="24"/>
          <w:szCs w:val="24"/>
        </w:rPr>
        <w:t>la</w:t>
      </w:r>
      <w:r w:rsidRPr="00C50677">
        <w:rPr>
          <w:rFonts w:ascii="Arial" w:hAnsi="Arial" w:cs="Arial"/>
          <w:bCs/>
          <w:sz w:val="24"/>
          <w:szCs w:val="24"/>
        </w:rPr>
        <w:t xml:space="preserve"> base estadística referente al comercio internacional de servicios en México</w:t>
      </w:r>
      <w:r w:rsidR="007573F6">
        <w:rPr>
          <w:rFonts w:ascii="Arial" w:hAnsi="Arial" w:cs="Arial"/>
          <w:bCs/>
          <w:sz w:val="24"/>
          <w:szCs w:val="24"/>
        </w:rPr>
        <w:t>.</w:t>
      </w:r>
    </w:p>
    <w:p w14:paraId="49A74C26" w14:textId="6684473D" w:rsidR="00157BF8" w:rsidRPr="00157BF8" w:rsidRDefault="00157BF8" w:rsidP="002561B9">
      <w:pPr>
        <w:pStyle w:val="Prrafodelista"/>
        <w:numPr>
          <w:ilvl w:val="0"/>
          <w:numId w:val="3"/>
        </w:numPr>
        <w:spacing w:after="0" w:line="240" w:lineRule="auto"/>
        <w:ind w:right="447"/>
        <w:jc w:val="both"/>
        <w:rPr>
          <w:rStyle w:val="cf01"/>
          <w:rFonts w:ascii="Arial" w:hAnsi="Arial" w:cs="Arial"/>
          <w:sz w:val="24"/>
          <w:szCs w:val="24"/>
        </w:rPr>
      </w:pPr>
      <w:r w:rsidRPr="00157BF8">
        <w:rPr>
          <w:rFonts w:ascii="Arial" w:hAnsi="Arial" w:cs="Arial"/>
          <w:sz w:val="24"/>
          <w:szCs w:val="24"/>
        </w:rPr>
        <w:t xml:space="preserve">En 2019, el 51.9 % del total de empresas reportó realizar Comercio Internacional de Servicios (CIS) y en 2020 el porcentaje fue de 51.8 </w:t>
      </w:r>
      <w:r w:rsidR="00852D47">
        <w:rPr>
          <w:rFonts w:ascii="Arial" w:hAnsi="Arial" w:cs="Arial"/>
          <w:sz w:val="24"/>
          <w:szCs w:val="24"/>
        </w:rPr>
        <w:t>por ciento</w:t>
      </w:r>
      <w:r w:rsidRPr="00157BF8">
        <w:rPr>
          <w:rFonts w:ascii="Arial" w:hAnsi="Arial" w:cs="Arial"/>
          <w:sz w:val="24"/>
          <w:szCs w:val="24"/>
        </w:rPr>
        <w:t>.</w:t>
      </w:r>
      <w:r w:rsidRPr="00157BF8">
        <w:rPr>
          <w:rStyle w:val="cf01"/>
          <w:rFonts w:ascii="Arial" w:hAnsi="Arial" w:cs="Arial"/>
          <w:sz w:val="24"/>
          <w:szCs w:val="24"/>
        </w:rPr>
        <w:t xml:space="preserve"> </w:t>
      </w:r>
    </w:p>
    <w:p w14:paraId="53BF6E20" w14:textId="0F36F024" w:rsidR="002561B9" w:rsidRPr="002561B9" w:rsidRDefault="002561B9" w:rsidP="002561B9">
      <w:pPr>
        <w:pStyle w:val="Prrafodelista"/>
        <w:numPr>
          <w:ilvl w:val="0"/>
          <w:numId w:val="3"/>
        </w:numPr>
        <w:spacing w:after="0" w:line="240" w:lineRule="auto"/>
        <w:ind w:right="447"/>
        <w:jc w:val="both"/>
        <w:rPr>
          <w:rStyle w:val="cf01"/>
          <w:rFonts w:ascii="Arial" w:hAnsi="Arial" w:cs="Arial"/>
          <w:sz w:val="24"/>
          <w:szCs w:val="24"/>
        </w:rPr>
      </w:pPr>
      <w:r w:rsidRPr="002561B9">
        <w:rPr>
          <w:rStyle w:val="cf01"/>
          <w:rFonts w:ascii="Arial" w:hAnsi="Arial" w:cs="Arial"/>
          <w:sz w:val="24"/>
          <w:szCs w:val="24"/>
        </w:rPr>
        <w:t>En 2019, las empresas declararon tener ingresos de 780 314.1 millones de pesos por concepto de CIS. En 2020</w:t>
      </w:r>
      <w:r w:rsidR="007573F6">
        <w:rPr>
          <w:rStyle w:val="cf01"/>
          <w:rFonts w:ascii="Arial" w:hAnsi="Arial" w:cs="Arial"/>
          <w:sz w:val="24"/>
          <w:szCs w:val="24"/>
        </w:rPr>
        <w:t>,</w:t>
      </w:r>
      <w:r w:rsidRPr="002561B9">
        <w:rPr>
          <w:rStyle w:val="cf01"/>
          <w:rFonts w:ascii="Arial" w:hAnsi="Arial" w:cs="Arial"/>
          <w:sz w:val="24"/>
          <w:szCs w:val="24"/>
        </w:rPr>
        <w:t xml:space="preserve"> el monto fue de 769 440.6 millones de pesos. </w:t>
      </w:r>
    </w:p>
    <w:p w14:paraId="3B8D5F0E" w14:textId="77777777" w:rsidR="00771125" w:rsidRDefault="00771125" w:rsidP="002561B9">
      <w:pPr>
        <w:pStyle w:val="Prrafodelista"/>
        <w:spacing w:after="0" w:line="240" w:lineRule="auto"/>
        <w:jc w:val="both"/>
        <w:rPr>
          <w:rFonts w:ascii="Arial" w:hAnsi="Arial" w:cs="Arial"/>
          <w:bCs/>
          <w:sz w:val="24"/>
          <w:szCs w:val="24"/>
        </w:rPr>
      </w:pPr>
    </w:p>
    <w:p w14:paraId="444DC248" w14:textId="77777777" w:rsidR="00771125" w:rsidRPr="00771125" w:rsidRDefault="00771125" w:rsidP="00771125">
      <w:pPr>
        <w:spacing w:after="0" w:line="240" w:lineRule="auto"/>
        <w:jc w:val="both"/>
        <w:rPr>
          <w:rFonts w:ascii="Arial" w:hAnsi="Arial" w:cs="Arial"/>
          <w:bCs/>
          <w:sz w:val="24"/>
          <w:szCs w:val="24"/>
        </w:rPr>
      </w:pPr>
    </w:p>
    <w:p w14:paraId="467E9C7E" w14:textId="339CDBAC" w:rsidR="00E2485A" w:rsidRDefault="00E2485A" w:rsidP="006A6448">
      <w:pPr>
        <w:spacing w:after="0" w:line="240" w:lineRule="auto"/>
        <w:jc w:val="both"/>
        <w:rPr>
          <w:rFonts w:ascii="Arial" w:hAnsi="Arial" w:cs="Arial"/>
          <w:bCs/>
          <w:sz w:val="24"/>
          <w:szCs w:val="24"/>
        </w:rPr>
      </w:pPr>
      <w:r>
        <w:rPr>
          <w:rFonts w:ascii="Arial" w:hAnsi="Arial" w:cs="Arial"/>
          <w:bCs/>
          <w:sz w:val="24"/>
          <w:szCs w:val="24"/>
        </w:rPr>
        <w:t xml:space="preserve">El Instituto Nacional de Estadística y Geografía </w:t>
      </w:r>
      <w:r w:rsidR="00771125">
        <w:rPr>
          <w:rFonts w:ascii="Arial" w:hAnsi="Arial" w:cs="Arial"/>
          <w:bCs/>
          <w:sz w:val="24"/>
          <w:szCs w:val="24"/>
        </w:rPr>
        <w:t xml:space="preserve">(INEGI) </w:t>
      </w:r>
      <w:r>
        <w:rPr>
          <w:rFonts w:ascii="Arial" w:hAnsi="Arial" w:cs="Arial"/>
          <w:bCs/>
          <w:sz w:val="24"/>
          <w:szCs w:val="24"/>
        </w:rPr>
        <w:t>presenta, por primera vez,</w:t>
      </w:r>
      <w:r w:rsidRPr="00C50677">
        <w:rPr>
          <w:rFonts w:ascii="Arial" w:hAnsi="Arial" w:cs="Arial"/>
          <w:bCs/>
          <w:sz w:val="24"/>
          <w:szCs w:val="24"/>
        </w:rPr>
        <w:t xml:space="preserve"> la Encuesta de Comercio Internacional de Servicios (ECIS)</w:t>
      </w:r>
      <w:r w:rsidR="0046656D">
        <w:rPr>
          <w:rFonts w:ascii="Arial" w:hAnsi="Arial" w:cs="Arial"/>
          <w:bCs/>
          <w:sz w:val="24"/>
          <w:szCs w:val="24"/>
        </w:rPr>
        <w:t xml:space="preserve"> 2021</w:t>
      </w:r>
      <w:r>
        <w:rPr>
          <w:rFonts w:ascii="Arial" w:hAnsi="Arial" w:cs="Arial"/>
          <w:bCs/>
          <w:sz w:val="24"/>
          <w:szCs w:val="24"/>
        </w:rPr>
        <w:t>. Este programa</w:t>
      </w:r>
      <w:r w:rsidR="005444CC">
        <w:rPr>
          <w:rFonts w:ascii="Arial" w:hAnsi="Arial" w:cs="Arial"/>
          <w:bCs/>
          <w:sz w:val="24"/>
          <w:szCs w:val="24"/>
        </w:rPr>
        <w:t>, que forma parte de las estadísticas experimentales del Subsistema de Información Económica,</w:t>
      </w:r>
      <w:r>
        <w:rPr>
          <w:rFonts w:ascii="Arial" w:hAnsi="Arial" w:cs="Arial"/>
          <w:bCs/>
          <w:sz w:val="24"/>
          <w:szCs w:val="24"/>
        </w:rPr>
        <w:t xml:space="preserve"> </w:t>
      </w:r>
      <w:r w:rsidRPr="00C50677">
        <w:rPr>
          <w:rFonts w:ascii="Arial" w:hAnsi="Arial" w:cs="Arial"/>
          <w:bCs/>
          <w:sz w:val="24"/>
          <w:szCs w:val="24"/>
        </w:rPr>
        <w:t xml:space="preserve">complementa y fortalece la </w:t>
      </w:r>
      <w:r w:rsidR="00771125">
        <w:rPr>
          <w:rFonts w:ascii="Arial" w:hAnsi="Arial" w:cs="Arial"/>
          <w:bCs/>
          <w:sz w:val="24"/>
          <w:szCs w:val="24"/>
        </w:rPr>
        <w:t xml:space="preserve">oferta de información </w:t>
      </w:r>
      <w:r w:rsidRPr="00C50677">
        <w:rPr>
          <w:rFonts w:ascii="Arial" w:hAnsi="Arial" w:cs="Arial"/>
          <w:bCs/>
          <w:sz w:val="24"/>
          <w:szCs w:val="24"/>
        </w:rPr>
        <w:t>del INEGI mediante la compilación, generación, procesamiento y publicación de estadísticas referentes al comercio internacional de servicios en México</w:t>
      </w:r>
      <w:r>
        <w:rPr>
          <w:rFonts w:ascii="Arial" w:hAnsi="Arial" w:cs="Arial"/>
          <w:bCs/>
          <w:sz w:val="24"/>
          <w:szCs w:val="24"/>
        </w:rPr>
        <w:t xml:space="preserve">. </w:t>
      </w:r>
    </w:p>
    <w:p w14:paraId="1DC88A43" w14:textId="77777777" w:rsidR="006A6448" w:rsidRDefault="006A6448" w:rsidP="006A6448">
      <w:pPr>
        <w:spacing w:after="0" w:line="240" w:lineRule="auto"/>
        <w:jc w:val="both"/>
        <w:rPr>
          <w:rFonts w:ascii="Arial" w:hAnsi="Arial" w:cs="Arial"/>
          <w:bCs/>
          <w:sz w:val="24"/>
          <w:szCs w:val="24"/>
        </w:rPr>
      </w:pPr>
    </w:p>
    <w:p w14:paraId="5F5B623A" w14:textId="42870758" w:rsidR="00E2485A" w:rsidRDefault="0016320F" w:rsidP="006A6448">
      <w:pPr>
        <w:spacing w:after="0" w:line="240" w:lineRule="auto"/>
        <w:jc w:val="both"/>
        <w:rPr>
          <w:rFonts w:ascii="Arial" w:hAnsi="Arial" w:cs="Arial"/>
          <w:color w:val="000000" w:themeColor="text1"/>
          <w:sz w:val="24"/>
          <w:szCs w:val="24"/>
        </w:rPr>
      </w:pPr>
      <w:r>
        <w:rPr>
          <w:rFonts w:ascii="Arial" w:hAnsi="Arial" w:cs="Arial"/>
          <w:bCs/>
          <w:sz w:val="24"/>
          <w:szCs w:val="24"/>
        </w:rPr>
        <w:t>Para la ECIS 2021 s</w:t>
      </w:r>
      <w:r w:rsidR="00E2485A">
        <w:rPr>
          <w:rFonts w:ascii="Arial" w:hAnsi="Arial" w:cs="Arial"/>
          <w:bCs/>
          <w:sz w:val="24"/>
          <w:szCs w:val="24"/>
        </w:rPr>
        <w:t xml:space="preserve">e consideran las siguientes </w:t>
      </w:r>
      <w:r w:rsidR="00E2485A" w:rsidRPr="00CC5EFA">
        <w:rPr>
          <w:rFonts w:ascii="Arial" w:hAnsi="Arial" w:cs="Arial"/>
          <w:bCs/>
          <w:color w:val="000000" w:themeColor="text1"/>
          <w:sz w:val="24"/>
          <w:szCs w:val="24"/>
        </w:rPr>
        <w:t>categorías de servicio</w:t>
      </w:r>
      <w:r w:rsidR="001F01AE">
        <w:rPr>
          <w:rStyle w:val="Refdenotaalpie"/>
          <w:rFonts w:ascii="Arial" w:hAnsi="Arial" w:cs="Arial"/>
          <w:color w:val="000000" w:themeColor="text1"/>
          <w:sz w:val="24"/>
          <w:szCs w:val="24"/>
        </w:rPr>
        <w:footnoteReference w:id="1"/>
      </w:r>
      <w:r w:rsidR="00E2485A">
        <w:rPr>
          <w:rFonts w:ascii="Arial" w:hAnsi="Arial" w:cs="Arial"/>
          <w:bCs/>
          <w:color w:val="000000" w:themeColor="text1"/>
          <w:sz w:val="24"/>
          <w:szCs w:val="24"/>
        </w:rPr>
        <w:t xml:space="preserve">: </w:t>
      </w:r>
      <w:r w:rsidR="00E2485A" w:rsidRPr="001F6431">
        <w:rPr>
          <w:rFonts w:ascii="Arial" w:hAnsi="Arial" w:cs="Arial"/>
          <w:i/>
          <w:iCs/>
          <w:color w:val="000000" w:themeColor="text1"/>
          <w:sz w:val="24"/>
          <w:szCs w:val="24"/>
        </w:rPr>
        <w:t>Servicios de manufactura en insumos físicos que son propiedad de otros</w:t>
      </w:r>
      <w:r w:rsidR="007067E9">
        <w:rPr>
          <w:rFonts w:ascii="Arial" w:hAnsi="Arial" w:cs="Arial"/>
          <w:color w:val="000000" w:themeColor="text1"/>
          <w:sz w:val="24"/>
          <w:szCs w:val="24"/>
        </w:rPr>
        <w:t>;</w:t>
      </w:r>
      <w:r w:rsidR="00E2485A">
        <w:rPr>
          <w:rFonts w:ascii="Arial" w:hAnsi="Arial" w:cs="Arial"/>
          <w:color w:val="000000" w:themeColor="text1"/>
          <w:sz w:val="24"/>
          <w:szCs w:val="24"/>
        </w:rPr>
        <w:t xml:space="preserve"> </w:t>
      </w:r>
      <w:r w:rsidR="00E2485A" w:rsidRPr="001F6431">
        <w:rPr>
          <w:rFonts w:ascii="Arial" w:hAnsi="Arial" w:cs="Arial"/>
          <w:i/>
          <w:iCs/>
          <w:color w:val="000000" w:themeColor="text1"/>
          <w:sz w:val="24"/>
          <w:szCs w:val="24"/>
        </w:rPr>
        <w:t>Servicios de mantenimiento y reparación</w:t>
      </w:r>
      <w:r w:rsidR="00E22D30">
        <w:rPr>
          <w:rFonts w:ascii="Arial" w:hAnsi="Arial" w:cs="Arial"/>
          <w:color w:val="000000" w:themeColor="text1"/>
          <w:sz w:val="24"/>
          <w:szCs w:val="24"/>
        </w:rPr>
        <w:t xml:space="preserve"> y </w:t>
      </w:r>
      <w:r w:rsidR="00E2485A" w:rsidRPr="001F6431">
        <w:rPr>
          <w:rFonts w:ascii="Arial" w:hAnsi="Arial" w:cs="Arial"/>
          <w:i/>
          <w:iCs/>
          <w:color w:val="000000" w:themeColor="text1"/>
          <w:sz w:val="24"/>
          <w:szCs w:val="24"/>
        </w:rPr>
        <w:t>Transportes</w:t>
      </w:r>
      <w:r w:rsidR="00E2485A">
        <w:rPr>
          <w:rFonts w:ascii="Arial" w:hAnsi="Arial" w:cs="Arial"/>
          <w:color w:val="000000" w:themeColor="text1"/>
          <w:sz w:val="24"/>
          <w:szCs w:val="24"/>
        </w:rPr>
        <w:t>. También se incluyen</w:t>
      </w:r>
      <w:r w:rsidR="007067E9">
        <w:rPr>
          <w:rFonts w:ascii="Arial" w:hAnsi="Arial" w:cs="Arial"/>
          <w:color w:val="000000" w:themeColor="text1"/>
          <w:sz w:val="24"/>
          <w:szCs w:val="24"/>
        </w:rPr>
        <w:t>;</w:t>
      </w:r>
      <w:r w:rsidR="00E2485A">
        <w:rPr>
          <w:rFonts w:ascii="Arial" w:hAnsi="Arial" w:cs="Arial"/>
          <w:color w:val="000000" w:themeColor="text1"/>
          <w:sz w:val="24"/>
          <w:szCs w:val="24"/>
        </w:rPr>
        <w:t xml:space="preserve"> </w:t>
      </w:r>
      <w:r w:rsidR="00E2485A" w:rsidRPr="001F6431">
        <w:rPr>
          <w:rFonts w:ascii="Arial" w:hAnsi="Arial" w:cs="Arial"/>
          <w:i/>
          <w:iCs/>
          <w:color w:val="000000" w:themeColor="text1"/>
          <w:sz w:val="24"/>
          <w:szCs w:val="24"/>
        </w:rPr>
        <w:t>Cargos por el uso de la propiedad intelectual</w:t>
      </w:r>
      <w:r w:rsidR="007067E9">
        <w:rPr>
          <w:rFonts w:ascii="Arial" w:hAnsi="Arial" w:cs="Arial"/>
          <w:color w:val="000000" w:themeColor="text1"/>
          <w:sz w:val="24"/>
          <w:szCs w:val="24"/>
        </w:rPr>
        <w:t>;</w:t>
      </w:r>
      <w:r w:rsidR="00E2485A" w:rsidRPr="00CC5EFA">
        <w:rPr>
          <w:rFonts w:ascii="Arial" w:hAnsi="Arial" w:cs="Arial"/>
          <w:color w:val="000000" w:themeColor="text1"/>
          <w:sz w:val="24"/>
          <w:szCs w:val="24"/>
        </w:rPr>
        <w:t xml:space="preserve"> </w:t>
      </w:r>
      <w:r w:rsidR="00E2485A" w:rsidRPr="001F6431">
        <w:rPr>
          <w:rFonts w:ascii="Arial" w:hAnsi="Arial" w:cs="Arial"/>
          <w:i/>
          <w:iCs/>
          <w:color w:val="000000" w:themeColor="text1"/>
          <w:sz w:val="24"/>
          <w:szCs w:val="24"/>
        </w:rPr>
        <w:t>Servicios de telecomunicaciones, informática e información</w:t>
      </w:r>
      <w:r w:rsidR="007067E9">
        <w:rPr>
          <w:rFonts w:ascii="Arial" w:hAnsi="Arial" w:cs="Arial"/>
          <w:color w:val="000000" w:themeColor="text1"/>
          <w:sz w:val="24"/>
          <w:szCs w:val="24"/>
        </w:rPr>
        <w:t>;</w:t>
      </w:r>
      <w:r w:rsidR="00E2485A">
        <w:rPr>
          <w:rFonts w:ascii="Arial" w:hAnsi="Arial" w:cs="Arial"/>
          <w:color w:val="000000" w:themeColor="text1"/>
          <w:sz w:val="24"/>
          <w:szCs w:val="24"/>
        </w:rPr>
        <w:t xml:space="preserve"> </w:t>
      </w:r>
      <w:r w:rsidR="00E2485A" w:rsidRPr="001F6431">
        <w:rPr>
          <w:rFonts w:ascii="Arial" w:hAnsi="Arial" w:cs="Arial"/>
          <w:i/>
          <w:iCs/>
          <w:color w:val="000000" w:themeColor="text1"/>
          <w:sz w:val="24"/>
          <w:szCs w:val="24"/>
        </w:rPr>
        <w:t>Otros servicios empresariales</w:t>
      </w:r>
      <w:r w:rsidR="007067E9">
        <w:rPr>
          <w:rFonts w:ascii="Arial" w:hAnsi="Arial" w:cs="Arial"/>
          <w:color w:val="000000" w:themeColor="text1"/>
          <w:sz w:val="24"/>
          <w:szCs w:val="24"/>
        </w:rPr>
        <w:t>;</w:t>
      </w:r>
      <w:r w:rsidR="00E2485A">
        <w:rPr>
          <w:rFonts w:ascii="Arial" w:hAnsi="Arial" w:cs="Arial"/>
          <w:color w:val="000000" w:themeColor="text1"/>
          <w:sz w:val="24"/>
          <w:szCs w:val="24"/>
        </w:rPr>
        <w:t xml:space="preserve"> </w:t>
      </w:r>
      <w:r w:rsidR="00E2485A" w:rsidRPr="001F6431">
        <w:rPr>
          <w:rFonts w:ascii="Arial" w:hAnsi="Arial" w:cs="Arial"/>
          <w:i/>
          <w:iCs/>
          <w:color w:val="000000" w:themeColor="text1"/>
          <w:sz w:val="24"/>
          <w:szCs w:val="24"/>
        </w:rPr>
        <w:t>Servicios personales, culturales y recreativos</w:t>
      </w:r>
      <w:r w:rsidR="00E2485A">
        <w:rPr>
          <w:rFonts w:ascii="Arial" w:hAnsi="Arial" w:cs="Arial"/>
          <w:color w:val="000000" w:themeColor="text1"/>
          <w:sz w:val="24"/>
          <w:szCs w:val="24"/>
        </w:rPr>
        <w:t>.</w:t>
      </w:r>
    </w:p>
    <w:p w14:paraId="394EC10A" w14:textId="77777777" w:rsidR="006A6448" w:rsidRDefault="006A6448" w:rsidP="006A6448">
      <w:pPr>
        <w:spacing w:after="0" w:line="240" w:lineRule="auto"/>
        <w:jc w:val="both"/>
        <w:rPr>
          <w:rFonts w:ascii="Arial" w:hAnsi="Arial" w:cs="Arial"/>
          <w:color w:val="000000" w:themeColor="text1"/>
          <w:sz w:val="24"/>
          <w:szCs w:val="24"/>
        </w:rPr>
      </w:pPr>
    </w:p>
    <w:p w14:paraId="6235FB40" w14:textId="3018A91B" w:rsidR="0016320F" w:rsidRDefault="006A6448" w:rsidP="0016320F">
      <w:pPr>
        <w:spacing w:after="0" w:line="240" w:lineRule="auto"/>
        <w:jc w:val="both"/>
        <w:rPr>
          <w:rFonts w:ascii="Arial" w:hAnsi="Arial" w:cs="Arial"/>
          <w:bCs/>
          <w:color w:val="000000" w:themeColor="text1"/>
          <w:sz w:val="24"/>
          <w:szCs w:val="24"/>
        </w:rPr>
      </w:pPr>
      <w:r>
        <w:rPr>
          <w:rFonts w:ascii="Arial" w:hAnsi="Arial" w:cs="Arial"/>
          <w:bCs/>
          <w:sz w:val="24"/>
          <w:szCs w:val="24"/>
        </w:rPr>
        <w:t xml:space="preserve">La ECIS </w:t>
      </w:r>
      <w:r w:rsidR="004F5188">
        <w:rPr>
          <w:rFonts w:ascii="Arial" w:hAnsi="Arial" w:cs="Arial"/>
          <w:bCs/>
          <w:sz w:val="24"/>
          <w:szCs w:val="24"/>
        </w:rPr>
        <w:t>2021 per</w:t>
      </w:r>
      <w:r w:rsidR="00E2485A" w:rsidRPr="00C50677">
        <w:rPr>
          <w:rFonts w:ascii="Arial" w:hAnsi="Arial" w:cs="Arial"/>
          <w:bCs/>
          <w:sz w:val="24"/>
          <w:szCs w:val="24"/>
        </w:rPr>
        <w:t xml:space="preserve">mitirá medir los flujos de </w:t>
      </w:r>
      <w:r w:rsidR="00E2485A" w:rsidRPr="00380003">
        <w:rPr>
          <w:rFonts w:ascii="Arial" w:hAnsi="Arial" w:cs="Arial"/>
          <w:bCs/>
          <w:sz w:val="24"/>
          <w:szCs w:val="24"/>
        </w:rPr>
        <w:t>ingresos y gastos con el exterior</w:t>
      </w:r>
      <w:r w:rsidR="00E2485A" w:rsidRPr="00A87C35">
        <w:rPr>
          <w:rFonts w:ascii="Arial" w:hAnsi="Arial" w:cs="Arial"/>
          <w:bCs/>
          <w:color w:val="00B050"/>
          <w:sz w:val="24"/>
          <w:szCs w:val="24"/>
        </w:rPr>
        <w:t xml:space="preserve"> </w:t>
      </w:r>
      <w:r w:rsidR="00E2485A" w:rsidRPr="00380003">
        <w:rPr>
          <w:rFonts w:ascii="Arial" w:hAnsi="Arial" w:cs="Arial"/>
          <w:bCs/>
          <w:sz w:val="24"/>
          <w:szCs w:val="24"/>
        </w:rPr>
        <w:t>de acuerd</w:t>
      </w:r>
      <w:r w:rsidR="00E2485A" w:rsidRPr="00CC5EFA">
        <w:rPr>
          <w:rFonts w:ascii="Arial" w:hAnsi="Arial" w:cs="Arial"/>
          <w:bCs/>
          <w:color w:val="000000" w:themeColor="text1"/>
          <w:sz w:val="24"/>
          <w:szCs w:val="24"/>
        </w:rPr>
        <w:t>o con el Manual de Estadísticas de Comercio Internacional de Servicios</w:t>
      </w:r>
      <w:r w:rsidR="00E2485A">
        <w:rPr>
          <w:rFonts w:ascii="Arial" w:hAnsi="Arial" w:cs="Arial"/>
          <w:bCs/>
          <w:color w:val="000000" w:themeColor="text1"/>
          <w:sz w:val="24"/>
          <w:szCs w:val="24"/>
        </w:rPr>
        <w:t xml:space="preserve"> </w:t>
      </w:r>
      <w:r w:rsidR="00E2485A" w:rsidRPr="00CC5EFA">
        <w:rPr>
          <w:rFonts w:ascii="Arial" w:hAnsi="Arial" w:cs="Arial"/>
          <w:bCs/>
          <w:color w:val="000000" w:themeColor="text1"/>
          <w:sz w:val="24"/>
          <w:szCs w:val="24"/>
        </w:rPr>
        <w:t>de Naciones Unidas</w:t>
      </w:r>
      <w:r w:rsidR="00E2485A">
        <w:rPr>
          <w:rFonts w:ascii="Arial" w:hAnsi="Arial" w:cs="Arial"/>
          <w:bCs/>
          <w:color w:val="000000" w:themeColor="text1"/>
          <w:sz w:val="24"/>
          <w:szCs w:val="24"/>
        </w:rPr>
        <w:t xml:space="preserve"> (MECIS</w:t>
      </w:r>
      <w:r w:rsidR="00C94773">
        <w:rPr>
          <w:rFonts w:ascii="Arial" w:hAnsi="Arial" w:cs="Arial"/>
          <w:bCs/>
          <w:color w:val="000000" w:themeColor="text1"/>
          <w:sz w:val="24"/>
          <w:szCs w:val="24"/>
        </w:rPr>
        <w:t>)</w:t>
      </w:r>
      <w:r w:rsidR="004F5188">
        <w:rPr>
          <w:rFonts w:ascii="Arial" w:hAnsi="Arial" w:cs="Arial"/>
          <w:bCs/>
          <w:color w:val="000000" w:themeColor="text1"/>
          <w:sz w:val="24"/>
          <w:szCs w:val="24"/>
        </w:rPr>
        <w:t xml:space="preserve"> </w:t>
      </w:r>
      <w:r w:rsidR="00E2485A">
        <w:rPr>
          <w:rFonts w:ascii="Arial" w:hAnsi="Arial" w:cs="Arial"/>
          <w:bCs/>
          <w:color w:val="000000" w:themeColor="text1"/>
          <w:sz w:val="24"/>
          <w:szCs w:val="24"/>
        </w:rPr>
        <w:t>2010.</w:t>
      </w:r>
      <w:r w:rsidR="00E2485A" w:rsidRPr="00CC5EFA">
        <w:rPr>
          <w:rFonts w:ascii="Arial" w:hAnsi="Arial" w:cs="Arial"/>
          <w:bCs/>
          <w:color w:val="000000" w:themeColor="text1"/>
          <w:sz w:val="24"/>
          <w:szCs w:val="24"/>
        </w:rPr>
        <w:t xml:space="preserve"> </w:t>
      </w:r>
      <w:r w:rsidR="0016320F" w:rsidRPr="00CC5EFA">
        <w:rPr>
          <w:rFonts w:ascii="Arial" w:hAnsi="Arial" w:cs="Arial"/>
          <w:bCs/>
          <w:color w:val="000000" w:themeColor="text1"/>
          <w:sz w:val="24"/>
          <w:szCs w:val="24"/>
        </w:rPr>
        <w:t>El tamaño de muestra permite obtener resultados sobre los flujos de Comercio Internacional de Servicios</w:t>
      </w:r>
      <w:r w:rsidR="0016320F">
        <w:rPr>
          <w:rFonts w:ascii="Arial" w:hAnsi="Arial" w:cs="Arial"/>
          <w:bCs/>
          <w:color w:val="000000" w:themeColor="text1"/>
          <w:sz w:val="24"/>
          <w:szCs w:val="24"/>
        </w:rPr>
        <w:t xml:space="preserve"> (</w:t>
      </w:r>
      <w:r w:rsidR="0016320F" w:rsidRPr="00CC5EFA">
        <w:rPr>
          <w:rFonts w:ascii="Arial" w:hAnsi="Arial" w:cs="Arial"/>
          <w:bCs/>
          <w:color w:val="000000" w:themeColor="text1"/>
          <w:sz w:val="24"/>
          <w:szCs w:val="24"/>
        </w:rPr>
        <w:t>CIS</w:t>
      </w:r>
      <w:r w:rsidR="0016320F">
        <w:rPr>
          <w:rFonts w:ascii="Arial" w:hAnsi="Arial" w:cs="Arial"/>
          <w:bCs/>
          <w:color w:val="000000" w:themeColor="text1"/>
          <w:sz w:val="24"/>
          <w:szCs w:val="24"/>
        </w:rPr>
        <w:t>),</w:t>
      </w:r>
      <w:r w:rsidR="0016320F" w:rsidRPr="00CC5EFA">
        <w:rPr>
          <w:rFonts w:ascii="Arial" w:hAnsi="Arial" w:cs="Arial"/>
          <w:bCs/>
          <w:color w:val="000000" w:themeColor="text1"/>
          <w:sz w:val="24"/>
          <w:szCs w:val="24"/>
        </w:rPr>
        <w:t xml:space="preserve"> por gran sector de actividad económica: industria</w:t>
      </w:r>
      <w:r w:rsidR="0016320F">
        <w:rPr>
          <w:rFonts w:ascii="Arial" w:hAnsi="Arial" w:cs="Arial"/>
          <w:bCs/>
          <w:color w:val="000000" w:themeColor="text1"/>
          <w:sz w:val="24"/>
          <w:szCs w:val="24"/>
        </w:rPr>
        <w:t>,</w:t>
      </w:r>
      <w:r w:rsidR="0016320F" w:rsidRPr="00CC5EFA">
        <w:rPr>
          <w:rFonts w:ascii="Arial" w:hAnsi="Arial" w:cs="Arial"/>
          <w:bCs/>
          <w:color w:val="000000" w:themeColor="text1"/>
          <w:sz w:val="24"/>
          <w:szCs w:val="24"/>
          <w:vertAlign w:val="superscript"/>
        </w:rPr>
        <w:footnoteReference w:id="2"/>
      </w:r>
      <w:r w:rsidR="0016320F" w:rsidRPr="00CC5EFA">
        <w:rPr>
          <w:rFonts w:ascii="Arial" w:hAnsi="Arial" w:cs="Arial"/>
          <w:bCs/>
          <w:color w:val="000000" w:themeColor="text1"/>
          <w:sz w:val="24"/>
          <w:szCs w:val="24"/>
        </w:rPr>
        <w:t xml:space="preserve"> comercio y servicios privados no financieros; por tamaño de empresa: grandes, medianas, pequeñas y micro</w:t>
      </w:r>
      <w:r w:rsidR="0016320F">
        <w:rPr>
          <w:rFonts w:ascii="Arial" w:hAnsi="Arial" w:cs="Arial"/>
          <w:bCs/>
          <w:color w:val="000000" w:themeColor="text1"/>
          <w:sz w:val="24"/>
          <w:szCs w:val="24"/>
        </w:rPr>
        <w:t>;</w:t>
      </w:r>
      <w:r w:rsidR="0016320F" w:rsidRPr="00CC5EFA">
        <w:rPr>
          <w:rFonts w:ascii="Arial" w:hAnsi="Arial" w:cs="Arial"/>
          <w:bCs/>
          <w:color w:val="000000" w:themeColor="text1"/>
          <w:sz w:val="24"/>
          <w:szCs w:val="24"/>
        </w:rPr>
        <w:t xml:space="preserve"> por socio comercial</w:t>
      </w:r>
      <w:r w:rsidR="002E5840">
        <w:rPr>
          <w:rFonts w:ascii="Arial" w:hAnsi="Arial" w:cs="Arial"/>
          <w:bCs/>
          <w:color w:val="000000" w:themeColor="text1"/>
          <w:sz w:val="24"/>
          <w:szCs w:val="24"/>
        </w:rPr>
        <w:t>:</w:t>
      </w:r>
      <w:r w:rsidR="0016320F" w:rsidRPr="00CC5EFA">
        <w:rPr>
          <w:rFonts w:ascii="Arial" w:hAnsi="Arial" w:cs="Arial"/>
          <w:bCs/>
          <w:color w:val="000000" w:themeColor="text1"/>
          <w:sz w:val="24"/>
          <w:szCs w:val="24"/>
        </w:rPr>
        <w:t xml:space="preserve"> </w:t>
      </w:r>
      <w:r w:rsidR="002E5840">
        <w:rPr>
          <w:rFonts w:ascii="Arial" w:hAnsi="Arial" w:cs="Arial"/>
          <w:bCs/>
          <w:color w:val="000000" w:themeColor="text1"/>
          <w:sz w:val="24"/>
          <w:szCs w:val="24"/>
        </w:rPr>
        <w:t xml:space="preserve">país </w:t>
      </w:r>
      <w:r w:rsidR="00157BF8">
        <w:rPr>
          <w:rFonts w:ascii="Arial" w:hAnsi="Arial" w:cs="Arial"/>
          <w:bCs/>
          <w:color w:val="000000" w:themeColor="text1"/>
          <w:sz w:val="24"/>
          <w:szCs w:val="24"/>
        </w:rPr>
        <w:t xml:space="preserve">o grupo de </w:t>
      </w:r>
      <w:r w:rsidR="0016320F" w:rsidRPr="00CC5EFA">
        <w:rPr>
          <w:rFonts w:ascii="Arial" w:hAnsi="Arial" w:cs="Arial"/>
          <w:bCs/>
          <w:color w:val="000000" w:themeColor="text1"/>
          <w:sz w:val="24"/>
          <w:szCs w:val="24"/>
        </w:rPr>
        <w:t>países con los que se realizan transacciones de servicios</w:t>
      </w:r>
      <w:r w:rsidR="007067E9">
        <w:rPr>
          <w:rFonts w:ascii="Arial" w:hAnsi="Arial" w:cs="Arial"/>
          <w:bCs/>
          <w:color w:val="000000" w:themeColor="text1"/>
          <w:sz w:val="24"/>
          <w:szCs w:val="24"/>
        </w:rPr>
        <w:t>;</w:t>
      </w:r>
      <w:r w:rsidR="0016320F" w:rsidRPr="00CC5EFA">
        <w:rPr>
          <w:rFonts w:ascii="Arial" w:hAnsi="Arial" w:cs="Arial"/>
          <w:bCs/>
          <w:color w:val="000000" w:themeColor="text1"/>
          <w:sz w:val="24"/>
          <w:szCs w:val="24"/>
        </w:rPr>
        <w:t xml:space="preserve"> y por modo de suministro</w:t>
      </w:r>
      <w:r w:rsidR="0016320F">
        <w:rPr>
          <w:rFonts w:ascii="Arial" w:hAnsi="Arial" w:cs="Arial"/>
          <w:bCs/>
          <w:color w:val="000000" w:themeColor="text1"/>
          <w:sz w:val="24"/>
          <w:szCs w:val="24"/>
        </w:rPr>
        <w:t>:</w:t>
      </w:r>
      <w:r w:rsidR="0016320F" w:rsidRPr="00CC5EFA">
        <w:rPr>
          <w:rFonts w:ascii="Arial" w:hAnsi="Arial" w:cs="Arial"/>
          <w:bCs/>
          <w:color w:val="000000" w:themeColor="text1"/>
          <w:sz w:val="24"/>
          <w:szCs w:val="24"/>
        </w:rPr>
        <w:t xml:space="preserve"> forma o medio </w:t>
      </w:r>
      <w:r w:rsidR="0016320F">
        <w:rPr>
          <w:rFonts w:ascii="Arial" w:hAnsi="Arial" w:cs="Arial"/>
          <w:bCs/>
          <w:color w:val="000000" w:themeColor="text1"/>
          <w:sz w:val="24"/>
          <w:szCs w:val="24"/>
        </w:rPr>
        <w:t xml:space="preserve">por el que se </w:t>
      </w:r>
      <w:r w:rsidR="0016320F" w:rsidRPr="00CC5EFA">
        <w:rPr>
          <w:rFonts w:ascii="Arial" w:hAnsi="Arial" w:cs="Arial"/>
          <w:bCs/>
          <w:color w:val="000000" w:themeColor="text1"/>
          <w:sz w:val="24"/>
          <w:szCs w:val="24"/>
        </w:rPr>
        <w:t>realizan las transacciones de servicios internacionales.</w:t>
      </w:r>
    </w:p>
    <w:p w14:paraId="2F3D5B67" w14:textId="77777777" w:rsidR="006A6448" w:rsidRDefault="006A6448" w:rsidP="006A6448">
      <w:pPr>
        <w:spacing w:after="0" w:line="240" w:lineRule="auto"/>
        <w:jc w:val="both"/>
        <w:rPr>
          <w:rFonts w:ascii="Arial" w:hAnsi="Arial" w:cs="Arial"/>
          <w:bCs/>
          <w:sz w:val="24"/>
          <w:szCs w:val="24"/>
        </w:rPr>
      </w:pPr>
    </w:p>
    <w:p w14:paraId="6DBFE278" w14:textId="77777777" w:rsidR="006A6448" w:rsidRPr="006A6448" w:rsidRDefault="006A6448" w:rsidP="006A6448">
      <w:pPr>
        <w:spacing w:after="0" w:line="240" w:lineRule="auto"/>
        <w:jc w:val="both"/>
        <w:rPr>
          <w:rFonts w:ascii="Arial" w:hAnsi="Arial" w:cs="Arial"/>
          <w:bCs/>
          <w:color w:val="000000" w:themeColor="text1"/>
          <w:sz w:val="24"/>
          <w:szCs w:val="24"/>
        </w:rPr>
      </w:pPr>
    </w:p>
    <w:p w14:paraId="32B1E556" w14:textId="77777777" w:rsidR="00C010D2" w:rsidRDefault="001911DC" w:rsidP="006A6448">
      <w:pPr>
        <w:autoSpaceDE w:val="0"/>
        <w:autoSpaceDN w:val="0"/>
        <w:adjustRightInd w:val="0"/>
        <w:spacing w:after="0" w:line="240" w:lineRule="auto"/>
        <w:ind w:right="-518"/>
        <w:outlineLvl w:val="0"/>
        <w:rPr>
          <w:rFonts w:ascii="Arial Negrita" w:hAnsi="Arial Negrita" w:cs="Arial"/>
          <w:b/>
          <w:smallCaps/>
          <w:sz w:val="24"/>
          <w:szCs w:val="24"/>
        </w:rPr>
      </w:pPr>
      <w:r>
        <w:rPr>
          <w:rFonts w:ascii="Arial Negrita" w:hAnsi="Arial Negrita" w:cs="Arial"/>
          <w:b/>
          <w:smallCaps/>
          <w:sz w:val="24"/>
          <w:szCs w:val="24"/>
        </w:rPr>
        <w:t>P</w:t>
      </w:r>
      <w:r w:rsidRPr="00B955C7">
        <w:rPr>
          <w:rFonts w:ascii="Arial Negrita" w:hAnsi="Arial Negrita" w:cs="Arial"/>
          <w:b/>
          <w:smallCaps/>
          <w:sz w:val="24"/>
          <w:szCs w:val="24"/>
        </w:rPr>
        <w:t>rincipales resultados</w:t>
      </w:r>
    </w:p>
    <w:p w14:paraId="6DB7D487" w14:textId="77777777" w:rsidR="007460C8" w:rsidRPr="007460C8" w:rsidRDefault="007460C8" w:rsidP="006A6448">
      <w:pPr>
        <w:autoSpaceDE w:val="0"/>
        <w:autoSpaceDN w:val="0"/>
        <w:adjustRightInd w:val="0"/>
        <w:spacing w:after="0" w:line="240" w:lineRule="auto"/>
        <w:ind w:right="-518"/>
        <w:outlineLvl w:val="0"/>
        <w:rPr>
          <w:rFonts w:ascii="Arial Negrita" w:hAnsi="Arial Negrita" w:cs="Arial"/>
          <w:b/>
          <w:smallCaps/>
          <w:sz w:val="24"/>
          <w:szCs w:val="24"/>
        </w:rPr>
      </w:pPr>
    </w:p>
    <w:p w14:paraId="40613967" w14:textId="0C4E3CB5" w:rsidR="00A11EB1" w:rsidRDefault="006A6448" w:rsidP="006A6448">
      <w:pPr>
        <w:spacing w:after="0" w:line="240" w:lineRule="auto"/>
        <w:jc w:val="both"/>
        <w:rPr>
          <w:rFonts w:ascii="Arial" w:hAnsi="Arial" w:cs="Arial"/>
          <w:bCs/>
          <w:sz w:val="24"/>
          <w:szCs w:val="24"/>
        </w:rPr>
      </w:pPr>
      <w:r>
        <w:rPr>
          <w:rFonts w:ascii="Arial" w:hAnsi="Arial" w:cs="Arial"/>
          <w:bCs/>
          <w:sz w:val="24"/>
          <w:szCs w:val="24"/>
        </w:rPr>
        <w:t>En</w:t>
      </w:r>
      <w:r w:rsidR="007C1BD7">
        <w:rPr>
          <w:rFonts w:ascii="Arial" w:hAnsi="Arial" w:cs="Arial"/>
          <w:bCs/>
          <w:sz w:val="24"/>
          <w:szCs w:val="24"/>
        </w:rPr>
        <w:t xml:space="preserve"> 2019</w:t>
      </w:r>
      <w:r>
        <w:rPr>
          <w:rFonts w:ascii="Arial" w:hAnsi="Arial" w:cs="Arial"/>
          <w:bCs/>
          <w:sz w:val="24"/>
          <w:szCs w:val="24"/>
        </w:rPr>
        <w:t xml:space="preserve">, </w:t>
      </w:r>
      <w:r w:rsidR="00A6661A">
        <w:rPr>
          <w:rFonts w:ascii="Arial" w:hAnsi="Arial" w:cs="Arial"/>
          <w:bCs/>
          <w:sz w:val="24"/>
          <w:szCs w:val="24"/>
        </w:rPr>
        <w:t>de</w:t>
      </w:r>
      <w:r w:rsidR="003355FB">
        <w:rPr>
          <w:rFonts w:ascii="Arial" w:hAnsi="Arial" w:cs="Arial"/>
          <w:bCs/>
          <w:sz w:val="24"/>
          <w:szCs w:val="24"/>
        </w:rPr>
        <w:t>l total de</w:t>
      </w:r>
      <w:r>
        <w:rPr>
          <w:rFonts w:ascii="Arial" w:hAnsi="Arial" w:cs="Arial"/>
          <w:bCs/>
          <w:sz w:val="24"/>
          <w:szCs w:val="24"/>
        </w:rPr>
        <w:t xml:space="preserve"> </w:t>
      </w:r>
      <w:r w:rsidR="00A6661A">
        <w:rPr>
          <w:rFonts w:ascii="Arial" w:hAnsi="Arial" w:cs="Arial"/>
          <w:bCs/>
          <w:sz w:val="24"/>
          <w:szCs w:val="24"/>
        </w:rPr>
        <w:t>empresas</w:t>
      </w:r>
      <w:r w:rsidR="003355FB">
        <w:rPr>
          <w:rFonts w:ascii="Arial" w:hAnsi="Arial" w:cs="Arial"/>
          <w:bCs/>
          <w:sz w:val="24"/>
          <w:szCs w:val="24"/>
        </w:rPr>
        <w:t xml:space="preserve">, </w:t>
      </w:r>
      <w:r>
        <w:rPr>
          <w:rFonts w:ascii="Arial" w:hAnsi="Arial" w:cs="Arial"/>
          <w:bCs/>
          <w:sz w:val="24"/>
          <w:szCs w:val="24"/>
        </w:rPr>
        <w:t>51.9 %</w:t>
      </w:r>
      <w:r w:rsidR="003355FB">
        <w:rPr>
          <w:rFonts w:ascii="Arial" w:hAnsi="Arial" w:cs="Arial"/>
          <w:bCs/>
          <w:sz w:val="24"/>
          <w:szCs w:val="24"/>
        </w:rPr>
        <w:t xml:space="preserve"> realizó CIS. En </w:t>
      </w:r>
      <w:r w:rsidR="00A6661A">
        <w:rPr>
          <w:rFonts w:ascii="Arial" w:hAnsi="Arial" w:cs="Arial"/>
          <w:bCs/>
          <w:sz w:val="24"/>
          <w:szCs w:val="24"/>
        </w:rPr>
        <w:t xml:space="preserve">2020, el porcentaje </w:t>
      </w:r>
      <w:r w:rsidR="003355FB">
        <w:rPr>
          <w:rFonts w:ascii="Arial" w:hAnsi="Arial" w:cs="Arial"/>
          <w:bCs/>
          <w:sz w:val="24"/>
          <w:szCs w:val="24"/>
        </w:rPr>
        <w:t>fue</w:t>
      </w:r>
      <w:r w:rsidR="00A6661A">
        <w:rPr>
          <w:rFonts w:ascii="Arial" w:hAnsi="Arial" w:cs="Arial"/>
          <w:bCs/>
          <w:sz w:val="24"/>
          <w:szCs w:val="24"/>
        </w:rPr>
        <w:t xml:space="preserve"> 51.8 por ciento.</w:t>
      </w:r>
    </w:p>
    <w:p w14:paraId="562E2A1C" w14:textId="44125A4D" w:rsidR="00C94773" w:rsidRDefault="00C94773" w:rsidP="003355FB">
      <w:pPr>
        <w:spacing w:after="0" w:line="240" w:lineRule="auto"/>
        <w:ind w:right="21"/>
        <w:jc w:val="center"/>
        <w:rPr>
          <w:rFonts w:ascii="Arial" w:hAnsi="Arial" w:cs="Arial"/>
          <w:bCs/>
          <w:sz w:val="20"/>
          <w:szCs w:val="20"/>
        </w:rPr>
      </w:pPr>
    </w:p>
    <w:p w14:paraId="0F1F058E" w14:textId="77777777" w:rsidR="00C94773" w:rsidRDefault="00C94773" w:rsidP="003355FB">
      <w:pPr>
        <w:spacing w:after="0" w:line="240" w:lineRule="auto"/>
        <w:ind w:right="21"/>
        <w:jc w:val="center"/>
        <w:rPr>
          <w:rFonts w:ascii="Arial" w:hAnsi="Arial" w:cs="Arial"/>
          <w:bCs/>
          <w:sz w:val="20"/>
          <w:szCs w:val="20"/>
        </w:rPr>
      </w:pPr>
    </w:p>
    <w:p w14:paraId="5D30B316" w14:textId="77777777" w:rsidR="002561B9" w:rsidRDefault="002561B9" w:rsidP="003355FB">
      <w:pPr>
        <w:spacing w:after="0" w:line="240" w:lineRule="auto"/>
        <w:ind w:right="21"/>
        <w:jc w:val="center"/>
        <w:rPr>
          <w:rFonts w:ascii="Arial" w:hAnsi="Arial" w:cs="Arial"/>
          <w:bCs/>
          <w:sz w:val="20"/>
          <w:szCs w:val="20"/>
        </w:rPr>
      </w:pPr>
    </w:p>
    <w:p w14:paraId="6CE3EFB8" w14:textId="432E2AE7" w:rsidR="009D5334" w:rsidRPr="00771125" w:rsidRDefault="00A518D5" w:rsidP="003355FB">
      <w:pPr>
        <w:spacing w:after="0" w:line="240" w:lineRule="auto"/>
        <w:ind w:right="21"/>
        <w:jc w:val="center"/>
        <w:rPr>
          <w:rFonts w:ascii="Arial" w:hAnsi="Arial" w:cs="Arial"/>
          <w:bCs/>
          <w:sz w:val="20"/>
          <w:szCs w:val="20"/>
        </w:rPr>
      </w:pPr>
      <w:r w:rsidRPr="00771125">
        <w:rPr>
          <w:rFonts w:ascii="Arial" w:hAnsi="Arial" w:cs="Arial"/>
          <w:bCs/>
          <w:sz w:val="20"/>
          <w:szCs w:val="20"/>
        </w:rPr>
        <w:t xml:space="preserve">Gráfica </w:t>
      </w:r>
      <w:r w:rsidR="00972151" w:rsidRPr="00771125">
        <w:rPr>
          <w:rFonts w:ascii="Arial" w:hAnsi="Arial" w:cs="Arial"/>
          <w:bCs/>
          <w:sz w:val="20"/>
          <w:szCs w:val="20"/>
        </w:rPr>
        <w:t>1</w:t>
      </w:r>
    </w:p>
    <w:p w14:paraId="7F7054BC" w14:textId="3262200F" w:rsidR="00F331CD" w:rsidRPr="00F331CD" w:rsidRDefault="00F331CD" w:rsidP="003355FB">
      <w:pPr>
        <w:spacing w:after="0" w:line="240" w:lineRule="auto"/>
        <w:jc w:val="center"/>
        <w:rPr>
          <w:rFonts w:ascii="Arial" w:hAnsi="Arial" w:cs="Arial"/>
          <w:b/>
          <w:sz w:val="24"/>
          <w:szCs w:val="24"/>
        </w:rPr>
      </w:pPr>
      <w:r w:rsidRPr="003355FB">
        <w:rPr>
          <w:rFonts w:ascii="Arial Negrita" w:hAnsi="Arial Negrita" w:cs="Arial"/>
          <w:b/>
          <w:smallCaps/>
          <w:szCs w:val="24"/>
        </w:rPr>
        <w:t>Empresas que realizaron comercio internacional de servicios</w:t>
      </w:r>
      <w:r w:rsidR="00E472B8">
        <w:rPr>
          <w:rFonts w:ascii="Arial Negrita" w:hAnsi="Arial Negrita" w:cs="Arial"/>
          <w:b/>
          <w:smallCaps/>
          <w:szCs w:val="24"/>
        </w:rPr>
        <w:t xml:space="preserve"> (CIS)</w:t>
      </w:r>
    </w:p>
    <w:p w14:paraId="04D9CBF6" w14:textId="05F01776" w:rsidR="004814F9" w:rsidRDefault="00DE0EC0" w:rsidP="00A518D5">
      <w:pPr>
        <w:jc w:val="center"/>
        <w:rPr>
          <w:rFonts w:ascii="Arial" w:hAnsi="Arial" w:cs="Arial"/>
          <w:sz w:val="24"/>
          <w:szCs w:val="24"/>
        </w:rPr>
      </w:pPr>
      <w:r>
        <w:rPr>
          <w:noProof/>
        </w:rPr>
        <w:drawing>
          <wp:inline distT="0" distB="0" distL="0" distR="0" wp14:anchorId="66C0CDC0" wp14:editId="19239F92">
            <wp:extent cx="4643818" cy="2246400"/>
            <wp:effectExtent l="0" t="0" r="444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3818" cy="2246400"/>
                    </a:xfrm>
                    <a:prstGeom prst="rect">
                      <a:avLst/>
                    </a:prstGeom>
                  </pic:spPr>
                </pic:pic>
              </a:graphicData>
            </a:graphic>
          </wp:inline>
        </w:drawing>
      </w:r>
    </w:p>
    <w:p w14:paraId="3DD5FBA1" w14:textId="4103B335" w:rsidR="00A5631E" w:rsidRDefault="00BC31E1" w:rsidP="007009D1">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Nota:</w:t>
      </w:r>
      <w:r w:rsidR="00A518D5" w:rsidRPr="000830B2">
        <w:rPr>
          <w:rFonts w:ascii="Arial" w:hAnsi="Arial" w:cs="Arial"/>
          <w:bCs/>
          <w:sz w:val="16"/>
          <w:szCs w:val="16"/>
        </w:rPr>
        <w:t xml:space="preserve"> </w:t>
      </w:r>
      <w:r w:rsidR="00A518D5" w:rsidRPr="00A518D5">
        <w:rPr>
          <w:rFonts w:ascii="Arial" w:hAnsi="Arial" w:cs="Arial"/>
          <w:bCs/>
          <w:sz w:val="16"/>
          <w:szCs w:val="16"/>
        </w:rPr>
        <w:t xml:space="preserve">Porcentajes obtenidos </w:t>
      </w:r>
      <w:r w:rsidR="00011BDE">
        <w:rPr>
          <w:rFonts w:ascii="Arial" w:hAnsi="Arial" w:cs="Arial"/>
          <w:bCs/>
          <w:sz w:val="16"/>
          <w:szCs w:val="16"/>
        </w:rPr>
        <w:t xml:space="preserve">con </w:t>
      </w:r>
      <w:r w:rsidR="00A518D5" w:rsidRPr="00A518D5">
        <w:rPr>
          <w:rFonts w:ascii="Arial" w:hAnsi="Arial" w:cs="Arial"/>
          <w:bCs/>
          <w:sz w:val="16"/>
          <w:szCs w:val="16"/>
        </w:rPr>
        <w:t>respecto del total de empresas</w:t>
      </w:r>
      <w:r w:rsidR="00011BDE">
        <w:rPr>
          <w:rFonts w:ascii="Arial" w:hAnsi="Arial" w:cs="Arial"/>
          <w:bCs/>
          <w:sz w:val="16"/>
          <w:szCs w:val="16"/>
        </w:rPr>
        <w:t>.</w:t>
      </w:r>
    </w:p>
    <w:p w14:paraId="55231ADD" w14:textId="60CF4F58" w:rsidR="00A518D5" w:rsidRDefault="00A518D5" w:rsidP="007009D1">
      <w:pPr>
        <w:autoSpaceDE w:val="0"/>
        <w:autoSpaceDN w:val="0"/>
        <w:adjustRightInd w:val="0"/>
        <w:spacing w:after="0" w:line="240" w:lineRule="auto"/>
        <w:ind w:left="-567" w:right="-518" w:firstLine="1276"/>
        <w:outlineLvl w:val="0"/>
        <w:rPr>
          <w:rFonts w:ascii="Arial" w:hAnsi="Arial" w:cs="Arial"/>
          <w:bCs/>
          <w:sz w:val="16"/>
          <w:szCs w:val="16"/>
        </w:rPr>
      </w:pPr>
      <w:r w:rsidRPr="00A518D5">
        <w:rPr>
          <w:rFonts w:ascii="Arial" w:hAnsi="Arial" w:cs="Arial"/>
          <w:bCs/>
          <w:sz w:val="16"/>
          <w:szCs w:val="16"/>
        </w:rPr>
        <w:t>.</w:t>
      </w:r>
    </w:p>
    <w:p w14:paraId="0C23D922" w14:textId="77777777" w:rsidR="00C83846" w:rsidRDefault="00C83846" w:rsidP="007009D1">
      <w:pPr>
        <w:autoSpaceDE w:val="0"/>
        <w:autoSpaceDN w:val="0"/>
        <w:adjustRightInd w:val="0"/>
        <w:spacing w:after="0" w:line="240" w:lineRule="auto"/>
        <w:ind w:left="-567" w:right="-518" w:firstLine="1276"/>
        <w:outlineLvl w:val="0"/>
        <w:rPr>
          <w:rFonts w:ascii="Arial" w:hAnsi="Arial" w:cs="Arial"/>
          <w:bCs/>
          <w:sz w:val="16"/>
          <w:szCs w:val="16"/>
        </w:rPr>
      </w:pPr>
    </w:p>
    <w:p w14:paraId="7D8B3724" w14:textId="77777777" w:rsidR="00C83846" w:rsidRPr="003D66F7" w:rsidRDefault="00C83846" w:rsidP="007009D1">
      <w:pPr>
        <w:autoSpaceDE w:val="0"/>
        <w:autoSpaceDN w:val="0"/>
        <w:adjustRightInd w:val="0"/>
        <w:spacing w:after="0" w:line="240" w:lineRule="auto"/>
        <w:ind w:left="-567" w:right="-518" w:firstLine="1276"/>
        <w:outlineLvl w:val="0"/>
        <w:rPr>
          <w:rFonts w:ascii="Arial" w:hAnsi="Arial" w:cs="Arial"/>
          <w:bCs/>
          <w:sz w:val="16"/>
          <w:szCs w:val="16"/>
        </w:rPr>
      </w:pPr>
    </w:p>
    <w:p w14:paraId="7EE1CCA2" w14:textId="2306BA6D" w:rsidR="008C7982" w:rsidRDefault="00011BDE" w:rsidP="007009D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Con base en </w:t>
      </w:r>
      <w:r w:rsidR="003C6D2E" w:rsidRPr="003D1324">
        <w:rPr>
          <w:rFonts w:ascii="Arial" w:hAnsi="Arial" w:cs="Arial"/>
          <w:color w:val="000000" w:themeColor="text1"/>
          <w:sz w:val="24"/>
          <w:szCs w:val="24"/>
        </w:rPr>
        <w:t xml:space="preserve">el gran sector de actividad económica, 64.5 % de las empresas del sector </w:t>
      </w:r>
      <w:r w:rsidR="007A04F9" w:rsidRPr="001F6431">
        <w:rPr>
          <w:rFonts w:ascii="Arial" w:hAnsi="Arial" w:cs="Arial"/>
          <w:iCs/>
          <w:color w:val="000000" w:themeColor="text1"/>
          <w:sz w:val="24"/>
          <w:szCs w:val="24"/>
        </w:rPr>
        <w:t>i</w:t>
      </w:r>
      <w:r w:rsidR="003C6D2E" w:rsidRPr="001F6431">
        <w:rPr>
          <w:rFonts w:ascii="Arial" w:hAnsi="Arial" w:cs="Arial"/>
          <w:iCs/>
          <w:color w:val="000000" w:themeColor="text1"/>
          <w:sz w:val="24"/>
          <w:szCs w:val="24"/>
        </w:rPr>
        <w:t>ndustria</w:t>
      </w:r>
      <w:r w:rsidR="003C6D2E" w:rsidRPr="003D1324">
        <w:rPr>
          <w:rFonts w:ascii="Arial" w:hAnsi="Arial" w:cs="Arial"/>
          <w:color w:val="000000" w:themeColor="text1"/>
          <w:sz w:val="24"/>
          <w:szCs w:val="24"/>
        </w:rPr>
        <w:t xml:space="preserve"> realiz</w:t>
      </w:r>
      <w:r w:rsidR="008E5873">
        <w:rPr>
          <w:rFonts w:ascii="Arial" w:hAnsi="Arial" w:cs="Arial"/>
          <w:color w:val="000000" w:themeColor="text1"/>
          <w:sz w:val="24"/>
          <w:szCs w:val="24"/>
        </w:rPr>
        <w:t>ó</w:t>
      </w:r>
      <w:r w:rsidR="003C6D2E" w:rsidRPr="003D1324">
        <w:rPr>
          <w:rFonts w:ascii="Arial" w:hAnsi="Arial" w:cs="Arial"/>
          <w:color w:val="000000" w:themeColor="text1"/>
          <w:sz w:val="24"/>
          <w:szCs w:val="24"/>
        </w:rPr>
        <w:t xml:space="preserve"> CIS en </w:t>
      </w:r>
      <w:r w:rsidR="008E5873">
        <w:rPr>
          <w:rFonts w:ascii="Arial" w:hAnsi="Arial" w:cs="Arial"/>
          <w:color w:val="000000" w:themeColor="text1"/>
          <w:sz w:val="24"/>
          <w:szCs w:val="24"/>
        </w:rPr>
        <w:t>2019 y 2020. L</w:t>
      </w:r>
      <w:r w:rsidR="003C6D2E" w:rsidRPr="003D1324">
        <w:rPr>
          <w:rFonts w:ascii="Arial" w:hAnsi="Arial" w:cs="Arial"/>
          <w:color w:val="000000" w:themeColor="text1"/>
          <w:sz w:val="24"/>
          <w:szCs w:val="24"/>
        </w:rPr>
        <w:t xml:space="preserve">as empresas </w:t>
      </w:r>
      <w:r w:rsidR="003C1398">
        <w:rPr>
          <w:rFonts w:ascii="Arial" w:hAnsi="Arial" w:cs="Arial"/>
          <w:color w:val="000000" w:themeColor="text1"/>
          <w:sz w:val="24"/>
          <w:szCs w:val="24"/>
        </w:rPr>
        <w:t xml:space="preserve">que se dedican al </w:t>
      </w:r>
      <w:r w:rsidR="003C1398" w:rsidRPr="001F6431">
        <w:rPr>
          <w:rFonts w:ascii="Arial" w:hAnsi="Arial" w:cs="Arial"/>
          <w:iCs/>
          <w:color w:val="000000" w:themeColor="text1"/>
          <w:sz w:val="24"/>
          <w:szCs w:val="24"/>
        </w:rPr>
        <w:t>comercio</w:t>
      </w:r>
      <w:r w:rsidR="003C1398">
        <w:rPr>
          <w:rFonts w:ascii="Arial" w:hAnsi="Arial" w:cs="Arial"/>
          <w:color w:val="000000" w:themeColor="text1"/>
          <w:sz w:val="24"/>
          <w:szCs w:val="24"/>
        </w:rPr>
        <w:t xml:space="preserve"> reportaron</w:t>
      </w:r>
      <w:r>
        <w:rPr>
          <w:rFonts w:ascii="Arial" w:hAnsi="Arial" w:cs="Arial"/>
          <w:color w:val="000000" w:themeColor="text1"/>
          <w:sz w:val="24"/>
          <w:szCs w:val="24"/>
        </w:rPr>
        <w:t xml:space="preserve">                       </w:t>
      </w:r>
      <w:r w:rsidR="003C1398" w:rsidRPr="003D1324">
        <w:rPr>
          <w:rFonts w:ascii="Arial" w:hAnsi="Arial" w:cs="Arial"/>
          <w:color w:val="000000" w:themeColor="text1"/>
          <w:sz w:val="24"/>
          <w:szCs w:val="24"/>
        </w:rPr>
        <w:t xml:space="preserve"> 31</w:t>
      </w:r>
      <w:r w:rsidR="00771125">
        <w:rPr>
          <w:rFonts w:ascii="Arial" w:hAnsi="Arial" w:cs="Arial"/>
          <w:color w:val="000000" w:themeColor="text1"/>
          <w:sz w:val="24"/>
          <w:szCs w:val="24"/>
        </w:rPr>
        <w:t>.0</w:t>
      </w:r>
      <w:r w:rsidR="00CA6C69">
        <w:rPr>
          <w:rFonts w:ascii="Arial" w:hAnsi="Arial" w:cs="Arial"/>
          <w:color w:val="000000" w:themeColor="text1"/>
          <w:sz w:val="24"/>
          <w:szCs w:val="24"/>
        </w:rPr>
        <w:t xml:space="preserve"> %</w:t>
      </w:r>
      <w:r w:rsidR="003C1398" w:rsidRPr="003D1324">
        <w:rPr>
          <w:rFonts w:ascii="Arial" w:hAnsi="Arial" w:cs="Arial"/>
          <w:color w:val="000000" w:themeColor="text1"/>
          <w:sz w:val="24"/>
          <w:szCs w:val="24"/>
        </w:rPr>
        <w:t xml:space="preserve"> y 31.5 %</w:t>
      </w:r>
      <w:r w:rsidR="003C1398">
        <w:rPr>
          <w:rFonts w:ascii="Arial" w:hAnsi="Arial" w:cs="Arial"/>
          <w:color w:val="000000" w:themeColor="text1"/>
          <w:sz w:val="24"/>
          <w:szCs w:val="24"/>
        </w:rPr>
        <w:t>,</w:t>
      </w:r>
      <w:r w:rsidR="00771125">
        <w:rPr>
          <w:rFonts w:ascii="Arial" w:hAnsi="Arial" w:cs="Arial"/>
          <w:color w:val="000000" w:themeColor="text1"/>
          <w:sz w:val="24"/>
          <w:szCs w:val="24"/>
        </w:rPr>
        <w:t xml:space="preserve"> respectivamente</w:t>
      </w:r>
      <w:r w:rsidR="008E5873">
        <w:rPr>
          <w:rFonts w:ascii="Arial" w:hAnsi="Arial" w:cs="Arial"/>
          <w:color w:val="000000" w:themeColor="text1"/>
          <w:sz w:val="24"/>
          <w:szCs w:val="24"/>
        </w:rPr>
        <w:t>.</w:t>
      </w:r>
      <w:r w:rsidR="003C6D2E" w:rsidRPr="003D1324">
        <w:rPr>
          <w:rFonts w:ascii="Arial" w:hAnsi="Arial" w:cs="Arial"/>
          <w:color w:val="000000" w:themeColor="text1"/>
          <w:sz w:val="24"/>
          <w:szCs w:val="24"/>
        </w:rPr>
        <w:t xml:space="preserve"> </w:t>
      </w:r>
      <w:r w:rsidR="008E5873">
        <w:rPr>
          <w:rFonts w:ascii="Arial" w:hAnsi="Arial" w:cs="Arial"/>
          <w:color w:val="000000" w:themeColor="text1"/>
          <w:sz w:val="24"/>
          <w:szCs w:val="24"/>
        </w:rPr>
        <w:t xml:space="preserve">De las empresas de </w:t>
      </w:r>
      <w:r w:rsidR="008E5873" w:rsidRPr="001F6431">
        <w:rPr>
          <w:rFonts w:ascii="Arial" w:hAnsi="Arial" w:cs="Arial"/>
          <w:iCs/>
          <w:color w:val="000000" w:themeColor="text1"/>
          <w:sz w:val="24"/>
          <w:szCs w:val="24"/>
        </w:rPr>
        <w:t>servicios</w:t>
      </w:r>
      <w:r w:rsidR="003C6D2E" w:rsidRPr="003D1324">
        <w:rPr>
          <w:rFonts w:ascii="Arial" w:hAnsi="Arial" w:cs="Arial"/>
          <w:color w:val="000000" w:themeColor="text1"/>
          <w:sz w:val="24"/>
          <w:szCs w:val="24"/>
        </w:rPr>
        <w:t>, 45.3</w:t>
      </w:r>
      <w:r w:rsidR="00CA6C69">
        <w:rPr>
          <w:rFonts w:ascii="Arial" w:hAnsi="Arial" w:cs="Arial"/>
          <w:color w:val="000000" w:themeColor="text1"/>
          <w:sz w:val="24"/>
          <w:szCs w:val="24"/>
        </w:rPr>
        <w:t xml:space="preserve"> %</w:t>
      </w:r>
      <w:r w:rsidR="003C6D2E" w:rsidRPr="003D1324">
        <w:rPr>
          <w:rFonts w:ascii="Arial" w:hAnsi="Arial" w:cs="Arial"/>
          <w:color w:val="000000" w:themeColor="text1"/>
          <w:sz w:val="24"/>
          <w:szCs w:val="24"/>
        </w:rPr>
        <w:t xml:space="preserve"> y 44.1 % realiz</w:t>
      </w:r>
      <w:r>
        <w:rPr>
          <w:rFonts w:ascii="Arial" w:hAnsi="Arial" w:cs="Arial"/>
          <w:color w:val="000000" w:themeColor="text1"/>
          <w:sz w:val="24"/>
          <w:szCs w:val="24"/>
        </w:rPr>
        <w:t>aron</w:t>
      </w:r>
      <w:r w:rsidR="003C6D2E" w:rsidRPr="003D1324">
        <w:rPr>
          <w:rFonts w:ascii="Arial" w:hAnsi="Arial" w:cs="Arial"/>
          <w:color w:val="000000" w:themeColor="text1"/>
          <w:sz w:val="24"/>
          <w:szCs w:val="24"/>
        </w:rPr>
        <w:t xml:space="preserve"> CIS </w:t>
      </w:r>
      <w:r w:rsidR="008E5873">
        <w:rPr>
          <w:rFonts w:ascii="Arial" w:hAnsi="Arial" w:cs="Arial"/>
          <w:color w:val="000000" w:themeColor="text1"/>
          <w:sz w:val="24"/>
          <w:szCs w:val="24"/>
        </w:rPr>
        <w:t>en el mismo periodo</w:t>
      </w:r>
      <w:r w:rsidR="003C6D2E" w:rsidRPr="003D1324">
        <w:rPr>
          <w:rFonts w:ascii="Arial" w:hAnsi="Arial" w:cs="Arial"/>
          <w:color w:val="000000" w:themeColor="text1"/>
          <w:sz w:val="24"/>
          <w:szCs w:val="24"/>
        </w:rPr>
        <w:t>.</w:t>
      </w:r>
    </w:p>
    <w:p w14:paraId="2282AB6E" w14:textId="77777777" w:rsidR="008E5873" w:rsidRDefault="008E5873" w:rsidP="007009D1">
      <w:pPr>
        <w:autoSpaceDE w:val="0"/>
        <w:autoSpaceDN w:val="0"/>
        <w:adjustRightInd w:val="0"/>
        <w:spacing w:after="0" w:line="240" w:lineRule="auto"/>
        <w:ind w:left="-567" w:right="21"/>
        <w:jc w:val="right"/>
        <w:outlineLvl w:val="0"/>
        <w:rPr>
          <w:rFonts w:ascii="Arial" w:hAnsi="Arial" w:cs="Arial"/>
          <w:bCs/>
          <w:sz w:val="20"/>
          <w:szCs w:val="20"/>
        </w:rPr>
      </w:pPr>
    </w:p>
    <w:p w14:paraId="37D85530" w14:textId="564DB1FC" w:rsidR="007009D1" w:rsidRDefault="007009D1" w:rsidP="007009D1">
      <w:pPr>
        <w:autoSpaceDE w:val="0"/>
        <w:autoSpaceDN w:val="0"/>
        <w:adjustRightInd w:val="0"/>
        <w:spacing w:after="0" w:line="240" w:lineRule="auto"/>
        <w:ind w:left="-567" w:right="21"/>
        <w:jc w:val="center"/>
        <w:outlineLvl w:val="0"/>
        <w:rPr>
          <w:rFonts w:ascii="Arial" w:hAnsi="Arial" w:cs="Arial"/>
          <w:bCs/>
          <w:sz w:val="20"/>
          <w:szCs w:val="20"/>
        </w:rPr>
      </w:pPr>
    </w:p>
    <w:p w14:paraId="7DB1F912" w14:textId="77777777" w:rsidR="00C83846" w:rsidRDefault="00C83846" w:rsidP="007009D1">
      <w:pPr>
        <w:autoSpaceDE w:val="0"/>
        <w:autoSpaceDN w:val="0"/>
        <w:adjustRightInd w:val="0"/>
        <w:spacing w:after="0" w:line="240" w:lineRule="auto"/>
        <w:ind w:left="-567" w:right="21"/>
        <w:jc w:val="center"/>
        <w:outlineLvl w:val="0"/>
        <w:rPr>
          <w:rFonts w:ascii="Arial" w:hAnsi="Arial" w:cs="Arial"/>
          <w:bCs/>
          <w:sz w:val="20"/>
          <w:szCs w:val="20"/>
        </w:rPr>
      </w:pPr>
    </w:p>
    <w:p w14:paraId="7BDA331B" w14:textId="090249DD" w:rsidR="00B75B81" w:rsidRDefault="00B75B81" w:rsidP="007009D1">
      <w:pPr>
        <w:autoSpaceDE w:val="0"/>
        <w:autoSpaceDN w:val="0"/>
        <w:adjustRightInd w:val="0"/>
        <w:spacing w:after="0" w:line="240" w:lineRule="auto"/>
        <w:ind w:left="-567" w:right="21"/>
        <w:jc w:val="center"/>
        <w:outlineLvl w:val="0"/>
        <w:rPr>
          <w:rFonts w:ascii="Arial" w:hAnsi="Arial" w:cs="Arial"/>
          <w:bCs/>
          <w:sz w:val="20"/>
          <w:szCs w:val="20"/>
        </w:rPr>
      </w:pPr>
      <w:r w:rsidRPr="00FE1E0E">
        <w:rPr>
          <w:rFonts w:ascii="Arial" w:hAnsi="Arial" w:cs="Arial"/>
          <w:bCs/>
          <w:sz w:val="20"/>
          <w:szCs w:val="20"/>
        </w:rPr>
        <w:t xml:space="preserve">Gráfica </w:t>
      </w:r>
      <w:r>
        <w:rPr>
          <w:rFonts w:ascii="Arial" w:hAnsi="Arial" w:cs="Arial"/>
          <w:bCs/>
          <w:sz w:val="20"/>
          <w:szCs w:val="20"/>
        </w:rPr>
        <w:t>2</w:t>
      </w:r>
    </w:p>
    <w:p w14:paraId="7CE77A22" w14:textId="4AFF6D08" w:rsidR="00B75B81" w:rsidRPr="008E5873" w:rsidRDefault="00B75B81" w:rsidP="007009D1">
      <w:pPr>
        <w:spacing w:after="0" w:line="240" w:lineRule="auto"/>
        <w:jc w:val="center"/>
        <w:rPr>
          <w:rFonts w:ascii="Arial Negrita" w:hAnsi="Arial Negrita" w:cs="Arial"/>
          <w:b/>
          <w:smallCaps/>
          <w:szCs w:val="24"/>
        </w:rPr>
      </w:pPr>
      <w:r w:rsidRPr="008E5873">
        <w:rPr>
          <w:rFonts w:ascii="Arial Negrita" w:hAnsi="Arial Negrita" w:cs="Arial"/>
          <w:b/>
          <w:smallCaps/>
          <w:szCs w:val="24"/>
        </w:rPr>
        <w:t xml:space="preserve">Empresas que realizaron </w:t>
      </w:r>
      <w:r w:rsidR="00E472B8">
        <w:rPr>
          <w:rFonts w:ascii="Arial Negrita" w:hAnsi="Arial Negrita" w:cs="Arial"/>
          <w:b/>
          <w:smallCaps/>
          <w:szCs w:val="24"/>
        </w:rPr>
        <w:t>CIS</w:t>
      </w:r>
      <w:r w:rsidR="008E5873">
        <w:rPr>
          <w:rFonts w:ascii="Arial Negrita" w:hAnsi="Arial Negrita" w:cs="Arial"/>
          <w:b/>
          <w:smallCaps/>
          <w:szCs w:val="24"/>
        </w:rPr>
        <w:t xml:space="preserve"> según </w:t>
      </w:r>
      <w:r w:rsidRPr="008E5873">
        <w:rPr>
          <w:rFonts w:ascii="Arial Negrita" w:hAnsi="Arial Negrita" w:cs="Arial"/>
          <w:b/>
          <w:smallCaps/>
          <w:szCs w:val="24"/>
        </w:rPr>
        <w:t>gran secto</w:t>
      </w:r>
      <w:r w:rsidR="00CE0CE3" w:rsidRPr="008E5873">
        <w:rPr>
          <w:rFonts w:ascii="Arial Negrita" w:hAnsi="Arial Negrita" w:cs="Arial"/>
          <w:b/>
          <w:smallCaps/>
          <w:szCs w:val="24"/>
        </w:rPr>
        <w:t xml:space="preserve">r </w:t>
      </w:r>
    </w:p>
    <w:p w14:paraId="574556C6" w14:textId="5965F5BB" w:rsidR="00B75B81" w:rsidRDefault="00DE0EC0" w:rsidP="00C010D2">
      <w:pPr>
        <w:jc w:val="center"/>
        <w:rPr>
          <w:rFonts w:ascii="Arial" w:hAnsi="Arial" w:cs="Arial"/>
          <w:sz w:val="24"/>
          <w:szCs w:val="24"/>
        </w:rPr>
      </w:pPr>
      <w:r>
        <w:rPr>
          <w:noProof/>
        </w:rPr>
        <w:drawing>
          <wp:inline distT="0" distB="0" distL="0" distR="0" wp14:anchorId="3790F35B" wp14:editId="6E5F3C93">
            <wp:extent cx="5092903" cy="2224800"/>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2903" cy="2224800"/>
                    </a:xfrm>
                    <a:prstGeom prst="rect">
                      <a:avLst/>
                    </a:prstGeom>
                  </pic:spPr>
                </pic:pic>
              </a:graphicData>
            </a:graphic>
          </wp:inline>
        </w:drawing>
      </w:r>
    </w:p>
    <w:p w14:paraId="1A1EBD7A" w14:textId="4A8BBD97" w:rsidR="00B75B81" w:rsidRDefault="00BC31E1" w:rsidP="007009D1">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Nota:</w:t>
      </w:r>
      <w:r w:rsidR="00B75B81" w:rsidRPr="000830B2">
        <w:rPr>
          <w:rFonts w:ascii="Arial" w:hAnsi="Arial" w:cs="Arial"/>
          <w:bCs/>
          <w:sz w:val="16"/>
          <w:szCs w:val="16"/>
        </w:rPr>
        <w:t xml:space="preserve"> </w:t>
      </w:r>
      <w:r w:rsidR="00B75B81" w:rsidRPr="00B75B81">
        <w:rPr>
          <w:rFonts w:ascii="Arial" w:hAnsi="Arial" w:cs="Arial"/>
          <w:bCs/>
          <w:sz w:val="16"/>
          <w:szCs w:val="16"/>
        </w:rPr>
        <w:t>Porcentajes obtenidos respecto del total de empresas de cada grupo.</w:t>
      </w:r>
    </w:p>
    <w:p w14:paraId="6DF52318" w14:textId="7050365E" w:rsidR="003E4A58" w:rsidRDefault="003E4A58" w:rsidP="007009D1">
      <w:pPr>
        <w:autoSpaceDE w:val="0"/>
        <w:autoSpaceDN w:val="0"/>
        <w:adjustRightInd w:val="0"/>
        <w:spacing w:after="0" w:line="240" w:lineRule="auto"/>
        <w:ind w:left="-567" w:right="-518" w:firstLine="1276"/>
        <w:outlineLvl w:val="0"/>
        <w:rPr>
          <w:rFonts w:ascii="Arial" w:hAnsi="Arial" w:cs="Arial"/>
          <w:bCs/>
          <w:sz w:val="16"/>
          <w:szCs w:val="16"/>
        </w:rPr>
      </w:pPr>
    </w:p>
    <w:p w14:paraId="5042AEA8" w14:textId="29333C46" w:rsidR="003E4A58" w:rsidRDefault="003E4A58" w:rsidP="007009D1">
      <w:pPr>
        <w:autoSpaceDE w:val="0"/>
        <w:autoSpaceDN w:val="0"/>
        <w:adjustRightInd w:val="0"/>
        <w:spacing w:after="0" w:line="240" w:lineRule="auto"/>
        <w:ind w:left="-567" w:right="-518" w:firstLine="1276"/>
        <w:outlineLvl w:val="0"/>
        <w:rPr>
          <w:rFonts w:ascii="Arial" w:hAnsi="Arial" w:cs="Arial"/>
          <w:bCs/>
          <w:sz w:val="16"/>
          <w:szCs w:val="16"/>
        </w:rPr>
      </w:pPr>
    </w:p>
    <w:p w14:paraId="2D9C09B8" w14:textId="77777777" w:rsidR="003E4A58" w:rsidRPr="003D66F7" w:rsidRDefault="003E4A58" w:rsidP="007009D1">
      <w:pPr>
        <w:autoSpaceDE w:val="0"/>
        <w:autoSpaceDN w:val="0"/>
        <w:adjustRightInd w:val="0"/>
        <w:spacing w:after="0" w:line="240" w:lineRule="auto"/>
        <w:ind w:left="-567" w:right="-518" w:firstLine="1276"/>
        <w:outlineLvl w:val="0"/>
        <w:rPr>
          <w:rFonts w:ascii="Arial" w:hAnsi="Arial" w:cs="Arial"/>
          <w:bCs/>
          <w:sz w:val="16"/>
          <w:szCs w:val="16"/>
        </w:rPr>
      </w:pPr>
    </w:p>
    <w:p w14:paraId="25BC8771" w14:textId="77777777" w:rsidR="00DE0EC0" w:rsidRDefault="00DE0EC0" w:rsidP="007009D1">
      <w:pPr>
        <w:spacing w:after="0" w:line="240" w:lineRule="auto"/>
        <w:jc w:val="both"/>
        <w:rPr>
          <w:rFonts w:ascii="Arial" w:hAnsi="Arial" w:cs="Arial"/>
          <w:sz w:val="24"/>
          <w:szCs w:val="24"/>
        </w:rPr>
      </w:pPr>
    </w:p>
    <w:p w14:paraId="4864F4BC" w14:textId="4127BDFA" w:rsidR="00194217" w:rsidRDefault="00E472B8" w:rsidP="007009D1">
      <w:pPr>
        <w:spacing w:after="0" w:line="240" w:lineRule="auto"/>
        <w:jc w:val="both"/>
        <w:rPr>
          <w:rFonts w:ascii="Arial" w:hAnsi="Arial" w:cs="Arial"/>
          <w:sz w:val="24"/>
          <w:szCs w:val="24"/>
        </w:rPr>
      </w:pPr>
      <w:r>
        <w:rPr>
          <w:rFonts w:ascii="Arial" w:hAnsi="Arial" w:cs="Arial"/>
          <w:sz w:val="24"/>
          <w:szCs w:val="24"/>
        </w:rPr>
        <w:lastRenderedPageBreak/>
        <w:t xml:space="preserve">En 2019, </w:t>
      </w:r>
      <w:r w:rsidR="00BC31E1">
        <w:rPr>
          <w:rFonts w:ascii="Arial" w:hAnsi="Arial" w:cs="Arial"/>
          <w:sz w:val="24"/>
          <w:szCs w:val="24"/>
        </w:rPr>
        <w:t xml:space="preserve">56.7 % </w:t>
      </w:r>
      <w:r>
        <w:rPr>
          <w:rFonts w:ascii="Arial" w:hAnsi="Arial" w:cs="Arial"/>
          <w:sz w:val="24"/>
          <w:szCs w:val="24"/>
        </w:rPr>
        <w:t>de</w:t>
      </w:r>
      <w:r w:rsidR="00BC31E1">
        <w:rPr>
          <w:rFonts w:ascii="Arial" w:hAnsi="Arial" w:cs="Arial"/>
          <w:sz w:val="24"/>
          <w:szCs w:val="24"/>
        </w:rPr>
        <w:t xml:space="preserve"> las empresas grandes</w:t>
      </w:r>
      <w:r>
        <w:rPr>
          <w:rFonts w:ascii="Arial" w:hAnsi="Arial" w:cs="Arial"/>
          <w:sz w:val="24"/>
          <w:szCs w:val="24"/>
        </w:rPr>
        <w:t xml:space="preserve">, </w:t>
      </w:r>
      <w:r w:rsidR="00BC31E1">
        <w:rPr>
          <w:rFonts w:ascii="Arial" w:hAnsi="Arial" w:cs="Arial"/>
          <w:sz w:val="24"/>
          <w:szCs w:val="24"/>
        </w:rPr>
        <w:t>53.5 %</w:t>
      </w:r>
      <w:r>
        <w:rPr>
          <w:rFonts w:ascii="Arial" w:hAnsi="Arial" w:cs="Arial"/>
          <w:sz w:val="24"/>
          <w:szCs w:val="24"/>
        </w:rPr>
        <w:t xml:space="preserve"> de las</w:t>
      </w:r>
      <w:r w:rsidR="00BC31E1">
        <w:rPr>
          <w:rFonts w:ascii="Arial" w:hAnsi="Arial" w:cs="Arial"/>
          <w:sz w:val="24"/>
          <w:szCs w:val="24"/>
        </w:rPr>
        <w:t xml:space="preserve"> medianas, 45.5 % </w:t>
      </w:r>
      <w:r>
        <w:rPr>
          <w:rFonts w:ascii="Arial" w:hAnsi="Arial" w:cs="Arial"/>
          <w:sz w:val="24"/>
          <w:szCs w:val="24"/>
        </w:rPr>
        <w:t xml:space="preserve">de </w:t>
      </w:r>
      <w:r w:rsidR="00BC31E1">
        <w:rPr>
          <w:rFonts w:ascii="Arial" w:hAnsi="Arial" w:cs="Arial"/>
          <w:sz w:val="24"/>
          <w:szCs w:val="24"/>
        </w:rPr>
        <w:t>las pequeñas y 30.9 %</w:t>
      </w:r>
      <w:r>
        <w:rPr>
          <w:rFonts w:ascii="Arial" w:hAnsi="Arial" w:cs="Arial"/>
          <w:sz w:val="24"/>
          <w:szCs w:val="24"/>
        </w:rPr>
        <w:t xml:space="preserve"> de las </w:t>
      </w:r>
      <w:r w:rsidR="00BC31E1">
        <w:rPr>
          <w:rFonts w:ascii="Arial" w:hAnsi="Arial" w:cs="Arial"/>
          <w:sz w:val="24"/>
          <w:szCs w:val="24"/>
        </w:rPr>
        <w:t>micro</w:t>
      </w:r>
      <w:r>
        <w:rPr>
          <w:rFonts w:ascii="Arial" w:hAnsi="Arial" w:cs="Arial"/>
          <w:sz w:val="24"/>
          <w:szCs w:val="24"/>
        </w:rPr>
        <w:t xml:space="preserve">empresas </w:t>
      </w:r>
      <w:r w:rsidR="00201C6E">
        <w:rPr>
          <w:rFonts w:ascii="Arial" w:hAnsi="Arial" w:cs="Arial"/>
          <w:sz w:val="24"/>
          <w:szCs w:val="24"/>
        </w:rPr>
        <w:t>realizaron</w:t>
      </w:r>
      <w:r>
        <w:rPr>
          <w:rFonts w:ascii="Arial" w:hAnsi="Arial" w:cs="Arial"/>
          <w:sz w:val="24"/>
          <w:szCs w:val="24"/>
        </w:rPr>
        <w:t xml:space="preserve"> CIS</w:t>
      </w:r>
      <w:r w:rsidR="007A04F9">
        <w:rPr>
          <w:rFonts w:ascii="Arial" w:hAnsi="Arial" w:cs="Arial"/>
          <w:sz w:val="24"/>
          <w:szCs w:val="24"/>
        </w:rPr>
        <w:t>.</w:t>
      </w:r>
      <w:r w:rsidR="00BC31E1">
        <w:rPr>
          <w:rFonts w:ascii="Arial" w:hAnsi="Arial" w:cs="Arial"/>
          <w:sz w:val="24"/>
          <w:szCs w:val="24"/>
        </w:rPr>
        <w:t xml:space="preserve"> </w:t>
      </w:r>
      <w:r>
        <w:rPr>
          <w:rFonts w:ascii="Arial" w:hAnsi="Arial" w:cs="Arial"/>
          <w:sz w:val="24"/>
          <w:szCs w:val="24"/>
        </w:rPr>
        <w:t>P</w:t>
      </w:r>
      <w:r w:rsidR="00BC31E1">
        <w:rPr>
          <w:rFonts w:ascii="Arial" w:hAnsi="Arial" w:cs="Arial"/>
          <w:sz w:val="24"/>
          <w:szCs w:val="24"/>
        </w:rPr>
        <w:t>ara 2020, 55.9 % de las empresas grandes,</w:t>
      </w:r>
      <w:r w:rsidR="003D7193">
        <w:rPr>
          <w:rFonts w:ascii="Arial" w:hAnsi="Arial" w:cs="Arial"/>
          <w:sz w:val="24"/>
          <w:szCs w:val="24"/>
        </w:rPr>
        <w:t xml:space="preserve">  </w:t>
      </w:r>
      <w:r w:rsidR="00972AC1">
        <w:rPr>
          <w:rFonts w:ascii="Arial" w:hAnsi="Arial" w:cs="Arial"/>
          <w:sz w:val="24"/>
          <w:szCs w:val="24"/>
        </w:rPr>
        <w:t xml:space="preserve">                     </w:t>
      </w:r>
      <w:r w:rsidR="00BC31E1">
        <w:rPr>
          <w:rFonts w:ascii="Arial" w:hAnsi="Arial" w:cs="Arial"/>
          <w:sz w:val="24"/>
          <w:szCs w:val="24"/>
        </w:rPr>
        <w:t>53.5 % de las medianas, 46.2 % de las pequeñas y 31.8 % de las micro</w:t>
      </w:r>
      <w:r>
        <w:rPr>
          <w:rFonts w:ascii="Arial" w:hAnsi="Arial" w:cs="Arial"/>
          <w:sz w:val="24"/>
          <w:szCs w:val="24"/>
        </w:rPr>
        <w:t xml:space="preserve">empresas </w:t>
      </w:r>
      <w:r w:rsidR="00201C6E">
        <w:rPr>
          <w:rFonts w:ascii="Arial" w:hAnsi="Arial" w:cs="Arial"/>
          <w:sz w:val="24"/>
          <w:szCs w:val="24"/>
        </w:rPr>
        <w:t xml:space="preserve">lo </w:t>
      </w:r>
      <w:r>
        <w:rPr>
          <w:rFonts w:ascii="Arial" w:hAnsi="Arial" w:cs="Arial"/>
          <w:sz w:val="24"/>
          <w:szCs w:val="24"/>
        </w:rPr>
        <w:t>realizaron.</w:t>
      </w:r>
    </w:p>
    <w:p w14:paraId="057DCFEE" w14:textId="77777777" w:rsidR="002561B9" w:rsidRDefault="002561B9" w:rsidP="00E472B8">
      <w:pPr>
        <w:autoSpaceDE w:val="0"/>
        <w:autoSpaceDN w:val="0"/>
        <w:adjustRightInd w:val="0"/>
        <w:spacing w:after="0" w:line="240" w:lineRule="auto"/>
        <w:ind w:left="-567" w:right="21"/>
        <w:jc w:val="center"/>
        <w:outlineLvl w:val="0"/>
        <w:rPr>
          <w:rFonts w:ascii="Arial" w:hAnsi="Arial" w:cs="Arial"/>
          <w:bCs/>
          <w:sz w:val="20"/>
          <w:szCs w:val="20"/>
        </w:rPr>
      </w:pPr>
    </w:p>
    <w:p w14:paraId="640DA56A" w14:textId="443122EF" w:rsidR="00A6661A" w:rsidRPr="00FE1E0E" w:rsidRDefault="00A6661A" w:rsidP="00E472B8">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sidR="0023055F">
        <w:rPr>
          <w:rFonts w:ascii="Arial" w:hAnsi="Arial" w:cs="Arial"/>
          <w:bCs/>
          <w:sz w:val="20"/>
          <w:szCs w:val="20"/>
        </w:rPr>
        <w:t>3</w:t>
      </w:r>
    </w:p>
    <w:p w14:paraId="7A8FBA88" w14:textId="68107B2C" w:rsidR="00A6661A" w:rsidRPr="00E472B8" w:rsidRDefault="00A6661A" w:rsidP="00A6661A">
      <w:pPr>
        <w:jc w:val="center"/>
        <w:rPr>
          <w:rFonts w:ascii="Arial Negrita" w:hAnsi="Arial Negrita" w:cs="Arial"/>
          <w:b/>
          <w:smallCaps/>
          <w:szCs w:val="24"/>
        </w:rPr>
      </w:pPr>
      <w:r w:rsidRPr="00E472B8">
        <w:rPr>
          <w:rFonts w:ascii="Arial Negrita" w:hAnsi="Arial Negrita" w:cs="Arial"/>
          <w:b/>
          <w:smallCaps/>
          <w:szCs w:val="24"/>
        </w:rPr>
        <w:t xml:space="preserve">Empresas que realizaron </w:t>
      </w:r>
      <w:r w:rsidR="00E472B8">
        <w:rPr>
          <w:rFonts w:ascii="Arial Negrita" w:hAnsi="Arial Negrita" w:cs="Arial"/>
          <w:b/>
          <w:smallCaps/>
          <w:szCs w:val="24"/>
        </w:rPr>
        <w:t>CIS según</w:t>
      </w:r>
      <w:r w:rsidRPr="00E472B8">
        <w:rPr>
          <w:rFonts w:ascii="Arial Negrita" w:hAnsi="Arial Negrita" w:cs="Arial"/>
          <w:b/>
          <w:smallCaps/>
          <w:szCs w:val="24"/>
        </w:rPr>
        <w:t xml:space="preserve"> tamaño de empresa</w:t>
      </w:r>
    </w:p>
    <w:p w14:paraId="76F3EA3D" w14:textId="5179ED31" w:rsidR="00A6661A" w:rsidRDefault="00DE0EC0" w:rsidP="00C83846">
      <w:pPr>
        <w:spacing w:after="0" w:line="240" w:lineRule="auto"/>
        <w:jc w:val="center"/>
        <w:rPr>
          <w:rFonts w:ascii="Arial" w:hAnsi="Arial" w:cs="Arial"/>
          <w:sz w:val="24"/>
          <w:szCs w:val="24"/>
        </w:rPr>
      </w:pPr>
      <w:r>
        <w:rPr>
          <w:noProof/>
        </w:rPr>
        <w:drawing>
          <wp:inline distT="0" distB="0" distL="0" distR="0" wp14:anchorId="4D8D5042" wp14:editId="45868C42">
            <wp:extent cx="4663440" cy="2122267"/>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0153" cy="2125322"/>
                    </a:xfrm>
                    <a:prstGeom prst="rect">
                      <a:avLst/>
                    </a:prstGeom>
                  </pic:spPr>
                </pic:pic>
              </a:graphicData>
            </a:graphic>
          </wp:inline>
        </w:drawing>
      </w:r>
    </w:p>
    <w:p w14:paraId="066E29AA" w14:textId="64279217" w:rsidR="00A6661A" w:rsidRDefault="00BC31E1" w:rsidP="007009D1">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Nota:</w:t>
      </w:r>
      <w:r w:rsidR="00A6661A" w:rsidRPr="000830B2">
        <w:rPr>
          <w:rFonts w:ascii="Arial" w:hAnsi="Arial" w:cs="Arial"/>
          <w:bCs/>
          <w:sz w:val="16"/>
          <w:szCs w:val="16"/>
        </w:rPr>
        <w:t xml:space="preserve"> </w:t>
      </w:r>
      <w:r w:rsidR="00A6661A" w:rsidRPr="00A518D5">
        <w:rPr>
          <w:rFonts w:ascii="Arial" w:hAnsi="Arial" w:cs="Arial"/>
          <w:bCs/>
          <w:sz w:val="16"/>
          <w:szCs w:val="16"/>
        </w:rPr>
        <w:t>Porcentajes obtenidos respecto del total de empresas</w:t>
      </w:r>
      <w:r w:rsidR="00A6661A">
        <w:rPr>
          <w:rFonts w:ascii="Arial" w:hAnsi="Arial" w:cs="Arial"/>
          <w:bCs/>
          <w:sz w:val="16"/>
          <w:szCs w:val="16"/>
        </w:rPr>
        <w:t xml:space="preserve"> de cada grupo.</w:t>
      </w:r>
    </w:p>
    <w:p w14:paraId="5D1C73E7" w14:textId="48221784" w:rsidR="00DE0EC0" w:rsidRDefault="00DE0EC0" w:rsidP="007009D1">
      <w:pPr>
        <w:autoSpaceDE w:val="0"/>
        <w:autoSpaceDN w:val="0"/>
        <w:adjustRightInd w:val="0"/>
        <w:spacing w:after="0" w:line="240" w:lineRule="auto"/>
        <w:ind w:left="140" w:right="-518" w:firstLine="569"/>
        <w:outlineLvl w:val="0"/>
        <w:rPr>
          <w:rFonts w:ascii="Arial" w:hAnsi="Arial" w:cs="Arial"/>
          <w:bCs/>
          <w:sz w:val="16"/>
          <w:szCs w:val="16"/>
        </w:rPr>
      </w:pPr>
      <w:r>
        <w:rPr>
          <w:rFonts w:ascii="Arial" w:hAnsi="Arial" w:cs="Arial"/>
          <w:bCs/>
          <w:sz w:val="16"/>
          <w:szCs w:val="16"/>
        </w:rPr>
        <w:t xml:space="preserve">          </w:t>
      </w:r>
      <w:r w:rsidRPr="00DE0EC0">
        <w:rPr>
          <w:rFonts w:ascii="Arial" w:hAnsi="Arial" w:cs="Arial"/>
          <w:bCs/>
          <w:sz w:val="16"/>
          <w:szCs w:val="16"/>
        </w:rPr>
        <w:t>La suma de los parciales no es igual al total debido al redondeo.</w:t>
      </w:r>
    </w:p>
    <w:p w14:paraId="4B4109D7" w14:textId="5FD9B897" w:rsidR="00A5631E" w:rsidRDefault="00A5631E" w:rsidP="007009D1">
      <w:pPr>
        <w:autoSpaceDE w:val="0"/>
        <w:autoSpaceDN w:val="0"/>
        <w:adjustRightInd w:val="0"/>
        <w:spacing w:after="0" w:line="240" w:lineRule="auto"/>
        <w:ind w:left="-567" w:right="-518" w:firstLine="1276"/>
        <w:outlineLvl w:val="0"/>
        <w:rPr>
          <w:rFonts w:ascii="Arial" w:hAnsi="Arial" w:cs="Arial"/>
          <w:bCs/>
          <w:sz w:val="16"/>
          <w:szCs w:val="16"/>
        </w:rPr>
      </w:pPr>
    </w:p>
    <w:p w14:paraId="3E8B625B" w14:textId="77777777" w:rsidR="004A5BAC" w:rsidRPr="003D66F7" w:rsidRDefault="004A5BAC" w:rsidP="007009D1">
      <w:pPr>
        <w:autoSpaceDE w:val="0"/>
        <w:autoSpaceDN w:val="0"/>
        <w:adjustRightInd w:val="0"/>
        <w:spacing w:after="0" w:line="240" w:lineRule="auto"/>
        <w:ind w:left="-567" w:right="-518" w:firstLine="1276"/>
        <w:outlineLvl w:val="0"/>
        <w:rPr>
          <w:rFonts w:ascii="Arial" w:hAnsi="Arial" w:cs="Arial"/>
          <w:bCs/>
          <w:sz w:val="16"/>
          <w:szCs w:val="16"/>
        </w:rPr>
      </w:pPr>
    </w:p>
    <w:p w14:paraId="790B5E4B" w14:textId="14DD11FC" w:rsidR="00E472B8" w:rsidRDefault="00E472B8" w:rsidP="007009D1">
      <w:pPr>
        <w:spacing w:after="0" w:line="240" w:lineRule="auto"/>
        <w:jc w:val="both"/>
        <w:rPr>
          <w:rStyle w:val="cf01"/>
          <w:rFonts w:ascii="Arial" w:hAnsi="Arial" w:cs="Arial"/>
          <w:sz w:val="24"/>
          <w:szCs w:val="24"/>
        </w:rPr>
      </w:pPr>
      <w:r>
        <w:rPr>
          <w:rStyle w:val="cf01"/>
          <w:rFonts w:ascii="Arial" w:hAnsi="Arial" w:cs="Arial"/>
          <w:sz w:val="24"/>
          <w:szCs w:val="24"/>
        </w:rPr>
        <w:t>En 2019, l</w:t>
      </w:r>
      <w:r w:rsidR="00BC31E1" w:rsidRPr="0056506C">
        <w:rPr>
          <w:rStyle w:val="cf01"/>
          <w:rFonts w:ascii="Arial" w:hAnsi="Arial" w:cs="Arial"/>
          <w:sz w:val="24"/>
          <w:szCs w:val="24"/>
        </w:rPr>
        <w:t xml:space="preserve">as empresas declararon </w:t>
      </w:r>
      <w:r w:rsidR="00201C6E">
        <w:rPr>
          <w:rStyle w:val="cf01"/>
          <w:rFonts w:ascii="Arial" w:hAnsi="Arial" w:cs="Arial"/>
          <w:sz w:val="24"/>
          <w:szCs w:val="24"/>
        </w:rPr>
        <w:t>tener</w:t>
      </w:r>
      <w:r>
        <w:rPr>
          <w:rStyle w:val="cf01"/>
          <w:rFonts w:ascii="Arial" w:hAnsi="Arial" w:cs="Arial"/>
          <w:sz w:val="24"/>
          <w:szCs w:val="24"/>
        </w:rPr>
        <w:t xml:space="preserve"> ingresos de</w:t>
      </w:r>
      <w:r w:rsidR="00BC31E1" w:rsidRPr="0056506C">
        <w:rPr>
          <w:rStyle w:val="cf01"/>
          <w:rFonts w:ascii="Arial" w:hAnsi="Arial" w:cs="Arial"/>
          <w:sz w:val="24"/>
          <w:szCs w:val="24"/>
        </w:rPr>
        <w:t xml:space="preserve"> 780</w:t>
      </w:r>
      <w:r>
        <w:rPr>
          <w:rStyle w:val="cf01"/>
          <w:rFonts w:ascii="Arial" w:hAnsi="Arial" w:cs="Arial"/>
          <w:sz w:val="24"/>
          <w:szCs w:val="24"/>
        </w:rPr>
        <w:t xml:space="preserve"> </w:t>
      </w:r>
      <w:r w:rsidR="00BC31E1" w:rsidRPr="0056506C">
        <w:rPr>
          <w:rStyle w:val="cf01"/>
          <w:rFonts w:ascii="Arial" w:hAnsi="Arial" w:cs="Arial"/>
          <w:sz w:val="24"/>
          <w:szCs w:val="24"/>
        </w:rPr>
        <w:t xml:space="preserve">314.1 millones de pesos </w:t>
      </w:r>
      <w:r>
        <w:rPr>
          <w:rStyle w:val="cf01"/>
          <w:rFonts w:ascii="Arial" w:hAnsi="Arial" w:cs="Arial"/>
          <w:sz w:val="24"/>
          <w:szCs w:val="24"/>
        </w:rPr>
        <w:t>por concepto de CIS. En 2020</w:t>
      </w:r>
      <w:r w:rsidR="003D7193">
        <w:rPr>
          <w:rStyle w:val="cf01"/>
          <w:rFonts w:ascii="Arial" w:hAnsi="Arial" w:cs="Arial"/>
          <w:sz w:val="24"/>
          <w:szCs w:val="24"/>
        </w:rPr>
        <w:t>,</w:t>
      </w:r>
      <w:r>
        <w:rPr>
          <w:rStyle w:val="cf01"/>
          <w:rFonts w:ascii="Arial" w:hAnsi="Arial" w:cs="Arial"/>
          <w:sz w:val="24"/>
          <w:szCs w:val="24"/>
        </w:rPr>
        <w:t xml:space="preserve"> el monto fue de </w:t>
      </w:r>
      <w:r w:rsidR="00BC31E1" w:rsidRPr="0056506C">
        <w:rPr>
          <w:rStyle w:val="cf01"/>
          <w:rFonts w:ascii="Arial" w:hAnsi="Arial" w:cs="Arial"/>
          <w:sz w:val="24"/>
          <w:szCs w:val="24"/>
        </w:rPr>
        <w:t>769</w:t>
      </w:r>
      <w:r>
        <w:rPr>
          <w:rStyle w:val="cf01"/>
          <w:rFonts w:ascii="Arial" w:hAnsi="Arial" w:cs="Arial"/>
          <w:sz w:val="24"/>
          <w:szCs w:val="24"/>
        </w:rPr>
        <w:t xml:space="preserve"> </w:t>
      </w:r>
      <w:r w:rsidR="00BC31E1" w:rsidRPr="0056506C">
        <w:rPr>
          <w:rStyle w:val="cf01"/>
          <w:rFonts w:ascii="Arial" w:hAnsi="Arial" w:cs="Arial"/>
          <w:sz w:val="24"/>
          <w:szCs w:val="24"/>
        </w:rPr>
        <w:t xml:space="preserve">440.6 millones de pesos. </w:t>
      </w:r>
    </w:p>
    <w:p w14:paraId="6574F346" w14:textId="77777777" w:rsidR="007009D1" w:rsidRDefault="007009D1" w:rsidP="007009D1">
      <w:pPr>
        <w:spacing w:after="0" w:line="240" w:lineRule="auto"/>
        <w:jc w:val="both"/>
        <w:rPr>
          <w:rStyle w:val="cf01"/>
          <w:rFonts w:ascii="Arial" w:hAnsi="Arial" w:cs="Arial"/>
          <w:sz w:val="24"/>
          <w:szCs w:val="24"/>
        </w:rPr>
      </w:pPr>
    </w:p>
    <w:p w14:paraId="192367F5" w14:textId="0634BF62" w:rsidR="00457D21" w:rsidRDefault="00F1348D" w:rsidP="007009D1">
      <w:pPr>
        <w:spacing w:after="0" w:line="240" w:lineRule="auto"/>
        <w:jc w:val="both"/>
        <w:rPr>
          <w:rStyle w:val="cf01"/>
          <w:rFonts w:ascii="Arial" w:hAnsi="Arial" w:cs="Arial"/>
          <w:sz w:val="24"/>
          <w:szCs w:val="24"/>
        </w:rPr>
      </w:pPr>
      <w:r>
        <w:rPr>
          <w:rStyle w:val="cf01"/>
          <w:rFonts w:ascii="Arial" w:hAnsi="Arial" w:cs="Arial"/>
          <w:sz w:val="24"/>
          <w:szCs w:val="24"/>
        </w:rPr>
        <w:t>P</w:t>
      </w:r>
      <w:r w:rsidR="00BC31E1" w:rsidRPr="0056506C">
        <w:rPr>
          <w:rStyle w:val="cf01"/>
          <w:rFonts w:ascii="Arial" w:hAnsi="Arial" w:cs="Arial"/>
          <w:sz w:val="24"/>
          <w:szCs w:val="24"/>
        </w:rPr>
        <w:t>or tamaño de empresa</w:t>
      </w:r>
      <w:r w:rsidR="00E472B8">
        <w:rPr>
          <w:rStyle w:val="cf01"/>
          <w:rFonts w:ascii="Arial" w:hAnsi="Arial" w:cs="Arial"/>
          <w:sz w:val="24"/>
          <w:szCs w:val="24"/>
        </w:rPr>
        <w:t xml:space="preserve"> y</w:t>
      </w:r>
      <w:r w:rsidR="00BC31E1" w:rsidRPr="0056506C">
        <w:rPr>
          <w:rStyle w:val="cf01"/>
          <w:rFonts w:ascii="Arial" w:hAnsi="Arial" w:cs="Arial"/>
          <w:sz w:val="24"/>
          <w:szCs w:val="24"/>
        </w:rPr>
        <w:t xml:space="preserve"> con relación al total</w:t>
      </w:r>
      <w:r w:rsidR="00E472B8">
        <w:rPr>
          <w:rStyle w:val="cf01"/>
          <w:rFonts w:ascii="Arial" w:hAnsi="Arial" w:cs="Arial"/>
          <w:sz w:val="24"/>
          <w:szCs w:val="24"/>
        </w:rPr>
        <w:t xml:space="preserve"> de ingresos</w:t>
      </w:r>
      <w:r w:rsidR="00BC31E1" w:rsidRPr="0056506C">
        <w:rPr>
          <w:rStyle w:val="cf01"/>
          <w:rFonts w:ascii="Arial" w:hAnsi="Arial" w:cs="Arial"/>
          <w:sz w:val="24"/>
          <w:szCs w:val="24"/>
        </w:rPr>
        <w:t xml:space="preserve">, </w:t>
      </w:r>
      <w:r w:rsidR="00E472B8">
        <w:rPr>
          <w:rStyle w:val="cf01"/>
          <w:rFonts w:ascii="Arial" w:hAnsi="Arial" w:cs="Arial"/>
          <w:sz w:val="24"/>
          <w:szCs w:val="24"/>
        </w:rPr>
        <w:t xml:space="preserve">las empresas grandes obtuvieron </w:t>
      </w:r>
      <w:r w:rsidR="00BC31E1" w:rsidRPr="0056506C">
        <w:rPr>
          <w:rStyle w:val="cf01"/>
          <w:rFonts w:ascii="Arial" w:hAnsi="Arial" w:cs="Arial"/>
          <w:sz w:val="24"/>
          <w:szCs w:val="24"/>
        </w:rPr>
        <w:t>92</w:t>
      </w:r>
      <w:r w:rsidR="00E472B8">
        <w:rPr>
          <w:rStyle w:val="cf01"/>
          <w:rFonts w:ascii="Arial" w:hAnsi="Arial" w:cs="Arial"/>
          <w:sz w:val="24"/>
          <w:szCs w:val="24"/>
        </w:rPr>
        <w:t>.0</w:t>
      </w:r>
      <w:r w:rsidR="00CA6C69">
        <w:rPr>
          <w:rStyle w:val="cf01"/>
          <w:rFonts w:ascii="Arial" w:hAnsi="Arial" w:cs="Arial"/>
          <w:sz w:val="24"/>
          <w:szCs w:val="24"/>
        </w:rPr>
        <w:t xml:space="preserve"> %</w:t>
      </w:r>
      <w:r w:rsidR="00BC31E1" w:rsidRPr="0056506C">
        <w:rPr>
          <w:rStyle w:val="cf01"/>
          <w:rFonts w:ascii="Arial" w:hAnsi="Arial" w:cs="Arial"/>
          <w:sz w:val="24"/>
          <w:szCs w:val="24"/>
        </w:rPr>
        <w:t xml:space="preserve"> y 91.7 %</w:t>
      </w:r>
      <w:r w:rsidR="00E472B8">
        <w:rPr>
          <w:rStyle w:val="cf01"/>
          <w:rFonts w:ascii="Arial" w:hAnsi="Arial" w:cs="Arial"/>
          <w:sz w:val="24"/>
          <w:szCs w:val="24"/>
        </w:rPr>
        <w:t xml:space="preserve"> de los ingresos </w:t>
      </w:r>
      <w:r w:rsidR="007009D1">
        <w:rPr>
          <w:rStyle w:val="cf01"/>
          <w:rFonts w:ascii="Arial" w:hAnsi="Arial" w:cs="Arial"/>
          <w:sz w:val="24"/>
          <w:szCs w:val="24"/>
        </w:rPr>
        <w:t xml:space="preserve">por CIS </w:t>
      </w:r>
      <w:r w:rsidR="00E472B8">
        <w:rPr>
          <w:rStyle w:val="cf01"/>
          <w:rFonts w:ascii="Arial" w:hAnsi="Arial" w:cs="Arial"/>
          <w:sz w:val="24"/>
          <w:szCs w:val="24"/>
        </w:rPr>
        <w:t xml:space="preserve">para 2019 y 2020, respectivamente. </w:t>
      </w:r>
      <w:r w:rsidR="007009D1">
        <w:rPr>
          <w:rStyle w:val="cf01"/>
          <w:rFonts w:ascii="Arial" w:hAnsi="Arial" w:cs="Arial"/>
          <w:sz w:val="24"/>
          <w:szCs w:val="24"/>
        </w:rPr>
        <w:t>L</w:t>
      </w:r>
      <w:r w:rsidR="00BC31E1" w:rsidRPr="0056506C">
        <w:rPr>
          <w:rStyle w:val="cf01"/>
          <w:rFonts w:ascii="Arial" w:hAnsi="Arial" w:cs="Arial"/>
          <w:sz w:val="24"/>
          <w:szCs w:val="24"/>
        </w:rPr>
        <w:t xml:space="preserve">as empresas medianas </w:t>
      </w:r>
      <w:r w:rsidR="007009D1">
        <w:rPr>
          <w:rStyle w:val="cf01"/>
          <w:rFonts w:ascii="Arial" w:hAnsi="Arial" w:cs="Arial"/>
          <w:sz w:val="24"/>
          <w:szCs w:val="24"/>
        </w:rPr>
        <w:t xml:space="preserve">captaron el </w:t>
      </w:r>
      <w:r w:rsidR="00BC31E1" w:rsidRPr="0056506C">
        <w:rPr>
          <w:rStyle w:val="cf01"/>
          <w:rFonts w:ascii="Arial" w:hAnsi="Arial" w:cs="Arial"/>
          <w:sz w:val="24"/>
          <w:szCs w:val="24"/>
        </w:rPr>
        <w:t>equivalente a 6</w:t>
      </w:r>
      <w:r w:rsidR="00E9133C">
        <w:rPr>
          <w:rStyle w:val="cf01"/>
          <w:rFonts w:ascii="Arial" w:hAnsi="Arial" w:cs="Arial"/>
          <w:sz w:val="24"/>
          <w:szCs w:val="24"/>
        </w:rPr>
        <w:t>.0</w:t>
      </w:r>
      <w:r w:rsidR="00002BC4">
        <w:rPr>
          <w:rStyle w:val="cf01"/>
          <w:rFonts w:ascii="Arial" w:hAnsi="Arial" w:cs="Arial"/>
          <w:sz w:val="24"/>
          <w:szCs w:val="24"/>
        </w:rPr>
        <w:t xml:space="preserve"> </w:t>
      </w:r>
      <w:r w:rsidR="00BC31E1" w:rsidRPr="0056506C">
        <w:rPr>
          <w:rStyle w:val="cf01"/>
          <w:rFonts w:ascii="Arial" w:hAnsi="Arial" w:cs="Arial"/>
          <w:sz w:val="24"/>
          <w:szCs w:val="24"/>
        </w:rPr>
        <w:t>% del total registrado para cada año</w:t>
      </w:r>
      <w:r w:rsidR="007009D1">
        <w:rPr>
          <w:rStyle w:val="cf01"/>
          <w:rFonts w:ascii="Arial" w:hAnsi="Arial" w:cs="Arial"/>
          <w:sz w:val="24"/>
          <w:szCs w:val="24"/>
        </w:rPr>
        <w:t>. L</w:t>
      </w:r>
      <w:r w:rsidR="00BC31E1" w:rsidRPr="0056506C">
        <w:rPr>
          <w:rStyle w:val="cf01"/>
          <w:rFonts w:ascii="Arial" w:hAnsi="Arial" w:cs="Arial"/>
          <w:sz w:val="24"/>
          <w:szCs w:val="24"/>
        </w:rPr>
        <w:t>as</w:t>
      </w:r>
      <w:r w:rsidR="00201C6E">
        <w:rPr>
          <w:rStyle w:val="cf01"/>
          <w:rFonts w:ascii="Arial" w:hAnsi="Arial" w:cs="Arial"/>
          <w:sz w:val="24"/>
          <w:szCs w:val="24"/>
        </w:rPr>
        <w:t xml:space="preserve"> </w:t>
      </w:r>
      <w:r w:rsidR="00BC31E1" w:rsidRPr="0056506C">
        <w:rPr>
          <w:rStyle w:val="cf01"/>
          <w:rFonts w:ascii="Arial" w:hAnsi="Arial" w:cs="Arial"/>
          <w:sz w:val="24"/>
          <w:szCs w:val="24"/>
        </w:rPr>
        <w:t>pequeñas reportaron 1.9</w:t>
      </w:r>
      <w:r w:rsidR="00CA6C69">
        <w:rPr>
          <w:rStyle w:val="cf01"/>
          <w:rFonts w:ascii="Arial" w:hAnsi="Arial" w:cs="Arial"/>
          <w:sz w:val="24"/>
          <w:szCs w:val="24"/>
        </w:rPr>
        <w:t xml:space="preserve"> %</w:t>
      </w:r>
      <w:r w:rsidR="00BC31E1" w:rsidRPr="0056506C">
        <w:rPr>
          <w:rStyle w:val="cf01"/>
          <w:rFonts w:ascii="Arial" w:hAnsi="Arial" w:cs="Arial"/>
          <w:sz w:val="24"/>
          <w:szCs w:val="24"/>
        </w:rPr>
        <w:t xml:space="preserve"> y 2.2 % de los ingresos totales para 2019 y 2020</w:t>
      </w:r>
      <w:r w:rsidR="007009D1">
        <w:rPr>
          <w:rStyle w:val="cf01"/>
          <w:rFonts w:ascii="Arial" w:hAnsi="Arial" w:cs="Arial"/>
          <w:sz w:val="24"/>
          <w:szCs w:val="24"/>
        </w:rPr>
        <w:t>.</w:t>
      </w:r>
      <w:r w:rsidR="00201C6E">
        <w:rPr>
          <w:rStyle w:val="cf01"/>
          <w:rFonts w:ascii="Arial" w:hAnsi="Arial" w:cs="Arial"/>
          <w:sz w:val="24"/>
          <w:szCs w:val="24"/>
        </w:rPr>
        <w:t xml:space="preserve"> L</w:t>
      </w:r>
      <w:r w:rsidR="00BC31E1" w:rsidRPr="0056506C">
        <w:rPr>
          <w:rStyle w:val="cf01"/>
          <w:rFonts w:ascii="Arial" w:hAnsi="Arial" w:cs="Arial"/>
          <w:sz w:val="24"/>
          <w:szCs w:val="24"/>
        </w:rPr>
        <w:t xml:space="preserve">as empresas micro </w:t>
      </w:r>
      <w:r w:rsidR="007009D1">
        <w:rPr>
          <w:rStyle w:val="cf01"/>
          <w:rFonts w:ascii="Arial" w:hAnsi="Arial" w:cs="Arial"/>
          <w:sz w:val="24"/>
          <w:szCs w:val="24"/>
        </w:rPr>
        <w:t>consiguieron</w:t>
      </w:r>
      <w:r w:rsidR="00BC31E1" w:rsidRPr="0056506C">
        <w:rPr>
          <w:rStyle w:val="cf01"/>
          <w:rFonts w:ascii="Arial" w:hAnsi="Arial" w:cs="Arial"/>
          <w:sz w:val="24"/>
          <w:szCs w:val="24"/>
        </w:rPr>
        <w:t xml:space="preserve"> 0.1 %</w:t>
      </w:r>
      <w:r w:rsidR="007009D1">
        <w:rPr>
          <w:rStyle w:val="cf01"/>
          <w:rFonts w:ascii="Arial" w:hAnsi="Arial" w:cs="Arial"/>
          <w:sz w:val="24"/>
          <w:szCs w:val="24"/>
        </w:rPr>
        <w:t xml:space="preserve"> en</w:t>
      </w:r>
      <w:r w:rsidR="00BC31E1" w:rsidRPr="0056506C">
        <w:rPr>
          <w:rStyle w:val="cf01"/>
          <w:rFonts w:ascii="Arial" w:hAnsi="Arial" w:cs="Arial"/>
          <w:sz w:val="24"/>
          <w:szCs w:val="24"/>
        </w:rPr>
        <w:t xml:space="preserve"> cada año.</w:t>
      </w:r>
    </w:p>
    <w:p w14:paraId="0FC5DAEA" w14:textId="77777777" w:rsidR="00307E93" w:rsidRPr="00002BC4" w:rsidRDefault="00307E93" w:rsidP="007009D1">
      <w:pPr>
        <w:spacing w:after="0" w:line="240" w:lineRule="auto"/>
        <w:jc w:val="both"/>
        <w:rPr>
          <w:rFonts w:ascii="Arial" w:hAnsi="Arial" w:cs="Arial"/>
          <w:color w:val="000000" w:themeColor="text1"/>
          <w:sz w:val="24"/>
          <w:szCs w:val="24"/>
        </w:rPr>
      </w:pPr>
    </w:p>
    <w:p w14:paraId="7E57D63A" w14:textId="77777777" w:rsidR="00E16D21" w:rsidRPr="00FE1E0E" w:rsidRDefault="00E16D21" w:rsidP="007009D1">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Pr>
          <w:rFonts w:ascii="Arial" w:hAnsi="Arial" w:cs="Arial"/>
          <w:bCs/>
          <w:sz w:val="20"/>
          <w:szCs w:val="20"/>
        </w:rPr>
        <w:t>4</w:t>
      </w:r>
    </w:p>
    <w:p w14:paraId="0AC26011" w14:textId="25AA2217" w:rsidR="00E16D21" w:rsidRPr="007009D1" w:rsidRDefault="00E16D21" w:rsidP="007009D1">
      <w:pPr>
        <w:spacing w:after="0" w:line="240" w:lineRule="auto"/>
        <w:jc w:val="center"/>
        <w:rPr>
          <w:rFonts w:ascii="Arial Negrita" w:hAnsi="Arial Negrita" w:cs="Arial"/>
          <w:b/>
          <w:smallCaps/>
          <w:szCs w:val="24"/>
        </w:rPr>
      </w:pPr>
      <w:r w:rsidRPr="007009D1">
        <w:rPr>
          <w:rFonts w:ascii="Arial Negrita" w:hAnsi="Arial Negrita" w:cs="Arial"/>
          <w:b/>
          <w:smallCaps/>
          <w:szCs w:val="24"/>
        </w:rPr>
        <w:t>Ingresos de comercio internacional de servicios</w:t>
      </w:r>
    </w:p>
    <w:p w14:paraId="5DEC1C5A" w14:textId="68D6F606" w:rsidR="00E16D21" w:rsidRDefault="00DE0EC0" w:rsidP="00C83846">
      <w:pPr>
        <w:spacing w:after="0" w:line="240" w:lineRule="auto"/>
        <w:jc w:val="center"/>
        <w:rPr>
          <w:rFonts w:ascii="Arial" w:hAnsi="Arial" w:cs="Arial"/>
          <w:sz w:val="24"/>
          <w:szCs w:val="24"/>
        </w:rPr>
      </w:pPr>
      <w:r>
        <w:rPr>
          <w:noProof/>
        </w:rPr>
        <w:drawing>
          <wp:inline distT="0" distB="0" distL="0" distR="0" wp14:anchorId="19A94223" wp14:editId="5CB64708">
            <wp:extent cx="4914900" cy="2148989"/>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140" cy="2165709"/>
                    </a:xfrm>
                    <a:prstGeom prst="rect">
                      <a:avLst/>
                    </a:prstGeom>
                  </pic:spPr>
                </pic:pic>
              </a:graphicData>
            </a:graphic>
          </wp:inline>
        </w:drawing>
      </w:r>
    </w:p>
    <w:p w14:paraId="4608A108" w14:textId="2C06F2C0" w:rsidR="00F77F7E" w:rsidRPr="00F77F7E" w:rsidRDefault="00565801" w:rsidP="00F77F7E">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F77F7E" w:rsidRPr="000830B2">
        <w:rPr>
          <w:rFonts w:ascii="Arial" w:hAnsi="Arial" w:cs="Arial"/>
          <w:bCs/>
          <w:sz w:val="16"/>
          <w:szCs w:val="16"/>
        </w:rPr>
        <w:t xml:space="preserve">Nota: </w:t>
      </w:r>
      <w:r w:rsidR="00F77F7E" w:rsidRPr="00F77F7E">
        <w:rPr>
          <w:rFonts w:ascii="Arial" w:hAnsi="Arial" w:cs="Arial"/>
          <w:bCs/>
          <w:sz w:val="16"/>
          <w:szCs w:val="16"/>
        </w:rPr>
        <w:t>Montos en millones de pesos</w:t>
      </w:r>
      <w:r w:rsidR="00CA6C69">
        <w:rPr>
          <w:rFonts w:ascii="Arial" w:hAnsi="Arial" w:cs="Arial"/>
          <w:bCs/>
          <w:sz w:val="16"/>
          <w:szCs w:val="16"/>
        </w:rPr>
        <w:t>.</w:t>
      </w:r>
    </w:p>
    <w:p w14:paraId="54167ECE" w14:textId="77777777" w:rsidR="00F77F7E" w:rsidRPr="00F77F7E" w:rsidRDefault="00F77F7E" w:rsidP="00F77F7E">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F77F7E">
        <w:rPr>
          <w:rFonts w:ascii="Arial" w:hAnsi="Arial" w:cs="Arial"/>
          <w:bCs/>
          <w:sz w:val="16"/>
          <w:szCs w:val="16"/>
        </w:rPr>
        <w:t>Porcentajes obtenidos respecto del total de ingresos.</w:t>
      </w:r>
    </w:p>
    <w:p w14:paraId="7E0B88F0" w14:textId="57CFD7E5" w:rsidR="00BC2DC4" w:rsidRDefault="00F77F7E" w:rsidP="003D1324">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F77F7E">
        <w:rPr>
          <w:rFonts w:ascii="Arial" w:hAnsi="Arial" w:cs="Arial"/>
          <w:bCs/>
          <w:sz w:val="16"/>
          <w:szCs w:val="16"/>
        </w:rPr>
        <w:t>La suma de los parciales no es igual al total debido al redondeo.</w:t>
      </w:r>
    </w:p>
    <w:p w14:paraId="1BD3DD40" w14:textId="576A580A" w:rsidR="00DD3523" w:rsidRDefault="008B6096" w:rsidP="00201C6E">
      <w:pPr>
        <w:spacing w:after="0" w:line="240" w:lineRule="auto"/>
        <w:jc w:val="both"/>
        <w:rPr>
          <w:rFonts w:ascii="Arial" w:hAnsi="Arial" w:cs="Arial"/>
          <w:color w:val="000000" w:themeColor="text1"/>
          <w:sz w:val="24"/>
          <w:szCs w:val="24"/>
        </w:rPr>
      </w:pPr>
      <w:r w:rsidRPr="003D1324">
        <w:rPr>
          <w:rFonts w:ascii="Arial" w:hAnsi="Arial" w:cs="Arial"/>
          <w:color w:val="000000" w:themeColor="text1"/>
          <w:sz w:val="24"/>
          <w:szCs w:val="24"/>
        </w:rPr>
        <w:lastRenderedPageBreak/>
        <w:t>Por tamaño de empresa</w:t>
      </w:r>
      <w:r w:rsidR="007009D1">
        <w:rPr>
          <w:rFonts w:ascii="Arial" w:hAnsi="Arial" w:cs="Arial"/>
          <w:color w:val="000000" w:themeColor="text1"/>
          <w:sz w:val="24"/>
          <w:szCs w:val="24"/>
        </w:rPr>
        <w:t xml:space="preserve"> y </w:t>
      </w:r>
      <w:r w:rsidR="00041129">
        <w:rPr>
          <w:rFonts w:ascii="Arial" w:hAnsi="Arial" w:cs="Arial"/>
          <w:color w:val="000000" w:themeColor="text1"/>
          <w:sz w:val="24"/>
          <w:szCs w:val="24"/>
        </w:rPr>
        <w:t xml:space="preserve">con base en el </w:t>
      </w:r>
      <w:r w:rsidR="007009D1">
        <w:rPr>
          <w:rFonts w:ascii="Arial" w:hAnsi="Arial" w:cs="Arial"/>
          <w:color w:val="000000" w:themeColor="text1"/>
          <w:sz w:val="24"/>
          <w:szCs w:val="24"/>
        </w:rPr>
        <w:t xml:space="preserve">total de gastos realizados en 2019 por </w:t>
      </w:r>
      <w:r w:rsidR="007009D1" w:rsidRPr="00CA6C69">
        <w:rPr>
          <w:rFonts w:ascii="Arial" w:hAnsi="Arial" w:cs="Arial"/>
          <w:iCs/>
          <w:color w:val="000000" w:themeColor="text1"/>
          <w:sz w:val="24"/>
          <w:szCs w:val="24"/>
        </w:rPr>
        <w:t>importaciones</w:t>
      </w:r>
      <w:r w:rsidR="007009D1" w:rsidRPr="00CA6C69">
        <w:rPr>
          <w:rFonts w:ascii="Arial" w:hAnsi="Arial" w:cs="Arial"/>
          <w:color w:val="000000" w:themeColor="text1"/>
          <w:sz w:val="24"/>
          <w:szCs w:val="24"/>
        </w:rPr>
        <w:t>,</w:t>
      </w:r>
      <w:r w:rsidR="007009D1">
        <w:rPr>
          <w:rFonts w:ascii="Arial" w:hAnsi="Arial" w:cs="Arial"/>
          <w:color w:val="000000" w:themeColor="text1"/>
          <w:sz w:val="24"/>
          <w:szCs w:val="24"/>
        </w:rPr>
        <w:t xml:space="preserve"> </w:t>
      </w:r>
      <w:r w:rsidRPr="003D1324">
        <w:rPr>
          <w:rFonts w:ascii="Arial" w:hAnsi="Arial" w:cs="Arial"/>
          <w:color w:val="000000" w:themeColor="text1"/>
          <w:sz w:val="24"/>
          <w:szCs w:val="24"/>
        </w:rPr>
        <w:t>de los 289</w:t>
      </w:r>
      <w:r w:rsidR="007009D1">
        <w:rPr>
          <w:rFonts w:ascii="Arial" w:hAnsi="Arial" w:cs="Arial"/>
          <w:color w:val="000000" w:themeColor="text1"/>
          <w:sz w:val="24"/>
          <w:szCs w:val="24"/>
        </w:rPr>
        <w:t xml:space="preserve"> </w:t>
      </w:r>
      <w:r w:rsidRPr="003D1324">
        <w:rPr>
          <w:rFonts w:ascii="Arial" w:hAnsi="Arial" w:cs="Arial"/>
          <w:color w:val="000000" w:themeColor="text1"/>
          <w:sz w:val="24"/>
          <w:szCs w:val="24"/>
        </w:rPr>
        <w:t>255.2 millones de pesos total</w:t>
      </w:r>
      <w:r w:rsidR="007009D1">
        <w:rPr>
          <w:rFonts w:ascii="Arial" w:hAnsi="Arial" w:cs="Arial"/>
          <w:color w:val="000000" w:themeColor="text1"/>
          <w:sz w:val="24"/>
          <w:szCs w:val="24"/>
        </w:rPr>
        <w:t>es</w:t>
      </w:r>
      <w:r w:rsidRPr="003D1324">
        <w:rPr>
          <w:rFonts w:ascii="Arial" w:hAnsi="Arial" w:cs="Arial"/>
          <w:color w:val="000000" w:themeColor="text1"/>
          <w:sz w:val="24"/>
          <w:szCs w:val="24"/>
        </w:rPr>
        <w:t xml:space="preserve">, 88.3 % </w:t>
      </w:r>
      <w:r w:rsidR="007009D1">
        <w:rPr>
          <w:rFonts w:ascii="Arial" w:hAnsi="Arial" w:cs="Arial"/>
          <w:color w:val="000000" w:themeColor="text1"/>
          <w:sz w:val="24"/>
          <w:szCs w:val="24"/>
        </w:rPr>
        <w:t>se gastó en</w:t>
      </w:r>
      <w:r w:rsidRPr="003D1324">
        <w:rPr>
          <w:rFonts w:ascii="Arial" w:hAnsi="Arial" w:cs="Arial"/>
          <w:color w:val="000000" w:themeColor="text1"/>
          <w:sz w:val="24"/>
          <w:szCs w:val="24"/>
        </w:rPr>
        <w:t xml:space="preserve"> las grandes empresas, 6.9 % </w:t>
      </w:r>
      <w:r w:rsidR="007009D1">
        <w:rPr>
          <w:rFonts w:ascii="Arial" w:hAnsi="Arial" w:cs="Arial"/>
          <w:color w:val="000000" w:themeColor="text1"/>
          <w:sz w:val="24"/>
          <w:szCs w:val="24"/>
        </w:rPr>
        <w:t xml:space="preserve">en </w:t>
      </w:r>
      <w:r w:rsidRPr="003D1324">
        <w:rPr>
          <w:rFonts w:ascii="Arial" w:hAnsi="Arial" w:cs="Arial"/>
          <w:color w:val="000000" w:themeColor="text1"/>
          <w:sz w:val="24"/>
          <w:szCs w:val="24"/>
        </w:rPr>
        <w:t xml:space="preserve">las medianas, 3.3 % </w:t>
      </w:r>
      <w:r w:rsidR="007009D1">
        <w:rPr>
          <w:rFonts w:ascii="Arial" w:hAnsi="Arial" w:cs="Arial"/>
          <w:color w:val="000000" w:themeColor="text1"/>
          <w:sz w:val="24"/>
          <w:szCs w:val="24"/>
        </w:rPr>
        <w:t xml:space="preserve">en </w:t>
      </w:r>
      <w:r w:rsidRPr="003D1324">
        <w:rPr>
          <w:rFonts w:ascii="Arial" w:hAnsi="Arial" w:cs="Arial"/>
          <w:color w:val="000000" w:themeColor="text1"/>
          <w:sz w:val="24"/>
          <w:szCs w:val="24"/>
        </w:rPr>
        <w:t>las</w:t>
      </w:r>
      <w:r w:rsidR="00201C6E">
        <w:rPr>
          <w:rFonts w:ascii="Arial" w:hAnsi="Arial" w:cs="Arial"/>
          <w:color w:val="000000" w:themeColor="text1"/>
          <w:sz w:val="24"/>
          <w:szCs w:val="24"/>
        </w:rPr>
        <w:t xml:space="preserve"> </w:t>
      </w:r>
      <w:r w:rsidRPr="003D1324">
        <w:rPr>
          <w:rFonts w:ascii="Arial" w:hAnsi="Arial" w:cs="Arial"/>
          <w:color w:val="000000" w:themeColor="text1"/>
          <w:sz w:val="24"/>
          <w:szCs w:val="24"/>
        </w:rPr>
        <w:t xml:space="preserve">pequeñas y 1.5 % </w:t>
      </w:r>
      <w:r w:rsidR="007009D1">
        <w:rPr>
          <w:rFonts w:ascii="Arial" w:hAnsi="Arial" w:cs="Arial"/>
          <w:color w:val="000000" w:themeColor="text1"/>
          <w:sz w:val="24"/>
          <w:szCs w:val="24"/>
        </w:rPr>
        <w:t xml:space="preserve">en </w:t>
      </w:r>
      <w:r w:rsidRPr="003D1324">
        <w:rPr>
          <w:rFonts w:ascii="Arial" w:hAnsi="Arial" w:cs="Arial"/>
          <w:color w:val="000000" w:themeColor="text1"/>
          <w:sz w:val="24"/>
          <w:szCs w:val="24"/>
        </w:rPr>
        <w:t>las micro. Por otro lado, de los 237</w:t>
      </w:r>
      <w:r w:rsidR="007009D1">
        <w:rPr>
          <w:rFonts w:ascii="Arial" w:hAnsi="Arial" w:cs="Arial"/>
          <w:color w:val="000000" w:themeColor="text1"/>
          <w:sz w:val="24"/>
          <w:szCs w:val="24"/>
        </w:rPr>
        <w:t xml:space="preserve"> </w:t>
      </w:r>
      <w:r w:rsidRPr="003D1324">
        <w:rPr>
          <w:rFonts w:ascii="Arial" w:hAnsi="Arial" w:cs="Arial"/>
          <w:color w:val="000000" w:themeColor="text1"/>
          <w:sz w:val="24"/>
          <w:szCs w:val="24"/>
        </w:rPr>
        <w:t>498.7 millones de pesos en gastos</w:t>
      </w:r>
      <w:r w:rsidR="007009D1">
        <w:rPr>
          <w:rFonts w:ascii="Arial" w:hAnsi="Arial" w:cs="Arial"/>
          <w:color w:val="000000" w:themeColor="text1"/>
          <w:sz w:val="24"/>
          <w:szCs w:val="24"/>
        </w:rPr>
        <w:t xml:space="preserve"> durante</w:t>
      </w:r>
      <w:r w:rsidRPr="003D1324">
        <w:rPr>
          <w:rFonts w:ascii="Arial" w:hAnsi="Arial" w:cs="Arial"/>
          <w:color w:val="000000" w:themeColor="text1"/>
          <w:sz w:val="24"/>
          <w:szCs w:val="24"/>
        </w:rPr>
        <w:t xml:space="preserve"> 2020, 85.4 % correspond</w:t>
      </w:r>
      <w:r w:rsidR="00E7200D">
        <w:rPr>
          <w:rFonts w:ascii="Arial" w:hAnsi="Arial" w:cs="Arial"/>
          <w:color w:val="000000" w:themeColor="text1"/>
          <w:sz w:val="24"/>
          <w:szCs w:val="24"/>
        </w:rPr>
        <w:t>ió</w:t>
      </w:r>
      <w:r w:rsidRPr="003D1324">
        <w:rPr>
          <w:rFonts w:ascii="Arial" w:hAnsi="Arial" w:cs="Arial"/>
          <w:color w:val="000000" w:themeColor="text1"/>
          <w:sz w:val="24"/>
          <w:szCs w:val="24"/>
        </w:rPr>
        <w:t xml:space="preserve"> a las grandes empresas,</w:t>
      </w:r>
      <w:r w:rsidR="009A0C02">
        <w:rPr>
          <w:rFonts w:ascii="Arial" w:hAnsi="Arial" w:cs="Arial"/>
          <w:color w:val="000000" w:themeColor="text1"/>
          <w:sz w:val="24"/>
          <w:szCs w:val="24"/>
        </w:rPr>
        <w:t xml:space="preserve">   </w:t>
      </w:r>
      <w:r w:rsidR="00E7200D">
        <w:rPr>
          <w:rFonts w:ascii="Arial" w:hAnsi="Arial" w:cs="Arial"/>
          <w:color w:val="000000" w:themeColor="text1"/>
          <w:sz w:val="24"/>
          <w:szCs w:val="24"/>
        </w:rPr>
        <w:t xml:space="preserve">     </w:t>
      </w:r>
      <w:r w:rsidRPr="003D1324">
        <w:rPr>
          <w:rFonts w:ascii="Arial" w:hAnsi="Arial" w:cs="Arial"/>
          <w:color w:val="000000" w:themeColor="text1"/>
          <w:sz w:val="24"/>
          <w:szCs w:val="24"/>
        </w:rPr>
        <w:t xml:space="preserve"> 8.8 % a las medianas, 4.0 % a las pequeñas y 1.8 % a las micro.</w:t>
      </w:r>
    </w:p>
    <w:p w14:paraId="42D9F7B7" w14:textId="77777777" w:rsidR="007009D1" w:rsidRDefault="007009D1" w:rsidP="00201C6E">
      <w:pPr>
        <w:autoSpaceDE w:val="0"/>
        <w:autoSpaceDN w:val="0"/>
        <w:adjustRightInd w:val="0"/>
        <w:spacing w:after="0" w:line="240" w:lineRule="auto"/>
        <w:ind w:left="-567" w:right="21"/>
        <w:jc w:val="right"/>
        <w:outlineLvl w:val="0"/>
        <w:rPr>
          <w:rFonts w:ascii="Arial" w:hAnsi="Arial" w:cs="Arial"/>
          <w:bCs/>
          <w:sz w:val="20"/>
          <w:szCs w:val="20"/>
        </w:rPr>
      </w:pPr>
    </w:p>
    <w:p w14:paraId="5B0D3F6A" w14:textId="1448AB22" w:rsidR="005D4D8F" w:rsidRPr="00FE1E0E" w:rsidRDefault="005D4D8F" w:rsidP="00201C6E">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Pr>
          <w:rFonts w:ascii="Arial" w:hAnsi="Arial" w:cs="Arial"/>
          <w:bCs/>
          <w:sz w:val="20"/>
          <w:szCs w:val="20"/>
        </w:rPr>
        <w:t>5</w:t>
      </w:r>
    </w:p>
    <w:p w14:paraId="2646A44B" w14:textId="1F991A6B" w:rsidR="005D4D8F" w:rsidRPr="00201C6E" w:rsidRDefault="00A27BC8" w:rsidP="00201C6E">
      <w:pPr>
        <w:spacing w:after="0" w:line="240" w:lineRule="auto"/>
        <w:jc w:val="center"/>
        <w:rPr>
          <w:rFonts w:ascii="Arial Negrita" w:hAnsi="Arial Negrita" w:cs="Arial"/>
          <w:b/>
          <w:smallCaps/>
          <w:szCs w:val="24"/>
        </w:rPr>
      </w:pPr>
      <w:r w:rsidRPr="00201C6E">
        <w:rPr>
          <w:rFonts w:ascii="Arial Negrita" w:hAnsi="Arial Negrita" w:cs="Arial"/>
          <w:b/>
          <w:smallCaps/>
          <w:szCs w:val="24"/>
        </w:rPr>
        <w:t>Gastos de comercio internacional de servicios</w:t>
      </w:r>
    </w:p>
    <w:p w14:paraId="7F19A277" w14:textId="399E3559" w:rsidR="005D4D8F" w:rsidRDefault="0054410B" w:rsidP="00201C6E">
      <w:pPr>
        <w:spacing w:after="0" w:line="240" w:lineRule="auto"/>
        <w:jc w:val="center"/>
        <w:rPr>
          <w:rFonts w:ascii="Arial" w:hAnsi="Arial" w:cs="Arial"/>
          <w:sz w:val="24"/>
          <w:szCs w:val="24"/>
        </w:rPr>
      </w:pPr>
      <w:r>
        <w:rPr>
          <w:noProof/>
        </w:rPr>
        <w:drawing>
          <wp:inline distT="0" distB="0" distL="0" distR="0" wp14:anchorId="0571670F" wp14:editId="47E4D1DD">
            <wp:extent cx="5257800" cy="2260343"/>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2895" cy="2262533"/>
                    </a:xfrm>
                    <a:prstGeom prst="rect">
                      <a:avLst/>
                    </a:prstGeom>
                  </pic:spPr>
                </pic:pic>
              </a:graphicData>
            </a:graphic>
          </wp:inline>
        </w:drawing>
      </w:r>
    </w:p>
    <w:p w14:paraId="157AAB8A" w14:textId="36CDFAE1" w:rsidR="005D4D8F" w:rsidRPr="005D4D8F" w:rsidRDefault="004F2B9B" w:rsidP="00203E82">
      <w:pPr>
        <w:autoSpaceDE w:val="0"/>
        <w:autoSpaceDN w:val="0"/>
        <w:adjustRightInd w:val="0"/>
        <w:spacing w:after="0" w:line="240" w:lineRule="auto"/>
        <w:ind w:right="-518" w:firstLine="851"/>
        <w:outlineLvl w:val="0"/>
        <w:rPr>
          <w:rFonts w:ascii="Arial" w:hAnsi="Arial" w:cs="Arial"/>
          <w:bCs/>
          <w:sz w:val="16"/>
          <w:szCs w:val="16"/>
        </w:rPr>
      </w:pPr>
      <w:r>
        <w:rPr>
          <w:rFonts w:ascii="Arial" w:hAnsi="Arial" w:cs="Arial"/>
          <w:bCs/>
          <w:sz w:val="16"/>
          <w:szCs w:val="16"/>
        </w:rPr>
        <w:t xml:space="preserve"> </w:t>
      </w:r>
      <w:r w:rsidR="005D4D8F" w:rsidRPr="000830B2">
        <w:rPr>
          <w:rFonts w:ascii="Arial" w:hAnsi="Arial" w:cs="Arial"/>
          <w:bCs/>
          <w:sz w:val="16"/>
          <w:szCs w:val="16"/>
        </w:rPr>
        <w:t xml:space="preserve">Nota: </w:t>
      </w:r>
      <w:r w:rsidR="005D4D8F" w:rsidRPr="005D4D8F">
        <w:rPr>
          <w:rFonts w:ascii="Arial" w:hAnsi="Arial" w:cs="Arial"/>
          <w:bCs/>
          <w:sz w:val="16"/>
          <w:szCs w:val="16"/>
        </w:rPr>
        <w:t>Montos en millones de pesos</w:t>
      </w:r>
      <w:r w:rsidR="005B3147">
        <w:rPr>
          <w:rFonts w:ascii="Arial" w:hAnsi="Arial" w:cs="Arial"/>
          <w:bCs/>
          <w:sz w:val="16"/>
          <w:szCs w:val="16"/>
        </w:rPr>
        <w:t>.</w:t>
      </w:r>
    </w:p>
    <w:p w14:paraId="1E138DCC" w14:textId="77777777" w:rsidR="005D4D8F" w:rsidRPr="005D4D8F" w:rsidRDefault="005D4D8F" w:rsidP="00203E82">
      <w:pPr>
        <w:autoSpaceDE w:val="0"/>
        <w:autoSpaceDN w:val="0"/>
        <w:adjustRightInd w:val="0"/>
        <w:spacing w:after="0" w:line="240" w:lineRule="auto"/>
        <w:ind w:right="-518" w:firstLine="851"/>
        <w:outlineLvl w:val="0"/>
        <w:rPr>
          <w:rFonts w:ascii="Arial" w:hAnsi="Arial" w:cs="Arial"/>
          <w:bCs/>
          <w:sz w:val="16"/>
          <w:szCs w:val="16"/>
        </w:rPr>
      </w:pPr>
      <w:r>
        <w:rPr>
          <w:rFonts w:ascii="Arial" w:hAnsi="Arial" w:cs="Arial"/>
          <w:bCs/>
          <w:sz w:val="16"/>
          <w:szCs w:val="16"/>
        </w:rPr>
        <w:t xml:space="preserve">           </w:t>
      </w:r>
      <w:r w:rsidRPr="005D4D8F">
        <w:rPr>
          <w:rFonts w:ascii="Arial" w:hAnsi="Arial" w:cs="Arial"/>
          <w:bCs/>
          <w:sz w:val="16"/>
          <w:szCs w:val="16"/>
        </w:rPr>
        <w:t>Porcentajes obtenidos respecto del total de gastos.</w:t>
      </w:r>
    </w:p>
    <w:p w14:paraId="6F339B94" w14:textId="77777777" w:rsidR="005D4D8F" w:rsidRDefault="005D4D8F" w:rsidP="00203E82">
      <w:pPr>
        <w:autoSpaceDE w:val="0"/>
        <w:autoSpaceDN w:val="0"/>
        <w:adjustRightInd w:val="0"/>
        <w:spacing w:after="0" w:line="240" w:lineRule="auto"/>
        <w:ind w:right="-518" w:firstLine="851"/>
        <w:outlineLvl w:val="0"/>
        <w:rPr>
          <w:rFonts w:ascii="Arial" w:hAnsi="Arial" w:cs="Arial"/>
          <w:bCs/>
          <w:sz w:val="16"/>
          <w:szCs w:val="16"/>
        </w:rPr>
      </w:pPr>
      <w:r>
        <w:rPr>
          <w:rFonts w:ascii="Arial" w:hAnsi="Arial" w:cs="Arial"/>
          <w:bCs/>
          <w:sz w:val="16"/>
          <w:szCs w:val="16"/>
        </w:rPr>
        <w:t xml:space="preserve">           </w:t>
      </w:r>
      <w:r w:rsidRPr="005D4D8F">
        <w:rPr>
          <w:rFonts w:ascii="Arial" w:hAnsi="Arial" w:cs="Arial"/>
          <w:bCs/>
          <w:sz w:val="16"/>
          <w:szCs w:val="16"/>
        </w:rPr>
        <w:t>La suma de los parciales no es igual al total debido al redondeo.</w:t>
      </w:r>
    </w:p>
    <w:p w14:paraId="3E13C269" w14:textId="77777777" w:rsidR="00D20001" w:rsidRPr="003D66F7" w:rsidRDefault="00D20001" w:rsidP="00201C6E">
      <w:pPr>
        <w:autoSpaceDE w:val="0"/>
        <w:autoSpaceDN w:val="0"/>
        <w:adjustRightInd w:val="0"/>
        <w:spacing w:after="0" w:line="240" w:lineRule="auto"/>
        <w:ind w:left="-567" w:right="-518" w:firstLine="1276"/>
        <w:outlineLvl w:val="0"/>
        <w:rPr>
          <w:rFonts w:ascii="Arial" w:hAnsi="Arial" w:cs="Arial"/>
          <w:bCs/>
          <w:sz w:val="16"/>
          <w:szCs w:val="16"/>
        </w:rPr>
      </w:pPr>
    </w:p>
    <w:p w14:paraId="171602E0" w14:textId="31262256" w:rsidR="00D20001" w:rsidRPr="00AD28C1" w:rsidRDefault="008B6096" w:rsidP="00201C6E">
      <w:pPr>
        <w:spacing w:after="0" w:line="240" w:lineRule="auto"/>
        <w:jc w:val="both"/>
        <w:rPr>
          <w:rFonts w:ascii="Arial" w:hAnsi="Arial" w:cs="Arial"/>
          <w:color w:val="000000" w:themeColor="text1"/>
          <w:sz w:val="24"/>
          <w:szCs w:val="24"/>
        </w:rPr>
      </w:pPr>
      <w:r w:rsidRPr="001B7BD9">
        <w:rPr>
          <w:rFonts w:ascii="Arial" w:hAnsi="Arial" w:cs="Arial"/>
          <w:color w:val="000000" w:themeColor="text1"/>
          <w:sz w:val="24"/>
          <w:szCs w:val="24"/>
        </w:rPr>
        <w:t xml:space="preserve">Los </w:t>
      </w:r>
      <w:r w:rsidR="00002BC4" w:rsidRPr="00E876B6">
        <w:rPr>
          <w:rFonts w:ascii="Arial" w:hAnsi="Arial" w:cs="Arial"/>
          <w:i/>
          <w:color w:val="000000" w:themeColor="text1"/>
          <w:sz w:val="24"/>
          <w:szCs w:val="24"/>
        </w:rPr>
        <w:t>s</w:t>
      </w:r>
      <w:r w:rsidRPr="00E876B6">
        <w:rPr>
          <w:rFonts w:ascii="Arial" w:hAnsi="Arial" w:cs="Arial"/>
          <w:i/>
          <w:color w:val="000000" w:themeColor="text1"/>
          <w:sz w:val="24"/>
          <w:szCs w:val="24"/>
        </w:rPr>
        <w:t>ervicios de manufactura en insumos físicos que son propiedad de otros</w:t>
      </w:r>
      <w:r w:rsidRPr="001B7BD9">
        <w:rPr>
          <w:rFonts w:ascii="Arial" w:hAnsi="Arial" w:cs="Arial"/>
          <w:color w:val="000000" w:themeColor="text1"/>
          <w:sz w:val="24"/>
          <w:szCs w:val="24"/>
        </w:rPr>
        <w:t xml:space="preserve"> genera</w:t>
      </w:r>
      <w:r w:rsidR="00201C6E">
        <w:rPr>
          <w:rFonts w:ascii="Arial" w:hAnsi="Arial" w:cs="Arial"/>
          <w:color w:val="000000" w:themeColor="text1"/>
          <w:sz w:val="24"/>
          <w:szCs w:val="24"/>
        </w:rPr>
        <w:t>ro</w:t>
      </w:r>
      <w:r w:rsidRPr="001B7BD9">
        <w:rPr>
          <w:rFonts w:ascii="Arial" w:hAnsi="Arial" w:cs="Arial"/>
          <w:color w:val="000000" w:themeColor="text1"/>
          <w:sz w:val="24"/>
          <w:szCs w:val="24"/>
        </w:rPr>
        <w:t>n 79.6</w:t>
      </w:r>
      <w:r w:rsidR="003E4A58">
        <w:rPr>
          <w:rFonts w:ascii="Arial" w:hAnsi="Arial" w:cs="Arial"/>
          <w:color w:val="000000" w:themeColor="text1"/>
          <w:sz w:val="24"/>
          <w:szCs w:val="24"/>
        </w:rPr>
        <w:t xml:space="preserve"> %</w:t>
      </w:r>
      <w:r w:rsidRPr="001B7BD9">
        <w:rPr>
          <w:rFonts w:ascii="Arial" w:hAnsi="Arial" w:cs="Arial"/>
          <w:color w:val="000000" w:themeColor="text1"/>
          <w:sz w:val="24"/>
          <w:szCs w:val="24"/>
        </w:rPr>
        <w:t xml:space="preserve"> y 81.1 </w:t>
      </w:r>
      <w:r w:rsidR="00201C6E">
        <w:rPr>
          <w:rFonts w:ascii="Arial" w:hAnsi="Arial" w:cs="Arial"/>
          <w:color w:val="000000" w:themeColor="text1"/>
          <w:sz w:val="24"/>
          <w:szCs w:val="24"/>
        </w:rPr>
        <w:t>%</w:t>
      </w:r>
      <w:r w:rsidRPr="001B7BD9">
        <w:rPr>
          <w:rFonts w:ascii="Arial" w:hAnsi="Arial" w:cs="Arial"/>
          <w:color w:val="000000" w:themeColor="text1"/>
          <w:sz w:val="24"/>
          <w:szCs w:val="24"/>
        </w:rPr>
        <w:t xml:space="preserve"> del total de ingresos para 2019 y 2020</w:t>
      </w:r>
      <w:r w:rsidR="00201C6E">
        <w:rPr>
          <w:rFonts w:ascii="Arial" w:hAnsi="Arial" w:cs="Arial"/>
          <w:color w:val="000000" w:themeColor="text1"/>
          <w:sz w:val="24"/>
          <w:szCs w:val="24"/>
        </w:rPr>
        <w:t>,</w:t>
      </w:r>
      <w:r w:rsidRPr="001B7BD9">
        <w:rPr>
          <w:rFonts w:ascii="Arial" w:hAnsi="Arial" w:cs="Arial"/>
          <w:color w:val="000000" w:themeColor="text1"/>
          <w:sz w:val="24"/>
          <w:szCs w:val="24"/>
        </w:rPr>
        <w:t xml:space="preserve"> respectivamente</w:t>
      </w:r>
      <w:r w:rsidR="00201C6E">
        <w:rPr>
          <w:rFonts w:ascii="Arial" w:hAnsi="Arial" w:cs="Arial"/>
          <w:color w:val="000000" w:themeColor="text1"/>
          <w:sz w:val="24"/>
          <w:szCs w:val="24"/>
        </w:rPr>
        <w:t>. E</w:t>
      </w:r>
      <w:r w:rsidRPr="001B7BD9">
        <w:rPr>
          <w:rFonts w:ascii="Arial" w:hAnsi="Arial" w:cs="Arial"/>
          <w:color w:val="000000" w:themeColor="text1"/>
          <w:sz w:val="24"/>
          <w:szCs w:val="24"/>
        </w:rPr>
        <w:t xml:space="preserve">ste tipo de servicio es la principal fuente de ingresos por CIS. </w:t>
      </w:r>
      <w:r w:rsidR="00201C6E">
        <w:rPr>
          <w:rFonts w:ascii="Arial" w:hAnsi="Arial" w:cs="Arial"/>
          <w:color w:val="000000" w:themeColor="text1"/>
          <w:sz w:val="24"/>
          <w:szCs w:val="24"/>
        </w:rPr>
        <w:t>L</w:t>
      </w:r>
      <w:r w:rsidRPr="001B7BD9">
        <w:rPr>
          <w:rFonts w:ascii="Arial" w:hAnsi="Arial" w:cs="Arial"/>
          <w:color w:val="000000" w:themeColor="text1"/>
          <w:sz w:val="24"/>
          <w:szCs w:val="24"/>
        </w:rPr>
        <w:t xml:space="preserve">os </w:t>
      </w:r>
      <w:r w:rsidR="00002BC4" w:rsidRPr="00E876B6">
        <w:rPr>
          <w:rFonts w:ascii="Arial" w:hAnsi="Arial" w:cs="Arial"/>
          <w:i/>
          <w:color w:val="000000" w:themeColor="text1"/>
          <w:sz w:val="24"/>
          <w:szCs w:val="24"/>
        </w:rPr>
        <w:t>s</w:t>
      </w:r>
      <w:r w:rsidRPr="00E876B6">
        <w:rPr>
          <w:rFonts w:ascii="Arial" w:hAnsi="Arial" w:cs="Arial"/>
          <w:i/>
          <w:color w:val="000000" w:themeColor="text1"/>
          <w:sz w:val="24"/>
          <w:szCs w:val="24"/>
        </w:rPr>
        <w:t>ervicios personales, culturales y recreativos</w:t>
      </w:r>
      <w:r w:rsidRPr="001B7BD9">
        <w:rPr>
          <w:rFonts w:ascii="Arial" w:hAnsi="Arial" w:cs="Arial"/>
          <w:color w:val="000000" w:themeColor="text1"/>
          <w:sz w:val="24"/>
          <w:szCs w:val="24"/>
        </w:rPr>
        <w:t xml:space="preserve"> </w:t>
      </w:r>
      <w:r w:rsidR="00F32144">
        <w:rPr>
          <w:rFonts w:ascii="Arial" w:hAnsi="Arial" w:cs="Arial"/>
          <w:color w:val="000000" w:themeColor="text1"/>
          <w:sz w:val="24"/>
          <w:szCs w:val="24"/>
        </w:rPr>
        <w:t>originaron</w:t>
      </w:r>
      <w:r w:rsidR="00F32144" w:rsidRPr="001B7BD9">
        <w:rPr>
          <w:rFonts w:ascii="Arial" w:hAnsi="Arial" w:cs="Arial"/>
          <w:color w:val="000000" w:themeColor="text1"/>
          <w:sz w:val="24"/>
          <w:szCs w:val="24"/>
        </w:rPr>
        <w:t xml:space="preserve"> </w:t>
      </w:r>
      <w:r w:rsidRPr="001B7BD9">
        <w:rPr>
          <w:rFonts w:ascii="Arial" w:hAnsi="Arial" w:cs="Arial"/>
          <w:color w:val="000000" w:themeColor="text1"/>
          <w:sz w:val="24"/>
          <w:szCs w:val="24"/>
        </w:rPr>
        <w:t xml:space="preserve">0.1 % </w:t>
      </w:r>
      <w:r w:rsidR="00C03B79">
        <w:rPr>
          <w:rFonts w:ascii="Arial" w:hAnsi="Arial" w:cs="Arial"/>
          <w:color w:val="000000" w:themeColor="text1"/>
          <w:sz w:val="24"/>
          <w:szCs w:val="24"/>
        </w:rPr>
        <w:t xml:space="preserve">de los ingresos </w:t>
      </w:r>
      <w:r w:rsidRPr="001B7BD9">
        <w:rPr>
          <w:rFonts w:ascii="Arial" w:hAnsi="Arial" w:cs="Arial"/>
          <w:color w:val="000000" w:themeColor="text1"/>
          <w:sz w:val="24"/>
          <w:szCs w:val="24"/>
        </w:rPr>
        <w:t>en 2019 y 0.03 % en 2020</w:t>
      </w:r>
      <w:r w:rsidR="00FD6BB4" w:rsidRPr="001B7BD9">
        <w:rPr>
          <w:rFonts w:ascii="Arial" w:hAnsi="Arial" w:cs="Arial"/>
          <w:color w:val="000000" w:themeColor="text1"/>
          <w:sz w:val="24"/>
          <w:szCs w:val="24"/>
        </w:rPr>
        <w:t>.</w:t>
      </w:r>
    </w:p>
    <w:p w14:paraId="06767B43" w14:textId="77777777" w:rsidR="002D6A57" w:rsidRDefault="002D6A57" w:rsidP="00201C6E">
      <w:pPr>
        <w:autoSpaceDE w:val="0"/>
        <w:autoSpaceDN w:val="0"/>
        <w:adjustRightInd w:val="0"/>
        <w:spacing w:after="0" w:line="240" w:lineRule="auto"/>
        <w:ind w:left="-567" w:right="-518"/>
        <w:jc w:val="right"/>
        <w:outlineLvl w:val="0"/>
        <w:rPr>
          <w:rFonts w:ascii="Arial" w:hAnsi="Arial" w:cs="Arial"/>
          <w:bCs/>
          <w:sz w:val="20"/>
          <w:szCs w:val="20"/>
        </w:rPr>
      </w:pPr>
    </w:p>
    <w:p w14:paraId="36D5C2DE" w14:textId="77777777" w:rsidR="009D1778" w:rsidRPr="00C1339C" w:rsidRDefault="009D1778" w:rsidP="00201C6E">
      <w:pPr>
        <w:autoSpaceDE w:val="0"/>
        <w:autoSpaceDN w:val="0"/>
        <w:adjustRightInd w:val="0"/>
        <w:spacing w:after="0" w:line="240" w:lineRule="auto"/>
        <w:ind w:left="-567" w:right="21"/>
        <w:jc w:val="center"/>
        <w:outlineLvl w:val="0"/>
        <w:rPr>
          <w:rFonts w:ascii="Arial" w:hAnsi="Arial" w:cs="Arial"/>
          <w:b/>
          <w:bCs/>
          <w:sz w:val="20"/>
          <w:szCs w:val="20"/>
        </w:rPr>
      </w:pPr>
      <w:r w:rsidRPr="00C1339C">
        <w:rPr>
          <w:rFonts w:ascii="Arial" w:hAnsi="Arial" w:cs="Arial"/>
          <w:bCs/>
          <w:sz w:val="20"/>
          <w:szCs w:val="20"/>
        </w:rPr>
        <w:t>Gráfica 6</w:t>
      </w:r>
    </w:p>
    <w:p w14:paraId="41A1980A" w14:textId="1ADA8CAC" w:rsidR="009D1778" w:rsidRPr="00C03B79" w:rsidRDefault="009D1778" w:rsidP="00201C6E">
      <w:pPr>
        <w:spacing w:after="0" w:line="240" w:lineRule="auto"/>
        <w:jc w:val="center"/>
        <w:rPr>
          <w:rFonts w:ascii="Arial Negrita" w:hAnsi="Arial Negrita" w:cs="Arial"/>
          <w:b/>
          <w:smallCaps/>
          <w:szCs w:val="24"/>
        </w:rPr>
      </w:pPr>
      <w:r w:rsidRPr="00C03B79">
        <w:rPr>
          <w:rFonts w:ascii="Arial Negrita" w:hAnsi="Arial Negrita" w:cs="Arial"/>
          <w:b/>
          <w:smallCaps/>
          <w:szCs w:val="24"/>
        </w:rPr>
        <w:t>Ingresos de empresas que realizaron CIS</w:t>
      </w:r>
    </w:p>
    <w:p w14:paraId="6F5285DB" w14:textId="387B082C" w:rsidR="00051CC1" w:rsidRDefault="0054410B" w:rsidP="00201C6E">
      <w:pPr>
        <w:spacing w:after="0" w:line="240" w:lineRule="auto"/>
        <w:jc w:val="center"/>
        <w:rPr>
          <w:rFonts w:ascii="Arial" w:hAnsi="Arial" w:cs="Arial"/>
          <w:sz w:val="24"/>
          <w:szCs w:val="24"/>
        </w:rPr>
      </w:pPr>
      <w:r>
        <w:rPr>
          <w:noProof/>
        </w:rPr>
        <w:drawing>
          <wp:inline distT="0" distB="0" distL="0" distR="0" wp14:anchorId="62F54B36" wp14:editId="4399AAFD">
            <wp:extent cx="5640010" cy="2491200"/>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40010" cy="2491200"/>
                    </a:xfrm>
                    <a:prstGeom prst="rect">
                      <a:avLst/>
                    </a:prstGeom>
                  </pic:spPr>
                </pic:pic>
              </a:graphicData>
            </a:graphic>
          </wp:inline>
        </w:drawing>
      </w:r>
    </w:p>
    <w:p w14:paraId="4BE614AD" w14:textId="171E672D" w:rsidR="009D1778" w:rsidRPr="009D1778" w:rsidRDefault="00565801" w:rsidP="009D1778">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9D1778" w:rsidRPr="000830B2">
        <w:rPr>
          <w:rFonts w:ascii="Arial" w:hAnsi="Arial" w:cs="Arial"/>
          <w:bCs/>
          <w:sz w:val="16"/>
          <w:szCs w:val="16"/>
        </w:rPr>
        <w:t xml:space="preserve">Nota: </w:t>
      </w:r>
      <w:r w:rsidR="009D1778" w:rsidRPr="009D1778">
        <w:rPr>
          <w:rFonts w:ascii="Arial" w:hAnsi="Arial" w:cs="Arial"/>
          <w:bCs/>
          <w:sz w:val="16"/>
          <w:szCs w:val="16"/>
        </w:rPr>
        <w:t>Montos en millones de pesos</w:t>
      </w:r>
      <w:r w:rsidR="005B3147">
        <w:rPr>
          <w:rFonts w:ascii="Arial" w:hAnsi="Arial" w:cs="Arial"/>
          <w:bCs/>
          <w:sz w:val="16"/>
          <w:szCs w:val="16"/>
        </w:rPr>
        <w:t>.</w:t>
      </w:r>
    </w:p>
    <w:p w14:paraId="0BAB4FD6" w14:textId="77777777" w:rsidR="0054410B" w:rsidRDefault="009D1778" w:rsidP="0054410B">
      <w:pPr>
        <w:autoSpaceDE w:val="0"/>
        <w:autoSpaceDN w:val="0"/>
        <w:adjustRightInd w:val="0"/>
        <w:spacing w:after="0" w:line="240" w:lineRule="auto"/>
        <w:ind w:left="-567" w:right="-518" w:firstLine="1276"/>
        <w:outlineLvl w:val="0"/>
      </w:pPr>
      <w:r>
        <w:rPr>
          <w:rFonts w:ascii="Arial" w:hAnsi="Arial" w:cs="Arial"/>
          <w:bCs/>
          <w:sz w:val="16"/>
          <w:szCs w:val="16"/>
        </w:rPr>
        <w:t xml:space="preserve">           </w:t>
      </w:r>
      <w:r w:rsidRPr="009D1778">
        <w:rPr>
          <w:rFonts w:ascii="Arial" w:hAnsi="Arial" w:cs="Arial"/>
          <w:bCs/>
          <w:sz w:val="16"/>
          <w:szCs w:val="16"/>
        </w:rPr>
        <w:t>Porcentajes obtenidos respecto del total de ingresos.</w:t>
      </w:r>
      <w:r w:rsidR="0054410B" w:rsidRPr="0054410B">
        <w:t xml:space="preserve"> </w:t>
      </w:r>
    </w:p>
    <w:p w14:paraId="7BAE535C" w14:textId="77777777" w:rsidR="00565801" w:rsidRPr="00565801" w:rsidRDefault="0054410B" w:rsidP="00565801">
      <w:pPr>
        <w:autoSpaceDE w:val="0"/>
        <w:autoSpaceDN w:val="0"/>
        <w:adjustRightInd w:val="0"/>
        <w:ind w:left="-567" w:right="-518" w:firstLine="1276"/>
        <w:outlineLvl w:val="0"/>
        <w:rPr>
          <w:rFonts w:ascii="Arial" w:hAnsi="Arial" w:cs="Arial"/>
          <w:bCs/>
          <w:sz w:val="16"/>
          <w:szCs w:val="16"/>
        </w:rPr>
      </w:pPr>
      <w:r>
        <w:rPr>
          <w:rFonts w:ascii="Arial" w:hAnsi="Arial" w:cs="Arial"/>
          <w:bCs/>
          <w:sz w:val="16"/>
          <w:szCs w:val="16"/>
        </w:rPr>
        <w:t xml:space="preserve">           </w:t>
      </w:r>
      <w:r w:rsidR="00565801" w:rsidRPr="00565801">
        <w:rPr>
          <w:rFonts w:ascii="Arial" w:hAnsi="Arial" w:cs="Arial"/>
          <w:bCs/>
          <w:sz w:val="16"/>
          <w:szCs w:val="16"/>
        </w:rPr>
        <w:t>La suma de los porcentajes no es igual a cien por ciento debido al redondeo.</w:t>
      </w:r>
    </w:p>
    <w:p w14:paraId="49D8A629" w14:textId="77777777" w:rsidR="00C83846" w:rsidRDefault="00DF3862" w:rsidP="00203E82">
      <w:pPr>
        <w:spacing w:after="0" w:line="240" w:lineRule="auto"/>
        <w:jc w:val="both"/>
        <w:rPr>
          <w:rFonts w:ascii="Arial" w:hAnsi="Arial" w:cs="Arial"/>
          <w:color w:val="000000" w:themeColor="text1"/>
          <w:sz w:val="24"/>
          <w:szCs w:val="24"/>
        </w:rPr>
      </w:pPr>
      <w:r w:rsidRPr="001B7BD9">
        <w:rPr>
          <w:rFonts w:ascii="Arial" w:hAnsi="Arial" w:cs="Arial"/>
          <w:color w:val="000000" w:themeColor="text1"/>
          <w:sz w:val="24"/>
          <w:szCs w:val="24"/>
        </w:rPr>
        <w:lastRenderedPageBreak/>
        <w:t xml:space="preserve">En 2020, la principal fuente de ingresos por exportaciones de las empresas grandes </w:t>
      </w:r>
      <w:r w:rsidR="00203E82">
        <w:rPr>
          <w:rFonts w:ascii="Arial" w:hAnsi="Arial" w:cs="Arial"/>
          <w:color w:val="000000" w:themeColor="text1"/>
          <w:sz w:val="24"/>
          <w:szCs w:val="24"/>
        </w:rPr>
        <w:t>fueron</w:t>
      </w:r>
      <w:r w:rsidRPr="001B7BD9">
        <w:rPr>
          <w:rFonts w:ascii="Arial" w:hAnsi="Arial" w:cs="Arial"/>
          <w:color w:val="000000" w:themeColor="text1"/>
          <w:sz w:val="24"/>
          <w:szCs w:val="24"/>
        </w:rPr>
        <w:t xml:space="preserve"> los </w:t>
      </w:r>
      <w:r w:rsidR="00C1339C" w:rsidRPr="00E876B6">
        <w:rPr>
          <w:rFonts w:ascii="Arial" w:hAnsi="Arial" w:cs="Arial"/>
          <w:i/>
          <w:color w:val="000000" w:themeColor="text1"/>
          <w:sz w:val="24"/>
          <w:szCs w:val="24"/>
        </w:rPr>
        <w:t>s</w:t>
      </w:r>
      <w:r w:rsidRPr="00E876B6">
        <w:rPr>
          <w:rFonts w:ascii="Arial" w:hAnsi="Arial" w:cs="Arial"/>
          <w:i/>
          <w:color w:val="000000" w:themeColor="text1"/>
          <w:sz w:val="24"/>
          <w:szCs w:val="24"/>
        </w:rPr>
        <w:t>ervicios de manufactura en insumos físicos que son propiedad de otros</w:t>
      </w:r>
      <w:r w:rsidR="00041129">
        <w:rPr>
          <w:rFonts w:ascii="Arial" w:hAnsi="Arial" w:cs="Arial"/>
          <w:iCs/>
          <w:color w:val="000000" w:themeColor="text1"/>
          <w:sz w:val="24"/>
          <w:szCs w:val="24"/>
        </w:rPr>
        <w:t>,</w:t>
      </w:r>
      <w:r w:rsidRPr="001B7BD9">
        <w:rPr>
          <w:rFonts w:ascii="Arial" w:hAnsi="Arial" w:cs="Arial"/>
          <w:color w:val="000000" w:themeColor="text1"/>
          <w:sz w:val="24"/>
          <w:szCs w:val="24"/>
        </w:rPr>
        <w:t xml:space="preserve"> </w:t>
      </w:r>
      <w:r w:rsidR="00203E82">
        <w:rPr>
          <w:rFonts w:ascii="Arial" w:hAnsi="Arial" w:cs="Arial"/>
          <w:color w:val="000000" w:themeColor="text1"/>
          <w:sz w:val="24"/>
          <w:szCs w:val="24"/>
        </w:rPr>
        <w:t>con</w:t>
      </w:r>
      <w:r w:rsidRPr="001B7BD9">
        <w:rPr>
          <w:rFonts w:ascii="Arial" w:hAnsi="Arial" w:cs="Arial"/>
          <w:color w:val="000000" w:themeColor="text1"/>
          <w:sz w:val="24"/>
          <w:szCs w:val="24"/>
        </w:rPr>
        <w:t xml:space="preserve"> 82.</w:t>
      </w:r>
      <w:r w:rsidR="00EF472D">
        <w:rPr>
          <w:rFonts w:ascii="Arial" w:hAnsi="Arial" w:cs="Arial"/>
          <w:color w:val="000000" w:themeColor="text1"/>
          <w:sz w:val="24"/>
          <w:szCs w:val="24"/>
        </w:rPr>
        <w:t>4</w:t>
      </w:r>
      <w:r w:rsidRPr="001B7BD9">
        <w:rPr>
          <w:rFonts w:ascii="Arial" w:hAnsi="Arial" w:cs="Arial"/>
          <w:color w:val="000000" w:themeColor="text1"/>
          <w:sz w:val="24"/>
          <w:szCs w:val="24"/>
        </w:rPr>
        <w:t xml:space="preserve"> % del total generado</w:t>
      </w:r>
      <w:r w:rsidR="00041129">
        <w:rPr>
          <w:rFonts w:ascii="Arial" w:hAnsi="Arial" w:cs="Arial"/>
          <w:color w:val="000000" w:themeColor="text1"/>
          <w:sz w:val="24"/>
          <w:szCs w:val="24"/>
        </w:rPr>
        <w:t xml:space="preserve">. </w:t>
      </w:r>
    </w:p>
    <w:p w14:paraId="08D92C14" w14:textId="77777777" w:rsidR="00C83846" w:rsidRDefault="00C83846" w:rsidP="00203E82">
      <w:pPr>
        <w:spacing w:after="0" w:line="240" w:lineRule="auto"/>
        <w:jc w:val="both"/>
        <w:rPr>
          <w:rFonts w:ascii="Arial" w:hAnsi="Arial" w:cs="Arial"/>
          <w:color w:val="000000" w:themeColor="text1"/>
          <w:sz w:val="24"/>
          <w:szCs w:val="24"/>
        </w:rPr>
      </w:pPr>
    </w:p>
    <w:p w14:paraId="6070BEE2" w14:textId="77777777" w:rsidR="00C83846" w:rsidRDefault="00041129" w:rsidP="00203E8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 </w:t>
      </w:r>
      <w:r w:rsidR="00DF3862" w:rsidRPr="001B7BD9">
        <w:rPr>
          <w:rFonts w:ascii="Arial" w:hAnsi="Arial" w:cs="Arial"/>
          <w:color w:val="000000" w:themeColor="text1"/>
          <w:sz w:val="24"/>
          <w:szCs w:val="24"/>
        </w:rPr>
        <w:t xml:space="preserve">las empresas medianas, este servicio </w:t>
      </w:r>
      <w:r w:rsidR="00203E82">
        <w:rPr>
          <w:rFonts w:ascii="Arial" w:hAnsi="Arial" w:cs="Arial"/>
          <w:color w:val="000000" w:themeColor="text1"/>
          <w:sz w:val="24"/>
          <w:szCs w:val="24"/>
        </w:rPr>
        <w:t>contribuyó con</w:t>
      </w:r>
      <w:r w:rsidR="00DF3862" w:rsidRPr="001B7BD9">
        <w:rPr>
          <w:rFonts w:ascii="Arial" w:hAnsi="Arial" w:cs="Arial"/>
          <w:color w:val="000000" w:themeColor="text1"/>
          <w:sz w:val="24"/>
          <w:szCs w:val="24"/>
        </w:rPr>
        <w:t xml:space="preserve"> 79.5 % del total. </w:t>
      </w:r>
      <w:r w:rsidR="00203E82">
        <w:rPr>
          <w:rFonts w:ascii="Arial" w:hAnsi="Arial" w:cs="Arial"/>
          <w:color w:val="000000" w:themeColor="text1"/>
          <w:sz w:val="24"/>
          <w:szCs w:val="24"/>
        </w:rPr>
        <w:t>Los</w:t>
      </w:r>
      <w:r w:rsidR="00DF3862" w:rsidRPr="001B7BD9">
        <w:rPr>
          <w:rFonts w:ascii="Arial" w:hAnsi="Arial" w:cs="Arial"/>
          <w:color w:val="000000" w:themeColor="text1"/>
          <w:sz w:val="24"/>
          <w:szCs w:val="24"/>
        </w:rPr>
        <w:t xml:space="preserve"> </w:t>
      </w:r>
      <w:r w:rsidR="00C1339C" w:rsidRPr="00E876B6">
        <w:rPr>
          <w:rFonts w:ascii="Arial" w:hAnsi="Arial" w:cs="Arial"/>
          <w:i/>
          <w:color w:val="000000" w:themeColor="text1"/>
          <w:sz w:val="24"/>
          <w:szCs w:val="24"/>
        </w:rPr>
        <w:t>o</w:t>
      </w:r>
      <w:r w:rsidR="00DF3862" w:rsidRPr="00E876B6">
        <w:rPr>
          <w:rFonts w:ascii="Arial" w:hAnsi="Arial" w:cs="Arial"/>
          <w:i/>
          <w:color w:val="000000" w:themeColor="text1"/>
          <w:sz w:val="24"/>
          <w:szCs w:val="24"/>
        </w:rPr>
        <w:t>tros servicios empresariales</w:t>
      </w:r>
      <w:r w:rsidR="00DF3862" w:rsidRPr="001B7BD9">
        <w:rPr>
          <w:rFonts w:ascii="Arial" w:hAnsi="Arial" w:cs="Arial"/>
          <w:color w:val="000000" w:themeColor="text1"/>
          <w:sz w:val="24"/>
          <w:szCs w:val="24"/>
        </w:rPr>
        <w:t xml:space="preserve"> </w:t>
      </w:r>
      <w:r w:rsidR="00203E82">
        <w:rPr>
          <w:rFonts w:ascii="Arial" w:hAnsi="Arial" w:cs="Arial"/>
          <w:color w:val="000000" w:themeColor="text1"/>
          <w:sz w:val="24"/>
          <w:szCs w:val="24"/>
        </w:rPr>
        <w:t>genera</w:t>
      </w:r>
      <w:r w:rsidR="00E876B6">
        <w:rPr>
          <w:rFonts w:ascii="Arial" w:hAnsi="Arial" w:cs="Arial"/>
          <w:color w:val="000000" w:themeColor="text1"/>
          <w:sz w:val="24"/>
          <w:szCs w:val="24"/>
        </w:rPr>
        <w:t>ro</w:t>
      </w:r>
      <w:r w:rsidR="00203E82">
        <w:rPr>
          <w:rFonts w:ascii="Arial" w:hAnsi="Arial" w:cs="Arial"/>
          <w:color w:val="000000" w:themeColor="text1"/>
          <w:sz w:val="24"/>
          <w:szCs w:val="24"/>
        </w:rPr>
        <w:t xml:space="preserve">n 60.7 % del total de ingresos en </w:t>
      </w:r>
      <w:r w:rsidR="00DF3862" w:rsidRPr="001B7BD9">
        <w:rPr>
          <w:rFonts w:ascii="Arial" w:hAnsi="Arial" w:cs="Arial"/>
          <w:color w:val="000000" w:themeColor="text1"/>
          <w:sz w:val="24"/>
          <w:szCs w:val="24"/>
        </w:rPr>
        <w:t>las empresas pequeñas</w:t>
      </w:r>
      <w:r w:rsidR="00203E82">
        <w:rPr>
          <w:rFonts w:ascii="Arial" w:hAnsi="Arial" w:cs="Arial"/>
          <w:color w:val="000000" w:themeColor="text1"/>
          <w:sz w:val="24"/>
          <w:szCs w:val="24"/>
        </w:rPr>
        <w:t xml:space="preserve">. </w:t>
      </w:r>
    </w:p>
    <w:p w14:paraId="23E77827" w14:textId="77777777" w:rsidR="00C83846" w:rsidRDefault="00C83846" w:rsidP="00203E82">
      <w:pPr>
        <w:spacing w:after="0" w:line="240" w:lineRule="auto"/>
        <w:jc w:val="both"/>
        <w:rPr>
          <w:rFonts w:ascii="Arial" w:hAnsi="Arial" w:cs="Arial"/>
          <w:color w:val="000000" w:themeColor="text1"/>
          <w:sz w:val="24"/>
          <w:szCs w:val="24"/>
        </w:rPr>
      </w:pPr>
    </w:p>
    <w:p w14:paraId="4FD8EB98" w14:textId="77777777" w:rsidR="00C83846" w:rsidRDefault="00C83846" w:rsidP="00203E82">
      <w:pPr>
        <w:spacing w:after="0" w:line="240" w:lineRule="auto"/>
        <w:jc w:val="both"/>
        <w:rPr>
          <w:rFonts w:ascii="Arial" w:hAnsi="Arial" w:cs="Arial"/>
          <w:color w:val="000000" w:themeColor="text1"/>
          <w:sz w:val="24"/>
          <w:szCs w:val="24"/>
        </w:rPr>
      </w:pPr>
    </w:p>
    <w:p w14:paraId="69C8C52D" w14:textId="01F930FC" w:rsidR="00457D21" w:rsidRDefault="00203E82" w:rsidP="00203E8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En</w:t>
      </w:r>
      <w:r w:rsidR="00DF3862" w:rsidRPr="001B7BD9">
        <w:rPr>
          <w:rFonts w:ascii="Arial" w:hAnsi="Arial" w:cs="Arial"/>
          <w:color w:val="000000" w:themeColor="text1"/>
          <w:sz w:val="24"/>
          <w:szCs w:val="24"/>
        </w:rPr>
        <w:t xml:space="preserve"> cuanto a las empresas micro, los </w:t>
      </w:r>
      <w:r w:rsidR="00C1339C" w:rsidRPr="00E876B6">
        <w:rPr>
          <w:rFonts w:ascii="Arial" w:hAnsi="Arial" w:cs="Arial"/>
          <w:i/>
          <w:color w:val="000000" w:themeColor="text1"/>
          <w:sz w:val="24"/>
          <w:szCs w:val="24"/>
        </w:rPr>
        <w:t>s</w:t>
      </w:r>
      <w:r w:rsidR="00DF3862" w:rsidRPr="00E876B6">
        <w:rPr>
          <w:rFonts w:ascii="Arial" w:hAnsi="Arial" w:cs="Arial"/>
          <w:i/>
          <w:color w:val="000000" w:themeColor="text1"/>
          <w:sz w:val="24"/>
          <w:szCs w:val="24"/>
        </w:rPr>
        <w:t>ervicios de telecomunicaciones, informática e información</w:t>
      </w:r>
      <w:r w:rsidR="00DF3862" w:rsidRPr="00E85CA4">
        <w:rPr>
          <w:rFonts w:ascii="Arial" w:hAnsi="Arial" w:cs="Arial"/>
          <w:iCs/>
          <w:color w:val="000000" w:themeColor="text1"/>
          <w:sz w:val="24"/>
          <w:szCs w:val="24"/>
        </w:rPr>
        <w:t xml:space="preserve"> y </w:t>
      </w:r>
      <w:r w:rsidR="00C1339C" w:rsidRPr="00E876B6">
        <w:rPr>
          <w:rFonts w:ascii="Arial" w:hAnsi="Arial" w:cs="Arial"/>
          <w:i/>
          <w:color w:val="000000" w:themeColor="text1"/>
          <w:sz w:val="24"/>
          <w:szCs w:val="24"/>
        </w:rPr>
        <w:t>o</w:t>
      </w:r>
      <w:r w:rsidR="00DF3862" w:rsidRPr="00E876B6">
        <w:rPr>
          <w:rFonts w:ascii="Arial" w:hAnsi="Arial" w:cs="Arial"/>
          <w:i/>
          <w:color w:val="000000" w:themeColor="text1"/>
          <w:sz w:val="24"/>
          <w:szCs w:val="24"/>
        </w:rPr>
        <w:t>tros servicios empresariales</w:t>
      </w:r>
      <w:r w:rsidR="00DF3862" w:rsidRPr="00E85CA4">
        <w:rPr>
          <w:rFonts w:ascii="Arial" w:hAnsi="Arial" w:cs="Arial"/>
          <w:iCs/>
          <w:color w:val="000000" w:themeColor="text1"/>
          <w:sz w:val="24"/>
          <w:szCs w:val="24"/>
        </w:rPr>
        <w:t xml:space="preserve"> </w:t>
      </w:r>
      <w:r>
        <w:rPr>
          <w:rFonts w:ascii="Arial" w:hAnsi="Arial" w:cs="Arial"/>
          <w:color w:val="000000" w:themeColor="text1"/>
          <w:sz w:val="24"/>
          <w:szCs w:val="24"/>
        </w:rPr>
        <w:t>les genera</w:t>
      </w:r>
      <w:r w:rsidR="00403AC2">
        <w:rPr>
          <w:rFonts w:ascii="Arial" w:hAnsi="Arial" w:cs="Arial"/>
          <w:color w:val="000000" w:themeColor="text1"/>
          <w:sz w:val="24"/>
          <w:szCs w:val="24"/>
        </w:rPr>
        <w:t>ro</w:t>
      </w:r>
      <w:r>
        <w:rPr>
          <w:rFonts w:ascii="Arial" w:hAnsi="Arial" w:cs="Arial"/>
          <w:color w:val="000000" w:themeColor="text1"/>
          <w:sz w:val="24"/>
          <w:szCs w:val="24"/>
        </w:rPr>
        <w:t>n ingresos ligeramente</w:t>
      </w:r>
      <w:r w:rsidR="00DF3862" w:rsidRPr="001B7BD9">
        <w:rPr>
          <w:rFonts w:ascii="Arial" w:hAnsi="Arial" w:cs="Arial"/>
          <w:color w:val="000000" w:themeColor="text1"/>
          <w:sz w:val="24"/>
          <w:szCs w:val="24"/>
        </w:rPr>
        <w:t xml:space="preserve"> superiores a</w:t>
      </w:r>
      <w:r>
        <w:rPr>
          <w:rFonts w:ascii="Arial" w:hAnsi="Arial" w:cs="Arial"/>
          <w:color w:val="000000" w:themeColor="text1"/>
          <w:sz w:val="24"/>
          <w:szCs w:val="24"/>
        </w:rPr>
        <w:t xml:space="preserve"> </w:t>
      </w:r>
      <w:r w:rsidR="00DF3862" w:rsidRPr="001B7BD9">
        <w:rPr>
          <w:rFonts w:ascii="Arial" w:hAnsi="Arial" w:cs="Arial"/>
          <w:color w:val="000000" w:themeColor="text1"/>
          <w:sz w:val="24"/>
          <w:szCs w:val="24"/>
        </w:rPr>
        <w:t>31</w:t>
      </w:r>
      <w:r w:rsidR="00227C12">
        <w:rPr>
          <w:rFonts w:ascii="Arial" w:hAnsi="Arial" w:cs="Arial"/>
          <w:color w:val="000000" w:themeColor="text1"/>
          <w:sz w:val="24"/>
          <w:szCs w:val="24"/>
        </w:rPr>
        <w:t>.0</w:t>
      </w:r>
      <w:r>
        <w:rPr>
          <w:rFonts w:ascii="Arial" w:hAnsi="Arial" w:cs="Arial"/>
          <w:color w:val="000000" w:themeColor="text1"/>
          <w:sz w:val="24"/>
          <w:szCs w:val="24"/>
        </w:rPr>
        <w:t xml:space="preserve"> %</w:t>
      </w:r>
      <w:r w:rsidR="00E85CA4">
        <w:rPr>
          <w:rFonts w:ascii="Arial" w:hAnsi="Arial" w:cs="Arial"/>
          <w:color w:val="000000" w:themeColor="text1"/>
          <w:sz w:val="24"/>
          <w:szCs w:val="24"/>
        </w:rPr>
        <w:t xml:space="preserve"> con</w:t>
      </w:r>
      <w:r>
        <w:rPr>
          <w:rFonts w:ascii="Arial" w:hAnsi="Arial" w:cs="Arial"/>
          <w:color w:val="000000" w:themeColor="text1"/>
          <w:sz w:val="24"/>
          <w:szCs w:val="24"/>
        </w:rPr>
        <w:t xml:space="preserve"> respecto del total</w:t>
      </w:r>
      <w:r w:rsidR="00E85CA4">
        <w:rPr>
          <w:rFonts w:ascii="Arial" w:hAnsi="Arial" w:cs="Arial"/>
          <w:color w:val="000000" w:themeColor="text1"/>
          <w:sz w:val="24"/>
          <w:szCs w:val="24"/>
        </w:rPr>
        <w:t>.</w:t>
      </w:r>
    </w:p>
    <w:p w14:paraId="1DF05D19" w14:textId="77777777" w:rsidR="00203E82" w:rsidRDefault="00203E82" w:rsidP="00203E82">
      <w:pPr>
        <w:autoSpaceDE w:val="0"/>
        <w:autoSpaceDN w:val="0"/>
        <w:adjustRightInd w:val="0"/>
        <w:spacing w:after="0" w:line="240" w:lineRule="auto"/>
        <w:ind w:left="-567" w:right="21"/>
        <w:jc w:val="right"/>
        <w:outlineLvl w:val="0"/>
        <w:rPr>
          <w:rFonts w:ascii="Arial" w:hAnsi="Arial" w:cs="Arial"/>
          <w:bCs/>
          <w:sz w:val="20"/>
          <w:szCs w:val="20"/>
        </w:rPr>
      </w:pPr>
    </w:p>
    <w:p w14:paraId="56414BBA" w14:textId="0B5A3001" w:rsidR="002D4EC6" w:rsidRPr="00FE1E0E" w:rsidRDefault="002D4EC6" w:rsidP="00203E82">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sidR="004005DC">
        <w:rPr>
          <w:rFonts w:ascii="Arial" w:hAnsi="Arial" w:cs="Arial"/>
          <w:bCs/>
          <w:sz w:val="20"/>
          <w:szCs w:val="20"/>
        </w:rPr>
        <w:t>7</w:t>
      </w:r>
    </w:p>
    <w:p w14:paraId="22030C7E" w14:textId="61921272" w:rsidR="002D4EC6" w:rsidRPr="00203E82" w:rsidRDefault="002D4EC6" w:rsidP="00203E82">
      <w:pPr>
        <w:spacing w:after="0" w:line="240" w:lineRule="auto"/>
        <w:jc w:val="center"/>
        <w:rPr>
          <w:rFonts w:ascii="Arial Negrita" w:hAnsi="Arial Negrita" w:cs="Arial"/>
          <w:b/>
          <w:smallCaps/>
          <w:szCs w:val="24"/>
        </w:rPr>
      </w:pPr>
      <w:r w:rsidRPr="00203E82">
        <w:rPr>
          <w:rFonts w:ascii="Arial Negrita" w:hAnsi="Arial Negrita" w:cs="Arial"/>
          <w:b/>
          <w:smallCaps/>
          <w:szCs w:val="24"/>
        </w:rPr>
        <w:t xml:space="preserve">Ingresos de empresas que realizaron CIS </w:t>
      </w:r>
      <w:r w:rsidR="00227C12">
        <w:rPr>
          <w:rFonts w:ascii="Arial Negrita" w:hAnsi="Arial Negrita" w:cs="Arial"/>
          <w:b/>
          <w:smallCaps/>
          <w:szCs w:val="24"/>
        </w:rPr>
        <w:t>según</w:t>
      </w:r>
      <w:r w:rsidRPr="00203E82">
        <w:rPr>
          <w:rFonts w:ascii="Arial Negrita" w:hAnsi="Arial Negrita" w:cs="Arial"/>
          <w:b/>
          <w:smallCaps/>
          <w:szCs w:val="24"/>
        </w:rPr>
        <w:t xml:space="preserve"> tamaño de empresa, 2020</w:t>
      </w:r>
    </w:p>
    <w:p w14:paraId="6A030328" w14:textId="7371BB2C" w:rsidR="002D4EC6" w:rsidRPr="004F2B9B" w:rsidRDefault="00D35BF1" w:rsidP="00227C12">
      <w:pPr>
        <w:spacing w:after="0" w:line="240" w:lineRule="auto"/>
        <w:jc w:val="center"/>
        <w:rPr>
          <w:rFonts w:ascii="Arial Negrita" w:hAnsi="Arial Negrita" w:cs="Arial"/>
          <w:sz w:val="24"/>
          <w:szCs w:val="24"/>
        </w:rPr>
      </w:pPr>
      <w:r>
        <w:rPr>
          <w:noProof/>
        </w:rPr>
        <w:drawing>
          <wp:inline distT="0" distB="0" distL="0" distR="0" wp14:anchorId="6C5EE255" wp14:editId="3370F576">
            <wp:extent cx="6404610" cy="2924175"/>
            <wp:effectExtent l="0" t="0" r="0" b="9525"/>
            <wp:docPr id="2" name="Imagen 2"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en cascada&#10;&#10;Descripción generada automáticamente"/>
                    <pic:cNvPicPr/>
                  </pic:nvPicPr>
                  <pic:blipFill>
                    <a:blip r:embed="rId14"/>
                    <a:stretch>
                      <a:fillRect/>
                    </a:stretch>
                  </pic:blipFill>
                  <pic:spPr>
                    <a:xfrm>
                      <a:off x="0" y="0"/>
                      <a:ext cx="6404610" cy="2924175"/>
                    </a:xfrm>
                    <a:prstGeom prst="rect">
                      <a:avLst/>
                    </a:prstGeom>
                  </pic:spPr>
                </pic:pic>
              </a:graphicData>
            </a:graphic>
          </wp:inline>
        </w:drawing>
      </w:r>
    </w:p>
    <w:p w14:paraId="109CF704" w14:textId="6A1DD086" w:rsidR="004005DC" w:rsidRPr="004005DC" w:rsidRDefault="00D35BF1" w:rsidP="00227C12">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2D4EC6" w:rsidRPr="000830B2">
        <w:rPr>
          <w:rFonts w:ascii="Arial" w:hAnsi="Arial" w:cs="Arial"/>
          <w:bCs/>
          <w:sz w:val="16"/>
          <w:szCs w:val="16"/>
        </w:rPr>
        <w:t xml:space="preserve">Nota: </w:t>
      </w:r>
      <w:r w:rsidR="004005DC" w:rsidRPr="004005DC">
        <w:rPr>
          <w:rFonts w:ascii="Arial" w:hAnsi="Arial" w:cs="Arial"/>
          <w:bCs/>
          <w:sz w:val="16"/>
          <w:szCs w:val="16"/>
        </w:rPr>
        <w:t>Montos en millones de pesos</w:t>
      </w:r>
      <w:r w:rsidR="00E62451">
        <w:rPr>
          <w:rFonts w:ascii="Arial" w:hAnsi="Arial" w:cs="Arial"/>
          <w:bCs/>
          <w:sz w:val="16"/>
          <w:szCs w:val="16"/>
        </w:rPr>
        <w:t>.</w:t>
      </w:r>
    </w:p>
    <w:p w14:paraId="4E785B98" w14:textId="77777777" w:rsidR="0054410B" w:rsidRDefault="004005DC" w:rsidP="00227C12">
      <w:pPr>
        <w:autoSpaceDE w:val="0"/>
        <w:autoSpaceDN w:val="0"/>
        <w:adjustRightInd w:val="0"/>
        <w:spacing w:after="0" w:line="240" w:lineRule="auto"/>
        <w:ind w:left="-567" w:right="-518" w:firstLine="1276"/>
        <w:outlineLvl w:val="0"/>
      </w:pPr>
      <w:r>
        <w:rPr>
          <w:rFonts w:ascii="Arial" w:hAnsi="Arial" w:cs="Arial"/>
          <w:bCs/>
          <w:sz w:val="16"/>
          <w:szCs w:val="16"/>
        </w:rPr>
        <w:t xml:space="preserve">           </w:t>
      </w:r>
      <w:r w:rsidRPr="004005DC">
        <w:rPr>
          <w:rFonts w:ascii="Arial" w:hAnsi="Arial" w:cs="Arial"/>
          <w:bCs/>
          <w:sz w:val="16"/>
          <w:szCs w:val="16"/>
        </w:rPr>
        <w:t>Porcentajes obtenidos respecto del total de ingresos por tamaño de empresa.</w:t>
      </w:r>
      <w:r w:rsidR="0054410B" w:rsidRPr="0054410B">
        <w:t xml:space="preserve"> </w:t>
      </w:r>
    </w:p>
    <w:p w14:paraId="458D6F5A" w14:textId="77777777" w:rsidR="00D35BF1" w:rsidRPr="00565801" w:rsidRDefault="0054410B" w:rsidP="00227C12">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D35BF1" w:rsidRPr="00565801">
        <w:rPr>
          <w:rFonts w:ascii="Arial" w:hAnsi="Arial" w:cs="Arial"/>
          <w:bCs/>
          <w:sz w:val="16"/>
          <w:szCs w:val="16"/>
        </w:rPr>
        <w:t>La suma de los porcentajes no es igual a cien por ciento debido al redondeo.</w:t>
      </w:r>
    </w:p>
    <w:p w14:paraId="20B4D250" w14:textId="5DF5AD5B" w:rsidR="00A21D92" w:rsidRDefault="00A21D92" w:rsidP="00227C12">
      <w:pPr>
        <w:autoSpaceDE w:val="0"/>
        <w:autoSpaceDN w:val="0"/>
        <w:adjustRightInd w:val="0"/>
        <w:spacing w:after="0" w:line="240" w:lineRule="auto"/>
        <w:ind w:left="-567" w:right="-518" w:firstLine="1276"/>
        <w:outlineLvl w:val="0"/>
        <w:rPr>
          <w:rFonts w:ascii="Arial" w:hAnsi="Arial" w:cs="Arial"/>
          <w:color w:val="000000" w:themeColor="text1"/>
          <w:sz w:val="24"/>
          <w:szCs w:val="24"/>
        </w:rPr>
      </w:pPr>
    </w:p>
    <w:p w14:paraId="29E2A745" w14:textId="77777777" w:rsidR="00227C12" w:rsidRDefault="00227C12" w:rsidP="00227C12">
      <w:pPr>
        <w:spacing w:after="0" w:line="240" w:lineRule="auto"/>
        <w:jc w:val="both"/>
        <w:rPr>
          <w:rFonts w:ascii="Arial" w:hAnsi="Arial" w:cs="Arial"/>
          <w:color w:val="000000" w:themeColor="text1"/>
          <w:sz w:val="24"/>
          <w:szCs w:val="24"/>
        </w:rPr>
      </w:pPr>
    </w:p>
    <w:p w14:paraId="6BF2B0EA" w14:textId="77777777" w:rsidR="00C83846" w:rsidRDefault="00C83846" w:rsidP="00227C12">
      <w:pPr>
        <w:spacing w:after="0" w:line="240" w:lineRule="auto"/>
        <w:jc w:val="both"/>
        <w:rPr>
          <w:rFonts w:ascii="Arial" w:hAnsi="Arial" w:cs="Arial"/>
          <w:color w:val="000000" w:themeColor="text1"/>
          <w:sz w:val="24"/>
          <w:szCs w:val="24"/>
        </w:rPr>
      </w:pPr>
    </w:p>
    <w:p w14:paraId="5BE0A28A" w14:textId="77777777" w:rsidR="00C83846" w:rsidRDefault="00C83846" w:rsidP="00227C12">
      <w:pPr>
        <w:spacing w:after="0" w:line="240" w:lineRule="auto"/>
        <w:jc w:val="both"/>
        <w:rPr>
          <w:rFonts w:ascii="Arial" w:hAnsi="Arial" w:cs="Arial"/>
          <w:color w:val="000000" w:themeColor="text1"/>
          <w:sz w:val="24"/>
          <w:szCs w:val="24"/>
        </w:rPr>
      </w:pPr>
    </w:p>
    <w:p w14:paraId="48A88789" w14:textId="77777777" w:rsidR="00C83846" w:rsidRDefault="00C83846" w:rsidP="00227C12">
      <w:pPr>
        <w:spacing w:after="0" w:line="240" w:lineRule="auto"/>
        <w:jc w:val="both"/>
        <w:rPr>
          <w:rFonts w:ascii="Arial" w:hAnsi="Arial" w:cs="Arial"/>
          <w:color w:val="000000" w:themeColor="text1"/>
          <w:sz w:val="24"/>
          <w:szCs w:val="24"/>
        </w:rPr>
      </w:pPr>
    </w:p>
    <w:p w14:paraId="1B7C5049" w14:textId="77777777" w:rsidR="00C83846" w:rsidRDefault="00C83846" w:rsidP="00227C12">
      <w:pPr>
        <w:spacing w:after="0" w:line="240" w:lineRule="auto"/>
        <w:jc w:val="both"/>
        <w:rPr>
          <w:rFonts w:ascii="Arial" w:hAnsi="Arial" w:cs="Arial"/>
          <w:color w:val="000000" w:themeColor="text1"/>
          <w:sz w:val="24"/>
          <w:szCs w:val="24"/>
        </w:rPr>
      </w:pPr>
    </w:p>
    <w:p w14:paraId="0418879C" w14:textId="77777777" w:rsidR="00C83846" w:rsidRDefault="00C83846" w:rsidP="00227C12">
      <w:pPr>
        <w:spacing w:after="0" w:line="240" w:lineRule="auto"/>
        <w:jc w:val="both"/>
        <w:rPr>
          <w:rFonts w:ascii="Arial" w:hAnsi="Arial" w:cs="Arial"/>
          <w:color w:val="000000" w:themeColor="text1"/>
          <w:sz w:val="24"/>
          <w:szCs w:val="24"/>
        </w:rPr>
      </w:pPr>
    </w:p>
    <w:p w14:paraId="5E2125D4" w14:textId="77777777" w:rsidR="00C83846" w:rsidRDefault="00C83846" w:rsidP="00227C12">
      <w:pPr>
        <w:spacing w:after="0" w:line="240" w:lineRule="auto"/>
        <w:jc w:val="both"/>
        <w:rPr>
          <w:rFonts w:ascii="Arial" w:hAnsi="Arial" w:cs="Arial"/>
          <w:color w:val="000000" w:themeColor="text1"/>
          <w:sz w:val="24"/>
          <w:szCs w:val="24"/>
        </w:rPr>
      </w:pPr>
    </w:p>
    <w:p w14:paraId="17C6185C" w14:textId="77777777" w:rsidR="00C83846" w:rsidRDefault="00C83846" w:rsidP="00227C12">
      <w:pPr>
        <w:spacing w:after="0" w:line="240" w:lineRule="auto"/>
        <w:jc w:val="both"/>
        <w:rPr>
          <w:rFonts w:ascii="Arial" w:hAnsi="Arial" w:cs="Arial"/>
          <w:color w:val="000000" w:themeColor="text1"/>
          <w:sz w:val="24"/>
          <w:szCs w:val="24"/>
        </w:rPr>
      </w:pPr>
    </w:p>
    <w:p w14:paraId="357701B8" w14:textId="77777777" w:rsidR="00C83846" w:rsidRDefault="00C83846" w:rsidP="00227C12">
      <w:pPr>
        <w:spacing w:after="0" w:line="240" w:lineRule="auto"/>
        <w:jc w:val="both"/>
        <w:rPr>
          <w:rFonts w:ascii="Arial" w:hAnsi="Arial" w:cs="Arial"/>
          <w:color w:val="000000" w:themeColor="text1"/>
          <w:sz w:val="24"/>
          <w:szCs w:val="24"/>
        </w:rPr>
      </w:pPr>
    </w:p>
    <w:p w14:paraId="0AC0D624" w14:textId="77777777" w:rsidR="00C83846" w:rsidRDefault="00C83846" w:rsidP="00227C12">
      <w:pPr>
        <w:spacing w:after="0" w:line="240" w:lineRule="auto"/>
        <w:jc w:val="both"/>
        <w:rPr>
          <w:rFonts w:ascii="Arial" w:hAnsi="Arial" w:cs="Arial"/>
          <w:color w:val="000000" w:themeColor="text1"/>
          <w:sz w:val="24"/>
          <w:szCs w:val="24"/>
        </w:rPr>
      </w:pPr>
    </w:p>
    <w:p w14:paraId="1C54189C" w14:textId="77777777" w:rsidR="00C83846" w:rsidRDefault="00C83846" w:rsidP="00227C12">
      <w:pPr>
        <w:spacing w:after="0" w:line="240" w:lineRule="auto"/>
        <w:jc w:val="both"/>
        <w:rPr>
          <w:rFonts w:ascii="Arial" w:hAnsi="Arial" w:cs="Arial"/>
          <w:color w:val="000000" w:themeColor="text1"/>
          <w:sz w:val="24"/>
          <w:szCs w:val="24"/>
        </w:rPr>
      </w:pPr>
    </w:p>
    <w:p w14:paraId="10EF9C6F" w14:textId="77777777" w:rsidR="00C83846" w:rsidRDefault="00C83846" w:rsidP="00227C12">
      <w:pPr>
        <w:spacing w:after="0" w:line="240" w:lineRule="auto"/>
        <w:jc w:val="both"/>
        <w:rPr>
          <w:rFonts w:ascii="Arial" w:hAnsi="Arial" w:cs="Arial"/>
          <w:color w:val="000000" w:themeColor="text1"/>
          <w:sz w:val="24"/>
          <w:szCs w:val="24"/>
        </w:rPr>
      </w:pPr>
    </w:p>
    <w:p w14:paraId="244CC5C4" w14:textId="5350FD14" w:rsidR="00403AC2" w:rsidRDefault="00DF3862" w:rsidP="00227C12">
      <w:pPr>
        <w:spacing w:after="0" w:line="240" w:lineRule="auto"/>
        <w:jc w:val="both"/>
        <w:rPr>
          <w:rFonts w:ascii="Arial" w:hAnsi="Arial" w:cs="Arial"/>
          <w:color w:val="000000" w:themeColor="text1"/>
          <w:sz w:val="24"/>
          <w:szCs w:val="24"/>
        </w:rPr>
      </w:pPr>
      <w:r w:rsidRPr="001B7BD9">
        <w:rPr>
          <w:rFonts w:ascii="Arial" w:hAnsi="Arial" w:cs="Arial"/>
          <w:color w:val="000000" w:themeColor="text1"/>
          <w:sz w:val="24"/>
          <w:szCs w:val="24"/>
        </w:rPr>
        <w:lastRenderedPageBreak/>
        <w:t>En 2020, 96.</w:t>
      </w:r>
      <w:r w:rsidR="00D35BF1">
        <w:rPr>
          <w:rFonts w:ascii="Arial" w:hAnsi="Arial" w:cs="Arial"/>
          <w:color w:val="000000" w:themeColor="text1"/>
          <w:sz w:val="24"/>
          <w:szCs w:val="24"/>
        </w:rPr>
        <w:t>4</w:t>
      </w:r>
      <w:r w:rsidRPr="001B7BD9">
        <w:rPr>
          <w:rFonts w:ascii="Arial" w:hAnsi="Arial" w:cs="Arial"/>
          <w:color w:val="000000" w:themeColor="text1"/>
          <w:sz w:val="24"/>
          <w:szCs w:val="24"/>
        </w:rPr>
        <w:t xml:space="preserve"> % de los ingresos por exportaciones del sector</w:t>
      </w:r>
      <w:r w:rsidRPr="00203E82">
        <w:rPr>
          <w:rFonts w:ascii="Arial" w:hAnsi="Arial" w:cs="Arial"/>
          <w:color w:val="000000" w:themeColor="text1"/>
          <w:sz w:val="24"/>
          <w:szCs w:val="24"/>
        </w:rPr>
        <w:t xml:space="preserve"> </w:t>
      </w:r>
      <w:r w:rsidR="00C1339C" w:rsidRPr="00203E82">
        <w:rPr>
          <w:rFonts w:ascii="Arial" w:hAnsi="Arial" w:cs="Arial"/>
          <w:color w:val="000000" w:themeColor="text1"/>
          <w:sz w:val="24"/>
          <w:szCs w:val="24"/>
        </w:rPr>
        <w:t>i</w:t>
      </w:r>
      <w:r w:rsidRPr="00203E82">
        <w:rPr>
          <w:rFonts w:ascii="Arial" w:hAnsi="Arial" w:cs="Arial"/>
          <w:color w:val="000000" w:themeColor="text1"/>
          <w:sz w:val="24"/>
          <w:szCs w:val="24"/>
        </w:rPr>
        <w:t>ndustria</w:t>
      </w:r>
      <w:r w:rsidRPr="001B7BD9">
        <w:rPr>
          <w:rFonts w:ascii="Arial" w:hAnsi="Arial" w:cs="Arial"/>
          <w:color w:val="000000" w:themeColor="text1"/>
          <w:sz w:val="24"/>
          <w:szCs w:val="24"/>
        </w:rPr>
        <w:t xml:space="preserve"> correspond</w:t>
      </w:r>
      <w:r w:rsidR="00227C12">
        <w:rPr>
          <w:rFonts w:ascii="Arial" w:hAnsi="Arial" w:cs="Arial"/>
          <w:color w:val="000000" w:themeColor="text1"/>
          <w:sz w:val="24"/>
          <w:szCs w:val="24"/>
        </w:rPr>
        <w:t>ió</w:t>
      </w:r>
      <w:r w:rsidRPr="001B7BD9">
        <w:rPr>
          <w:rFonts w:ascii="Arial" w:hAnsi="Arial" w:cs="Arial"/>
          <w:color w:val="000000" w:themeColor="text1"/>
          <w:sz w:val="24"/>
          <w:szCs w:val="24"/>
        </w:rPr>
        <w:t xml:space="preserve"> a los </w:t>
      </w:r>
      <w:r w:rsidR="00C1339C" w:rsidRPr="00E876B6">
        <w:rPr>
          <w:rFonts w:ascii="Arial" w:hAnsi="Arial" w:cs="Arial"/>
          <w:i/>
          <w:color w:val="000000" w:themeColor="text1"/>
          <w:sz w:val="24"/>
          <w:szCs w:val="24"/>
        </w:rPr>
        <w:t>s</w:t>
      </w:r>
      <w:r w:rsidRPr="00E876B6">
        <w:rPr>
          <w:rFonts w:ascii="Arial" w:hAnsi="Arial" w:cs="Arial"/>
          <w:i/>
          <w:color w:val="000000" w:themeColor="text1"/>
          <w:sz w:val="24"/>
          <w:szCs w:val="24"/>
        </w:rPr>
        <w:t>ervicios de manufactura en insumos físicos que son propiedad de otros</w:t>
      </w:r>
      <w:r w:rsidR="00BE162A">
        <w:rPr>
          <w:rFonts w:ascii="Arial" w:hAnsi="Arial" w:cs="Arial"/>
          <w:iCs/>
          <w:color w:val="000000" w:themeColor="text1"/>
          <w:sz w:val="24"/>
          <w:szCs w:val="24"/>
        </w:rPr>
        <w:t>. En</w:t>
      </w:r>
      <w:r w:rsidRPr="001B7BD9">
        <w:rPr>
          <w:rFonts w:ascii="Arial" w:hAnsi="Arial" w:cs="Arial"/>
          <w:color w:val="000000" w:themeColor="text1"/>
          <w:sz w:val="24"/>
          <w:szCs w:val="24"/>
        </w:rPr>
        <w:t xml:space="preserve"> cuanto al </w:t>
      </w:r>
      <w:r w:rsidR="00157BF8">
        <w:rPr>
          <w:rFonts w:ascii="Arial" w:hAnsi="Arial" w:cs="Arial"/>
          <w:color w:val="000000" w:themeColor="text1"/>
          <w:sz w:val="24"/>
          <w:szCs w:val="24"/>
        </w:rPr>
        <w:t xml:space="preserve">sector </w:t>
      </w:r>
      <w:r w:rsidR="00C1339C">
        <w:rPr>
          <w:rFonts w:ascii="Arial" w:hAnsi="Arial" w:cs="Arial"/>
          <w:color w:val="000000" w:themeColor="text1"/>
          <w:sz w:val="24"/>
          <w:szCs w:val="24"/>
        </w:rPr>
        <w:t>c</w:t>
      </w:r>
      <w:r w:rsidRPr="001B7BD9">
        <w:rPr>
          <w:rFonts w:ascii="Arial" w:hAnsi="Arial" w:cs="Arial"/>
          <w:color w:val="000000" w:themeColor="text1"/>
          <w:sz w:val="24"/>
          <w:szCs w:val="24"/>
        </w:rPr>
        <w:t>omercio, 72.</w:t>
      </w:r>
      <w:r w:rsidR="00D35BF1">
        <w:rPr>
          <w:rFonts w:ascii="Arial" w:hAnsi="Arial" w:cs="Arial"/>
          <w:color w:val="000000" w:themeColor="text1"/>
          <w:sz w:val="24"/>
          <w:szCs w:val="24"/>
        </w:rPr>
        <w:t>3</w:t>
      </w:r>
      <w:r w:rsidRPr="001B7BD9">
        <w:rPr>
          <w:rFonts w:ascii="Arial" w:hAnsi="Arial" w:cs="Arial"/>
          <w:color w:val="000000" w:themeColor="text1"/>
          <w:sz w:val="24"/>
          <w:szCs w:val="24"/>
        </w:rPr>
        <w:t xml:space="preserve"> % se atribuy</w:t>
      </w:r>
      <w:r w:rsidR="00BE162A">
        <w:rPr>
          <w:rFonts w:ascii="Arial" w:hAnsi="Arial" w:cs="Arial"/>
          <w:color w:val="000000" w:themeColor="text1"/>
          <w:sz w:val="24"/>
          <w:szCs w:val="24"/>
        </w:rPr>
        <w:t>ó</w:t>
      </w:r>
      <w:r w:rsidRPr="001B7BD9">
        <w:rPr>
          <w:rFonts w:ascii="Arial" w:hAnsi="Arial" w:cs="Arial"/>
          <w:color w:val="000000" w:themeColor="text1"/>
          <w:sz w:val="24"/>
          <w:szCs w:val="24"/>
        </w:rPr>
        <w:t xml:space="preserve"> </w:t>
      </w:r>
      <w:r w:rsidRPr="00E85CA4">
        <w:rPr>
          <w:rFonts w:ascii="Arial" w:hAnsi="Arial" w:cs="Arial"/>
          <w:color w:val="000000" w:themeColor="text1"/>
          <w:sz w:val="24"/>
          <w:szCs w:val="24"/>
        </w:rPr>
        <w:t xml:space="preserve">a </w:t>
      </w:r>
      <w:r w:rsidR="00C1339C" w:rsidRPr="00E876B6">
        <w:rPr>
          <w:rFonts w:ascii="Arial" w:hAnsi="Arial" w:cs="Arial"/>
          <w:i/>
          <w:iCs/>
          <w:color w:val="000000" w:themeColor="text1"/>
          <w:sz w:val="24"/>
          <w:szCs w:val="24"/>
        </w:rPr>
        <w:t>o</w:t>
      </w:r>
      <w:r w:rsidRPr="00E876B6">
        <w:rPr>
          <w:rFonts w:ascii="Arial" w:hAnsi="Arial" w:cs="Arial"/>
          <w:i/>
          <w:iCs/>
          <w:color w:val="000000" w:themeColor="text1"/>
          <w:sz w:val="24"/>
          <w:szCs w:val="24"/>
        </w:rPr>
        <w:t>tros servicios empresariales</w:t>
      </w:r>
      <w:r w:rsidRPr="00E85CA4">
        <w:rPr>
          <w:rFonts w:ascii="Arial" w:hAnsi="Arial" w:cs="Arial"/>
          <w:color w:val="000000" w:themeColor="text1"/>
          <w:sz w:val="24"/>
          <w:szCs w:val="24"/>
        </w:rPr>
        <w:t xml:space="preserve"> y</w:t>
      </w:r>
      <w:r w:rsidR="00403AC2">
        <w:rPr>
          <w:rFonts w:ascii="Arial" w:hAnsi="Arial" w:cs="Arial"/>
          <w:color w:val="000000" w:themeColor="text1"/>
          <w:sz w:val="24"/>
          <w:szCs w:val="24"/>
        </w:rPr>
        <w:t>,</w:t>
      </w:r>
      <w:r w:rsidRPr="00E85CA4">
        <w:rPr>
          <w:rFonts w:ascii="Arial" w:hAnsi="Arial" w:cs="Arial"/>
          <w:color w:val="000000" w:themeColor="text1"/>
          <w:sz w:val="24"/>
          <w:szCs w:val="24"/>
        </w:rPr>
        <w:t xml:space="preserve"> </w:t>
      </w:r>
      <w:r w:rsidR="00227C12" w:rsidRPr="00E85CA4">
        <w:rPr>
          <w:rFonts w:ascii="Arial" w:hAnsi="Arial" w:cs="Arial"/>
          <w:color w:val="000000" w:themeColor="text1"/>
          <w:sz w:val="24"/>
          <w:szCs w:val="24"/>
        </w:rPr>
        <w:t>en el</w:t>
      </w:r>
      <w:r w:rsidRPr="00E85CA4">
        <w:rPr>
          <w:rFonts w:ascii="Arial" w:hAnsi="Arial" w:cs="Arial"/>
          <w:color w:val="000000" w:themeColor="text1"/>
          <w:sz w:val="24"/>
          <w:szCs w:val="24"/>
        </w:rPr>
        <w:t xml:space="preserve"> sector </w:t>
      </w:r>
      <w:r w:rsidR="00C1339C" w:rsidRPr="00E85CA4">
        <w:rPr>
          <w:rFonts w:ascii="Arial" w:hAnsi="Arial" w:cs="Arial"/>
          <w:color w:val="000000" w:themeColor="text1"/>
          <w:sz w:val="24"/>
          <w:szCs w:val="24"/>
        </w:rPr>
        <w:t>s</w:t>
      </w:r>
      <w:r w:rsidRPr="00E85CA4">
        <w:rPr>
          <w:rFonts w:ascii="Arial" w:hAnsi="Arial" w:cs="Arial"/>
          <w:color w:val="000000" w:themeColor="text1"/>
          <w:sz w:val="24"/>
          <w:szCs w:val="24"/>
        </w:rPr>
        <w:t>ervicios, 50.</w:t>
      </w:r>
      <w:r w:rsidR="00D35BF1" w:rsidRPr="00E85CA4">
        <w:rPr>
          <w:rFonts w:ascii="Arial" w:hAnsi="Arial" w:cs="Arial"/>
          <w:color w:val="000000" w:themeColor="text1"/>
          <w:sz w:val="24"/>
          <w:szCs w:val="24"/>
        </w:rPr>
        <w:t>6</w:t>
      </w:r>
      <w:r w:rsidRPr="00E85CA4">
        <w:rPr>
          <w:rFonts w:ascii="Arial" w:hAnsi="Arial" w:cs="Arial"/>
          <w:color w:val="000000" w:themeColor="text1"/>
          <w:sz w:val="24"/>
          <w:szCs w:val="24"/>
        </w:rPr>
        <w:t xml:space="preserve"> % </w:t>
      </w:r>
      <w:r w:rsidR="00227C12" w:rsidRPr="00E85CA4">
        <w:rPr>
          <w:rFonts w:ascii="Arial" w:hAnsi="Arial" w:cs="Arial"/>
          <w:color w:val="000000" w:themeColor="text1"/>
          <w:sz w:val="24"/>
          <w:szCs w:val="24"/>
        </w:rPr>
        <w:t>provin</w:t>
      </w:r>
      <w:r w:rsidR="00BE162A">
        <w:rPr>
          <w:rFonts w:ascii="Arial" w:hAnsi="Arial" w:cs="Arial"/>
          <w:color w:val="000000" w:themeColor="text1"/>
          <w:sz w:val="24"/>
          <w:szCs w:val="24"/>
        </w:rPr>
        <w:t>o</w:t>
      </w:r>
      <w:r w:rsidR="00227C12" w:rsidRPr="00E85CA4">
        <w:rPr>
          <w:rFonts w:ascii="Arial" w:hAnsi="Arial" w:cs="Arial"/>
          <w:color w:val="000000" w:themeColor="text1"/>
          <w:sz w:val="24"/>
          <w:szCs w:val="24"/>
        </w:rPr>
        <w:t xml:space="preserve"> de los</w:t>
      </w:r>
      <w:r w:rsidRPr="00E85CA4">
        <w:rPr>
          <w:rFonts w:ascii="Arial" w:hAnsi="Arial" w:cs="Arial"/>
          <w:color w:val="000000" w:themeColor="text1"/>
          <w:sz w:val="24"/>
          <w:szCs w:val="24"/>
        </w:rPr>
        <w:t xml:space="preserve"> </w:t>
      </w:r>
      <w:r w:rsidRPr="00E876B6">
        <w:rPr>
          <w:rFonts w:ascii="Arial" w:hAnsi="Arial" w:cs="Arial"/>
          <w:i/>
          <w:iCs/>
          <w:color w:val="000000" w:themeColor="text1"/>
          <w:sz w:val="24"/>
          <w:szCs w:val="24"/>
        </w:rPr>
        <w:t xml:space="preserve">servicios de </w:t>
      </w:r>
      <w:r w:rsidR="000F2AEB" w:rsidRPr="00E876B6">
        <w:rPr>
          <w:rFonts w:ascii="Arial" w:hAnsi="Arial" w:cs="Arial"/>
          <w:i/>
          <w:iCs/>
          <w:color w:val="000000" w:themeColor="text1"/>
          <w:sz w:val="24"/>
          <w:szCs w:val="24"/>
        </w:rPr>
        <w:t>transporte</w:t>
      </w:r>
      <w:r w:rsidRPr="00E85CA4">
        <w:rPr>
          <w:rFonts w:ascii="Arial" w:hAnsi="Arial" w:cs="Arial"/>
          <w:color w:val="000000" w:themeColor="text1"/>
          <w:sz w:val="24"/>
          <w:szCs w:val="24"/>
        </w:rPr>
        <w:t>.</w:t>
      </w:r>
    </w:p>
    <w:p w14:paraId="02CC0C7B" w14:textId="77777777" w:rsidR="00403AC2" w:rsidRDefault="00403AC2" w:rsidP="00227C12">
      <w:pPr>
        <w:spacing w:after="0" w:line="240" w:lineRule="auto"/>
        <w:jc w:val="both"/>
        <w:rPr>
          <w:rFonts w:ascii="Arial" w:hAnsi="Arial" w:cs="Arial"/>
          <w:color w:val="000000" w:themeColor="text1"/>
          <w:sz w:val="24"/>
          <w:szCs w:val="24"/>
        </w:rPr>
      </w:pPr>
    </w:p>
    <w:p w14:paraId="47FB40CB" w14:textId="77777777" w:rsidR="00C83846" w:rsidRDefault="00C83846" w:rsidP="00227C12">
      <w:pPr>
        <w:autoSpaceDE w:val="0"/>
        <w:autoSpaceDN w:val="0"/>
        <w:adjustRightInd w:val="0"/>
        <w:spacing w:after="0" w:line="240" w:lineRule="auto"/>
        <w:ind w:left="-567" w:right="21"/>
        <w:jc w:val="center"/>
        <w:outlineLvl w:val="0"/>
        <w:rPr>
          <w:rFonts w:ascii="Arial" w:hAnsi="Arial" w:cs="Arial"/>
          <w:bCs/>
          <w:sz w:val="20"/>
          <w:szCs w:val="20"/>
        </w:rPr>
      </w:pPr>
    </w:p>
    <w:p w14:paraId="1DC980AB" w14:textId="6E44298F" w:rsidR="006F2485" w:rsidRPr="00FE1E0E" w:rsidRDefault="006F2485" w:rsidP="00227C12">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sidR="00972732">
        <w:rPr>
          <w:rFonts w:ascii="Arial" w:hAnsi="Arial" w:cs="Arial"/>
          <w:bCs/>
          <w:sz w:val="20"/>
          <w:szCs w:val="20"/>
        </w:rPr>
        <w:t>8</w:t>
      </w:r>
    </w:p>
    <w:p w14:paraId="5659E1E8" w14:textId="32CEFCE4" w:rsidR="006F2485" w:rsidRPr="00227C12" w:rsidRDefault="006F2485" w:rsidP="00227C12">
      <w:pPr>
        <w:spacing w:after="0" w:line="240" w:lineRule="auto"/>
        <w:jc w:val="center"/>
        <w:rPr>
          <w:rFonts w:ascii="Arial Negrita" w:hAnsi="Arial Negrita" w:cs="Arial"/>
          <w:b/>
          <w:smallCaps/>
          <w:szCs w:val="24"/>
        </w:rPr>
      </w:pPr>
      <w:r w:rsidRPr="00227C12">
        <w:rPr>
          <w:rFonts w:ascii="Arial Negrita" w:hAnsi="Arial Negrita" w:cs="Arial"/>
          <w:b/>
          <w:smallCaps/>
          <w:szCs w:val="24"/>
        </w:rPr>
        <w:t xml:space="preserve">Ingresos de empresas que realizaron CIS </w:t>
      </w:r>
      <w:r w:rsidR="00227C12">
        <w:rPr>
          <w:rFonts w:ascii="Arial Negrita" w:hAnsi="Arial Negrita" w:cs="Arial"/>
          <w:b/>
          <w:smallCaps/>
          <w:szCs w:val="24"/>
        </w:rPr>
        <w:t>según</w:t>
      </w:r>
      <w:r w:rsidRPr="00227C12">
        <w:rPr>
          <w:rFonts w:ascii="Arial Negrita" w:hAnsi="Arial Negrita" w:cs="Arial"/>
          <w:b/>
          <w:smallCaps/>
          <w:szCs w:val="24"/>
        </w:rPr>
        <w:t xml:space="preserve"> sector</w:t>
      </w:r>
    </w:p>
    <w:p w14:paraId="513C6D8D" w14:textId="578D1A24" w:rsidR="006F2485" w:rsidRDefault="009B435A" w:rsidP="00C83846">
      <w:pPr>
        <w:spacing w:after="0" w:line="240" w:lineRule="auto"/>
        <w:jc w:val="center"/>
        <w:rPr>
          <w:rFonts w:ascii="Arial" w:hAnsi="Arial" w:cs="Arial"/>
          <w:sz w:val="24"/>
          <w:szCs w:val="24"/>
        </w:rPr>
      </w:pPr>
      <w:r>
        <w:rPr>
          <w:noProof/>
        </w:rPr>
        <w:drawing>
          <wp:inline distT="0" distB="0" distL="0" distR="0" wp14:anchorId="2CD20B10" wp14:editId="7CC71A19">
            <wp:extent cx="6477000" cy="3034288"/>
            <wp:effectExtent l="0" t="0" r="0" b="0"/>
            <wp:docPr id="3" name="Imagen 3"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pic:cNvPicPr/>
                  </pic:nvPicPr>
                  <pic:blipFill>
                    <a:blip r:embed="rId15"/>
                    <a:stretch>
                      <a:fillRect/>
                    </a:stretch>
                  </pic:blipFill>
                  <pic:spPr>
                    <a:xfrm>
                      <a:off x="0" y="0"/>
                      <a:ext cx="6478541" cy="3035010"/>
                    </a:xfrm>
                    <a:prstGeom prst="rect">
                      <a:avLst/>
                    </a:prstGeom>
                  </pic:spPr>
                </pic:pic>
              </a:graphicData>
            </a:graphic>
          </wp:inline>
        </w:drawing>
      </w:r>
    </w:p>
    <w:p w14:paraId="2A480A07" w14:textId="77777777" w:rsidR="00C83846" w:rsidRDefault="00C83846" w:rsidP="00227C12">
      <w:pPr>
        <w:autoSpaceDE w:val="0"/>
        <w:autoSpaceDN w:val="0"/>
        <w:adjustRightInd w:val="0"/>
        <w:spacing w:after="0" w:line="240" w:lineRule="auto"/>
        <w:ind w:left="-567" w:right="-518" w:firstLine="1276"/>
        <w:outlineLvl w:val="0"/>
        <w:rPr>
          <w:rFonts w:ascii="Arial" w:hAnsi="Arial" w:cs="Arial"/>
          <w:bCs/>
          <w:sz w:val="16"/>
          <w:szCs w:val="16"/>
        </w:rPr>
      </w:pPr>
    </w:p>
    <w:p w14:paraId="1643A61F" w14:textId="0CF190AE" w:rsidR="006F2485" w:rsidRPr="006F2485" w:rsidRDefault="009B435A" w:rsidP="00227C12">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6F2485" w:rsidRPr="000830B2">
        <w:rPr>
          <w:rFonts w:ascii="Arial" w:hAnsi="Arial" w:cs="Arial"/>
          <w:bCs/>
          <w:sz w:val="16"/>
          <w:szCs w:val="16"/>
        </w:rPr>
        <w:t xml:space="preserve">Nota: </w:t>
      </w:r>
      <w:r w:rsidR="006F2485" w:rsidRPr="006F2485">
        <w:rPr>
          <w:rFonts w:ascii="Arial" w:hAnsi="Arial" w:cs="Arial"/>
          <w:bCs/>
          <w:sz w:val="16"/>
          <w:szCs w:val="16"/>
        </w:rPr>
        <w:t>Montos en millones de pesos</w:t>
      </w:r>
      <w:r w:rsidR="00E62451">
        <w:rPr>
          <w:rFonts w:ascii="Arial" w:hAnsi="Arial" w:cs="Arial"/>
          <w:bCs/>
          <w:sz w:val="16"/>
          <w:szCs w:val="16"/>
        </w:rPr>
        <w:t>.</w:t>
      </w:r>
    </w:p>
    <w:p w14:paraId="3C48BC51" w14:textId="131EE1B6" w:rsidR="006F2485" w:rsidRPr="004005DC" w:rsidRDefault="006F2485" w:rsidP="00227C12">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6F2485">
        <w:rPr>
          <w:rFonts w:ascii="Arial" w:hAnsi="Arial" w:cs="Arial"/>
          <w:bCs/>
          <w:sz w:val="16"/>
          <w:szCs w:val="16"/>
        </w:rPr>
        <w:t>Porcentajes obtenidos respecto del total de ingresos por gran sector de actividad económica.</w:t>
      </w:r>
    </w:p>
    <w:p w14:paraId="4D6D4D16" w14:textId="77777777" w:rsidR="00DA4270" w:rsidRDefault="00DA4270" w:rsidP="00227C12">
      <w:pPr>
        <w:spacing w:after="0" w:line="240" w:lineRule="auto"/>
        <w:jc w:val="both"/>
        <w:rPr>
          <w:rFonts w:ascii="Arial" w:hAnsi="Arial" w:cs="Arial"/>
          <w:sz w:val="24"/>
          <w:szCs w:val="24"/>
        </w:rPr>
      </w:pPr>
    </w:p>
    <w:p w14:paraId="4AF062CA" w14:textId="77777777" w:rsidR="00227C12" w:rsidRDefault="00227C12" w:rsidP="00227C12">
      <w:pPr>
        <w:spacing w:after="0" w:line="240" w:lineRule="auto"/>
        <w:jc w:val="both"/>
        <w:rPr>
          <w:rFonts w:ascii="Arial" w:hAnsi="Arial" w:cs="Arial"/>
          <w:color w:val="000000" w:themeColor="text1"/>
          <w:sz w:val="24"/>
          <w:szCs w:val="24"/>
        </w:rPr>
      </w:pPr>
    </w:p>
    <w:p w14:paraId="774009F0" w14:textId="6509CF4A" w:rsidR="00227C12" w:rsidRDefault="00227C12" w:rsidP="00227C1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En 2019, d</w:t>
      </w:r>
      <w:r w:rsidR="00DF3862" w:rsidRPr="001B7BD9">
        <w:rPr>
          <w:rFonts w:ascii="Arial" w:hAnsi="Arial" w:cs="Arial"/>
          <w:color w:val="000000" w:themeColor="text1"/>
          <w:sz w:val="24"/>
          <w:szCs w:val="24"/>
        </w:rPr>
        <w:t>el total de gastos realizados por importaciones</w:t>
      </w:r>
      <w:r>
        <w:rPr>
          <w:rFonts w:ascii="Arial" w:hAnsi="Arial" w:cs="Arial"/>
          <w:color w:val="000000" w:themeColor="text1"/>
          <w:sz w:val="24"/>
          <w:szCs w:val="24"/>
        </w:rPr>
        <w:t>,</w:t>
      </w:r>
      <w:r w:rsidR="00DF3862" w:rsidRPr="001B7BD9">
        <w:rPr>
          <w:rFonts w:ascii="Arial" w:hAnsi="Arial" w:cs="Arial"/>
          <w:color w:val="000000" w:themeColor="text1"/>
          <w:sz w:val="24"/>
          <w:szCs w:val="24"/>
        </w:rPr>
        <w:t xml:space="preserve"> 36.9 % correspond</w:t>
      </w:r>
      <w:r>
        <w:rPr>
          <w:rFonts w:ascii="Arial" w:hAnsi="Arial" w:cs="Arial"/>
          <w:color w:val="000000" w:themeColor="text1"/>
          <w:sz w:val="24"/>
          <w:szCs w:val="24"/>
        </w:rPr>
        <w:t>ió</w:t>
      </w:r>
      <w:r w:rsidR="00DF3862" w:rsidRPr="001B7BD9">
        <w:rPr>
          <w:rFonts w:ascii="Arial" w:hAnsi="Arial" w:cs="Arial"/>
          <w:color w:val="000000" w:themeColor="text1"/>
          <w:sz w:val="24"/>
          <w:szCs w:val="24"/>
        </w:rPr>
        <w:t xml:space="preserve"> a </w:t>
      </w:r>
      <w:r w:rsidR="00DF3862" w:rsidRPr="001F6431">
        <w:rPr>
          <w:rFonts w:ascii="Arial" w:hAnsi="Arial" w:cs="Arial"/>
          <w:i/>
          <w:iCs/>
          <w:color w:val="000000" w:themeColor="text1"/>
          <w:sz w:val="24"/>
          <w:szCs w:val="24"/>
        </w:rPr>
        <w:t xml:space="preserve">los </w:t>
      </w:r>
      <w:r w:rsidR="00DF3862" w:rsidRPr="00E876B6">
        <w:rPr>
          <w:rFonts w:ascii="Arial" w:hAnsi="Arial" w:cs="Arial"/>
          <w:i/>
          <w:iCs/>
          <w:color w:val="000000" w:themeColor="text1"/>
          <w:sz w:val="24"/>
          <w:szCs w:val="24"/>
        </w:rPr>
        <w:t>servicios de manufactura en insumos físicos que son propiedad de otros</w:t>
      </w:r>
      <w:r w:rsidR="00DF3862" w:rsidRPr="00BE162A">
        <w:rPr>
          <w:rFonts w:ascii="Arial" w:hAnsi="Arial" w:cs="Arial"/>
          <w:color w:val="000000" w:themeColor="text1"/>
          <w:sz w:val="24"/>
          <w:szCs w:val="24"/>
        </w:rPr>
        <w:t xml:space="preserve">, seguido de 22.1 % </w:t>
      </w:r>
      <w:r w:rsidR="00DF3862" w:rsidRPr="00E876B6">
        <w:rPr>
          <w:rFonts w:ascii="Arial" w:hAnsi="Arial" w:cs="Arial"/>
          <w:i/>
          <w:iCs/>
          <w:color w:val="000000" w:themeColor="text1"/>
          <w:sz w:val="24"/>
          <w:szCs w:val="24"/>
        </w:rPr>
        <w:t>de otros servicios empresariales</w:t>
      </w:r>
      <w:r w:rsidRPr="00BE162A">
        <w:rPr>
          <w:rFonts w:ascii="Arial" w:hAnsi="Arial" w:cs="Arial"/>
          <w:color w:val="000000" w:themeColor="text1"/>
          <w:sz w:val="24"/>
          <w:szCs w:val="24"/>
        </w:rPr>
        <w:t xml:space="preserve"> y de</w:t>
      </w:r>
      <w:r w:rsidR="00DF3862" w:rsidRPr="00BE162A">
        <w:rPr>
          <w:rFonts w:ascii="Arial" w:hAnsi="Arial" w:cs="Arial"/>
          <w:color w:val="000000" w:themeColor="text1"/>
          <w:sz w:val="24"/>
          <w:szCs w:val="24"/>
        </w:rPr>
        <w:t xml:space="preserve"> los </w:t>
      </w:r>
      <w:r w:rsidR="00DF3862" w:rsidRPr="00E876B6">
        <w:rPr>
          <w:rFonts w:ascii="Arial" w:hAnsi="Arial" w:cs="Arial"/>
          <w:i/>
          <w:iCs/>
          <w:color w:val="000000" w:themeColor="text1"/>
          <w:sz w:val="24"/>
          <w:szCs w:val="24"/>
        </w:rPr>
        <w:t>cargos por el uso de la propiedad intelectual</w:t>
      </w:r>
      <w:r w:rsidR="00576B47">
        <w:rPr>
          <w:rFonts w:ascii="Arial" w:hAnsi="Arial" w:cs="Arial"/>
          <w:color w:val="000000" w:themeColor="text1"/>
          <w:sz w:val="24"/>
          <w:szCs w:val="24"/>
        </w:rPr>
        <w:t>,</w:t>
      </w:r>
      <w:r w:rsidR="00DF3862" w:rsidRPr="00BE162A">
        <w:rPr>
          <w:rFonts w:ascii="Arial" w:hAnsi="Arial" w:cs="Arial"/>
          <w:color w:val="000000" w:themeColor="text1"/>
          <w:sz w:val="24"/>
          <w:szCs w:val="24"/>
        </w:rPr>
        <w:t xml:space="preserve"> con 19.1 </w:t>
      </w:r>
      <w:r w:rsidRPr="00BE162A">
        <w:rPr>
          <w:rFonts w:ascii="Arial" w:hAnsi="Arial" w:cs="Arial"/>
          <w:color w:val="000000" w:themeColor="text1"/>
          <w:sz w:val="24"/>
          <w:szCs w:val="24"/>
        </w:rPr>
        <w:t xml:space="preserve">por ciento. </w:t>
      </w:r>
      <w:r w:rsidR="00576B47">
        <w:rPr>
          <w:rFonts w:ascii="Arial" w:hAnsi="Arial" w:cs="Arial"/>
          <w:color w:val="000000" w:themeColor="text1"/>
          <w:sz w:val="24"/>
          <w:szCs w:val="24"/>
        </w:rPr>
        <w:t>L</w:t>
      </w:r>
      <w:r w:rsidR="00576B47" w:rsidRPr="00BE162A">
        <w:rPr>
          <w:rFonts w:ascii="Arial" w:hAnsi="Arial" w:cs="Arial"/>
          <w:color w:val="000000" w:themeColor="text1"/>
          <w:sz w:val="24"/>
          <w:szCs w:val="24"/>
        </w:rPr>
        <w:t xml:space="preserve">os </w:t>
      </w:r>
      <w:r w:rsidR="00576B47" w:rsidRPr="001F6431">
        <w:rPr>
          <w:rFonts w:ascii="Arial" w:hAnsi="Arial" w:cs="Arial"/>
          <w:i/>
          <w:iCs/>
          <w:color w:val="000000" w:themeColor="text1"/>
          <w:sz w:val="24"/>
          <w:szCs w:val="24"/>
        </w:rPr>
        <w:t>servicios personales, culturales y recreativos</w:t>
      </w:r>
      <w:r w:rsidR="00576B47">
        <w:rPr>
          <w:rFonts w:ascii="Arial" w:hAnsi="Arial" w:cs="Arial"/>
          <w:color w:val="000000" w:themeColor="text1"/>
          <w:sz w:val="24"/>
          <w:szCs w:val="24"/>
        </w:rPr>
        <w:t xml:space="preserve"> tuvieron menor porcentaje,</w:t>
      </w:r>
      <w:r w:rsidR="00DF3862" w:rsidRPr="00BE162A">
        <w:rPr>
          <w:rFonts w:ascii="Arial" w:hAnsi="Arial" w:cs="Arial"/>
          <w:color w:val="000000" w:themeColor="text1"/>
          <w:sz w:val="24"/>
          <w:szCs w:val="24"/>
        </w:rPr>
        <w:t xml:space="preserve"> con 0.2 por ciento. </w:t>
      </w:r>
    </w:p>
    <w:p w14:paraId="446240B8" w14:textId="0859AFD5" w:rsidR="00C83846" w:rsidRDefault="00C83846" w:rsidP="00227C12">
      <w:pPr>
        <w:spacing w:after="0" w:line="240" w:lineRule="auto"/>
        <w:jc w:val="both"/>
        <w:rPr>
          <w:rFonts w:ascii="Arial" w:hAnsi="Arial" w:cs="Arial"/>
          <w:color w:val="000000" w:themeColor="text1"/>
          <w:sz w:val="24"/>
          <w:szCs w:val="24"/>
        </w:rPr>
      </w:pPr>
    </w:p>
    <w:p w14:paraId="73BB41D0" w14:textId="71D8B4AE" w:rsidR="00C83846" w:rsidRDefault="00C83846" w:rsidP="00227C12">
      <w:pPr>
        <w:spacing w:after="0" w:line="240" w:lineRule="auto"/>
        <w:jc w:val="both"/>
        <w:rPr>
          <w:rFonts w:ascii="Arial" w:hAnsi="Arial" w:cs="Arial"/>
          <w:color w:val="000000" w:themeColor="text1"/>
          <w:sz w:val="24"/>
          <w:szCs w:val="24"/>
        </w:rPr>
      </w:pPr>
    </w:p>
    <w:p w14:paraId="21987B9D" w14:textId="71CAE802" w:rsidR="00C83846" w:rsidRDefault="00C83846" w:rsidP="00227C12">
      <w:pPr>
        <w:spacing w:after="0" w:line="240" w:lineRule="auto"/>
        <w:jc w:val="both"/>
        <w:rPr>
          <w:rFonts w:ascii="Arial" w:hAnsi="Arial" w:cs="Arial"/>
          <w:color w:val="000000" w:themeColor="text1"/>
          <w:sz w:val="24"/>
          <w:szCs w:val="24"/>
        </w:rPr>
      </w:pPr>
    </w:p>
    <w:p w14:paraId="10339ADA" w14:textId="26C85611" w:rsidR="00C83846" w:rsidRDefault="00C83846" w:rsidP="00227C12">
      <w:pPr>
        <w:spacing w:after="0" w:line="240" w:lineRule="auto"/>
        <w:jc w:val="both"/>
        <w:rPr>
          <w:rFonts w:ascii="Arial" w:hAnsi="Arial" w:cs="Arial"/>
          <w:color w:val="000000" w:themeColor="text1"/>
          <w:sz w:val="24"/>
          <w:szCs w:val="24"/>
        </w:rPr>
      </w:pPr>
    </w:p>
    <w:p w14:paraId="6E9A9ED8" w14:textId="3CCCA80D" w:rsidR="00C83846" w:rsidRDefault="00C83846" w:rsidP="00227C12">
      <w:pPr>
        <w:spacing w:after="0" w:line="240" w:lineRule="auto"/>
        <w:jc w:val="both"/>
        <w:rPr>
          <w:rFonts w:ascii="Arial" w:hAnsi="Arial" w:cs="Arial"/>
          <w:color w:val="000000" w:themeColor="text1"/>
          <w:sz w:val="24"/>
          <w:szCs w:val="24"/>
        </w:rPr>
      </w:pPr>
    </w:p>
    <w:p w14:paraId="1257BDA3" w14:textId="4B12D18F" w:rsidR="00C83846" w:rsidRDefault="00C83846" w:rsidP="00227C12">
      <w:pPr>
        <w:spacing w:after="0" w:line="240" w:lineRule="auto"/>
        <w:jc w:val="both"/>
        <w:rPr>
          <w:rFonts w:ascii="Arial" w:hAnsi="Arial" w:cs="Arial"/>
          <w:color w:val="000000" w:themeColor="text1"/>
          <w:sz w:val="24"/>
          <w:szCs w:val="24"/>
        </w:rPr>
      </w:pPr>
    </w:p>
    <w:p w14:paraId="2BFE2F65" w14:textId="516D045E" w:rsidR="00C83846" w:rsidRDefault="00C83846" w:rsidP="00227C12">
      <w:pPr>
        <w:spacing w:after="0" w:line="240" w:lineRule="auto"/>
        <w:jc w:val="both"/>
        <w:rPr>
          <w:rFonts w:ascii="Arial" w:hAnsi="Arial" w:cs="Arial"/>
          <w:color w:val="000000" w:themeColor="text1"/>
          <w:sz w:val="24"/>
          <w:szCs w:val="24"/>
        </w:rPr>
      </w:pPr>
    </w:p>
    <w:p w14:paraId="5E4D5959" w14:textId="586984F2" w:rsidR="00C83846" w:rsidRDefault="00C83846" w:rsidP="00227C12">
      <w:pPr>
        <w:spacing w:after="0" w:line="240" w:lineRule="auto"/>
        <w:jc w:val="both"/>
        <w:rPr>
          <w:rFonts w:ascii="Arial" w:hAnsi="Arial" w:cs="Arial"/>
          <w:color w:val="000000" w:themeColor="text1"/>
          <w:sz w:val="24"/>
          <w:szCs w:val="24"/>
        </w:rPr>
      </w:pPr>
    </w:p>
    <w:p w14:paraId="631E1B0B" w14:textId="15005AC0" w:rsidR="00C83846" w:rsidRDefault="00C83846" w:rsidP="00227C12">
      <w:pPr>
        <w:spacing w:after="0" w:line="240" w:lineRule="auto"/>
        <w:jc w:val="both"/>
        <w:rPr>
          <w:rFonts w:ascii="Arial" w:hAnsi="Arial" w:cs="Arial"/>
          <w:color w:val="000000" w:themeColor="text1"/>
          <w:sz w:val="24"/>
          <w:szCs w:val="24"/>
        </w:rPr>
      </w:pPr>
    </w:p>
    <w:p w14:paraId="49A644DA" w14:textId="0AAC3584" w:rsidR="00C83846" w:rsidRDefault="00C83846" w:rsidP="00227C12">
      <w:pPr>
        <w:spacing w:after="0" w:line="240" w:lineRule="auto"/>
        <w:jc w:val="both"/>
        <w:rPr>
          <w:rFonts w:ascii="Arial" w:hAnsi="Arial" w:cs="Arial"/>
          <w:color w:val="000000" w:themeColor="text1"/>
          <w:sz w:val="24"/>
          <w:szCs w:val="24"/>
        </w:rPr>
      </w:pPr>
    </w:p>
    <w:p w14:paraId="0B8DC606" w14:textId="58F28914" w:rsidR="00C83846" w:rsidRDefault="00C83846" w:rsidP="00227C12">
      <w:pPr>
        <w:spacing w:after="0" w:line="240" w:lineRule="auto"/>
        <w:jc w:val="both"/>
        <w:rPr>
          <w:rFonts w:ascii="Arial" w:hAnsi="Arial" w:cs="Arial"/>
          <w:color w:val="000000" w:themeColor="text1"/>
          <w:sz w:val="24"/>
          <w:szCs w:val="24"/>
        </w:rPr>
      </w:pPr>
    </w:p>
    <w:p w14:paraId="6B81A73E" w14:textId="77777777" w:rsidR="00C83846" w:rsidRPr="00BE162A" w:rsidRDefault="00C83846" w:rsidP="00227C12">
      <w:pPr>
        <w:spacing w:after="0" w:line="240" w:lineRule="auto"/>
        <w:jc w:val="both"/>
        <w:rPr>
          <w:rFonts w:ascii="Arial" w:hAnsi="Arial" w:cs="Arial"/>
          <w:color w:val="000000" w:themeColor="text1"/>
          <w:sz w:val="24"/>
          <w:szCs w:val="24"/>
        </w:rPr>
      </w:pPr>
    </w:p>
    <w:p w14:paraId="5E472810" w14:textId="77777777" w:rsidR="00227C12" w:rsidRPr="00BE162A" w:rsidRDefault="00227C12" w:rsidP="00227C12">
      <w:pPr>
        <w:spacing w:after="0" w:line="240" w:lineRule="auto"/>
        <w:jc w:val="both"/>
        <w:rPr>
          <w:rFonts w:ascii="Arial" w:hAnsi="Arial" w:cs="Arial"/>
          <w:color w:val="000000" w:themeColor="text1"/>
          <w:sz w:val="24"/>
          <w:szCs w:val="24"/>
        </w:rPr>
      </w:pPr>
    </w:p>
    <w:p w14:paraId="7C82FF2A" w14:textId="28B56578" w:rsidR="00227C12" w:rsidRDefault="00DF3862" w:rsidP="00C83846">
      <w:pPr>
        <w:spacing w:after="0" w:line="240" w:lineRule="auto"/>
        <w:jc w:val="both"/>
        <w:rPr>
          <w:rFonts w:ascii="Arial" w:hAnsi="Arial" w:cs="Arial"/>
          <w:color w:val="000000" w:themeColor="text1"/>
          <w:sz w:val="24"/>
          <w:szCs w:val="24"/>
        </w:rPr>
      </w:pPr>
      <w:r w:rsidRPr="00BE162A">
        <w:rPr>
          <w:rFonts w:ascii="Arial" w:hAnsi="Arial" w:cs="Arial"/>
          <w:color w:val="000000" w:themeColor="text1"/>
          <w:sz w:val="24"/>
          <w:szCs w:val="24"/>
        </w:rPr>
        <w:t>Para 2020, 27.</w:t>
      </w:r>
      <w:r w:rsidR="009B435A" w:rsidRPr="00BE162A">
        <w:rPr>
          <w:rFonts w:ascii="Arial" w:hAnsi="Arial" w:cs="Arial"/>
          <w:color w:val="000000" w:themeColor="text1"/>
          <w:sz w:val="24"/>
          <w:szCs w:val="24"/>
        </w:rPr>
        <w:t>1</w:t>
      </w:r>
      <w:r w:rsidRPr="00BE162A">
        <w:rPr>
          <w:rFonts w:ascii="Arial" w:hAnsi="Arial" w:cs="Arial"/>
          <w:color w:val="000000" w:themeColor="text1"/>
          <w:sz w:val="24"/>
          <w:szCs w:val="24"/>
        </w:rPr>
        <w:t xml:space="preserve"> % correspond</w:t>
      </w:r>
      <w:r w:rsidR="00227C12" w:rsidRPr="00BE162A">
        <w:rPr>
          <w:rFonts w:ascii="Arial" w:hAnsi="Arial" w:cs="Arial"/>
          <w:color w:val="000000" w:themeColor="text1"/>
          <w:sz w:val="24"/>
          <w:szCs w:val="24"/>
        </w:rPr>
        <w:t>ió</w:t>
      </w:r>
      <w:r w:rsidRPr="00BE162A">
        <w:rPr>
          <w:rFonts w:ascii="Arial" w:hAnsi="Arial" w:cs="Arial"/>
          <w:color w:val="000000" w:themeColor="text1"/>
          <w:sz w:val="24"/>
          <w:szCs w:val="24"/>
        </w:rPr>
        <w:t xml:space="preserve"> a los </w:t>
      </w:r>
      <w:r w:rsidRPr="004C6464">
        <w:rPr>
          <w:rFonts w:ascii="Arial" w:hAnsi="Arial" w:cs="Arial"/>
          <w:i/>
          <w:iCs/>
          <w:color w:val="000000" w:themeColor="text1"/>
          <w:sz w:val="24"/>
          <w:szCs w:val="24"/>
        </w:rPr>
        <w:t>servicios de manufactura en insumos físicos que son propiedad de otros</w:t>
      </w:r>
      <w:r w:rsidRPr="00BE162A">
        <w:rPr>
          <w:rFonts w:ascii="Arial" w:hAnsi="Arial" w:cs="Arial"/>
          <w:color w:val="000000" w:themeColor="text1"/>
          <w:sz w:val="24"/>
          <w:szCs w:val="24"/>
        </w:rPr>
        <w:t xml:space="preserve">, 25.1 % a </w:t>
      </w:r>
      <w:r w:rsidRPr="004C6464">
        <w:rPr>
          <w:rFonts w:ascii="Arial" w:hAnsi="Arial" w:cs="Arial"/>
          <w:i/>
          <w:iCs/>
          <w:color w:val="000000" w:themeColor="text1"/>
          <w:sz w:val="24"/>
          <w:szCs w:val="24"/>
        </w:rPr>
        <w:t>otros servicios empresariales</w:t>
      </w:r>
      <w:r w:rsidR="004C6464">
        <w:rPr>
          <w:rFonts w:ascii="Arial" w:hAnsi="Arial" w:cs="Arial"/>
          <w:color w:val="000000" w:themeColor="text1"/>
          <w:sz w:val="24"/>
          <w:szCs w:val="24"/>
        </w:rPr>
        <w:t xml:space="preserve"> y</w:t>
      </w:r>
      <w:r w:rsidRPr="00BE162A">
        <w:rPr>
          <w:rFonts w:ascii="Arial" w:hAnsi="Arial" w:cs="Arial"/>
          <w:color w:val="000000" w:themeColor="text1"/>
          <w:sz w:val="24"/>
          <w:szCs w:val="24"/>
        </w:rPr>
        <w:t xml:space="preserve"> 22.5 % a </w:t>
      </w:r>
      <w:r w:rsidR="009B435A" w:rsidRPr="00BE162A">
        <w:rPr>
          <w:rFonts w:ascii="Arial" w:hAnsi="Arial" w:cs="Arial"/>
          <w:color w:val="000000" w:themeColor="text1"/>
          <w:sz w:val="24"/>
          <w:szCs w:val="24"/>
        </w:rPr>
        <w:t xml:space="preserve">los </w:t>
      </w:r>
      <w:r w:rsidRPr="004C6464">
        <w:rPr>
          <w:rFonts w:ascii="Arial" w:hAnsi="Arial" w:cs="Arial"/>
          <w:i/>
          <w:iCs/>
          <w:color w:val="000000" w:themeColor="text1"/>
          <w:sz w:val="24"/>
          <w:szCs w:val="24"/>
        </w:rPr>
        <w:t>cargos por el uso de la propiedad intelectual</w:t>
      </w:r>
      <w:r w:rsidR="00576B47">
        <w:rPr>
          <w:rFonts w:ascii="Arial" w:hAnsi="Arial" w:cs="Arial"/>
          <w:color w:val="000000" w:themeColor="text1"/>
          <w:sz w:val="24"/>
          <w:szCs w:val="24"/>
        </w:rPr>
        <w:t xml:space="preserve">. La </w:t>
      </w:r>
      <w:r w:rsidRPr="00BE162A">
        <w:rPr>
          <w:rFonts w:ascii="Arial" w:hAnsi="Arial" w:cs="Arial"/>
          <w:color w:val="000000" w:themeColor="text1"/>
          <w:sz w:val="24"/>
          <w:szCs w:val="24"/>
        </w:rPr>
        <w:t>menor participación se atribuy</w:t>
      </w:r>
      <w:r w:rsidR="00227C12" w:rsidRPr="00BE162A">
        <w:rPr>
          <w:rFonts w:ascii="Arial" w:hAnsi="Arial" w:cs="Arial"/>
          <w:color w:val="000000" w:themeColor="text1"/>
          <w:sz w:val="24"/>
          <w:szCs w:val="24"/>
        </w:rPr>
        <w:t>ó</w:t>
      </w:r>
      <w:r w:rsidRPr="00BE162A">
        <w:rPr>
          <w:rFonts w:ascii="Arial" w:hAnsi="Arial" w:cs="Arial"/>
          <w:color w:val="000000" w:themeColor="text1"/>
          <w:sz w:val="24"/>
          <w:szCs w:val="24"/>
        </w:rPr>
        <w:t xml:space="preserve"> a los </w:t>
      </w:r>
      <w:r w:rsidRPr="004C6464">
        <w:rPr>
          <w:rFonts w:ascii="Arial" w:hAnsi="Arial" w:cs="Arial"/>
          <w:i/>
          <w:iCs/>
          <w:color w:val="000000" w:themeColor="text1"/>
          <w:sz w:val="24"/>
          <w:szCs w:val="24"/>
        </w:rPr>
        <w:t>servicios personales, culturales y recreativos</w:t>
      </w:r>
      <w:r w:rsidR="00576B47">
        <w:rPr>
          <w:rFonts w:ascii="Arial" w:hAnsi="Arial" w:cs="Arial"/>
          <w:color w:val="000000" w:themeColor="text1"/>
          <w:sz w:val="24"/>
          <w:szCs w:val="24"/>
        </w:rPr>
        <w:t>,</w:t>
      </w:r>
      <w:r w:rsidRPr="00BE162A">
        <w:rPr>
          <w:rFonts w:ascii="Arial" w:hAnsi="Arial" w:cs="Arial"/>
          <w:color w:val="000000" w:themeColor="text1"/>
          <w:sz w:val="24"/>
          <w:szCs w:val="24"/>
        </w:rPr>
        <w:t xml:space="preserve"> con 0.2 por ciento.</w:t>
      </w:r>
    </w:p>
    <w:p w14:paraId="5202658A" w14:textId="40FE3AC5" w:rsidR="00C83846" w:rsidRDefault="00C83846" w:rsidP="00C83846">
      <w:pPr>
        <w:spacing w:after="0" w:line="240" w:lineRule="auto"/>
        <w:jc w:val="both"/>
        <w:rPr>
          <w:rFonts w:ascii="Arial" w:hAnsi="Arial" w:cs="Arial"/>
          <w:bCs/>
          <w:sz w:val="20"/>
          <w:szCs w:val="20"/>
        </w:rPr>
      </w:pPr>
    </w:p>
    <w:p w14:paraId="08295900" w14:textId="77777777" w:rsidR="00227C12" w:rsidRDefault="00227C12" w:rsidP="00227C12">
      <w:pPr>
        <w:autoSpaceDE w:val="0"/>
        <w:autoSpaceDN w:val="0"/>
        <w:adjustRightInd w:val="0"/>
        <w:spacing w:after="0" w:line="240" w:lineRule="auto"/>
        <w:ind w:left="-567" w:right="21"/>
        <w:jc w:val="right"/>
        <w:outlineLvl w:val="0"/>
        <w:rPr>
          <w:rFonts w:ascii="Arial" w:hAnsi="Arial" w:cs="Arial"/>
          <w:bCs/>
          <w:sz w:val="20"/>
          <w:szCs w:val="20"/>
        </w:rPr>
      </w:pPr>
    </w:p>
    <w:p w14:paraId="77BA8989" w14:textId="5214F2B0" w:rsidR="00DF20E3" w:rsidRPr="00FE1E0E" w:rsidRDefault="00DF20E3" w:rsidP="00227C12">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sidR="008804B2">
        <w:rPr>
          <w:rFonts w:ascii="Arial" w:hAnsi="Arial" w:cs="Arial"/>
          <w:bCs/>
          <w:sz w:val="20"/>
          <w:szCs w:val="20"/>
        </w:rPr>
        <w:t>9</w:t>
      </w:r>
    </w:p>
    <w:p w14:paraId="4A3B4D1F" w14:textId="26BAD4EF" w:rsidR="00DF20E3" w:rsidRPr="00227C12" w:rsidRDefault="00DF20E3" w:rsidP="00227C12">
      <w:pPr>
        <w:spacing w:after="0" w:line="240" w:lineRule="auto"/>
        <w:jc w:val="center"/>
        <w:rPr>
          <w:rFonts w:ascii="Arial Negrita" w:hAnsi="Arial Negrita" w:cs="Arial"/>
          <w:b/>
          <w:smallCaps/>
          <w:szCs w:val="24"/>
        </w:rPr>
      </w:pPr>
      <w:r w:rsidRPr="00227C12">
        <w:rPr>
          <w:rFonts w:ascii="Arial Negrita" w:hAnsi="Arial Negrita" w:cs="Arial"/>
          <w:b/>
          <w:smallCaps/>
          <w:szCs w:val="24"/>
        </w:rPr>
        <w:t>Gastos de empresas que realizaron CIS según tipo de servicio</w:t>
      </w:r>
      <w:r w:rsidR="00CE0CE3" w:rsidRPr="00227C12">
        <w:rPr>
          <w:rFonts w:ascii="Arial Negrita" w:hAnsi="Arial Negrita" w:cs="Arial"/>
          <w:b/>
          <w:smallCaps/>
          <w:szCs w:val="24"/>
        </w:rPr>
        <w:t xml:space="preserve"> </w:t>
      </w:r>
    </w:p>
    <w:p w14:paraId="600A7DF2" w14:textId="781CF023" w:rsidR="00DF20E3" w:rsidRDefault="0054410B" w:rsidP="00DF20E3">
      <w:pPr>
        <w:jc w:val="center"/>
        <w:rPr>
          <w:rFonts w:ascii="Arial" w:hAnsi="Arial" w:cs="Arial"/>
          <w:sz w:val="24"/>
          <w:szCs w:val="24"/>
        </w:rPr>
      </w:pPr>
      <w:r>
        <w:rPr>
          <w:noProof/>
        </w:rPr>
        <w:drawing>
          <wp:inline distT="0" distB="0" distL="0" distR="0" wp14:anchorId="0935772A" wp14:editId="133EF047">
            <wp:extent cx="6320602" cy="2962275"/>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16820" cy="3007369"/>
                    </a:xfrm>
                    <a:prstGeom prst="rect">
                      <a:avLst/>
                    </a:prstGeom>
                  </pic:spPr>
                </pic:pic>
              </a:graphicData>
            </a:graphic>
          </wp:inline>
        </w:drawing>
      </w:r>
    </w:p>
    <w:p w14:paraId="0D8E8508" w14:textId="7788A2CE" w:rsidR="00DF20E3" w:rsidRPr="00DF20E3" w:rsidRDefault="009B435A" w:rsidP="00DF20E3">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DF20E3" w:rsidRPr="000830B2">
        <w:rPr>
          <w:rFonts w:ascii="Arial" w:hAnsi="Arial" w:cs="Arial"/>
          <w:bCs/>
          <w:sz w:val="16"/>
          <w:szCs w:val="16"/>
        </w:rPr>
        <w:t xml:space="preserve">Nota: </w:t>
      </w:r>
      <w:r w:rsidR="00DF20E3" w:rsidRPr="00DF20E3">
        <w:rPr>
          <w:rFonts w:ascii="Arial" w:hAnsi="Arial" w:cs="Arial"/>
          <w:bCs/>
          <w:sz w:val="16"/>
          <w:szCs w:val="16"/>
        </w:rPr>
        <w:t>Montos en millones de pesos</w:t>
      </w:r>
      <w:r w:rsidR="00E62451">
        <w:rPr>
          <w:rFonts w:ascii="Arial" w:hAnsi="Arial" w:cs="Arial"/>
          <w:bCs/>
          <w:sz w:val="16"/>
          <w:szCs w:val="16"/>
        </w:rPr>
        <w:t>.</w:t>
      </w:r>
    </w:p>
    <w:p w14:paraId="2F924EC3" w14:textId="77777777" w:rsidR="00DA4270" w:rsidRDefault="00DF20E3" w:rsidP="001B2D22">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DF20E3">
        <w:rPr>
          <w:rFonts w:ascii="Arial" w:hAnsi="Arial" w:cs="Arial"/>
          <w:bCs/>
          <w:sz w:val="16"/>
          <w:szCs w:val="16"/>
        </w:rPr>
        <w:t>Porcentajes obtenidos respecto del total de gastos.</w:t>
      </w:r>
    </w:p>
    <w:p w14:paraId="1AE453ED" w14:textId="75E653EC" w:rsidR="001B2D22" w:rsidRDefault="001B2D22" w:rsidP="001B2D22">
      <w:pPr>
        <w:autoSpaceDE w:val="0"/>
        <w:autoSpaceDN w:val="0"/>
        <w:adjustRightInd w:val="0"/>
        <w:spacing w:after="0" w:line="240" w:lineRule="auto"/>
        <w:ind w:left="-567" w:right="-518" w:firstLine="1276"/>
        <w:outlineLvl w:val="0"/>
        <w:rPr>
          <w:rFonts w:ascii="Arial" w:hAnsi="Arial" w:cs="Arial"/>
          <w:bCs/>
          <w:sz w:val="16"/>
          <w:szCs w:val="16"/>
        </w:rPr>
      </w:pPr>
    </w:p>
    <w:p w14:paraId="202E7E32" w14:textId="77777777" w:rsidR="007F3BF9" w:rsidRPr="001B2D22" w:rsidRDefault="007F3BF9" w:rsidP="001B2D22">
      <w:pPr>
        <w:autoSpaceDE w:val="0"/>
        <w:autoSpaceDN w:val="0"/>
        <w:adjustRightInd w:val="0"/>
        <w:spacing w:after="0" w:line="240" w:lineRule="auto"/>
        <w:ind w:left="-567" w:right="-518" w:firstLine="1276"/>
        <w:outlineLvl w:val="0"/>
        <w:rPr>
          <w:rFonts w:ascii="Arial" w:hAnsi="Arial" w:cs="Arial"/>
          <w:bCs/>
          <w:sz w:val="16"/>
          <w:szCs w:val="16"/>
        </w:rPr>
      </w:pPr>
    </w:p>
    <w:p w14:paraId="7B0715BB" w14:textId="77777777" w:rsidR="00C83846" w:rsidRDefault="00972732" w:rsidP="00576B47">
      <w:pPr>
        <w:jc w:val="both"/>
        <w:rPr>
          <w:rFonts w:ascii="Arial" w:hAnsi="Arial" w:cs="Arial"/>
          <w:sz w:val="24"/>
          <w:szCs w:val="24"/>
        </w:rPr>
      </w:pPr>
      <w:r w:rsidRPr="00972732">
        <w:rPr>
          <w:rFonts w:ascii="Arial" w:hAnsi="Arial" w:cs="Arial"/>
          <w:sz w:val="24"/>
          <w:szCs w:val="24"/>
        </w:rPr>
        <w:t>Los gastos más representativos</w:t>
      </w:r>
      <w:r w:rsidR="00227C12">
        <w:rPr>
          <w:rFonts w:ascii="Arial" w:hAnsi="Arial" w:cs="Arial"/>
          <w:sz w:val="24"/>
          <w:szCs w:val="24"/>
        </w:rPr>
        <w:t>,</w:t>
      </w:r>
      <w:r w:rsidRPr="00972732">
        <w:rPr>
          <w:rFonts w:ascii="Arial" w:hAnsi="Arial" w:cs="Arial"/>
          <w:sz w:val="24"/>
          <w:szCs w:val="24"/>
        </w:rPr>
        <w:t xml:space="preserve"> según lo </w:t>
      </w:r>
      <w:r w:rsidR="00576B47">
        <w:rPr>
          <w:rFonts w:ascii="Arial" w:hAnsi="Arial" w:cs="Arial"/>
          <w:sz w:val="24"/>
          <w:szCs w:val="24"/>
        </w:rPr>
        <w:t xml:space="preserve">que reportaron </w:t>
      </w:r>
      <w:r w:rsidRPr="00972732">
        <w:rPr>
          <w:rFonts w:ascii="Arial" w:hAnsi="Arial" w:cs="Arial"/>
          <w:sz w:val="24"/>
          <w:szCs w:val="24"/>
        </w:rPr>
        <w:t xml:space="preserve">las empresas </w:t>
      </w:r>
      <w:r w:rsidR="00285CD3">
        <w:rPr>
          <w:rFonts w:ascii="Arial" w:hAnsi="Arial" w:cs="Arial"/>
          <w:sz w:val="24"/>
          <w:szCs w:val="24"/>
        </w:rPr>
        <w:t>grandes</w:t>
      </w:r>
      <w:r w:rsidR="00227C12">
        <w:rPr>
          <w:rFonts w:ascii="Arial" w:hAnsi="Arial" w:cs="Arial"/>
          <w:sz w:val="24"/>
          <w:szCs w:val="24"/>
        </w:rPr>
        <w:t>,</w:t>
      </w:r>
      <w:r w:rsidR="00285CD3" w:rsidRPr="00972732">
        <w:rPr>
          <w:rFonts w:ascii="Arial" w:hAnsi="Arial" w:cs="Arial"/>
          <w:sz w:val="24"/>
          <w:szCs w:val="24"/>
        </w:rPr>
        <w:t xml:space="preserve"> </w:t>
      </w:r>
      <w:r w:rsidRPr="00972732">
        <w:rPr>
          <w:rFonts w:ascii="Arial" w:hAnsi="Arial" w:cs="Arial"/>
          <w:sz w:val="24"/>
          <w:szCs w:val="24"/>
        </w:rPr>
        <w:t>provi</w:t>
      </w:r>
      <w:r w:rsidR="00576B47">
        <w:rPr>
          <w:rFonts w:ascii="Arial" w:hAnsi="Arial" w:cs="Arial"/>
          <w:sz w:val="24"/>
          <w:szCs w:val="24"/>
        </w:rPr>
        <w:t>nieron</w:t>
      </w:r>
      <w:r w:rsidRPr="00972732">
        <w:rPr>
          <w:rFonts w:ascii="Arial" w:hAnsi="Arial" w:cs="Arial"/>
          <w:sz w:val="24"/>
          <w:szCs w:val="24"/>
        </w:rPr>
        <w:t xml:space="preserve"> de los </w:t>
      </w:r>
      <w:r w:rsidR="00C1339C" w:rsidRPr="00C2407B">
        <w:rPr>
          <w:rFonts w:ascii="Arial" w:hAnsi="Arial" w:cs="Arial"/>
          <w:i/>
          <w:sz w:val="24"/>
          <w:szCs w:val="24"/>
        </w:rPr>
        <w:t>s</w:t>
      </w:r>
      <w:r w:rsidRPr="00C2407B">
        <w:rPr>
          <w:rFonts w:ascii="Arial" w:hAnsi="Arial" w:cs="Arial"/>
          <w:i/>
          <w:sz w:val="24"/>
          <w:szCs w:val="24"/>
        </w:rPr>
        <w:t>ervicios de manufactura en insumos físicos que son propiedad de otros</w:t>
      </w:r>
      <w:r w:rsidRPr="00972732">
        <w:rPr>
          <w:rFonts w:ascii="Arial" w:hAnsi="Arial" w:cs="Arial"/>
          <w:sz w:val="24"/>
          <w:szCs w:val="24"/>
        </w:rPr>
        <w:t>,</w:t>
      </w:r>
      <w:r w:rsidR="00E17603">
        <w:rPr>
          <w:rFonts w:ascii="Arial" w:hAnsi="Arial" w:cs="Arial"/>
          <w:sz w:val="24"/>
          <w:szCs w:val="24"/>
        </w:rPr>
        <w:t xml:space="preserve"> ya que </w:t>
      </w:r>
      <w:r w:rsidRPr="00972732">
        <w:rPr>
          <w:rFonts w:ascii="Arial" w:hAnsi="Arial" w:cs="Arial"/>
          <w:sz w:val="24"/>
          <w:szCs w:val="24"/>
        </w:rPr>
        <w:t>representa</w:t>
      </w:r>
      <w:r w:rsidR="00227C12">
        <w:rPr>
          <w:rFonts w:ascii="Arial" w:hAnsi="Arial" w:cs="Arial"/>
          <w:sz w:val="24"/>
          <w:szCs w:val="24"/>
        </w:rPr>
        <w:t>ro</w:t>
      </w:r>
      <w:r w:rsidRPr="00972732">
        <w:rPr>
          <w:rFonts w:ascii="Arial" w:hAnsi="Arial" w:cs="Arial"/>
          <w:sz w:val="24"/>
          <w:szCs w:val="24"/>
        </w:rPr>
        <w:t>n 27.</w:t>
      </w:r>
      <w:r w:rsidR="009B435A">
        <w:rPr>
          <w:rFonts w:ascii="Arial" w:hAnsi="Arial" w:cs="Arial"/>
          <w:sz w:val="24"/>
          <w:szCs w:val="24"/>
        </w:rPr>
        <w:t>5</w:t>
      </w:r>
      <w:r w:rsidR="00C3673B">
        <w:rPr>
          <w:rFonts w:ascii="Arial" w:hAnsi="Arial" w:cs="Arial"/>
          <w:sz w:val="24"/>
          <w:szCs w:val="24"/>
        </w:rPr>
        <w:t xml:space="preserve"> </w:t>
      </w:r>
      <w:r w:rsidRPr="00972732">
        <w:rPr>
          <w:rFonts w:ascii="Arial" w:hAnsi="Arial" w:cs="Arial"/>
          <w:sz w:val="24"/>
          <w:szCs w:val="24"/>
        </w:rPr>
        <w:t>% de</w:t>
      </w:r>
      <w:r w:rsidR="004A5BAC">
        <w:rPr>
          <w:rFonts w:ascii="Arial" w:hAnsi="Arial" w:cs="Arial"/>
          <w:sz w:val="24"/>
          <w:szCs w:val="24"/>
        </w:rPr>
        <w:t>l</w:t>
      </w:r>
      <w:r w:rsidRPr="00972732">
        <w:rPr>
          <w:rFonts w:ascii="Arial" w:hAnsi="Arial" w:cs="Arial"/>
          <w:sz w:val="24"/>
          <w:szCs w:val="24"/>
        </w:rPr>
        <w:t xml:space="preserve"> </w:t>
      </w:r>
      <w:r w:rsidR="009B435A">
        <w:rPr>
          <w:rFonts w:ascii="Arial" w:hAnsi="Arial" w:cs="Arial"/>
          <w:sz w:val="24"/>
          <w:szCs w:val="24"/>
        </w:rPr>
        <w:t>total de</w:t>
      </w:r>
      <w:r w:rsidR="00576B47">
        <w:rPr>
          <w:rFonts w:ascii="Arial" w:hAnsi="Arial" w:cs="Arial"/>
          <w:sz w:val="24"/>
          <w:szCs w:val="24"/>
        </w:rPr>
        <w:t xml:space="preserve"> sus gastos. </w:t>
      </w:r>
      <w:r w:rsidR="00810DAC">
        <w:rPr>
          <w:rFonts w:ascii="Arial" w:hAnsi="Arial" w:cs="Arial"/>
          <w:sz w:val="24"/>
          <w:szCs w:val="24"/>
        </w:rPr>
        <w:t>Le</w:t>
      </w:r>
      <w:r w:rsidRPr="00972732">
        <w:rPr>
          <w:rFonts w:ascii="Arial" w:hAnsi="Arial" w:cs="Arial"/>
          <w:sz w:val="24"/>
          <w:szCs w:val="24"/>
        </w:rPr>
        <w:t xml:space="preserve"> </w:t>
      </w:r>
      <w:r w:rsidR="00810DAC">
        <w:rPr>
          <w:rFonts w:ascii="Arial" w:hAnsi="Arial" w:cs="Arial"/>
          <w:sz w:val="24"/>
          <w:szCs w:val="24"/>
        </w:rPr>
        <w:t>siguieron</w:t>
      </w:r>
      <w:r w:rsidRPr="00972732">
        <w:rPr>
          <w:rFonts w:ascii="Arial" w:hAnsi="Arial" w:cs="Arial"/>
          <w:sz w:val="24"/>
          <w:szCs w:val="24"/>
        </w:rPr>
        <w:t xml:space="preserve"> </w:t>
      </w:r>
      <w:r w:rsidR="00810DAC" w:rsidRPr="004C6464">
        <w:rPr>
          <w:rFonts w:ascii="Arial" w:hAnsi="Arial" w:cs="Arial"/>
          <w:i/>
          <w:sz w:val="24"/>
          <w:szCs w:val="24"/>
        </w:rPr>
        <w:t>otros servicios empresariales</w:t>
      </w:r>
      <w:r w:rsidR="00576B47">
        <w:rPr>
          <w:rFonts w:ascii="Arial" w:hAnsi="Arial" w:cs="Arial"/>
          <w:iCs/>
          <w:sz w:val="24"/>
          <w:szCs w:val="24"/>
        </w:rPr>
        <w:t>,</w:t>
      </w:r>
      <w:r w:rsidR="00810DAC" w:rsidRPr="00576B47">
        <w:rPr>
          <w:rFonts w:ascii="Arial" w:hAnsi="Arial" w:cs="Arial"/>
          <w:iCs/>
          <w:sz w:val="24"/>
          <w:szCs w:val="24"/>
        </w:rPr>
        <w:t xml:space="preserve"> con</w:t>
      </w:r>
      <w:r w:rsidR="00810DAC">
        <w:rPr>
          <w:rFonts w:ascii="Arial" w:hAnsi="Arial" w:cs="Arial"/>
          <w:sz w:val="24"/>
          <w:szCs w:val="24"/>
        </w:rPr>
        <w:t xml:space="preserve"> </w:t>
      </w:r>
      <w:r w:rsidRPr="00972732">
        <w:rPr>
          <w:rFonts w:ascii="Arial" w:hAnsi="Arial" w:cs="Arial"/>
          <w:sz w:val="24"/>
          <w:szCs w:val="24"/>
        </w:rPr>
        <w:t>24.3</w:t>
      </w:r>
      <w:r w:rsidR="00C3673B">
        <w:rPr>
          <w:rFonts w:ascii="Arial" w:hAnsi="Arial" w:cs="Arial"/>
          <w:sz w:val="24"/>
          <w:szCs w:val="24"/>
        </w:rPr>
        <w:t xml:space="preserve"> </w:t>
      </w:r>
      <w:r w:rsidR="00810DAC">
        <w:rPr>
          <w:rFonts w:ascii="Arial" w:hAnsi="Arial" w:cs="Arial"/>
          <w:sz w:val="24"/>
          <w:szCs w:val="24"/>
        </w:rPr>
        <w:t>por ciento.</w:t>
      </w:r>
      <w:r w:rsidR="00403AC2">
        <w:rPr>
          <w:rFonts w:ascii="Arial" w:hAnsi="Arial" w:cs="Arial"/>
          <w:sz w:val="24"/>
          <w:szCs w:val="24"/>
        </w:rPr>
        <w:t xml:space="preserve"> </w:t>
      </w:r>
    </w:p>
    <w:p w14:paraId="2868CF82" w14:textId="77777777" w:rsidR="00C83846" w:rsidRDefault="00810DAC" w:rsidP="00576B47">
      <w:pPr>
        <w:jc w:val="both"/>
        <w:rPr>
          <w:rFonts w:ascii="Arial" w:hAnsi="Arial" w:cs="Arial"/>
          <w:iCs/>
          <w:sz w:val="24"/>
          <w:szCs w:val="24"/>
        </w:rPr>
      </w:pPr>
      <w:r>
        <w:rPr>
          <w:rFonts w:ascii="Arial" w:hAnsi="Arial" w:cs="Arial"/>
          <w:sz w:val="24"/>
          <w:szCs w:val="24"/>
        </w:rPr>
        <w:t>L</w:t>
      </w:r>
      <w:r w:rsidR="00972732" w:rsidRPr="00972732">
        <w:rPr>
          <w:rFonts w:ascii="Arial" w:hAnsi="Arial" w:cs="Arial"/>
          <w:sz w:val="24"/>
          <w:szCs w:val="24"/>
        </w:rPr>
        <w:t>as empresas medianas reporta</w:t>
      </w:r>
      <w:r>
        <w:rPr>
          <w:rFonts w:ascii="Arial" w:hAnsi="Arial" w:cs="Arial"/>
          <w:sz w:val="24"/>
          <w:szCs w:val="24"/>
        </w:rPr>
        <w:t xml:space="preserve">ron que </w:t>
      </w:r>
      <w:r w:rsidR="00972732" w:rsidRPr="00972732">
        <w:rPr>
          <w:rFonts w:ascii="Arial" w:hAnsi="Arial" w:cs="Arial"/>
          <w:sz w:val="24"/>
          <w:szCs w:val="24"/>
        </w:rPr>
        <w:t>27.9</w:t>
      </w:r>
      <w:r w:rsidR="00C3673B">
        <w:rPr>
          <w:rFonts w:ascii="Arial" w:hAnsi="Arial" w:cs="Arial"/>
          <w:sz w:val="24"/>
          <w:szCs w:val="24"/>
        </w:rPr>
        <w:t xml:space="preserve"> </w:t>
      </w:r>
      <w:r w:rsidR="00972732" w:rsidRPr="00972732">
        <w:rPr>
          <w:rFonts w:ascii="Arial" w:hAnsi="Arial" w:cs="Arial"/>
          <w:sz w:val="24"/>
          <w:szCs w:val="24"/>
        </w:rPr>
        <w:t xml:space="preserve">% de </w:t>
      </w:r>
      <w:r>
        <w:rPr>
          <w:rFonts w:ascii="Arial" w:hAnsi="Arial" w:cs="Arial"/>
          <w:sz w:val="24"/>
          <w:szCs w:val="24"/>
        </w:rPr>
        <w:t>sus</w:t>
      </w:r>
      <w:r w:rsidR="00972732" w:rsidRPr="00972732">
        <w:rPr>
          <w:rFonts w:ascii="Arial" w:hAnsi="Arial" w:cs="Arial"/>
          <w:sz w:val="24"/>
          <w:szCs w:val="24"/>
        </w:rPr>
        <w:t xml:space="preserve"> gastos</w:t>
      </w:r>
      <w:r w:rsidR="00576B47">
        <w:rPr>
          <w:rFonts w:ascii="Arial" w:hAnsi="Arial" w:cs="Arial"/>
          <w:sz w:val="24"/>
          <w:szCs w:val="24"/>
        </w:rPr>
        <w:t xml:space="preserve"> provino </w:t>
      </w:r>
      <w:r w:rsidR="00972732" w:rsidRPr="00972732">
        <w:rPr>
          <w:rFonts w:ascii="Arial" w:hAnsi="Arial" w:cs="Arial"/>
          <w:sz w:val="24"/>
          <w:szCs w:val="24"/>
        </w:rPr>
        <w:t xml:space="preserve">de </w:t>
      </w:r>
      <w:r w:rsidR="00C1339C" w:rsidRPr="00C2407B">
        <w:rPr>
          <w:rFonts w:ascii="Arial" w:hAnsi="Arial" w:cs="Arial"/>
          <w:i/>
          <w:sz w:val="24"/>
          <w:szCs w:val="24"/>
        </w:rPr>
        <w:t>o</w:t>
      </w:r>
      <w:r w:rsidR="00972732" w:rsidRPr="00C2407B">
        <w:rPr>
          <w:rFonts w:ascii="Arial" w:hAnsi="Arial" w:cs="Arial"/>
          <w:i/>
          <w:sz w:val="24"/>
          <w:szCs w:val="24"/>
        </w:rPr>
        <w:t>tros servicios empresariales</w:t>
      </w:r>
      <w:r w:rsidRPr="00576B47">
        <w:rPr>
          <w:rFonts w:ascii="Arial" w:hAnsi="Arial" w:cs="Arial"/>
          <w:iCs/>
          <w:sz w:val="24"/>
          <w:szCs w:val="24"/>
        </w:rPr>
        <w:t xml:space="preserve"> y</w:t>
      </w:r>
      <w:r w:rsidR="00972732" w:rsidRPr="00576B47">
        <w:rPr>
          <w:rFonts w:ascii="Arial" w:hAnsi="Arial" w:cs="Arial"/>
          <w:iCs/>
          <w:sz w:val="24"/>
          <w:szCs w:val="24"/>
        </w:rPr>
        <w:t xml:space="preserve"> 22.</w:t>
      </w:r>
      <w:r w:rsidR="00E62451">
        <w:rPr>
          <w:rFonts w:ascii="Arial" w:hAnsi="Arial" w:cs="Arial"/>
          <w:iCs/>
          <w:sz w:val="24"/>
          <w:szCs w:val="24"/>
        </w:rPr>
        <w:t>8</w:t>
      </w:r>
      <w:r w:rsidR="00C3673B" w:rsidRPr="00576B47">
        <w:rPr>
          <w:rFonts w:ascii="Arial" w:hAnsi="Arial" w:cs="Arial"/>
          <w:iCs/>
          <w:sz w:val="24"/>
          <w:szCs w:val="24"/>
        </w:rPr>
        <w:t xml:space="preserve"> </w:t>
      </w:r>
      <w:r w:rsidR="00972732" w:rsidRPr="00576B47">
        <w:rPr>
          <w:rFonts w:ascii="Arial" w:hAnsi="Arial" w:cs="Arial"/>
          <w:iCs/>
          <w:sz w:val="24"/>
          <w:szCs w:val="24"/>
        </w:rPr>
        <w:t>% de</w:t>
      </w:r>
      <w:r w:rsidR="005627F1" w:rsidRPr="00576B47">
        <w:rPr>
          <w:rFonts w:ascii="Arial" w:hAnsi="Arial" w:cs="Arial"/>
          <w:iCs/>
          <w:sz w:val="24"/>
          <w:szCs w:val="24"/>
        </w:rPr>
        <w:t xml:space="preserve"> </w:t>
      </w:r>
      <w:r w:rsidR="005627F1" w:rsidRPr="001F6431">
        <w:rPr>
          <w:rFonts w:ascii="Arial" w:hAnsi="Arial" w:cs="Arial"/>
          <w:i/>
          <w:sz w:val="24"/>
          <w:szCs w:val="24"/>
        </w:rPr>
        <w:t>los</w:t>
      </w:r>
      <w:r w:rsidR="00972732" w:rsidRPr="001F6431">
        <w:rPr>
          <w:rFonts w:ascii="Arial" w:hAnsi="Arial" w:cs="Arial"/>
          <w:i/>
          <w:sz w:val="24"/>
          <w:szCs w:val="24"/>
        </w:rPr>
        <w:t xml:space="preserve"> </w:t>
      </w:r>
      <w:r w:rsidR="00C1339C" w:rsidRPr="00C2407B">
        <w:rPr>
          <w:rFonts w:ascii="Arial" w:hAnsi="Arial" w:cs="Arial"/>
          <w:i/>
          <w:sz w:val="24"/>
          <w:szCs w:val="24"/>
        </w:rPr>
        <w:t>s</w:t>
      </w:r>
      <w:r w:rsidR="00972732" w:rsidRPr="00C2407B">
        <w:rPr>
          <w:rFonts w:ascii="Arial" w:hAnsi="Arial" w:cs="Arial"/>
          <w:i/>
          <w:sz w:val="24"/>
          <w:szCs w:val="24"/>
        </w:rPr>
        <w:t>ervicios de manufactura en insumos físicos que son propiedad de otros</w:t>
      </w:r>
      <w:r w:rsidRPr="00576B47">
        <w:rPr>
          <w:rFonts w:ascii="Arial" w:hAnsi="Arial" w:cs="Arial"/>
          <w:iCs/>
          <w:sz w:val="24"/>
          <w:szCs w:val="24"/>
        </w:rPr>
        <w:t>.</w:t>
      </w:r>
      <w:r w:rsidR="00576B47">
        <w:rPr>
          <w:rFonts w:ascii="Arial" w:hAnsi="Arial" w:cs="Arial"/>
          <w:iCs/>
          <w:sz w:val="24"/>
          <w:szCs w:val="24"/>
        </w:rPr>
        <w:t xml:space="preserve"> </w:t>
      </w:r>
    </w:p>
    <w:p w14:paraId="5768D2F0" w14:textId="6692CA53" w:rsidR="00576B47" w:rsidRPr="00576B47" w:rsidRDefault="00576B47" w:rsidP="00576B47">
      <w:pPr>
        <w:jc w:val="both"/>
        <w:rPr>
          <w:rFonts w:ascii="Arial" w:hAnsi="Arial" w:cs="Arial"/>
          <w:iCs/>
          <w:sz w:val="24"/>
          <w:szCs w:val="24"/>
        </w:rPr>
      </w:pPr>
      <w:r w:rsidRPr="00576B47">
        <w:rPr>
          <w:rFonts w:ascii="Arial" w:hAnsi="Arial" w:cs="Arial"/>
          <w:iCs/>
          <w:sz w:val="24"/>
          <w:szCs w:val="24"/>
        </w:rPr>
        <w:t>En las pequeñas empresas</w:t>
      </w:r>
      <w:r>
        <w:rPr>
          <w:rFonts w:ascii="Arial" w:hAnsi="Arial" w:cs="Arial"/>
          <w:iCs/>
          <w:sz w:val="24"/>
          <w:szCs w:val="24"/>
        </w:rPr>
        <w:t>,</w:t>
      </w:r>
      <w:r w:rsidRPr="00576B47">
        <w:rPr>
          <w:rFonts w:ascii="Arial" w:hAnsi="Arial" w:cs="Arial"/>
          <w:iCs/>
          <w:sz w:val="24"/>
          <w:szCs w:val="24"/>
        </w:rPr>
        <w:t xml:space="preserve"> 31.4 % de sus gastos </w:t>
      </w:r>
      <w:r w:rsidR="00F32144">
        <w:rPr>
          <w:rFonts w:ascii="Arial" w:hAnsi="Arial" w:cs="Arial"/>
          <w:iCs/>
          <w:sz w:val="24"/>
          <w:szCs w:val="24"/>
        </w:rPr>
        <w:t>se originaron en</w:t>
      </w:r>
      <w:r w:rsidRPr="00576B47">
        <w:rPr>
          <w:rFonts w:ascii="Arial" w:hAnsi="Arial" w:cs="Arial"/>
          <w:iCs/>
          <w:sz w:val="24"/>
          <w:szCs w:val="24"/>
        </w:rPr>
        <w:t xml:space="preserve"> </w:t>
      </w:r>
      <w:r w:rsidRPr="006950BB">
        <w:rPr>
          <w:rFonts w:ascii="Arial" w:hAnsi="Arial" w:cs="Arial"/>
          <w:iCs/>
          <w:sz w:val="24"/>
          <w:szCs w:val="24"/>
        </w:rPr>
        <w:t xml:space="preserve">los </w:t>
      </w:r>
      <w:r w:rsidRPr="001F6431">
        <w:rPr>
          <w:rFonts w:ascii="Arial" w:hAnsi="Arial" w:cs="Arial"/>
          <w:i/>
          <w:sz w:val="24"/>
          <w:szCs w:val="24"/>
        </w:rPr>
        <w:t>servicios de manufactura en insumos físicos que son propiedad de otros</w:t>
      </w:r>
      <w:r w:rsidRPr="00576B47">
        <w:rPr>
          <w:rFonts w:ascii="Arial" w:hAnsi="Arial" w:cs="Arial"/>
          <w:iCs/>
          <w:sz w:val="24"/>
          <w:szCs w:val="24"/>
        </w:rPr>
        <w:t xml:space="preserve"> y 23.7 % de </w:t>
      </w:r>
      <w:r w:rsidRPr="001F6431">
        <w:rPr>
          <w:rFonts w:ascii="Arial" w:hAnsi="Arial" w:cs="Arial"/>
          <w:i/>
          <w:sz w:val="24"/>
          <w:szCs w:val="24"/>
        </w:rPr>
        <w:t>otros servicios empresariales</w:t>
      </w:r>
      <w:r w:rsidRPr="00576B47">
        <w:rPr>
          <w:rFonts w:ascii="Arial" w:hAnsi="Arial" w:cs="Arial"/>
          <w:iCs/>
          <w:sz w:val="24"/>
          <w:szCs w:val="24"/>
        </w:rPr>
        <w:t>. Para las microempresas</w:t>
      </w:r>
      <w:r>
        <w:rPr>
          <w:rFonts w:ascii="Arial" w:hAnsi="Arial" w:cs="Arial"/>
          <w:iCs/>
          <w:sz w:val="24"/>
          <w:szCs w:val="24"/>
        </w:rPr>
        <w:t>,</w:t>
      </w:r>
      <w:r w:rsidRPr="00576B47">
        <w:rPr>
          <w:rFonts w:ascii="Arial" w:hAnsi="Arial" w:cs="Arial"/>
          <w:iCs/>
          <w:sz w:val="24"/>
          <w:szCs w:val="24"/>
        </w:rPr>
        <w:t xml:space="preserve"> 51.2 % de sus gastos correspondió a </w:t>
      </w:r>
      <w:r w:rsidRPr="001F6431">
        <w:rPr>
          <w:rFonts w:ascii="Arial" w:hAnsi="Arial" w:cs="Arial"/>
          <w:i/>
          <w:sz w:val="24"/>
          <w:szCs w:val="24"/>
        </w:rPr>
        <w:t>otros servicios empresariales</w:t>
      </w:r>
      <w:r w:rsidRPr="00576B47">
        <w:rPr>
          <w:rFonts w:ascii="Arial" w:hAnsi="Arial" w:cs="Arial"/>
          <w:iCs/>
          <w:sz w:val="24"/>
          <w:szCs w:val="24"/>
        </w:rPr>
        <w:t xml:space="preserve"> y 19.9 % a los </w:t>
      </w:r>
      <w:r w:rsidRPr="001F6431">
        <w:rPr>
          <w:rFonts w:ascii="Arial" w:hAnsi="Arial" w:cs="Arial"/>
          <w:i/>
          <w:sz w:val="24"/>
          <w:szCs w:val="24"/>
        </w:rPr>
        <w:t>servicios de manufactura en insumos físicos que son propiedad de otros</w:t>
      </w:r>
      <w:r w:rsidRPr="00576B47">
        <w:rPr>
          <w:rFonts w:ascii="Arial" w:hAnsi="Arial" w:cs="Arial"/>
          <w:iCs/>
          <w:sz w:val="24"/>
          <w:szCs w:val="24"/>
        </w:rPr>
        <w:t>.</w:t>
      </w:r>
    </w:p>
    <w:p w14:paraId="68DC12CE" w14:textId="6B711C73" w:rsidR="00576B47" w:rsidRPr="00576B47" w:rsidRDefault="00576B47" w:rsidP="00576B47">
      <w:pPr>
        <w:jc w:val="both"/>
        <w:rPr>
          <w:rFonts w:ascii="Arial" w:hAnsi="Arial" w:cs="Arial"/>
          <w:iCs/>
          <w:sz w:val="24"/>
          <w:szCs w:val="24"/>
        </w:rPr>
      </w:pPr>
    </w:p>
    <w:p w14:paraId="574BB366" w14:textId="5DCA6A9C" w:rsidR="00810DAC" w:rsidRPr="00576B47" w:rsidRDefault="00810DAC" w:rsidP="004F2B9B">
      <w:pPr>
        <w:jc w:val="both"/>
        <w:rPr>
          <w:rFonts w:ascii="Arial" w:hAnsi="Arial" w:cs="Arial"/>
          <w:iCs/>
          <w:sz w:val="24"/>
          <w:szCs w:val="24"/>
        </w:rPr>
      </w:pPr>
    </w:p>
    <w:p w14:paraId="038E5C6D" w14:textId="70F1E36F" w:rsidR="004F2B9B" w:rsidRDefault="004F2B9B" w:rsidP="004F2B9B">
      <w:pPr>
        <w:jc w:val="both"/>
        <w:rPr>
          <w:rFonts w:ascii="Arial" w:hAnsi="Arial" w:cs="Arial"/>
          <w:sz w:val="24"/>
          <w:szCs w:val="24"/>
        </w:rPr>
      </w:pPr>
    </w:p>
    <w:p w14:paraId="40C2C1C2" w14:textId="77777777" w:rsidR="001B2D22" w:rsidRPr="001B2D22" w:rsidRDefault="00972732" w:rsidP="00810DAC">
      <w:pPr>
        <w:spacing w:after="0" w:line="240" w:lineRule="auto"/>
        <w:jc w:val="center"/>
        <w:rPr>
          <w:rFonts w:ascii="Arial" w:hAnsi="Arial" w:cs="Arial"/>
          <w:sz w:val="24"/>
          <w:szCs w:val="24"/>
        </w:rPr>
      </w:pPr>
      <w:r w:rsidRPr="00FE1E0E">
        <w:rPr>
          <w:rFonts w:ascii="Arial" w:hAnsi="Arial" w:cs="Arial"/>
          <w:bCs/>
          <w:sz w:val="20"/>
          <w:szCs w:val="20"/>
        </w:rPr>
        <w:t xml:space="preserve">Gráfica </w:t>
      </w:r>
      <w:r>
        <w:rPr>
          <w:rFonts w:ascii="Arial" w:hAnsi="Arial" w:cs="Arial"/>
          <w:bCs/>
          <w:sz w:val="20"/>
          <w:szCs w:val="20"/>
        </w:rPr>
        <w:t>10</w:t>
      </w:r>
    </w:p>
    <w:p w14:paraId="0A900400" w14:textId="7ED5D10A" w:rsidR="00972732" w:rsidRPr="005F4459" w:rsidRDefault="00972732" w:rsidP="00810DAC">
      <w:pPr>
        <w:autoSpaceDE w:val="0"/>
        <w:autoSpaceDN w:val="0"/>
        <w:adjustRightInd w:val="0"/>
        <w:spacing w:after="0" w:line="240" w:lineRule="auto"/>
        <w:ind w:left="-567" w:right="-518"/>
        <w:jc w:val="center"/>
        <w:outlineLvl w:val="0"/>
        <w:rPr>
          <w:rFonts w:ascii="Arial" w:hAnsi="Arial" w:cs="Arial"/>
          <w:b/>
          <w:szCs w:val="24"/>
        </w:rPr>
      </w:pPr>
      <w:r w:rsidRPr="00810DAC">
        <w:rPr>
          <w:rFonts w:ascii="Arial Negrita" w:hAnsi="Arial Negrita" w:cs="Arial"/>
          <w:b/>
          <w:smallCaps/>
          <w:szCs w:val="24"/>
        </w:rPr>
        <w:t>Gastos de empresas que realizaron CIS por tamaño de empresa</w:t>
      </w:r>
    </w:p>
    <w:p w14:paraId="51F62347" w14:textId="2A65DAA8" w:rsidR="00041BF2" w:rsidRDefault="005627F1" w:rsidP="005627F1">
      <w:pPr>
        <w:autoSpaceDE w:val="0"/>
        <w:autoSpaceDN w:val="0"/>
        <w:adjustRightInd w:val="0"/>
        <w:spacing w:after="0" w:line="240" w:lineRule="auto"/>
        <w:ind w:left="-567" w:right="-518"/>
        <w:jc w:val="center"/>
        <w:outlineLvl w:val="0"/>
        <w:rPr>
          <w:rFonts w:ascii="Arial Negrita" w:hAnsi="Arial Negrita" w:cs="Arial"/>
          <w:b/>
          <w:bCs/>
          <w:sz w:val="20"/>
          <w:szCs w:val="20"/>
        </w:rPr>
      </w:pPr>
      <w:r>
        <w:rPr>
          <w:noProof/>
        </w:rPr>
        <w:drawing>
          <wp:inline distT="0" distB="0" distL="0" distR="0" wp14:anchorId="469E5C58" wp14:editId="225DB6AC">
            <wp:extent cx="6404610" cy="3105150"/>
            <wp:effectExtent l="0" t="0" r="0" b="0"/>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pic:nvPicPr>
                  <pic:blipFill>
                    <a:blip r:embed="rId17"/>
                    <a:stretch>
                      <a:fillRect/>
                    </a:stretch>
                  </pic:blipFill>
                  <pic:spPr>
                    <a:xfrm>
                      <a:off x="0" y="0"/>
                      <a:ext cx="6404610" cy="3105150"/>
                    </a:xfrm>
                    <a:prstGeom prst="rect">
                      <a:avLst/>
                    </a:prstGeom>
                  </pic:spPr>
                </pic:pic>
              </a:graphicData>
            </a:graphic>
          </wp:inline>
        </w:drawing>
      </w:r>
    </w:p>
    <w:p w14:paraId="208239EC" w14:textId="77777777" w:rsidR="005627F1" w:rsidRPr="005627F1" w:rsidRDefault="005627F1" w:rsidP="005627F1">
      <w:pPr>
        <w:autoSpaceDE w:val="0"/>
        <w:autoSpaceDN w:val="0"/>
        <w:adjustRightInd w:val="0"/>
        <w:spacing w:after="0" w:line="240" w:lineRule="auto"/>
        <w:ind w:left="-567" w:right="-518"/>
        <w:jc w:val="center"/>
        <w:outlineLvl w:val="0"/>
        <w:rPr>
          <w:rFonts w:ascii="Arial Negrita" w:hAnsi="Arial Negrita" w:cs="Arial"/>
          <w:b/>
          <w:bCs/>
          <w:sz w:val="20"/>
          <w:szCs w:val="20"/>
        </w:rPr>
      </w:pPr>
    </w:p>
    <w:p w14:paraId="6AB44C3B" w14:textId="4E5A4151" w:rsidR="00972732" w:rsidRPr="00972732" w:rsidRDefault="005627F1" w:rsidP="00972732">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972732" w:rsidRPr="000830B2">
        <w:rPr>
          <w:rFonts w:ascii="Arial" w:hAnsi="Arial" w:cs="Arial"/>
          <w:bCs/>
          <w:sz w:val="16"/>
          <w:szCs w:val="16"/>
        </w:rPr>
        <w:t xml:space="preserve">Nota: </w:t>
      </w:r>
      <w:r w:rsidR="00972732" w:rsidRPr="00972732">
        <w:rPr>
          <w:rFonts w:ascii="Arial" w:hAnsi="Arial" w:cs="Arial"/>
          <w:bCs/>
          <w:sz w:val="16"/>
          <w:szCs w:val="16"/>
        </w:rPr>
        <w:t>Montos en millones de pesos</w:t>
      </w:r>
      <w:r w:rsidR="00E62451">
        <w:rPr>
          <w:rFonts w:ascii="Arial" w:hAnsi="Arial" w:cs="Arial"/>
          <w:bCs/>
          <w:sz w:val="16"/>
          <w:szCs w:val="16"/>
        </w:rPr>
        <w:t>.</w:t>
      </w:r>
    </w:p>
    <w:p w14:paraId="21DD73CA" w14:textId="77777777" w:rsidR="00972732" w:rsidRPr="00DF20E3" w:rsidRDefault="00972732" w:rsidP="00972732">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972732">
        <w:rPr>
          <w:rFonts w:ascii="Arial" w:hAnsi="Arial" w:cs="Arial"/>
          <w:bCs/>
          <w:sz w:val="16"/>
          <w:szCs w:val="16"/>
        </w:rPr>
        <w:t>Porcentajes obtenidos respecto del total de gastos por tamaño de empresa.</w:t>
      </w:r>
    </w:p>
    <w:p w14:paraId="47AFC5A1" w14:textId="77777777" w:rsidR="00041BF2" w:rsidRDefault="00041BF2" w:rsidP="00051CC1">
      <w:pPr>
        <w:jc w:val="both"/>
        <w:rPr>
          <w:rFonts w:ascii="Arial" w:hAnsi="Arial" w:cs="Arial"/>
          <w:sz w:val="24"/>
          <w:szCs w:val="24"/>
        </w:rPr>
      </w:pPr>
    </w:p>
    <w:p w14:paraId="4DE02D7A" w14:textId="77777777" w:rsidR="00C83846" w:rsidRDefault="00810DAC" w:rsidP="0023154A">
      <w:pPr>
        <w:jc w:val="both"/>
        <w:rPr>
          <w:rFonts w:ascii="Arial" w:hAnsi="Arial" w:cs="Arial"/>
          <w:color w:val="000000" w:themeColor="text1"/>
          <w:sz w:val="24"/>
          <w:szCs w:val="24"/>
        </w:rPr>
      </w:pPr>
      <w:r w:rsidRPr="00D035D8">
        <w:rPr>
          <w:rFonts w:ascii="Arial" w:hAnsi="Arial" w:cs="Arial"/>
          <w:color w:val="000000" w:themeColor="text1"/>
          <w:sz w:val="24"/>
          <w:szCs w:val="24"/>
        </w:rPr>
        <w:t>E</w:t>
      </w:r>
      <w:r w:rsidR="0023154A" w:rsidRPr="00D035D8">
        <w:rPr>
          <w:rFonts w:ascii="Arial" w:hAnsi="Arial" w:cs="Arial"/>
          <w:color w:val="000000" w:themeColor="text1"/>
          <w:sz w:val="24"/>
          <w:szCs w:val="24"/>
        </w:rPr>
        <w:t xml:space="preserve">n 2020, </w:t>
      </w:r>
      <w:r w:rsidRPr="00D035D8">
        <w:rPr>
          <w:rFonts w:ascii="Arial" w:hAnsi="Arial" w:cs="Arial"/>
          <w:color w:val="000000" w:themeColor="text1"/>
          <w:sz w:val="24"/>
          <w:szCs w:val="24"/>
        </w:rPr>
        <w:t xml:space="preserve">de los gastos por importaciones del sector industria </w:t>
      </w:r>
      <w:r w:rsidR="0023154A" w:rsidRPr="00D035D8">
        <w:rPr>
          <w:rFonts w:ascii="Arial" w:hAnsi="Arial" w:cs="Arial"/>
          <w:color w:val="000000" w:themeColor="text1"/>
          <w:sz w:val="24"/>
          <w:szCs w:val="24"/>
        </w:rPr>
        <w:t>35.1 % se realiz</w:t>
      </w:r>
      <w:r w:rsidRPr="00D035D8">
        <w:rPr>
          <w:rFonts w:ascii="Arial" w:hAnsi="Arial" w:cs="Arial"/>
          <w:color w:val="000000" w:themeColor="text1"/>
          <w:sz w:val="24"/>
          <w:szCs w:val="24"/>
        </w:rPr>
        <w:t>ó</w:t>
      </w:r>
      <w:r w:rsidR="0023154A" w:rsidRPr="00D035D8">
        <w:rPr>
          <w:rFonts w:ascii="Arial" w:hAnsi="Arial" w:cs="Arial"/>
          <w:color w:val="000000" w:themeColor="text1"/>
          <w:sz w:val="24"/>
          <w:szCs w:val="24"/>
        </w:rPr>
        <w:t xml:space="preserve"> por </w:t>
      </w:r>
      <w:r w:rsidR="0023154A" w:rsidRPr="00C2407B">
        <w:rPr>
          <w:rFonts w:ascii="Arial" w:hAnsi="Arial" w:cs="Arial"/>
          <w:i/>
          <w:iCs/>
          <w:color w:val="000000" w:themeColor="text1"/>
          <w:sz w:val="24"/>
          <w:szCs w:val="24"/>
        </w:rPr>
        <w:t>servicios de manufactura en insumos físicos que son propiedad de otros</w:t>
      </w:r>
      <w:r w:rsidR="0023154A" w:rsidRPr="00D035D8">
        <w:rPr>
          <w:rFonts w:ascii="Arial" w:hAnsi="Arial" w:cs="Arial"/>
          <w:color w:val="000000" w:themeColor="text1"/>
          <w:sz w:val="24"/>
          <w:szCs w:val="24"/>
        </w:rPr>
        <w:t xml:space="preserve">, 20.9 % </w:t>
      </w:r>
      <w:r w:rsidR="005627F1" w:rsidRPr="00D035D8">
        <w:rPr>
          <w:rFonts w:ascii="Arial" w:hAnsi="Arial" w:cs="Arial"/>
          <w:color w:val="000000" w:themeColor="text1"/>
          <w:sz w:val="24"/>
          <w:szCs w:val="24"/>
        </w:rPr>
        <w:t>correspond</w:t>
      </w:r>
      <w:r w:rsidRPr="00D035D8">
        <w:rPr>
          <w:rFonts w:ascii="Arial" w:hAnsi="Arial" w:cs="Arial"/>
          <w:color w:val="000000" w:themeColor="text1"/>
          <w:sz w:val="24"/>
          <w:szCs w:val="24"/>
        </w:rPr>
        <w:t>ió</w:t>
      </w:r>
      <w:r w:rsidR="005627F1" w:rsidRPr="00D035D8">
        <w:rPr>
          <w:rFonts w:ascii="Arial" w:hAnsi="Arial" w:cs="Arial"/>
          <w:color w:val="000000" w:themeColor="text1"/>
          <w:sz w:val="24"/>
          <w:szCs w:val="24"/>
        </w:rPr>
        <w:t xml:space="preserve"> a </w:t>
      </w:r>
      <w:r w:rsidR="005627F1" w:rsidRPr="00C2407B">
        <w:rPr>
          <w:rFonts w:ascii="Arial" w:hAnsi="Arial" w:cs="Arial"/>
          <w:i/>
          <w:iCs/>
          <w:color w:val="000000" w:themeColor="text1"/>
          <w:sz w:val="24"/>
          <w:szCs w:val="24"/>
        </w:rPr>
        <w:t>los</w:t>
      </w:r>
      <w:r w:rsidR="0023154A" w:rsidRPr="00C2407B">
        <w:rPr>
          <w:rFonts w:ascii="Arial" w:hAnsi="Arial" w:cs="Arial"/>
          <w:i/>
          <w:iCs/>
          <w:color w:val="000000" w:themeColor="text1"/>
          <w:sz w:val="24"/>
          <w:szCs w:val="24"/>
        </w:rPr>
        <w:t xml:space="preserve"> cargos por el uso de la propiedad intelectual</w:t>
      </w:r>
      <w:r w:rsidR="0023154A" w:rsidRPr="001F6431">
        <w:rPr>
          <w:rFonts w:ascii="Arial" w:hAnsi="Arial" w:cs="Arial"/>
          <w:color w:val="000000" w:themeColor="text1"/>
          <w:sz w:val="24"/>
          <w:szCs w:val="24"/>
        </w:rPr>
        <w:t xml:space="preserve"> </w:t>
      </w:r>
      <w:r w:rsidR="0023154A" w:rsidRPr="00D035D8">
        <w:rPr>
          <w:rFonts w:ascii="Arial" w:hAnsi="Arial" w:cs="Arial"/>
          <w:color w:val="000000" w:themeColor="text1"/>
          <w:sz w:val="24"/>
          <w:szCs w:val="24"/>
        </w:rPr>
        <w:t xml:space="preserve">y 22.1 % </w:t>
      </w:r>
      <w:r w:rsidRPr="001F6431">
        <w:rPr>
          <w:rFonts w:ascii="Arial" w:hAnsi="Arial" w:cs="Arial"/>
          <w:i/>
          <w:iCs/>
          <w:color w:val="000000" w:themeColor="text1"/>
          <w:sz w:val="24"/>
          <w:szCs w:val="24"/>
        </w:rPr>
        <w:t>a</w:t>
      </w:r>
      <w:r w:rsidR="0023154A" w:rsidRPr="001F6431">
        <w:rPr>
          <w:rFonts w:ascii="Arial" w:hAnsi="Arial" w:cs="Arial"/>
          <w:i/>
          <w:iCs/>
          <w:color w:val="000000" w:themeColor="text1"/>
          <w:sz w:val="24"/>
          <w:szCs w:val="24"/>
        </w:rPr>
        <w:t xml:space="preserve"> </w:t>
      </w:r>
      <w:r w:rsidR="0023154A" w:rsidRPr="00C2407B">
        <w:rPr>
          <w:rFonts w:ascii="Arial" w:hAnsi="Arial" w:cs="Arial"/>
          <w:i/>
          <w:iCs/>
          <w:color w:val="000000" w:themeColor="text1"/>
          <w:sz w:val="24"/>
          <w:szCs w:val="24"/>
        </w:rPr>
        <w:t>otros servicios empresariales</w:t>
      </w:r>
      <w:r w:rsidR="0023154A" w:rsidRPr="00D035D8">
        <w:rPr>
          <w:rFonts w:ascii="Arial" w:hAnsi="Arial" w:cs="Arial"/>
          <w:color w:val="000000" w:themeColor="text1"/>
          <w:sz w:val="24"/>
          <w:szCs w:val="24"/>
        </w:rPr>
        <w:t xml:space="preserve">. </w:t>
      </w:r>
    </w:p>
    <w:p w14:paraId="4F8AAFF8" w14:textId="77777777" w:rsidR="00C83846" w:rsidRDefault="00810DAC" w:rsidP="0023154A">
      <w:pPr>
        <w:jc w:val="both"/>
        <w:rPr>
          <w:rFonts w:ascii="Arial" w:hAnsi="Arial" w:cs="Arial"/>
          <w:color w:val="000000" w:themeColor="text1"/>
          <w:sz w:val="24"/>
          <w:szCs w:val="24"/>
        </w:rPr>
      </w:pPr>
      <w:r w:rsidRPr="00D035D8">
        <w:rPr>
          <w:rFonts w:ascii="Arial" w:hAnsi="Arial" w:cs="Arial"/>
          <w:color w:val="000000" w:themeColor="text1"/>
          <w:sz w:val="24"/>
          <w:szCs w:val="24"/>
        </w:rPr>
        <w:t xml:space="preserve">En el </w:t>
      </w:r>
      <w:r w:rsidR="0023154A" w:rsidRPr="00D035D8">
        <w:rPr>
          <w:rFonts w:ascii="Arial" w:hAnsi="Arial" w:cs="Arial"/>
          <w:color w:val="000000" w:themeColor="text1"/>
          <w:sz w:val="24"/>
          <w:szCs w:val="24"/>
        </w:rPr>
        <w:t>sector comercio, de los gastos realizados</w:t>
      </w:r>
      <w:r w:rsidR="00403AC2">
        <w:rPr>
          <w:rFonts w:ascii="Arial" w:hAnsi="Arial" w:cs="Arial"/>
          <w:color w:val="000000" w:themeColor="text1"/>
          <w:sz w:val="24"/>
          <w:szCs w:val="24"/>
        </w:rPr>
        <w:t>,</w:t>
      </w:r>
      <w:r w:rsidR="0023154A" w:rsidRPr="00D035D8">
        <w:rPr>
          <w:rFonts w:ascii="Arial" w:hAnsi="Arial" w:cs="Arial"/>
          <w:color w:val="000000" w:themeColor="text1"/>
          <w:sz w:val="24"/>
          <w:szCs w:val="24"/>
        </w:rPr>
        <w:t xml:space="preserve"> </w:t>
      </w:r>
      <w:r w:rsidRPr="00D035D8">
        <w:rPr>
          <w:rFonts w:ascii="Arial" w:hAnsi="Arial" w:cs="Arial"/>
          <w:color w:val="000000" w:themeColor="text1"/>
          <w:sz w:val="24"/>
          <w:szCs w:val="24"/>
        </w:rPr>
        <w:t xml:space="preserve">23.1 % </w:t>
      </w:r>
      <w:r w:rsidR="0023154A" w:rsidRPr="00D035D8">
        <w:rPr>
          <w:rFonts w:ascii="Arial" w:hAnsi="Arial" w:cs="Arial"/>
          <w:color w:val="000000" w:themeColor="text1"/>
          <w:sz w:val="24"/>
          <w:szCs w:val="24"/>
        </w:rPr>
        <w:t>correspond</w:t>
      </w:r>
      <w:r w:rsidRPr="00D035D8">
        <w:rPr>
          <w:rFonts w:ascii="Arial" w:hAnsi="Arial" w:cs="Arial"/>
          <w:color w:val="000000" w:themeColor="text1"/>
          <w:sz w:val="24"/>
          <w:szCs w:val="24"/>
        </w:rPr>
        <w:t>ió</w:t>
      </w:r>
      <w:r w:rsidR="0023154A" w:rsidRPr="00D035D8">
        <w:rPr>
          <w:rFonts w:ascii="Arial" w:hAnsi="Arial" w:cs="Arial"/>
          <w:color w:val="000000" w:themeColor="text1"/>
          <w:sz w:val="24"/>
          <w:szCs w:val="24"/>
        </w:rPr>
        <w:t xml:space="preserve"> a </w:t>
      </w:r>
      <w:r w:rsidR="0023154A" w:rsidRPr="00C2407B">
        <w:rPr>
          <w:rFonts w:ascii="Arial" w:hAnsi="Arial" w:cs="Arial"/>
          <w:i/>
          <w:iCs/>
          <w:color w:val="000000" w:themeColor="text1"/>
          <w:sz w:val="24"/>
          <w:szCs w:val="24"/>
        </w:rPr>
        <w:t>servicios de manufactura en insumos físicos que son propiedad de otros</w:t>
      </w:r>
      <w:r w:rsidR="0023154A" w:rsidRPr="00D035D8">
        <w:rPr>
          <w:rFonts w:ascii="Arial" w:hAnsi="Arial" w:cs="Arial"/>
          <w:color w:val="000000" w:themeColor="text1"/>
          <w:sz w:val="24"/>
          <w:szCs w:val="24"/>
        </w:rPr>
        <w:t>, 34.</w:t>
      </w:r>
      <w:r w:rsidR="005627F1" w:rsidRPr="00D035D8">
        <w:rPr>
          <w:rFonts w:ascii="Arial" w:hAnsi="Arial" w:cs="Arial"/>
          <w:color w:val="000000" w:themeColor="text1"/>
          <w:sz w:val="24"/>
          <w:szCs w:val="24"/>
        </w:rPr>
        <w:t>4</w:t>
      </w:r>
      <w:r w:rsidR="0023154A" w:rsidRPr="00D035D8">
        <w:rPr>
          <w:rFonts w:ascii="Arial" w:hAnsi="Arial" w:cs="Arial"/>
          <w:color w:val="000000" w:themeColor="text1"/>
          <w:sz w:val="24"/>
          <w:szCs w:val="24"/>
        </w:rPr>
        <w:t xml:space="preserve"> % a </w:t>
      </w:r>
      <w:r w:rsidR="005627F1" w:rsidRPr="00D035D8">
        <w:rPr>
          <w:rFonts w:ascii="Arial" w:hAnsi="Arial" w:cs="Arial"/>
          <w:color w:val="000000" w:themeColor="text1"/>
          <w:sz w:val="24"/>
          <w:szCs w:val="24"/>
        </w:rPr>
        <w:t xml:space="preserve">los </w:t>
      </w:r>
      <w:r w:rsidR="0023154A" w:rsidRPr="00C2407B">
        <w:rPr>
          <w:rFonts w:ascii="Arial" w:hAnsi="Arial" w:cs="Arial"/>
          <w:i/>
          <w:iCs/>
          <w:color w:val="000000" w:themeColor="text1"/>
          <w:sz w:val="24"/>
          <w:szCs w:val="24"/>
        </w:rPr>
        <w:t>cargos por el uso de la propiedad intelectual</w:t>
      </w:r>
      <w:r w:rsidR="0023154A" w:rsidRPr="00D035D8">
        <w:rPr>
          <w:rFonts w:ascii="Arial" w:hAnsi="Arial" w:cs="Arial"/>
          <w:color w:val="000000" w:themeColor="text1"/>
          <w:sz w:val="24"/>
          <w:szCs w:val="24"/>
        </w:rPr>
        <w:t xml:space="preserve"> y 23.5 % a </w:t>
      </w:r>
      <w:r w:rsidR="0023154A" w:rsidRPr="00C2407B">
        <w:rPr>
          <w:rFonts w:ascii="Arial" w:hAnsi="Arial" w:cs="Arial"/>
          <w:i/>
          <w:iCs/>
          <w:color w:val="000000" w:themeColor="text1"/>
          <w:sz w:val="24"/>
          <w:szCs w:val="24"/>
        </w:rPr>
        <w:t>otros servicios empresariales</w:t>
      </w:r>
      <w:r w:rsidR="0023154A" w:rsidRPr="00D035D8">
        <w:rPr>
          <w:rFonts w:ascii="Arial" w:hAnsi="Arial" w:cs="Arial"/>
          <w:color w:val="000000" w:themeColor="text1"/>
          <w:sz w:val="24"/>
          <w:szCs w:val="24"/>
        </w:rPr>
        <w:t xml:space="preserve">. </w:t>
      </w:r>
    </w:p>
    <w:p w14:paraId="7BC97630" w14:textId="2C3D87AD" w:rsidR="0023154A" w:rsidRPr="00D035D8" w:rsidRDefault="00810DAC" w:rsidP="0023154A">
      <w:pPr>
        <w:jc w:val="both"/>
        <w:rPr>
          <w:rFonts w:ascii="Arial" w:hAnsi="Arial" w:cs="Arial"/>
          <w:color w:val="000000" w:themeColor="text1"/>
          <w:sz w:val="24"/>
          <w:szCs w:val="24"/>
        </w:rPr>
      </w:pPr>
      <w:r w:rsidRPr="00D035D8">
        <w:rPr>
          <w:rFonts w:ascii="Arial" w:hAnsi="Arial" w:cs="Arial"/>
          <w:color w:val="000000" w:themeColor="text1"/>
          <w:sz w:val="24"/>
          <w:szCs w:val="24"/>
        </w:rPr>
        <w:t>De los gastos en el</w:t>
      </w:r>
      <w:r w:rsidR="0023154A" w:rsidRPr="00D035D8">
        <w:rPr>
          <w:rFonts w:ascii="Arial" w:hAnsi="Arial" w:cs="Arial"/>
          <w:color w:val="000000" w:themeColor="text1"/>
          <w:sz w:val="24"/>
          <w:szCs w:val="24"/>
        </w:rPr>
        <w:t xml:space="preserve"> sector servicios, 19.1 % </w:t>
      </w:r>
      <w:r w:rsidRPr="00D035D8">
        <w:rPr>
          <w:rFonts w:ascii="Arial" w:hAnsi="Arial" w:cs="Arial"/>
          <w:color w:val="000000" w:themeColor="text1"/>
          <w:sz w:val="24"/>
          <w:szCs w:val="24"/>
        </w:rPr>
        <w:t>fue</w:t>
      </w:r>
      <w:r w:rsidR="0023154A" w:rsidRPr="00D035D8">
        <w:rPr>
          <w:rFonts w:ascii="Arial" w:hAnsi="Arial" w:cs="Arial"/>
          <w:color w:val="000000" w:themeColor="text1"/>
          <w:sz w:val="24"/>
          <w:szCs w:val="24"/>
        </w:rPr>
        <w:t xml:space="preserve"> por conceptos de </w:t>
      </w:r>
      <w:r w:rsidR="0023154A" w:rsidRPr="00AC565C">
        <w:rPr>
          <w:rFonts w:ascii="Arial" w:hAnsi="Arial" w:cs="Arial"/>
          <w:i/>
          <w:iCs/>
          <w:color w:val="000000" w:themeColor="text1"/>
          <w:sz w:val="24"/>
          <w:szCs w:val="24"/>
        </w:rPr>
        <w:t>cargos por el uso de la propiedad intelectual</w:t>
      </w:r>
      <w:r w:rsidR="0023154A" w:rsidRPr="00D035D8">
        <w:rPr>
          <w:rFonts w:ascii="Arial" w:hAnsi="Arial" w:cs="Arial"/>
          <w:color w:val="000000" w:themeColor="text1"/>
          <w:sz w:val="24"/>
          <w:szCs w:val="24"/>
        </w:rPr>
        <w:t xml:space="preserve">, 23.9 % por </w:t>
      </w:r>
      <w:r w:rsidR="0023154A" w:rsidRPr="00AC565C">
        <w:rPr>
          <w:rFonts w:ascii="Arial" w:hAnsi="Arial" w:cs="Arial"/>
          <w:i/>
          <w:iCs/>
          <w:color w:val="000000" w:themeColor="text1"/>
          <w:sz w:val="24"/>
          <w:szCs w:val="24"/>
        </w:rPr>
        <w:t>servicios de telecomunicaciones, informática e información</w:t>
      </w:r>
      <w:r w:rsidR="0023154A" w:rsidRPr="00D035D8">
        <w:rPr>
          <w:rFonts w:ascii="Arial" w:hAnsi="Arial" w:cs="Arial"/>
          <w:color w:val="000000" w:themeColor="text1"/>
          <w:sz w:val="24"/>
          <w:szCs w:val="24"/>
        </w:rPr>
        <w:t xml:space="preserve"> y 37.</w:t>
      </w:r>
      <w:r w:rsidR="005627F1" w:rsidRPr="00D035D8">
        <w:rPr>
          <w:rFonts w:ascii="Arial" w:hAnsi="Arial" w:cs="Arial"/>
          <w:color w:val="000000" w:themeColor="text1"/>
          <w:sz w:val="24"/>
          <w:szCs w:val="24"/>
        </w:rPr>
        <w:t>3</w:t>
      </w:r>
      <w:r w:rsidR="0023154A" w:rsidRPr="00D035D8">
        <w:rPr>
          <w:rFonts w:ascii="Arial" w:hAnsi="Arial" w:cs="Arial"/>
          <w:color w:val="000000" w:themeColor="text1"/>
          <w:sz w:val="24"/>
          <w:szCs w:val="24"/>
        </w:rPr>
        <w:t xml:space="preserve"> % por </w:t>
      </w:r>
      <w:r w:rsidR="0023154A" w:rsidRPr="00AC565C">
        <w:rPr>
          <w:rFonts w:ascii="Arial" w:hAnsi="Arial" w:cs="Arial"/>
          <w:i/>
          <w:iCs/>
          <w:color w:val="000000" w:themeColor="text1"/>
          <w:sz w:val="24"/>
          <w:szCs w:val="24"/>
        </w:rPr>
        <w:t>otros servicios empresariales</w:t>
      </w:r>
      <w:r w:rsidR="0023154A" w:rsidRPr="00D035D8">
        <w:rPr>
          <w:rFonts w:ascii="Arial" w:hAnsi="Arial" w:cs="Arial"/>
          <w:color w:val="000000" w:themeColor="text1"/>
          <w:sz w:val="24"/>
          <w:szCs w:val="24"/>
        </w:rPr>
        <w:t>.</w:t>
      </w:r>
    </w:p>
    <w:p w14:paraId="7AC7FA82" w14:textId="77777777" w:rsidR="0023154A" w:rsidRDefault="0023154A" w:rsidP="00051CC1">
      <w:pPr>
        <w:jc w:val="both"/>
        <w:rPr>
          <w:rFonts w:ascii="Arial" w:hAnsi="Arial" w:cs="Arial"/>
          <w:sz w:val="24"/>
          <w:szCs w:val="24"/>
        </w:rPr>
      </w:pPr>
    </w:p>
    <w:p w14:paraId="64E23CCB" w14:textId="77777777" w:rsidR="00DA4270" w:rsidRDefault="00DA4270">
      <w:pPr>
        <w:rPr>
          <w:rFonts w:ascii="Arial" w:hAnsi="Arial" w:cs="Arial"/>
          <w:sz w:val="24"/>
          <w:szCs w:val="24"/>
        </w:rPr>
      </w:pPr>
      <w:r>
        <w:rPr>
          <w:rFonts w:ascii="Arial" w:hAnsi="Arial" w:cs="Arial"/>
          <w:sz w:val="24"/>
          <w:szCs w:val="24"/>
        </w:rPr>
        <w:br w:type="page"/>
      </w:r>
    </w:p>
    <w:p w14:paraId="5643236B" w14:textId="77777777" w:rsidR="00DF20E3" w:rsidRPr="00FE1E0E" w:rsidRDefault="00DF20E3" w:rsidP="00810DAC">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lastRenderedPageBreak/>
        <w:t xml:space="preserve">Gráfica </w:t>
      </w:r>
      <w:r w:rsidR="008804B2">
        <w:rPr>
          <w:rFonts w:ascii="Arial" w:hAnsi="Arial" w:cs="Arial"/>
          <w:bCs/>
          <w:sz w:val="20"/>
          <w:szCs w:val="20"/>
        </w:rPr>
        <w:t>11</w:t>
      </w:r>
    </w:p>
    <w:p w14:paraId="68B29A62" w14:textId="47601741" w:rsidR="00DF20E3" w:rsidRPr="00810DAC" w:rsidRDefault="008804B2" w:rsidP="008804B2">
      <w:pPr>
        <w:jc w:val="center"/>
        <w:rPr>
          <w:rFonts w:ascii="Arial Negrita" w:hAnsi="Arial Negrita" w:cs="Arial"/>
          <w:b/>
          <w:smallCaps/>
          <w:szCs w:val="24"/>
        </w:rPr>
      </w:pPr>
      <w:r w:rsidRPr="00810DAC">
        <w:rPr>
          <w:rFonts w:ascii="Arial Negrita" w:hAnsi="Arial Negrita" w:cs="Arial"/>
          <w:b/>
          <w:smallCaps/>
          <w:szCs w:val="24"/>
        </w:rPr>
        <w:t xml:space="preserve">Gastos de empresas que realizaron CIS </w:t>
      </w:r>
      <w:r w:rsidR="00810DAC">
        <w:rPr>
          <w:rFonts w:ascii="Arial Negrita" w:hAnsi="Arial Negrita" w:cs="Arial"/>
          <w:b/>
          <w:smallCaps/>
          <w:szCs w:val="24"/>
        </w:rPr>
        <w:t>según</w:t>
      </w:r>
      <w:r w:rsidRPr="00810DAC">
        <w:rPr>
          <w:rFonts w:ascii="Arial Negrita" w:hAnsi="Arial Negrita" w:cs="Arial"/>
          <w:b/>
          <w:smallCaps/>
          <w:szCs w:val="24"/>
        </w:rPr>
        <w:t xml:space="preserve"> sector</w:t>
      </w:r>
    </w:p>
    <w:p w14:paraId="26D98BA1" w14:textId="39451C77" w:rsidR="00DF20E3" w:rsidRPr="004F2B9B" w:rsidRDefault="00D92F0F" w:rsidP="004F2B9B">
      <w:pPr>
        <w:jc w:val="center"/>
        <w:rPr>
          <w:rFonts w:ascii="Arial Negrita" w:hAnsi="Arial Negrita" w:cs="Arial"/>
          <w:sz w:val="24"/>
          <w:szCs w:val="24"/>
        </w:rPr>
      </w:pPr>
      <w:r>
        <w:rPr>
          <w:rFonts w:ascii="Arial Negrita" w:hAnsi="Arial Negrita" w:cs="Arial"/>
          <w:noProof/>
          <w:sz w:val="24"/>
          <w:szCs w:val="24"/>
        </w:rPr>
        <w:drawing>
          <wp:inline distT="0" distB="0" distL="0" distR="0" wp14:anchorId="00B04A32" wp14:editId="78E9FCE6">
            <wp:extent cx="6404400" cy="289981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4400" cy="2899818"/>
                    </a:xfrm>
                    <a:prstGeom prst="rect">
                      <a:avLst/>
                    </a:prstGeom>
                    <a:noFill/>
                    <a:ln>
                      <a:noFill/>
                    </a:ln>
                  </pic:spPr>
                </pic:pic>
              </a:graphicData>
            </a:graphic>
          </wp:inline>
        </w:drawing>
      </w:r>
    </w:p>
    <w:p w14:paraId="02CE53CB" w14:textId="4FDAA5A2" w:rsidR="0046714A" w:rsidRPr="0046714A" w:rsidRDefault="00F21CDF" w:rsidP="003F0D16">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DF20E3" w:rsidRPr="000830B2">
        <w:rPr>
          <w:rFonts w:ascii="Arial" w:hAnsi="Arial" w:cs="Arial"/>
          <w:bCs/>
          <w:sz w:val="16"/>
          <w:szCs w:val="16"/>
        </w:rPr>
        <w:t xml:space="preserve">Nota: </w:t>
      </w:r>
      <w:r w:rsidR="0046714A" w:rsidRPr="0046714A">
        <w:rPr>
          <w:rFonts w:ascii="Arial" w:hAnsi="Arial" w:cs="Arial"/>
          <w:bCs/>
          <w:sz w:val="16"/>
          <w:szCs w:val="16"/>
        </w:rPr>
        <w:t>Montos en millones de pesos</w:t>
      </w:r>
      <w:r w:rsidR="00E62451">
        <w:rPr>
          <w:rFonts w:ascii="Arial" w:hAnsi="Arial" w:cs="Arial"/>
          <w:bCs/>
          <w:sz w:val="16"/>
          <w:szCs w:val="16"/>
        </w:rPr>
        <w:t>.</w:t>
      </w:r>
    </w:p>
    <w:p w14:paraId="40713DFB" w14:textId="77777777" w:rsidR="00DF20E3" w:rsidRPr="004005DC" w:rsidRDefault="0046714A" w:rsidP="003F0D16">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46714A">
        <w:rPr>
          <w:rFonts w:ascii="Arial" w:hAnsi="Arial" w:cs="Arial"/>
          <w:bCs/>
          <w:sz w:val="16"/>
          <w:szCs w:val="16"/>
        </w:rPr>
        <w:t>Porcentajes obtenidos respecto del total de gastos por gran sector de actividad económica.</w:t>
      </w:r>
    </w:p>
    <w:p w14:paraId="5363989B" w14:textId="77777777" w:rsidR="00DF20E3" w:rsidRDefault="00DF20E3" w:rsidP="003F0D16">
      <w:pPr>
        <w:spacing w:after="0" w:line="240" w:lineRule="auto"/>
        <w:jc w:val="both"/>
        <w:rPr>
          <w:rFonts w:ascii="Arial" w:hAnsi="Arial" w:cs="Arial"/>
          <w:sz w:val="24"/>
          <w:szCs w:val="24"/>
        </w:rPr>
      </w:pPr>
    </w:p>
    <w:p w14:paraId="2EE25BA9" w14:textId="6EB1CA30" w:rsidR="00DF20E3" w:rsidRDefault="00CE0CE3" w:rsidP="003F0D16">
      <w:pPr>
        <w:spacing w:after="0" w:line="240" w:lineRule="auto"/>
        <w:jc w:val="both"/>
        <w:rPr>
          <w:rFonts w:ascii="Arial" w:hAnsi="Arial" w:cs="Arial"/>
          <w:color w:val="000000" w:themeColor="text1"/>
          <w:sz w:val="24"/>
          <w:szCs w:val="24"/>
        </w:rPr>
      </w:pPr>
      <w:r w:rsidRPr="001B7BD9">
        <w:rPr>
          <w:rFonts w:ascii="Arial" w:hAnsi="Arial" w:cs="Arial"/>
          <w:color w:val="000000" w:themeColor="text1"/>
          <w:sz w:val="24"/>
          <w:szCs w:val="24"/>
        </w:rPr>
        <w:t>La mayoría de los ingresos por exportaciones se obtuv</w:t>
      </w:r>
      <w:r w:rsidR="00D035D8">
        <w:rPr>
          <w:rFonts w:ascii="Arial" w:hAnsi="Arial" w:cs="Arial"/>
          <w:color w:val="000000" w:themeColor="text1"/>
          <w:sz w:val="24"/>
          <w:szCs w:val="24"/>
        </w:rPr>
        <w:t>o</w:t>
      </w:r>
      <w:r w:rsidRPr="001B7BD9">
        <w:rPr>
          <w:rFonts w:ascii="Arial" w:hAnsi="Arial" w:cs="Arial"/>
          <w:color w:val="000000" w:themeColor="text1"/>
          <w:sz w:val="24"/>
          <w:szCs w:val="24"/>
        </w:rPr>
        <w:t xml:space="preserve"> del suministro de servicios a través del </w:t>
      </w:r>
      <w:r w:rsidRPr="003F0D16">
        <w:rPr>
          <w:rFonts w:ascii="Arial" w:hAnsi="Arial" w:cs="Arial"/>
          <w:i/>
          <w:color w:val="000000" w:themeColor="text1"/>
          <w:sz w:val="24"/>
          <w:szCs w:val="24"/>
        </w:rPr>
        <w:t>traslado de mercancías</w:t>
      </w:r>
      <w:r w:rsidRPr="001B7BD9">
        <w:rPr>
          <w:rFonts w:ascii="Arial" w:hAnsi="Arial" w:cs="Arial"/>
          <w:color w:val="000000" w:themeColor="text1"/>
          <w:sz w:val="24"/>
          <w:szCs w:val="24"/>
        </w:rPr>
        <w:t xml:space="preserve"> (80.2 % en 2019 y 81.7 % en 2020), seguido del </w:t>
      </w:r>
      <w:r w:rsidRPr="003F0D16">
        <w:rPr>
          <w:rFonts w:ascii="Arial" w:hAnsi="Arial" w:cs="Arial"/>
          <w:i/>
          <w:color w:val="000000" w:themeColor="text1"/>
          <w:sz w:val="24"/>
          <w:szCs w:val="24"/>
        </w:rPr>
        <w:t>suministro transfronterizo o a través de medios digitales</w:t>
      </w:r>
      <w:r w:rsidR="00D035D8">
        <w:rPr>
          <w:rFonts w:ascii="Arial" w:hAnsi="Arial" w:cs="Arial"/>
          <w:iCs/>
          <w:color w:val="000000" w:themeColor="text1"/>
          <w:sz w:val="24"/>
          <w:szCs w:val="24"/>
        </w:rPr>
        <w:t>,</w:t>
      </w:r>
      <w:r w:rsidRPr="001B7BD9">
        <w:rPr>
          <w:rFonts w:ascii="Arial" w:hAnsi="Arial" w:cs="Arial"/>
          <w:color w:val="000000" w:themeColor="text1"/>
          <w:sz w:val="24"/>
          <w:szCs w:val="24"/>
        </w:rPr>
        <w:t xml:space="preserve"> con 17.1 % en ambos años.</w:t>
      </w:r>
    </w:p>
    <w:p w14:paraId="3CE324B5" w14:textId="77777777" w:rsidR="00457D21" w:rsidRPr="001B7BD9" w:rsidRDefault="00457D21" w:rsidP="003F0D16">
      <w:pPr>
        <w:spacing w:after="0" w:line="240" w:lineRule="auto"/>
        <w:jc w:val="both"/>
        <w:rPr>
          <w:rFonts w:ascii="Arial" w:hAnsi="Arial" w:cs="Arial"/>
          <w:color w:val="000000" w:themeColor="text1"/>
          <w:sz w:val="24"/>
          <w:szCs w:val="24"/>
        </w:rPr>
      </w:pPr>
    </w:p>
    <w:p w14:paraId="71040413" w14:textId="77777777" w:rsidR="009B5262" w:rsidRPr="00FE1E0E" w:rsidRDefault="009B5262" w:rsidP="003F0D16">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Pr>
          <w:rFonts w:ascii="Arial" w:hAnsi="Arial" w:cs="Arial"/>
          <w:bCs/>
          <w:sz w:val="20"/>
          <w:szCs w:val="20"/>
        </w:rPr>
        <w:t>12</w:t>
      </w:r>
    </w:p>
    <w:p w14:paraId="421D4251" w14:textId="508B0859" w:rsidR="009B5262" w:rsidRPr="003F0D16" w:rsidRDefault="009B5262" w:rsidP="003F0D16">
      <w:pPr>
        <w:spacing w:after="0" w:line="240" w:lineRule="auto"/>
        <w:jc w:val="center"/>
        <w:rPr>
          <w:rFonts w:ascii="Arial Negrita" w:hAnsi="Arial Negrita" w:cs="Arial"/>
          <w:b/>
          <w:smallCaps/>
          <w:szCs w:val="24"/>
        </w:rPr>
      </w:pPr>
      <w:r w:rsidRPr="003F0D16">
        <w:rPr>
          <w:rFonts w:ascii="Arial Negrita" w:hAnsi="Arial Negrita" w:cs="Arial"/>
          <w:b/>
          <w:smallCaps/>
          <w:szCs w:val="24"/>
        </w:rPr>
        <w:t>Ingresos por suministros de servicios del exterior</w:t>
      </w:r>
    </w:p>
    <w:p w14:paraId="7785E92D" w14:textId="4C409057" w:rsidR="009B5262" w:rsidRDefault="00E62451" w:rsidP="009B5262">
      <w:pPr>
        <w:jc w:val="center"/>
        <w:rPr>
          <w:rFonts w:ascii="Arial" w:hAnsi="Arial" w:cs="Arial"/>
          <w:sz w:val="24"/>
          <w:szCs w:val="24"/>
        </w:rPr>
      </w:pPr>
      <w:r>
        <w:rPr>
          <w:rFonts w:ascii="Arial" w:hAnsi="Arial" w:cs="Arial"/>
          <w:noProof/>
          <w:sz w:val="24"/>
          <w:szCs w:val="24"/>
        </w:rPr>
        <w:drawing>
          <wp:inline distT="0" distB="0" distL="0" distR="0" wp14:anchorId="0360EFA4" wp14:editId="55830825">
            <wp:extent cx="5662800" cy="2582529"/>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2800" cy="2582529"/>
                    </a:xfrm>
                    <a:prstGeom prst="rect">
                      <a:avLst/>
                    </a:prstGeom>
                    <a:noFill/>
                    <a:ln>
                      <a:noFill/>
                    </a:ln>
                  </pic:spPr>
                </pic:pic>
              </a:graphicData>
            </a:graphic>
          </wp:inline>
        </w:drawing>
      </w:r>
    </w:p>
    <w:p w14:paraId="674F55B0" w14:textId="121107CE" w:rsidR="009B5262" w:rsidRPr="009B5262" w:rsidRDefault="00F21CDF" w:rsidP="009B5262">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9B5262" w:rsidRPr="000830B2">
        <w:rPr>
          <w:rFonts w:ascii="Arial" w:hAnsi="Arial" w:cs="Arial"/>
          <w:bCs/>
          <w:sz w:val="16"/>
          <w:szCs w:val="16"/>
        </w:rPr>
        <w:t xml:space="preserve">Nota: </w:t>
      </w:r>
      <w:r w:rsidR="009B5262" w:rsidRPr="009B5262">
        <w:rPr>
          <w:rFonts w:ascii="Arial" w:hAnsi="Arial" w:cs="Arial"/>
          <w:bCs/>
          <w:sz w:val="16"/>
          <w:szCs w:val="16"/>
        </w:rPr>
        <w:t>Montos en millones de pesos</w:t>
      </w:r>
      <w:r w:rsidR="00E62451">
        <w:rPr>
          <w:rFonts w:ascii="Arial" w:hAnsi="Arial" w:cs="Arial"/>
          <w:bCs/>
          <w:sz w:val="16"/>
          <w:szCs w:val="16"/>
        </w:rPr>
        <w:t>.</w:t>
      </w:r>
    </w:p>
    <w:p w14:paraId="699721F8" w14:textId="77777777" w:rsidR="009B5262" w:rsidRPr="0046714A" w:rsidRDefault="00A96EE5" w:rsidP="00A96EE5">
      <w:pPr>
        <w:autoSpaceDE w:val="0"/>
        <w:autoSpaceDN w:val="0"/>
        <w:adjustRightInd w:val="0"/>
        <w:spacing w:after="0" w:line="240" w:lineRule="auto"/>
        <w:ind w:left="140" w:right="-518" w:firstLine="569"/>
        <w:outlineLvl w:val="0"/>
        <w:rPr>
          <w:rFonts w:ascii="Arial" w:hAnsi="Arial" w:cs="Arial"/>
          <w:bCs/>
          <w:sz w:val="16"/>
          <w:szCs w:val="16"/>
        </w:rPr>
      </w:pPr>
      <w:r>
        <w:rPr>
          <w:rFonts w:ascii="Arial" w:hAnsi="Arial" w:cs="Arial"/>
          <w:bCs/>
          <w:sz w:val="16"/>
          <w:szCs w:val="16"/>
        </w:rPr>
        <w:t xml:space="preserve">            </w:t>
      </w:r>
      <w:r w:rsidR="009B5262" w:rsidRPr="009B5262">
        <w:rPr>
          <w:rFonts w:ascii="Arial" w:hAnsi="Arial" w:cs="Arial"/>
          <w:bCs/>
          <w:sz w:val="16"/>
          <w:szCs w:val="16"/>
        </w:rPr>
        <w:t>Porcentajes obtenidos respecto del total de ingresos.</w:t>
      </w:r>
    </w:p>
    <w:p w14:paraId="041E33A1" w14:textId="77777777" w:rsidR="00D20001" w:rsidRDefault="00D20001" w:rsidP="00051CC1">
      <w:pPr>
        <w:jc w:val="both"/>
        <w:rPr>
          <w:rFonts w:ascii="Arial" w:hAnsi="Arial" w:cs="Arial"/>
          <w:sz w:val="24"/>
          <w:szCs w:val="24"/>
        </w:rPr>
      </w:pPr>
    </w:p>
    <w:p w14:paraId="3E3F33CC" w14:textId="77777777" w:rsidR="00B63E7B" w:rsidRDefault="00B63E7B" w:rsidP="00AC565C">
      <w:pPr>
        <w:spacing w:after="0" w:line="240" w:lineRule="auto"/>
        <w:jc w:val="both"/>
        <w:rPr>
          <w:rFonts w:ascii="Arial" w:hAnsi="Arial" w:cs="Arial"/>
          <w:sz w:val="24"/>
          <w:szCs w:val="24"/>
        </w:rPr>
      </w:pPr>
    </w:p>
    <w:p w14:paraId="273F9C6B" w14:textId="1EDC69C1" w:rsidR="00AC565C" w:rsidRDefault="003F0D16" w:rsidP="00AC565C">
      <w:pPr>
        <w:spacing w:after="0" w:line="240" w:lineRule="auto"/>
        <w:jc w:val="both"/>
        <w:rPr>
          <w:rFonts w:ascii="Arial" w:hAnsi="Arial" w:cs="Arial"/>
          <w:sz w:val="24"/>
          <w:szCs w:val="24"/>
        </w:rPr>
      </w:pPr>
      <w:r>
        <w:rPr>
          <w:rFonts w:ascii="Arial" w:hAnsi="Arial" w:cs="Arial"/>
          <w:sz w:val="24"/>
          <w:szCs w:val="24"/>
        </w:rPr>
        <w:t>En 2020, d</w:t>
      </w:r>
      <w:r w:rsidR="008735E9">
        <w:rPr>
          <w:rFonts w:ascii="Arial" w:hAnsi="Arial" w:cs="Arial"/>
          <w:sz w:val="24"/>
          <w:szCs w:val="24"/>
        </w:rPr>
        <w:t>e</w:t>
      </w:r>
      <w:r w:rsidR="00CF24D1">
        <w:rPr>
          <w:rFonts w:ascii="Arial" w:hAnsi="Arial" w:cs="Arial"/>
          <w:sz w:val="24"/>
          <w:szCs w:val="24"/>
        </w:rPr>
        <w:t xml:space="preserve">l total de ingresos </w:t>
      </w:r>
      <w:r w:rsidR="008735E9">
        <w:rPr>
          <w:rFonts w:ascii="Arial" w:hAnsi="Arial" w:cs="Arial"/>
          <w:sz w:val="24"/>
          <w:szCs w:val="24"/>
        </w:rPr>
        <w:t xml:space="preserve">que </w:t>
      </w:r>
      <w:r w:rsidR="00CF24D1">
        <w:rPr>
          <w:rFonts w:ascii="Arial" w:hAnsi="Arial" w:cs="Arial"/>
          <w:sz w:val="24"/>
          <w:szCs w:val="24"/>
        </w:rPr>
        <w:t xml:space="preserve">reportaron </w:t>
      </w:r>
      <w:r w:rsidR="008735E9">
        <w:rPr>
          <w:rFonts w:ascii="Arial" w:hAnsi="Arial" w:cs="Arial"/>
          <w:sz w:val="24"/>
          <w:szCs w:val="24"/>
        </w:rPr>
        <w:t>las empresas</w:t>
      </w:r>
      <w:r>
        <w:rPr>
          <w:rFonts w:ascii="Arial" w:hAnsi="Arial" w:cs="Arial"/>
          <w:sz w:val="24"/>
          <w:szCs w:val="24"/>
        </w:rPr>
        <w:t xml:space="preserve">, </w:t>
      </w:r>
      <w:r w:rsidR="00CF24D1">
        <w:rPr>
          <w:rFonts w:ascii="Arial" w:hAnsi="Arial" w:cs="Arial"/>
          <w:sz w:val="24"/>
          <w:szCs w:val="24"/>
        </w:rPr>
        <w:t xml:space="preserve">los correspondientes a </w:t>
      </w:r>
      <w:r w:rsidR="00CF24D1" w:rsidRPr="003F0D16">
        <w:rPr>
          <w:rFonts w:ascii="Arial" w:hAnsi="Arial" w:cs="Arial"/>
          <w:i/>
          <w:sz w:val="24"/>
          <w:szCs w:val="24"/>
        </w:rPr>
        <w:t>servicios de manufactura en insumos físicos que son propiedad de otros</w:t>
      </w:r>
      <w:r w:rsidR="00CF24D1">
        <w:rPr>
          <w:rFonts w:ascii="Arial" w:hAnsi="Arial" w:cs="Arial"/>
          <w:sz w:val="24"/>
          <w:szCs w:val="24"/>
        </w:rPr>
        <w:t xml:space="preserve"> se efectuaron mediante </w:t>
      </w:r>
      <w:r w:rsidR="00CF24D1" w:rsidRPr="001F6431">
        <w:rPr>
          <w:rFonts w:ascii="Arial" w:hAnsi="Arial" w:cs="Arial"/>
          <w:i/>
          <w:iCs/>
          <w:sz w:val="24"/>
          <w:szCs w:val="24"/>
        </w:rPr>
        <w:t>traslado de mercancía</w:t>
      </w:r>
      <w:r w:rsidR="00AC565C">
        <w:rPr>
          <w:rFonts w:ascii="Arial" w:hAnsi="Arial" w:cs="Arial"/>
          <w:sz w:val="24"/>
          <w:szCs w:val="24"/>
        </w:rPr>
        <w:t>. P</w:t>
      </w:r>
      <w:r w:rsidR="00CF24D1">
        <w:rPr>
          <w:rFonts w:ascii="Arial" w:hAnsi="Arial" w:cs="Arial"/>
          <w:sz w:val="24"/>
          <w:szCs w:val="24"/>
        </w:rPr>
        <w:t xml:space="preserve">ara </w:t>
      </w:r>
      <w:r w:rsidR="00F21CDF">
        <w:rPr>
          <w:rFonts w:ascii="Arial" w:hAnsi="Arial" w:cs="Arial"/>
          <w:sz w:val="24"/>
          <w:szCs w:val="24"/>
        </w:rPr>
        <w:t xml:space="preserve">los </w:t>
      </w:r>
      <w:r w:rsidR="00CF24D1">
        <w:rPr>
          <w:rFonts w:ascii="Arial" w:hAnsi="Arial" w:cs="Arial"/>
          <w:sz w:val="24"/>
          <w:szCs w:val="24"/>
        </w:rPr>
        <w:t xml:space="preserve">servicios de </w:t>
      </w:r>
      <w:r w:rsidR="00CF24D1" w:rsidRPr="001F6431">
        <w:rPr>
          <w:rFonts w:ascii="Arial" w:hAnsi="Arial" w:cs="Arial"/>
          <w:i/>
          <w:iCs/>
          <w:sz w:val="24"/>
          <w:szCs w:val="24"/>
        </w:rPr>
        <w:t>mantenimiento y reparación</w:t>
      </w:r>
      <w:r w:rsidR="00CF24D1">
        <w:rPr>
          <w:rFonts w:ascii="Arial" w:hAnsi="Arial" w:cs="Arial"/>
          <w:sz w:val="24"/>
          <w:szCs w:val="24"/>
        </w:rPr>
        <w:t>, 67.3</w:t>
      </w:r>
      <w:r w:rsidR="00D32762">
        <w:rPr>
          <w:rFonts w:ascii="Arial" w:hAnsi="Arial" w:cs="Arial"/>
          <w:sz w:val="24"/>
          <w:szCs w:val="24"/>
        </w:rPr>
        <w:t xml:space="preserve"> </w:t>
      </w:r>
      <w:r w:rsidR="00CF24D1">
        <w:rPr>
          <w:rFonts w:ascii="Arial" w:hAnsi="Arial" w:cs="Arial"/>
          <w:sz w:val="24"/>
          <w:szCs w:val="24"/>
        </w:rPr>
        <w:t>% se llev</w:t>
      </w:r>
      <w:r w:rsidR="00AC565C">
        <w:rPr>
          <w:rFonts w:ascii="Arial" w:hAnsi="Arial" w:cs="Arial"/>
          <w:sz w:val="24"/>
          <w:szCs w:val="24"/>
        </w:rPr>
        <w:t>ó</w:t>
      </w:r>
      <w:r w:rsidR="00CF24D1">
        <w:rPr>
          <w:rFonts w:ascii="Arial" w:hAnsi="Arial" w:cs="Arial"/>
          <w:sz w:val="24"/>
          <w:szCs w:val="24"/>
        </w:rPr>
        <w:t xml:space="preserve"> a cabo por </w:t>
      </w:r>
      <w:r w:rsidR="00CF24D1" w:rsidRPr="003F0D16">
        <w:rPr>
          <w:rFonts w:ascii="Arial" w:hAnsi="Arial" w:cs="Arial"/>
          <w:i/>
          <w:sz w:val="24"/>
          <w:szCs w:val="24"/>
        </w:rPr>
        <w:t>traslado de mercancía</w:t>
      </w:r>
      <w:r w:rsidR="00CF24D1">
        <w:rPr>
          <w:rFonts w:ascii="Arial" w:hAnsi="Arial" w:cs="Arial"/>
          <w:sz w:val="24"/>
          <w:szCs w:val="24"/>
        </w:rPr>
        <w:t xml:space="preserve"> y 32.7</w:t>
      </w:r>
      <w:r w:rsidR="00D32762">
        <w:rPr>
          <w:rFonts w:ascii="Arial" w:hAnsi="Arial" w:cs="Arial"/>
          <w:sz w:val="24"/>
          <w:szCs w:val="24"/>
        </w:rPr>
        <w:t xml:space="preserve"> </w:t>
      </w:r>
      <w:r w:rsidR="00CF24D1">
        <w:rPr>
          <w:rFonts w:ascii="Arial" w:hAnsi="Arial" w:cs="Arial"/>
          <w:sz w:val="24"/>
          <w:szCs w:val="24"/>
        </w:rPr>
        <w:t xml:space="preserve">% por </w:t>
      </w:r>
      <w:r w:rsidR="00CF24D1" w:rsidRPr="003F0D16">
        <w:rPr>
          <w:rFonts w:ascii="Arial" w:hAnsi="Arial" w:cs="Arial"/>
          <w:i/>
          <w:sz w:val="24"/>
          <w:szCs w:val="24"/>
        </w:rPr>
        <w:t>envío o recepción de personal</w:t>
      </w:r>
      <w:r>
        <w:rPr>
          <w:rFonts w:ascii="Arial" w:hAnsi="Arial" w:cs="Arial"/>
          <w:sz w:val="24"/>
          <w:szCs w:val="24"/>
        </w:rPr>
        <w:t xml:space="preserve">. </w:t>
      </w:r>
      <w:r w:rsidR="00AC565C">
        <w:rPr>
          <w:rFonts w:ascii="Arial" w:hAnsi="Arial" w:cs="Arial"/>
          <w:sz w:val="24"/>
          <w:szCs w:val="24"/>
        </w:rPr>
        <w:t xml:space="preserve">Los ingresos para los </w:t>
      </w:r>
      <w:r w:rsidR="00AC565C" w:rsidRPr="003F0D16">
        <w:rPr>
          <w:rFonts w:ascii="Arial" w:hAnsi="Arial" w:cs="Arial"/>
          <w:i/>
          <w:sz w:val="24"/>
          <w:szCs w:val="24"/>
        </w:rPr>
        <w:t>servicios de transporte, cargos por el uso de la propiedad intelectual</w:t>
      </w:r>
      <w:r w:rsidR="00AC565C">
        <w:rPr>
          <w:rFonts w:ascii="Arial" w:hAnsi="Arial" w:cs="Arial"/>
          <w:sz w:val="24"/>
          <w:szCs w:val="24"/>
        </w:rPr>
        <w:t xml:space="preserve"> y </w:t>
      </w:r>
      <w:r w:rsidR="00AC565C" w:rsidRPr="003F0D16">
        <w:rPr>
          <w:rFonts w:ascii="Arial" w:hAnsi="Arial" w:cs="Arial"/>
          <w:i/>
          <w:sz w:val="24"/>
          <w:szCs w:val="24"/>
        </w:rPr>
        <w:t>servicios personales, culturales y recreativos</w:t>
      </w:r>
      <w:r w:rsidR="00AC565C">
        <w:rPr>
          <w:rFonts w:ascii="Arial" w:hAnsi="Arial" w:cs="Arial"/>
          <w:sz w:val="24"/>
          <w:szCs w:val="24"/>
        </w:rPr>
        <w:t xml:space="preserve"> se suministraron en su totalidad por el modo </w:t>
      </w:r>
      <w:r w:rsidR="00AC565C" w:rsidRPr="003F0D16">
        <w:rPr>
          <w:rFonts w:ascii="Arial" w:hAnsi="Arial" w:cs="Arial"/>
          <w:i/>
          <w:sz w:val="24"/>
          <w:szCs w:val="24"/>
        </w:rPr>
        <w:t>transfronterizo</w:t>
      </w:r>
      <w:r w:rsidR="00E9133C">
        <w:rPr>
          <w:rFonts w:ascii="Arial" w:hAnsi="Arial" w:cs="Arial"/>
          <w:i/>
          <w:sz w:val="24"/>
          <w:szCs w:val="24"/>
        </w:rPr>
        <w:t xml:space="preserve"> </w:t>
      </w:r>
      <w:r w:rsidR="00AC565C" w:rsidRPr="003F0D16">
        <w:rPr>
          <w:rFonts w:ascii="Arial" w:hAnsi="Arial" w:cs="Arial"/>
          <w:i/>
          <w:sz w:val="24"/>
          <w:szCs w:val="24"/>
        </w:rPr>
        <w:t>/ medios digitales</w:t>
      </w:r>
      <w:r w:rsidR="00AC565C">
        <w:rPr>
          <w:rFonts w:ascii="Arial" w:hAnsi="Arial" w:cs="Arial"/>
          <w:sz w:val="24"/>
          <w:szCs w:val="24"/>
        </w:rPr>
        <w:t>.</w:t>
      </w:r>
    </w:p>
    <w:p w14:paraId="56D005BF" w14:textId="4E6076E2" w:rsidR="003F0D16" w:rsidRDefault="003F0D16" w:rsidP="003F0D16">
      <w:pPr>
        <w:spacing w:after="0" w:line="240" w:lineRule="auto"/>
        <w:jc w:val="both"/>
        <w:rPr>
          <w:rFonts w:ascii="Arial" w:hAnsi="Arial" w:cs="Arial"/>
          <w:sz w:val="24"/>
          <w:szCs w:val="24"/>
        </w:rPr>
      </w:pPr>
    </w:p>
    <w:p w14:paraId="191E84E0" w14:textId="77777777" w:rsidR="003F0D16" w:rsidRDefault="003F0D16" w:rsidP="003F0D16">
      <w:pPr>
        <w:spacing w:after="0" w:line="240" w:lineRule="auto"/>
        <w:jc w:val="both"/>
        <w:rPr>
          <w:rFonts w:ascii="Arial" w:hAnsi="Arial" w:cs="Arial"/>
          <w:sz w:val="24"/>
          <w:szCs w:val="24"/>
        </w:rPr>
      </w:pPr>
    </w:p>
    <w:p w14:paraId="0127FF97" w14:textId="77777777" w:rsidR="0046714A" w:rsidRDefault="0046714A" w:rsidP="003F0D16">
      <w:pPr>
        <w:spacing w:after="0" w:line="240" w:lineRule="auto"/>
        <w:jc w:val="both"/>
        <w:rPr>
          <w:rFonts w:ascii="Arial" w:hAnsi="Arial" w:cs="Arial"/>
          <w:sz w:val="24"/>
          <w:szCs w:val="24"/>
        </w:rPr>
      </w:pPr>
    </w:p>
    <w:p w14:paraId="7684FA40" w14:textId="77777777" w:rsidR="0046714A" w:rsidRPr="00FE1E0E" w:rsidRDefault="0046714A" w:rsidP="003F0D16">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Pr>
          <w:rFonts w:ascii="Arial" w:hAnsi="Arial" w:cs="Arial"/>
          <w:bCs/>
          <w:sz w:val="20"/>
          <w:szCs w:val="20"/>
        </w:rPr>
        <w:t>13</w:t>
      </w:r>
    </w:p>
    <w:p w14:paraId="66816482" w14:textId="2BC37F1D" w:rsidR="0046714A" w:rsidRPr="003F0D16" w:rsidRDefault="0046714A" w:rsidP="003F0D16">
      <w:pPr>
        <w:spacing w:after="0" w:line="240" w:lineRule="auto"/>
        <w:jc w:val="center"/>
        <w:rPr>
          <w:rFonts w:ascii="Arial Negrita" w:hAnsi="Arial Negrita" w:cs="Arial"/>
          <w:b/>
          <w:smallCaps/>
          <w:szCs w:val="24"/>
        </w:rPr>
      </w:pPr>
      <w:r w:rsidRPr="003F0D16">
        <w:rPr>
          <w:rFonts w:ascii="Arial Negrita" w:hAnsi="Arial Negrita" w:cs="Arial"/>
          <w:b/>
          <w:smallCaps/>
          <w:szCs w:val="24"/>
        </w:rPr>
        <w:t>Ingresos por tipo de servicio según modo de suministro</w:t>
      </w:r>
      <w:r w:rsidR="00340A29" w:rsidRPr="003F0D16">
        <w:rPr>
          <w:rFonts w:ascii="Arial Negrita" w:hAnsi="Arial Negrita" w:cs="Arial"/>
          <w:b/>
          <w:smallCaps/>
          <w:szCs w:val="24"/>
        </w:rPr>
        <w:t xml:space="preserve"> en</w:t>
      </w:r>
      <w:r w:rsidRPr="003F0D16">
        <w:rPr>
          <w:rFonts w:ascii="Arial Negrita" w:hAnsi="Arial Negrita" w:cs="Arial"/>
          <w:b/>
          <w:smallCaps/>
          <w:szCs w:val="24"/>
        </w:rPr>
        <w:t xml:space="preserve"> 2020</w:t>
      </w:r>
    </w:p>
    <w:p w14:paraId="0CF9ACF7" w14:textId="6FC18EE0" w:rsidR="0046714A" w:rsidRDefault="001D2CD5" w:rsidP="001D2CD5">
      <w:pPr>
        <w:jc w:val="center"/>
        <w:rPr>
          <w:rFonts w:ascii="Arial" w:hAnsi="Arial" w:cs="Arial"/>
          <w:sz w:val="24"/>
          <w:szCs w:val="24"/>
        </w:rPr>
      </w:pPr>
      <w:r>
        <w:rPr>
          <w:noProof/>
        </w:rPr>
        <w:drawing>
          <wp:inline distT="0" distB="0" distL="0" distR="0" wp14:anchorId="50184A0F" wp14:editId="7B3B5C07">
            <wp:extent cx="6477000" cy="3181350"/>
            <wp:effectExtent l="0" t="0" r="0" b="0"/>
            <wp:docPr id="8" name="Imagen 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barras&#10;&#10;Descripción generada automáticamente"/>
                    <pic:cNvPicPr/>
                  </pic:nvPicPr>
                  <pic:blipFill>
                    <a:blip r:embed="rId20"/>
                    <a:stretch>
                      <a:fillRect/>
                    </a:stretch>
                  </pic:blipFill>
                  <pic:spPr>
                    <a:xfrm>
                      <a:off x="0" y="0"/>
                      <a:ext cx="6477000" cy="3181350"/>
                    </a:xfrm>
                    <a:prstGeom prst="rect">
                      <a:avLst/>
                    </a:prstGeom>
                  </pic:spPr>
                </pic:pic>
              </a:graphicData>
            </a:graphic>
          </wp:inline>
        </w:drawing>
      </w:r>
    </w:p>
    <w:p w14:paraId="616D3C1F" w14:textId="08D1E3B0" w:rsidR="0046714A" w:rsidRPr="0046714A" w:rsidRDefault="001D2CD5" w:rsidP="0046714A">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46714A" w:rsidRPr="000830B2">
        <w:rPr>
          <w:rFonts w:ascii="Arial" w:hAnsi="Arial" w:cs="Arial"/>
          <w:bCs/>
          <w:sz w:val="16"/>
          <w:szCs w:val="16"/>
        </w:rPr>
        <w:t xml:space="preserve">Nota: </w:t>
      </w:r>
      <w:r w:rsidR="0046714A" w:rsidRPr="0046714A">
        <w:rPr>
          <w:rFonts w:ascii="Arial" w:hAnsi="Arial" w:cs="Arial"/>
          <w:bCs/>
          <w:sz w:val="16"/>
          <w:szCs w:val="16"/>
        </w:rPr>
        <w:t>Montos en millones de pesos</w:t>
      </w:r>
      <w:r w:rsidR="00E9133C">
        <w:rPr>
          <w:rFonts w:ascii="Arial" w:hAnsi="Arial" w:cs="Arial"/>
          <w:bCs/>
          <w:sz w:val="16"/>
          <w:szCs w:val="16"/>
        </w:rPr>
        <w:t>.</w:t>
      </w:r>
    </w:p>
    <w:p w14:paraId="36A85A89" w14:textId="77777777" w:rsidR="0046714A" w:rsidRPr="0046714A" w:rsidRDefault="0046714A" w:rsidP="0046714A">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46714A">
        <w:rPr>
          <w:rFonts w:ascii="Arial" w:hAnsi="Arial" w:cs="Arial"/>
          <w:bCs/>
          <w:sz w:val="16"/>
          <w:szCs w:val="16"/>
        </w:rPr>
        <w:t>Porcentajes obtenidos respecto del total de ingresos.</w:t>
      </w:r>
    </w:p>
    <w:p w14:paraId="27F98CF4" w14:textId="71DEE4A2" w:rsidR="0046714A" w:rsidRPr="004005DC" w:rsidRDefault="0046714A" w:rsidP="000B4803">
      <w:pPr>
        <w:autoSpaceDE w:val="0"/>
        <w:autoSpaceDN w:val="0"/>
        <w:adjustRightInd w:val="0"/>
        <w:spacing w:after="0" w:line="240" w:lineRule="auto"/>
        <w:ind w:right="-518" w:firstLine="708"/>
        <w:outlineLvl w:val="0"/>
        <w:rPr>
          <w:rFonts w:ascii="Arial" w:hAnsi="Arial" w:cs="Arial"/>
          <w:bCs/>
          <w:sz w:val="16"/>
          <w:szCs w:val="16"/>
        </w:rPr>
      </w:pPr>
      <w:r>
        <w:rPr>
          <w:rFonts w:ascii="Arial" w:hAnsi="Arial" w:cs="Arial"/>
          <w:bCs/>
          <w:sz w:val="16"/>
          <w:szCs w:val="16"/>
        </w:rPr>
        <w:t xml:space="preserve">          </w:t>
      </w:r>
    </w:p>
    <w:p w14:paraId="648CD4B1" w14:textId="77777777" w:rsidR="0075477E" w:rsidRDefault="0075477E" w:rsidP="0046714A">
      <w:pPr>
        <w:jc w:val="both"/>
        <w:rPr>
          <w:rFonts w:ascii="Arial" w:hAnsi="Arial" w:cs="Arial"/>
          <w:sz w:val="24"/>
          <w:szCs w:val="24"/>
        </w:rPr>
      </w:pPr>
    </w:p>
    <w:p w14:paraId="560B5576" w14:textId="0A704E06" w:rsidR="00AC565C" w:rsidRDefault="00285CD3" w:rsidP="00AC565C">
      <w:pPr>
        <w:jc w:val="both"/>
        <w:rPr>
          <w:rFonts w:ascii="Arial" w:hAnsi="Arial" w:cs="Arial"/>
          <w:sz w:val="24"/>
          <w:szCs w:val="24"/>
        </w:rPr>
      </w:pPr>
      <w:r w:rsidRPr="00890CE3">
        <w:rPr>
          <w:rStyle w:val="cf01"/>
          <w:rFonts w:ascii="Arial" w:hAnsi="Arial" w:cs="Arial"/>
          <w:sz w:val="24"/>
          <w:szCs w:val="24"/>
        </w:rPr>
        <w:t>L</w:t>
      </w:r>
      <w:r w:rsidR="007825AF">
        <w:rPr>
          <w:rStyle w:val="cf01"/>
          <w:rFonts w:ascii="Arial" w:hAnsi="Arial" w:cs="Arial"/>
          <w:sz w:val="24"/>
          <w:szCs w:val="24"/>
        </w:rPr>
        <w:t>os países</w:t>
      </w:r>
      <w:r w:rsidRPr="00890CE3">
        <w:rPr>
          <w:rStyle w:val="cf01"/>
          <w:rFonts w:ascii="Arial" w:hAnsi="Arial" w:cs="Arial"/>
          <w:sz w:val="24"/>
          <w:szCs w:val="24"/>
        </w:rPr>
        <w:t xml:space="preserve"> que en 2019 y 2020 reportaron mayor p</w:t>
      </w:r>
      <w:r w:rsidR="00AC565C">
        <w:rPr>
          <w:rStyle w:val="cf01"/>
          <w:rFonts w:ascii="Arial" w:hAnsi="Arial" w:cs="Arial"/>
          <w:sz w:val="24"/>
          <w:szCs w:val="24"/>
        </w:rPr>
        <w:t>orcentaje</w:t>
      </w:r>
      <w:r w:rsidRPr="00890CE3">
        <w:rPr>
          <w:rStyle w:val="cf01"/>
          <w:rFonts w:ascii="Arial" w:hAnsi="Arial" w:cs="Arial"/>
          <w:sz w:val="24"/>
          <w:szCs w:val="24"/>
        </w:rPr>
        <w:t xml:space="preserve"> de los ingresos por suministro de servicios del exterior fueron:</w:t>
      </w:r>
      <w:r w:rsidR="00AC565C" w:rsidRPr="00AC565C">
        <w:rPr>
          <w:rFonts w:ascii="Arial" w:hAnsi="Arial" w:cs="Arial"/>
          <w:sz w:val="24"/>
          <w:szCs w:val="24"/>
        </w:rPr>
        <w:t xml:space="preserve"> </w:t>
      </w:r>
      <w:r w:rsidR="00AC565C" w:rsidRPr="005F3B2E">
        <w:rPr>
          <w:rFonts w:ascii="Arial" w:hAnsi="Arial" w:cs="Arial"/>
          <w:sz w:val="24"/>
          <w:szCs w:val="24"/>
        </w:rPr>
        <w:t>Estados Unidos, con 74.9</w:t>
      </w:r>
      <w:r w:rsidR="00E9133C">
        <w:rPr>
          <w:rFonts w:ascii="Arial" w:hAnsi="Arial" w:cs="Arial"/>
          <w:sz w:val="24"/>
          <w:szCs w:val="24"/>
        </w:rPr>
        <w:t xml:space="preserve"> %</w:t>
      </w:r>
      <w:r w:rsidR="00AC565C">
        <w:rPr>
          <w:rFonts w:ascii="Arial" w:hAnsi="Arial" w:cs="Arial"/>
          <w:sz w:val="24"/>
          <w:szCs w:val="24"/>
        </w:rPr>
        <w:t xml:space="preserve"> </w:t>
      </w:r>
      <w:r w:rsidR="00AC565C" w:rsidRPr="005F3B2E">
        <w:rPr>
          <w:rFonts w:ascii="Arial" w:hAnsi="Arial" w:cs="Arial"/>
          <w:sz w:val="24"/>
          <w:szCs w:val="24"/>
        </w:rPr>
        <w:t xml:space="preserve">y 77.1 </w:t>
      </w:r>
      <w:r w:rsidR="00AC565C">
        <w:rPr>
          <w:rFonts w:ascii="Arial" w:hAnsi="Arial" w:cs="Arial"/>
          <w:sz w:val="24"/>
          <w:szCs w:val="24"/>
        </w:rPr>
        <w:t>%</w:t>
      </w:r>
      <w:r w:rsidR="00AC565C" w:rsidRPr="005F3B2E">
        <w:rPr>
          <w:rFonts w:ascii="Arial" w:hAnsi="Arial" w:cs="Arial"/>
          <w:sz w:val="24"/>
          <w:szCs w:val="24"/>
        </w:rPr>
        <w:t xml:space="preserve"> de los ingresos para 2019 y 2020</w:t>
      </w:r>
      <w:r w:rsidR="00AC565C">
        <w:rPr>
          <w:rFonts w:ascii="Arial" w:hAnsi="Arial" w:cs="Arial"/>
          <w:sz w:val="24"/>
          <w:szCs w:val="24"/>
        </w:rPr>
        <w:t>,</w:t>
      </w:r>
      <w:r w:rsidR="00AC565C" w:rsidRPr="005F3B2E">
        <w:rPr>
          <w:rFonts w:ascii="Arial" w:hAnsi="Arial" w:cs="Arial"/>
          <w:sz w:val="24"/>
          <w:szCs w:val="24"/>
        </w:rPr>
        <w:t xml:space="preserve"> respectivamente; la Unión Europea</w:t>
      </w:r>
      <w:r w:rsidR="00AC565C">
        <w:rPr>
          <w:rFonts w:ascii="Arial" w:hAnsi="Arial" w:cs="Arial"/>
          <w:sz w:val="24"/>
          <w:szCs w:val="24"/>
        </w:rPr>
        <w:t>,</w:t>
      </w:r>
      <w:r w:rsidR="00AC565C" w:rsidRPr="005F3B2E">
        <w:rPr>
          <w:rFonts w:ascii="Arial" w:hAnsi="Arial" w:cs="Arial"/>
          <w:sz w:val="24"/>
          <w:szCs w:val="24"/>
        </w:rPr>
        <w:t xml:space="preserve"> con </w:t>
      </w:r>
      <w:r w:rsidR="00AC565C">
        <w:rPr>
          <w:rFonts w:ascii="Arial" w:hAnsi="Arial" w:cs="Arial"/>
          <w:sz w:val="24"/>
          <w:szCs w:val="24"/>
        </w:rPr>
        <w:t>10.5</w:t>
      </w:r>
      <w:r w:rsidR="00E9133C">
        <w:rPr>
          <w:rFonts w:ascii="Arial" w:hAnsi="Arial" w:cs="Arial"/>
          <w:sz w:val="24"/>
          <w:szCs w:val="24"/>
        </w:rPr>
        <w:t xml:space="preserve"> %</w:t>
      </w:r>
      <w:r w:rsidR="00AC565C" w:rsidRPr="005F3B2E">
        <w:rPr>
          <w:rFonts w:ascii="Arial" w:hAnsi="Arial" w:cs="Arial"/>
          <w:sz w:val="24"/>
          <w:szCs w:val="24"/>
        </w:rPr>
        <w:t xml:space="preserve"> y 9</w:t>
      </w:r>
      <w:r w:rsidR="00E9133C">
        <w:rPr>
          <w:rFonts w:ascii="Arial" w:hAnsi="Arial" w:cs="Arial"/>
          <w:sz w:val="24"/>
          <w:szCs w:val="24"/>
        </w:rPr>
        <w:t>.0</w:t>
      </w:r>
      <w:r w:rsidR="00AC565C">
        <w:rPr>
          <w:rFonts w:ascii="Arial" w:hAnsi="Arial" w:cs="Arial"/>
          <w:sz w:val="24"/>
          <w:szCs w:val="24"/>
        </w:rPr>
        <w:t xml:space="preserve"> </w:t>
      </w:r>
      <w:r w:rsidR="00AC565C" w:rsidRPr="005F3B2E">
        <w:rPr>
          <w:rFonts w:ascii="Arial" w:hAnsi="Arial" w:cs="Arial"/>
          <w:sz w:val="24"/>
          <w:szCs w:val="24"/>
        </w:rPr>
        <w:t>%</w:t>
      </w:r>
      <w:r w:rsidR="00AC565C">
        <w:rPr>
          <w:rFonts w:ascii="Arial" w:hAnsi="Arial" w:cs="Arial"/>
          <w:sz w:val="24"/>
          <w:szCs w:val="24"/>
        </w:rPr>
        <w:t xml:space="preserve"> y </w:t>
      </w:r>
      <w:r w:rsidR="00AC565C" w:rsidRPr="005F3B2E">
        <w:rPr>
          <w:rFonts w:ascii="Arial" w:hAnsi="Arial" w:cs="Arial"/>
          <w:sz w:val="24"/>
          <w:szCs w:val="24"/>
        </w:rPr>
        <w:t xml:space="preserve">Suiza, Canadá y China, </w:t>
      </w:r>
      <w:r w:rsidR="00AC565C">
        <w:rPr>
          <w:rFonts w:ascii="Arial" w:hAnsi="Arial" w:cs="Arial"/>
          <w:sz w:val="24"/>
          <w:szCs w:val="24"/>
        </w:rPr>
        <w:t>con ingresos e</w:t>
      </w:r>
      <w:r w:rsidR="00AC565C" w:rsidRPr="005F3B2E">
        <w:rPr>
          <w:rFonts w:ascii="Arial" w:hAnsi="Arial" w:cs="Arial"/>
          <w:sz w:val="24"/>
          <w:szCs w:val="24"/>
        </w:rPr>
        <w:t xml:space="preserve">ntre </w:t>
      </w:r>
      <w:r w:rsidR="00AC565C">
        <w:rPr>
          <w:rFonts w:ascii="Arial" w:hAnsi="Arial" w:cs="Arial"/>
          <w:sz w:val="24"/>
          <w:szCs w:val="24"/>
        </w:rPr>
        <w:t>1</w:t>
      </w:r>
      <w:r w:rsidR="00FC0B0A">
        <w:rPr>
          <w:rFonts w:ascii="Arial" w:hAnsi="Arial" w:cs="Arial"/>
          <w:sz w:val="24"/>
          <w:szCs w:val="24"/>
        </w:rPr>
        <w:t>.0</w:t>
      </w:r>
      <w:r w:rsidR="00E9133C">
        <w:rPr>
          <w:rFonts w:ascii="Arial" w:hAnsi="Arial" w:cs="Arial"/>
          <w:sz w:val="24"/>
          <w:szCs w:val="24"/>
        </w:rPr>
        <w:t xml:space="preserve"> %</w:t>
      </w:r>
      <w:r w:rsidR="00AC565C" w:rsidRPr="005F3B2E">
        <w:rPr>
          <w:rFonts w:ascii="Arial" w:hAnsi="Arial" w:cs="Arial"/>
          <w:sz w:val="24"/>
          <w:szCs w:val="24"/>
        </w:rPr>
        <w:t xml:space="preserve"> y </w:t>
      </w:r>
      <w:r w:rsidR="00FC0B0A">
        <w:rPr>
          <w:rFonts w:ascii="Arial" w:hAnsi="Arial" w:cs="Arial"/>
          <w:sz w:val="24"/>
          <w:szCs w:val="24"/>
        </w:rPr>
        <w:t>5.0</w:t>
      </w:r>
      <w:r w:rsidR="00AC565C">
        <w:rPr>
          <w:rFonts w:ascii="Arial" w:hAnsi="Arial" w:cs="Arial"/>
          <w:sz w:val="24"/>
          <w:szCs w:val="24"/>
        </w:rPr>
        <w:t xml:space="preserve"> </w:t>
      </w:r>
      <w:r w:rsidR="00AC565C" w:rsidRPr="005F3B2E">
        <w:rPr>
          <w:rFonts w:ascii="Arial" w:hAnsi="Arial" w:cs="Arial"/>
          <w:sz w:val="24"/>
          <w:szCs w:val="24"/>
        </w:rPr>
        <w:t xml:space="preserve">% para </w:t>
      </w:r>
      <w:r w:rsidR="00C60FA1">
        <w:rPr>
          <w:rFonts w:ascii="Arial" w:hAnsi="Arial" w:cs="Arial"/>
          <w:sz w:val="24"/>
          <w:szCs w:val="24"/>
        </w:rPr>
        <w:t xml:space="preserve">los mismos </w:t>
      </w:r>
      <w:r w:rsidR="00AC565C" w:rsidRPr="005F3B2E">
        <w:rPr>
          <w:rFonts w:ascii="Arial" w:hAnsi="Arial" w:cs="Arial"/>
          <w:sz w:val="24"/>
          <w:szCs w:val="24"/>
        </w:rPr>
        <w:t>años.</w:t>
      </w:r>
    </w:p>
    <w:p w14:paraId="09C86DCF" w14:textId="3424DA4D" w:rsidR="005F3B2E" w:rsidRDefault="005F3B2E" w:rsidP="005F3B2E">
      <w:pPr>
        <w:jc w:val="both"/>
        <w:rPr>
          <w:rFonts w:ascii="Arial" w:hAnsi="Arial" w:cs="Arial"/>
          <w:sz w:val="24"/>
          <w:szCs w:val="24"/>
        </w:rPr>
      </w:pPr>
    </w:p>
    <w:p w14:paraId="04D77AEB" w14:textId="425B25EA" w:rsidR="00C94773" w:rsidRDefault="00C94773" w:rsidP="005F3B2E">
      <w:pPr>
        <w:jc w:val="both"/>
        <w:rPr>
          <w:rFonts w:ascii="Arial" w:hAnsi="Arial" w:cs="Arial"/>
          <w:sz w:val="24"/>
          <w:szCs w:val="24"/>
        </w:rPr>
      </w:pPr>
    </w:p>
    <w:p w14:paraId="3DCA484A" w14:textId="77777777" w:rsidR="00545A66" w:rsidRPr="005F3B2E" w:rsidRDefault="00545A66" w:rsidP="005F3B2E">
      <w:pPr>
        <w:jc w:val="both"/>
        <w:rPr>
          <w:rFonts w:ascii="Arial" w:hAnsi="Arial" w:cs="Arial"/>
          <w:sz w:val="24"/>
          <w:szCs w:val="24"/>
        </w:rPr>
      </w:pPr>
    </w:p>
    <w:p w14:paraId="512BFD43" w14:textId="77777777" w:rsidR="00C83846" w:rsidRDefault="00C83846" w:rsidP="003F0D16">
      <w:pPr>
        <w:autoSpaceDE w:val="0"/>
        <w:autoSpaceDN w:val="0"/>
        <w:adjustRightInd w:val="0"/>
        <w:spacing w:after="0" w:line="240" w:lineRule="auto"/>
        <w:ind w:left="-567" w:right="21"/>
        <w:jc w:val="center"/>
        <w:outlineLvl w:val="0"/>
        <w:rPr>
          <w:rFonts w:ascii="Arial" w:hAnsi="Arial" w:cs="Arial"/>
          <w:bCs/>
          <w:sz w:val="20"/>
          <w:szCs w:val="20"/>
        </w:rPr>
      </w:pPr>
    </w:p>
    <w:p w14:paraId="18C05D89" w14:textId="168D98CF" w:rsidR="005F3B2E" w:rsidRPr="00FE1E0E" w:rsidRDefault="005F3B2E" w:rsidP="003F0D16">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lastRenderedPageBreak/>
        <w:t xml:space="preserve">Gráfica </w:t>
      </w:r>
      <w:r>
        <w:rPr>
          <w:rFonts w:ascii="Arial" w:hAnsi="Arial" w:cs="Arial"/>
          <w:bCs/>
          <w:sz w:val="20"/>
          <w:szCs w:val="20"/>
        </w:rPr>
        <w:t>14</w:t>
      </w:r>
    </w:p>
    <w:p w14:paraId="26D1128F" w14:textId="1F3DB982" w:rsidR="005F3B2E" w:rsidRPr="003F0D16" w:rsidRDefault="005F3B2E" w:rsidP="005F3B2E">
      <w:pPr>
        <w:jc w:val="center"/>
        <w:rPr>
          <w:rFonts w:ascii="Arial Negrita" w:hAnsi="Arial Negrita" w:cs="Arial"/>
          <w:b/>
          <w:smallCaps/>
          <w:szCs w:val="24"/>
        </w:rPr>
      </w:pPr>
      <w:r w:rsidRPr="003F0D16">
        <w:rPr>
          <w:rFonts w:ascii="Arial Negrita" w:hAnsi="Arial Negrita" w:cs="Arial"/>
          <w:b/>
          <w:smallCaps/>
          <w:szCs w:val="24"/>
        </w:rPr>
        <w:t>Ingresos por suministros de servicios del exterior según principal origen</w:t>
      </w:r>
      <w:r w:rsidR="00340A29" w:rsidRPr="003F0D16">
        <w:rPr>
          <w:rFonts w:ascii="Arial Negrita" w:hAnsi="Arial Negrita" w:cs="Arial"/>
          <w:b/>
          <w:smallCaps/>
          <w:szCs w:val="24"/>
        </w:rPr>
        <w:t xml:space="preserve"> </w:t>
      </w:r>
    </w:p>
    <w:p w14:paraId="3DC1BDDC" w14:textId="2A020C27" w:rsidR="005F3B2E" w:rsidRDefault="00F22A42" w:rsidP="005F3B2E">
      <w:pPr>
        <w:jc w:val="center"/>
        <w:rPr>
          <w:rFonts w:ascii="Arial" w:hAnsi="Arial" w:cs="Arial"/>
          <w:sz w:val="24"/>
          <w:szCs w:val="24"/>
        </w:rPr>
      </w:pPr>
      <w:r>
        <w:rPr>
          <w:rFonts w:ascii="Arial" w:hAnsi="Arial" w:cs="Arial"/>
          <w:noProof/>
          <w:sz w:val="24"/>
          <w:szCs w:val="24"/>
        </w:rPr>
        <w:drawing>
          <wp:inline distT="0" distB="0" distL="0" distR="0" wp14:anchorId="5ECFEC6D" wp14:editId="3C84137A">
            <wp:extent cx="5306400" cy="24636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06400" cy="2463686"/>
                    </a:xfrm>
                    <a:prstGeom prst="rect">
                      <a:avLst/>
                    </a:prstGeom>
                    <a:noFill/>
                    <a:ln>
                      <a:noFill/>
                    </a:ln>
                  </pic:spPr>
                </pic:pic>
              </a:graphicData>
            </a:graphic>
          </wp:inline>
        </w:drawing>
      </w:r>
    </w:p>
    <w:p w14:paraId="4C9D6674" w14:textId="57F341A3" w:rsidR="005F3B2E" w:rsidRPr="005F3B2E" w:rsidRDefault="001D2CD5" w:rsidP="00894118">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5F3B2E" w:rsidRPr="000830B2">
        <w:rPr>
          <w:rFonts w:ascii="Arial" w:hAnsi="Arial" w:cs="Arial"/>
          <w:bCs/>
          <w:sz w:val="16"/>
          <w:szCs w:val="16"/>
        </w:rPr>
        <w:t xml:space="preserve">Nota: </w:t>
      </w:r>
      <w:r w:rsidR="005F3B2E" w:rsidRPr="005F3B2E">
        <w:rPr>
          <w:rFonts w:ascii="Arial" w:hAnsi="Arial" w:cs="Arial"/>
          <w:bCs/>
          <w:sz w:val="16"/>
          <w:szCs w:val="16"/>
        </w:rPr>
        <w:t>Montos en millones de pesos</w:t>
      </w:r>
      <w:r w:rsidR="00E9133C">
        <w:rPr>
          <w:rFonts w:ascii="Arial" w:hAnsi="Arial" w:cs="Arial"/>
          <w:bCs/>
          <w:sz w:val="16"/>
          <w:szCs w:val="16"/>
        </w:rPr>
        <w:t>.</w:t>
      </w:r>
    </w:p>
    <w:p w14:paraId="4F5471FE" w14:textId="77777777" w:rsidR="00BE0490" w:rsidRDefault="005F3B2E" w:rsidP="00894118">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5F3B2E">
        <w:rPr>
          <w:rFonts w:ascii="Arial" w:hAnsi="Arial" w:cs="Arial"/>
          <w:bCs/>
          <w:sz w:val="16"/>
          <w:szCs w:val="16"/>
        </w:rPr>
        <w:t>Porcentajes obtenidos respecto del total de ingresos para cada año.</w:t>
      </w:r>
      <w:r w:rsidR="00BE0490">
        <w:rPr>
          <w:rFonts w:ascii="Arial" w:hAnsi="Arial" w:cs="Arial"/>
          <w:bCs/>
          <w:sz w:val="16"/>
          <w:szCs w:val="16"/>
        </w:rPr>
        <w:t xml:space="preserve"> </w:t>
      </w:r>
    </w:p>
    <w:p w14:paraId="4D705F8F" w14:textId="6AA68F11" w:rsidR="005F3B2E" w:rsidRPr="0046714A" w:rsidRDefault="00BE0490" w:rsidP="00894118">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BE0490">
        <w:rPr>
          <w:rFonts w:ascii="Arial" w:hAnsi="Arial" w:cs="Arial"/>
          <w:bCs/>
          <w:sz w:val="16"/>
          <w:szCs w:val="16"/>
        </w:rPr>
        <w:t>La suma de los parciales no es igual al total debido al redondeo.</w:t>
      </w:r>
    </w:p>
    <w:p w14:paraId="6B0ECE9B" w14:textId="77777777" w:rsidR="005D74AE" w:rsidRDefault="005D74AE" w:rsidP="00894118">
      <w:pPr>
        <w:spacing w:after="0" w:line="240" w:lineRule="auto"/>
        <w:jc w:val="both"/>
        <w:rPr>
          <w:rFonts w:ascii="Arial" w:hAnsi="Arial" w:cs="Arial"/>
          <w:sz w:val="24"/>
          <w:szCs w:val="24"/>
        </w:rPr>
      </w:pPr>
    </w:p>
    <w:p w14:paraId="32191276" w14:textId="44EC7E6E" w:rsidR="00DF20E3" w:rsidRPr="00894118" w:rsidRDefault="00894118" w:rsidP="00894118">
      <w:pPr>
        <w:spacing w:after="0" w:line="240" w:lineRule="auto"/>
        <w:jc w:val="both"/>
        <w:rPr>
          <w:rFonts w:ascii="Arial" w:hAnsi="Arial" w:cs="Arial"/>
          <w:i/>
          <w:sz w:val="24"/>
          <w:szCs w:val="24"/>
        </w:rPr>
      </w:pPr>
      <w:r>
        <w:rPr>
          <w:rFonts w:ascii="Arial" w:hAnsi="Arial" w:cs="Arial"/>
          <w:sz w:val="24"/>
          <w:szCs w:val="24"/>
        </w:rPr>
        <w:t>En 2019, d</w:t>
      </w:r>
      <w:r w:rsidR="00972387">
        <w:rPr>
          <w:rFonts w:ascii="Arial" w:hAnsi="Arial" w:cs="Arial"/>
          <w:sz w:val="24"/>
          <w:szCs w:val="24"/>
        </w:rPr>
        <w:t>e los 289</w:t>
      </w:r>
      <w:r>
        <w:rPr>
          <w:rFonts w:ascii="Arial" w:hAnsi="Arial" w:cs="Arial"/>
          <w:sz w:val="24"/>
          <w:szCs w:val="24"/>
        </w:rPr>
        <w:t xml:space="preserve"> </w:t>
      </w:r>
      <w:r w:rsidR="00972387">
        <w:rPr>
          <w:rFonts w:ascii="Arial" w:hAnsi="Arial" w:cs="Arial"/>
          <w:sz w:val="24"/>
          <w:szCs w:val="24"/>
        </w:rPr>
        <w:t xml:space="preserve">255 millones de pesos </w:t>
      </w:r>
      <w:r w:rsidR="00CE00FC">
        <w:rPr>
          <w:rFonts w:ascii="Arial" w:hAnsi="Arial" w:cs="Arial"/>
          <w:sz w:val="24"/>
          <w:szCs w:val="24"/>
        </w:rPr>
        <w:t xml:space="preserve">que reportaron </w:t>
      </w:r>
      <w:r w:rsidR="005C093F">
        <w:rPr>
          <w:rFonts w:ascii="Arial" w:hAnsi="Arial" w:cs="Arial"/>
          <w:sz w:val="24"/>
          <w:szCs w:val="24"/>
        </w:rPr>
        <w:t>las empresas en</w:t>
      </w:r>
      <w:r w:rsidR="00CE00FC">
        <w:rPr>
          <w:rFonts w:ascii="Arial" w:hAnsi="Arial" w:cs="Arial"/>
          <w:sz w:val="24"/>
          <w:szCs w:val="24"/>
        </w:rPr>
        <w:t xml:space="preserve"> gastos por el consumo de servicios del exterior</w:t>
      </w:r>
      <w:r>
        <w:rPr>
          <w:rFonts w:ascii="Arial" w:hAnsi="Arial" w:cs="Arial"/>
          <w:sz w:val="24"/>
          <w:szCs w:val="24"/>
        </w:rPr>
        <w:t xml:space="preserve">, </w:t>
      </w:r>
      <w:r w:rsidR="005C093F">
        <w:rPr>
          <w:rFonts w:ascii="Arial" w:hAnsi="Arial" w:cs="Arial"/>
          <w:sz w:val="24"/>
          <w:szCs w:val="24"/>
        </w:rPr>
        <w:t>51.3</w:t>
      </w:r>
      <w:r w:rsidR="006F32DA">
        <w:rPr>
          <w:rFonts w:ascii="Arial" w:hAnsi="Arial" w:cs="Arial"/>
          <w:sz w:val="24"/>
          <w:szCs w:val="24"/>
        </w:rPr>
        <w:t xml:space="preserve"> </w:t>
      </w:r>
      <w:r w:rsidR="005C093F">
        <w:rPr>
          <w:rFonts w:ascii="Arial" w:hAnsi="Arial" w:cs="Arial"/>
          <w:sz w:val="24"/>
          <w:szCs w:val="24"/>
        </w:rPr>
        <w:t>% correspond</w:t>
      </w:r>
      <w:r>
        <w:rPr>
          <w:rFonts w:ascii="Arial" w:hAnsi="Arial" w:cs="Arial"/>
          <w:sz w:val="24"/>
          <w:szCs w:val="24"/>
        </w:rPr>
        <w:t>ió</w:t>
      </w:r>
      <w:r w:rsidR="005C093F">
        <w:rPr>
          <w:rFonts w:ascii="Arial" w:hAnsi="Arial" w:cs="Arial"/>
          <w:sz w:val="24"/>
          <w:szCs w:val="24"/>
        </w:rPr>
        <w:t xml:space="preserve"> al modo </w:t>
      </w:r>
      <w:r w:rsidR="005C093F" w:rsidRPr="00894118">
        <w:rPr>
          <w:rFonts w:ascii="Arial" w:hAnsi="Arial" w:cs="Arial"/>
          <w:i/>
          <w:sz w:val="24"/>
          <w:szCs w:val="24"/>
        </w:rPr>
        <w:t>transfronterizo</w:t>
      </w:r>
      <w:r w:rsidR="00E9133C">
        <w:rPr>
          <w:rFonts w:ascii="Arial" w:hAnsi="Arial" w:cs="Arial"/>
          <w:i/>
          <w:sz w:val="24"/>
          <w:szCs w:val="24"/>
        </w:rPr>
        <w:t xml:space="preserve"> </w:t>
      </w:r>
      <w:r w:rsidR="005C093F" w:rsidRPr="00894118">
        <w:rPr>
          <w:rFonts w:ascii="Arial" w:hAnsi="Arial" w:cs="Arial"/>
          <w:i/>
          <w:sz w:val="24"/>
          <w:szCs w:val="24"/>
        </w:rPr>
        <w:t>/</w:t>
      </w:r>
      <w:r w:rsidR="001D2CD5" w:rsidRPr="00894118">
        <w:rPr>
          <w:rFonts w:ascii="Arial" w:hAnsi="Arial" w:cs="Arial"/>
          <w:i/>
          <w:sz w:val="24"/>
          <w:szCs w:val="24"/>
        </w:rPr>
        <w:t xml:space="preserve"> </w:t>
      </w:r>
      <w:r w:rsidR="005C093F" w:rsidRPr="00894118">
        <w:rPr>
          <w:rFonts w:ascii="Arial" w:hAnsi="Arial" w:cs="Arial"/>
          <w:i/>
          <w:sz w:val="24"/>
          <w:szCs w:val="24"/>
        </w:rPr>
        <w:t>medios digitales,</w:t>
      </w:r>
      <w:r w:rsidR="005C093F">
        <w:rPr>
          <w:rFonts w:ascii="Arial" w:hAnsi="Arial" w:cs="Arial"/>
          <w:sz w:val="24"/>
          <w:szCs w:val="24"/>
        </w:rPr>
        <w:t xml:space="preserve"> 38.4</w:t>
      </w:r>
      <w:r w:rsidR="006F32DA">
        <w:rPr>
          <w:rFonts w:ascii="Arial" w:hAnsi="Arial" w:cs="Arial"/>
          <w:sz w:val="24"/>
          <w:szCs w:val="24"/>
        </w:rPr>
        <w:t xml:space="preserve"> </w:t>
      </w:r>
      <w:r w:rsidR="005C093F">
        <w:rPr>
          <w:rFonts w:ascii="Arial" w:hAnsi="Arial" w:cs="Arial"/>
          <w:sz w:val="24"/>
          <w:szCs w:val="24"/>
        </w:rPr>
        <w:t xml:space="preserve">% a </w:t>
      </w:r>
      <w:r w:rsidR="005C093F" w:rsidRPr="00894118">
        <w:rPr>
          <w:rFonts w:ascii="Arial" w:hAnsi="Arial" w:cs="Arial"/>
          <w:i/>
          <w:sz w:val="24"/>
          <w:szCs w:val="24"/>
        </w:rPr>
        <w:t>traslado de mercancía</w:t>
      </w:r>
      <w:r w:rsidR="005C093F">
        <w:rPr>
          <w:rFonts w:ascii="Arial" w:hAnsi="Arial" w:cs="Arial"/>
          <w:sz w:val="24"/>
          <w:szCs w:val="24"/>
        </w:rPr>
        <w:t xml:space="preserve"> y 10.3</w:t>
      </w:r>
      <w:r w:rsidR="006F32DA">
        <w:rPr>
          <w:rFonts w:ascii="Arial" w:hAnsi="Arial" w:cs="Arial"/>
          <w:sz w:val="24"/>
          <w:szCs w:val="24"/>
        </w:rPr>
        <w:t xml:space="preserve"> </w:t>
      </w:r>
      <w:r w:rsidR="005C093F">
        <w:rPr>
          <w:rFonts w:ascii="Arial" w:hAnsi="Arial" w:cs="Arial"/>
          <w:sz w:val="24"/>
          <w:szCs w:val="24"/>
        </w:rPr>
        <w:t xml:space="preserve">% a </w:t>
      </w:r>
      <w:r w:rsidR="005C093F" w:rsidRPr="00894118">
        <w:rPr>
          <w:rFonts w:ascii="Arial" w:hAnsi="Arial" w:cs="Arial"/>
          <w:i/>
          <w:sz w:val="24"/>
          <w:szCs w:val="24"/>
        </w:rPr>
        <w:t>envío o recepción de personal</w:t>
      </w:r>
      <w:r w:rsidR="005C093F">
        <w:rPr>
          <w:rFonts w:ascii="Arial" w:hAnsi="Arial" w:cs="Arial"/>
          <w:sz w:val="24"/>
          <w:szCs w:val="24"/>
        </w:rPr>
        <w:t xml:space="preserve">. Para 2020, </w:t>
      </w:r>
      <w:r w:rsidR="00BB250D">
        <w:rPr>
          <w:rFonts w:ascii="Arial" w:hAnsi="Arial" w:cs="Arial"/>
          <w:sz w:val="24"/>
          <w:szCs w:val="24"/>
        </w:rPr>
        <w:t xml:space="preserve">las empresas indicaron </w:t>
      </w:r>
      <w:r w:rsidR="00014EA2">
        <w:rPr>
          <w:rFonts w:ascii="Arial" w:hAnsi="Arial" w:cs="Arial"/>
          <w:sz w:val="24"/>
          <w:szCs w:val="24"/>
        </w:rPr>
        <w:t>gastos por</w:t>
      </w:r>
      <w:r w:rsidR="00BB250D">
        <w:rPr>
          <w:rFonts w:ascii="Arial" w:hAnsi="Arial" w:cs="Arial"/>
          <w:sz w:val="24"/>
          <w:szCs w:val="24"/>
        </w:rPr>
        <w:t xml:space="preserve"> 237</w:t>
      </w:r>
      <w:r>
        <w:rPr>
          <w:rFonts w:ascii="Arial" w:hAnsi="Arial" w:cs="Arial"/>
          <w:sz w:val="24"/>
          <w:szCs w:val="24"/>
        </w:rPr>
        <w:t xml:space="preserve"> </w:t>
      </w:r>
      <w:r w:rsidR="00BB250D">
        <w:rPr>
          <w:rFonts w:ascii="Arial" w:hAnsi="Arial" w:cs="Arial"/>
          <w:sz w:val="24"/>
          <w:szCs w:val="24"/>
        </w:rPr>
        <w:t xml:space="preserve">499 millones </w:t>
      </w:r>
      <w:r w:rsidR="00014EA2">
        <w:rPr>
          <w:rFonts w:ascii="Arial" w:hAnsi="Arial" w:cs="Arial"/>
          <w:sz w:val="24"/>
          <w:szCs w:val="24"/>
        </w:rPr>
        <w:t>de pesos</w:t>
      </w:r>
      <w:r>
        <w:rPr>
          <w:rFonts w:ascii="Arial" w:hAnsi="Arial" w:cs="Arial"/>
          <w:sz w:val="24"/>
          <w:szCs w:val="24"/>
        </w:rPr>
        <w:t xml:space="preserve">. De estos, </w:t>
      </w:r>
      <w:r w:rsidR="00014EA2">
        <w:rPr>
          <w:rFonts w:ascii="Arial" w:hAnsi="Arial" w:cs="Arial"/>
          <w:sz w:val="24"/>
          <w:szCs w:val="24"/>
        </w:rPr>
        <w:t>59.2</w:t>
      </w:r>
      <w:r w:rsidR="006F32DA">
        <w:rPr>
          <w:rFonts w:ascii="Arial" w:hAnsi="Arial" w:cs="Arial"/>
          <w:sz w:val="24"/>
          <w:szCs w:val="24"/>
        </w:rPr>
        <w:t xml:space="preserve"> </w:t>
      </w:r>
      <w:r w:rsidR="00014EA2">
        <w:rPr>
          <w:rFonts w:ascii="Arial" w:hAnsi="Arial" w:cs="Arial"/>
          <w:sz w:val="24"/>
          <w:szCs w:val="24"/>
        </w:rPr>
        <w:t xml:space="preserve">% fue mediante </w:t>
      </w:r>
      <w:r w:rsidR="00014EA2" w:rsidRPr="00894118">
        <w:rPr>
          <w:rFonts w:ascii="Arial" w:hAnsi="Arial" w:cs="Arial"/>
          <w:i/>
          <w:sz w:val="24"/>
          <w:szCs w:val="24"/>
        </w:rPr>
        <w:t>modo transfronterizo</w:t>
      </w:r>
      <w:r w:rsidR="00152B6A">
        <w:rPr>
          <w:rFonts w:ascii="Arial" w:hAnsi="Arial" w:cs="Arial"/>
          <w:i/>
          <w:sz w:val="24"/>
          <w:szCs w:val="24"/>
        </w:rPr>
        <w:t xml:space="preserve"> </w:t>
      </w:r>
      <w:r w:rsidR="00014EA2" w:rsidRPr="00894118">
        <w:rPr>
          <w:rFonts w:ascii="Arial" w:hAnsi="Arial" w:cs="Arial"/>
          <w:i/>
          <w:sz w:val="24"/>
          <w:szCs w:val="24"/>
        </w:rPr>
        <w:t>/</w:t>
      </w:r>
      <w:r w:rsidR="001D2CD5" w:rsidRPr="00894118">
        <w:rPr>
          <w:rFonts w:ascii="Arial" w:hAnsi="Arial" w:cs="Arial"/>
          <w:i/>
          <w:sz w:val="24"/>
          <w:szCs w:val="24"/>
        </w:rPr>
        <w:t xml:space="preserve"> </w:t>
      </w:r>
      <w:r w:rsidR="00014EA2" w:rsidRPr="00894118">
        <w:rPr>
          <w:rFonts w:ascii="Arial" w:hAnsi="Arial" w:cs="Arial"/>
          <w:i/>
          <w:sz w:val="24"/>
          <w:szCs w:val="24"/>
        </w:rPr>
        <w:t>medios digitales</w:t>
      </w:r>
      <w:r w:rsidR="00014EA2">
        <w:rPr>
          <w:rFonts w:ascii="Arial" w:hAnsi="Arial" w:cs="Arial"/>
          <w:sz w:val="24"/>
          <w:szCs w:val="24"/>
        </w:rPr>
        <w:t>, 29.7</w:t>
      </w:r>
      <w:r w:rsidR="006F32DA">
        <w:rPr>
          <w:rFonts w:ascii="Arial" w:hAnsi="Arial" w:cs="Arial"/>
          <w:sz w:val="24"/>
          <w:szCs w:val="24"/>
        </w:rPr>
        <w:t xml:space="preserve"> </w:t>
      </w:r>
      <w:r w:rsidR="00014EA2">
        <w:rPr>
          <w:rFonts w:ascii="Arial" w:hAnsi="Arial" w:cs="Arial"/>
          <w:sz w:val="24"/>
          <w:szCs w:val="24"/>
        </w:rPr>
        <w:t xml:space="preserve">% por </w:t>
      </w:r>
      <w:r w:rsidR="00014EA2" w:rsidRPr="00894118">
        <w:rPr>
          <w:rFonts w:ascii="Arial" w:hAnsi="Arial" w:cs="Arial"/>
          <w:i/>
          <w:sz w:val="24"/>
          <w:szCs w:val="24"/>
        </w:rPr>
        <w:t>traslado de mercancía</w:t>
      </w:r>
      <w:r w:rsidR="00014EA2">
        <w:rPr>
          <w:rFonts w:ascii="Arial" w:hAnsi="Arial" w:cs="Arial"/>
          <w:sz w:val="24"/>
          <w:szCs w:val="24"/>
        </w:rPr>
        <w:t xml:space="preserve"> y 11.1</w:t>
      </w:r>
      <w:r w:rsidR="006F32DA">
        <w:rPr>
          <w:rFonts w:ascii="Arial" w:hAnsi="Arial" w:cs="Arial"/>
          <w:sz w:val="24"/>
          <w:szCs w:val="24"/>
        </w:rPr>
        <w:t xml:space="preserve"> </w:t>
      </w:r>
      <w:r w:rsidR="00014EA2">
        <w:rPr>
          <w:rFonts w:ascii="Arial" w:hAnsi="Arial" w:cs="Arial"/>
          <w:sz w:val="24"/>
          <w:szCs w:val="24"/>
        </w:rPr>
        <w:t xml:space="preserve">% </w:t>
      </w:r>
      <w:r w:rsidR="00014EA2" w:rsidRPr="00894118">
        <w:rPr>
          <w:rFonts w:ascii="Arial" w:hAnsi="Arial" w:cs="Arial"/>
          <w:i/>
          <w:sz w:val="24"/>
          <w:szCs w:val="24"/>
        </w:rPr>
        <w:t>por envío o recepción de personal.</w:t>
      </w:r>
    </w:p>
    <w:p w14:paraId="06E5FFFA" w14:textId="77777777" w:rsidR="003B76E8" w:rsidRPr="00894118" w:rsidRDefault="003B76E8" w:rsidP="00894118">
      <w:pPr>
        <w:spacing w:after="0" w:line="240" w:lineRule="auto"/>
        <w:jc w:val="both"/>
        <w:rPr>
          <w:rFonts w:ascii="Arial" w:hAnsi="Arial" w:cs="Arial"/>
          <w:i/>
          <w:sz w:val="24"/>
          <w:szCs w:val="24"/>
        </w:rPr>
      </w:pPr>
    </w:p>
    <w:p w14:paraId="4099DBC2" w14:textId="77777777" w:rsidR="003B76E8" w:rsidRPr="00FE1E0E" w:rsidRDefault="003B76E8" w:rsidP="00894118">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Pr>
          <w:rFonts w:ascii="Arial" w:hAnsi="Arial" w:cs="Arial"/>
          <w:bCs/>
          <w:sz w:val="20"/>
          <w:szCs w:val="20"/>
        </w:rPr>
        <w:t>15</w:t>
      </w:r>
    </w:p>
    <w:p w14:paraId="69907552" w14:textId="327B09B4" w:rsidR="003B76E8" w:rsidRPr="00894118" w:rsidRDefault="003B76E8" w:rsidP="00894118">
      <w:pPr>
        <w:spacing w:after="0" w:line="240" w:lineRule="auto"/>
        <w:jc w:val="center"/>
        <w:rPr>
          <w:rFonts w:ascii="Arial Negrita" w:hAnsi="Arial Negrita" w:cs="Arial"/>
          <w:b/>
          <w:smallCaps/>
          <w:szCs w:val="24"/>
        </w:rPr>
      </w:pPr>
      <w:r w:rsidRPr="00894118">
        <w:rPr>
          <w:rFonts w:ascii="Arial Negrita" w:hAnsi="Arial Negrita" w:cs="Arial"/>
          <w:b/>
          <w:smallCaps/>
          <w:szCs w:val="24"/>
        </w:rPr>
        <w:t>Gastos por el consumo de servicios del exterior</w:t>
      </w:r>
      <w:r w:rsidR="00894118">
        <w:rPr>
          <w:rFonts w:ascii="Arial Negrita" w:hAnsi="Arial Negrita" w:cs="Arial"/>
          <w:b/>
          <w:smallCaps/>
          <w:szCs w:val="24"/>
        </w:rPr>
        <w:t xml:space="preserve"> </w:t>
      </w:r>
      <w:r w:rsidRPr="00894118">
        <w:rPr>
          <w:rFonts w:ascii="Arial Negrita" w:hAnsi="Arial Negrita" w:cs="Arial"/>
          <w:b/>
          <w:smallCaps/>
          <w:szCs w:val="24"/>
        </w:rPr>
        <w:t>según modo de suministro</w:t>
      </w:r>
      <w:r w:rsidR="00340A29" w:rsidRPr="00894118">
        <w:rPr>
          <w:rFonts w:ascii="Arial Negrita" w:hAnsi="Arial Negrita" w:cs="Arial"/>
          <w:b/>
          <w:smallCaps/>
          <w:szCs w:val="24"/>
        </w:rPr>
        <w:t xml:space="preserve"> </w:t>
      </w:r>
    </w:p>
    <w:p w14:paraId="65F1AE71" w14:textId="398BBF4D" w:rsidR="003B76E8" w:rsidRDefault="00BE0490" w:rsidP="003B76E8">
      <w:pPr>
        <w:jc w:val="center"/>
        <w:rPr>
          <w:rFonts w:ascii="Arial" w:hAnsi="Arial" w:cs="Arial"/>
          <w:sz w:val="24"/>
          <w:szCs w:val="24"/>
        </w:rPr>
      </w:pPr>
      <w:r>
        <w:rPr>
          <w:noProof/>
        </w:rPr>
        <w:drawing>
          <wp:inline distT="0" distB="0" distL="0" distR="0" wp14:anchorId="4136CA8F" wp14:editId="73C99998">
            <wp:extent cx="5267325" cy="2474901"/>
            <wp:effectExtent l="0" t="0" r="0"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07263" cy="2493666"/>
                    </a:xfrm>
                    <a:prstGeom prst="rect">
                      <a:avLst/>
                    </a:prstGeom>
                  </pic:spPr>
                </pic:pic>
              </a:graphicData>
            </a:graphic>
          </wp:inline>
        </w:drawing>
      </w:r>
    </w:p>
    <w:p w14:paraId="03BE1539" w14:textId="3FBB0D0A" w:rsidR="003B76E8" w:rsidRPr="003B76E8" w:rsidRDefault="001D2CD5" w:rsidP="003B76E8">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3B76E8" w:rsidRPr="000830B2">
        <w:rPr>
          <w:rFonts w:ascii="Arial" w:hAnsi="Arial" w:cs="Arial"/>
          <w:bCs/>
          <w:sz w:val="16"/>
          <w:szCs w:val="16"/>
        </w:rPr>
        <w:t xml:space="preserve">Nota: </w:t>
      </w:r>
      <w:r w:rsidR="003B76E8" w:rsidRPr="003B76E8">
        <w:rPr>
          <w:rFonts w:ascii="Arial" w:hAnsi="Arial" w:cs="Arial"/>
          <w:bCs/>
          <w:sz w:val="16"/>
          <w:szCs w:val="16"/>
        </w:rPr>
        <w:t>Montos en millones de pesos</w:t>
      </w:r>
      <w:r w:rsidR="00152B6A">
        <w:rPr>
          <w:rFonts w:ascii="Arial" w:hAnsi="Arial" w:cs="Arial"/>
          <w:bCs/>
          <w:sz w:val="16"/>
          <w:szCs w:val="16"/>
        </w:rPr>
        <w:t>.</w:t>
      </w:r>
    </w:p>
    <w:p w14:paraId="2E40DBF6" w14:textId="77777777" w:rsidR="003B76E8" w:rsidRPr="004005DC" w:rsidRDefault="003B76E8" w:rsidP="003B76E8">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3B76E8">
        <w:rPr>
          <w:rFonts w:ascii="Arial" w:hAnsi="Arial" w:cs="Arial"/>
          <w:bCs/>
          <w:sz w:val="16"/>
          <w:szCs w:val="16"/>
        </w:rPr>
        <w:t>Porcentajes obtenidos respecto del total de gastos.</w:t>
      </w:r>
    </w:p>
    <w:p w14:paraId="09434550" w14:textId="77777777" w:rsidR="00BC2DC4" w:rsidRDefault="00BC2DC4" w:rsidP="003B76E8">
      <w:pPr>
        <w:jc w:val="both"/>
        <w:rPr>
          <w:rFonts w:ascii="Arial" w:hAnsi="Arial" w:cs="Arial"/>
          <w:sz w:val="24"/>
          <w:szCs w:val="24"/>
        </w:rPr>
      </w:pPr>
    </w:p>
    <w:p w14:paraId="74C6B27A" w14:textId="70D77B2C" w:rsidR="003B76E8" w:rsidRDefault="00894118" w:rsidP="00894118">
      <w:pPr>
        <w:spacing w:after="0" w:line="240" w:lineRule="auto"/>
        <w:jc w:val="both"/>
        <w:rPr>
          <w:rFonts w:ascii="Arial" w:hAnsi="Arial" w:cs="Arial"/>
          <w:sz w:val="24"/>
          <w:szCs w:val="24"/>
        </w:rPr>
      </w:pPr>
      <w:r>
        <w:rPr>
          <w:rFonts w:ascii="Arial" w:hAnsi="Arial" w:cs="Arial"/>
          <w:sz w:val="24"/>
          <w:szCs w:val="24"/>
        </w:rPr>
        <w:lastRenderedPageBreak/>
        <w:t xml:space="preserve">En 2020, </w:t>
      </w:r>
      <w:r w:rsidR="001459B5" w:rsidRPr="001459B5">
        <w:rPr>
          <w:rFonts w:ascii="Arial" w:hAnsi="Arial" w:cs="Arial"/>
          <w:sz w:val="24"/>
          <w:szCs w:val="24"/>
        </w:rPr>
        <w:t xml:space="preserve">los gastos </w:t>
      </w:r>
      <w:r>
        <w:rPr>
          <w:rFonts w:ascii="Arial" w:hAnsi="Arial" w:cs="Arial"/>
          <w:sz w:val="24"/>
          <w:szCs w:val="24"/>
        </w:rPr>
        <w:t>por</w:t>
      </w:r>
      <w:r w:rsidR="001459B5" w:rsidRPr="001459B5">
        <w:rPr>
          <w:rFonts w:ascii="Arial" w:hAnsi="Arial" w:cs="Arial"/>
          <w:sz w:val="24"/>
          <w:szCs w:val="24"/>
        </w:rPr>
        <w:t xml:space="preserve"> </w:t>
      </w:r>
      <w:r w:rsidR="00557FAD" w:rsidRPr="00894118">
        <w:rPr>
          <w:rFonts w:ascii="Arial" w:hAnsi="Arial" w:cs="Arial"/>
          <w:i/>
          <w:sz w:val="24"/>
          <w:szCs w:val="24"/>
        </w:rPr>
        <w:t>s</w:t>
      </w:r>
      <w:r w:rsidR="001459B5" w:rsidRPr="00894118">
        <w:rPr>
          <w:rFonts w:ascii="Arial" w:hAnsi="Arial" w:cs="Arial"/>
          <w:i/>
          <w:sz w:val="24"/>
          <w:szCs w:val="24"/>
        </w:rPr>
        <w:t>ervicios de manufactura en insumos físicos que son propiedad de otros</w:t>
      </w:r>
      <w:r w:rsidR="001459B5" w:rsidRPr="001459B5">
        <w:rPr>
          <w:rFonts w:ascii="Arial" w:hAnsi="Arial" w:cs="Arial"/>
          <w:sz w:val="24"/>
          <w:szCs w:val="24"/>
        </w:rPr>
        <w:t xml:space="preserve"> en su totalidad provi</w:t>
      </w:r>
      <w:r>
        <w:rPr>
          <w:rFonts w:ascii="Arial" w:hAnsi="Arial" w:cs="Arial"/>
          <w:sz w:val="24"/>
          <w:szCs w:val="24"/>
        </w:rPr>
        <w:t>nieron</w:t>
      </w:r>
      <w:r w:rsidR="001459B5" w:rsidRPr="001459B5">
        <w:rPr>
          <w:rFonts w:ascii="Arial" w:hAnsi="Arial" w:cs="Arial"/>
          <w:sz w:val="24"/>
          <w:szCs w:val="24"/>
        </w:rPr>
        <w:t xml:space="preserve"> por el modo </w:t>
      </w:r>
      <w:r w:rsidR="00557FAD" w:rsidRPr="00894118">
        <w:rPr>
          <w:rFonts w:ascii="Arial" w:hAnsi="Arial" w:cs="Arial"/>
          <w:i/>
          <w:sz w:val="24"/>
          <w:szCs w:val="24"/>
        </w:rPr>
        <w:t>t</w:t>
      </w:r>
      <w:r w:rsidR="001459B5" w:rsidRPr="00894118">
        <w:rPr>
          <w:rFonts w:ascii="Arial" w:hAnsi="Arial" w:cs="Arial"/>
          <w:i/>
          <w:sz w:val="24"/>
          <w:szCs w:val="24"/>
        </w:rPr>
        <w:t>raslado de mercancías</w:t>
      </w:r>
      <w:r>
        <w:rPr>
          <w:rFonts w:ascii="Arial" w:hAnsi="Arial" w:cs="Arial"/>
          <w:sz w:val="24"/>
          <w:szCs w:val="24"/>
        </w:rPr>
        <w:t>. L</w:t>
      </w:r>
      <w:r w:rsidR="001459B5" w:rsidRPr="001459B5">
        <w:rPr>
          <w:rFonts w:ascii="Arial" w:hAnsi="Arial" w:cs="Arial"/>
          <w:sz w:val="24"/>
          <w:szCs w:val="24"/>
        </w:rPr>
        <w:t xml:space="preserve">os </w:t>
      </w:r>
      <w:r w:rsidR="001459B5" w:rsidRPr="00894118">
        <w:rPr>
          <w:rFonts w:ascii="Arial" w:hAnsi="Arial" w:cs="Arial"/>
          <w:i/>
          <w:sz w:val="24"/>
          <w:szCs w:val="24"/>
        </w:rPr>
        <w:t xml:space="preserve">servicios de </w:t>
      </w:r>
      <w:r w:rsidR="00557FAD" w:rsidRPr="00894118">
        <w:rPr>
          <w:rFonts w:ascii="Arial" w:hAnsi="Arial" w:cs="Arial"/>
          <w:i/>
          <w:sz w:val="24"/>
          <w:szCs w:val="24"/>
        </w:rPr>
        <w:t>t</w:t>
      </w:r>
      <w:r w:rsidR="001459B5" w:rsidRPr="00894118">
        <w:rPr>
          <w:rFonts w:ascii="Arial" w:hAnsi="Arial" w:cs="Arial"/>
          <w:i/>
          <w:sz w:val="24"/>
          <w:szCs w:val="24"/>
        </w:rPr>
        <w:t>ransporte</w:t>
      </w:r>
      <w:r w:rsidR="001459B5" w:rsidRPr="001459B5">
        <w:rPr>
          <w:rFonts w:ascii="Arial" w:hAnsi="Arial" w:cs="Arial"/>
          <w:sz w:val="24"/>
          <w:szCs w:val="24"/>
        </w:rPr>
        <w:t xml:space="preserve"> y </w:t>
      </w:r>
      <w:r w:rsidR="00557FAD" w:rsidRPr="00894118">
        <w:rPr>
          <w:rFonts w:ascii="Arial" w:hAnsi="Arial" w:cs="Arial"/>
          <w:i/>
          <w:sz w:val="24"/>
          <w:szCs w:val="24"/>
        </w:rPr>
        <w:t>c</w:t>
      </w:r>
      <w:r w:rsidR="001459B5" w:rsidRPr="00894118">
        <w:rPr>
          <w:rFonts w:ascii="Arial" w:hAnsi="Arial" w:cs="Arial"/>
          <w:i/>
          <w:sz w:val="24"/>
          <w:szCs w:val="24"/>
        </w:rPr>
        <w:t>argos por el uso de propiedad intelectual</w:t>
      </w:r>
      <w:r w:rsidR="001459B5" w:rsidRPr="001459B5">
        <w:rPr>
          <w:rFonts w:ascii="Arial" w:hAnsi="Arial" w:cs="Arial"/>
          <w:sz w:val="24"/>
          <w:szCs w:val="24"/>
        </w:rPr>
        <w:t xml:space="preserve"> </w:t>
      </w:r>
      <w:r>
        <w:rPr>
          <w:rFonts w:ascii="Arial" w:hAnsi="Arial" w:cs="Arial"/>
          <w:sz w:val="24"/>
          <w:szCs w:val="24"/>
        </w:rPr>
        <w:t>se generaron</w:t>
      </w:r>
      <w:r w:rsidR="001459B5" w:rsidRPr="001459B5">
        <w:rPr>
          <w:rFonts w:ascii="Arial" w:hAnsi="Arial" w:cs="Arial"/>
          <w:sz w:val="24"/>
          <w:szCs w:val="24"/>
        </w:rPr>
        <w:t xml:space="preserve"> en su totalidad por el modo </w:t>
      </w:r>
      <w:r w:rsidR="00557FAD" w:rsidRPr="00894118">
        <w:rPr>
          <w:rFonts w:ascii="Arial" w:hAnsi="Arial" w:cs="Arial"/>
          <w:i/>
          <w:sz w:val="24"/>
          <w:szCs w:val="24"/>
        </w:rPr>
        <w:t>t</w:t>
      </w:r>
      <w:r w:rsidR="001459B5" w:rsidRPr="00894118">
        <w:rPr>
          <w:rFonts w:ascii="Arial" w:hAnsi="Arial" w:cs="Arial"/>
          <w:i/>
          <w:sz w:val="24"/>
          <w:szCs w:val="24"/>
        </w:rPr>
        <w:t>ransfronterizo</w:t>
      </w:r>
      <w:r w:rsidR="00152B6A">
        <w:rPr>
          <w:rFonts w:ascii="Arial" w:hAnsi="Arial" w:cs="Arial"/>
          <w:i/>
          <w:sz w:val="24"/>
          <w:szCs w:val="24"/>
        </w:rPr>
        <w:t xml:space="preserve"> </w:t>
      </w:r>
      <w:r w:rsidR="001459B5" w:rsidRPr="00894118">
        <w:rPr>
          <w:rFonts w:ascii="Arial" w:hAnsi="Arial" w:cs="Arial"/>
          <w:i/>
          <w:sz w:val="24"/>
          <w:szCs w:val="24"/>
        </w:rPr>
        <w:t>/</w:t>
      </w:r>
      <w:r w:rsidR="001D2CD5" w:rsidRPr="00894118">
        <w:rPr>
          <w:rFonts w:ascii="Arial" w:hAnsi="Arial" w:cs="Arial"/>
          <w:i/>
          <w:sz w:val="24"/>
          <w:szCs w:val="24"/>
        </w:rPr>
        <w:t xml:space="preserve"> </w:t>
      </w:r>
      <w:r w:rsidR="001459B5" w:rsidRPr="00894118">
        <w:rPr>
          <w:rFonts w:ascii="Arial" w:hAnsi="Arial" w:cs="Arial"/>
          <w:i/>
          <w:sz w:val="24"/>
          <w:szCs w:val="24"/>
        </w:rPr>
        <w:t>medios digitales</w:t>
      </w:r>
      <w:r>
        <w:rPr>
          <w:rFonts w:ascii="Arial" w:hAnsi="Arial" w:cs="Arial"/>
          <w:sz w:val="24"/>
          <w:szCs w:val="24"/>
        </w:rPr>
        <w:t>. Esta modalidad</w:t>
      </w:r>
      <w:r w:rsidR="001459B5" w:rsidRPr="001459B5">
        <w:rPr>
          <w:rFonts w:ascii="Arial" w:hAnsi="Arial" w:cs="Arial"/>
          <w:sz w:val="24"/>
          <w:szCs w:val="24"/>
        </w:rPr>
        <w:t xml:space="preserve"> mant</w:t>
      </w:r>
      <w:r w:rsidR="00AC565C">
        <w:rPr>
          <w:rFonts w:ascii="Arial" w:hAnsi="Arial" w:cs="Arial"/>
          <w:sz w:val="24"/>
          <w:szCs w:val="24"/>
        </w:rPr>
        <w:t>uvo</w:t>
      </w:r>
      <w:r w:rsidR="001459B5" w:rsidRPr="001459B5">
        <w:rPr>
          <w:rFonts w:ascii="Arial" w:hAnsi="Arial" w:cs="Arial"/>
          <w:sz w:val="24"/>
          <w:szCs w:val="24"/>
        </w:rPr>
        <w:t xml:space="preserve"> una mayor representación en los </w:t>
      </w:r>
      <w:r w:rsidR="001459B5" w:rsidRPr="00894118">
        <w:rPr>
          <w:rFonts w:ascii="Arial" w:hAnsi="Arial" w:cs="Arial"/>
          <w:i/>
          <w:sz w:val="24"/>
          <w:szCs w:val="24"/>
        </w:rPr>
        <w:t xml:space="preserve">servicios de </w:t>
      </w:r>
      <w:r w:rsidR="00557FAD" w:rsidRPr="00894118">
        <w:rPr>
          <w:rFonts w:ascii="Arial" w:hAnsi="Arial" w:cs="Arial"/>
          <w:i/>
          <w:sz w:val="24"/>
          <w:szCs w:val="24"/>
        </w:rPr>
        <w:t>t</w:t>
      </w:r>
      <w:r w:rsidR="001459B5" w:rsidRPr="00894118">
        <w:rPr>
          <w:rFonts w:ascii="Arial" w:hAnsi="Arial" w:cs="Arial"/>
          <w:i/>
          <w:sz w:val="24"/>
          <w:szCs w:val="24"/>
        </w:rPr>
        <w:t>elecomunicaciones, informática e información</w:t>
      </w:r>
      <w:r>
        <w:rPr>
          <w:rFonts w:ascii="Arial" w:hAnsi="Arial" w:cs="Arial"/>
          <w:sz w:val="24"/>
          <w:szCs w:val="24"/>
        </w:rPr>
        <w:t>,</w:t>
      </w:r>
      <w:r w:rsidR="001459B5" w:rsidRPr="001459B5">
        <w:rPr>
          <w:rFonts w:ascii="Arial" w:hAnsi="Arial" w:cs="Arial"/>
          <w:sz w:val="24"/>
          <w:szCs w:val="24"/>
        </w:rPr>
        <w:t xml:space="preserve"> </w:t>
      </w:r>
      <w:r w:rsidR="00557FAD" w:rsidRPr="00894118">
        <w:rPr>
          <w:rFonts w:ascii="Arial" w:hAnsi="Arial" w:cs="Arial"/>
          <w:i/>
          <w:sz w:val="24"/>
          <w:szCs w:val="24"/>
        </w:rPr>
        <w:t>o</w:t>
      </w:r>
      <w:r w:rsidR="001459B5" w:rsidRPr="00894118">
        <w:rPr>
          <w:rFonts w:ascii="Arial" w:hAnsi="Arial" w:cs="Arial"/>
          <w:i/>
          <w:sz w:val="24"/>
          <w:szCs w:val="24"/>
        </w:rPr>
        <w:t>tros servicios empresariales</w:t>
      </w:r>
      <w:r w:rsidR="001459B5" w:rsidRPr="001459B5">
        <w:rPr>
          <w:rFonts w:ascii="Arial" w:hAnsi="Arial" w:cs="Arial"/>
          <w:sz w:val="24"/>
          <w:szCs w:val="24"/>
        </w:rPr>
        <w:t xml:space="preserve"> y </w:t>
      </w:r>
      <w:r w:rsidR="00557FAD" w:rsidRPr="00894118">
        <w:rPr>
          <w:rFonts w:ascii="Arial" w:hAnsi="Arial" w:cs="Arial"/>
          <w:i/>
          <w:sz w:val="24"/>
          <w:szCs w:val="24"/>
        </w:rPr>
        <w:t>s</w:t>
      </w:r>
      <w:r w:rsidR="001459B5" w:rsidRPr="00894118">
        <w:rPr>
          <w:rFonts w:ascii="Arial" w:hAnsi="Arial" w:cs="Arial"/>
          <w:i/>
          <w:sz w:val="24"/>
          <w:szCs w:val="24"/>
        </w:rPr>
        <w:t>ervicios personales, culturales y recreativos</w:t>
      </w:r>
      <w:r w:rsidR="00AC565C">
        <w:rPr>
          <w:rFonts w:ascii="Arial" w:hAnsi="Arial" w:cs="Arial"/>
          <w:iCs/>
          <w:sz w:val="24"/>
          <w:szCs w:val="24"/>
        </w:rPr>
        <w:t>,</w:t>
      </w:r>
      <w:r w:rsidR="001459B5" w:rsidRPr="001459B5">
        <w:rPr>
          <w:rFonts w:ascii="Arial" w:hAnsi="Arial" w:cs="Arial"/>
          <w:sz w:val="24"/>
          <w:szCs w:val="24"/>
        </w:rPr>
        <w:t xml:space="preserve"> </w:t>
      </w:r>
      <w:r>
        <w:rPr>
          <w:rFonts w:ascii="Arial" w:hAnsi="Arial" w:cs="Arial"/>
          <w:sz w:val="24"/>
          <w:szCs w:val="24"/>
        </w:rPr>
        <w:t xml:space="preserve">con un porcentaje </w:t>
      </w:r>
      <w:r w:rsidR="001459B5" w:rsidRPr="001459B5">
        <w:rPr>
          <w:rFonts w:ascii="Arial" w:hAnsi="Arial" w:cs="Arial"/>
          <w:sz w:val="24"/>
          <w:szCs w:val="24"/>
        </w:rPr>
        <w:t>mayor a</w:t>
      </w:r>
      <w:r w:rsidR="00A52A68">
        <w:rPr>
          <w:rFonts w:ascii="Arial" w:hAnsi="Arial" w:cs="Arial"/>
          <w:sz w:val="24"/>
          <w:szCs w:val="24"/>
        </w:rPr>
        <w:t xml:space="preserve"> 69.</w:t>
      </w:r>
      <w:r w:rsidR="00D21E45">
        <w:rPr>
          <w:rFonts w:ascii="Arial" w:hAnsi="Arial" w:cs="Arial"/>
          <w:sz w:val="24"/>
          <w:szCs w:val="24"/>
        </w:rPr>
        <w:t>0</w:t>
      </w:r>
      <w:r w:rsidR="00A52A68">
        <w:rPr>
          <w:rFonts w:ascii="Arial" w:hAnsi="Arial" w:cs="Arial"/>
          <w:sz w:val="24"/>
          <w:szCs w:val="24"/>
        </w:rPr>
        <w:t xml:space="preserve"> %</w:t>
      </w:r>
      <w:r w:rsidR="001459B5" w:rsidRPr="001459B5">
        <w:rPr>
          <w:rFonts w:ascii="Arial" w:hAnsi="Arial" w:cs="Arial"/>
          <w:sz w:val="24"/>
          <w:szCs w:val="24"/>
        </w:rPr>
        <w:t xml:space="preserve"> de sus gastos.</w:t>
      </w:r>
    </w:p>
    <w:p w14:paraId="05B9D6CE" w14:textId="77777777" w:rsidR="00DF20E3" w:rsidRDefault="00DF20E3" w:rsidP="00894118">
      <w:pPr>
        <w:spacing w:after="0" w:line="240" w:lineRule="auto"/>
        <w:jc w:val="both"/>
        <w:rPr>
          <w:rFonts w:ascii="Arial" w:hAnsi="Arial" w:cs="Arial"/>
          <w:sz w:val="24"/>
          <w:szCs w:val="24"/>
        </w:rPr>
      </w:pPr>
    </w:p>
    <w:p w14:paraId="45724047" w14:textId="77777777" w:rsidR="001459B5" w:rsidRPr="00FE1E0E" w:rsidRDefault="001459B5" w:rsidP="00894118">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Pr>
          <w:rFonts w:ascii="Arial" w:hAnsi="Arial" w:cs="Arial"/>
          <w:bCs/>
          <w:sz w:val="20"/>
          <w:szCs w:val="20"/>
        </w:rPr>
        <w:t>1</w:t>
      </w:r>
      <w:r w:rsidR="00457D21">
        <w:rPr>
          <w:rFonts w:ascii="Arial" w:hAnsi="Arial" w:cs="Arial"/>
          <w:bCs/>
          <w:sz w:val="20"/>
          <w:szCs w:val="20"/>
        </w:rPr>
        <w:t>6</w:t>
      </w:r>
    </w:p>
    <w:p w14:paraId="4B18BA69" w14:textId="37351494" w:rsidR="001459B5" w:rsidRPr="00894118" w:rsidRDefault="001459B5" w:rsidP="00894118">
      <w:pPr>
        <w:spacing w:after="0" w:line="240" w:lineRule="auto"/>
        <w:jc w:val="center"/>
        <w:rPr>
          <w:rFonts w:ascii="Arial Negrita" w:hAnsi="Arial Negrita" w:cs="Arial"/>
          <w:b/>
          <w:smallCaps/>
          <w:szCs w:val="24"/>
        </w:rPr>
      </w:pPr>
      <w:r w:rsidRPr="00894118">
        <w:rPr>
          <w:rFonts w:ascii="Arial Negrita" w:hAnsi="Arial Negrita" w:cs="Arial"/>
          <w:b/>
          <w:smallCaps/>
          <w:szCs w:val="24"/>
        </w:rPr>
        <w:t>Gastos por tipo de servicio según modo de suministro</w:t>
      </w:r>
      <w:r w:rsidR="00340A29" w:rsidRPr="00894118">
        <w:rPr>
          <w:rFonts w:ascii="Arial Negrita" w:hAnsi="Arial Negrita" w:cs="Arial"/>
          <w:b/>
          <w:smallCaps/>
          <w:szCs w:val="24"/>
        </w:rPr>
        <w:t xml:space="preserve"> en</w:t>
      </w:r>
      <w:r w:rsidRPr="00894118">
        <w:rPr>
          <w:rFonts w:ascii="Arial Negrita" w:hAnsi="Arial Negrita" w:cs="Arial"/>
          <w:b/>
          <w:smallCaps/>
          <w:szCs w:val="24"/>
        </w:rPr>
        <w:t xml:space="preserve"> 2020</w:t>
      </w:r>
    </w:p>
    <w:p w14:paraId="0EB42716" w14:textId="031319D1" w:rsidR="001459B5" w:rsidRDefault="000440D3" w:rsidP="009E42DF">
      <w:pPr>
        <w:jc w:val="center"/>
        <w:rPr>
          <w:rFonts w:ascii="Arial" w:hAnsi="Arial" w:cs="Arial"/>
          <w:sz w:val="24"/>
          <w:szCs w:val="24"/>
        </w:rPr>
      </w:pPr>
      <w:r>
        <w:rPr>
          <w:rFonts w:ascii="Arial" w:hAnsi="Arial" w:cs="Arial"/>
          <w:noProof/>
          <w:sz w:val="24"/>
          <w:szCs w:val="24"/>
        </w:rPr>
        <w:drawing>
          <wp:inline distT="0" distB="0" distL="0" distR="0" wp14:anchorId="682CB9B8" wp14:editId="6E15834D">
            <wp:extent cx="6404400" cy="297612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4400" cy="2976129"/>
                    </a:xfrm>
                    <a:prstGeom prst="rect">
                      <a:avLst/>
                    </a:prstGeom>
                    <a:noFill/>
                    <a:ln>
                      <a:noFill/>
                    </a:ln>
                  </pic:spPr>
                </pic:pic>
              </a:graphicData>
            </a:graphic>
          </wp:inline>
        </w:drawing>
      </w:r>
    </w:p>
    <w:p w14:paraId="304C41C6" w14:textId="023870EB" w:rsidR="001459B5" w:rsidRPr="001459B5" w:rsidRDefault="001D2CD5" w:rsidP="001459B5">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1459B5" w:rsidRPr="000830B2">
        <w:rPr>
          <w:rFonts w:ascii="Arial" w:hAnsi="Arial" w:cs="Arial"/>
          <w:bCs/>
          <w:sz w:val="16"/>
          <w:szCs w:val="16"/>
        </w:rPr>
        <w:t xml:space="preserve">Nota: </w:t>
      </w:r>
      <w:r w:rsidR="001459B5" w:rsidRPr="001459B5">
        <w:rPr>
          <w:rFonts w:ascii="Arial" w:hAnsi="Arial" w:cs="Arial"/>
          <w:bCs/>
          <w:sz w:val="16"/>
          <w:szCs w:val="16"/>
        </w:rPr>
        <w:t>Montos en millones de pesos</w:t>
      </w:r>
      <w:r w:rsidR="00152B6A">
        <w:rPr>
          <w:rFonts w:ascii="Arial" w:hAnsi="Arial" w:cs="Arial"/>
          <w:bCs/>
          <w:sz w:val="16"/>
          <w:szCs w:val="16"/>
        </w:rPr>
        <w:t>.</w:t>
      </w:r>
    </w:p>
    <w:p w14:paraId="7884070B" w14:textId="77777777" w:rsidR="001459B5" w:rsidRPr="001459B5" w:rsidRDefault="001459B5" w:rsidP="001459B5">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1459B5">
        <w:rPr>
          <w:rFonts w:ascii="Arial" w:hAnsi="Arial" w:cs="Arial"/>
          <w:bCs/>
          <w:sz w:val="16"/>
          <w:szCs w:val="16"/>
        </w:rPr>
        <w:t>Porcentajes obtenidos respecto del total de gastos.</w:t>
      </w:r>
    </w:p>
    <w:p w14:paraId="0BFEE681" w14:textId="0EF61A62" w:rsidR="001459B5" w:rsidRPr="003B76E8" w:rsidRDefault="001459B5" w:rsidP="000B4803">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p>
    <w:p w14:paraId="4CDD8DF2" w14:textId="77777777" w:rsidR="00DF20E3" w:rsidRDefault="00DF20E3" w:rsidP="00DF20E3">
      <w:pPr>
        <w:jc w:val="both"/>
        <w:rPr>
          <w:rFonts w:ascii="Arial" w:hAnsi="Arial" w:cs="Arial"/>
          <w:sz w:val="24"/>
          <w:szCs w:val="24"/>
        </w:rPr>
      </w:pPr>
    </w:p>
    <w:p w14:paraId="6A9B67C2" w14:textId="7CC4F63C" w:rsidR="00051CC1" w:rsidRDefault="00894118" w:rsidP="00051CC1">
      <w:pPr>
        <w:jc w:val="both"/>
        <w:rPr>
          <w:rFonts w:ascii="Arial" w:hAnsi="Arial" w:cs="Arial"/>
          <w:sz w:val="24"/>
          <w:szCs w:val="24"/>
        </w:rPr>
      </w:pPr>
      <w:r>
        <w:rPr>
          <w:rFonts w:ascii="Arial" w:hAnsi="Arial" w:cs="Arial"/>
          <w:sz w:val="24"/>
          <w:szCs w:val="24"/>
        </w:rPr>
        <w:t xml:space="preserve">En 2019, </w:t>
      </w:r>
      <w:r w:rsidR="00E4375E">
        <w:rPr>
          <w:rFonts w:ascii="Arial" w:hAnsi="Arial" w:cs="Arial"/>
          <w:sz w:val="24"/>
          <w:szCs w:val="24"/>
        </w:rPr>
        <w:t xml:space="preserve">con base en </w:t>
      </w:r>
      <w:r w:rsidR="00F2230A">
        <w:rPr>
          <w:rFonts w:ascii="Arial" w:hAnsi="Arial" w:cs="Arial"/>
          <w:sz w:val="24"/>
          <w:szCs w:val="24"/>
        </w:rPr>
        <w:t>el total de</w:t>
      </w:r>
      <w:r w:rsidR="00D32762">
        <w:rPr>
          <w:rFonts w:ascii="Arial" w:hAnsi="Arial" w:cs="Arial"/>
          <w:sz w:val="24"/>
          <w:szCs w:val="24"/>
        </w:rPr>
        <w:t xml:space="preserve"> gastos reportados por las empresas respe</w:t>
      </w:r>
      <w:r w:rsidR="005E0C63">
        <w:rPr>
          <w:rFonts w:ascii="Arial" w:hAnsi="Arial" w:cs="Arial"/>
          <w:sz w:val="24"/>
          <w:szCs w:val="24"/>
        </w:rPr>
        <w:t>c</w:t>
      </w:r>
      <w:r w:rsidR="00D32762">
        <w:rPr>
          <w:rFonts w:ascii="Arial" w:hAnsi="Arial" w:cs="Arial"/>
          <w:sz w:val="24"/>
          <w:szCs w:val="24"/>
        </w:rPr>
        <w:t xml:space="preserve">to </w:t>
      </w:r>
      <w:r w:rsidR="00A52A68">
        <w:rPr>
          <w:rFonts w:ascii="Arial" w:hAnsi="Arial" w:cs="Arial"/>
          <w:sz w:val="24"/>
          <w:szCs w:val="24"/>
        </w:rPr>
        <w:t xml:space="preserve">al </w:t>
      </w:r>
      <w:r w:rsidR="00D32762">
        <w:rPr>
          <w:rFonts w:ascii="Arial" w:hAnsi="Arial" w:cs="Arial"/>
          <w:sz w:val="24"/>
          <w:szCs w:val="24"/>
        </w:rPr>
        <w:t>consumo de servicios del exterior</w:t>
      </w:r>
      <w:r w:rsidR="005E0C63">
        <w:rPr>
          <w:rFonts w:ascii="Arial" w:hAnsi="Arial" w:cs="Arial"/>
          <w:sz w:val="24"/>
          <w:szCs w:val="24"/>
        </w:rPr>
        <w:t xml:space="preserve">, los principales socios comerciales </w:t>
      </w:r>
      <w:r>
        <w:rPr>
          <w:rFonts w:ascii="Arial" w:hAnsi="Arial" w:cs="Arial"/>
          <w:sz w:val="24"/>
          <w:szCs w:val="24"/>
        </w:rPr>
        <w:t xml:space="preserve">de </w:t>
      </w:r>
      <w:r w:rsidR="005E0C63">
        <w:rPr>
          <w:rFonts w:ascii="Arial" w:hAnsi="Arial" w:cs="Arial"/>
          <w:sz w:val="24"/>
          <w:szCs w:val="24"/>
        </w:rPr>
        <w:t>destino fueron</w:t>
      </w:r>
      <w:r w:rsidR="00E4375E">
        <w:rPr>
          <w:rFonts w:ascii="Arial" w:hAnsi="Arial" w:cs="Arial"/>
          <w:sz w:val="24"/>
          <w:szCs w:val="24"/>
        </w:rPr>
        <w:t>:</w:t>
      </w:r>
      <w:r w:rsidR="005E0C63">
        <w:rPr>
          <w:rFonts w:ascii="Arial" w:hAnsi="Arial" w:cs="Arial"/>
          <w:sz w:val="24"/>
          <w:szCs w:val="24"/>
        </w:rPr>
        <w:t xml:space="preserve"> Estados Unidos</w:t>
      </w:r>
      <w:r w:rsidR="00E4375E">
        <w:rPr>
          <w:rFonts w:ascii="Arial" w:hAnsi="Arial" w:cs="Arial"/>
          <w:sz w:val="24"/>
          <w:szCs w:val="24"/>
        </w:rPr>
        <w:t>,</w:t>
      </w:r>
      <w:r w:rsidR="005E0C63">
        <w:rPr>
          <w:rFonts w:ascii="Arial" w:hAnsi="Arial" w:cs="Arial"/>
          <w:sz w:val="24"/>
          <w:szCs w:val="24"/>
        </w:rPr>
        <w:t xml:space="preserve"> con </w:t>
      </w:r>
      <w:r w:rsidR="00A52A68">
        <w:rPr>
          <w:rFonts w:ascii="Arial" w:hAnsi="Arial" w:cs="Arial"/>
          <w:sz w:val="24"/>
          <w:szCs w:val="24"/>
        </w:rPr>
        <w:t>61.7 %</w:t>
      </w:r>
      <w:r w:rsidR="00E4375E">
        <w:rPr>
          <w:rFonts w:ascii="Arial" w:hAnsi="Arial" w:cs="Arial"/>
          <w:sz w:val="24"/>
          <w:szCs w:val="24"/>
        </w:rPr>
        <w:t>;</w:t>
      </w:r>
      <w:r w:rsidR="005E0C63">
        <w:rPr>
          <w:rFonts w:ascii="Arial" w:hAnsi="Arial" w:cs="Arial"/>
          <w:sz w:val="24"/>
          <w:szCs w:val="24"/>
        </w:rPr>
        <w:t xml:space="preserve"> la Unión Europea</w:t>
      </w:r>
      <w:r w:rsidR="00E4375E">
        <w:rPr>
          <w:rFonts w:ascii="Arial" w:hAnsi="Arial" w:cs="Arial"/>
          <w:sz w:val="24"/>
          <w:szCs w:val="24"/>
        </w:rPr>
        <w:t>,</w:t>
      </w:r>
      <w:r w:rsidR="005E0C63">
        <w:rPr>
          <w:rFonts w:ascii="Arial" w:hAnsi="Arial" w:cs="Arial"/>
          <w:sz w:val="24"/>
          <w:szCs w:val="24"/>
        </w:rPr>
        <w:t xml:space="preserve"> con </w:t>
      </w:r>
      <w:r w:rsidR="00A52A68">
        <w:rPr>
          <w:rFonts w:ascii="Arial" w:hAnsi="Arial" w:cs="Arial"/>
          <w:sz w:val="24"/>
          <w:szCs w:val="24"/>
        </w:rPr>
        <w:t>15.6 %</w:t>
      </w:r>
      <w:r w:rsidR="00E4375E">
        <w:rPr>
          <w:rFonts w:ascii="Arial" w:hAnsi="Arial" w:cs="Arial"/>
          <w:sz w:val="24"/>
          <w:szCs w:val="24"/>
        </w:rPr>
        <w:t>;</w:t>
      </w:r>
      <w:r w:rsidR="005E0C63">
        <w:rPr>
          <w:rFonts w:ascii="Arial" w:hAnsi="Arial" w:cs="Arial"/>
          <w:sz w:val="24"/>
          <w:szCs w:val="24"/>
        </w:rPr>
        <w:t xml:space="preserve"> Japón</w:t>
      </w:r>
      <w:r w:rsidR="00E4375E">
        <w:rPr>
          <w:rFonts w:ascii="Arial" w:hAnsi="Arial" w:cs="Arial"/>
          <w:sz w:val="24"/>
          <w:szCs w:val="24"/>
        </w:rPr>
        <w:t>,</w:t>
      </w:r>
      <w:r w:rsidR="005E0C63">
        <w:rPr>
          <w:rFonts w:ascii="Arial" w:hAnsi="Arial" w:cs="Arial"/>
          <w:sz w:val="24"/>
          <w:szCs w:val="24"/>
        </w:rPr>
        <w:t xml:space="preserve"> con </w:t>
      </w:r>
      <w:r w:rsidR="00A52A68">
        <w:rPr>
          <w:rFonts w:ascii="Arial" w:hAnsi="Arial" w:cs="Arial"/>
          <w:sz w:val="24"/>
          <w:szCs w:val="24"/>
        </w:rPr>
        <w:t>3.4 %</w:t>
      </w:r>
      <w:r w:rsidR="005E0C63">
        <w:rPr>
          <w:rFonts w:ascii="Arial" w:hAnsi="Arial" w:cs="Arial"/>
          <w:sz w:val="24"/>
          <w:szCs w:val="24"/>
        </w:rPr>
        <w:t xml:space="preserve"> y Corea del Sur</w:t>
      </w:r>
      <w:r w:rsidR="00E4375E">
        <w:rPr>
          <w:rFonts w:ascii="Arial" w:hAnsi="Arial" w:cs="Arial"/>
          <w:sz w:val="24"/>
          <w:szCs w:val="24"/>
        </w:rPr>
        <w:t>,</w:t>
      </w:r>
      <w:r w:rsidR="004F5188">
        <w:rPr>
          <w:rFonts w:ascii="Arial" w:hAnsi="Arial" w:cs="Arial"/>
          <w:sz w:val="24"/>
          <w:szCs w:val="24"/>
        </w:rPr>
        <w:t xml:space="preserve"> con 5.4 por ciento</w:t>
      </w:r>
      <w:r w:rsidR="005E0C63">
        <w:rPr>
          <w:rFonts w:ascii="Arial" w:hAnsi="Arial" w:cs="Arial"/>
          <w:sz w:val="24"/>
          <w:szCs w:val="24"/>
        </w:rPr>
        <w:t xml:space="preserve">. </w:t>
      </w:r>
      <w:r w:rsidR="004F5188">
        <w:rPr>
          <w:rFonts w:ascii="Arial" w:hAnsi="Arial" w:cs="Arial"/>
          <w:sz w:val="24"/>
          <w:szCs w:val="24"/>
        </w:rPr>
        <w:t>En</w:t>
      </w:r>
      <w:r w:rsidR="005E0C63">
        <w:rPr>
          <w:rFonts w:ascii="Arial" w:hAnsi="Arial" w:cs="Arial"/>
          <w:sz w:val="24"/>
          <w:szCs w:val="24"/>
        </w:rPr>
        <w:t xml:space="preserve"> 2020, los principales </w:t>
      </w:r>
      <w:r w:rsidR="004F5188">
        <w:rPr>
          <w:rFonts w:ascii="Arial" w:hAnsi="Arial" w:cs="Arial"/>
          <w:sz w:val="24"/>
          <w:szCs w:val="24"/>
        </w:rPr>
        <w:t>socios</w:t>
      </w:r>
      <w:r w:rsidR="005E0C63">
        <w:rPr>
          <w:rFonts w:ascii="Arial" w:hAnsi="Arial" w:cs="Arial"/>
          <w:sz w:val="24"/>
          <w:szCs w:val="24"/>
        </w:rPr>
        <w:t xml:space="preserve"> destino por el consumo de </w:t>
      </w:r>
      <w:r w:rsidR="002B6BB9">
        <w:rPr>
          <w:rFonts w:ascii="Arial" w:hAnsi="Arial" w:cs="Arial"/>
          <w:sz w:val="24"/>
          <w:szCs w:val="24"/>
        </w:rPr>
        <w:t>comerci</w:t>
      </w:r>
      <w:r w:rsidR="00BE0490">
        <w:rPr>
          <w:rFonts w:ascii="Arial" w:hAnsi="Arial" w:cs="Arial"/>
          <w:sz w:val="24"/>
          <w:szCs w:val="24"/>
        </w:rPr>
        <w:t>o</w:t>
      </w:r>
      <w:r w:rsidR="005E0C63">
        <w:rPr>
          <w:rFonts w:ascii="Arial" w:hAnsi="Arial" w:cs="Arial"/>
          <w:sz w:val="24"/>
          <w:szCs w:val="24"/>
        </w:rPr>
        <w:t xml:space="preserve"> del exterior </w:t>
      </w:r>
      <w:r w:rsidR="004F5188">
        <w:rPr>
          <w:rFonts w:ascii="Arial" w:hAnsi="Arial" w:cs="Arial"/>
          <w:sz w:val="24"/>
          <w:szCs w:val="24"/>
        </w:rPr>
        <w:t>fueron</w:t>
      </w:r>
      <w:r w:rsidR="00E4375E">
        <w:rPr>
          <w:rFonts w:ascii="Arial" w:hAnsi="Arial" w:cs="Arial"/>
          <w:sz w:val="24"/>
          <w:szCs w:val="24"/>
        </w:rPr>
        <w:t>:</w:t>
      </w:r>
      <w:r w:rsidR="005E0C63">
        <w:rPr>
          <w:rFonts w:ascii="Arial" w:hAnsi="Arial" w:cs="Arial"/>
          <w:sz w:val="24"/>
          <w:szCs w:val="24"/>
        </w:rPr>
        <w:t xml:space="preserve"> Estados Unidos</w:t>
      </w:r>
      <w:r w:rsidR="00E4375E">
        <w:rPr>
          <w:rFonts w:ascii="Arial" w:hAnsi="Arial" w:cs="Arial"/>
          <w:sz w:val="24"/>
          <w:szCs w:val="24"/>
        </w:rPr>
        <w:t>,</w:t>
      </w:r>
      <w:r w:rsidR="005E0C63">
        <w:rPr>
          <w:rFonts w:ascii="Arial" w:hAnsi="Arial" w:cs="Arial"/>
          <w:sz w:val="24"/>
          <w:szCs w:val="24"/>
        </w:rPr>
        <w:t xml:space="preserve"> con </w:t>
      </w:r>
      <w:r w:rsidR="00A52A68">
        <w:rPr>
          <w:rFonts w:ascii="Arial" w:hAnsi="Arial" w:cs="Arial"/>
          <w:sz w:val="24"/>
          <w:szCs w:val="24"/>
        </w:rPr>
        <w:t>59.1 %</w:t>
      </w:r>
      <w:r w:rsidR="00E4375E">
        <w:rPr>
          <w:rFonts w:ascii="Arial" w:hAnsi="Arial" w:cs="Arial"/>
          <w:sz w:val="24"/>
          <w:szCs w:val="24"/>
        </w:rPr>
        <w:t>;</w:t>
      </w:r>
      <w:r w:rsidR="005E0C63">
        <w:rPr>
          <w:rFonts w:ascii="Arial" w:hAnsi="Arial" w:cs="Arial"/>
          <w:sz w:val="24"/>
          <w:szCs w:val="24"/>
        </w:rPr>
        <w:t xml:space="preserve"> la Unión Europea</w:t>
      </w:r>
      <w:r w:rsidR="00E4375E">
        <w:rPr>
          <w:rFonts w:ascii="Arial" w:hAnsi="Arial" w:cs="Arial"/>
          <w:sz w:val="24"/>
          <w:szCs w:val="24"/>
        </w:rPr>
        <w:t>,</w:t>
      </w:r>
      <w:r w:rsidR="005E0C63">
        <w:rPr>
          <w:rFonts w:ascii="Arial" w:hAnsi="Arial" w:cs="Arial"/>
          <w:sz w:val="24"/>
          <w:szCs w:val="24"/>
        </w:rPr>
        <w:t xml:space="preserve"> con </w:t>
      </w:r>
      <w:r w:rsidR="00A52A68">
        <w:rPr>
          <w:rFonts w:ascii="Arial" w:hAnsi="Arial" w:cs="Arial"/>
          <w:sz w:val="24"/>
          <w:szCs w:val="24"/>
        </w:rPr>
        <w:t>17.3 %</w:t>
      </w:r>
      <w:r w:rsidR="00E4375E">
        <w:rPr>
          <w:rFonts w:ascii="Arial" w:hAnsi="Arial" w:cs="Arial"/>
          <w:sz w:val="24"/>
          <w:szCs w:val="24"/>
        </w:rPr>
        <w:t>;</w:t>
      </w:r>
      <w:r w:rsidR="005E0C63">
        <w:rPr>
          <w:rFonts w:ascii="Arial" w:hAnsi="Arial" w:cs="Arial"/>
          <w:sz w:val="24"/>
          <w:szCs w:val="24"/>
        </w:rPr>
        <w:t xml:space="preserve"> Japón</w:t>
      </w:r>
      <w:r w:rsidR="00E4375E">
        <w:rPr>
          <w:rFonts w:ascii="Arial" w:hAnsi="Arial" w:cs="Arial"/>
          <w:sz w:val="24"/>
          <w:szCs w:val="24"/>
        </w:rPr>
        <w:t>,</w:t>
      </w:r>
      <w:r w:rsidR="005E0C63">
        <w:rPr>
          <w:rFonts w:ascii="Arial" w:hAnsi="Arial" w:cs="Arial"/>
          <w:sz w:val="24"/>
          <w:szCs w:val="24"/>
        </w:rPr>
        <w:t xml:space="preserve"> con </w:t>
      </w:r>
      <w:r w:rsidR="00A52A68">
        <w:rPr>
          <w:rFonts w:ascii="Arial" w:hAnsi="Arial" w:cs="Arial"/>
          <w:sz w:val="24"/>
          <w:szCs w:val="24"/>
        </w:rPr>
        <w:t>3.9 %</w:t>
      </w:r>
      <w:r w:rsidR="005E0C63">
        <w:rPr>
          <w:rFonts w:ascii="Arial" w:hAnsi="Arial" w:cs="Arial"/>
          <w:sz w:val="24"/>
          <w:szCs w:val="24"/>
        </w:rPr>
        <w:t xml:space="preserve"> y Corea del Sur</w:t>
      </w:r>
      <w:r w:rsidR="00E4375E">
        <w:rPr>
          <w:rFonts w:ascii="Arial" w:hAnsi="Arial" w:cs="Arial"/>
          <w:sz w:val="24"/>
          <w:szCs w:val="24"/>
        </w:rPr>
        <w:t>,</w:t>
      </w:r>
      <w:r w:rsidR="005E0C63">
        <w:rPr>
          <w:rFonts w:ascii="Arial" w:hAnsi="Arial" w:cs="Arial"/>
          <w:sz w:val="24"/>
          <w:szCs w:val="24"/>
        </w:rPr>
        <w:t xml:space="preserve"> con 3.8 por ciento.</w:t>
      </w:r>
    </w:p>
    <w:p w14:paraId="66E87E6D" w14:textId="5F3A90BC" w:rsidR="00051CC1" w:rsidRDefault="00051CC1" w:rsidP="00051CC1">
      <w:pPr>
        <w:jc w:val="both"/>
        <w:rPr>
          <w:rFonts w:ascii="Arial" w:hAnsi="Arial" w:cs="Arial"/>
          <w:sz w:val="24"/>
          <w:szCs w:val="24"/>
        </w:rPr>
      </w:pPr>
    </w:p>
    <w:p w14:paraId="64CF5E87" w14:textId="026A3FE8" w:rsidR="004F5188" w:rsidRDefault="004F5188" w:rsidP="00051CC1">
      <w:pPr>
        <w:jc w:val="both"/>
        <w:rPr>
          <w:rFonts w:ascii="Arial" w:hAnsi="Arial" w:cs="Arial"/>
          <w:sz w:val="24"/>
          <w:szCs w:val="24"/>
        </w:rPr>
      </w:pPr>
    </w:p>
    <w:p w14:paraId="4122591C" w14:textId="77777777" w:rsidR="004F5188" w:rsidRDefault="004F5188" w:rsidP="00051CC1">
      <w:pPr>
        <w:jc w:val="both"/>
        <w:rPr>
          <w:rFonts w:ascii="Arial" w:hAnsi="Arial" w:cs="Arial"/>
          <w:sz w:val="24"/>
          <w:szCs w:val="24"/>
        </w:rPr>
      </w:pPr>
    </w:p>
    <w:p w14:paraId="00470C98" w14:textId="1F9FD8CC" w:rsidR="001459B5" w:rsidRDefault="001459B5" w:rsidP="00051CC1">
      <w:pPr>
        <w:jc w:val="both"/>
        <w:rPr>
          <w:rFonts w:ascii="Arial" w:hAnsi="Arial" w:cs="Arial"/>
          <w:sz w:val="24"/>
          <w:szCs w:val="24"/>
        </w:rPr>
      </w:pPr>
    </w:p>
    <w:p w14:paraId="524CBB56" w14:textId="77777777" w:rsidR="00C83846" w:rsidRDefault="00C83846" w:rsidP="00051CC1">
      <w:pPr>
        <w:jc w:val="both"/>
        <w:rPr>
          <w:rFonts w:ascii="Arial" w:hAnsi="Arial" w:cs="Arial"/>
          <w:sz w:val="24"/>
          <w:szCs w:val="24"/>
        </w:rPr>
      </w:pPr>
    </w:p>
    <w:p w14:paraId="40BAD366" w14:textId="77777777" w:rsidR="00884312" w:rsidRDefault="00884312" w:rsidP="00DF20E3">
      <w:pPr>
        <w:autoSpaceDE w:val="0"/>
        <w:autoSpaceDN w:val="0"/>
        <w:adjustRightInd w:val="0"/>
        <w:spacing w:after="0" w:line="240" w:lineRule="auto"/>
        <w:ind w:left="-567" w:right="-518"/>
        <w:jc w:val="center"/>
        <w:outlineLvl w:val="0"/>
        <w:rPr>
          <w:rFonts w:ascii="Arial" w:hAnsi="Arial" w:cs="Arial"/>
          <w:bCs/>
          <w:sz w:val="20"/>
          <w:szCs w:val="20"/>
        </w:rPr>
      </w:pPr>
    </w:p>
    <w:p w14:paraId="5A4CC207" w14:textId="77777777" w:rsidR="00DF20E3" w:rsidRPr="00FE1E0E" w:rsidRDefault="00DF20E3" w:rsidP="004F5188">
      <w:pPr>
        <w:autoSpaceDE w:val="0"/>
        <w:autoSpaceDN w:val="0"/>
        <w:adjustRightInd w:val="0"/>
        <w:spacing w:after="0" w:line="240" w:lineRule="auto"/>
        <w:ind w:left="-567" w:right="21"/>
        <w:jc w:val="center"/>
        <w:outlineLvl w:val="0"/>
        <w:rPr>
          <w:rFonts w:ascii="Arial" w:hAnsi="Arial" w:cs="Arial"/>
          <w:b/>
          <w:bCs/>
          <w:smallCaps/>
          <w:sz w:val="20"/>
          <w:szCs w:val="20"/>
        </w:rPr>
      </w:pPr>
      <w:r w:rsidRPr="00FE1E0E">
        <w:rPr>
          <w:rFonts w:ascii="Arial" w:hAnsi="Arial" w:cs="Arial"/>
          <w:bCs/>
          <w:sz w:val="20"/>
          <w:szCs w:val="20"/>
        </w:rPr>
        <w:t xml:space="preserve">Gráfica </w:t>
      </w:r>
      <w:r w:rsidR="003B76E8">
        <w:rPr>
          <w:rFonts w:ascii="Arial" w:hAnsi="Arial" w:cs="Arial"/>
          <w:bCs/>
          <w:sz w:val="20"/>
          <w:szCs w:val="20"/>
        </w:rPr>
        <w:t>17</w:t>
      </w:r>
    </w:p>
    <w:p w14:paraId="4DBC63D4" w14:textId="5D80069A" w:rsidR="00DF20E3" w:rsidRPr="004F5188" w:rsidRDefault="003B76E8" w:rsidP="003B76E8">
      <w:pPr>
        <w:jc w:val="center"/>
        <w:rPr>
          <w:rFonts w:ascii="Arial Negrita" w:hAnsi="Arial Negrita" w:cs="Arial"/>
          <w:b/>
          <w:smallCaps/>
          <w:szCs w:val="24"/>
        </w:rPr>
      </w:pPr>
      <w:r w:rsidRPr="004F5188">
        <w:rPr>
          <w:rFonts w:ascii="Arial Negrita" w:hAnsi="Arial Negrita" w:cs="Arial"/>
          <w:b/>
          <w:smallCaps/>
          <w:szCs w:val="24"/>
        </w:rPr>
        <w:t>Gastos por el consumo de servicios del exterior según principal destino</w:t>
      </w:r>
      <w:r w:rsidR="00340A29" w:rsidRPr="004F5188">
        <w:rPr>
          <w:rFonts w:ascii="Arial Negrita" w:hAnsi="Arial Negrita" w:cs="Arial"/>
          <w:b/>
          <w:smallCaps/>
          <w:szCs w:val="24"/>
        </w:rPr>
        <w:t xml:space="preserve"> </w:t>
      </w:r>
    </w:p>
    <w:p w14:paraId="4F4E9B53" w14:textId="0C81F1B8" w:rsidR="00DF20E3" w:rsidRDefault="0013417D" w:rsidP="009E42DF">
      <w:pPr>
        <w:jc w:val="center"/>
        <w:rPr>
          <w:rFonts w:ascii="Arial" w:hAnsi="Arial" w:cs="Arial"/>
          <w:sz w:val="24"/>
          <w:szCs w:val="24"/>
        </w:rPr>
      </w:pPr>
      <w:r w:rsidRPr="00F66756">
        <w:rPr>
          <w:rFonts w:ascii="Arial" w:hAnsi="Arial" w:cs="Arial"/>
          <w:noProof/>
          <w:sz w:val="24"/>
          <w:szCs w:val="24"/>
        </w:rPr>
        <w:drawing>
          <wp:inline distT="0" distB="0" distL="0" distR="0" wp14:anchorId="7022D44A" wp14:editId="033720C9">
            <wp:extent cx="5612130" cy="2497233"/>
            <wp:effectExtent l="0" t="0" r="7620" b="0"/>
            <wp:docPr id="6" name="Imagen 6"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en cascada&#10;&#10;Descripción generada automáticamente"/>
                    <pic:cNvPicPr/>
                  </pic:nvPicPr>
                  <pic:blipFill rotWithShape="1">
                    <a:blip r:embed="rId24"/>
                    <a:srcRect t="12502" b="8246"/>
                    <a:stretch/>
                  </pic:blipFill>
                  <pic:spPr bwMode="auto">
                    <a:xfrm>
                      <a:off x="0" y="0"/>
                      <a:ext cx="5612130" cy="2497233"/>
                    </a:xfrm>
                    <a:prstGeom prst="rect">
                      <a:avLst/>
                    </a:prstGeom>
                    <a:ln>
                      <a:noFill/>
                    </a:ln>
                    <a:extLst>
                      <a:ext uri="{53640926-AAD7-44D8-BBD7-CCE9431645EC}">
                        <a14:shadowObscured xmlns:a14="http://schemas.microsoft.com/office/drawing/2010/main"/>
                      </a:ext>
                    </a:extLst>
                  </pic:spPr>
                </pic:pic>
              </a:graphicData>
            </a:graphic>
          </wp:inline>
        </w:drawing>
      </w:r>
    </w:p>
    <w:p w14:paraId="15A99ACB" w14:textId="4A50863E" w:rsidR="003B76E8" w:rsidRPr="003B76E8" w:rsidRDefault="009E42DF" w:rsidP="003B76E8">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00DF20E3" w:rsidRPr="000830B2">
        <w:rPr>
          <w:rFonts w:ascii="Arial" w:hAnsi="Arial" w:cs="Arial"/>
          <w:bCs/>
          <w:sz w:val="16"/>
          <w:szCs w:val="16"/>
        </w:rPr>
        <w:t xml:space="preserve">Nota: </w:t>
      </w:r>
      <w:r w:rsidR="003B76E8" w:rsidRPr="003B76E8">
        <w:rPr>
          <w:rFonts w:ascii="Arial" w:hAnsi="Arial" w:cs="Arial"/>
          <w:bCs/>
          <w:sz w:val="16"/>
          <w:szCs w:val="16"/>
        </w:rPr>
        <w:t>Montos en millones de pesos</w:t>
      </w:r>
      <w:r w:rsidR="00152B6A">
        <w:rPr>
          <w:rFonts w:ascii="Arial" w:hAnsi="Arial" w:cs="Arial"/>
          <w:bCs/>
          <w:sz w:val="16"/>
          <w:szCs w:val="16"/>
        </w:rPr>
        <w:t>.</w:t>
      </w:r>
    </w:p>
    <w:p w14:paraId="26A416D8" w14:textId="2BEAB5E6" w:rsidR="00DF20E3" w:rsidRDefault="003B76E8" w:rsidP="003B76E8">
      <w:pPr>
        <w:autoSpaceDE w:val="0"/>
        <w:autoSpaceDN w:val="0"/>
        <w:adjustRightInd w:val="0"/>
        <w:spacing w:after="0" w:line="240" w:lineRule="auto"/>
        <w:ind w:left="-567" w:right="-518" w:firstLine="1276"/>
        <w:outlineLvl w:val="0"/>
        <w:rPr>
          <w:rFonts w:ascii="Arial" w:hAnsi="Arial" w:cs="Arial"/>
          <w:bCs/>
          <w:sz w:val="16"/>
          <w:szCs w:val="16"/>
        </w:rPr>
      </w:pPr>
      <w:r>
        <w:rPr>
          <w:rFonts w:ascii="Arial" w:hAnsi="Arial" w:cs="Arial"/>
          <w:bCs/>
          <w:sz w:val="16"/>
          <w:szCs w:val="16"/>
        </w:rPr>
        <w:t xml:space="preserve">           </w:t>
      </w:r>
      <w:r w:rsidRPr="003B76E8">
        <w:rPr>
          <w:rFonts w:ascii="Arial" w:hAnsi="Arial" w:cs="Arial"/>
          <w:bCs/>
          <w:sz w:val="16"/>
          <w:szCs w:val="16"/>
        </w:rPr>
        <w:t>Porcentajes obtenidos respecto del total de gastos para cada año.</w:t>
      </w:r>
    </w:p>
    <w:p w14:paraId="665110BE" w14:textId="4EFC4135" w:rsidR="004F5188" w:rsidRDefault="004F5188" w:rsidP="003B76E8">
      <w:pPr>
        <w:autoSpaceDE w:val="0"/>
        <w:autoSpaceDN w:val="0"/>
        <w:adjustRightInd w:val="0"/>
        <w:spacing w:after="0" w:line="240" w:lineRule="auto"/>
        <w:ind w:left="-567" w:right="-518" w:firstLine="1276"/>
        <w:outlineLvl w:val="0"/>
        <w:rPr>
          <w:rFonts w:ascii="Arial" w:hAnsi="Arial" w:cs="Arial"/>
          <w:bCs/>
          <w:sz w:val="16"/>
          <w:szCs w:val="16"/>
        </w:rPr>
      </w:pPr>
    </w:p>
    <w:p w14:paraId="3E5E7595" w14:textId="48D19B1D" w:rsidR="004F5188" w:rsidRDefault="004F5188" w:rsidP="003B76E8">
      <w:pPr>
        <w:autoSpaceDE w:val="0"/>
        <w:autoSpaceDN w:val="0"/>
        <w:adjustRightInd w:val="0"/>
        <w:spacing w:after="0" w:line="240" w:lineRule="auto"/>
        <w:ind w:left="-567" w:right="-518" w:firstLine="1276"/>
        <w:outlineLvl w:val="0"/>
        <w:rPr>
          <w:rFonts w:ascii="Arial" w:hAnsi="Arial" w:cs="Arial"/>
          <w:bCs/>
          <w:sz w:val="16"/>
          <w:szCs w:val="16"/>
        </w:rPr>
      </w:pPr>
    </w:p>
    <w:p w14:paraId="2C38740A" w14:textId="0CC86892" w:rsidR="004F5188" w:rsidRDefault="004F5188" w:rsidP="003B76E8">
      <w:pPr>
        <w:autoSpaceDE w:val="0"/>
        <w:autoSpaceDN w:val="0"/>
        <w:adjustRightInd w:val="0"/>
        <w:spacing w:after="0" w:line="240" w:lineRule="auto"/>
        <w:ind w:left="-567" w:right="-518" w:firstLine="1276"/>
        <w:outlineLvl w:val="0"/>
        <w:rPr>
          <w:rFonts w:ascii="Arial" w:hAnsi="Arial" w:cs="Arial"/>
          <w:bCs/>
          <w:sz w:val="16"/>
          <w:szCs w:val="16"/>
        </w:rPr>
      </w:pPr>
    </w:p>
    <w:p w14:paraId="2F6AFE62" w14:textId="615028AC" w:rsidR="004F5188" w:rsidRDefault="004F5188" w:rsidP="004F5188">
      <w:pPr>
        <w:pStyle w:val="NormalWeb"/>
        <w:spacing w:before="0" w:beforeAutospacing="0" w:after="0" w:afterAutospacing="0"/>
        <w:ind w:right="-518"/>
        <w:rPr>
          <w:rFonts w:ascii="Arial" w:hAnsi="Arial" w:cs="Arial"/>
          <w:sz w:val="22"/>
          <w:szCs w:val="22"/>
        </w:rPr>
      </w:pPr>
    </w:p>
    <w:p w14:paraId="5B35452B" w14:textId="25AB7809" w:rsidR="004F5188" w:rsidRDefault="004F5188" w:rsidP="004F5188">
      <w:pPr>
        <w:pStyle w:val="NormalWeb"/>
        <w:spacing w:before="0" w:beforeAutospacing="0" w:after="0" w:afterAutospacing="0"/>
        <w:ind w:right="-518"/>
        <w:rPr>
          <w:rFonts w:ascii="Arial" w:hAnsi="Arial" w:cs="Arial"/>
          <w:sz w:val="22"/>
          <w:szCs w:val="22"/>
        </w:rPr>
      </w:pPr>
    </w:p>
    <w:p w14:paraId="3E28BCF3" w14:textId="48562AD4" w:rsidR="004F5188" w:rsidRDefault="004F5188" w:rsidP="004F5188">
      <w:pPr>
        <w:pStyle w:val="NormalWeb"/>
        <w:spacing w:before="0" w:beforeAutospacing="0" w:after="0" w:afterAutospacing="0"/>
        <w:ind w:right="-518"/>
        <w:rPr>
          <w:rFonts w:ascii="Arial" w:hAnsi="Arial" w:cs="Arial"/>
          <w:sz w:val="22"/>
          <w:szCs w:val="22"/>
        </w:rPr>
      </w:pPr>
    </w:p>
    <w:p w14:paraId="2CB5E02F" w14:textId="58662465" w:rsidR="004F5188" w:rsidRDefault="004F5188" w:rsidP="004F5188">
      <w:pPr>
        <w:pStyle w:val="NormalWeb"/>
        <w:spacing w:before="0" w:beforeAutospacing="0" w:after="0" w:afterAutospacing="0"/>
        <w:ind w:right="-518"/>
        <w:rPr>
          <w:rFonts w:ascii="Arial" w:hAnsi="Arial" w:cs="Arial"/>
          <w:sz w:val="22"/>
          <w:szCs w:val="22"/>
        </w:rPr>
      </w:pPr>
    </w:p>
    <w:p w14:paraId="618F0ECE" w14:textId="77777777" w:rsidR="004F5188" w:rsidRDefault="004F5188" w:rsidP="004F5188">
      <w:pPr>
        <w:pStyle w:val="NormalWeb"/>
        <w:spacing w:before="0" w:beforeAutospacing="0" w:after="0" w:afterAutospacing="0"/>
        <w:ind w:right="-518"/>
        <w:rPr>
          <w:rFonts w:ascii="Arial" w:hAnsi="Arial" w:cs="Arial"/>
          <w:sz w:val="22"/>
          <w:szCs w:val="22"/>
        </w:rPr>
      </w:pPr>
    </w:p>
    <w:p w14:paraId="6DB78485" w14:textId="3463DCD3" w:rsidR="004F5188" w:rsidRDefault="004F5188" w:rsidP="004F5188">
      <w:pPr>
        <w:pStyle w:val="NormalWeb"/>
        <w:spacing w:before="0" w:beforeAutospacing="0" w:after="0" w:afterAutospacing="0"/>
        <w:ind w:right="-518"/>
        <w:rPr>
          <w:rFonts w:ascii="Arial" w:hAnsi="Arial" w:cs="Arial"/>
          <w:sz w:val="22"/>
          <w:szCs w:val="22"/>
        </w:rPr>
      </w:pPr>
    </w:p>
    <w:p w14:paraId="761B63E4" w14:textId="77777777" w:rsidR="004F5188" w:rsidRDefault="004F5188" w:rsidP="004F5188">
      <w:pPr>
        <w:pStyle w:val="NormalWeb"/>
        <w:spacing w:before="0" w:beforeAutospacing="0" w:after="0" w:afterAutospacing="0"/>
        <w:ind w:right="-518"/>
        <w:rPr>
          <w:rFonts w:ascii="Arial" w:hAnsi="Arial" w:cs="Arial"/>
          <w:sz w:val="22"/>
          <w:szCs w:val="22"/>
        </w:rPr>
      </w:pPr>
    </w:p>
    <w:p w14:paraId="36ADCE8B" w14:textId="77777777" w:rsidR="004F5188" w:rsidRPr="004F5188" w:rsidRDefault="004F5188" w:rsidP="004F5188">
      <w:pPr>
        <w:pStyle w:val="NormalWeb"/>
        <w:spacing w:before="0" w:beforeAutospacing="0" w:after="0" w:afterAutospacing="0"/>
        <w:ind w:right="21"/>
        <w:rPr>
          <w:rStyle w:val="Hipervnculo"/>
          <w:rFonts w:ascii="Arial" w:hAnsi="Arial" w:cs="Arial"/>
          <w:lang w:val="es-ES_tradnl"/>
        </w:rPr>
      </w:pPr>
      <w:r w:rsidRPr="004F5188">
        <w:rPr>
          <w:rFonts w:ascii="Arial" w:hAnsi="Arial" w:cs="Arial"/>
        </w:rPr>
        <w:t xml:space="preserve">Para consultas de medios de comunicación, escribir a: </w:t>
      </w:r>
      <w:hyperlink r:id="rId25" w:history="1">
        <w:r w:rsidRPr="004F5188">
          <w:rPr>
            <w:rStyle w:val="Hipervnculo"/>
            <w:rFonts w:ascii="Arial" w:hAnsi="Arial" w:cs="Arial"/>
            <w:color w:val="70AD47" w:themeColor="accent6"/>
          </w:rPr>
          <w:t>comunicacionsocial@inegi.org.mx</w:t>
        </w:r>
      </w:hyperlink>
    </w:p>
    <w:p w14:paraId="44D97546" w14:textId="77777777" w:rsidR="004F5188" w:rsidRPr="004F5188" w:rsidRDefault="004F5188" w:rsidP="004F5188">
      <w:pPr>
        <w:pStyle w:val="NormalWeb"/>
        <w:spacing w:before="0" w:beforeAutospacing="0" w:after="0" w:afterAutospacing="0"/>
        <w:ind w:left="-426" w:right="21"/>
        <w:jc w:val="center"/>
        <w:rPr>
          <w:rFonts w:ascii="Arial" w:hAnsi="Arial" w:cs="Arial"/>
        </w:rPr>
      </w:pPr>
      <w:r w:rsidRPr="004F5188">
        <w:rPr>
          <w:rFonts w:ascii="Arial" w:hAnsi="Arial" w:cs="Arial"/>
        </w:rPr>
        <w:t>o llamar al teléfono (55) 52-78-10-00, exts. 1134, 1260 y 1241.</w:t>
      </w:r>
    </w:p>
    <w:p w14:paraId="6574E2E8" w14:textId="77777777" w:rsidR="004F5188" w:rsidRPr="004F5188" w:rsidRDefault="004F5188" w:rsidP="004F5188">
      <w:pPr>
        <w:pStyle w:val="NormalWeb"/>
        <w:spacing w:before="0" w:beforeAutospacing="0" w:after="0" w:afterAutospacing="0"/>
        <w:ind w:left="-426" w:right="21"/>
        <w:jc w:val="center"/>
        <w:rPr>
          <w:rFonts w:ascii="Arial" w:hAnsi="Arial" w:cs="Arial"/>
        </w:rPr>
      </w:pPr>
    </w:p>
    <w:p w14:paraId="5031CE60" w14:textId="77777777" w:rsidR="004F5188" w:rsidRPr="004F5188" w:rsidRDefault="004F5188" w:rsidP="004F5188">
      <w:pPr>
        <w:pStyle w:val="NormalWeb"/>
        <w:spacing w:before="0" w:beforeAutospacing="0" w:after="0" w:afterAutospacing="0"/>
        <w:ind w:left="-426" w:right="21"/>
        <w:jc w:val="center"/>
        <w:rPr>
          <w:rFonts w:ascii="Arial" w:hAnsi="Arial" w:cs="Arial"/>
        </w:rPr>
      </w:pPr>
      <w:r w:rsidRPr="004F5188">
        <w:rPr>
          <w:rFonts w:ascii="Arial" w:hAnsi="Arial" w:cs="Arial"/>
        </w:rPr>
        <w:t>Dirección General Adjunta de Comunicación / Dirección de Atención a Medios</w:t>
      </w:r>
    </w:p>
    <w:p w14:paraId="21C70887" w14:textId="77777777" w:rsidR="004F5188" w:rsidRPr="00C671EA" w:rsidRDefault="004F5188" w:rsidP="004F5188">
      <w:pPr>
        <w:pStyle w:val="NormalWeb"/>
        <w:spacing w:before="0" w:beforeAutospacing="0" w:after="0" w:afterAutospacing="0"/>
        <w:ind w:left="-426" w:right="-518"/>
        <w:jc w:val="center"/>
        <w:rPr>
          <w:rFonts w:ascii="Arial" w:hAnsi="Arial" w:cs="Arial"/>
          <w:sz w:val="22"/>
          <w:szCs w:val="22"/>
        </w:rPr>
      </w:pPr>
    </w:p>
    <w:p w14:paraId="74DCD922" w14:textId="77777777" w:rsidR="004F5188" w:rsidRDefault="004F5188" w:rsidP="004F5188">
      <w:pPr>
        <w:ind w:right="-516"/>
        <w:contextualSpacing/>
        <w:jc w:val="center"/>
        <w:rPr>
          <w:noProof/>
          <w:lang w:eastAsia="es-MX"/>
        </w:rPr>
        <w:sectPr w:rsidR="004F5188" w:rsidSect="00E472B8">
          <w:headerReference w:type="default" r:id="rId26"/>
          <w:footerReference w:type="default" r:id="rId27"/>
          <w:pgSz w:w="12240" w:h="15840"/>
          <w:pgMar w:top="1985" w:right="1077" w:bottom="1135" w:left="1077" w:header="709" w:footer="709" w:gutter="0"/>
          <w:cols w:space="708"/>
          <w:docGrid w:linePitch="360"/>
        </w:sectPr>
      </w:pPr>
      <w:r w:rsidRPr="00FF1218">
        <w:rPr>
          <w:noProof/>
        </w:rPr>
        <w:drawing>
          <wp:inline distT="0" distB="0" distL="0" distR="0" wp14:anchorId="4814186D" wp14:editId="45F9F5AC">
            <wp:extent cx="238125" cy="227500"/>
            <wp:effectExtent l="0" t="0" r="0" b="1270"/>
            <wp:docPr id="25" name="Imagen 25" descr="C:\Users\saladeprensa\Desktop\NVOS LOGOS\F.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459" cy="235462"/>
                    </a:xfrm>
                    <a:prstGeom prst="rect">
                      <a:avLst/>
                    </a:prstGeom>
                    <a:noFill/>
                    <a:ln>
                      <a:noFill/>
                    </a:ln>
                  </pic:spPr>
                </pic:pic>
              </a:graphicData>
            </a:graphic>
          </wp:inline>
        </w:drawing>
      </w:r>
      <w:r>
        <w:rPr>
          <w:noProof/>
          <w:lang w:eastAsia="es-MX"/>
        </w:rPr>
        <w:t xml:space="preserve"> </w:t>
      </w:r>
      <w:r w:rsidRPr="00FF1218">
        <w:rPr>
          <w:noProof/>
        </w:rPr>
        <w:drawing>
          <wp:inline distT="0" distB="0" distL="0" distR="0" wp14:anchorId="2152ACCA" wp14:editId="7BBB8B09">
            <wp:extent cx="228600" cy="228600"/>
            <wp:effectExtent l="0" t="0" r="0" b="0"/>
            <wp:docPr id="26" name="Imagen 26" descr="C:\Users\saladeprensa\Desktop\NVOS LOGOS\I.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lang w:eastAsia="es-MX"/>
        </w:rPr>
        <w:t xml:space="preserve"> </w:t>
      </w:r>
      <w:r w:rsidRPr="00FF1218">
        <w:rPr>
          <w:noProof/>
        </w:rPr>
        <w:drawing>
          <wp:inline distT="0" distB="0" distL="0" distR="0" wp14:anchorId="64D1C750" wp14:editId="5ED82965">
            <wp:extent cx="219075" cy="219075"/>
            <wp:effectExtent l="0" t="0" r="9525" b="9525"/>
            <wp:docPr id="16" name="Imagen 16" descr="C:\Users\saladeprensa\Desktop\NVOS LOGOS\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noProof/>
          <w:lang w:eastAsia="es-MX"/>
        </w:rPr>
        <w:t xml:space="preserve"> </w:t>
      </w:r>
      <w:r w:rsidRPr="00FF1218">
        <w:rPr>
          <w:noProof/>
        </w:rPr>
        <w:drawing>
          <wp:inline distT="0" distB="0" distL="0" distR="0" wp14:anchorId="25B8DFA9" wp14:editId="40691350">
            <wp:extent cx="219075" cy="219075"/>
            <wp:effectExtent l="0" t="0" r="9525" b="9525"/>
            <wp:docPr id="12" name="Imagen 12" descr="C:\Users\saladeprensa\Desktop\NVOS LOGOS\Y.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noProof/>
          <w:lang w:eastAsia="es-MX"/>
        </w:rPr>
        <w:t xml:space="preserve">  </w:t>
      </w:r>
      <w:r w:rsidRPr="00FF1218">
        <w:rPr>
          <w:noProof/>
          <w:sz w:val="14"/>
          <w:szCs w:val="18"/>
        </w:rPr>
        <w:drawing>
          <wp:inline distT="0" distB="0" distL="0" distR="0" wp14:anchorId="1A16B164" wp14:editId="73A00E2F">
            <wp:extent cx="1962150" cy="235458"/>
            <wp:effectExtent l="0" t="0" r="0" b="0"/>
            <wp:docPr id="17" name="Imagen 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98011" cy="239761"/>
                    </a:xfrm>
                    <a:prstGeom prst="rect">
                      <a:avLst/>
                    </a:prstGeom>
                    <a:noFill/>
                    <a:ln>
                      <a:noFill/>
                    </a:ln>
                  </pic:spPr>
                </pic:pic>
              </a:graphicData>
            </a:graphic>
          </wp:inline>
        </w:drawing>
      </w:r>
    </w:p>
    <w:p w14:paraId="7F6060B5" w14:textId="44185760" w:rsidR="004F5188" w:rsidRPr="004005DC" w:rsidRDefault="004F5188" w:rsidP="004F5188">
      <w:pPr>
        <w:ind w:right="-516"/>
        <w:contextualSpacing/>
        <w:jc w:val="center"/>
        <w:rPr>
          <w:rFonts w:ascii="Arial" w:hAnsi="Arial" w:cs="Arial"/>
          <w:bCs/>
          <w:sz w:val="16"/>
          <w:szCs w:val="16"/>
        </w:rPr>
      </w:pPr>
    </w:p>
    <w:p w14:paraId="000D1FAF" w14:textId="5782F6B2" w:rsidR="00051CC1" w:rsidRDefault="00051CC1" w:rsidP="00051CC1">
      <w:pPr>
        <w:jc w:val="both"/>
        <w:rPr>
          <w:rFonts w:ascii="Arial" w:hAnsi="Arial" w:cs="Arial"/>
          <w:sz w:val="24"/>
          <w:szCs w:val="24"/>
        </w:rPr>
      </w:pPr>
    </w:p>
    <w:p w14:paraId="563EE28E" w14:textId="45863DE6" w:rsidR="004F5188" w:rsidRDefault="004F5188" w:rsidP="00051CC1">
      <w:pPr>
        <w:jc w:val="both"/>
        <w:rPr>
          <w:rFonts w:ascii="Arial" w:hAnsi="Arial" w:cs="Arial"/>
          <w:sz w:val="24"/>
          <w:szCs w:val="24"/>
        </w:rPr>
      </w:pPr>
    </w:p>
    <w:p w14:paraId="4A017200" w14:textId="347F54D9" w:rsidR="004F5188" w:rsidRDefault="004F5188" w:rsidP="00051CC1">
      <w:pPr>
        <w:jc w:val="both"/>
        <w:rPr>
          <w:rFonts w:ascii="Arial" w:hAnsi="Arial" w:cs="Arial"/>
          <w:sz w:val="24"/>
          <w:szCs w:val="24"/>
        </w:rPr>
      </w:pPr>
    </w:p>
    <w:p w14:paraId="13E6E36C" w14:textId="2A252B56" w:rsidR="004F5188" w:rsidRDefault="004F5188" w:rsidP="00051CC1">
      <w:pPr>
        <w:jc w:val="both"/>
        <w:rPr>
          <w:rFonts w:ascii="Arial" w:hAnsi="Arial" w:cs="Arial"/>
          <w:sz w:val="24"/>
          <w:szCs w:val="24"/>
        </w:rPr>
      </w:pPr>
    </w:p>
    <w:p w14:paraId="6EFC3D35" w14:textId="2A8F8EBB" w:rsidR="0013417D" w:rsidRDefault="0013417D" w:rsidP="00051CC1">
      <w:pPr>
        <w:jc w:val="both"/>
        <w:rPr>
          <w:rFonts w:ascii="Arial" w:hAnsi="Arial" w:cs="Arial"/>
          <w:sz w:val="24"/>
          <w:szCs w:val="24"/>
        </w:rPr>
      </w:pPr>
    </w:p>
    <w:p w14:paraId="60636DAE" w14:textId="77777777" w:rsidR="00475088" w:rsidRDefault="00475088" w:rsidP="00051CC1">
      <w:pPr>
        <w:jc w:val="both"/>
        <w:rPr>
          <w:rFonts w:ascii="Arial" w:hAnsi="Arial" w:cs="Arial"/>
          <w:sz w:val="24"/>
          <w:szCs w:val="24"/>
        </w:rPr>
      </w:pPr>
    </w:p>
    <w:p w14:paraId="3A951CA6" w14:textId="77777777" w:rsidR="000440D3" w:rsidRDefault="000440D3" w:rsidP="00051CC1">
      <w:pPr>
        <w:jc w:val="both"/>
        <w:rPr>
          <w:rFonts w:ascii="Arial" w:hAnsi="Arial" w:cs="Arial"/>
          <w:sz w:val="24"/>
          <w:szCs w:val="24"/>
        </w:rPr>
      </w:pPr>
    </w:p>
    <w:p w14:paraId="275C7B03" w14:textId="737D4D2B" w:rsidR="004F5188" w:rsidRDefault="004F5188" w:rsidP="005444CC">
      <w:pPr>
        <w:spacing w:after="0" w:line="240" w:lineRule="atLeast"/>
        <w:ind w:left="-567" w:right="-658"/>
        <w:jc w:val="center"/>
        <w:rPr>
          <w:rFonts w:ascii="Arial" w:hAnsi="Arial" w:cs="Arial"/>
          <w:b/>
          <w:sz w:val="24"/>
          <w:szCs w:val="24"/>
        </w:rPr>
      </w:pPr>
      <w:r>
        <w:rPr>
          <w:rFonts w:ascii="Arial" w:hAnsi="Arial" w:cs="Arial"/>
          <w:b/>
          <w:sz w:val="24"/>
          <w:szCs w:val="24"/>
        </w:rPr>
        <w:lastRenderedPageBreak/>
        <w:t>ANEXO</w:t>
      </w:r>
    </w:p>
    <w:p w14:paraId="5A291D1C" w14:textId="77777777" w:rsidR="004F5188" w:rsidRDefault="004F5188" w:rsidP="005444CC">
      <w:pPr>
        <w:spacing w:after="0" w:line="240" w:lineRule="atLeast"/>
        <w:ind w:left="-567" w:right="-658"/>
        <w:jc w:val="center"/>
        <w:rPr>
          <w:rFonts w:ascii="Arial" w:hAnsi="Arial" w:cs="Arial"/>
          <w:b/>
          <w:sz w:val="24"/>
          <w:szCs w:val="24"/>
        </w:rPr>
      </w:pPr>
    </w:p>
    <w:p w14:paraId="4ED631BA" w14:textId="21E7F184" w:rsidR="00C74677" w:rsidRDefault="00C74677" w:rsidP="005444CC">
      <w:pPr>
        <w:spacing w:after="0" w:line="240" w:lineRule="atLeast"/>
        <w:ind w:left="-567" w:right="-658"/>
        <w:jc w:val="center"/>
        <w:rPr>
          <w:rFonts w:ascii="Arial" w:hAnsi="Arial" w:cs="Arial"/>
          <w:b/>
          <w:sz w:val="24"/>
          <w:szCs w:val="24"/>
        </w:rPr>
      </w:pPr>
      <w:r>
        <w:rPr>
          <w:rFonts w:ascii="Arial" w:hAnsi="Arial" w:cs="Arial"/>
          <w:b/>
          <w:sz w:val="24"/>
          <w:szCs w:val="24"/>
        </w:rPr>
        <w:t>NOTA TÉCNICA</w:t>
      </w:r>
    </w:p>
    <w:p w14:paraId="3E250EB7" w14:textId="77777777" w:rsidR="004F5188" w:rsidRDefault="004F5188" w:rsidP="002561B9">
      <w:pPr>
        <w:spacing w:after="0" w:line="240" w:lineRule="auto"/>
        <w:ind w:left="-567" w:right="-658"/>
        <w:jc w:val="center"/>
        <w:rPr>
          <w:rFonts w:ascii="Arial" w:hAnsi="Arial" w:cs="Arial"/>
          <w:b/>
          <w:sz w:val="24"/>
          <w:szCs w:val="24"/>
        </w:rPr>
      </w:pPr>
    </w:p>
    <w:p w14:paraId="2923CFFF" w14:textId="7C5F6B91" w:rsidR="004F5188" w:rsidRDefault="00C74677" w:rsidP="002561B9">
      <w:pPr>
        <w:spacing w:after="0" w:line="240" w:lineRule="auto"/>
        <w:jc w:val="both"/>
        <w:rPr>
          <w:rFonts w:ascii="Arial" w:hAnsi="Arial" w:cs="Arial"/>
          <w:bCs/>
          <w:color w:val="000000" w:themeColor="text1"/>
          <w:sz w:val="24"/>
          <w:szCs w:val="24"/>
        </w:rPr>
      </w:pPr>
      <w:r w:rsidRPr="00CC5EFA">
        <w:rPr>
          <w:rFonts w:ascii="Arial" w:hAnsi="Arial" w:cs="Arial"/>
          <w:bCs/>
          <w:color w:val="000000" w:themeColor="text1"/>
          <w:sz w:val="24"/>
          <w:szCs w:val="24"/>
        </w:rPr>
        <w:t>Los servicios se describen como el resultado de una actividad de producción que cambia las condiciones de las unidades que los consumen</w:t>
      </w:r>
      <w:r w:rsidR="00E4375E">
        <w:rPr>
          <w:rFonts w:ascii="Arial" w:hAnsi="Arial" w:cs="Arial"/>
          <w:bCs/>
          <w:color w:val="000000" w:themeColor="text1"/>
          <w:sz w:val="24"/>
          <w:szCs w:val="24"/>
        </w:rPr>
        <w:t>,</w:t>
      </w:r>
      <w:r w:rsidRPr="00CC5EFA">
        <w:rPr>
          <w:rFonts w:ascii="Arial" w:hAnsi="Arial" w:cs="Arial"/>
          <w:bCs/>
          <w:color w:val="000000" w:themeColor="text1"/>
          <w:sz w:val="24"/>
          <w:szCs w:val="24"/>
        </w:rPr>
        <w:t xml:space="preserve"> o</w:t>
      </w:r>
      <w:r w:rsidR="004F5188">
        <w:rPr>
          <w:rFonts w:ascii="Arial" w:hAnsi="Arial" w:cs="Arial"/>
          <w:bCs/>
          <w:color w:val="000000" w:themeColor="text1"/>
          <w:sz w:val="24"/>
          <w:szCs w:val="24"/>
        </w:rPr>
        <w:t xml:space="preserve"> bien,</w:t>
      </w:r>
      <w:r w:rsidRPr="00CC5EFA">
        <w:rPr>
          <w:rFonts w:ascii="Arial" w:hAnsi="Arial" w:cs="Arial"/>
          <w:bCs/>
          <w:color w:val="000000" w:themeColor="text1"/>
          <w:sz w:val="24"/>
          <w:szCs w:val="24"/>
        </w:rPr>
        <w:t xml:space="preserve"> facilita el intercambio de productos o de activos financieros entre dos o más unidades institucionales. </w:t>
      </w:r>
    </w:p>
    <w:p w14:paraId="12CECA6E" w14:textId="77777777" w:rsidR="002561B9" w:rsidRDefault="002561B9" w:rsidP="002561B9">
      <w:pPr>
        <w:spacing w:after="0" w:line="240" w:lineRule="auto"/>
        <w:jc w:val="both"/>
        <w:rPr>
          <w:rFonts w:ascii="Arial" w:hAnsi="Arial" w:cs="Arial"/>
          <w:bCs/>
          <w:color w:val="000000" w:themeColor="text1"/>
          <w:sz w:val="24"/>
          <w:szCs w:val="24"/>
        </w:rPr>
      </w:pPr>
    </w:p>
    <w:p w14:paraId="12672143" w14:textId="18D3B729" w:rsidR="00C74677" w:rsidRDefault="00C74677" w:rsidP="002561B9">
      <w:pPr>
        <w:spacing w:after="0" w:line="240" w:lineRule="auto"/>
        <w:jc w:val="both"/>
        <w:rPr>
          <w:rFonts w:ascii="Arial" w:hAnsi="Arial" w:cs="Arial"/>
          <w:bCs/>
          <w:color w:val="000000" w:themeColor="text1"/>
          <w:sz w:val="24"/>
          <w:szCs w:val="24"/>
        </w:rPr>
      </w:pPr>
      <w:r w:rsidRPr="00CC5EFA">
        <w:rPr>
          <w:rFonts w:ascii="Arial" w:hAnsi="Arial" w:cs="Arial"/>
          <w:bCs/>
          <w:color w:val="000000" w:themeColor="text1"/>
          <w:sz w:val="24"/>
          <w:szCs w:val="24"/>
        </w:rPr>
        <w:t xml:space="preserve">El término Comercio Internacional de Servicios (CIS) </w:t>
      </w:r>
      <w:r w:rsidR="005F0BEC">
        <w:rPr>
          <w:rFonts w:ascii="Arial" w:hAnsi="Arial" w:cs="Arial"/>
          <w:bCs/>
          <w:color w:val="000000" w:themeColor="text1"/>
          <w:sz w:val="24"/>
          <w:szCs w:val="24"/>
        </w:rPr>
        <w:t>comprende</w:t>
      </w:r>
      <w:r w:rsidR="005F0BEC" w:rsidRPr="00CC5EFA">
        <w:rPr>
          <w:rFonts w:ascii="Arial" w:hAnsi="Arial" w:cs="Arial"/>
          <w:bCs/>
          <w:color w:val="000000" w:themeColor="text1"/>
          <w:sz w:val="24"/>
          <w:szCs w:val="24"/>
        </w:rPr>
        <w:t xml:space="preserve"> </w:t>
      </w:r>
      <w:r w:rsidRPr="00CC5EFA">
        <w:rPr>
          <w:rFonts w:ascii="Arial" w:hAnsi="Arial" w:cs="Arial"/>
          <w:bCs/>
          <w:color w:val="000000" w:themeColor="text1"/>
          <w:sz w:val="24"/>
          <w:szCs w:val="24"/>
        </w:rPr>
        <w:t>el comercio de servicios en el sentido convencional de las transacciones (exportaciones e importaciones) entre residentes y no residentes</w:t>
      </w:r>
      <w:r w:rsidR="00E4375E">
        <w:rPr>
          <w:rFonts w:ascii="Arial" w:hAnsi="Arial" w:cs="Arial"/>
          <w:bCs/>
          <w:color w:val="000000" w:themeColor="text1"/>
          <w:sz w:val="24"/>
          <w:szCs w:val="24"/>
        </w:rPr>
        <w:t>. Ad</w:t>
      </w:r>
      <w:r w:rsidRPr="00CC5EFA">
        <w:rPr>
          <w:rFonts w:ascii="Arial" w:hAnsi="Arial" w:cs="Arial"/>
          <w:bCs/>
          <w:color w:val="000000" w:themeColor="text1"/>
          <w:sz w:val="24"/>
          <w:szCs w:val="24"/>
        </w:rPr>
        <w:t>emás, el término abarca los servicios suministrados por intermedio de empresas establecidas a nivel local pero que son controladas por capital extranjero</w:t>
      </w:r>
      <w:r w:rsidR="00E4375E">
        <w:rPr>
          <w:rFonts w:ascii="Arial" w:hAnsi="Arial" w:cs="Arial"/>
          <w:bCs/>
          <w:color w:val="000000" w:themeColor="text1"/>
          <w:sz w:val="24"/>
          <w:szCs w:val="24"/>
        </w:rPr>
        <w:t>.</w:t>
      </w:r>
      <w:r>
        <w:rPr>
          <w:rStyle w:val="Refdenotaalpie"/>
          <w:rFonts w:ascii="Arial" w:hAnsi="Arial" w:cs="Arial"/>
          <w:bCs/>
          <w:color w:val="000000" w:themeColor="text1"/>
          <w:sz w:val="24"/>
          <w:szCs w:val="24"/>
        </w:rPr>
        <w:footnoteReference w:id="3"/>
      </w:r>
      <w:r w:rsidRPr="00CC5EFA">
        <w:rPr>
          <w:rFonts w:ascii="Arial" w:hAnsi="Arial" w:cs="Arial"/>
          <w:bCs/>
          <w:color w:val="000000" w:themeColor="text1"/>
          <w:sz w:val="24"/>
          <w:szCs w:val="24"/>
        </w:rPr>
        <w:t xml:space="preserve"> </w:t>
      </w:r>
    </w:p>
    <w:p w14:paraId="72E7BC8D" w14:textId="77777777" w:rsidR="002561B9" w:rsidRPr="00CC5EFA" w:rsidRDefault="002561B9" w:rsidP="002561B9">
      <w:pPr>
        <w:spacing w:after="0" w:line="240" w:lineRule="auto"/>
        <w:jc w:val="both"/>
        <w:rPr>
          <w:rFonts w:ascii="Arial" w:hAnsi="Arial" w:cs="Arial"/>
          <w:bCs/>
          <w:color w:val="000000" w:themeColor="text1"/>
          <w:sz w:val="24"/>
          <w:szCs w:val="24"/>
        </w:rPr>
      </w:pPr>
    </w:p>
    <w:p w14:paraId="1973C349" w14:textId="4383996A" w:rsidR="00C74677" w:rsidRDefault="00C74677" w:rsidP="002561B9">
      <w:pPr>
        <w:spacing w:after="0" w:line="240" w:lineRule="auto"/>
        <w:jc w:val="both"/>
        <w:rPr>
          <w:rFonts w:ascii="Arial" w:hAnsi="Arial" w:cs="Arial"/>
          <w:bCs/>
          <w:color w:val="000000" w:themeColor="text1"/>
          <w:sz w:val="24"/>
          <w:szCs w:val="24"/>
        </w:rPr>
      </w:pPr>
      <w:r w:rsidRPr="00CC5EFA">
        <w:rPr>
          <w:rFonts w:ascii="Arial" w:hAnsi="Arial" w:cs="Arial"/>
          <w:bCs/>
          <w:color w:val="000000" w:themeColor="text1"/>
          <w:sz w:val="24"/>
          <w:szCs w:val="24"/>
        </w:rPr>
        <w:t>La base conceptual para la compilación, procesamiento y publicación de la</w:t>
      </w:r>
      <w:r w:rsidR="004F5188">
        <w:rPr>
          <w:rFonts w:ascii="Arial" w:hAnsi="Arial" w:cs="Arial"/>
          <w:bCs/>
          <w:color w:val="000000" w:themeColor="text1"/>
          <w:sz w:val="24"/>
          <w:szCs w:val="24"/>
        </w:rPr>
        <w:t xml:space="preserve"> </w:t>
      </w:r>
      <w:r w:rsidRPr="00CC5EFA">
        <w:rPr>
          <w:rFonts w:ascii="Arial" w:hAnsi="Arial" w:cs="Arial"/>
          <w:bCs/>
          <w:color w:val="000000" w:themeColor="text1"/>
          <w:sz w:val="24"/>
          <w:szCs w:val="24"/>
        </w:rPr>
        <w:t>ECIS</w:t>
      </w:r>
      <w:r>
        <w:rPr>
          <w:rFonts w:ascii="Arial" w:hAnsi="Arial" w:cs="Arial"/>
          <w:bCs/>
          <w:color w:val="000000" w:themeColor="text1"/>
          <w:sz w:val="24"/>
          <w:szCs w:val="24"/>
        </w:rPr>
        <w:t xml:space="preserve"> 2021</w:t>
      </w:r>
      <w:r w:rsidRPr="00CC5EFA">
        <w:rPr>
          <w:rFonts w:ascii="Arial" w:hAnsi="Arial" w:cs="Arial"/>
          <w:bCs/>
          <w:color w:val="000000" w:themeColor="text1"/>
          <w:sz w:val="24"/>
          <w:szCs w:val="24"/>
        </w:rPr>
        <w:t xml:space="preserve"> se alinea </w:t>
      </w:r>
      <w:r w:rsidR="00933ADF">
        <w:rPr>
          <w:rFonts w:ascii="Arial" w:hAnsi="Arial" w:cs="Arial"/>
          <w:bCs/>
          <w:color w:val="000000" w:themeColor="text1"/>
          <w:sz w:val="24"/>
          <w:szCs w:val="24"/>
        </w:rPr>
        <w:t>con</w:t>
      </w:r>
      <w:r w:rsidRPr="00CC5EFA">
        <w:rPr>
          <w:rFonts w:ascii="Arial" w:hAnsi="Arial" w:cs="Arial"/>
          <w:bCs/>
          <w:color w:val="000000" w:themeColor="text1"/>
          <w:sz w:val="24"/>
          <w:szCs w:val="24"/>
        </w:rPr>
        <w:t xml:space="preserve"> las recomendaciones internacionales y mejores prácticas expresadas principalmente en el Manual de Estadísticas de Comercio Internacional de Servicios</w:t>
      </w:r>
      <w:r>
        <w:rPr>
          <w:rFonts w:ascii="Arial" w:hAnsi="Arial" w:cs="Arial"/>
          <w:bCs/>
          <w:color w:val="000000" w:themeColor="text1"/>
          <w:sz w:val="24"/>
          <w:szCs w:val="24"/>
        </w:rPr>
        <w:t xml:space="preserve"> </w:t>
      </w:r>
      <w:r w:rsidRPr="00CC5EFA">
        <w:rPr>
          <w:rFonts w:ascii="Arial" w:hAnsi="Arial" w:cs="Arial"/>
          <w:bCs/>
          <w:color w:val="000000" w:themeColor="text1"/>
          <w:sz w:val="24"/>
          <w:szCs w:val="24"/>
        </w:rPr>
        <w:t>de Naciones Unidas</w:t>
      </w:r>
      <w:r>
        <w:rPr>
          <w:rFonts w:ascii="Arial" w:hAnsi="Arial" w:cs="Arial"/>
          <w:bCs/>
          <w:color w:val="000000" w:themeColor="text1"/>
          <w:sz w:val="24"/>
          <w:szCs w:val="24"/>
        </w:rPr>
        <w:t xml:space="preserve"> (MECIS) 2010</w:t>
      </w:r>
      <w:r w:rsidRPr="00CC5EFA">
        <w:rPr>
          <w:rFonts w:ascii="Arial" w:hAnsi="Arial" w:cs="Arial"/>
          <w:bCs/>
          <w:color w:val="000000" w:themeColor="text1"/>
          <w:sz w:val="24"/>
          <w:szCs w:val="24"/>
        </w:rPr>
        <w:t>,</w:t>
      </w:r>
      <w:r w:rsidR="004F5188">
        <w:rPr>
          <w:rFonts w:ascii="Arial" w:hAnsi="Arial" w:cs="Arial"/>
          <w:bCs/>
          <w:color w:val="000000" w:themeColor="text1"/>
          <w:sz w:val="24"/>
          <w:szCs w:val="24"/>
        </w:rPr>
        <w:t xml:space="preserve"> que</w:t>
      </w:r>
      <w:r w:rsidRPr="00CC5EFA">
        <w:rPr>
          <w:rFonts w:ascii="Arial" w:hAnsi="Arial" w:cs="Arial"/>
          <w:bCs/>
          <w:color w:val="000000" w:themeColor="text1"/>
          <w:sz w:val="24"/>
          <w:szCs w:val="24"/>
        </w:rPr>
        <w:t xml:space="preserve"> se ajusta al Sistema de Cuentas Nacionales (SCN</w:t>
      </w:r>
      <w:r>
        <w:rPr>
          <w:rFonts w:ascii="Arial" w:hAnsi="Arial" w:cs="Arial"/>
          <w:bCs/>
          <w:color w:val="000000" w:themeColor="text1"/>
          <w:sz w:val="24"/>
          <w:szCs w:val="24"/>
        </w:rPr>
        <w:t>)</w:t>
      </w:r>
      <w:r w:rsidRPr="00CC5EFA">
        <w:rPr>
          <w:rFonts w:ascii="Arial" w:hAnsi="Arial" w:cs="Arial"/>
          <w:bCs/>
          <w:color w:val="000000" w:themeColor="text1"/>
          <w:sz w:val="24"/>
          <w:szCs w:val="24"/>
        </w:rPr>
        <w:t xml:space="preserve"> </w:t>
      </w:r>
      <w:r>
        <w:rPr>
          <w:rFonts w:ascii="Arial" w:hAnsi="Arial" w:cs="Arial"/>
          <w:bCs/>
          <w:color w:val="000000" w:themeColor="text1"/>
          <w:sz w:val="24"/>
          <w:szCs w:val="24"/>
        </w:rPr>
        <w:t xml:space="preserve">de </w:t>
      </w:r>
      <w:r w:rsidRPr="00CC5EFA">
        <w:rPr>
          <w:rFonts w:ascii="Arial" w:hAnsi="Arial" w:cs="Arial"/>
          <w:bCs/>
          <w:color w:val="000000" w:themeColor="text1"/>
          <w:sz w:val="24"/>
          <w:szCs w:val="24"/>
        </w:rPr>
        <w:t>2008 y a la sexta edición del Manual de la Balanza de Pagos y Posición de Inversión Internacional (MBP6) del Fondo Monetario Internacional</w:t>
      </w:r>
      <w:r>
        <w:rPr>
          <w:rFonts w:ascii="Arial" w:hAnsi="Arial" w:cs="Arial"/>
          <w:bCs/>
          <w:color w:val="000000" w:themeColor="text1"/>
          <w:sz w:val="24"/>
          <w:szCs w:val="24"/>
        </w:rPr>
        <w:t xml:space="preserve"> (FMI)</w:t>
      </w:r>
      <w:r w:rsidRPr="00CC5EFA">
        <w:rPr>
          <w:rFonts w:ascii="Arial" w:hAnsi="Arial" w:cs="Arial"/>
          <w:bCs/>
          <w:color w:val="000000" w:themeColor="text1"/>
          <w:sz w:val="24"/>
          <w:szCs w:val="24"/>
        </w:rPr>
        <w:t>.</w:t>
      </w:r>
    </w:p>
    <w:p w14:paraId="2AA1516C" w14:textId="09BD74E1" w:rsidR="005444CC" w:rsidRDefault="005444CC" w:rsidP="002561B9">
      <w:pPr>
        <w:spacing w:after="0" w:line="240" w:lineRule="auto"/>
        <w:jc w:val="both"/>
        <w:rPr>
          <w:rFonts w:ascii="Arial" w:hAnsi="Arial" w:cs="Arial"/>
          <w:bCs/>
          <w:color w:val="000000" w:themeColor="text1"/>
          <w:sz w:val="24"/>
          <w:szCs w:val="24"/>
        </w:rPr>
      </w:pPr>
    </w:p>
    <w:p w14:paraId="6E88AA8A" w14:textId="77777777" w:rsidR="005444CC" w:rsidRPr="00CC5EFA" w:rsidRDefault="005444CC" w:rsidP="005444CC">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La E</w:t>
      </w:r>
      <w:r>
        <w:rPr>
          <w:rFonts w:ascii="Arial" w:hAnsi="Arial" w:cs="Arial"/>
          <w:bCs/>
          <w:sz w:val="24"/>
          <w:szCs w:val="24"/>
        </w:rPr>
        <w:t>CIS forma parte de las estadísticas experimentales del Subsistema de Información Económica del INEGI.</w:t>
      </w:r>
    </w:p>
    <w:p w14:paraId="1E7D7AA1" w14:textId="77777777" w:rsidR="00C74677" w:rsidRDefault="00C74677" w:rsidP="002561B9">
      <w:pPr>
        <w:autoSpaceDE w:val="0"/>
        <w:autoSpaceDN w:val="0"/>
        <w:adjustRightInd w:val="0"/>
        <w:spacing w:after="0" w:line="240" w:lineRule="auto"/>
        <w:ind w:right="-518"/>
        <w:outlineLvl w:val="0"/>
        <w:rPr>
          <w:rFonts w:ascii="Arial Negrita" w:hAnsi="Arial Negrita" w:cs="Arial"/>
          <w:b/>
          <w:smallCaps/>
          <w:sz w:val="24"/>
          <w:szCs w:val="24"/>
        </w:rPr>
      </w:pPr>
    </w:p>
    <w:p w14:paraId="12852D6E" w14:textId="0AD4BDAE" w:rsidR="00EF6B24" w:rsidRPr="00FE1E0E" w:rsidRDefault="004A42E4" w:rsidP="002561B9">
      <w:pPr>
        <w:autoSpaceDE w:val="0"/>
        <w:autoSpaceDN w:val="0"/>
        <w:adjustRightInd w:val="0"/>
        <w:spacing w:after="0" w:line="240" w:lineRule="auto"/>
        <w:ind w:right="-518"/>
        <w:outlineLvl w:val="0"/>
        <w:rPr>
          <w:rFonts w:ascii="Arial Negrita" w:hAnsi="Arial Negrita" w:cs="Arial"/>
          <w:b/>
          <w:smallCaps/>
          <w:sz w:val="24"/>
          <w:szCs w:val="24"/>
        </w:rPr>
      </w:pPr>
      <w:r>
        <w:rPr>
          <w:rFonts w:ascii="Arial Negrita" w:hAnsi="Arial Negrita" w:cs="Arial"/>
          <w:b/>
          <w:smallCaps/>
          <w:sz w:val="24"/>
          <w:szCs w:val="24"/>
        </w:rPr>
        <w:t>Nota metodológica</w:t>
      </w:r>
    </w:p>
    <w:p w14:paraId="1A2C98ED" w14:textId="77777777" w:rsidR="00C776A2" w:rsidRDefault="00C776A2" w:rsidP="002561B9">
      <w:pPr>
        <w:autoSpaceDE w:val="0"/>
        <w:autoSpaceDN w:val="0"/>
        <w:adjustRightInd w:val="0"/>
        <w:spacing w:after="0" w:line="240" w:lineRule="auto"/>
        <w:ind w:left="-567" w:right="-518"/>
        <w:jc w:val="center"/>
        <w:rPr>
          <w:rFonts w:ascii="Arial" w:hAnsi="Arial" w:cs="Arial"/>
          <w:b/>
          <w:sz w:val="24"/>
          <w:szCs w:val="24"/>
        </w:rPr>
      </w:pPr>
    </w:p>
    <w:p w14:paraId="2A397DA4" w14:textId="307D0D30" w:rsidR="004F5188" w:rsidRDefault="00C776A2" w:rsidP="002561B9">
      <w:pPr>
        <w:spacing w:after="0" w:line="240" w:lineRule="auto"/>
        <w:jc w:val="both"/>
        <w:rPr>
          <w:rFonts w:ascii="Arial" w:hAnsi="Arial" w:cs="Arial"/>
          <w:sz w:val="24"/>
          <w:szCs w:val="24"/>
        </w:rPr>
      </w:pPr>
      <w:r w:rsidRPr="00894D24">
        <w:rPr>
          <w:rFonts w:ascii="Arial" w:hAnsi="Arial" w:cs="Arial"/>
          <w:sz w:val="24"/>
          <w:szCs w:val="24"/>
        </w:rPr>
        <w:t xml:space="preserve">La </w:t>
      </w:r>
      <w:r w:rsidR="00DE3A0B">
        <w:rPr>
          <w:rFonts w:ascii="Arial" w:hAnsi="Arial" w:cs="Arial"/>
          <w:sz w:val="24"/>
          <w:szCs w:val="24"/>
        </w:rPr>
        <w:t>población objetivo en la ECIS 2021 s</w:t>
      </w:r>
      <w:r w:rsidR="00DE3A0B" w:rsidRPr="00DE3A0B">
        <w:rPr>
          <w:rFonts w:ascii="Arial" w:hAnsi="Arial" w:cs="Arial"/>
          <w:sz w:val="24"/>
          <w:szCs w:val="24"/>
        </w:rPr>
        <w:t xml:space="preserve">on las empresas del país </w:t>
      </w:r>
      <w:r w:rsidR="00933ADF">
        <w:rPr>
          <w:rFonts w:ascii="Arial" w:hAnsi="Arial" w:cs="Arial"/>
          <w:sz w:val="24"/>
          <w:szCs w:val="24"/>
        </w:rPr>
        <w:t xml:space="preserve">que pertenecen </w:t>
      </w:r>
      <w:r w:rsidR="00DE3A0B" w:rsidRPr="00DE3A0B">
        <w:rPr>
          <w:rFonts w:ascii="Arial" w:hAnsi="Arial" w:cs="Arial"/>
          <w:sz w:val="24"/>
          <w:szCs w:val="24"/>
        </w:rPr>
        <w:t xml:space="preserve">a los grandes sectores de actividad económica (industria, comercio y servicios privados no financieros), según el Sistema de Clasificación Industrial de América del Norte 2018 (SCIAN 2018), y que en los Censos Económicos 2019 (CE 2019) reportaron </w:t>
      </w:r>
      <w:r w:rsidR="00DE3A0B" w:rsidRPr="00DD3523">
        <w:rPr>
          <w:rFonts w:ascii="Arial" w:hAnsi="Arial" w:cs="Arial"/>
          <w:sz w:val="24"/>
          <w:szCs w:val="24"/>
        </w:rPr>
        <w:t xml:space="preserve">alguna actividad de servicios con el extranjero o tener alguna relación de propiedad u operacional con empresas en el exterior. </w:t>
      </w:r>
    </w:p>
    <w:p w14:paraId="15E345E8" w14:textId="77777777" w:rsidR="002561B9" w:rsidRDefault="002561B9" w:rsidP="002561B9">
      <w:pPr>
        <w:spacing w:after="0" w:line="240" w:lineRule="auto"/>
        <w:jc w:val="both"/>
        <w:rPr>
          <w:rFonts w:ascii="Arial" w:hAnsi="Arial" w:cs="Arial"/>
          <w:sz w:val="24"/>
          <w:szCs w:val="24"/>
        </w:rPr>
      </w:pPr>
    </w:p>
    <w:p w14:paraId="3BF37390" w14:textId="3AB3A1A5" w:rsidR="00C776A2" w:rsidRDefault="00A52A68" w:rsidP="002561B9">
      <w:pPr>
        <w:spacing w:after="0" w:line="240" w:lineRule="auto"/>
        <w:jc w:val="both"/>
        <w:rPr>
          <w:rStyle w:val="cf11"/>
          <w:rFonts w:ascii="Arial" w:hAnsi="Arial" w:cs="Arial"/>
          <w:color w:val="auto"/>
          <w:sz w:val="24"/>
          <w:szCs w:val="24"/>
        </w:rPr>
      </w:pPr>
      <w:r w:rsidRPr="00DD3523">
        <w:rPr>
          <w:rStyle w:val="cf01"/>
          <w:rFonts w:ascii="Arial" w:hAnsi="Arial" w:cs="Arial"/>
          <w:sz w:val="24"/>
          <w:szCs w:val="24"/>
        </w:rPr>
        <w:t>La unidad de observación en la ECIS 2021 es la empresa</w:t>
      </w:r>
      <w:r w:rsidR="004F5188">
        <w:rPr>
          <w:rStyle w:val="cf01"/>
          <w:rFonts w:ascii="Arial" w:hAnsi="Arial" w:cs="Arial"/>
          <w:sz w:val="24"/>
          <w:szCs w:val="24"/>
        </w:rPr>
        <w:t xml:space="preserve">. Esta </w:t>
      </w:r>
      <w:r w:rsidRPr="00DD3523">
        <w:rPr>
          <w:rStyle w:val="cf01"/>
          <w:rFonts w:ascii="Arial" w:hAnsi="Arial" w:cs="Arial"/>
          <w:sz w:val="24"/>
          <w:szCs w:val="24"/>
        </w:rPr>
        <w:t xml:space="preserve">se define como </w:t>
      </w:r>
      <w:r w:rsidRPr="00DD3523">
        <w:rPr>
          <w:rStyle w:val="cf11"/>
          <w:rFonts w:ascii="Arial" w:hAnsi="Arial" w:cs="Arial"/>
          <w:color w:val="auto"/>
          <w:sz w:val="24"/>
          <w:szCs w:val="24"/>
        </w:rPr>
        <w:t>la unidad económica que</w:t>
      </w:r>
      <w:r w:rsidR="00933ADF">
        <w:rPr>
          <w:rStyle w:val="cf11"/>
          <w:rFonts w:ascii="Arial" w:hAnsi="Arial" w:cs="Arial"/>
          <w:color w:val="auto"/>
          <w:sz w:val="24"/>
          <w:szCs w:val="24"/>
        </w:rPr>
        <w:t>,</w:t>
      </w:r>
      <w:r w:rsidRPr="00DD3523">
        <w:rPr>
          <w:rStyle w:val="cf11"/>
          <w:rFonts w:ascii="Arial" w:hAnsi="Arial" w:cs="Arial"/>
          <w:color w:val="auto"/>
          <w:sz w:val="24"/>
          <w:szCs w:val="24"/>
        </w:rPr>
        <w:t xml:space="preserve"> bajo una sola entidad propietaria o controladora</w:t>
      </w:r>
      <w:r w:rsidR="004F5188">
        <w:rPr>
          <w:rStyle w:val="cf11"/>
          <w:rFonts w:ascii="Arial" w:hAnsi="Arial" w:cs="Arial"/>
          <w:color w:val="auto"/>
          <w:sz w:val="24"/>
          <w:szCs w:val="24"/>
        </w:rPr>
        <w:t>,</w:t>
      </w:r>
      <w:r w:rsidRPr="00DD3523">
        <w:rPr>
          <w:rStyle w:val="cf11"/>
          <w:rFonts w:ascii="Arial" w:hAnsi="Arial" w:cs="Arial"/>
          <w:color w:val="auto"/>
          <w:sz w:val="24"/>
          <w:szCs w:val="24"/>
        </w:rPr>
        <w:t xml:space="preserve"> combina acciones y recursos para realizar actividades de producción de bienes, compra-venta de mercancías o prestación de servicios, sea con fines mercantiles o no. Puede estar integrada por uno o más establecimientos.</w:t>
      </w:r>
    </w:p>
    <w:p w14:paraId="7CE15BB8" w14:textId="77777777" w:rsidR="002561B9" w:rsidRPr="00DD3523" w:rsidRDefault="002561B9" w:rsidP="002561B9">
      <w:pPr>
        <w:spacing w:after="0" w:line="240" w:lineRule="auto"/>
        <w:jc w:val="both"/>
        <w:rPr>
          <w:rFonts w:ascii="Arial" w:hAnsi="Arial" w:cs="Arial"/>
          <w:sz w:val="24"/>
          <w:szCs w:val="24"/>
        </w:rPr>
      </w:pPr>
    </w:p>
    <w:p w14:paraId="46501F74" w14:textId="486FB584" w:rsidR="002561B9" w:rsidRDefault="00C776A2" w:rsidP="002561B9">
      <w:pPr>
        <w:spacing w:after="0" w:line="240" w:lineRule="auto"/>
        <w:jc w:val="both"/>
        <w:rPr>
          <w:rFonts w:ascii="Arial" w:hAnsi="Arial" w:cs="Arial"/>
          <w:sz w:val="24"/>
          <w:szCs w:val="24"/>
        </w:rPr>
      </w:pPr>
      <w:r w:rsidRPr="00DD3523">
        <w:rPr>
          <w:rFonts w:ascii="Arial" w:hAnsi="Arial" w:cs="Arial"/>
          <w:sz w:val="24"/>
          <w:szCs w:val="24"/>
        </w:rPr>
        <w:t>La ECIS 2021 permite obtener resultados a nivel nacional</w:t>
      </w:r>
      <w:r w:rsidR="00933ADF">
        <w:rPr>
          <w:rFonts w:ascii="Arial" w:hAnsi="Arial" w:cs="Arial"/>
          <w:sz w:val="24"/>
          <w:szCs w:val="24"/>
        </w:rPr>
        <w:t xml:space="preserve">. Estos se </w:t>
      </w:r>
      <w:r w:rsidRPr="00DD3523">
        <w:rPr>
          <w:rFonts w:ascii="Arial" w:hAnsi="Arial" w:cs="Arial"/>
          <w:sz w:val="24"/>
          <w:szCs w:val="24"/>
        </w:rPr>
        <w:t xml:space="preserve">pueden </w:t>
      </w:r>
      <w:r w:rsidRPr="00C776A2">
        <w:rPr>
          <w:rFonts w:ascii="Arial" w:hAnsi="Arial" w:cs="Arial"/>
          <w:sz w:val="24"/>
          <w:szCs w:val="24"/>
        </w:rPr>
        <w:t>desagregar según tamaño de empresa, sector de actividad económica</w:t>
      </w:r>
      <w:r w:rsidR="007D3797">
        <w:rPr>
          <w:rFonts w:ascii="Arial" w:hAnsi="Arial" w:cs="Arial"/>
          <w:sz w:val="24"/>
          <w:szCs w:val="24"/>
        </w:rPr>
        <w:t xml:space="preserve"> y con alcance hasta</w:t>
      </w:r>
      <w:r>
        <w:rPr>
          <w:rFonts w:ascii="Arial" w:hAnsi="Arial" w:cs="Arial"/>
          <w:sz w:val="24"/>
          <w:szCs w:val="24"/>
        </w:rPr>
        <w:t xml:space="preserve"> </w:t>
      </w:r>
      <w:r w:rsidR="009E42DF">
        <w:rPr>
          <w:rFonts w:ascii="Arial" w:hAnsi="Arial" w:cs="Arial"/>
          <w:sz w:val="24"/>
          <w:szCs w:val="24"/>
        </w:rPr>
        <w:t xml:space="preserve">por </w:t>
      </w:r>
      <w:r>
        <w:rPr>
          <w:rFonts w:ascii="Arial" w:hAnsi="Arial" w:cs="Arial"/>
          <w:sz w:val="24"/>
          <w:szCs w:val="24"/>
        </w:rPr>
        <w:t>país socio y modo de suministro</w:t>
      </w:r>
      <w:r w:rsidR="0029050C">
        <w:rPr>
          <w:rFonts w:ascii="Arial" w:hAnsi="Arial" w:cs="Arial"/>
          <w:sz w:val="24"/>
          <w:szCs w:val="24"/>
        </w:rPr>
        <w:t>.</w:t>
      </w:r>
      <w:r w:rsidR="007417D0">
        <w:rPr>
          <w:rFonts w:ascii="Arial" w:hAnsi="Arial" w:cs="Arial"/>
          <w:sz w:val="24"/>
          <w:szCs w:val="24"/>
        </w:rPr>
        <w:t xml:space="preserve"> </w:t>
      </w:r>
    </w:p>
    <w:p w14:paraId="52BA4124" w14:textId="77777777" w:rsidR="002561B9" w:rsidRDefault="002561B9" w:rsidP="002561B9">
      <w:pPr>
        <w:spacing w:after="0" w:line="240" w:lineRule="auto"/>
        <w:jc w:val="both"/>
        <w:rPr>
          <w:rFonts w:ascii="Arial" w:hAnsi="Arial" w:cs="Arial"/>
          <w:sz w:val="24"/>
          <w:szCs w:val="24"/>
        </w:rPr>
      </w:pPr>
    </w:p>
    <w:p w14:paraId="05A53D31" w14:textId="53CEF9C0" w:rsidR="0029050C" w:rsidRDefault="00C776A2" w:rsidP="002561B9">
      <w:pPr>
        <w:spacing w:after="0" w:line="240" w:lineRule="auto"/>
        <w:jc w:val="both"/>
        <w:rPr>
          <w:rFonts w:ascii="Arial" w:hAnsi="Arial" w:cs="Arial"/>
          <w:sz w:val="24"/>
          <w:szCs w:val="24"/>
        </w:rPr>
      </w:pPr>
      <w:r w:rsidRPr="00C776A2">
        <w:rPr>
          <w:rFonts w:ascii="Arial" w:hAnsi="Arial" w:cs="Arial"/>
          <w:sz w:val="24"/>
          <w:szCs w:val="24"/>
        </w:rPr>
        <w:t>La cobertura temática abarca</w:t>
      </w:r>
      <w:r w:rsidR="0029050C">
        <w:rPr>
          <w:rFonts w:ascii="Arial" w:hAnsi="Arial" w:cs="Arial"/>
          <w:sz w:val="24"/>
          <w:szCs w:val="24"/>
        </w:rPr>
        <w:t xml:space="preserve"> los </w:t>
      </w:r>
      <w:r w:rsidR="0029050C" w:rsidRPr="001F6431">
        <w:rPr>
          <w:rFonts w:ascii="Arial" w:hAnsi="Arial" w:cs="Arial"/>
          <w:i/>
          <w:iCs/>
          <w:sz w:val="24"/>
          <w:szCs w:val="24"/>
        </w:rPr>
        <w:t>servicios de manufactura en insumos físicos que son propiedad de otros</w:t>
      </w:r>
      <w:r w:rsidR="0029050C">
        <w:rPr>
          <w:rFonts w:ascii="Arial" w:hAnsi="Arial" w:cs="Arial"/>
          <w:sz w:val="24"/>
          <w:szCs w:val="24"/>
        </w:rPr>
        <w:t xml:space="preserve">, </w:t>
      </w:r>
      <w:r w:rsidR="0029050C" w:rsidRPr="001F6431">
        <w:rPr>
          <w:rFonts w:ascii="Arial" w:hAnsi="Arial" w:cs="Arial"/>
          <w:i/>
          <w:iCs/>
          <w:sz w:val="24"/>
          <w:szCs w:val="24"/>
        </w:rPr>
        <w:t>servicios de mantenimiento y reparación</w:t>
      </w:r>
      <w:r w:rsidR="0029050C">
        <w:rPr>
          <w:rFonts w:ascii="Arial" w:hAnsi="Arial" w:cs="Arial"/>
          <w:sz w:val="24"/>
          <w:szCs w:val="24"/>
        </w:rPr>
        <w:t xml:space="preserve">, </w:t>
      </w:r>
      <w:r w:rsidR="0029050C" w:rsidRPr="001F6431">
        <w:rPr>
          <w:rFonts w:ascii="Arial" w:hAnsi="Arial" w:cs="Arial"/>
          <w:i/>
          <w:iCs/>
          <w:sz w:val="24"/>
          <w:szCs w:val="24"/>
        </w:rPr>
        <w:t>transportes</w:t>
      </w:r>
      <w:r w:rsidR="0029050C">
        <w:rPr>
          <w:rFonts w:ascii="Arial" w:hAnsi="Arial" w:cs="Arial"/>
          <w:sz w:val="24"/>
          <w:szCs w:val="24"/>
        </w:rPr>
        <w:t xml:space="preserve">, </w:t>
      </w:r>
      <w:r w:rsidR="0029050C" w:rsidRPr="001F6431">
        <w:rPr>
          <w:rFonts w:ascii="Arial" w:hAnsi="Arial" w:cs="Arial"/>
          <w:i/>
          <w:iCs/>
          <w:sz w:val="24"/>
          <w:szCs w:val="24"/>
        </w:rPr>
        <w:t>cargos por el uso de la propiedad intelectual</w:t>
      </w:r>
      <w:r w:rsidR="0029050C">
        <w:rPr>
          <w:rFonts w:ascii="Arial" w:hAnsi="Arial" w:cs="Arial"/>
          <w:sz w:val="24"/>
          <w:szCs w:val="24"/>
        </w:rPr>
        <w:t xml:space="preserve">, </w:t>
      </w:r>
      <w:r w:rsidR="0029050C" w:rsidRPr="001F6431">
        <w:rPr>
          <w:rFonts w:ascii="Arial" w:hAnsi="Arial" w:cs="Arial"/>
          <w:i/>
          <w:iCs/>
          <w:sz w:val="24"/>
          <w:szCs w:val="24"/>
        </w:rPr>
        <w:t>servicios de telecomunicaciones</w:t>
      </w:r>
      <w:r w:rsidR="0029050C" w:rsidRPr="0029050C">
        <w:rPr>
          <w:rFonts w:ascii="Arial" w:hAnsi="Arial" w:cs="Arial"/>
          <w:sz w:val="24"/>
          <w:szCs w:val="24"/>
        </w:rPr>
        <w:t xml:space="preserve">, </w:t>
      </w:r>
      <w:r w:rsidR="0029050C" w:rsidRPr="001F6431">
        <w:rPr>
          <w:rFonts w:ascii="Arial" w:hAnsi="Arial" w:cs="Arial"/>
          <w:i/>
          <w:iCs/>
          <w:sz w:val="24"/>
          <w:szCs w:val="24"/>
        </w:rPr>
        <w:t>informática e información</w:t>
      </w:r>
      <w:r w:rsidR="0029050C">
        <w:rPr>
          <w:rFonts w:ascii="Arial" w:hAnsi="Arial" w:cs="Arial"/>
          <w:sz w:val="24"/>
          <w:szCs w:val="24"/>
        </w:rPr>
        <w:t xml:space="preserve">, </w:t>
      </w:r>
      <w:r w:rsidR="0029050C" w:rsidRPr="001F6431">
        <w:rPr>
          <w:rFonts w:ascii="Arial" w:hAnsi="Arial" w:cs="Arial"/>
          <w:i/>
          <w:iCs/>
          <w:sz w:val="24"/>
          <w:szCs w:val="24"/>
        </w:rPr>
        <w:t>otros servicios empresariales</w:t>
      </w:r>
      <w:r w:rsidR="00A04A5A">
        <w:rPr>
          <w:rStyle w:val="Refdenotaalpie"/>
          <w:rFonts w:ascii="Arial" w:hAnsi="Arial" w:cs="Arial"/>
          <w:sz w:val="24"/>
          <w:szCs w:val="24"/>
        </w:rPr>
        <w:footnoteReference w:id="4"/>
      </w:r>
      <w:r w:rsidR="0029050C">
        <w:rPr>
          <w:rFonts w:ascii="Arial" w:hAnsi="Arial" w:cs="Arial"/>
          <w:sz w:val="24"/>
          <w:szCs w:val="24"/>
        </w:rPr>
        <w:t xml:space="preserve"> y </w:t>
      </w:r>
      <w:r w:rsidR="0029050C" w:rsidRPr="001F6431">
        <w:rPr>
          <w:rFonts w:ascii="Arial" w:hAnsi="Arial" w:cs="Arial"/>
          <w:i/>
          <w:iCs/>
          <w:sz w:val="24"/>
          <w:szCs w:val="24"/>
        </w:rPr>
        <w:t>servicios personales, culturales y recreativos</w:t>
      </w:r>
      <w:r w:rsidRPr="00C776A2">
        <w:rPr>
          <w:rFonts w:ascii="Arial" w:hAnsi="Arial" w:cs="Arial"/>
          <w:sz w:val="24"/>
          <w:szCs w:val="24"/>
        </w:rPr>
        <w:t xml:space="preserve">. </w:t>
      </w:r>
    </w:p>
    <w:p w14:paraId="5AE1384D" w14:textId="75BD18F9" w:rsidR="00C776A2" w:rsidRPr="002561B9" w:rsidRDefault="00C776A2" w:rsidP="002561B9">
      <w:pPr>
        <w:spacing w:after="0" w:line="240" w:lineRule="auto"/>
        <w:jc w:val="both"/>
        <w:rPr>
          <w:rFonts w:ascii="Arial" w:hAnsi="Arial" w:cs="Arial"/>
          <w:color w:val="000000" w:themeColor="text1"/>
          <w:sz w:val="24"/>
          <w:szCs w:val="24"/>
        </w:rPr>
      </w:pPr>
      <w:r w:rsidRPr="002561B9">
        <w:rPr>
          <w:rFonts w:ascii="Arial" w:hAnsi="Arial" w:cs="Arial"/>
          <w:color w:val="000000" w:themeColor="text1"/>
          <w:sz w:val="24"/>
          <w:szCs w:val="24"/>
        </w:rPr>
        <w:lastRenderedPageBreak/>
        <w:t>La información se captó</w:t>
      </w:r>
      <w:r w:rsidR="00C1798E" w:rsidRPr="002561B9">
        <w:rPr>
          <w:rFonts w:ascii="Arial" w:hAnsi="Arial" w:cs="Arial"/>
          <w:color w:val="000000" w:themeColor="text1"/>
          <w:sz w:val="24"/>
          <w:szCs w:val="24"/>
        </w:rPr>
        <w:t xml:space="preserve"> del</w:t>
      </w:r>
      <w:r w:rsidRPr="002561B9">
        <w:rPr>
          <w:rFonts w:ascii="Arial" w:hAnsi="Arial" w:cs="Arial"/>
          <w:color w:val="000000" w:themeColor="text1"/>
          <w:sz w:val="24"/>
          <w:szCs w:val="24"/>
        </w:rPr>
        <w:t xml:space="preserve"> </w:t>
      </w:r>
      <w:r w:rsidR="00C1798E" w:rsidRPr="002561B9">
        <w:rPr>
          <w:rFonts w:ascii="Arial" w:hAnsi="Arial" w:cs="Arial"/>
          <w:color w:val="000000" w:themeColor="text1"/>
          <w:sz w:val="24"/>
          <w:szCs w:val="24"/>
        </w:rPr>
        <w:t xml:space="preserve">28 de junio al 13 de agosto de </w:t>
      </w:r>
      <w:r w:rsidR="00633BAC" w:rsidRPr="002561B9">
        <w:rPr>
          <w:rFonts w:ascii="Arial" w:hAnsi="Arial" w:cs="Arial"/>
          <w:color w:val="000000" w:themeColor="text1"/>
          <w:sz w:val="24"/>
          <w:szCs w:val="24"/>
        </w:rPr>
        <w:t>2021</w:t>
      </w:r>
      <w:r w:rsidR="002561B9" w:rsidRPr="002561B9">
        <w:rPr>
          <w:rFonts w:ascii="Arial" w:hAnsi="Arial" w:cs="Arial"/>
          <w:color w:val="000000" w:themeColor="text1"/>
          <w:sz w:val="24"/>
          <w:szCs w:val="24"/>
        </w:rPr>
        <w:t xml:space="preserve"> y</w:t>
      </w:r>
      <w:r w:rsidR="00633BAC" w:rsidRPr="002561B9">
        <w:rPr>
          <w:rFonts w:ascii="Arial" w:hAnsi="Arial" w:cs="Arial"/>
          <w:color w:val="000000" w:themeColor="text1"/>
          <w:sz w:val="24"/>
          <w:szCs w:val="24"/>
        </w:rPr>
        <w:t xml:space="preserve"> la</w:t>
      </w:r>
      <w:r w:rsidR="00A52A68" w:rsidRPr="002561B9">
        <w:rPr>
          <w:rFonts w:ascii="Arial" w:hAnsi="Arial" w:cs="Arial"/>
          <w:color w:val="000000" w:themeColor="text1"/>
          <w:sz w:val="24"/>
          <w:szCs w:val="24"/>
        </w:rPr>
        <w:t xml:space="preserve"> modalidad de captación utilizada fue vía internet</w:t>
      </w:r>
      <w:r w:rsidR="00C1798E" w:rsidRPr="002561B9">
        <w:rPr>
          <w:rFonts w:ascii="Arial" w:hAnsi="Arial" w:cs="Arial"/>
          <w:color w:val="000000" w:themeColor="text1"/>
          <w:sz w:val="24"/>
          <w:szCs w:val="24"/>
        </w:rPr>
        <w:t>.</w:t>
      </w:r>
      <w:r w:rsidR="007417D0" w:rsidRPr="002561B9">
        <w:rPr>
          <w:rFonts w:ascii="Arial" w:hAnsi="Arial" w:cs="Arial"/>
          <w:color w:val="000000" w:themeColor="text1"/>
          <w:sz w:val="24"/>
          <w:szCs w:val="24"/>
        </w:rPr>
        <w:t xml:space="preserve"> </w:t>
      </w:r>
      <w:r w:rsidRPr="002561B9">
        <w:rPr>
          <w:rFonts w:ascii="Arial" w:hAnsi="Arial" w:cs="Arial"/>
          <w:color w:val="000000" w:themeColor="text1"/>
          <w:sz w:val="24"/>
          <w:szCs w:val="24"/>
        </w:rPr>
        <w:t xml:space="preserve">El periodo de referencia </w:t>
      </w:r>
      <w:r w:rsidR="00DE3A0B" w:rsidRPr="002561B9">
        <w:rPr>
          <w:rFonts w:ascii="Arial" w:hAnsi="Arial" w:cs="Arial"/>
          <w:color w:val="000000" w:themeColor="text1"/>
          <w:sz w:val="24"/>
          <w:szCs w:val="24"/>
        </w:rPr>
        <w:t>(</w:t>
      </w:r>
      <w:r w:rsidR="00AC766B">
        <w:rPr>
          <w:rFonts w:ascii="Arial" w:hAnsi="Arial" w:cs="Arial"/>
          <w:color w:val="000000" w:themeColor="text1"/>
          <w:sz w:val="24"/>
          <w:szCs w:val="24"/>
        </w:rPr>
        <w:t xml:space="preserve">cobertura </w:t>
      </w:r>
      <w:r w:rsidR="00DE3A0B" w:rsidRPr="002561B9">
        <w:rPr>
          <w:rFonts w:ascii="Arial" w:hAnsi="Arial" w:cs="Arial"/>
          <w:color w:val="000000" w:themeColor="text1"/>
          <w:sz w:val="24"/>
          <w:szCs w:val="24"/>
        </w:rPr>
        <w:t xml:space="preserve">temporal) </w:t>
      </w:r>
      <w:r w:rsidRPr="002561B9">
        <w:rPr>
          <w:rFonts w:ascii="Arial" w:hAnsi="Arial" w:cs="Arial"/>
          <w:color w:val="000000" w:themeColor="text1"/>
          <w:sz w:val="24"/>
          <w:szCs w:val="24"/>
        </w:rPr>
        <w:t>de la E</w:t>
      </w:r>
      <w:r w:rsidR="00C1798E" w:rsidRPr="002561B9">
        <w:rPr>
          <w:rFonts w:ascii="Arial" w:hAnsi="Arial" w:cs="Arial"/>
          <w:color w:val="000000" w:themeColor="text1"/>
          <w:sz w:val="24"/>
          <w:szCs w:val="24"/>
        </w:rPr>
        <w:t>CIS</w:t>
      </w:r>
      <w:r w:rsidRPr="002561B9">
        <w:rPr>
          <w:rFonts w:ascii="Arial" w:hAnsi="Arial" w:cs="Arial"/>
          <w:color w:val="000000" w:themeColor="text1"/>
          <w:sz w:val="24"/>
          <w:szCs w:val="24"/>
        </w:rPr>
        <w:t xml:space="preserve"> 2021 </w:t>
      </w:r>
      <w:r w:rsidR="00C1798E" w:rsidRPr="002561B9">
        <w:rPr>
          <w:rFonts w:ascii="Arial" w:hAnsi="Arial" w:cs="Arial"/>
          <w:color w:val="000000" w:themeColor="text1"/>
          <w:sz w:val="24"/>
          <w:szCs w:val="24"/>
        </w:rPr>
        <w:t>son los años 2019 y 2020.</w:t>
      </w:r>
    </w:p>
    <w:p w14:paraId="10D93BD1" w14:textId="77777777" w:rsidR="002561B9" w:rsidRPr="002561B9" w:rsidRDefault="002561B9" w:rsidP="002561B9">
      <w:pPr>
        <w:spacing w:after="0" w:line="240" w:lineRule="auto"/>
        <w:jc w:val="both"/>
        <w:rPr>
          <w:rFonts w:ascii="Arial" w:hAnsi="Arial" w:cs="Arial"/>
          <w:color w:val="000000" w:themeColor="text1"/>
          <w:sz w:val="24"/>
          <w:szCs w:val="24"/>
        </w:rPr>
      </w:pPr>
    </w:p>
    <w:p w14:paraId="7B068ACF" w14:textId="77777777" w:rsidR="004A42E4" w:rsidRPr="002561B9" w:rsidRDefault="004A42E4" w:rsidP="002561B9">
      <w:pPr>
        <w:autoSpaceDE w:val="0"/>
        <w:autoSpaceDN w:val="0"/>
        <w:adjustRightInd w:val="0"/>
        <w:spacing w:after="0" w:line="240" w:lineRule="auto"/>
        <w:ind w:right="-518"/>
        <w:outlineLvl w:val="0"/>
        <w:rPr>
          <w:rFonts w:ascii="Arial Negrita" w:hAnsi="Arial Negrita" w:cs="Arial"/>
          <w:b/>
          <w:smallCaps/>
          <w:color w:val="000000" w:themeColor="text1"/>
          <w:sz w:val="24"/>
          <w:szCs w:val="24"/>
        </w:rPr>
      </w:pPr>
      <w:r w:rsidRPr="002561B9">
        <w:rPr>
          <w:rFonts w:ascii="Arial Negrita" w:hAnsi="Arial Negrita" w:cs="Arial"/>
          <w:b/>
          <w:smallCaps/>
          <w:color w:val="000000" w:themeColor="text1"/>
          <w:sz w:val="24"/>
          <w:szCs w:val="24"/>
        </w:rPr>
        <w:t>Diseño estadístico</w:t>
      </w:r>
    </w:p>
    <w:p w14:paraId="45081FFC" w14:textId="77777777" w:rsidR="009C0516" w:rsidRPr="002561B9" w:rsidRDefault="009C0516" w:rsidP="002561B9">
      <w:pPr>
        <w:spacing w:after="0" w:line="240" w:lineRule="auto"/>
        <w:jc w:val="both"/>
        <w:rPr>
          <w:rFonts w:ascii="Arial" w:hAnsi="Arial" w:cs="Arial"/>
          <w:color w:val="000000" w:themeColor="text1"/>
          <w:sz w:val="24"/>
          <w:szCs w:val="24"/>
        </w:rPr>
      </w:pPr>
    </w:p>
    <w:p w14:paraId="63BFD8E4" w14:textId="547C53A9" w:rsidR="00B94DAF" w:rsidRPr="002561B9" w:rsidRDefault="00B94DAF" w:rsidP="002561B9">
      <w:pPr>
        <w:pStyle w:val="Textoindependiente"/>
        <w:jc w:val="both"/>
        <w:rPr>
          <w:color w:val="000000" w:themeColor="text1"/>
        </w:rPr>
      </w:pPr>
      <w:r w:rsidRPr="002561B9">
        <w:rPr>
          <w:color w:val="000000" w:themeColor="text1"/>
        </w:rPr>
        <w:t>El marco se integró a partir de las empresas que cumplen con al menos una de las condiciones de los siguientes grupos conforme a los resultados de los Censos Económicos 2019:</w:t>
      </w:r>
    </w:p>
    <w:p w14:paraId="51F09492" w14:textId="77777777" w:rsidR="00B94DAF" w:rsidRDefault="00B94DAF" w:rsidP="00B94DAF">
      <w:pPr>
        <w:pStyle w:val="Textoindependiente"/>
        <w:ind w:left="120"/>
        <w:rPr>
          <w:b/>
          <w:bCs/>
          <w:color w:val="212121"/>
        </w:rPr>
      </w:pPr>
    </w:p>
    <w:tbl>
      <w:tblPr>
        <w:tblW w:w="9639" w:type="dxa"/>
        <w:tblInd w:w="557" w:type="dxa"/>
        <w:tblCellMar>
          <w:left w:w="70" w:type="dxa"/>
          <w:right w:w="70" w:type="dxa"/>
        </w:tblCellMar>
        <w:tblLook w:val="04A0" w:firstRow="1" w:lastRow="0" w:firstColumn="1" w:lastColumn="0" w:noHBand="0" w:noVBand="1"/>
      </w:tblPr>
      <w:tblGrid>
        <w:gridCol w:w="860"/>
        <w:gridCol w:w="8779"/>
      </w:tblGrid>
      <w:tr w:rsidR="00B46D68" w:rsidRPr="00D35B6A" w14:paraId="324E33A0" w14:textId="77777777" w:rsidTr="00B46D68">
        <w:trPr>
          <w:trHeight w:val="476"/>
        </w:trPr>
        <w:tc>
          <w:tcPr>
            <w:tcW w:w="860" w:type="dxa"/>
            <w:vMerge w:val="restart"/>
            <w:tcBorders>
              <w:top w:val="single" w:sz="8" w:space="0" w:color="auto"/>
              <w:left w:val="single" w:sz="8" w:space="0" w:color="auto"/>
              <w:bottom w:val="single" w:sz="8" w:space="0" w:color="000000"/>
              <w:right w:val="single" w:sz="8" w:space="0" w:color="auto"/>
            </w:tcBorders>
            <w:shd w:val="clear" w:color="auto" w:fill="ACB9CA" w:themeFill="text2" w:themeFillTint="66"/>
            <w:vAlign w:val="center"/>
            <w:hideMark/>
          </w:tcPr>
          <w:p w14:paraId="1580748A" w14:textId="77777777" w:rsidR="00B46D68" w:rsidRPr="00104EFB" w:rsidRDefault="00B46D68" w:rsidP="00810DAC">
            <w:pPr>
              <w:jc w:val="center"/>
              <w:rPr>
                <w:rFonts w:ascii="Arial" w:eastAsia="Times New Roman" w:hAnsi="Arial" w:cs="Arial"/>
                <w:b/>
                <w:bCs/>
                <w:color w:val="000000"/>
                <w:sz w:val="24"/>
                <w:szCs w:val="24"/>
                <w:lang w:eastAsia="es-MX"/>
              </w:rPr>
            </w:pPr>
            <w:r w:rsidRPr="00104EFB">
              <w:rPr>
                <w:rFonts w:ascii="Arial" w:eastAsia="Times New Roman" w:hAnsi="Arial" w:cs="Arial"/>
                <w:b/>
                <w:bCs/>
                <w:color w:val="000000"/>
                <w:sz w:val="24"/>
                <w:szCs w:val="24"/>
                <w:lang w:eastAsia="es-MX"/>
              </w:rPr>
              <w:t>Grupo</w:t>
            </w:r>
          </w:p>
        </w:tc>
        <w:tc>
          <w:tcPr>
            <w:tcW w:w="8779" w:type="dxa"/>
            <w:vMerge w:val="restart"/>
            <w:tcBorders>
              <w:top w:val="single" w:sz="8" w:space="0" w:color="auto"/>
              <w:left w:val="single" w:sz="8" w:space="0" w:color="auto"/>
              <w:bottom w:val="single" w:sz="8" w:space="0" w:color="000000"/>
              <w:right w:val="single" w:sz="8" w:space="0" w:color="auto"/>
            </w:tcBorders>
            <w:shd w:val="clear" w:color="auto" w:fill="ACB9CA" w:themeFill="text2" w:themeFillTint="66"/>
            <w:vAlign w:val="center"/>
            <w:hideMark/>
          </w:tcPr>
          <w:p w14:paraId="7C03A141" w14:textId="77777777" w:rsidR="00B46D68" w:rsidRPr="00104EFB" w:rsidRDefault="00B46D68" w:rsidP="00810DAC">
            <w:pPr>
              <w:jc w:val="center"/>
              <w:rPr>
                <w:rFonts w:ascii="Arial" w:eastAsia="Times New Roman" w:hAnsi="Arial" w:cs="Arial"/>
                <w:b/>
                <w:bCs/>
                <w:color w:val="000000"/>
                <w:sz w:val="24"/>
                <w:szCs w:val="24"/>
                <w:lang w:eastAsia="es-MX"/>
              </w:rPr>
            </w:pPr>
            <w:r w:rsidRPr="00104EFB">
              <w:rPr>
                <w:rFonts w:ascii="Arial" w:eastAsia="Times New Roman" w:hAnsi="Arial" w:cs="Arial"/>
                <w:b/>
                <w:bCs/>
                <w:color w:val="000000"/>
                <w:sz w:val="24"/>
                <w:szCs w:val="24"/>
                <w:lang w:eastAsia="es-MX"/>
              </w:rPr>
              <w:t>Condición</w:t>
            </w:r>
          </w:p>
        </w:tc>
      </w:tr>
      <w:tr w:rsidR="00B46D68" w:rsidRPr="00D35B6A" w14:paraId="0D7DB6DA" w14:textId="77777777" w:rsidTr="00B46D68">
        <w:trPr>
          <w:trHeight w:val="450"/>
        </w:trPr>
        <w:tc>
          <w:tcPr>
            <w:tcW w:w="860" w:type="dxa"/>
            <w:vMerge/>
            <w:tcBorders>
              <w:top w:val="single" w:sz="8" w:space="0" w:color="auto"/>
              <w:left w:val="single" w:sz="8" w:space="0" w:color="auto"/>
              <w:bottom w:val="single" w:sz="8" w:space="0" w:color="000000"/>
              <w:right w:val="single" w:sz="8" w:space="0" w:color="auto"/>
            </w:tcBorders>
            <w:shd w:val="clear" w:color="auto" w:fill="ACB9CA" w:themeFill="text2" w:themeFillTint="66"/>
            <w:vAlign w:val="center"/>
            <w:hideMark/>
          </w:tcPr>
          <w:p w14:paraId="7D1F4216" w14:textId="77777777" w:rsidR="00B46D68" w:rsidRPr="00104EFB" w:rsidRDefault="00B46D68" w:rsidP="00810DAC">
            <w:pPr>
              <w:rPr>
                <w:rFonts w:ascii="Arial" w:eastAsia="Times New Roman" w:hAnsi="Arial" w:cs="Arial"/>
                <w:b/>
                <w:bCs/>
                <w:color w:val="000000"/>
                <w:sz w:val="24"/>
                <w:szCs w:val="24"/>
                <w:lang w:eastAsia="es-MX"/>
              </w:rPr>
            </w:pPr>
          </w:p>
        </w:tc>
        <w:tc>
          <w:tcPr>
            <w:tcW w:w="8779" w:type="dxa"/>
            <w:vMerge/>
            <w:tcBorders>
              <w:top w:val="single" w:sz="8" w:space="0" w:color="auto"/>
              <w:left w:val="single" w:sz="8" w:space="0" w:color="auto"/>
              <w:bottom w:val="single" w:sz="8" w:space="0" w:color="000000"/>
              <w:right w:val="single" w:sz="8" w:space="0" w:color="auto"/>
            </w:tcBorders>
            <w:shd w:val="clear" w:color="auto" w:fill="ACB9CA" w:themeFill="text2" w:themeFillTint="66"/>
            <w:vAlign w:val="center"/>
            <w:hideMark/>
          </w:tcPr>
          <w:p w14:paraId="33373257" w14:textId="77777777" w:rsidR="00B46D68" w:rsidRPr="00104EFB" w:rsidRDefault="00B46D68" w:rsidP="00810DAC">
            <w:pPr>
              <w:rPr>
                <w:rFonts w:ascii="Arial" w:eastAsia="Times New Roman" w:hAnsi="Arial" w:cs="Arial"/>
                <w:b/>
                <w:bCs/>
                <w:color w:val="000000"/>
                <w:sz w:val="24"/>
                <w:szCs w:val="24"/>
                <w:lang w:eastAsia="es-MX"/>
              </w:rPr>
            </w:pPr>
          </w:p>
        </w:tc>
      </w:tr>
      <w:tr w:rsidR="00B46D68" w:rsidRPr="00D35B6A" w14:paraId="0D8D2003" w14:textId="77777777" w:rsidTr="00B46D68">
        <w:trPr>
          <w:trHeight w:val="615"/>
        </w:trPr>
        <w:tc>
          <w:tcPr>
            <w:tcW w:w="860" w:type="dxa"/>
            <w:tcBorders>
              <w:top w:val="nil"/>
              <w:left w:val="single" w:sz="8" w:space="0" w:color="auto"/>
              <w:bottom w:val="single" w:sz="8" w:space="0" w:color="auto"/>
              <w:right w:val="single" w:sz="8" w:space="0" w:color="auto"/>
            </w:tcBorders>
            <w:shd w:val="clear" w:color="auto" w:fill="auto"/>
            <w:vAlign w:val="center"/>
            <w:hideMark/>
          </w:tcPr>
          <w:p w14:paraId="2ADC78A0" w14:textId="77777777" w:rsidR="00B46D68" w:rsidRPr="00104EFB" w:rsidRDefault="00B46D68" w:rsidP="00810DAC">
            <w:pPr>
              <w:jc w:val="center"/>
              <w:rPr>
                <w:rFonts w:ascii="Arial" w:eastAsia="Times New Roman" w:hAnsi="Arial" w:cs="Arial"/>
                <w:color w:val="000000"/>
                <w:sz w:val="24"/>
                <w:szCs w:val="24"/>
                <w:lang w:eastAsia="es-MX"/>
              </w:rPr>
            </w:pPr>
            <w:r w:rsidRPr="00104EFB">
              <w:rPr>
                <w:rFonts w:ascii="Arial" w:eastAsia="Times New Roman" w:hAnsi="Arial" w:cs="Arial"/>
                <w:color w:val="000000"/>
                <w:sz w:val="24"/>
                <w:szCs w:val="24"/>
                <w:lang w:eastAsia="es-MX"/>
              </w:rPr>
              <w:t>I</w:t>
            </w:r>
          </w:p>
        </w:tc>
        <w:tc>
          <w:tcPr>
            <w:tcW w:w="8779" w:type="dxa"/>
            <w:tcBorders>
              <w:top w:val="nil"/>
              <w:left w:val="nil"/>
              <w:bottom w:val="single" w:sz="8" w:space="0" w:color="auto"/>
              <w:right w:val="single" w:sz="8" w:space="0" w:color="auto"/>
            </w:tcBorders>
            <w:shd w:val="clear" w:color="auto" w:fill="auto"/>
            <w:vAlign w:val="center"/>
            <w:hideMark/>
          </w:tcPr>
          <w:p w14:paraId="670C6B23" w14:textId="584BFFA8" w:rsidR="00B46D68" w:rsidRPr="00104EFB" w:rsidRDefault="00B46D68" w:rsidP="00810DAC">
            <w:pPr>
              <w:jc w:val="both"/>
              <w:rPr>
                <w:rFonts w:ascii="Arial" w:eastAsia="Times New Roman" w:hAnsi="Arial" w:cs="Arial"/>
                <w:color w:val="000000"/>
                <w:sz w:val="24"/>
                <w:szCs w:val="24"/>
                <w:lang w:eastAsia="es-MX"/>
              </w:rPr>
            </w:pPr>
            <w:r w:rsidRPr="00104EFB">
              <w:rPr>
                <w:rFonts w:ascii="Arial" w:eastAsia="Times New Roman" w:hAnsi="Arial" w:cs="Arial"/>
                <w:color w:val="000000"/>
                <w:sz w:val="24"/>
                <w:szCs w:val="24"/>
                <w:lang w:eastAsia="es-MX"/>
              </w:rPr>
              <w:t>Empresas que tienen información en al menos una de las 27 variables de gasto</w:t>
            </w:r>
            <w:r>
              <w:rPr>
                <w:rFonts w:ascii="Arial" w:eastAsia="Times New Roman" w:hAnsi="Arial" w:cs="Arial"/>
                <w:color w:val="000000"/>
                <w:sz w:val="24"/>
                <w:szCs w:val="24"/>
                <w:lang w:eastAsia="es-MX"/>
              </w:rPr>
              <w:t xml:space="preserve"> </w:t>
            </w:r>
            <w:r w:rsidRPr="00104EFB">
              <w:rPr>
                <w:rFonts w:ascii="Arial" w:eastAsia="Times New Roman" w:hAnsi="Arial" w:cs="Arial"/>
                <w:color w:val="000000"/>
                <w:sz w:val="24"/>
                <w:szCs w:val="24"/>
                <w:lang w:eastAsia="es-MX"/>
              </w:rPr>
              <w:t xml:space="preserve"> y</w:t>
            </w:r>
            <w:r>
              <w:rPr>
                <w:rFonts w:ascii="Arial" w:eastAsia="Times New Roman" w:hAnsi="Arial" w:cs="Arial"/>
                <w:color w:val="000000"/>
                <w:sz w:val="24"/>
                <w:szCs w:val="24"/>
                <w:lang w:eastAsia="es-MX"/>
              </w:rPr>
              <w:t>/ o</w:t>
            </w:r>
            <w:r w:rsidRPr="00104EFB">
              <w:rPr>
                <w:rFonts w:ascii="Arial" w:eastAsia="Times New Roman" w:hAnsi="Arial" w:cs="Arial"/>
                <w:color w:val="000000"/>
                <w:sz w:val="24"/>
                <w:szCs w:val="24"/>
                <w:lang w:eastAsia="es-MX"/>
              </w:rPr>
              <w:t xml:space="preserve"> 13 variables de ingresos referentes a bienes y servicios en el extranjero.   </w:t>
            </w:r>
          </w:p>
        </w:tc>
      </w:tr>
      <w:tr w:rsidR="00B46D68" w:rsidRPr="00D35B6A" w14:paraId="753101AA" w14:textId="77777777" w:rsidTr="00B46D68">
        <w:trPr>
          <w:trHeight w:val="600"/>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7A11DD31" w14:textId="77777777" w:rsidR="00B46D68" w:rsidRPr="00104EFB" w:rsidRDefault="00B46D68" w:rsidP="00810DAC">
            <w:pPr>
              <w:jc w:val="center"/>
              <w:rPr>
                <w:rFonts w:ascii="Arial" w:eastAsia="Times New Roman" w:hAnsi="Arial" w:cs="Arial"/>
                <w:color w:val="000000"/>
                <w:sz w:val="24"/>
                <w:szCs w:val="24"/>
                <w:lang w:eastAsia="es-MX"/>
              </w:rPr>
            </w:pPr>
            <w:r w:rsidRPr="00104EFB">
              <w:rPr>
                <w:rFonts w:ascii="Arial" w:eastAsia="Times New Roman" w:hAnsi="Arial" w:cs="Arial"/>
                <w:color w:val="000000"/>
                <w:sz w:val="24"/>
                <w:szCs w:val="24"/>
                <w:lang w:eastAsia="es-MX"/>
              </w:rPr>
              <w:t>II</w:t>
            </w:r>
          </w:p>
        </w:tc>
        <w:tc>
          <w:tcPr>
            <w:tcW w:w="8779" w:type="dxa"/>
            <w:tcBorders>
              <w:top w:val="nil"/>
              <w:left w:val="nil"/>
              <w:bottom w:val="nil"/>
              <w:right w:val="single" w:sz="8" w:space="0" w:color="auto"/>
            </w:tcBorders>
            <w:shd w:val="clear" w:color="auto" w:fill="auto"/>
            <w:vAlign w:val="center"/>
            <w:hideMark/>
          </w:tcPr>
          <w:p w14:paraId="1A5F934B" w14:textId="77777777" w:rsidR="00B46D68" w:rsidRPr="00104EFB" w:rsidRDefault="00B46D68" w:rsidP="00810DAC">
            <w:pPr>
              <w:jc w:val="both"/>
              <w:rPr>
                <w:rFonts w:ascii="Arial" w:eastAsia="Times New Roman" w:hAnsi="Arial" w:cs="Arial"/>
                <w:color w:val="000000"/>
                <w:sz w:val="24"/>
                <w:szCs w:val="24"/>
                <w:lang w:eastAsia="es-MX"/>
              </w:rPr>
            </w:pPr>
            <w:r w:rsidRPr="00104EFB">
              <w:rPr>
                <w:rFonts w:ascii="Arial" w:eastAsia="Times New Roman" w:hAnsi="Arial" w:cs="Arial"/>
                <w:color w:val="000000"/>
                <w:sz w:val="24"/>
                <w:szCs w:val="24"/>
                <w:lang w:eastAsia="es-MX"/>
              </w:rPr>
              <w:t xml:space="preserve">Pertenece a algún grupo </w:t>
            </w:r>
            <w:r w:rsidRPr="001F6431">
              <w:rPr>
                <w:rFonts w:ascii="Arial" w:eastAsia="Times New Roman" w:hAnsi="Arial" w:cs="Arial"/>
                <w:i/>
                <w:iCs/>
                <w:color w:val="000000"/>
                <w:sz w:val="24"/>
                <w:szCs w:val="24"/>
                <w:lang w:eastAsia="es-MX"/>
              </w:rPr>
              <w:t>holding</w:t>
            </w:r>
            <w:r w:rsidRPr="00104EFB">
              <w:rPr>
                <w:rFonts w:ascii="Arial" w:eastAsia="Times New Roman" w:hAnsi="Arial" w:cs="Arial"/>
                <w:color w:val="000000"/>
                <w:sz w:val="24"/>
                <w:szCs w:val="24"/>
                <w:lang w:eastAsia="es-MX"/>
              </w:rPr>
              <w:t xml:space="preserve">, grupo empresarial, grupo financiero, empresa controladora, con participación de capital extranjero en el capital social o en procesos integrados con empresas ubicadas en otros países. </w:t>
            </w:r>
          </w:p>
        </w:tc>
      </w:tr>
      <w:tr w:rsidR="00B46D68" w:rsidRPr="00D35B6A" w14:paraId="55F37ED7" w14:textId="77777777" w:rsidTr="00B46D68">
        <w:trPr>
          <w:trHeight w:val="300"/>
        </w:trPr>
        <w:tc>
          <w:tcPr>
            <w:tcW w:w="860" w:type="dxa"/>
            <w:vMerge/>
            <w:tcBorders>
              <w:top w:val="nil"/>
              <w:left w:val="single" w:sz="8" w:space="0" w:color="auto"/>
              <w:bottom w:val="single" w:sz="8" w:space="0" w:color="000000"/>
              <w:right w:val="single" w:sz="8" w:space="0" w:color="auto"/>
            </w:tcBorders>
            <w:vAlign w:val="center"/>
            <w:hideMark/>
          </w:tcPr>
          <w:p w14:paraId="7419D383" w14:textId="77777777" w:rsidR="00B46D68" w:rsidRPr="00104EFB" w:rsidRDefault="00B46D68" w:rsidP="00810DAC">
            <w:pPr>
              <w:rPr>
                <w:rFonts w:ascii="Arial" w:eastAsia="Times New Roman" w:hAnsi="Arial" w:cs="Arial"/>
                <w:color w:val="000000"/>
                <w:sz w:val="24"/>
                <w:szCs w:val="24"/>
                <w:lang w:eastAsia="es-MX"/>
              </w:rPr>
            </w:pPr>
          </w:p>
        </w:tc>
        <w:tc>
          <w:tcPr>
            <w:tcW w:w="8779" w:type="dxa"/>
            <w:tcBorders>
              <w:top w:val="nil"/>
              <w:left w:val="nil"/>
              <w:bottom w:val="nil"/>
              <w:right w:val="single" w:sz="8" w:space="0" w:color="auto"/>
            </w:tcBorders>
            <w:shd w:val="clear" w:color="auto" w:fill="auto"/>
            <w:vAlign w:val="center"/>
            <w:hideMark/>
          </w:tcPr>
          <w:p w14:paraId="1DD43311" w14:textId="31479729" w:rsidR="00B46D68" w:rsidRPr="00104EFB" w:rsidRDefault="00B46D68" w:rsidP="00810DAC">
            <w:pPr>
              <w:jc w:val="both"/>
              <w:rPr>
                <w:rFonts w:ascii="Arial" w:eastAsia="Times New Roman" w:hAnsi="Arial" w:cs="Arial"/>
                <w:color w:val="000000"/>
                <w:sz w:val="24"/>
                <w:szCs w:val="24"/>
                <w:lang w:eastAsia="es-MX"/>
              </w:rPr>
            </w:pPr>
            <w:r w:rsidRPr="00104EFB">
              <w:rPr>
                <w:rFonts w:ascii="Arial" w:eastAsia="Times New Roman" w:hAnsi="Arial" w:cs="Arial"/>
                <w:color w:val="000000"/>
                <w:sz w:val="24"/>
                <w:szCs w:val="24"/>
                <w:lang w:eastAsia="es-MX"/>
              </w:rPr>
              <w:t xml:space="preserve">a) Presenta </w:t>
            </w:r>
            <w:r>
              <w:rPr>
                <w:rFonts w:ascii="Arial" w:eastAsia="Times New Roman" w:hAnsi="Arial" w:cs="Arial"/>
                <w:color w:val="000000"/>
                <w:sz w:val="24"/>
                <w:szCs w:val="24"/>
                <w:lang w:eastAsia="es-MX"/>
              </w:rPr>
              <w:t>«</w:t>
            </w:r>
            <w:r w:rsidRPr="00104EFB">
              <w:rPr>
                <w:rFonts w:ascii="Arial" w:eastAsia="Times New Roman" w:hAnsi="Arial" w:cs="Arial"/>
                <w:color w:val="000000"/>
                <w:sz w:val="24"/>
                <w:szCs w:val="24"/>
                <w:lang w:eastAsia="es-MX"/>
              </w:rPr>
              <w:t>semejanza estadística</w:t>
            </w:r>
            <w:r>
              <w:rPr>
                <w:rFonts w:ascii="Arial" w:eastAsia="Times New Roman" w:hAnsi="Arial" w:cs="Arial"/>
                <w:color w:val="000000"/>
                <w:sz w:val="24"/>
                <w:szCs w:val="24"/>
                <w:lang w:eastAsia="es-MX"/>
              </w:rPr>
              <w:t>»</w:t>
            </w:r>
            <w:r w:rsidRPr="00104EFB">
              <w:rPr>
                <w:rFonts w:ascii="Arial" w:eastAsia="Times New Roman" w:hAnsi="Arial" w:cs="Arial"/>
                <w:color w:val="000000"/>
                <w:sz w:val="24"/>
                <w:szCs w:val="24"/>
                <w:lang w:eastAsia="es-MX"/>
              </w:rPr>
              <w:t xml:space="preserve"> con el grupo I. </w:t>
            </w:r>
          </w:p>
        </w:tc>
      </w:tr>
      <w:tr w:rsidR="00B46D68" w:rsidRPr="00D35B6A" w14:paraId="01146A01" w14:textId="77777777" w:rsidTr="00B46D68">
        <w:trPr>
          <w:trHeight w:val="315"/>
        </w:trPr>
        <w:tc>
          <w:tcPr>
            <w:tcW w:w="860" w:type="dxa"/>
            <w:vMerge/>
            <w:tcBorders>
              <w:top w:val="nil"/>
              <w:left w:val="single" w:sz="8" w:space="0" w:color="auto"/>
              <w:bottom w:val="single" w:sz="8" w:space="0" w:color="000000"/>
              <w:right w:val="single" w:sz="8" w:space="0" w:color="auto"/>
            </w:tcBorders>
            <w:vAlign w:val="center"/>
            <w:hideMark/>
          </w:tcPr>
          <w:p w14:paraId="7955CEA6" w14:textId="77777777" w:rsidR="00B46D68" w:rsidRPr="00104EFB" w:rsidRDefault="00B46D68" w:rsidP="00810DAC">
            <w:pPr>
              <w:rPr>
                <w:rFonts w:ascii="Arial" w:eastAsia="Times New Roman" w:hAnsi="Arial" w:cs="Arial"/>
                <w:color w:val="000000"/>
                <w:sz w:val="24"/>
                <w:szCs w:val="24"/>
                <w:lang w:eastAsia="es-MX"/>
              </w:rPr>
            </w:pPr>
          </w:p>
        </w:tc>
        <w:tc>
          <w:tcPr>
            <w:tcW w:w="8779" w:type="dxa"/>
            <w:tcBorders>
              <w:top w:val="nil"/>
              <w:left w:val="nil"/>
              <w:bottom w:val="single" w:sz="8" w:space="0" w:color="auto"/>
              <w:right w:val="single" w:sz="8" w:space="0" w:color="auto"/>
            </w:tcBorders>
            <w:shd w:val="clear" w:color="auto" w:fill="auto"/>
            <w:vAlign w:val="center"/>
            <w:hideMark/>
          </w:tcPr>
          <w:p w14:paraId="6BE5C09F" w14:textId="3F8245EF" w:rsidR="00B46D68" w:rsidRPr="00104EFB" w:rsidRDefault="00B46D68" w:rsidP="00810DAC">
            <w:pPr>
              <w:jc w:val="both"/>
              <w:rPr>
                <w:rFonts w:ascii="Arial" w:eastAsia="Times New Roman" w:hAnsi="Arial" w:cs="Arial"/>
                <w:color w:val="000000"/>
                <w:sz w:val="24"/>
                <w:szCs w:val="24"/>
                <w:lang w:eastAsia="es-MX"/>
              </w:rPr>
            </w:pPr>
            <w:r w:rsidRPr="00104EFB">
              <w:rPr>
                <w:rFonts w:ascii="Arial" w:eastAsia="Times New Roman" w:hAnsi="Arial" w:cs="Arial"/>
                <w:color w:val="000000"/>
                <w:sz w:val="24"/>
                <w:szCs w:val="24"/>
                <w:lang w:eastAsia="es-MX"/>
              </w:rPr>
              <w:t xml:space="preserve">b) Cuentan con personal ocupado mayor a </w:t>
            </w:r>
            <w:r>
              <w:rPr>
                <w:rFonts w:ascii="Arial" w:eastAsia="Times New Roman" w:hAnsi="Arial" w:cs="Arial"/>
                <w:color w:val="000000"/>
                <w:sz w:val="24"/>
                <w:szCs w:val="24"/>
                <w:lang w:eastAsia="es-MX"/>
              </w:rPr>
              <w:t>mil</w:t>
            </w:r>
            <w:r w:rsidRPr="00104EFB">
              <w:rPr>
                <w:rFonts w:ascii="Arial" w:eastAsia="Times New Roman" w:hAnsi="Arial" w:cs="Arial"/>
                <w:color w:val="000000"/>
                <w:sz w:val="24"/>
                <w:szCs w:val="24"/>
                <w:lang w:eastAsia="es-MX"/>
              </w:rPr>
              <w:t xml:space="preserve">. </w:t>
            </w:r>
          </w:p>
        </w:tc>
      </w:tr>
    </w:tbl>
    <w:p w14:paraId="07335B2B" w14:textId="77777777" w:rsidR="00B94DAF" w:rsidRPr="00D35B6A" w:rsidRDefault="00B94DAF" w:rsidP="00B94DAF">
      <w:pPr>
        <w:pStyle w:val="Textoindependiente"/>
        <w:ind w:left="120"/>
        <w:rPr>
          <w:b/>
          <w:bCs/>
          <w:color w:val="212121"/>
          <w:lang w:val="es-MX"/>
        </w:rPr>
      </w:pPr>
    </w:p>
    <w:p w14:paraId="12548E1D" w14:textId="340E94FD" w:rsidR="002561B9" w:rsidRDefault="009C0516" w:rsidP="002561B9">
      <w:pPr>
        <w:spacing w:after="0" w:line="240" w:lineRule="auto"/>
        <w:jc w:val="both"/>
        <w:rPr>
          <w:rFonts w:ascii="Arial" w:hAnsi="Arial" w:cs="Arial"/>
          <w:sz w:val="24"/>
          <w:szCs w:val="24"/>
        </w:rPr>
      </w:pPr>
      <w:r w:rsidRPr="009C0516">
        <w:rPr>
          <w:rFonts w:ascii="Arial" w:hAnsi="Arial" w:cs="Arial"/>
          <w:sz w:val="24"/>
          <w:szCs w:val="24"/>
        </w:rPr>
        <w:t>El esquema de muestreo de la E</w:t>
      </w:r>
      <w:r>
        <w:rPr>
          <w:rFonts w:ascii="Arial" w:hAnsi="Arial" w:cs="Arial"/>
          <w:sz w:val="24"/>
          <w:szCs w:val="24"/>
        </w:rPr>
        <w:t>CIS 2021</w:t>
      </w:r>
      <w:r w:rsidRPr="009C0516">
        <w:rPr>
          <w:rFonts w:ascii="Arial" w:hAnsi="Arial" w:cs="Arial"/>
          <w:sz w:val="24"/>
          <w:szCs w:val="24"/>
        </w:rPr>
        <w:t xml:space="preserve"> es probabilístico y estratificado</w:t>
      </w:r>
      <w:r w:rsidR="00617E48">
        <w:rPr>
          <w:rFonts w:ascii="Arial" w:hAnsi="Arial" w:cs="Arial"/>
          <w:sz w:val="24"/>
          <w:szCs w:val="24"/>
        </w:rPr>
        <w:t xml:space="preserve"> (emplea dos variables auxiliares para la estratificación)</w:t>
      </w:r>
      <w:r w:rsidRPr="009C0516">
        <w:rPr>
          <w:rFonts w:ascii="Arial" w:hAnsi="Arial" w:cs="Arial"/>
          <w:sz w:val="24"/>
          <w:szCs w:val="24"/>
        </w:rPr>
        <w:t>. Las unidades económicas se seleccionaron a partir de un marco de 9</w:t>
      </w:r>
      <w:r w:rsidR="002561B9">
        <w:rPr>
          <w:rFonts w:ascii="Arial" w:hAnsi="Arial" w:cs="Arial"/>
          <w:sz w:val="24"/>
          <w:szCs w:val="24"/>
        </w:rPr>
        <w:t xml:space="preserve"> </w:t>
      </w:r>
      <w:r w:rsidRPr="009C0516">
        <w:rPr>
          <w:rFonts w:ascii="Arial" w:hAnsi="Arial" w:cs="Arial"/>
          <w:sz w:val="24"/>
          <w:szCs w:val="24"/>
        </w:rPr>
        <w:t xml:space="preserve">796 </w:t>
      </w:r>
      <w:r w:rsidR="003041C0" w:rsidRPr="003041C0">
        <w:rPr>
          <w:rFonts w:ascii="Arial" w:hAnsi="Arial" w:cs="Arial"/>
          <w:sz w:val="24"/>
          <w:szCs w:val="24"/>
        </w:rPr>
        <w:t xml:space="preserve">empresas que </w:t>
      </w:r>
      <w:r w:rsidR="003041C0" w:rsidRPr="00307E93">
        <w:rPr>
          <w:rFonts w:ascii="Arial" w:hAnsi="Arial" w:cs="Arial"/>
          <w:sz w:val="24"/>
          <w:szCs w:val="28"/>
        </w:rPr>
        <w:t>cumplen</w:t>
      </w:r>
      <w:r w:rsidR="003041C0" w:rsidRPr="00307E93">
        <w:rPr>
          <w:rFonts w:ascii="Arial" w:hAnsi="Arial" w:cs="Arial"/>
          <w:szCs w:val="24"/>
        </w:rPr>
        <w:t xml:space="preserve"> </w:t>
      </w:r>
      <w:r w:rsidR="003041C0" w:rsidRPr="003041C0">
        <w:rPr>
          <w:rFonts w:ascii="Arial" w:hAnsi="Arial" w:cs="Arial"/>
          <w:sz w:val="24"/>
          <w:szCs w:val="24"/>
        </w:rPr>
        <w:t>las características de la población objeto de estudio provenientes</w:t>
      </w:r>
      <w:r w:rsidR="003041C0">
        <w:rPr>
          <w:rFonts w:ascii="Arial" w:hAnsi="Arial" w:cs="Arial"/>
          <w:sz w:val="24"/>
          <w:szCs w:val="24"/>
        </w:rPr>
        <w:t xml:space="preserve"> </w:t>
      </w:r>
      <w:r w:rsidR="003041C0" w:rsidRPr="003041C0">
        <w:rPr>
          <w:rFonts w:ascii="Arial" w:hAnsi="Arial" w:cs="Arial"/>
          <w:sz w:val="24"/>
          <w:szCs w:val="24"/>
        </w:rPr>
        <w:t>del Registro Estadístico de Negocios de México (RENEM)</w:t>
      </w:r>
      <w:r w:rsidR="00D035D8">
        <w:rPr>
          <w:rFonts w:ascii="Arial" w:hAnsi="Arial" w:cs="Arial"/>
          <w:sz w:val="24"/>
          <w:szCs w:val="24"/>
        </w:rPr>
        <w:t>,</w:t>
      </w:r>
      <w:r w:rsidR="003041C0" w:rsidRPr="003041C0">
        <w:rPr>
          <w:rFonts w:ascii="Arial" w:hAnsi="Arial" w:cs="Arial"/>
          <w:sz w:val="24"/>
          <w:szCs w:val="24"/>
        </w:rPr>
        <w:t xml:space="preserve"> distribuidas por gran sector de actividad</w:t>
      </w:r>
      <w:r w:rsidR="003041C0">
        <w:rPr>
          <w:rFonts w:ascii="Arial" w:hAnsi="Arial" w:cs="Arial"/>
          <w:sz w:val="24"/>
          <w:szCs w:val="24"/>
        </w:rPr>
        <w:t xml:space="preserve"> </w:t>
      </w:r>
      <w:r w:rsidR="003041C0" w:rsidRPr="003041C0">
        <w:rPr>
          <w:rFonts w:ascii="Arial" w:hAnsi="Arial" w:cs="Arial"/>
          <w:sz w:val="24"/>
          <w:szCs w:val="24"/>
        </w:rPr>
        <w:t>económica</w:t>
      </w:r>
      <w:r w:rsidR="00DD3523">
        <w:rPr>
          <w:rFonts w:ascii="Arial" w:hAnsi="Arial" w:cs="Arial"/>
          <w:sz w:val="24"/>
          <w:szCs w:val="24"/>
        </w:rPr>
        <w:t xml:space="preserve"> y </w:t>
      </w:r>
      <w:r w:rsidR="003041C0" w:rsidRPr="003041C0">
        <w:rPr>
          <w:rFonts w:ascii="Arial" w:hAnsi="Arial" w:cs="Arial"/>
          <w:sz w:val="24"/>
          <w:szCs w:val="24"/>
        </w:rPr>
        <w:t>tamaño de empresa</w:t>
      </w:r>
      <w:r w:rsidR="003041C0">
        <w:rPr>
          <w:rFonts w:ascii="Arial" w:hAnsi="Arial" w:cs="Arial"/>
          <w:sz w:val="24"/>
          <w:szCs w:val="24"/>
        </w:rPr>
        <w:t>.</w:t>
      </w:r>
    </w:p>
    <w:p w14:paraId="583D39F1" w14:textId="6082BB33" w:rsidR="00B94DAF" w:rsidRDefault="003041C0" w:rsidP="002561B9">
      <w:pPr>
        <w:spacing w:after="0" w:line="240" w:lineRule="auto"/>
        <w:jc w:val="both"/>
        <w:rPr>
          <w:rFonts w:ascii="Arial" w:hAnsi="Arial" w:cs="Arial"/>
          <w:sz w:val="24"/>
          <w:szCs w:val="24"/>
        </w:rPr>
      </w:pPr>
      <w:r>
        <w:rPr>
          <w:rFonts w:ascii="Arial" w:hAnsi="Arial" w:cs="Arial"/>
          <w:sz w:val="24"/>
          <w:szCs w:val="24"/>
        </w:rPr>
        <w:t xml:space="preserve"> </w:t>
      </w:r>
    </w:p>
    <w:p w14:paraId="3FE4B62B" w14:textId="50DCA84E" w:rsidR="009C0516" w:rsidRDefault="003041C0" w:rsidP="002561B9">
      <w:pPr>
        <w:spacing w:after="0" w:line="240" w:lineRule="auto"/>
        <w:jc w:val="both"/>
        <w:rPr>
          <w:rFonts w:ascii="Arial" w:hAnsi="Arial" w:cs="Arial"/>
          <w:sz w:val="24"/>
          <w:szCs w:val="24"/>
        </w:rPr>
      </w:pPr>
      <w:r>
        <w:rPr>
          <w:rFonts w:ascii="Arial" w:hAnsi="Arial" w:cs="Arial"/>
          <w:sz w:val="24"/>
          <w:szCs w:val="24"/>
        </w:rPr>
        <w:t xml:space="preserve">La unidad de muestreo son </w:t>
      </w:r>
      <w:r w:rsidR="00C803DF">
        <w:rPr>
          <w:rFonts w:ascii="Arial" w:hAnsi="Arial" w:cs="Arial"/>
          <w:sz w:val="24"/>
          <w:szCs w:val="24"/>
        </w:rPr>
        <w:t xml:space="preserve">las </w:t>
      </w:r>
      <w:r w:rsidR="009C0516" w:rsidRPr="009C0516">
        <w:rPr>
          <w:rFonts w:ascii="Arial" w:hAnsi="Arial" w:cs="Arial"/>
          <w:sz w:val="24"/>
          <w:szCs w:val="24"/>
        </w:rPr>
        <w:t>empresas con instalaciones fijas que reportaron realizar alguna actividad de servicio con el extranjero o tener alguna relación de propiedad u operacional con empresas en el exterior en los C</w:t>
      </w:r>
      <w:r w:rsidR="009C0516">
        <w:rPr>
          <w:rFonts w:ascii="Arial" w:hAnsi="Arial" w:cs="Arial"/>
          <w:sz w:val="24"/>
          <w:szCs w:val="24"/>
        </w:rPr>
        <w:t xml:space="preserve">ensos </w:t>
      </w:r>
      <w:r w:rsidR="009C0516" w:rsidRPr="009C0516">
        <w:rPr>
          <w:rFonts w:ascii="Arial" w:hAnsi="Arial" w:cs="Arial"/>
          <w:sz w:val="24"/>
          <w:szCs w:val="24"/>
        </w:rPr>
        <w:t>E</w:t>
      </w:r>
      <w:r w:rsidR="009C0516">
        <w:rPr>
          <w:rFonts w:ascii="Arial" w:hAnsi="Arial" w:cs="Arial"/>
          <w:sz w:val="24"/>
          <w:szCs w:val="24"/>
        </w:rPr>
        <w:t>conómicos</w:t>
      </w:r>
      <w:r w:rsidR="009C0516" w:rsidRPr="009C0516">
        <w:rPr>
          <w:rFonts w:ascii="Arial" w:hAnsi="Arial" w:cs="Arial"/>
          <w:sz w:val="24"/>
          <w:szCs w:val="24"/>
        </w:rPr>
        <w:t xml:space="preserve"> 2019, de las actividades económicas correspondientes a los grandes sectores de actividad económica (industria, comercio y servicios privados no financieros). </w:t>
      </w:r>
    </w:p>
    <w:p w14:paraId="3C3193E6" w14:textId="77777777" w:rsidR="002561B9" w:rsidRPr="009C0516" w:rsidRDefault="002561B9" w:rsidP="002561B9">
      <w:pPr>
        <w:spacing w:after="0" w:line="240" w:lineRule="auto"/>
        <w:jc w:val="both"/>
        <w:rPr>
          <w:rFonts w:ascii="Arial" w:hAnsi="Arial" w:cs="Arial"/>
          <w:sz w:val="24"/>
          <w:szCs w:val="24"/>
        </w:rPr>
      </w:pPr>
    </w:p>
    <w:p w14:paraId="442D6916" w14:textId="233D9CDD" w:rsidR="009C0516" w:rsidRDefault="009C0516" w:rsidP="002561B9">
      <w:pPr>
        <w:spacing w:after="0" w:line="240" w:lineRule="auto"/>
        <w:jc w:val="both"/>
        <w:rPr>
          <w:rFonts w:ascii="Arial" w:hAnsi="Arial" w:cs="Arial"/>
          <w:sz w:val="24"/>
          <w:szCs w:val="24"/>
        </w:rPr>
      </w:pPr>
      <w:r w:rsidRPr="009C0516">
        <w:rPr>
          <w:rFonts w:ascii="Arial" w:hAnsi="Arial" w:cs="Arial"/>
          <w:sz w:val="24"/>
          <w:szCs w:val="24"/>
        </w:rPr>
        <w:t>El tamaño de muestra fue de 5</w:t>
      </w:r>
      <w:r w:rsidR="002561B9">
        <w:rPr>
          <w:rFonts w:ascii="Arial" w:hAnsi="Arial" w:cs="Arial"/>
          <w:sz w:val="24"/>
          <w:szCs w:val="24"/>
        </w:rPr>
        <w:t xml:space="preserve"> </w:t>
      </w:r>
      <w:r w:rsidRPr="009C0516">
        <w:rPr>
          <w:rFonts w:ascii="Arial" w:hAnsi="Arial" w:cs="Arial"/>
          <w:sz w:val="24"/>
          <w:szCs w:val="24"/>
        </w:rPr>
        <w:t>172</w:t>
      </w:r>
      <w:r>
        <w:rPr>
          <w:rFonts w:ascii="Arial" w:hAnsi="Arial" w:cs="Arial"/>
          <w:sz w:val="24"/>
          <w:szCs w:val="24"/>
        </w:rPr>
        <w:t xml:space="preserve"> </w:t>
      </w:r>
      <w:r w:rsidRPr="009C0516">
        <w:rPr>
          <w:rFonts w:ascii="Arial" w:hAnsi="Arial" w:cs="Arial"/>
          <w:sz w:val="24"/>
          <w:szCs w:val="24"/>
        </w:rPr>
        <w:t>empresas.</w:t>
      </w:r>
      <w:r w:rsidR="00617E48">
        <w:rPr>
          <w:rFonts w:ascii="Arial" w:hAnsi="Arial" w:cs="Arial"/>
          <w:sz w:val="24"/>
          <w:szCs w:val="24"/>
        </w:rPr>
        <w:t xml:space="preserve"> La selección s</w:t>
      </w:r>
      <w:r w:rsidR="00617E48" w:rsidRPr="00617E48">
        <w:rPr>
          <w:rFonts w:ascii="Arial" w:hAnsi="Arial" w:cs="Arial"/>
          <w:sz w:val="24"/>
          <w:szCs w:val="24"/>
        </w:rPr>
        <w:t>e realizó de forma aleatoria e independiente en cada dominio de estudio de acuerdo con la afijación</w:t>
      </w:r>
      <w:r w:rsidR="002561B9">
        <w:rPr>
          <w:rFonts w:ascii="Arial" w:hAnsi="Arial" w:cs="Arial"/>
          <w:sz w:val="24"/>
          <w:szCs w:val="24"/>
        </w:rPr>
        <w:t>. P</w:t>
      </w:r>
      <w:r w:rsidRPr="009C0516">
        <w:rPr>
          <w:rFonts w:ascii="Arial" w:hAnsi="Arial" w:cs="Arial"/>
          <w:sz w:val="24"/>
          <w:szCs w:val="24"/>
        </w:rPr>
        <w:t>ara cada dominio se calcularon tamaños de muestra para estimar un porcentaje con un nivel de confianza de 95</w:t>
      </w:r>
      <w:r w:rsidR="007E4DDF">
        <w:rPr>
          <w:rFonts w:ascii="Arial" w:hAnsi="Arial" w:cs="Arial"/>
          <w:sz w:val="24"/>
          <w:szCs w:val="24"/>
        </w:rPr>
        <w:t>.0</w:t>
      </w:r>
      <w:r w:rsidRPr="009C0516">
        <w:rPr>
          <w:rFonts w:ascii="Arial" w:hAnsi="Arial" w:cs="Arial"/>
          <w:sz w:val="24"/>
          <w:szCs w:val="24"/>
        </w:rPr>
        <w:t xml:space="preserve"> %, error relativo de </w:t>
      </w:r>
      <w:r>
        <w:rPr>
          <w:rFonts w:ascii="Arial" w:hAnsi="Arial" w:cs="Arial"/>
          <w:sz w:val="24"/>
          <w:szCs w:val="24"/>
        </w:rPr>
        <w:t>6</w:t>
      </w:r>
      <w:r w:rsidR="00940CD5">
        <w:rPr>
          <w:rFonts w:ascii="Arial" w:hAnsi="Arial" w:cs="Arial"/>
          <w:sz w:val="24"/>
          <w:szCs w:val="24"/>
        </w:rPr>
        <w:t>.0</w:t>
      </w:r>
      <w:r w:rsidRPr="009C0516">
        <w:rPr>
          <w:rFonts w:ascii="Arial" w:hAnsi="Arial" w:cs="Arial"/>
          <w:sz w:val="24"/>
          <w:szCs w:val="24"/>
        </w:rPr>
        <w:t xml:space="preserve"> %, tasa de no respuesta esperada</w:t>
      </w:r>
      <w:r w:rsidR="003041C0">
        <w:rPr>
          <w:rFonts w:ascii="Arial" w:hAnsi="Arial" w:cs="Arial"/>
          <w:sz w:val="24"/>
          <w:szCs w:val="24"/>
        </w:rPr>
        <w:t xml:space="preserve"> para el</w:t>
      </w:r>
      <w:r w:rsidR="00B94DAF">
        <w:rPr>
          <w:rFonts w:ascii="Arial" w:hAnsi="Arial" w:cs="Arial"/>
          <w:sz w:val="24"/>
          <w:szCs w:val="24"/>
        </w:rPr>
        <w:t xml:space="preserve"> grupo</w:t>
      </w:r>
      <w:r w:rsidR="003041C0">
        <w:rPr>
          <w:rFonts w:ascii="Arial" w:hAnsi="Arial" w:cs="Arial"/>
          <w:sz w:val="24"/>
          <w:szCs w:val="24"/>
        </w:rPr>
        <w:t xml:space="preserve"> I y II</w:t>
      </w:r>
      <w:r w:rsidR="00C803DF">
        <w:rPr>
          <w:rFonts w:ascii="Arial" w:hAnsi="Arial" w:cs="Arial"/>
          <w:sz w:val="24"/>
          <w:szCs w:val="24"/>
        </w:rPr>
        <w:t>.a</w:t>
      </w:r>
      <w:r w:rsidRPr="009C0516">
        <w:rPr>
          <w:rFonts w:ascii="Arial" w:hAnsi="Arial" w:cs="Arial"/>
          <w:sz w:val="24"/>
          <w:szCs w:val="24"/>
        </w:rPr>
        <w:t xml:space="preserve"> de 2</w:t>
      </w:r>
      <w:r>
        <w:rPr>
          <w:rFonts w:ascii="Arial" w:hAnsi="Arial" w:cs="Arial"/>
          <w:sz w:val="24"/>
          <w:szCs w:val="24"/>
        </w:rPr>
        <w:t>0</w:t>
      </w:r>
      <w:r w:rsidR="00940CD5">
        <w:rPr>
          <w:rFonts w:ascii="Arial" w:hAnsi="Arial" w:cs="Arial"/>
          <w:sz w:val="24"/>
          <w:szCs w:val="24"/>
        </w:rPr>
        <w:t>.0</w:t>
      </w:r>
      <w:r w:rsidRPr="009C0516">
        <w:rPr>
          <w:rFonts w:ascii="Arial" w:hAnsi="Arial" w:cs="Arial"/>
          <w:sz w:val="24"/>
          <w:szCs w:val="24"/>
        </w:rPr>
        <w:t xml:space="preserve"> </w:t>
      </w:r>
      <w:r>
        <w:rPr>
          <w:rFonts w:ascii="Arial" w:hAnsi="Arial" w:cs="Arial"/>
          <w:sz w:val="24"/>
          <w:szCs w:val="24"/>
        </w:rPr>
        <w:t xml:space="preserve">% </w:t>
      </w:r>
      <w:r w:rsidR="003041C0">
        <w:rPr>
          <w:rFonts w:ascii="Arial" w:hAnsi="Arial" w:cs="Arial"/>
          <w:sz w:val="24"/>
          <w:szCs w:val="24"/>
        </w:rPr>
        <w:t xml:space="preserve">y tasa de no respuesta esperada para el dominio </w:t>
      </w:r>
      <w:proofErr w:type="spellStart"/>
      <w:r w:rsidR="003041C0">
        <w:rPr>
          <w:rFonts w:ascii="Arial" w:hAnsi="Arial" w:cs="Arial"/>
          <w:sz w:val="24"/>
          <w:szCs w:val="24"/>
        </w:rPr>
        <w:t>II</w:t>
      </w:r>
      <w:r w:rsidR="00C803DF">
        <w:rPr>
          <w:rFonts w:ascii="Arial" w:hAnsi="Arial" w:cs="Arial"/>
          <w:sz w:val="24"/>
          <w:szCs w:val="24"/>
        </w:rPr>
        <w:t>.b</w:t>
      </w:r>
      <w:proofErr w:type="spellEnd"/>
      <w:r w:rsidR="003041C0">
        <w:rPr>
          <w:rFonts w:ascii="Arial" w:hAnsi="Arial" w:cs="Arial"/>
          <w:sz w:val="24"/>
          <w:szCs w:val="24"/>
        </w:rPr>
        <w:t xml:space="preserve"> de 40</w:t>
      </w:r>
      <w:r w:rsidR="00940CD5">
        <w:rPr>
          <w:rFonts w:ascii="Arial" w:hAnsi="Arial" w:cs="Arial"/>
          <w:sz w:val="24"/>
          <w:szCs w:val="24"/>
        </w:rPr>
        <w:t>.0</w:t>
      </w:r>
      <w:r w:rsidR="003041C0">
        <w:rPr>
          <w:rFonts w:ascii="Arial" w:hAnsi="Arial" w:cs="Arial"/>
          <w:sz w:val="24"/>
          <w:szCs w:val="24"/>
        </w:rPr>
        <w:t xml:space="preserve"> por ciento.</w:t>
      </w:r>
      <w:r w:rsidRPr="009C0516">
        <w:rPr>
          <w:rFonts w:ascii="Arial" w:hAnsi="Arial" w:cs="Arial"/>
          <w:sz w:val="24"/>
          <w:szCs w:val="24"/>
        </w:rPr>
        <w:t xml:space="preserve"> </w:t>
      </w:r>
    </w:p>
    <w:p w14:paraId="0AAC035C" w14:textId="77777777" w:rsidR="002561B9" w:rsidRPr="009C0516" w:rsidRDefault="002561B9" w:rsidP="002561B9">
      <w:pPr>
        <w:spacing w:after="0" w:line="240" w:lineRule="auto"/>
        <w:jc w:val="both"/>
        <w:rPr>
          <w:rFonts w:ascii="Arial" w:hAnsi="Arial" w:cs="Arial"/>
          <w:sz w:val="24"/>
          <w:szCs w:val="24"/>
        </w:rPr>
      </w:pPr>
    </w:p>
    <w:p w14:paraId="24D87400" w14:textId="4D27E4B4" w:rsidR="00C776A2" w:rsidRDefault="00B94DAF" w:rsidP="002561B9">
      <w:pPr>
        <w:spacing w:after="0" w:line="240" w:lineRule="auto"/>
        <w:jc w:val="both"/>
        <w:rPr>
          <w:rFonts w:ascii="Arial" w:hAnsi="Arial" w:cs="Arial"/>
          <w:sz w:val="24"/>
          <w:szCs w:val="24"/>
        </w:rPr>
      </w:pPr>
      <w:r>
        <w:rPr>
          <w:rFonts w:ascii="Arial" w:hAnsi="Arial" w:cs="Arial"/>
          <w:sz w:val="24"/>
          <w:szCs w:val="24"/>
        </w:rPr>
        <w:t>La</w:t>
      </w:r>
      <w:r w:rsidR="009C0516" w:rsidRPr="009C0516">
        <w:rPr>
          <w:rFonts w:ascii="Arial" w:hAnsi="Arial" w:cs="Arial"/>
          <w:sz w:val="24"/>
          <w:szCs w:val="24"/>
        </w:rPr>
        <w:t xml:space="preserve"> información de la E</w:t>
      </w:r>
      <w:r w:rsidR="003041C0">
        <w:rPr>
          <w:rFonts w:ascii="Arial" w:hAnsi="Arial" w:cs="Arial"/>
          <w:sz w:val="24"/>
          <w:szCs w:val="24"/>
        </w:rPr>
        <w:t>CIS</w:t>
      </w:r>
      <w:r w:rsidR="009C0516" w:rsidRPr="009C0516">
        <w:rPr>
          <w:rFonts w:ascii="Arial" w:hAnsi="Arial" w:cs="Arial"/>
          <w:sz w:val="24"/>
          <w:szCs w:val="24"/>
        </w:rPr>
        <w:t xml:space="preserve"> 2021 se encuentra disponible en:</w:t>
      </w:r>
      <w:r w:rsidR="00DD3523">
        <w:rPr>
          <w:rFonts w:ascii="Arial" w:hAnsi="Arial" w:cs="Arial"/>
          <w:sz w:val="24"/>
          <w:szCs w:val="24"/>
        </w:rPr>
        <w:t xml:space="preserve"> </w:t>
      </w:r>
      <w:hyperlink r:id="rId38" w:history="1">
        <w:r w:rsidR="00B229BE" w:rsidRPr="00F5341B">
          <w:rPr>
            <w:rStyle w:val="Hipervnculo"/>
            <w:rFonts w:ascii="Arial" w:hAnsi="Arial" w:cs="Arial"/>
            <w:sz w:val="24"/>
            <w:szCs w:val="24"/>
          </w:rPr>
          <w:t>http://www.inegi.org.mx/investigacion/ecis/2021/</w:t>
        </w:r>
      </w:hyperlink>
    </w:p>
    <w:sectPr w:rsidR="00C776A2" w:rsidSect="005444CC">
      <w:headerReference w:type="default" r:id="rId39"/>
      <w:type w:val="continuous"/>
      <w:pgSz w:w="12240" w:h="15840"/>
      <w:pgMar w:top="1702" w:right="1077" w:bottom="851" w:left="1077"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30A4" w14:textId="77777777" w:rsidR="00123EDF" w:rsidRDefault="00123EDF" w:rsidP="005E21E0">
      <w:pPr>
        <w:spacing w:after="0" w:line="240" w:lineRule="auto"/>
      </w:pPr>
      <w:r>
        <w:separator/>
      </w:r>
    </w:p>
  </w:endnote>
  <w:endnote w:type="continuationSeparator" w:id="0">
    <w:p w14:paraId="56E1DE4C" w14:textId="77777777" w:rsidR="00123EDF" w:rsidRDefault="00123EDF" w:rsidP="005E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0233" w14:textId="77777777" w:rsidR="00810DAC" w:rsidRPr="00E472B8" w:rsidRDefault="00810DAC" w:rsidP="001D6C2C">
    <w:pPr>
      <w:pStyle w:val="Piedepgina"/>
      <w:jc w:val="center"/>
      <w:rPr>
        <w:rFonts w:ascii="Arial" w:hAnsi="Arial" w:cs="Arial"/>
        <w:b/>
        <w:bCs/>
        <w:color w:val="002060"/>
        <w:sz w:val="20"/>
        <w:szCs w:val="20"/>
      </w:rPr>
    </w:pPr>
    <w:r w:rsidRPr="00E472B8">
      <w:rPr>
        <w:rFonts w:ascii="Arial" w:hAnsi="Arial" w:cs="Arial"/>
        <w:b/>
        <w:bCs/>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2A4E" w14:textId="77777777" w:rsidR="00123EDF" w:rsidRDefault="00123EDF" w:rsidP="005E21E0">
      <w:pPr>
        <w:spacing w:after="0" w:line="240" w:lineRule="auto"/>
      </w:pPr>
      <w:r>
        <w:separator/>
      </w:r>
    </w:p>
  </w:footnote>
  <w:footnote w:type="continuationSeparator" w:id="0">
    <w:p w14:paraId="41F86053" w14:textId="77777777" w:rsidR="00123EDF" w:rsidRDefault="00123EDF" w:rsidP="005E21E0">
      <w:pPr>
        <w:spacing w:after="0" w:line="240" w:lineRule="auto"/>
      </w:pPr>
      <w:r>
        <w:continuationSeparator/>
      </w:r>
    </w:p>
  </w:footnote>
  <w:footnote w:id="1">
    <w:p w14:paraId="51319901" w14:textId="77777777" w:rsidR="001F01AE" w:rsidRPr="001F6431" w:rsidRDefault="001F01AE" w:rsidP="001F01AE">
      <w:pPr>
        <w:spacing w:after="0" w:line="240" w:lineRule="auto"/>
        <w:jc w:val="both"/>
        <w:rPr>
          <w:rFonts w:ascii="Arial" w:hAnsi="Arial" w:cs="Arial"/>
          <w:bCs/>
          <w:color w:val="000000" w:themeColor="text1"/>
          <w:sz w:val="16"/>
          <w:szCs w:val="16"/>
        </w:rPr>
      </w:pPr>
      <w:r w:rsidRPr="001F6431">
        <w:rPr>
          <w:rStyle w:val="Refdenotaalpie"/>
          <w:rFonts w:ascii="Arial" w:hAnsi="Arial" w:cs="Arial"/>
          <w:sz w:val="16"/>
          <w:szCs w:val="16"/>
        </w:rPr>
        <w:footnoteRef/>
      </w:r>
      <w:r w:rsidRPr="001F6431">
        <w:rPr>
          <w:rFonts w:ascii="Arial" w:hAnsi="Arial" w:cs="Arial"/>
          <w:sz w:val="16"/>
          <w:szCs w:val="16"/>
        </w:rPr>
        <w:t xml:space="preserve"> </w:t>
      </w:r>
      <w:r w:rsidRPr="00902781">
        <w:rPr>
          <w:rFonts w:ascii="Arial" w:hAnsi="Arial" w:cs="Arial"/>
          <w:color w:val="000000" w:themeColor="text1"/>
          <w:sz w:val="16"/>
          <w:szCs w:val="16"/>
        </w:rPr>
        <w:t>El comercio internacional de servicios relacionados con viajes, servicios de seguros y pensiones, servicios financieros y los bienes y servicios de gobierno no son objeto de estudio de la Encuesta de Comercio Internacional de Servicios (ECIS). Lo anterior porque, a</w:t>
      </w:r>
      <w:r w:rsidRPr="00902781">
        <w:rPr>
          <w:rFonts w:ascii="Arial" w:hAnsi="Arial" w:cs="Arial"/>
          <w:bCs/>
          <w:color w:val="000000" w:themeColor="text1"/>
          <w:sz w:val="16"/>
          <w:szCs w:val="16"/>
        </w:rPr>
        <w:t>ctualmente, el Instituto Nacional de Estadística y Geografía (INEGI) publica información relacionada con el comercio internacional de servicios, tal como los de viajes internacionales (Encuestas de Viajeros Internacionales (EVI)), servicios de manufactura en insumos físicos propiedad de otros (Estadística del Programa de la Industria Manufacturera, Maquiladora y de Servicios de Exportación (IMMEX)), así como datos de la Encuesta Mensual de la Industria Manufacturera (EMIM), al igual que la Balanza Comercial de Mercancías de México.</w:t>
      </w:r>
    </w:p>
  </w:footnote>
  <w:footnote w:id="2">
    <w:p w14:paraId="05438649" w14:textId="19DD8623" w:rsidR="0016320F" w:rsidRPr="001F6431" w:rsidRDefault="0016320F" w:rsidP="0016320F">
      <w:pPr>
        <w:jc w:val="both"/>
        <w:rPr>
          <w:rFonts w:ascii="Arial" w:hAnsi="Arial" w:cs="Arial"/>
          <w:sz w:val="16"/>
          <w:szCs w:val="16"/>
        </w:rPr>
      </w:pPr>
      <w:r w:rsidRPr="001F6431">
        <w:rPr>
          <w:rStyle w:val="Refdenotaalpie"/>
          <w:rFonts w:ascii="Arial" w:hAnsi="Arial" w:cs="Arial"/>
          <w:sz w:val="16"/>
          <w:szCs w:val="16"/>
        </w:rPr>
        <w:footnoteRef/>
      </w:r>
      <w:r w:rsidRPr="001F6431">
        <w:rPr>
          <w:rFonts w:ascii="Arial" w:hAnsi="Arial" w:cs="Arial"/>
          <w:sz w:val="16"/>
          <w:szCs w:val="16"/>
        </w:rPr>
        <w:t xml:space="preserve"> </w:t>
      </w:r>
      <w:r w:rsidRPr="00902781">
        <w:rPr>
          <w:rFonts w:ascii="Arial" w:hAnsi="Arial" w:cs="Arial"/>
          <w:sz w:val="16"/>
          <w:szCs w:val="16"/>
        </w:rPr>
        <w:t>Conformado por las actividades de minería, energía eléctrica, suministro de agua y gas, construcción y manufacturas.</w:t>
      </w:r>
    </w:p>
    <w:p w14:paraId="0A835CCA" w14:textId="77777777" w:rsidR="0016320F" w:rsidRDefault="0016320F" w:rsidP="0016320F">
      <w:pPr>
        <w:pStyle w:val="Textonotapie"/>
      </w:pPr>
    </w:p>
  </w:footnote>
  <w:footnote w:id="3">
    <w:p w14:paraId="2FFF4466" w14:textId="72A79021" w:rsidR="00810DAC" w:rsidRPr="001F6431" w:rsidRDefault="00810DAC" w:rsidP="00C74677">
      <w:pPr>
        <w:pStyle w:val="Textonotapie"/>
        <w:rPr>
          <w:rFonts w:ascii="Arial" w:hAnsi="Arial" w:cs="Arial"/>
          <w:sz w:val="16"/>
          <w:szCs w:val="16"/>
        </w:rPr>
      </w:pPr>
      <w:r w:rsidRPr="00933ADF">
        <w:rPr>
          <w:rStyle w:val="Refdenotaalpie"/>
          <w:rFonts w:ascii="Arial" w:hAnsi="Arial" w:cs="Arial"/>
          <w:sz w:val="16"/>
          <w:szCs w:val="16"/>
        </w:rPr>
        <w:footnoteRef/>
      </w:r>
      <w:r w:rsidRPr="00933ADF">
        <w:rPr>
          <w:rFonts w:ascii="Arial" w:hAnsi="Arial" w:cs="Arial"/>
          <w:sz w:val="16"/>
          <w:szCs w:val="16"/>
        </w:rPr>
        <w:t xml:space="preserve"> Las empresas establecidas a nivel local </w:t>
      </w:r>
      <w:r w:rsidR="00933ADF">
        <w:rPr>
          <w:rFonts w:ascii="Arial" w:hAnsi="Arial" w:cs="Arial"/>
          <w:sz w:val="16"/>
          <w:szCs w:val="16"/>
        </w:rPr>
        <w:t xml:space="preserve">que controla el capital extranjero </w:t>
      </w:r>
      <w:r w:rsidRPr="00933ADF">
        <w:rPr>
          <w:rFonts w:ascii="Arial" w:hAnsi="Arial" w:cs="Arial"/>
          <w:sz w:val="16"/>
          <w:szCs w:val="16"/>
        </w:rPr>
        <w:t>no son objeto de estudio de la ECIS 2021.</w:t>
      </w:r>
    </w:p>
  </w:footnote>
  <w:footnote w:id="4">
    <w:p w14:paraId="6C40D46B" w14:textId="424BC73E" w:rsidR="00810DAC" w:rsidRPr="00933ADF" w:rsidRDefault="00810DAC" w:rsidP="00066F75">
      <w:pPr>
        <w:pStyle w:val="Textonotapie"/>
        <w:jc w:val="both"/>
        <w:rPr>
          <w:rFonts w:ascii="Arial" w:hAnsi="Arial" w:cs="Arial"/>
          <w:sz w:val="16"/>
          <w:szCs w:val="16"/>
        </w:rPr>
      </w:pPr>
      <w:r w:rsidRPr="001F6431">
        <w:rPr>
          <w:rStyle w:val="Refdenotaalpie"/>
          <w:rFonts w:ascii="Arial" w:hAnsi="Arial" w:cs="Arial"/>
          <w:sz w:val="16"/>
          <w:szCs w:val="16"/>
        </w:rPr>
        <w:footnoteRef/>
      </w:r>
      <w:r w:rsidRPr="001F6431">
        <w:rPr>
          <w:rFonts w:ascii="Arial" w:hAnsi="Arial" w:cs="Arial"/>
          <w:sz w:val="16"/>
          <w:szCs w:val="16"/>
        </w:rPr>
        <w:t xml:space="preserve"> </w:t>
      </w:r>
      <w:r w:rsidR="00933ADF">
        <w:rPr>
          <w:rFonts w:ascii="Arial" w:hAnsi="Arial" w:cs="Arial"/>
          <w:sz w:val="16"/>
          <w:szCs w:val="16"/>
        </w:rPr>
        <w:t>«</w:t>
      </w:r>
      <w:r w:rsidRPr="001F6431">
        <w:rPr>
          <w:rFonts w:ascii="Arial" w:hAnsi="Arial" w:cs="Arial"/>
          <w:sz w:val="16"/>
          <w:szCs w:val="16"/>
        </w:rPr>
        <w:t>Otros servicios empresariales</w:t>
      </w:r>
      <w:r w:rsidR="00933ADF">
        <w:rPr>
          <w:rFonts w:ascii="Arial" w:hAnsi="Arial" w:cs="Arial"/>
          <w:sz w:val="16"/>
          <w:szCs w:val="16"/>
        </w:rPr>
        <w:t>»</w:t>
      </w:r>
      <w:r w:rsidRPr="001F6431">
        <w:rPr>
          <w:rFonts w:ascii="Arial" w:hAnsi="Arial" w:cs="Arial"/>
          <w:sz w:val="16"/>
          <w:szCs w:val="16"/>
        </w:rPr>
        <w:t xml:space="preserve"> se desglosa en: </w:t>
      </w:r>
      <w:r w:rsidRPr="001F6431">
        <w:rPr>
          <w:rFonts w:ascii="Arial" w:hAnsi="Arial" w:cs="Arial"/>
          <w:i/>
          <w:iCs/>
          <w:sz w:val="16"/>
          <w:szCs w:val="16"/>
        </w:rPr>
        <w:t>Servicios de investigación y desarrollo</w:t>
      </w:r>
      <w:r w:rsidRPr="001F6431">
        <w:rPr>
          <w:rFonts w:ascii="Arial" w:hAnsi="Arial" w:cs="Arial"/>
          <w:sz w:val="16"/>
          <w:szCs w:val="16"/>
        </w:rPr>
        <w:t xml:space="preserve">; </w:t>
      </w:r>
      <w:r w:rsidRPr="001F6431">
        <w:rPr>
          <w:rFonts w:ascii="Arial" w:hAnsi="Arial" w:cs="Arial"/>
          <w:i/>
          <w:iCs/>
          <w:sz w:val="16"/>
          <w:szCs w:val="16"/>
        </w:rPr>
        <w:t>Servicios profesionales y de consultoría en administración de empresas</w:t>
      </w:r>
      <w:r w:rsidRPr="001F6431">
        <w:rPr>
          <w:rFonts w:ascii="Arial" w:hAnsi="Arial" w:cs="Arial"/>
          <w:sz w:val="16"/>
          <w:szCs w:val="16"/>
        </w:rPr>
        <w:t xml:space="preserve"> y </w:t>
      </w:r>
      <w:r w:rsidRPr="001F6431">
        <w:rPr>
          <w:rFonts w:ascii="Arial" w:hAnsi="Arial" w:cs="Arial"/>
          <w:i/>
          <w:iCs/>
          <w:sz w:val="16"/>
          <w:szCs w:val="16"/>
        </w:rPr>
        <w:t>Servicios técnicos relacionados con el comercio y otros servicios empresariales</w:t>
      </w:r>
      <w:r w:rsidRPr="001F6431">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266B" w14:textId="54F4DCF8" w:rsidR="00810DAC" w:rsidRPr="00CE3882" w:rsidRDefault="00810DAC" w:rsidP="00E2485A">
    <w:pPr>
      <w:tabs>
        <w:tab w:val="left" w:pos="5103"/>
      </w:tabs>
      <w:spacing w:after="0" w:line="240" w:lineRule="auto"/>
      <w:ind w:right="51"/>
      <w:jc w:val="right"/>
      <w:rPr>
        <w:rFonts w:ascii="Arial" w:eastAsia="Arial" w:hAnsi="Arial" w:cs="Arial"/>
        <w:sz w:val="24"/>
        <w:szCs w:val="24"/>
      </w:rPr>
    </w:pPr>
    <w:r w:rsidRPr="00CE3882">
      <w:rPr>
        <w:noProof/>
        <w:lang w:eastAsia="es-MX"/>
      </w:rPr>
      <w:drawing>
        <wp:anchor distT="0" distB="0" distL="114300" distR="114300" simplePos="0" relativeHeight="251660288" behindDoc="0" locked="0" layoutInCell="1" allowOverlap="1" wp14:anchorId="176EE3E1" wp14:editId="06F5D246">
          <wp:simplePos x="0" y="0"/>
          <wp:positionH relativeFrom="margin">
            <wp:posOffset>19050</wp:posOffset>
          </wp:positionH>
          <wp:positionV relativeFrom="margin">
            <wp:posOffset>-922655</wp:posOffset>
          </wp:positionV>
          <wp:extent cx="847725" cy="828675"/>
          <wp:effectExtent l="0" t="0" r="952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91" r="-1191"/>
                  <a:stretch/>
                </pic:blipFill>
                <pic:spPr bwMode="auto">
                  <a:xfrm>
                    <a:off x="0" y="0"/>
                    <a:ext cx="8477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82">
      <w:rPr>
        <w:rFonts w:ascii="Arial" w:hAnsi="Arial"/>
        <w:b/>
        <w:color w:val="002060"/>
        <w:sz w:val="24"/>
      </w:rPr>
      <w:t>COMUNICADO</w:t>
    </w:r>
    <w:r w:rsidRPr="00CE3882">
      <w:rPr>
        <w:rFonts w:ascii="Arial" w:hAnsi="Arial"/>
        <w:b/>
        <w:color w:val="002060"/>
        <w:spacing w:val="-11"/>
        <w:sz w:val="24"/>
      </w:rPr>
      <w:t xml:space="preserve"> </w:t>
    </w:r>
    <w:r w:rsidRPr="00CE3882">
      <w:rPr>
        <w:rFonts w:ascii="Arial" w:hAnsi="Arial"/>
        <w:b/>
        <w:color w:val="002060"/>
        <w:sz w:val="24"/>
      </w:rPr>
      <w:t>DE</w:t>
    </w:r>
    <w:r w:rsidRPr="00CE3882">
      <w:rPr>
        <w:rFonts w:ascii="Arial" w:hAnsi="Arial"/>
        <w:b/>
        <w:color w:val="002060"/>
        <w:spacing w:val="-11"/>
        <w:sz w:val="24"/>
      </w:rPr>
      <w:t xml:space="preserve"> P</w:t>
    </w:r>
    <w:r w:rsidRPr="00CE3882">
      <w:rPr>
        <w:rFonts w:ascii="Arial" w:hAnsi="Arial"/>
        <w:b/>
        <w:color w:val="002060"/>
        <w:spacing w:val="-1"/>
        <w:sz w:val="24"/>
      </w:rPr>
      <w:t>RENSA</w:t>
    </w:r>
    <w:r w:rsidRPr="00CE3882">
      <w:rPr>
        <w:rFonts w:ascii="Arial" w:hAnsi="Arial"/>
        <w:b/>
        <w:color w:val="002060"/>
        <w:spacing w:val="-11"/>
        <w:sz w:val="24"/>
      </w:rPr>
      <w:t xml:space="preserve"> </w:t>
    </w:r>
    <w:r w:rsidRPr="00CE3882">
      <w:rPr>
        <w:rFonts w:ascii="Arial" w:hAnsi="Arial"/>
        <w:b/>
        <w:color w:val="002060"/>
        <w:sz w:val="24"/>
      </w:rPr>
      <w:t>NÚM.</w:t>
    </w:r>
    <w:r w:rsidRPr="00DE6EFC">
      <w:rPr>
        <w:rFonts w:ascii="Arial" w:hAnsi="Arial"/>
        <w:b/>
        <w:color w:val="002060"/>
        <w:sz w:val="24"/>
      </w:rPr>
      <w:t xml:space="preserve"> </w:t>
    </w:r>
    <w:r>
      <w:rPr>
        <w:rFonts w:ascii="Arial" w:hAnsi="Arial"/>
        <w:b/>
        <w:color w:val="002060"/>
        <w:sz w:val="24"/>
      </w:rPr>
      <w:t>56</w:t>
    </w:r>
    <w:r w:rsidR="00986964">
      <w:rPr>
        <w:rFonts w:ascii="Arial" w:hAnsi="Arial"/>
        <w:b/>
        <w:color w:val="002060"/>
        <w:sz w:val="24"/>
      </w:rPr>
      <w:t>6</w:t>
    </w:r>
    <w:r>
      <w:rPr>
        <w:rFonts w:ascii="Arial" w:hAnsi="Arial"/>
        <w:b/>
        <w:color w:val="002060"/>
        <w:sz w:val="24"/>
      </w:rPr>
      <w:t>/22</w:t>
    </w:r>
  </w:p>
  <w:p w14:paraId="3CB3C7F0" w14:textId="2A558EE7" w:rsidR="00810DAC" w:rsidRPr="00BA6E95" w:rsidRDefault="00810DAC" w:rsidP="00E2485A">
    <w:pPr>
      <w:tabs>
        <w:tab w:val="center" w:pos="5018"/>
        <w:tab w:val="right" w:pos="10037"/>
      </w:tabs>
      <w:spacing w:after="0" w:line="240" w:lineRule="auto"/>
      <w:ind w:right="51"/>
      <w:jc w:val="right"/>
      <w:rPr>
        <w:rFonts w:ascii="Arial"/>
        <w:b/>
        <w:color w:val="002060"/>
        <w:sz w:val="24"/>
      </w:rPr>
    </w:pPr>
    <w:r>
      <w:rPr>
        <w:rFonts w:ascii="Arial"/>
        <w:b/>
        <w:color w:val="002060"/>
        <w:sz w:val="24"/>
      </w:rPr>
      <w:t>2</w:t>
    </w:r>
    <w:r w:rsidR="00D177DB">
      <w:rPr>
        <w:rFonts w:ascii="Arial"/>
        <w:b/>
        <w:color w:val="002060"/>
        <w:sz w:val="24"/>
      </w:rPr>
      <w:t>9</w:t>
    </w:r>
    <w:r w:rsidRPr="00DE6EFC">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Pr>
        <w:rFonts w:ascii="Arial"/>
        <w:b/>
        <w:color w:val="002060"/>
        <w:spacing w:val="-5"/>
        <w:sz w:val="24"/>
      </w:rPr>
      <w:t>SEPTIEMBRE</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202</w:t>
    </w:r>
    <w:r>
      <w:rPr>
        <w:rFonts w:ascii="Arial"/>
        <w:b/>
        <w:color w:val="002060"/>
        <w:sz w:val="24"/>
      </w:rPr>
      <w:t>2</w:t>
    </w:r>
  </w:p>
  <w:p w14:paraId="580A1FB2" w14:textId="722745DD" w:rsidR="00810DAC" w:rsidRDefault="00810DAC" w:rsidP="00E2485A">
    <w:pPr>
      <w:spacing w:after="0" w:line="240" w:lineRule="auto"/>
      <w:ind w:right="51"/>
      <w:jc w:val="right"/>
      <w:rPr>
        <w:rFonts w:ascii="Arial" w:hAnsi="Arial"/>
        <w:b/>
        <w:color w:val="002060"/>
        <w:sz w:val="24"/>
      </w:rPr>
    </w:pPr>
    <w:r w:rsidRPr="00CE3882">
      <w:rPr>
        <w:rFonts w:ascii="Arial" w:hAnsi="Arial"/>
        <w:b/>
        <w:color w:val="002060"/>
        <w:sz w:val="24"/>
      </w:rPr>
      <w:t>PÁGINA</w:t>
    </w:r>
    <w:r w:rsidRPr="00CE3882">
      <w:rPr>
        <w:rFonts w:ascii="Arial" w:hAnsi="Arial"/>
        <w:b/>
        <w:color w:val="002060"/>
        <w:spacing w:val="-13"/>
        <w:sz w:val="24"/>
      </w:rPr>
      <w:t xml:space="preserve"> </w:t>
    </w:r>
    <w:r w:rsidRPr="00CE3882">
      <w:fldChar w:fldCharType="begin"/>
    </w:r>
    <w:r w:rsidRPr="00CE3882">
      <w:rPr>
        <w:rFonts w:ascii="Arial" w:hAnsi="Arial"/>
        <w:b/>
        <w:color w:val="002060"/>
        <w:sz w:val="24"/>
      </w:rPr>
      <w:instrText xml:space="preserve"> PAGE </w:instrText>
    </w:r>
    <w:r w:rsidRPr="00CE3882">
      <w:fldChar w:fldCharType="separate"/>
    </w:r>
    <w:r>
      <w:t>1</w:t>
    </w:r>
    <w:r w:rsidRPr="00CE3882">
      <w:fldChar w:fldCharType="end"/>
    </w:r>
    <w:r w:rsidRPr="00CE3882">
      <w:rPr>
        <w:rFonts w:ascii="Arial" w:hAnsi="Arial"/>
        <w:b/>
        <w:color w:val="002060"/>
        <w:sz w:val="24"/>
      </w:rPr>
      <w:t>/</w:t>
    </w:r>
    <w:r w:rsidR="002561B9">
      <w:rPr>
        <w:rFonts w:ascii="Arial" w:hAnsi="Arial"/>
        <w:b/>
        <w:color w:val="002060"/>
        <w:sz w:val="24"/>
      </w:rPr>
      <w:t>15</w:t>
    </w:r>
  </w:p>
  <w:p w14:paraId="6BDC08AC" w14:textId="61EE7B9E" w:rsidR="00810DAC" w:rsidRDefault="00810D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B2D8" w14:textId="1A2C2354" w:rsidR="004F5188" w:rsidRDefault="004F5188">
    <w:pPr>
      <w:pStyle w:val="Encabezado"/>
    </w:pPr>
    <w:r w:rsidRPr="00CE3882">
      <w:rPr>
        <w:noProof/>
        <w:lang w:eastAsia="es-MX"/>
      </w:rPr>
      <w:drawing>
        <wp:anchor distT="0" distB="0" distL="114300" distR="114300" simplePos="0" relativeHeight="251662336" behindDoc="0" locked="0" layoutInCell="1" allowOverlap="1" wp14:anchorId="2A53FA66" wp14:editId="64988455">
          <wp:simplePos x="0" y="0"/>
          <wp:positionH relativeFrom="margin">
            <wp:posOffset>2771775</wp:posOffset>
          </wp:positionH>
          <wp:positionV relativeFrom="margin">
            <wp:posOffset>-868045</wp:posOffset>
          </wp:positionV>
          <wp:extent cx="847725" cy="828675"/>
          <wp:effectExtent l="0" t="0" r="9525" b="95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91" r="-1191"/>
                  <a:stretch/>
                </pic:blipFill>
                <pic:spPr bwMode="auto">
                  <a:xfrm>
                    <a:off x="0" y="0"/>
                    <a:ext cx="8477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C5B"/>
    <w:multiLevelType w:val="hybridMultilevel"/>
    <w:tmpl w:val="C6647722"/>
    <w:lvl w:ilvl="0" w:tplc="D79878E6">
      <w:start w:val="8"/>
      <w:numFmt w:val="decimal"/>
      <w:lvlText w:val="%1)"/>
      <w:lvlJc w:val="left"/>
      <w:pPr>
        <w:tabs>
          <w:tab w:val="num" w:pos="720"/>
        </w:tabs>
        <w:ind w:left="720" w:hanging="360"/>
      </w:pPr>
    </w:lvl>
    <w:lvl w:ilvl="1" w:tplc="9EA6D154" w:tentative="1">
      <w:start w:val="1"/>
      <w:numFmt w:val="decimal"/>
      <w:lvlText w:val="%2)"/>
      <w:lvlJc w:val="left"/>
      <w:pPr>
        <w:tabs>
          <w:tab w:val="num" w:pos="1440"/>
        </w:tabs>
        <w:ind w:left="1440" w:hanging="360"/>
      </w:pPr>
    </w:lvl>
    <w:lvl w:ilvl="2" w:tplc="376A40C8" w:tentative="1">
      <w:start w:val="1"/>
      <w:numFmt w:val="decimal"/>
      <w:lvlText w:val="%3)"/>
      <w:lvlJc w:val="left"/>
      <w:pPr>
        <w:tabs>
          <w:tab w:val="num" w:pos="2160"/>
        </w:tabs>
        <w:ind w:left="2160" w:hanging="360"/>
      </w:pPr>
    </w:lvl>
    <w:lvl w:ilvl="3" w:tplc="C4AED1B2" w:tentative="1">
      <w:start w:val="1"/>
      <w:numFmt w:val="decimal"/>
      <w:lvlText w:val="%4)"/>
      <w:lvlJc w:val="left"/>
      <w:pPr>
        <w:tabs>
          <w:tab w:val="num" w:pos="2880"/>
        </w:tabs>
        <w:ind w:left="2880" w:hanging="360"/>
      </w:pPr>
    </w:lvl>
    <w:lvl w:ilvl="4" w:tplc="4064972A" w:tentative="1">
      <w:start w:val="1"/>
      <w:numFmt w:val="decimal"/>
      <w:lvlText w:val="%5)"/>
      <w:lvlJc w:val="left"/>
      <w:pPr>
        <w:tabs>
          <w:tab w:val="num" w:pos="3600"/>
        </w:tabs>
        <w:ind w:left="3600" w:hanging="360"/>
      </w:pPr>
    </w:lvl>
    <w:lvl w:ilvl="5" w:tplc="9CA4CECE" w:tentative="1">
      <w:start w:val="1"/>
      <w:numFmt w:val="decimal"/>
      <w:lvlText w:val="%6)"/>
      <w:lvlJc w:val="left"/>
      <w:pPr>
        <w:tabs>
          <w:tab w:val="num" w:pos="4320"/>
        </w:tabs>
        <w:ind w:left="4320" w:hanging="360"/>
      </w:pPr>
    </w:lvl>
    <w:lvl w:ilvl="6" w:tplc="2D903D14" w:tentative="1">
      <w:start w:val="1"/>
      <w:numFmt w:val="decimal"/>
      <w:lvlText w:val="%7)"/>
      <w:lvlJc w:val="left"/>
      <w:pPr>
        <w:tabs>
          <w:tab w:val="num" w:pos="5040"/>
        </w:tabs>
        <w:ind w:left="5040" w:hanging="360"/>
      </w:pPr>
    </w:lvl>
    <w:lvl w:ilvl="7" w:tplc="7158DFB8" w:tentative="1">
      <w:start w:val="1"/>
      <w:numFmt w:val="decimal"/>
      <w:lvlText w:val="%8)"/>
      <w:lvlJc w:val="left"/>
      <w:pPr>
        <w:tabs>
          <w:tab w:val="num" w:pos="5760"/>
        </w:tabs>
        <w:ind w:left="5760" w:hanging="360"/>
      </w:pPr>
    </w:lvl>
    <w:lvl w:ilvl="8" w:tplc="16D416C4" w:tentative="1">
      <w:start w:val="1"/>
      <w:numFmt w:val="decimal"/>
      <w:lvlText w:val="%9)"/>
      <w:lvlJc w:val="left"/>
      <w:pPr>
        <w:tabs>
          <w:tab w:val="num" w:pos="6480"/>
        </w:tabs>
        <w:ind w:left="6480" w:hanging="360"/>
      </w:pPr>
    </w:lvl>
  </w:abstractNum>
  <w:abstractNum w:abstractNumId="1" w15:restartNumberingAfterBreak="0">
    <w:nsid w:val="14F6643B"/>
    <w:multiLevelType w:val="hybridMultilevel"/>
    <w:tmpl w:val="DEAE4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CD39DB"/>
    <w:multiLevelType w:val="hybridMultilevel"/>
    <w:tmpl w:val="9F9A5B56"/>
    <w:lvl w:ilvl="0" w:tplc="7B5A9EE4">
      <w:start w:val="1"/>
      <w:numFmt w:val="decimal"/>
      <w:lvlText w:val="%1)"/>
      <w:lvlJc w:val="left"/>
      <w:pPr>
        <w:tabs>
          <w:tab w:val="num" w:pos="720"/>
        </w:tabs>
        <w:ind w:left="720" w:hanging="360"/>
      </w:pPr>
    </w:lvl>
    <w:lvl w:ilvl="1" w:tplc="33583164" w:tentative="1">
      <w:start w:val="1"/>
      <w:numFmt w:val="decimal"/>
      <w:lvlText w:val="%2)"/>
      <w:lvlJc w:val="left"/>
      <w:pPr>
        <w:tabs>
          <w:tab w:val="num" w:pos="1440"/>
        </w:tabs>
        <w:ind w:left="1440" w:hanging="360"/>
      </w:pPr>
    </w:lvl>
    <w:lvl w:ilvl="2" w:tplc="510CA4FC" w:tentative="1">
      <w:start w:val="1"/>
      <w:numFmt w:val="decimal"/>
      <w:lvlText w:val="%3)"/>
      <w:lvlJc w:val="left"/>
      <w:pPr>
        <w:tabs>
          <w:tab w:val="num" w:pos="2160"/>
        </w:tabs>
        <w:ind w:left="2160" w:hanging="360"/>
      </w:pPr>
    </w:lvl>
    <w:lvl w:ilvl="3" w:tplc="F232EF5A" w:tentative="1">
      <w:start w:val="1"/>
      <w:numFmt w:val="decimal"/>
      <w:lvlText w:val="%4)"/>
      <w:lvlJc w:val="left"/>
      <w:pPr>
        <w:tabs>
          <w:tab w:val="num" w:pos="2880"/>
        </w:tabs>
        <w:ind w:left="2880" w:hanging="360"/>
      </w:pPr>
    </w:lvl>
    <w:lvl w:ilvl="4" w:tplc="EDAA35E2" w:tentative="1">
      <w:start w:val="1"/>
      <w:numFmt w:val="decimal"/>
      <w:lvlText w:val="%5)"/>
      <w:lvlJc w:val="left"/>
      <w:pPr>
        <w:tabs>
          <w:tab w:val="num" w:pos="3600"/>
        </w:tabs>
        <w:ind w:left="3600" w:hanging="360"/>
      </w:pPr>
    </w:lvl>
    <w:lvl w:ilvl="5" w:tplc="92CAE28A" w:tentative="1">
      <w:start w:val="1"/>
      <w:numFmt w:val="decimal"/>
      <w:lvlText w:val="%6)"/>
      <w:lvlJc w:val="left"/>
      <w:pPr>
        <w:tabs>
          <w:tab w:val="num" w:pos="4320"/>
        </w:tabs>
        <w:ind w:left="4320" w:hanging="360"/>
      </w:pPr>
    </w:lvl>
    <w:lvl w:ilvl="6" w:tplc="5E02CF6C" w:tentative="1">
      <w:start w:val="1"/>
      <w:numFmt w:val="decimal"/>
      <w:lvlText w:val="%7)"/>
      <w:lvlJc w:val="left"/>
      <w:pPr>
        <w:tabs>
          <w:tab w:val="num" w:pos="5040"/>
        </w:tabs>
        <w:ind w:left="5040" w:hanging="360"/>
      </w:pPr>
    </w:lvl>
    <w:lvl w:ilvl="7" w:tplc="F9A23F38" w:tentative="1">
      <w:start w:val="1"/>
      <w:numFmt w:val="decimal"/>
      <w:lvlText w:val="%8)"/>
      <w:lvlJc w:val="left"/>
      <w:pPr>
        <w:tabs>
          <w:tab w:val="num" w:pos="5760"/>
        </w:tabs>
        <w:ind w:left="5760" w:hanging="360"/>
      </w:pPr>
    </w:lvl>
    <w:lvl w:ilvl="8" w:tplc="C6A09AC0" w:tentative="1">
      <w:start w:val="1"/>
      <w:numFmt w:val="decimal"/>
      <w:lvlText w:val="%9)"/>
      <w:lvlJc w:val="left"/>
      <w:pPr>
        <w:tabs>
          <w:tab w:val="num" w:pos="6480"/>
        </w:tabs>
        <w:ind w:left="6480" w:hanging="360"/>
      </w:pPr>
    </w:lvl>
  </w:abstractNum>
  <w:num w:numId="1" w16cid:durableId="2089693168">
    <w:abstractNumId w:val="2"/>
  </w:num>
  <w:num w:numId="2" w16cid:durableId="1704474397">
    <w:abstractNumId w:val="0"/>
  </w:num>
  <w:num w:numId="3" w16cid:durableId="853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C1"/>
    <w:rsid w:val="00002BC4"/>
    <w:rsid w:val="00006E58"/>
    <w:rsid w:val="00011BDE"/>
    <w:rsid w:val="00014EA2"/>
    <w:rsid w:val="00016D8D"/>
    <w:rsid w:val="00024007"/>
    <w:rsid w:val="0002734E"/>
    <w:rsid w:val="00041129"/>
    <w:rsid w:val="00041BF2"/>
    <w:rsid w:val="00044079"/>
    <w:rsid w:val="000440D3"/>
    <w:rsid w:val="00051CC1"/>
    <w:rsid w:val="000651B8"/>
    <w:rsid w:val="00066F75"/>
    <w:rsid w:val="000941BC"/>
    <w:rsid w:val="000A6918"/>
    <w:rsid w:val="000A6FE6"/>
    <w:rsid w:val="000B4803"/>
    <w:rsid w:val="000B77A9"/>
    <w:rsid w:val="000D09E8"/>
    <w:rsid w:val="000D3746"/>
    <w:rsid w:val="000E1975"/>
    <w:rsid w:val="000E4477"/>
    <w:rsid w:val="000F2AEB"/>
    <w:rsid w:val="000F5CAD"/>
    <w:rsid w:val="000F6D59"/>
    <w:rsid w:val="000F7AF8"/>
    <w:rsid w:val="00104EFB"/>
    <w:rsid w:val="001055A7"/>
    <w:rsid w:val="00123EDF"/>
    <w:rsid w:val="00125630"/>
    <w:rsid w:val="00125F7A"/>
    <w:rsid w:val="0013417D"/>
    <w:rsid w:val="00135F21"/>
    <w:rsid w:val="001405AB"/>
    <w:rsid w:val="001413DA"/>
    <w:rsid w:val="001422AF"/>
    <w:rsid w:val="001459B5"/>
    <w:rsid w:val="00152B6A"/>
    <w:rsid w:val="00157BF8"/>
    <w:rsid w:val="00161E0A"/>
    <w:rsid w:val="0016320F"/>
    <w:rsid w:val="00163B4F"/>
    <w:rsid w:val="001762F5"/>
    <w:rsid w:val="001911DC"/>
    <w:rsid w:val="00194217"/>
    <w:rsid w:val="001B2D22"/>
    <w:rsid w:val="001B5D97"/>
    <w:rsid w:val="001B7BD9"/>
    <w:rsid w:val="001C2275"/>
    <w:rsid w:val="001D2CD5"/>
    <w:rsid w:val="001D2EFC"/>
    <w:rsid w:val="001D6C2C"/>
    <w:rsid w:val="001E7CE8"/>
    <w:rsid w:val="001F01AE"/>
    <w:rsid w:val="001F1675"/>
    <w:rsid w:val="001F3B36"/>
    <w:rsid w:val="001F6431"/>
    <w:rsid w:val="00201C6E"/>
    <w:rsid w:val="00203E82"/>
    <w:rsid w:val="00212BD2"/>
    <w:rsid w:val="002157C7"/>
    <w:rsid w:val="0022505B"/>
    <w:rsid w:val="00227C12"/>
    <w:rsid w:val="0023055F"/>
    <w:rsid w:val="00230C0C"/>
    <w:rsid w:val="0023154A"/>
    <w:rsid w:val="00242836"/>
    <w:rsid w:val="0024738C"/>
    <w:rsid w:val="002478E6"/>
    <w:rsid w:val="002561B9"/>
    <w:rsid w:val="002757BC"/>
    <w:rsid w:val="00275966"/>
    <w:rsid w:val="00285CD3"/>
    <w:rsid w:val="00286500"/>
    <w:rsid w:val="0029050C"/>
    <w:rsid w:val="002B6BB9"/>
    <w:rsid w:val="002D15A2"/>
    <w:rsid w:val="002D33D7"/>
    <w:rsid w:val="002D4EC6"/>
    <w:rsid w:val="002D6A57"/>
    <w:rsid w:val="002D78D3"/>
    <w:rsid w:val="002E5237"/>
    <w:rsid w:val="002E5840"/>
    <w:rsid w:val="002F7EDB"/>
    <w:rsid w:val="003041C0"/>
    <w:rsid w:val="00307E93"/>
    <w:rsid w:val="0032318A"/>
    <w:rsid w:val="003304C1"/>
    <w:rsid w:val="003355FB"/>
    <w:rsid w:val="0033579A"/>
    <w:rsid w:val="00335C69"/>
    <w:rsid w:val="00340A29"/>
    <w:rsid w:val="0034585C"/>
    <w:rsid w:val="00350C88"/>
    <w:rsid w:val="00357B45"/>
    <w:rsid w:val="00380003"/>
    <w:rsid w:val="00383076"/>
    <w:rsid w:val="003A03A4"/>
    <w:rsid w:val="003B2E2A"/>
    <w:rsid w:val="003B67A6"/>
    <w:rsid w:val="003B76E8"/>
    <w:rsid w:val="003C0C0D"/>
    <w:rsid w:val="003C1398"/>
    <w:rsid w:val="003C6D2E"/>
    <w:rsid w:val="003D10BF"/>
    <w:rsid w:val="003D1324"/>
    <w:rsid w:val="003D2A53"/>
    <w:rsid w:val="003D66F7"/>
    <w:rsid w:val="003D7193"/>
    <w:rsid w:val="003E3AC1"/>
    <w:rsid w:val="003E4A58"/>
    <w:rsid w:val="003F0D16"/>
    <w:rsid w:val="004005DC"/>
    <w:rsid w:val="004022DC"/>
    <w:rsid w:val="00403AC2"/>
    <w:rsid w:val="0041463E"/>
    <w:rsid w:val="004208E4"/>
    <w:rsid w:val="00420EC7"/>
    <w:rsid w:val="004214B9"/>
    <w:rsid w:val="00440F63"/>
    <w:rsid w:val="00446091"/>
    <w:rsid w:val="004535DB"/>
    <w:rsid w:val="00457D21"/>
    <w:rsid w:val="0046656D"/>
    <w:rsid w:val="0046714A"/>
    <w:rsid w:val="004745EC"/>
    <w:rsid w:val="00475088"/>
    <w:rsid w:val="00477931"/>
    <w:rsid w:val="004814F9"/>
    <w:rsid w:val="004A42E4"/>
    <w:rsid w:val="004A5BAC"/>
    <w:rsid w:val="004B6D9F"/>
    <w:rsid w:val="004B7B2E"/>
    <w:rsid w:val="004C19CD"/>
    <w:rsid w:val="004C1BD3"/>
    <w:rsid w:val="004C5741"/>
    <w:rsid w:val="004C6464"/>
    <w:rsid w:val="004D5D02"/>
    <w:rsid w:val="004E16D7"/>
    <w:rsid w:val="004E6650"/>
    <w:rsid w:val="004F2B09"/>
    <w:rsid w:val="004F2B9B"/>
    <w:rsid w:val="004F5188"/>
    <w:rsid w:val="0054410B"/>
    <w:rsid w:val="005444CC"/>
    <w:rsid w:val="00545A66"/>
    <w:rsid w:val="00557FAD"/>
    <w:rsid w:val="005627F1"/>
    <w:rsid w:val="00563607"/>
    <w:rsid w:val="00565801"/>
    <w:rsid w:val="00576B47"/>
    <w:rsid w:val="00577140"/>
    <w:rsid w:val="00580F46"/>
    <w:rsid w:val="005829BD"/>
    <w:rsid w:val="00590BE8"/>
    <w:rsid w:val="00595246"/>
    <w:rsid w:val="00596708"/>
    <w:rsid w:val="005A53CC"/>
    <w:rsid w:val="005B3147"/>
    <w:rsid w:val="005B733B"/>
    <w:rsid w:val="005C093F"/>
    <w:rsid w:val="005C48CF"/>
    <w:rsid w:val="005D4D8F"/>
    <w:rsid w:val="005D579B"/>
    <w:rsid w:val="005D74AE"/>
    <w:rsid w:val="005E0C63"/>
    <w:rsid w:val="005E15E2"/>
    <w:rsid w:val="005E21E0"/>
    <w:rsid w:val="005E574B"/>
    <w:rsid w:val="005F0BEC"/>
    <w:rsid w:val="005F0DF9"/>
    <w:rsid w:val="005F2120"/>
    <w:rsid w:val="005F3B2E"/>
    <w:rsid w:val="005F4459"/>
    <w:rsid w:val="00604D52"/>
    <w:rsid w:val="006146CA"/>
    <w:rsid w:val="00617E48"/>
    <w:rsid w:val="00631A38"/>
    <w:rsid w:val="00633BAC"/>
    <w:rsid w:val="0065111E"/>
    <w:rsid w:val="0065145C"/>
    <w:rsid w:val="0066327C"/>
    <w:rsid w:val="00663684"/>
    <w:rsid w:val="006746F8"/>
    <w:rsid w:val="0067490F"/>
    <w:rsid w:val="006828C9"/>
    <w:rsid w:val="00690833"/>
    <w:rsid w:val="006953B4"/>
    <w:rsid w:val="006A6448"/>
    <w:rsid w:val="006B1E52"/>
    <w:rsid w:val="006C4942"/>
    <w:rsid w:val="006C5F9F"/>
    <w:rsid w:val="006F2485"/>
    <w:rsid w:val="006F32DA"/>
    <w:rsid w:val="007009D1"/>
    <w:rsid w:val="007031DE"/>
    <w:rsid w:val="00703994"/>
    <w:rsid w:val="007067E9"/>
    <w:rsid w:val="007148C7"/>
    <w:rsid w:val="00716B1D"/>
    <w:rsid w:val="007303CC"/>
    <w:rsid w:val="00736271"/>
    <w:rsid w:val="00741627"/>
    <w:rsid w:val="007417D0"/>
    <w:rsid w:val="00741D70"/>
    <w:rsid w:val="007460C8"/>
    <w:rsid w:val="0075477E"/>
    <w:rsid w:val="007573F6"/>
    <w:rsid w:val="007577A8"/>
    <w:rsid w:val="00771125"/>
    <w:rsid w:val="007825AF"/>
    <w:rsid w:val="007A04F9"/>
    <w:rsid w:val="007B4A98"/>
    <w:rsid w:val="007C1715"/>
    <w:rsid w:val="007C1BD7"/>
    <w:rsid w:val="007C59A2"/>
    <w:rsid w:val="007D3797"/>
    <w:rsid w:val="007D6B2F"/>
    <w:rsid w:val="007E4DDF"/>
    <w:rsid w:val="007E6110"/>
    <w:rsid w:val="007F3BF9"/>
    <w:rsid w:val="007F4C77"/>
    <w:rsid w:val="00801453"/>
    <w:rsid w:val="00810DAC"/>
    <w:rsid w:val="00811206"/>
    <w:rsid w:val="0081372D"/>
    <w:rsid w:val="00821A3C"/>
    <w:rsid w:val="008417B2"/>
    <w:rsid w:val="00842BF7"/>
    <w:rsid w:val="00845258"/>
    <w:rsid w:val="00850761"/>
    <w:rsid w:val="00852D47"/>
    <w:rsid w:val="008542F9"/>
    <w:rsid w:val="00864027"/>
    <w:rsid w:val="008735E9"/>
    <w:rsid w:val="008804B2"/>
    <w:rsid w:val="00884312"/>
    <w:rsid w:val="008871D8"/>
    <w:rsid w:val="00887489"/>
    <w:rsid w:val="00894118"/>
    <w:rsid w:val="008B065E"/>
    <w:rsid w:val="008B6096"/>
    <w:rsid w:val="008C030E"/>
    <w:rsid w:val="008C7982"/>
    <w:rsid w:val="008D075E"/>
    <w:rsid w:val="008D0A67"/>
    <w:rsid w:val="008D2E12"/>
    <w:rsid w:val="008E5873"/>
    <w:rsid w:val="008F3040"/>
    <w:rsid w:val="00902781"/>
    <w:rsid w:val="00904145"/>
    <w:rsid w:val="00916AAB"/>
    <w:rsid w:val="009221C0"/>
    <w:rsid w:val="00931580"/>
    <w:rsid w:val="00933ADF"/>
    <w:rsid w:val="009345DA"/>
    <w:rsid w:val="00934822"/>
    <w:rsid w:val="009350AB"/>
    <w:rsid w:val="009364C6"/>
    <w:rsid w:val="00940CD5"/>
    <w:rsid w:val="009421EF"/>
    <w:rsid w:val="00952B17"/>
    <w:rsid w:val="009578E3"/>
    <w:rsid w:val="00961E9F"/>
    <w:rsid w:val="00972151"/>
    <w:rsid w:val="00972387"/>
    <w:rsid w:val="00972732"/>
    <w:rsid w:val="00972AC1"/>
    <w:rsid w:val="00975D45"/>
    <w:rsid w:val="0098275A"/>
    <w:rsid w:val="00986964"/>
    <w:rsid w:val="009929DA"/>
    <w:rsid w:val="009938E9"/>
    <w:rsid w:val="009959BF"/>
    <w:rsid w:val="009A0C02"/>
    <w:rsid w:val="009B435A"/>
    <w:rsid w:val="009B5262"/>
    <w:rsid w:val="009C0516"/>
    <w:rsid w:val="009C504E"/>
    <w:rsid w:val="009C6DB4"/>
    <w:rsid w:val="009D0447"/>
    <w:rsid w:val="009D1778"/>
    <w:rsid w:val="009D17A9"/>
    <w:rsid w:val="009D5334"/>
    <w:rsid w:val="009E274E"/>
    <w:rsid w:val="009E42DF"/>
    <w:rsid w:val="009F5A59"/>
    <w:rsid w:val="00A04A5A"/>
    <w:rsid w:val="00A11EB1"/>
    <w:rsid w:val="00A20634"/>
    <w:rsid w:val="00A21D92"/>
    <w:rsid w:val="00A27BC8"/>
    <w:rsid w:val="00A320F0"/>
    <w:rsid w:val="00A402A3"/>
    <w:rsid w:val="00A43504"/>
    <w:rsid w:val="00A50D6F"/>
    <w:rsid w:val="00A518D5"/>
    <w:rsid w:val="00A52A68"/>
    <w:rsid w:val="00A5631E"/>
    <w:rsid w:val="00A63842"/>
    <w:rsid w:val="00A6661A"/>
    <w:rsid w:val="00A85CD5"/>
    <w:rsid w:val="00A876C4"/>
    <w:rsid w:val="00A87C35"/>
    <w:rsid w:val="00A9485D"/>
    <w:rsid w:val="00A96EE5"/>
    <w:rsid w:val="00AB15F0"/>
    <w:rsid w:val="00AC565C"/>
    <w:rsid w:val="00AC766B"/>
    <w:rsid w:val="00AD2659"/>
    <w:rsid w:val="00AD28C1"/>
    <w:rsid w:val="00AE13E4"/>
    <w:rsid w:val="00AE5C9C"/>
    <w:rsid w:val="00AF2CDA"/>
    <w:rsid w:val="00B05080"/>
    <w:rsid w:val="00B14284"/>
    <w:rsid w:val="00B15496"/>
    <w:rsid w:val="00B229BE"/>
    <w:rsid w:val="00B249E0"/>
    <w:rsid w:val="00B2713F"/>
    <w:rsid w:val="00B36E6E"/>
    <w:rsid w:val="00B46D68"/>
    <w:rsid w:val="00B627FF"/>
    <w:rsid w:val="00B63E7B"/>
    <w:rsid w:val="00B66E13"/>
    <w:rsid w:val="00B72FF2"/>
    <w:rsid w:val="00B75B81"/>
    <w:rsid w:val="00B84DAD"/>
    <w:rsid w:val="00B86F37"/>
    <w:rsid w:val="00B9140A"/>
    <w:rsid w:val="00B94DAF"/>
    <w:rsid w:val="00BA19C6"/>
    <w:rsid w:val="00BB250D"/>
    <w:rsid w:val="00BB42EC"/>
    <w:rsid w:val="00BB7F39"/>
    <w:rsid w:val="00BC2DC4"/>
    <w:rsid w:val="00BC2E49"/>
    <w:rsid w:val="00BC31E1"/>
    <w:rsid w:val="00BE0490"/>
    <w:rsid w:val="00BE162A"/>
    <w:rsid w:val="00BE6134"/>
    <w:rsid w:val="00BE7A07"/>
    <w:rsid w:val="00C010D2"/>
    <w:rsid w:val="00C021AC"/>
    <w:rsid w:val="00C03B79"/>
    <w:rsid w:val="00C04CD2"/>
    <w:rsid w:val="00C1339C"/>
    <w:rsid w:val="00C17880"/>
    <w:rsid w:val="00C1798E"/>
    <w:rsid w:val="00C22F90"/>
    <w:rsid w:val="00C2407B"/>
    <w:rsid w:val="00C3673B"/>
    <w:rsid w:val="00C422CE"/>
    <w:rsid w:val="00C42C69"/>
    <w:rsid w:val="00C50677"/>
    <w:rsid w:val="00C56432"/>
    <w:rsid w:val="00C60FA1"/>
    <w:rsid w:val="00C74677"/>
    <w:rsid w:val="00C776A2"/>
    <w:rsid w:val="00C803DF"/>
    <w:rsid w:val="00C808DE"/>
    <w:rsid w:val="00C83846"/>
    <w:rsid w:val="00C919B9"/>
    <w:rsid w:val="00C94773"/>
    <w:rsid w:val="00CA325B"/>
    <w:rsid w:val="00CA5B98"/>
    <w:rsid w:val="00CA6C69"/>
    <w:rsid w:val="00CC5EFA"/>
    <w:rsid w:val="00CD779C"/>
    <w:rsid w:val="00CE00FC"/>
    <w:rsid w:val="00CE0CE3"/>
    <w:rsid w:val="00CF24D1"/>
    <w:rsid w:val="00D00349"/>
    <w:rsid w:val="00D035D8"/>
    <w:rsid w:val="00D06AE9"/>
    <w:rsid w:val="00D07D0A"/>
    <w:rsid w:val="00D177DB"/>
    <w:rsid w:val="00D17FB0"/>
    <w:rsid w:val="00D20001"/>
    <w:rsid w:val="00D21E45"/>
    <w:rsid w:val="00D23331"/>
    <w:rsid w:val="00D23FB8"/>
    <w:rsid w:val="00D31595"/>
    <w:rsid w:val="00D32762"/>
    <w:rsid w:val="00D32E00"/>
    <w:rsid w:val="00D35BF1"/>
    <w:rsid w:val="00D3661A"/>
    <w:rsid w:val="00D429AF"/>
    <w:rsid w:val="00D5082F"/>
    <w:rsid w:val="00D5233E"/>
    <w:rsid w:val="00D562BD"/>
    <w:rsid w:val="00D60BE1"/>
    <w:rsid w:val="00D75D59"/>
    <w:rsid w:val="00D82F5D"/>
    <w:rsid w:val="00D92F0F"/>
    <w:rsid w:val="00DA4270"/>
    <w:rsid w:val="00DA702A"/>
    <w:rsid w:val="00DC4D43"/>
    <w:rsid w:val="00DD3523"/>
    <w:rsid w:val="00DE0EC0"/>
    <w:rsid w:val="00DE3A0B"/>
    <w:rsid w:val="00DE4EEA"/>
    <w:rsid w:val="00DF20E3"/>
    <w:rsid w:val="00DF3862"/>
    <w:rsid w:val="00DF40B8"/>
    <w:rsid w:val="00E00089"/>
    <w:rsid w:val="00E001BC"/>
    <w:rsid w:val="00E16D21"/>
    <w:rsid w:val="00E17603"/>
    <w:rsid w:val="00E176AF"/>
    <w:rsid w:val="00E22D30"/>
    <w:rsid w:val="00E2485A"/>
    <w:rsid w:val="00E25BC4"/>
    <w:rsid w:val="00E33CC2"/>
    <w:rsid w:val="00E4375E"/>
    <w:rsid w:val="00E472B8"/>
    <w:rsid w:val="00E62451"/>
    <w:rsid w:val="00E64273"/>
    <w:rsid w:val="00E64468"/>
    <w:rsid w:val="00E7200D"/>
    <w:rsid w:val="00E85CA4"/>
    <w:rsid w:val="00E876B6"/>
    <w:rsid w:val="00E877A4"/>
    <w:rsid w:val="00E9133C"/>
    <w:rsid w:val="00E97D7F"/>
    <w:rsid w:val="00EC1D0C"/>
    <w:rsid w:val="00EC6E6F"/>
    <w:rsid w:val="00ED09DC"/>
    <w:rsid w:val="00ED2149"/>
    <w:rsid w:val="00ED2E66"/>
    <w:rsid w:val="00EE03F0"/>
    <w:rsid w:val="00EE2D86"/>
    <w:rsid w:val="00EF36B1"/>
    <w:rsid w:val="00EF472D"/>
    <w:rsid w:val="00EF6B24"/>
    <w:rsid w:val="00F05BFD"/>
    <w:rsid w:val="00F1348D"/>
    <w:rsid w:val="00F21CDF"/>
    <w:rsid w:val="00F2230A"/>
    <w:rsid w:val="00F22A42"/>
    <w:rsid w:val="00F32144"/>
    <w:rsid w:val="00F331CD"/>
    <w:rsid w:val="00F54A93"/>
    <w:rsid w:val="00F758D9"/>
    <w:rsid w:val="00F77F7E"/>
    <w:rsid w:val="00FB666E"/>
    <w:rsid w:val="00FB6D65"/>
    <w:rsid w:val="00FC0B0A"/>
    <w:rsid w:val="00FC53F4"/>
    <w:rsid w:val="00FD1B54"/>
    <w:rsid w:val="00FD2582"/>
    <w:rsid w:val="00FD6BB4"/>
    <w:rsid w:val="00FE3AA9"/>
    <w:rsid w:val="00FE42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05A8F"/>
  <w15:chartTrackingRefBased/>
  <w15:docId w15:val="{0E5F6BF5-7EEE-4081-A277-0A570AEC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1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1E0"/>
  </w:style>
  <w:style w:type="paragraph" w:styleId="Piedepgina">
    <w:name w:val="footer"/>
    <w:basedOn w:val="Normal"/>
    <w:link w:val="PiedepginaCar"/>
    <w:uiPriority w:val="99"/>
    <w:unhideWhenUsed/>
    <w:rsid w:val="005E21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1E0"/>
  </w:style>
  <w:style w:type="paragraph" w:styleId="Textonotapie">
    <w:name w:val="footnote text"/>
    <w:basedOn w:val="Normal"/>
    <w:link w:val="TextonotapieCar"/>
    <w:uiPriority w:val="99"/>
    <w:semiHidden/>
    <w:unhideWhenUsed/>
    <w:rsid w:val="002478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78E6"/>
    <w:rPr>
      <w:sz w:val="20"/>
      <w:szCs w:val="20"/>
    </w:rPr>
  </w:style>
  <w:style w:type="character" w:styleId="Refdenotaalpie">
    <w:name w:val="footnote reference"/>
    <w:basedOn w:val="Fuentedeprrafopredeter"/>
    <w:uiPriority w:val="99"/>
    <w:semiHidden/>
    <w:unhideWhenUsed/>
    <w:rsid w:val="002478E6"/>
    <w:rPr>
      <w:vertAlign w:val="superscript"/>
    </w:rPr>
  </w:style>
  <w:style w:type="paragraph" w:styleId="Textonotaalfinal">
    <w:name w:val="endnote text"/>
    <w:basedOn w:val="Normal"/>
    <w:link w:val="TextonotaalfinalCar"/>
    <w:uiPriority w:val="99"/>
    <w:semiHidden/>
    <w:unhideWhenUsed/>
    <w:rsid w:val="006632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6327C"/>
    <w:rPr>
      <w:sz w:val="20"/>
      <w:szCs w:val="20"/>
    </w:rPr>
  </w:style>
  <w:style w:type="character" w:styleId="Refdenotaalfinal">
    <w:name w:val="endnote reference"/>
    <w:basedOn w:val="Fuentedeprrafopredeter"/>
    <w:uiPriority w:val="99"/>
    <w:semiHidden/>
    <w:unhideWhenUsed/>
    <w:rsid w:val="0066327C"/>
    <w:rPr>
      <w:vertAlign w:val="superscript"/>
    </w:rPr>
  </w:style>
  <w:style w:type="paragraph" w:styleId="Sinespaciado">
    <w:name w:val="No Spacing"/>
    <w:uiPriority w:val="1"/>
    <w:qFormat/>
    <w:rsid w:val="00845258"/>
    <w:pPr>
      <w:spacing w:after="0" w:line="240" w:lineRule="auto"/>
    </w:pPr>
  </w:style>
  <w:style w:type="paragraph" w:styleId="Textoindependiente">
    <w:name w:val="Body Text"/>
    <w:basedOn w:val="Normal"/>
    <w:link w:val="TextoindependienteCar"/>
    <w:uiPriority w:val="1"/>
    <w:qFormat/>
    <w:rsid w:val="00B94DAF"/>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B94DAF"/>
    <w:rPr>
      <w:rFonts w:ascii="Arial" w:eastAsia="Arial" w:hAnsi="Arial" w:cs="Arial"/>
      <w:sz w:val="24"/>
      <w:szCs w:val="24"/>
      <w:lang w:val="es-ES"/>
    </w:rPr>
  </w:style>
  <w:style w:type="paragraph" w:styleId="Revisin">
    <w:name w:val="Revision"/>
    <w:hidden/>
    <w:uiPriority w:val="99"/>
    <w:semiHidden/>
    <w:rsid w:val="00B2713F"/>
    <w:pPr>
      <w:spacing w:after="0" w:line="240" w:lineRule="auto"/>
    </w:pPr>
  </w:style>
  <w:style w:type="character" w:styleId="Refdecomentario">
    <w:name w:val="annotation reference"/>
    <w:basedOn w:val="Fuentedeprrafopredeter"/>
    <w:uiPriority w:val="99"/>
    <w:semiHidden/>
    <w:unhideWhenUsed/>
    <w:rsid w:val="00B05080"/>
    <w:rPr>
      <w:sz w:val="16"/>
      <w:szCs w:val="16"/>
    </w:rPr>
  </w:style>
  <w:style w:type="paragraph" w:styleId="Textocomentario">
    <w:name w:val="annotation text"/>
    <w:basedOn w:val="Normal"/>
    <w:link w:val="TextocomentarioCar"/>
    <w:uiPriority w:val="99"/>
    <w:unhideWhenUsed/>
    <w:rsid w:val="00B05080"/>
    <w:pPr>
      <w:spacing w:line="240" w:lineRule="auto"/>
    </w:pPr>
    <w:rPr>
      <w:sz w:val="20"/>
      <w:szCs w:val="20"/>
    </w:rPr>
  </w:style>
  <w:style w:type="character" w:customStyle="1" w:styleId="TextocomentarioCar">
    <w:name w:val="Texto comentario Car"/>
    <w:basedOn w:val="Fuentedeprrafopredeter"/>
    <w:link w:val="Textocomentario"/>
    <w:uiPriority w:val="99"/>
    <w:rsid w:val="00B05080"/>
    <w:rPr>
      <w:sz w:val="20"/>
      <w:szCs w:val="20"/>
    </w:rPr>
  </w:style>
  <w:style w:type="paragraph" w:styleId="Asuntodelcomentario">
    <w:name w:val="annotation subject"/>
    <w:basedOn w:val="Textocomentario"/>
    <w:next w:val="Textocomentario"/>
    <w:link w:val="AsuntodelcomentarioCar"/>
    <w:uiPriority w:val="99"/>
    <w:semiHidden/>
    <w:unhideWhenUsed/>
    <w:rsid w:val="00B05080"/>
    <w:rPr>
      <w:b/>
      <w:bCs/>
    </w:rPr>
  </w:style>
  <w:style w:type="character" w:customStyle="1" w:styleId="AsuntodelcomentarioCar">
    <w:name w:val="Asunto del comentario Car"/>
    <w:basedOn w:val="TextocomentarioCar"/>
    <w:link w:val="Asuntodelcomentario"/>
    <w:uiPriority w:val="99"/>
    <w:semiHidden/>
    <w:rsid w:val="00B05080"/>
    <w:rPr>
      <w:b/>
      <w:bCs/>
      <w:sz w:val="20"/>
      <w:szCs w:val="20"/>
    </w:rPr>
  </w:style>
  <w:style w:type="character" w:customStyle="1" w:styleId="cf01">
    <w:name w:val="cf01"/>
    <w:basedOn w:val="Fuentedeprrafopredeter"/>
    <w:rsid w:val="00BC31E1"/>
    <w:rPr>
      <w:rFonts w:ascii="Segoe UI" w:hAnsi="Segoe UI" w:cs="Segoe UI" w:hint="default"/>
      <w:sz w:val="18"/>
      <w:szCs w:val="18"/>
    </w:rPr>
  </w:style>
  <w:style w:type="character" w:customStyle="1" w:styleId="cf11">
    <w:name w:val="cf11"/>
    <w:basedOn w:val="Fuentedeprrafopredeter"/>
    <w:rsid w:val="00A52A68"/>
    <w:rPr>
      <w:rFonts w:ascii="Segoe UI" w:hAnsi="Segoe UI" w:cs="Segoe UI" w:hint="default"/>
      <w:color w:val="221E1F"/>
      <w:sz w:val="18"/>
      <w:szCs w:val="18"/>
    </w:rPr>
  </w:style>
  <w:style w:type="paragraph" w:styleId="Textodeglobo">
    <w:name w:val="Balloon Text"/>
    <w:basedOn w:val="Normal"/>
    <w:link w:val="TextodegloboCar"/>
    <w:uiPriority w:val="99"/>
    <w:semiHidden/>
    <w:unhideWhenUsed/>
    <w:rsid w:val="002B6B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BB9"/>
    <w:rPr>
      <w:rFonts w:ascii="Segoe UI" w:hAnsi="Segoe UI" w:cs="Segoe UI"/>
      <w:sz w:val="18"/>
      <w:szCs w:val="18"/>
    </w:rPr>
  </w:style>
  <w:style w:type="paragraph" w:styleId="NormalWeb">
    <w:name w:val="Normal (Web)"/>
    <w:basedOn w:val="Normal"/>
    <w:uiPriority w:val="99"/>
    <w:unhideWhenUsed/>
    <w:rsid w:val="005658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D0447"/>
    <w:rPr>
      <w:color w:val="0563C1" w:themeColor="hyperlink"/>
      <w:u w:val="single"/>
    </w:rPr>
  </w:style>
  <w:style w:type="character" w:styleId="Mencinsinresolver">
    <w:name w:val="Unresolved Mention"/>
    <w:basedOn w:val="Fuentedeprrafopredeter"/>
    <w:uiPriority w:val="99"/>
    <w:semiHidden/>
    <w:unhideWhenUsed/>
    <w:rsid w:val="009D0447"/>
    <w:rPr>
      <w:color w:val="605E5C"/>
      <w:shd w:val="clear" w:color="auto" w:fill="E1DFDD"/>
    </w:rPr>
  </w:style>
  <w:style w:type="paragraph" w:styleId="Prrafodelista">
    <w:name w:val="List Paragraph"/>
    <w:basedOn w:val="Normal"/>
    <w:uiPriority w:val="34"/>
    <w:qFormat/>
    <w:rsid w:val="0077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9129">
      <w:bodyDiv w:val="1"/>
      <w:marLeft w:val="0"/>
      <w:marRight w:val="0"/>
      <w:marTop w:val="0"/>
      <w:marBottom w:val="0"/>
      <w:divBdr>
        <w:top w:val="none" w:sz="0" w:space="0" w:color="auto"/>
        <w:left w:val="none" w:sz="0" w:space="0" w:color="auto"/>
        <w:bottom w:val="none" w:sz="0" w:space="0" w:color="auto"/>
        <w:right w:val="none" w:sz="0" w:space="0" w:color="auto"/>
      </w:divBdr>
    </w:div>
    <w:div w:id="8065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9" Type="http://schemas.openxmlformats.org/officeDocument/2006/relationships/header" Target="header2.xml"/><Relationship Id="rId21" Type="http://schemas.openxmlformats.org/officeDocument/2006/relationships/image" Target="media/image14.png"/><Relationship Id="rId34" Type="http://schemas.openxmlformats.org/officeDocument/2006/relationships/hyperlink" Target="https://www.youtube.com/user/INEGIInform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twitter.com/INEGI_INFORMA" TargetMode="External"/><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facebook.com/INEGIInforma/" TargetMode="External"/><Relationship Id="rId36" Type="http://schemas.openxmlformats.org/officeDocument/2006/relationships/hyperlink" Target="http://www.inegi.org.mx/"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hyperlink" Target="https://www.instagram.com/inegi_informa/" TargetMode="External"/><Relationship Id="rId35" Type="http://schemas.openxmlformats.org/officeDocument/2006/relationships/image" Target="media/image22.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comunicacionsocial@inegi.org.mx" TargetMode="External"/><Relationship Id="rId33" Type="http://schemas.openxmlformats.org/officeDocument/2006/relationships/image" Target="media/image21.jpeg"/><Relationship Id="rId38" Type="http://schemas.openxmlformats.org/officeDocument/2006/relationships/hyperlink" Target="http://www.inegi.org.mx/investigacion/ecis/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2E10-6206-4EF0-B68C-39289898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2893</Words>
  <Characters>15917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GUARDADO OJEDA FRANCISCO JAVIER</dc:creator>
  <cp:keywords/>
  <dc:description/>
  <cp:lastModifiedBy>MORONES RUIZ FABIOLA CRISTINA</cp:lastModifiedBy>
  <cp:revision>3</cp:revision>
  <cp:lastPrinted>2022-09-29T10:56:00Z</cp:lastPrinted>
  <dcterms:created xsi:type="dcterms:W3CDTF">2022-09-29T13:17:00Z</dcterms:created>
  <dcterms:modified xsi:type="dcterms:W3CDTF">2022-09-29T13:48:00Z</dcterms:modified>
</cp:coreProperties>
</file>