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CCCC4" w14:textId="77777777" w:rsidR="00830733" w:rsidRDefault="00830733" w:rsidP="006E449D">
      <w:pPr>
        <w:pStyle w:val="1Ttulos"/>
        <w:ind w:left="708" w:hanging="708"/>
        <w:rPr>
          <w:color w:val="000000" w:themeColor="text1"/>
        </w:rPr>
      </w:pPr>
    </w:p>
    <w:p w14:paraId="21C899C3" w14:textId="3338809B" w:rsidR="00CF56CC" w:rsidRPr="005061E2" w:rsidRDefault="00CF56CC" w:rsidP="006E449D">
      <w:pPr>
        <w:pStyle w:val="1Ttulos"/>
        <w:ind w:left="708" w:hanging="708"/>
        <w:rPr>
          <w:color w:val="000000" w:themeColor="text1"/>
        </w:rPr>
      </w:pPr>
      <w:bookmarkStart w:id="0" w:name="_GoBack"/>
      <w:r w:rsidRPr="005061E2">
        <w:rPr>
          <w:color w:val="000000" w:themeColor="text1"/>
        </w:rPr>
        <w:t xml:space="preserve">INDICADORES LABORALES PARA LOS MUNICIPIOS </w:t>
      </w:r>
      <w:r w:rsidR="000433B1">
        <w:rPr>
          <w:color w:val="000000" w:themeColor="text1"/>
        </w:rPr>
        <w:t>Y DEMARCACIONES TERRITO</w:t>
      </w:r>
      <w:r w:rsidR="009807D2">
        <w:rPr>
          <w:color w:val="000000" w:themeColor="text1"/>
        </w:rPr>
        <w:t>R</w:t>
      </w:r>
      <w:r w:rsidR="000433B1">
        <w:rPr>
          <w:color w:val="000000" w:themeColor="text1"/>
        </w:rPr>
        <w:t xml:space="preserve">IALES </w:t>
      </w:r>
      <w:r w:rsidRPr="005061E2">
        <w:rPr>
          <w:color w:val="000000" w:themeColor="text1"/>
        </w:rPr>
        <w:t>DE MÉXICO</w:t>
      </w:r>
      <w:bookmarkEnd w:id="0"/>
      <w:r w:rsidR="000433B1">
        <w:rPr>
          <w:color w:val="000000" w:themeColor="text1"/>
        </w:rPr>
        <w:t>, PRIMER TRIMESTRE DE</w:t>
      </w:r>
      <w:r w:rsidRPr="005061E2">
        <w:rPr>
          <w:color w:val="000000" w:themeColor="text1"/>
        </w:rPr>
        <w:t xml:space="preserve"> 2021</w:t>
      </w:r>
    </w:p>
    <w:p w14:paraId="27BF9326" w14:textId="61F2BF04" w:rsidR="00CF56CC" w:rsidRDefault="00CF56CC" w:rsidP="00CF56CC">
      <w:pPr>
        <w:pStyle w:val="Textoindependiente"/>
        <w:ind w:left="-567" w:right="-518"/>
        <w:jc w:val="center"/>
        <w:rPr>
          <w:rFonts w:ascii="Arial" w:hAnsi="Arial" w:cs="Arial"/>
          <w:b/>
          <w:color w:val="000000" w:themeColor="text1"/>
        </w:rPr>
      </w:pPr>
      <w:r w:rsidRPr="005061E2">
        <w:rPr>
          <w:rFonts w:ascii="Arial" w:hAnsi="Arial" w:cs="Arial"/>
          <w:b/>
          <w:color w:val="000000" w:themeColor="text1"/>
        </w:rPr>
        <w:t xml:space="preserve"> ESTIMACIÓN EN ÁREAS PEQUEÑAS</w:t>
      </w:r>
      <w:bookmarkStart w:id="1" w:name="_Hlk98944132"/>
    </w:p>
    <w:p w14:paraId="3896F204" w14:textId="11CF5D12" w:rsidR="007125EE" w:rsidRPr="003F7E46" w:rsidRDefault="007125EE" w:rsidP="00CF56CC">
      <w:pPr>
        <w:pStyle w:val="Textoindependiente"/>
        <w:ind w:left="-567" w:right="-518"/>
        <w:jc w:val="center"/>
        <w:rPr>
          <w:rFonts w:ascii="Arial" w:hAnsi="Arial" w:cs="Arial"/>
          <w:b/>
          <w:color w:val="000000" w:themeColor="text1"/>
          <w:sz w:val="2"/>
          <w:szCs w:val="2"/>
        </w:rPr>
      </w:pPr>
    </w:p>
    <w:p w14:paraId="30A6EE17" w14:textId="7A4E91B3" w:rsidR="007125EE" w:rsidRPr="005639BE" w:rsidRDefault="0075604A" w:rsidP="007125EE">
      <w:pPr>
        <w:pStyle w:val="3Vietas1"/>
        <w:rPr>
          <w:sz w:val="24"/>
        </w:rPr>
      </w:pPr>
      <w:bookmarkStart w:id="2" w:name="_Hlk99014263"/>
      <w:r>
        <w:rPr>
          <w:sz w:val="24"/>
        </w:rPr>
        <w:t>La</w:t>
      </w:r>
      <w:r w:rsidR="007125EE" w:rsidRPr="005639BE">
        <w:rPr>
          <w:sz w:val="24"/>
        </w:rPr>
        <w:t xml:space="preserve"> </w:t>
      </w:r>
      <w:r>
        <w:rPr>
          <w:sz w:val="24"/>
        </w:rPr>
        <w:t xml:space="preserve">medición </w:t>
      </w:r>
      <w:r w:rsidR="002303E1">
        <w:rPr>
          <w:sz w:val="24"/>
        </w:rPr>
        <w:t xml:space="preserve">de </w:t>
      </w:r>
      <w:r w:rsidR="00224D31">
        <w:rPr>
          <w:sz w:val="24"/>
        </w:rPr>
        <w:t>estos</w:t>
      </w:r>
      <w:r w:rsidR="002303E1">
        <w:rPr>
          <w:sz w:val="24"/>
        </w:rPr>
        <w:t xml:space="preserve"> indicadores laborales</w:t>
      </w:r>
      <w:r w:rsidR="003C635F">
        <w:rPr>
          <w:sz w:val="24"/>
        </w:rPr>
        <w:t xml:space="preserve"> </w:t>
      </w:r>
      <w:r>
        <w:rPr>
          <w:sz w:val="24"/>
        </w:rPr>
        <w:t xml:space="preserve">se realiza </w:t>
      </w:r>
      <w:r w:rsidR="007125EE" w:rsidRPr="005639BE">
        <w:rPr>
          <w:sz w:val="24"/>
        </w:rPr>
        <w:t>mediante técnicas de estimación en áreas pequeñas</w:t>
      </w:r>
      <w:r w:rsidR="00FA254C">
        <w:rPr>
          <w:sz w:val="24"/>
        </w:rPr>
        <w:t>.</w:t>
      </w:r>
      <w:r>
        <w:rPr>
          <w:sz w:val="24"/>
        </w:rPr>
        <w:t xml:space="preserve"> </w:t>
      </w:r>
      <w:r w:rsidR="003C3D6F" w:rsidRPr="00C425D7">
        <w:rPr>
          <w:sz w:val="24"/>
        </w:rPr>
        <w:t xml:space="preserve">Esta es la cuarta publicación anual de una serie que comenzó </w:t>
      </w:r>
      <w:r w:rsidR="00846A37" w:rsidRPr="00C425D7">
        <w:rPr>
          <w:sz w:val="24"/>
        </w:rPr>
        <w:t xml:space="preserve">en </w:t>
      </w:r>
      <w:r w:rsidR="003C3D6F" w:rsidRPr="00C425D7">
        <w:rPr>
          <w:sz w:val="24"/>
        </w:rPr>
        <w:t>2017.</w:t>
      </w:r>
      <w:r w:rsidR="003C3D6F">
        <w:rPr>
          <w:sz w:val="24"/>
        </w:rPr>
        <w:t xml:space="preserve"> </w:t>
      </w:r>
    </w:p>
    <w:p w14:paraId="0F08B576" w14:textId="4E8B4829" w:rsidR="007125EE" w:rsidRPr="005639BE" w:rsidRDefault="007125EE" w:rsidP="007125EE">
      <w:pPr>
        <w:pStyle w:val="3Vietas1"/>
        <w:rPr>
          <w:sz w:val="24"/>
        </w:rPr>
      </w:pPr>
      <w:r w:rsidRPr="005639BE">
        <w:rPr>
          <w:sz w:val="24"/>
        </w:rPr>
        <w:t>Estos métodos de medición permiten</w:t>
      </w:r>
      <w:r w:rsidR="00C75519">
        <w:rPr>
          <w:sz w:val="24"/>
        </w:rPr>
        <w:t xml:space="preserve"> dar</w:t>
      </w:r>
      <w:r w:rsidRPr="005639BE">
        <w:rPr>
          <w:sz w:val="24"/>
        </w:rPr>
        <w:t xml:space="preserve"> a</w:t>
      </w:r>
      <w:r w:rsidR="0075604A">
        <w:rPr>
          <w:sz w:val="24"/>
        </w:rPr>
        <w:t xml:space="preserve"> </w:t>
      </w:r>
      <w:r w:rsidRPr="005639BE">
        <w:rPr>
          <w:sz w:val="24"/>
        </w:rPr>
        <w:t xml:space="preserve">conocer anualmente, y para cada uno de los </w:t>
      </w:r>
      <w:r w:rsidRPr="009E21C0">
        <w:rPr>
          <w:sz w:val="24"/>
        </w:rPr>
        <w:t>2</w:t>
      </w:r>
      <w:r w:rsidR="00524EA2">
        <w:rPr>
          <w:sz w:val="24"/>
        </w:rPr>
        <w:t xml:space="preserve"> </w:t>
      </w:r>
      <w:r w:rsidRPr="009E21C0">
        <w:rPr>
          <w:sz w:val="24"/>
        </w:rPr>
        <w:t>4</w:t>
      </w:r>
      <w:r w:rsidR="00500FFD" w:rsidRPr="009E21C0">
        <w:rPr>
          <w:sz w:val="24"/>
        </w:rPr>
        <w:t>5</w:t>
      </w:r>
      <w:r w:rsidR="00525D63" w:rsidRPr="003F7E46">
        <w:rPr>
          <w:sz w:val="24"/>
        </w:rPr>
        <w:t>8</w:t>
      </w:r>
      <w:r w:rsidR="009E21C0" w:rsidRPr="003F7E46">
        <w:rPr>
          <w:rStyle w:val="Refdenotaalpie"/>
          <w:sz w:val="24"/>
        </w:rPr>
        <w:footnoteReference w:id="1"/>
      </w:r>
      <w:r w:rsidRPr="009E21C0">
        <w:rPr>
          <w:sz w:val="24"/>
        </w:rPr>
        <w:t xml:space="preserve"> municipios</w:t>
      </w:r>
      <w:r w:rsidRPr="005639BE">
        <w:rPr>
          <w:sz w:val="24"/>
        </w:rPr>
        <w:t xml:space="preserve"> del país, tres indicadores del mercado laboral: </w:t>
      </w:r>
      <w:r w:rsidR="00796717">
        <w:rPr>
          <w:sz w:val="24"/>
        </w:rPr>
        <w:t xml:space="preserve">la </w:t>
      </w:r>
      <w:r w:rsidRPr="005639BE">
        <w:rPr>
          <w:sz w:val="24"/>
        </w:rPr>
        <w:t>población económicamente activa</w:t>
      </w:r>
      <w:r w:rsidR="00A81F2A" w:rsidRPr="005639BE">
        <w:rPr>
          <w:sz w:val="24"/>
        </w:rPr>
        <w:t xml:space="preserve"> (PEA)</w:t>
      </w:r>
      <w:r w:rsidRPr="005639BE">
        <w:rPr>
          <w:sz w:val="24"/>
        </w:rPr>
        <w:t xml:space="preserve">, </w:t>
      </w:r>
      <w:r w:rsidR="00796717">
        <w:rPr>
          <w:sz w:val="24"/>
        </w:rPr>
        <w:t xml:space="preserve">la </w:t>
      </w:r>
      <w:r w:rsidRPr="005639BE">
        <w:rPr>
          <w:sz w:val="24"/>
        </w:rPr>
        <w:t>población ocupada</w:t>
      </w:r>
      <w:r w:rsidR="00A81F2A" w:rsidRPr="005639BE">
        <w:rPr>
          <w:sz w:val="24"/>
        </w:rPr>
        <w:t xml:space="preserve"> (ocupados)</w:t>
      </w:r>
      <w:r w:rsidRPr="005639BE">
        <w:rPr>
          <w:sz w:val="24"/>
        </w:rPr>
        <w:t xml:space="preserve"> y </w:t>
      </w:r>
      <w:r w:rsidR="00796717">
        <w:rPr>
          <w:sz w:val="24"/>
        </w:rPr>
        <w:t xml:space="preserve">la </w:t>
      </w:r>
      <w:r w:rsidRPr="005639BE">
        <w:rPr>
          <w:sz w:val="24"/>
        </w:rPr>
        <w:t>población ocupada informal</w:t>
      </w:r>
      <w:r w:rsidR="00A81F2A" w:rsidRPr="005639BE">
        <w:rPr>
          <w:sz w:val="24"/>
        </w:rPr>
        <w:t xml:space="preserve"> (informales)</w:t>
      </w:r>
      <w:r w:rsidRPr="005639BE">
        <w:rPr>
          <w:sz w:val="24"/>
        </w:rPr>
        <w:t>.</w:t>
      </w:r>
    </w:p>
    <w:bookmarkEnd w:id="1"/>
    <w:bookmarkEnd w:id="2"/>
    <w:p w14:paraId="768CC8B9" w14:textId="59618912" w:rsidR="00BB130D" w:rsidRDefault="003C635F" w:rsidP="00BB130D">
      <w:pPr>
        <w:pStyle w:val="3Vietas1"/>
        <w:rPr>
          <w:sz w:val="24"/>
        </w:rPr>
      </w:pPr>
      <w:r>
        <w:rPr>
          <w:sz w:val="24"/>
          <w:lang w:val="es-MX"/>
        </w:rPr>
        <w:t xml:space="preserve">Si se compara </w:t>
      </w:r>
      <w:r w:rsidR="00110B58">
        <w:rPr>
          <w:sz w:val="24"/>
          <w:lang w:val="es-MX"/>
        </w:rPr>
        <w:t xml:space="preserve">el primer trimestre de 2020 </w:t>
      </w:r>
      <w:r>
        <w:rPr>
          <w:sz w:val="24"/>
          <w:lang w:val="es-MX"/>
        </w:rPr>
        <w:t xml:space="preserve">con el de </w:t>
      </w:r>
      <w:r w:rsidR="00110B58">
        <w:rPr>
          <w:sz w:val="24"/>
          <w:lang w:val="es-MX"/>
        </w:rPr>
        <w:t>2021</w:t>
      </w:r>
      <w:r w:rsidR="00D541A7">
        <w:rPr>
          <w:sz w:val="24"/>
          <w:lang w:val="es-MX"/>
        </w:rPr>
        <w:t>,</w:t>
      </w:r>
      <w:r w:rsidR="00C75519">
        <w:rPr>
          <w:sz w:val="24"/>
          <w:lang w:val="es-MX"/>
        </w:rPr>
        <w:t xml:space="preserve"> </w:t>
      </w:r>
      <w:r>
        <w:rPr>
          <w:sz w:val="24"/>
          <w:lang w:val="es-MX"/>
        </w:rPr>
        <w:t xml:space="preserve">se </w:t>
      </w:r>
      <w:r w:rsidR="00D541A7">
        <w:rPr>
          <w:sz w:val="24"/>
          <w:lang w:val="es-MX"/>
        </w:rPr>
        <w:t xml:space="preserve">observa </w:t>
      </w:r>
      <w:r>
        <w:rPr>
          <w:sz w:val="24"/>
          <w:lang w:val="es-MX"/>
        </w:rPr>
        <w:t xml:space="preserve">que </w:t>
      </w:r>
      <w:r w:rsidR="00110B58">
        <w:rPr>
          <w:sz w:val="24"/>
        </w:rPr>
        <w:t>33</w:t>
      </w:r>
      <w:r w:rsidR="001F6D24">
        <w:rPr>
          <w:sz w:val="24"/>
        </w:rPr>
        <w:t xml:space="preserve"> municipios y </w:t>
      </w:r>
      <w:r w:rsidR="00A83EAE">
        <w:rPr>
          <w:sz w:val="24"/>
        </w:rPr>
        <w:t xml:space="preserve">demarcaciones territoriales </w:t>
      </w:r>
      <w:r w:rsidR="008A1D81">
        <w:rPr>
          <w:sz w:val="24"/>
        </w:rPr>
        <w:t xml:space="preserve">del país incrementaron su tasa de la PEA, </w:t>
      </w:r>
      <w:r w:rsidR="002016D6">
        <w:rPr>
          <w:sz w:val="24"/>
        </w:rPr>
        <w:t>956 tuvieron un descenso y 1</w:t>
      </w:r>
      <w:r w:rsidR="00524EA2">
        <w:rPr>
          <w:sz w:val="24"/>
        </w:rPr>
        <w:t xml:space="preserve"> </w:t>
      </w:r>
      <w:r w:rsidR="002016D6">
        <w:rPr>
          <w:sz w:val="24"/>
        </w:rPr>
        <w:t>46</w:t>
      </w:r>
      <w:r w:rsidR="00500FFD">
        <w:rPr>
          <w:sz w:val="24"/>
        </w:rPr>
        <w:t>9</w:t>
      </w:r>
      <w:r w:rsidR="008A1D81">
        <w:rPr>
          <w:sz w:val="24"/>
        </w:rPr>
        <w:t xml:space="preserve"> </w:t>
      </w:r>
      <w:r w:rsidR="00D541A7">
        <w:rPr>
          <w:sz w:val="24"/>
        </w:rPr>
        <w:t xml:space="preserve">no presentaron </w:t>
      </w:r>
      <w:r w:rsidR="008A1D81">
        <w:rPr>
          <w:sz w:val="24"/>
        </w:rPr>
        <w:t>cambios</w:t>
      </w:r>
      <w:r w:rsidR="002016D6">
        <w:rPr>
          <w:sz w:val="24"/>
        </w:rPr>
        <w:t>.</w:t>
      </w:r>
      <w:r w:rsidR="008A1D81">
        <w:rPr>
          <w:sz w:val="24"/>
        </w:rPr>
        <w:t xml:space="preserve"> </w:t>
      </w:r>
      <w:r>
        <w:rPr>
          <w:sz w:val="24"/>
        </w:rPr>
        <w:t xml:space="preserve">La </w:t>
      </w:r>
      <w:r w:rsidR="007125EE">
        <w:rPr>
          <w:sz w:val="24"/>
        </w:rPr>
        <w:t>tasa de ocupación aumentó en 28 municipios, descendió en 5</w:t>
      </w:r>
      <w:r w:rsidR="00500FFD">
        <w:rPr>
          <w:sz w:val="24"/>
        </w:rPr>
        <w:t>7</w:t>
      </w:r>
      <w:r w:rsidR="007125EE">
        <w:rPr>
          <w:sz w:val="24"/>
        </w:rPr>
        <w:t xml:space="preserve"> y </w:t>
      </w:r>
      <w:r w:rsidR="00D541A7">
        <w:rPr>
          <w:sz w:val="24"/>
        </w:rPr>
        <w:t xml:space="preserve">no cambió </w:t>
      </w:r>
      <w:r w:rsidR="007125EE">
        <w:rPr>
          <w:sz w:val="24"/>
        </w:rPr>
        <w:t>en 2</w:t>
      </w:r>
      <w:r w:rsidR="00524EA2">
        <w:rPr>
          <w:sz w:val="24"/>
        </w:rPr>
        <w:t xml:space="preserve"> </w:t>
      </w:r>
      <w:r w:rsidR="007125EE">
        <w:rPr>
          <w:sz w:val="24"/>
        </w:rPr>
        <w:t>373.</w:t>
      </w:r>
    </w:p>
    <w:p w14:paraId="51F7ACE1" w14:textId="7D4A402F" w:rsidR="003F7E46" w:rsidRPr="003F7E46" w:rsidRDefault="00110B58" w:rsidP="003F7E46">
      <w:pPr>
        <w:pStyle w:val="3Vietas1"/>
        <w:rPr>
          <w:sz w:val="24"/>
        </w:rPr>
      </w:pPr>
      <w:r>
        <w:rPr>
          <w:sz w:val="24"/>
        </w:rPr>
        <w:t xml:space="preserve">Entre el primer trimestre de 2020 y </w:t>
      </w:r>
      <w:r w:rsidR="007E7B4A">
        <w:rPr>
          <w:sz w:val="24"/>
        </w:rPr>
        <w:t xml:space="preserve">el de </w:t>
      </w:r>
      <w:r w:rsidR="00576D9A">
        <w:rPr>
          <w:sz w:val="24"/>
        </w:rPr>
        <w:t>2021,</w:t>
      </w:r>
      <w:r w:rsidR="00BC0678">
        <w:rPr>
          <w:sz w:val="24"/>
        </w:rPr>
        <w:t xml:space="preserve"> </w:t>
      </w:r>
      <w:r w:rsidR="00BB130D" w:rsidRPr="00BB130D">
        <w:rPr>
          <w:sz w:val="24"/>
        </w:rPr>
        <w:t xml:space="preserve">los municipios del norte </w:t>
      </w:r>
      <w:r w:rsidR="007E7B4A">
        <w:rPr>
          <w:sz w:val="24"/>
        </w:rPr>
        <w:t xml:space="preserve">tuvieron las menores tasas de </w:t>
      </w:r>
      <w:r w:rsidR="00BB130D">
        <w:rPr>
          <w:sz w:val="24"/>
        </w:rPr>
        <w:t>informalidad</w:t>
      </w:r>
      <w:r w:rsidR="007E7B4A">
        <w:rPr>
          <w:sz w:val="24"/>
        </w:rPr>
        <w:t xml:space="preserve">. Por su parte, </w:t>
      </w:r>
      <w:r w:rsidR="00BB130D" w:rsidRPr="00BB130D">
        <w:rPr>
          <w:sz w:val="24"/>
        </w:rPr>
        <w:t xml:space="preserve">más de la mitad de los municipios de Chiapas, Guerrero, Oaxaca, Puebla y </w:t>
      </w:r>
      <w:r w:rsidR="00BB130D" w:rsidRPr="003F7E46">
        <w:rPr>
          <w:sz w:val="24"/>
        </w:rPr>
        <w:t xml:space="preserve">Veracruz </w:t>
      </w:r>
      <w:r w:rsidR="007E7B4A">
        <w:rPr>
          <w:sz w:val="24"/>
        </w:rPr>
        <w:t>presentó</w:t>
      </w:r>
      <w:r w:rsidR="003F7E46" w:rsidRPr="003F7E46">
        <w:rPr>
          <w:sz w:val="24"/>
        </w:rPr>
        <w:t xml:space="preserve"> una tasa de informalidad laboral superior a 80</w:t>
      </w:r>
      <w:r w:rsidR="007E7B4A">
        <w:rPr>
          <w:sz w:val="24"/>
        </w:rPr>
        <w:t xml:space="preserve"> %. </w:t>
      </w:r>
    </w:p>
    <w:p w14:paraId="4412EB59" w14:textId="62295CBA" w:rsidR="000F7C63" w:rsidRDefault="000F7C63" w:rsidP="007125EE">
      <w:pPr>
        <w:pStyle w:val="3Vietas1"/>
        <w:numPr>
          <w:ilvl w:val="0"/>
          <w:numId w:val="0"/>
        </w:numPr>
        <w:ind w:left="720"/>
        <w:rPr>
          <w:sz w:val="10"/>
          <w:szCs w:val="10"/>
        </w:rPr>
      </w:pPr>
    </w:p>
    <w:p w14:paraId="67D742DB" w14:textId="77777777" w:rsidR="00C425D7" w:rsidRPr="003F7E46" w:rsidRDefault="00C425D7" w:rsidP="007125EE">
      <w:pPr>
        <w:pStyle w:val="3Vietas1"/>
        <w:numPr>
          <w:ilvl w:val="0"/>
          <w:numId w:val="0"/>
        </w:numPr>
        <w:ind w:left="720"/>
        <w:rPr>
          <w:sz w:val="10"/>
          <w:szCs w:val="10"/>
        </w:rPr>
      </w:pPr>
    </w:p>
    <w:p w14:paraId="5B7C041A" w14:textId="3E31CEB3" w:rsidR="00755C5B" w:rsidRDefault="00CF56CC" w:rsidP="00E87059">
      <w:pPr>
        <w:ind w:right="51"/>
      </w:pPr>
      <w:r w:rsidRPr="00755C5B">
        <w:rPr>
          <w:sz w:val="24"/>
        </w:rPr>
        <w:t>El</w:t>
      </w:r>
      <w:r w:rsidR="005D6276">
        <w:rPr>
          <w:sz w:val="24"/>
        </w:rPr>
        <w:t xml:space="preserve"> Instituto Nacional de Estadística y Geografía</w:t>
      </w:r>
      <w:r w:rsidRPr="00755C5B">
        <w:rPr>
          <w:sz w:val="24"/>
        </w:rPr>
        <w:t xml:space="preserve"> </w:t>
      </w:r>
      <w:r w:rsidR="005D6276">
        <w:rPr>
          <w:sz w:val="24"/>
        </w:rPr>
        <w:t>(</w:t>
      </w:r>
      <w:r w:rsidRPr="00755C5B">
        <w:rPr>
          <w:sz w:val="24"/>
        </w:rPr>
        <w:t>INEGI</w:t>
      </w:r>
      <w:r w:rsidR="005D6276">
        <w:rPr>
          <w:sz w:val="24"/>
        </w:rPr>
        <w:t>)</w:t>
      </w:r>
      <w:r w:rsidRPr="00755C5B">
        <w:rPr>
          <w:sz w:val="24"/>
        </w:rPr>
        <w:t xml:space="preserve"> </w:t>
      </w:r>
      <w:r w:rsidR="00CD210B">
        <w:rPr>
          <w:sz w:val="24"/>
        </w:rPr>
        <w:t>pone a disposición del público</w:t>
      </w:r>
      <w:r w:rsidR="00CD210B" w:rsidRPr="00755C5B">
        <w:rPr>
          <w:sz w:val="24"/>
        </w:rPr>
        <w:t xml:space="preserve"> </w:t>
      </w:r>
      <w:r w:rsidRPr="00755C5B">
        <w:rPr>
          <w:sz w:val="24"/>
        </w:rPr>
        <w:t xml:space="preserve">los </w:t>
      </w:r>
      <w:r w:rsidRPr="00755C5B">
        <w:rPr>
          <w:i/>
          <w:sz w:val="24"/>
        </w:rPr>
        <w:t xml:space="preserve">Indicadores </w:t>
      </w:r>
      <w:r w:rsidR="0046341A">
        <w:rPr>
          <w:i/>
          <w:sz w:val="24"/>
        </w:rPr>
        <w:t>L</w:t>
      </w:r>
      <w:r w:rsidRPr="00755C5B">
        <w:rPr>
          <w:i/>
          <w:sz w:val="24"/>
        </w:rPr>
        <w:t xml:space="preserve">aborales para los </w:t>
      </w:r>
      <w:r w:rsidR="0046341A">
        <w:rPr>
          <w:i/>
          <w:sz w:val="24"/>
        </w:rPr>
        <w:t>M</w:t>
      </w:r>
      <w:r w:rsidRPr="00755C5B">
        <w:rPr>
          <w:i/>
          <w:sz w:val="24"/>
        </w:rPr>
        <w:t xml:space="preserve">unicipios de México </w:t>
      </w:r>
      <w:r w:rsidR="0046341A">
        <w:rPr>
          <w:i/>
          <w:sz w:val="24"/>
        </w:rPr>
        <w:t xml:space="preserve">(ILMM) </w:t>
      </w:r>
      <w:r w:rsidRPr="00755C5B">
        <w:rPr>
          <w:i/>
          <w:sz w:val="24"/>
        </w:rPr>
        <w:t>2021</w:t>
      </w:r>
      <w:r w:rsidR="0046341A">
        <w:rPr>
          <w:i/>
          <w:sz w:val="24"/>
        </w:rPr>
        <w:t xml:space="preserve">: estimación en </w:t>
      </w:r>
      <w:r w:rsidRPr="00755C5B">
        <w:rPr>
          <w:i/>
          <w:sz w:val="24"/>
        </w:rPr>
        <w:t>áreas pequeñas</w:t>
      </w:r>
      <w:r w:rsidR="007E7B4A">
        <w:rPr>
          <w:sz w:val="24"/>
        </w:rPr>
        <w:t xml:space="preserve">. Su objetivo es </w:t>
      </w:r>
      <w:r w:rsidRPr="00755C5B">
        <w:rPr>
          <w:sz w:val="24"/>
          <w:lang w:val="es-MX"/>
        </w:rPr>
        <w:t xml:space="preserve">ampliar la información </w:t>
      </w:r>
      <w:r w:rsidR="0046341A">
        <w:rPr>
          <w:sz w:val="24"/>
          <w:lang w:val="es-MX"/>
        </w:rPr>
        <w:t xml:space="preserve">de la </w:t>
      </w:r>
      <w:r w:rsidRPr="00755C5B">
        <w:rPr>
          <w:sz w:val="24"/>
          <w:lang w:val="es-MX"/>
        </w:rPr>
        <w:t>Encuesta Nacional de Ocupación y Empleo</w:t>
      </w:r>
      <w:r w:rsidRPr="00755C5B">
        <w:rPr>
          <w:color w:val="FF0000"/>
          <w:sz w:val="24"/>
          <w:lang w:val="es-MX"/>
        </w:rPr>
        <w:t xml:space="preserve"> </w:t>
      </w:r>
      <w:r w:rsidRPr="00755C5B">
        <w:rPr>
          <w:sz w:val="24"/>
          <w:lang w:val="es-MX"/>
        </w:rPr>
        <w:t>Nueva Edición</w:t>
      </w:r>
      <w:r w:rsidR="00B36B8B" w:rsidRPr="00755C5B">
        <w:rPr>
          <w:rStyle w:val="Refdenotaalpie"/>
          <w:color w:val="000000"/>
          <w:sz w:val="24"/>
        </w:rPr>
        <w:footnoteReference w:id="2"/>
      </w:r>
      <w:r w:rsidRPr="00755C5B">
        <w:rPr>
          <w:sz w:val="24"/>
          <w:lang w:val="es-MX"/>
        </w:rPr>
        <w:t xml:space="preserve"> (</w:t>
      </w:r>
      <w:r w:rsidR="00A233C4" w:rsidRPr="00755C5B">
        <w:rPr>
          <w:color w:val="000000"/>
          <w:sz w:val="24"/>
        </w:rPr>
        <w:t>ENOE</w:t>
      </w:r>
      <w:r w:rsidR="00A233C4" w:rsidRPr="00755C5B">
        <w:rPr>
          <w:color w:val="000000"/>
          <w:sz w:val="24"/>
          <w:vertAlign w:val="superscript"/>
        </w:rPr>
        <w:t>N</w:t>
      </w:r>
      <w:r w:rsidRPr="00755C5B">
        <w:rPr>
          <w:sz w:val="24"/>
          <w:lang w:val="es-MX"/>
        </w:rPr>
        <w:t>) con desagregación a nivel municipal.</w:t>
      </w:r>
      <w:r w:rsidR="00BC0678" w:rsidRPr="00D35878">
        <w:rPr>
          <w:sz w:val="24"/>
          <w:lang w:val="es-MX"/>
        </w:rPr>
        <w:t xml:space="preserve"> </w:t>
      </w:r>
      <w:r w:rsidR="00755C5B" w:rsidRPr="00D35878">
        <w:rPr>
          <w:sz w:val="24"/>
          <w:lang w:val="es-MX"/>
        </w:rPr>
        <w:t xml:space="preserve">La medición de los ILMM se realiza mediante técnicas de estimación en áreas pequeñas, </w:t>
      </w:r>
      <w:r w:rsidR="0046341A">
        <w:rPr>
          <w:sz w:val="24"/>
          <w:lang w:val="es-MX"/>
        </w:rPr>
        <w:t xml:space="preserve">lo que </w:t>
      </w:r>
      <w:r w:rsidR="00755C5B" w:rsidRPr="00D35878">
        <w:rPr>
          <w:sz w:val="24"/>
          <w:lang w:val="es-MX"/>
        </w:rPr>
        <w:t>fortalece el análisis estadístico de la información laboral disponible.</w:t>
      </w:r>
      <w:r w:rsidR="00755C5B" w:rsidRPr="00755C5B">
        <w:t xml:space="preserve"> </w:t>
      </w:r>
    </w:p>
    <w:p w14:paraId="0EB62A38" w14:textId="77777777" w:rsidR="00CF56CC" w:rsidRPr="002B7EF9" w:rsidRDefault="00CF56CC" w:rsidP="00032E49">
      <w:pPr>
        <w:ind w:right="51"/>
        <w:rPr>
          <w:sz w:val="10"/>
          <w:szCs w:val="10"/>
          <w:lang w:val="es-MX"/>
        </w:rPr>
      </w:pPr>
    </w:p>
    <w:p w14:paraId="7D7E6BE0" w14:textId="04D335E9" w:rsidR="00CF56CC" w:rsidRDefault="00576D9A" w:rsidP="00032E49">
      <w:pPr>
        <w:ind w:right="51"/>
        <w:rPr>
          <w:sz w:val="24"/>
        </w:rPr>
      </w:pPr>
      <w:r>
        <w:rPr>
          <w:sz w:val="24"/>
        </w:rPr>
        <w:t>Las estimaciones sobre l</w:t>
      </w:r>
      <w:r w:rsidR="00CF56CC" w:rsidRPr="00755C5B">
        <w:rPr>
          <w:sz w:val="24"/>
        </w:rPr>
        <w:t>as características laborales</w:t>
      </w:r>
      <w:r w:rsidR="00755C5B" w:rsidRPr="00755C5B">
        <w:rPr>
          <w:sz w:val="24"/>
        </w:rPr>
        <w:t xml:space="preserve"> para cada uno de los </w:t>
      </w:r>
      <w:r w:rsidR="00755C5B" w:rsidRPr="003A09D9">
        <w:rPr>
          <w:sz w:val="24"/>
        </w:rPr>
        <w:t>2</w:t>
      </w:r>
      <w:r w:rsidR="00524EA2">
        <w:rPr>
          <w:sz w:val="24"/>
        </w:rPr>
        <w:t xml:space="preserve"> </w:t>
      </w:r>
      <w:r w:rsidR="00755C5B" w:rsidRPr="003A09D9">
        <w:rPr>
          <w:sz w:val="24"/>
        </w:rPr>
        <w:t>45</w:t>
      </w:r>
      <w:r w:rsidR="0022038B" w:rsidRPr="003A09D9">
        <w:rPr>
          <w:sz w:val="24"/>
        </w:rPr>
        <w:t>8</w:t>
      </w:r>
      <w:r w:rsidR="002C6F73" w:rsidRPr="002C6F73">
        <w:rPr>
          <w:sz w:val="24"/>
          <w:vertAlign w:val="superscript"/>
        </w:rPr>
        <w:t>1</w:t>
      </w:r>
      <w:r w:rsidR="00755C5B" w:rsidRPr="00755C5B">
        <w:rPr>
          <w:sz w:val="24"/>
        </w:rPr>
        <w:t xml:space="preserve"> municipios</w:t>
      </w:r>
      <w:r w:rsidR="00BC2B18">
        <w:rPr>
          <w:sz w:val="24"/>
        </w:rPr>
        <w:t xml:space="preserve"> y </w:t>
      </w:r>
      <w:r w:rsidR="00A83EAE">
        <w:rPr>
          <w:sz w:val="24"/>
        </w:rPr>
        <w:t>demarcaciones territoriales</w:t>
      </w:r>
      <w:r w:rsidR="00755C5B" w:rsidRPr="00755C5B">
        <w:rPr>
          <w:sz w:val="24"/>
        </w:rPr>
        <w:t xml:space="preserve"> de</w:t>
      </w:r>
      <w:r w:rsidR="00BC2B18">
        <w:rPr>
          <w:sz w:val="24"/>
        </w:rPr>
        <w:t xml:space="preserve"> México</w:t>
      </w:r>
      <w:r w:rsidR="00110B58">
        <w:rPr>
          <w:sz w:val="24"/>
        </w:rPr>
        <w:t xml:space="preserve"> incluyen</w:t>
      </w:r>
      <w:r w:rsidR="0046341A">
        <w:rPr>
          <w:sz w:val="24"/>
        </w:rPr>
        <w:t xml:space="preserve"> a</w:t>
      </w:r>
      <w:r w:rsidR="00CF56CC" w:rsidRPr="00755C5B">
        <w:rPr>
          <w:sz w:val="24"/>
        </w:rPr>
        <w:t xml:space="preserve"> </w:t>
      </w:r>
      <w:r w:rsidR="00110B58">
        <w:rPr>
          <w:sz w:val="24"/>
        </w:rPr>
        <w:t xml:space="preserve">la </w:t>
      </w:r>
      <w:r w:rsidR="00CF56CC" w:rsidRPr="00755C5B">
        <w:rPr>
          <w:color w:val="000000"/>
          <w:sz w:val="24"/>
        </w:rPr>
        <w:t>población económicamente activa</w:t>
      </w:r>
      <w:r w:rsidR="0060647B" w:rsidRPr="00755C5B">
        <w:rPr>
          <w:color w:val="000000"/>
          <w:sz w:val="24"/>
        </w:rPr>
        <w:t xml:space="preserve"> (PEA),</w:t>
      </w:r>
      <w:r w:rsidR="0046341A">
        <w:rPr>
          <w:color w:val="000000"/>
          <w:sz w:val="24"/>
        </w:rPr>
        <w:t xml:space="preserve"> a</w:t>
      </w:r>
      <w:r w:rsidR="00CF56CC" w:rsidRPr="00755C5B">
        <w:rPr>
          <w:color w:val="000000"/>
          <w:sz w:val="24"/>
        </w:rPr>
        <w:t xml:space="preserve"> </w:t>
      </w:r>
      <w:r w:rsidR="00110B58">
        <w:rPr>
          <w:color w:val="000000"/>
          <w:sz w:val="24"/>
        </w:rPr>
        <w:t xml:space="preserve">la </w:t>
      </w:r>
      <w:r w:rsidR="00CF56CC" w:rsidRPr="00755C5B">
        <w:rPr>
          <w:color w:val="000000"/>
          <w:sz w:val="24"/>
        </w:rPr>
        <w:t xml:space="preserve">población ocupada (ocupados) y </w:t>
      </w:r>
      <w:r w:rsidR="0046341A">
        <w:rPr>
          <w:color w:val="000000"/>
          <w:sz w:val="24"/>
        </w:rPr>
        <w:t xml:space="preserve">a </w:t>
      </w:r>
      <w:r w:rsidR="00110B58">
        <w:rPr>
          <w:color w:val="000000"/>
          <w:sz w:val="24"/>
        </w:rPr>
        <w:t xml:space="preserve">la </w:t>
      </w:r>
      <w:r w:rsidR="00CF56CC" w:rsidRPr="00755C5B">
        <w:rPr>
          <w:color w:val="000000"/>
          <w:sz w:val="24"/>
        </w:rPr>
        <w:t>población ocupada informal (informales)</w:t>
      </w:r>
      <w:r w:rsidR="00C07EF2">
        <w:rPr>
          <w:color w:val="000000"/>
          <w:sz w:val="24"/>
        </w:rPr>
        <w:t>.</w:t>
      </w:r>
    </w:p>
    <w:p w14:paraId="73A38BB9" w14:textId="77777777" w:rsidR="0057616F" w:rsidRPr="00755C5B" w:rsidRDefault="0057616F" w:rsidP="00032E49">
      <w:pPr>
        <w:ind w:right="51"/>
        <w:rPr>
          <w:sz w:val="24"/>
        </w:rPr>
      </w:pPr>
    </w:p>
    <w:p w14:paraId="5BDC09C2" w14:textId="0EE34CB7" w:rsidR="00994820" w:rsidRPr="00830733" w:rsidRDefault="00994820" w:rsidP="00032E49">
      <w:pPr>
        <w:ind w:right="51"/>
        <w:rPr>
          <w:b/>
          <w:smallCaps/>
          <w:sz w:val="24"/>
        </w:rPr>
      </w:pPr>
      <w:r w:rsidRPr="00830733">
        <w:rPr>
          <w:b/>
          <w:smallCaps/>
          <w:sz w:val="24"/>
        </w:rPr>
        <w:t xml:space="preserve">Principales </w:t>
      </w:r>
      <w:r w:rsidR="003B5114">
        <w:rPr>
          <w:b/>
          <w:smallCaps/>
          <w:sz w:val="24"/>
        </w:rPr>
        <w:t>R</w:t>
      </w:r>
      <w:r w:rsidRPr="00830733">
        <w:rPr>
          <w:b/>
          <w:smallCaps/>
          <w:sz w:val="24"/>
        </w:rPr>
        <w:t>esultados</w:t>
      </w:r>
    </w:p>
    <w:p w14:paraId="60E372C6" w14:textId="77777777" w:rsidR="003F7E46" w:rsidRDefault="003F7E46" w:rsidP="00032E49">
      <w:pPr>
        <w:ind w:right="51"/>
        <w:rPr>
          <w:sz w:val="24"/>
          <w:lang w:val="es-MX"/>
        </w:rPr>
      </w:pPr>
      <w:bookmarkStart w:id="3" w:name="_Hlk89781022"/>
    </w:p>
    <w:p w14:paraId="785CB8CC" w14:textId="31EBA978" w:rsidR="00830733" w:rsidRPr="00830733" w:rsidRDefault="00576D9A" w:rsidP="00032E49">
      <w:pPr>
        <w:ind w:right="51"/>
        <w:rPr>
          <w:sz w:val="24"/>
          <w:lang w:val="es-MX"/>
        </w:rPr>
      </w:pPr>
      <w:r>
        <w:rPr>
          <w:sz w:val="24"/>
          <w:lang w:val="es-MX"/>
        </w:rPr>
        <w:t xml:space="preserve">Del primer trimestre de 2020 al </w:t>
      </w:r>
      <w:r w:rsidR="0046341A">
        <w:rPr>
          <w:sz w:val="24"/>
          <w:lang w:val="es-MX"/>
        </w:rPr>
        <w:t xml:space="preserve">de </w:t>
      </w:r>
      <w:r>
        <w:rPr>
          <w:sz w:val="24"/>
          <w:lang w:val="es-MX"/>
        </w:rPr>
        <w:t>2021</w:t>
      </w:r>
      <w:r w:rsidR="0046341A">
        <w:rPr>
          <w:sz w:val="24"/>
          <w:lang w:val="es-MX"/>
        </w:rPr>
        <w:t>,</w:t>
      </w:r>
      <w:r w:rsidR="007A1CF4" w:rsidRPr="00830733">
        <w:rPr>
          <w:sz w:val="24"/>
          <w:lang w:val="es-MX"/>
        </w:rPr>
        <w:t xml:space="preserve"> la mayoría de los municipios</w:t>
      </w:r>
      <w:r w:rsidR="0046341A">
        <w:rPr>
          <w:sz w:val="24"/>
          <w:lang w:val="es-MX"/>
        </w:rPr>
        <w:t xml:space="preserve"> no presentó cambios </w:t>
      </w:r>
      <w:r w:rsidR="007A1CF4" w:rsidRPr="00830733">
        <w:rPr>
          <w:sz w:val="24"/>
          <w:lang w:val="es-MX"/>
        </w:rPr>
        <w:t xml:space="preserve">en </w:t>
      </w:r>
      <w:r w:rsidR="007A1CF4">
        <w:rPr>
          <w:sz w:val="24"/>
          <w:lang w:val="es-MX"/>
        </w:rPr>
        <w:t>sus</w:t>
      </w:r>
      <w:r w:rsidR="007A1CF4" w:rsidRPr="00830733">
        <w:rPr>
          <w:sz w:val="24"/>
          <w:lang w:val="es-MX"/>
        </w:rPr>
        <w:t xml:space="preserve"> tasa</w:t>
      </w:r>
      <w:r w:rsidR="007A1CF4">
        <w:rPr>
          <w:sz w:val="24"/>
          <w:lang w:val="es-MX"/>
        </w:rPr>
        <w:t xml:space="preserve">s </w:t>
      </w:r>
      <w:r w:rsidR="007A1CF4" w:rsidRPr="00830733">
        <w:rPr>
          <w:sz w:val="24"/>
          <w:lang w:val="es-MX"/>
        </w:rPr>
        <w:t xml:space="preserve">de la PEA, </w:t>
      </w:r>
      <w:r w:rsidR="0046341A">
        <w:rPr>
          <w:sz w:val="24"/>
          <w:lang w:val="es-MX"/>
        </w:rPr>
        <w:t xml:space="preserve">de </w:t>
      </w:r>
      <w:r w:rsidR="007A1CF4" w:rsidRPr="00830733">
        <w:rPr>
          <w:sz w:val="24"/>
          <w:lang w:val="es-MX"/>
        </w:rPr>
        <w:t xml:space="preserve">población ocupada y </w:t>
      </w:r>
      <w:r w:rsidR="0046341A">
        <w:rPr>
          <w:sz w:val="24"/>
          <w:lang w:val="es-MX"/>
        </w:rPr>
        <w:t xml:space="preserve">de </w:t>
      </w:r>
      <w:r w:rsidR="007A1CF4" w:rsidRPr="00830733">
        <w:rPr>
          <w:sz w:val="24"/>
          <w:lang w:val="es-MX"/>
        </w:rPr>
        <w:t>población ocupada</w:t>
      </w:r>
      <w:r>
        <w:rPr>
          <w:sz w:val="24"/>
          <w:lang w:val="es-MX"/>
        </w:rPr>
        <w:t xml:space="preserve"> </w:t>
      </w:r>
      <w:r w:rsidR="00830733" w:rsidRPr="00830733">
        <w:rPr>
          <w:sz w:val="24"/>
          <w:lang w:val="es-MX"/>
        </w:rPr>
        <w:t xml:space="preserve">informal. </w:t>
      </w:r>
    </w:p>
    <w:p w14:paraId="15A34197" w14:textId="77777777" w:rsidR="00830733" w:rsidRPr="00830733" w:rsidRDefault="00830733" w:rsidP="00032E49">
      <w:pPr>
        <w:ind w:right="51"/>
        <w:rPr>
          <w:sz w:val="24"/>
          <w:lang w:val="es-MX"/>
        </w:rPr>
      </w:pPr>
    </w:p>
    <w:p w14:paraId="3464BD2E" w14:textId="26812291" w:rsidR="00F91419" w:rsidRDefault="002016D6" w:rsidP="00234D98">
      <w:pPr>
        <w:pStyle w:val="3Vietas1"/>
        <w:numPr>
          <w:ilvl w:val="0"/>
          <w:numId w:val="0"/>
        </w:numPr>
        <w:ind w:right="51"/>
        <w:rPr>
          <w:sz w:val="24"/>
        </w:rPr>
      </w:pPr>
      <w:r>
        <w:rPr>
          <w:sz w:val="24"/>
        </w:rPr>
        <w:lastRenderedPageBreak/>
        <w:t xml:space="preserve">De acuerdo con los </w:t>
      </w:r>
      <w:r w:rsidR="00263C33">
        <w:rPr>
          <w:sz w:val="24"/>
        </w:rPr>
        <w:t>IL</w:t>
      </w:r>
      <w:r w:rsidR="005D241C">
        <w:rPr>
          <w:sz w:val="24"/>
        </w:rPr>
        <w:t>M</w:t>
      </w:r>
      <w:r w:rsidR="00263C33">
        <w:rPr>
          <w:sz w:val="24"/>
        </w:rPr>
        <w:t>M</w:t>
      </w:r>
      <w:r w:rsidR="00576D9A">
        <w:rPr>
          <w:sz w:val="24"/>
        </w:rPr>
        <w:t>,</w:t>
      </w:r>
      <w:r>
        <w:rPr>
          <w:sz w:val="24"/>
        </w:rPr>
        <w:t xml:space="preserve"> </w:t>
      </w:r>
      <w:r w:rsidR="006F0226">
        <w:rPr>
          <w:sz w:val="24"/>
        </w:rPr>
        <w:t>en el mismo periodo,</w:t>
      </w:r>
      <w:r>
        <w:rPr>
          <w:sz w:val="24"/>
        </w:rPr>
        <w:t xml:space="preserve"> 33 municipios incrementaron su tasa de la PEA, 956 tuvieron un descenso y 1</w:t>
      </w:r>
      <w:r w:rsidR="00524EA2">
        <w:rPr>
          <w:sz w:val="24"/>
        </w:rPr>
        <w:t xml:space="preserve"> </w:t>
      </w:r>
      <w:r>
        <w:rPr>
          <w:sz w:val="24"/>
        </w:rPr>
        <w:t>46</w:t>
      </w:r>
      <w:r w:rsidR="00B36B8B">
        <w:rPr>
          <w:sz w:val="24"/>
        </w:rPr>
        <w:t>9</w:t>
      </w:r>
      <w:r>
        <w:rPr>
          <w:sz w:val="24"/>
        </w:rPr>
        <w:t xml:space="preserve"> </w:t>
      </w:r>
      <w:r w:rsidR="004C5899">
        <w:rPr>
          <w:sz w:val="24"/>
        </w:rPr>
        <w:t xml:space="preserve">no presentaron </w:t>
      </w:r>
      <w:r>
        <w:rPr>
          <w:sz w:val="24"/>
        </w:rPr>
        <w:t xml:space="preserve">cambios. </w:t>
      </w:r>
      <w:r w:rsidR="004C5899">
        <w:rPr>
          <w:sz w:val="24"/>
        </w:rPr>
        <w:t xml:space="preserve">Asimismo, </w:t>
      </w:r>
      <w:r w:rsidR="00263C33">
        <w:rPr>
          <w:sz w:val="24"/>
        </w:rPr>
        <w:t>l</w:t>
      </w:r>
      <w:r>
        <w:rPr>
          <w:sz w:val="24"/>
        </w:rPr>
        <w:t>a tasa de ocupación aumentó en 28 municipios, descendió en 5</w:t>
      </w:r>
      <w:r w:rsidR="00B36B8B">
        <w:rPr>
          <w:sz w:val="24"/>
        </w:rPr>
        <w:t>7</w:t>
      </w:r>
      <w:r>
        <w:rPr>
          <w:sz w:val="24"/>
        </w:rPr>
        <w:t xml:space="preserve"> y </w:t>
      </w:r>
      <w:r w:rsidR="004C5899">
        <w:rPr>
          <w:sz w:val="24"/>
        </w:rPr>
        <w:t xml:space="preserve">quedó </w:t>
      </w:r>
      <w:r>
        <w:rPr>
          <w:sz w:val="24"/>
        </w:rPr>
        <w:t>igual en 2</w:t>
      </w:r>
      <w:r w:rsidR="00524EA2">
        <w:rPr>
          <w:sz w:val="24"/>
        </w:rPr>
        <w:t xml:space="preserve"> </w:t>
      </w:r>
      <w:r>
        <w:rPr>
          <w:sz w:val="24"/>
        </w:rPr>
        <w:t>373.</w:t>
      </w:r>
      <w:r w:rsidR="00263C33">
        <w:rPr>
          <w:sz w:val="24"/>
        </w:rPr>
        <w:t xml:space="preserve"> </w:t>
      </w:r>
      <w:r w:rsidR="004C5899">
        <w:rPr>
          <w:sz w:val="24"/>
        </w:rPr>
        <w:t xml:space="preserve">Por su parte, la </w:t>
      </w:r>
      <w:r w:rsidR="00263C33">
        <w:rPr>
          <w:sz w:val="24"/>
        </w:rPr>
        <w:t xml:space="preserve">ocupación </w:t>
      </w:r>
      <w:r w:rsidR="005D241C">
        <w:rPr>
          <w:sz w:val="24"/>
        </w:rPr>
        <w:t>in</w:t>
      </w:r>
      <w:r w:rsidR="00263C33">
        <w:rPr>
          <w:sz w:val="24"/>
        </w:rPr>
        <w:t>formal aumentó en 87 municipios, bajó en 122 y no registr</w:t>
      </w:r>
      <w:r w:rsidR="004C5899">
        <w:rPr>
          <w:sz w:val="24"/>
        </w:rPr>
        <w:t>ó</w:t>
      </w:r>
      <w:r w:rsidR="00263C33">
        <w:rPr>
          <w:sz w:val="24"/>
        </w:rPr>
        <w:t xml:space="preserve"> cambios en 2</w:t>
      </w:r>
      <w:r w:rsidR="00524EA2">
        <w:rPr>
          <w:sz w:val="24"/>
        </w:rPr>
        <w:t xml:space="preserve"> </w:t>
      </w:r>
      <w:r w:rsidR="00263C33">
        <w:rPr>
          <w:sz w:val="24"/>
        </w:rPr>
        <w:t>249.</w:t>
      </w:r>
    </w:p>
    <w:p w14:paraId="6001D54A" w14:textId="77777777" w:rsidR="00234D98" w:rsidRPr="00234D98" w:rsidRDefault="00234D98" w:rsidP="00234D98">
      <w:pPr>
        <w:pStyle w:val="3Vietas1"/>
        <w:numPr>
          <w:ilvl w:val="0"/>
          <w:numId w:val="0"/>
        </w:numPr>
        <w:ind w:right="51"/>
        <w:rPr>
          <w:sz w:val="24"/>
        </w:rPr>
      </w:pPr>
    </w:p>
    <w:p w14:paraId="2C90E6F4" w14:textId="0F4E9FCD" w:rsidR="00DB3276" w:rsidRDefault="00830733" w:rsidP="00DB3276">
      <w:pPr>
        <w:pStyle w:val="5TCuadrosGrficas"/>
        <w:ind w:left="0"/>
        <w:jc w:val="center"/>
        <w:rPr>
          <w:b w:val="0"/>
          <w:lang w:val="es-MX"/>
        </w:rPr>
      </w:pPr>
      <w:r w:rsidRPr="00EE5EC7">
        <w:rPr>
          <w:b w:val="0"/>
          <w:lang w:val="es-MX"/>
        </w:rPr>
        <w:t>Cuadro 1</w:t>
      </w:r>
    </w:p>
    <w:p w14:paraId="556331EC" w14:textId="5145614B" w:rsidR="00830733" w:rsidRDefault="00A0055D" w:rsidP="00584156">
      <w:pPr>
        <w:pStyle w:val="5TCuadrosGrficas"/>
        <w:ind w:left="0"/>
        <w:jc w:val="center"/>
        <w:rPr>
          <w:rFonts w:ascii="Arial Negrita" w:hAnsi="Arial Negrita"/>
          <w:b w:val="0"/>
          <w:bCs w:val="0"/>
          <w:smallCaps/>
          <w:sz w:val="22"/>
          <w:szCs w:val="22"/>
          <w:lang w:val="es-MX"/>
        </w:rPr>
      </w:pPr>
      <w:r>
        <w:rPr>
          <w:rFonts w:ascii="Arial Negrita" w:hAnsi="Arial Negrita"/>
          <w:b w:val="0"/>
          <w:bCs w:val="0"/>
          <w:smallCaps/>
          <w:sz w:val="22"/>
          <w:szCs w:val="22"/>
          <w:lang w:val="es-MX"/>
        </w:rPr>
        <w:t xml:space="preserve">Comportamiento </w:t>
      </w:r>
      <w:r w:rsidR="000433B1">
        <w:rPr>
          <w:rFonts w:ascii="Arial Negrita" w:hAnsi="Arial Negrita"/>
          <w:b w:val="0"/>
          <w:bCs w:val="0"/>
          <w:smallCaps/>
          <w:sz w:val="22"/>
          <w:szCs w:val="22"/>
          <w:lang w:val="es-MX"/>
        </w:rPr>
        <w:t xml:space="preserve">de los ILMM en los </w:t>
      </w:r>
      <w:r w:rsidR="00F17720">
        <w:rPr>
          <w:rFonts w:ascii="Arial Negrita" w:hAnsi="Arial Negrita"/>
          <w:b w:val="0"/>
          <w:bCs w:val="0"/>
          <w:smallCaps/>
          <w:sz w:val="22"/>
          <w:szCs w:val="22"/>
          <w:lang w:val="es-MX"/>
        </w:rPr>
        <w:t>municipios y demarcaciones territoriales</w:t>
      </w:r>
    </w:p>
    <w:p w14:paraId="1F3B9CE5" w14:textId="0648E495" w:rsidR="00263C33" w:rsidRPr="00584156" w:rsidRDefault="00F91419" w:rsidP="00584156">
      <w:pPr>
        <w:pStyle w:val="5TCuadrosGrficas"/>
        <w:ind w:left="0"/>
        <w:jc w:val="center"/>
        <w:rPr>
          <w:b w:val="0"/>
          <w:bCs w:val="0"/>
          <w:sz w:val="22"/>
          <w:szCs w:val="22"/>
          <w:lang w:val="es-MX"/>
        </w:rPr>
      </w:pPr>
      <w:r>
        <w:rPr>
          <w:rFonts w:ascii="Arial Negrita" w:hAnsi="Arial Negrita"/>
          <w:b w:val="0"/>
          <w:bCs w:val="0"/>
          <w:smallCaps/>
          <w:sz w:val="22"/>
          <w:szCs w:val="22"/>
          <w:lang w:val="es-MX"/>
        </w:rPr>
        <w:t>1º trimestre 2020 – 1º trimestre 2021</w:t>
      </w:r>
    </w:p>
    <w:p w14:paraId="597F04DF" w14:textId="2B3F8110" w:rsidR="00830733" w:rsidRPr="00EE5EC7" w:rsidRDefault="00234D98" w:rsidP="00C55CB9">
      <w:pPr>
        <w:pStyle w:val="0ColocarCyG"/>
        <w:ind w:hanging="425"/>
      </w:pPr>
      <w:r>
        <w:rPr>
          <w:noProof/>
        </w:rPr>
        <w:drawing>
          <wp:inline distT="0" distB="0" distL="0" distR="0" wp14:anchorId="7989D4B9" wp14:editId="377AF9B8">
            <wp:extent cx="5612400" cy="3484800"/>
            <wp:effectExtent l="0" t="0" r="7620" b="1905"/>
            <wp:docPr id="1" name="Imagen 1" descr="Interfaz de usuario gráfica, 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nterfaz de usuario gráfica, Tabla&#10;&#10;Descripción generada automáticamente con confianza medi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400" cy="34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ACC8E" w14:textId="77777777" w:rsidR="00830733" w:rsidRDefault="00830733" w:rsidP="00C55CB9">
      <w:pPr>
        <w:pStyle w:val="7cFuente"/>
        <w:ind w:hanging="1020"/>
        <w:rPr>
          <w:color w:val="000000"/>
          <w:sz w:val="24"/>
          <w:szCs w:val="24"/>
        </w:rPr>
      </w:pPr>
      <w:r w:rsidRPr="00893B39">
        <w:t>Fuente: INEGI</w:t>
      </w:r>
      <w:r>
        <w:rPr>
          <w:color w:val="000000"/>
          <w:sz w:val="24"/>
          <w:szCs w:val="24"/>
        </w:rPr>
        <w:t>.</w:t>
      </w:r>
    </w:p>
    <w:p w14:paraId="49C22237" w14:textId="77777777" w:rsidR="00A26CB0" w:rsidRDefault="00A26CB0" w:rsidP="009E21C0">
      <w:pPr>
        <w:rPr>
          <w:sz w:val="24"/>
        </w:rPr>
      </w:pPr>
    </w:p>
    <w:p w14:paraId="0F3FC475" w14:textId="77777777" w:rsidR="00234D98" w:rsidRDefault="00234D98" w:rsidP="009E21C0">
      <w:pPr>
        <w:rPr>
          <w:sz w:val="24"/>
        </w:rPr>
      </w:pPr>
    </w:p>
    <w:p w14:paraId="2FF7514E" w14:textId="444D1E57" w:rsidR="002E2E5F" w:rsidRDefault="009E21C0" w:rsidP="009E21C0">
      <w:pPr>
        <w:rPr>
          <w:sz w:val="24"/>
        </w:rPr>
      </w:pPr>
      <w:r>
        <w:rPr>
          <w:sz w:val="24"/>
        </w:rPr>
        <w:t>En el primer trimestre de 2021, lo</w:t>
      </w:r>
      <w:r w:rsidRPr="00012FD5">
        <w:rPr>
          <w:sz w:val="24"/>
        </w:rPr>
        <w:t xml:space="preserve">s municipios de Baja California Sur y Nayarit </w:t>
      </w:r>
      <w:r>
        <w:rPr>
          <w:sz w:val="24"/>
        </w:rPr>
        <w:t>tuvieron</w:t>
      </w:r>
      <w:r w:rsidRPr="00012FD5">
        <w:rPr>
          <w:sz w:val="24"/>
        </w:rPr>
        <w:t xml:space="preserve"> una tasa de población económicamente activa superior a 60</w:t>
      </w:r>
      <w:r>
        <w:rPr>
          <w:sz w:val="24"/>
        </w:rPr>
        <w:t xml:space="preserve"> </w:t>
      </w:r>
      <w:r w:rsidR="004C5899">
        <w:rPr>
          <w:sz w:val="24"/>
        </w:rPr>
        <w:t>%.</w:t>
      </w:r>
      <w:r w:rsidR="002E2E5F" w:rsidRPr="00FA254C">
        <w:rPr>
          <w:sz w:val="24"/>
        </w:rPr>
        <w:t xml:space="preserve"> En el caso de Campeche, Yucatán y Colima, al menos 90 </w:t>
      </w:r>
      <w:r w:rsidR="004C5899">
        <w:rPr>
          <w:sz w:val="24"/>
        </w:rPr>
        <w:t>%</w:t>
      </w:r>
      <w:r w:rsidR="002E2E5F" w:rsidRPr="00FA254C">
        <w:rPr>
          <w:sz w:val="24"/>
        </w:rPr>
        <w:t xml:space="preserve"> de sus municipios present</w:t>
      </w:r>
      <w:r w:rsidR="004C5899">
        <w:rPr>
          <w:sz w:val="24"/>
        </w:rPr>
        <w:t>ó</w:t>
      </w:r>
      <w:r w:rsidR="002E2E5F" w:rsidRPr="00FA254C">
        <w:rPr>
          <w:sz w:val="24"/>
        </w:rPr>
        <w:t xml:space="preserve"> una situación similar.</w:t>
      </w:r>
    </w:p>
    <w:p w14:paraId="3892EF3A" w14:textId="2D899E3A" w:rsidR="002E2E5F" w:rsidRDefault="002E2E5F" w:rsidP="009E21C0">
      <w:pPr>
        <w:rPr>
          <w:sz w:val="24"/>
        </w:rPr>
      </w:pPr>
    </w:p>
    <w:p w14:paraId="1387F2A3" w14:textId="61740957" w:rsidR="00FE6BC5" w:rsidRDefault="00FE6BC5" w:rsidP="009E21C0">
      <w:pPr>
        <w:rPr>
          <w:sz w:val="24"/>
        </w:rPr>
      </w:pPr>
    </w:p>
    <w:p w14:paraId="3B973C4D" w14:textId="33F12CD1" w:rsidR="00FE6BC5" w:rsidRDefault="00FE6BC5" w:rsidP="009E21C0">
      <w:pPr>
        <w:rPr>
          <w:sz w:val="24"/>
        </w:rPr>
      </w:pPr>
    </w:p>
    <w:p w14:paraId="46511568" w14:textId="2FAF1B90" w:rsidR="00FE6BC5" w:rsidRDefault="00FE6BC5" w:rsidP="009E21C0">
      <w:pPr>
        <w:rPr>
          <w:sz w:val="24"/>
        </w:rPr>
      </w:pPr>
    </w:p>
    <w:p w14:paraId="6BC1228D" w14:textId="6B5760C0" w:rsidR="00FE6BC5" w:rsidRDefault="00FE6BC5" w:rsidP="009E21C0">
      <w:pPr>
        <w:rPr>
          <w:sz w:val="24"/>
        </w:rPr>
      </w:pPr>
    </w:p>
    <w:p w14:paraId="12278463" w14:textId="110E8D54" w:rsidR="00FE6BC5" w:rsidRDefault="00FE6BC5" w:rsidP="009E21C0">
      <w:pPr>
        <w:rPr>
          <w:sz w:val="24"/>
        </w:rPr>
      </w:pPr>
    </w:p>
    <w:p w14:paraId="76508E4D" w14:textId="0B70286C" w:rsidR="00FE6BC5" w:rsidRDefault="00FE6BC5" w:rsidP="009E21C0">
      <w:pPr>
        <w:rPr>
          <w:sz w:val="24"/>
        </w:rPr>
      </w:pPr>
    </w:p>
    <w:p w14:paraId="68CB61DE" w14:textId="5D76690C" w:rsidR="00FE6BC5" w:rsidRDefault="00FE6BC5" w:rsidP="009E21C0">
      <w:pPr>
        <w:rPr>
          <w:sz w:val="24"/>
        </w:rPr>
      </w:pPr>
    </w:p>
    <w:p w14:paraId="22A8E4AD" w14:textId="4459893A" w:rsidR="00FE6BC5" w:rsidRDefault="00FE6BC5" w:rsidP="009E21C0">
      <w:pPr>
        <w:rPr>
          <w:sz w:val="24"/>
        </w:rPr>
      </w:pPr>
    </w:p>
    <w:p w14:paraId="39F261BE" w14:textId="77777777" w:rsidR="00FE6BC5" w:rsidRDefault="00FE6BC5" w:rsidP="009E21C0">
      <w:pPr>
        <w:rPr>
          <w:sz w:val="24"/>
        </w:rPr>
      </w:pPr>
    </w:p>
    <w:p w14:paraId="672FFD7C" w14:textId="44CEFD02" w:rsidR="000F7C63" w:rsidRDefault="000F7C63" w:rsidP="00032E49">
      <w:pPr>
        <w:ind w:right="51"/>
        <w:rPr>
          <w:sz w:val="24"/>
        </w:rPr>
      </w:pPr>
    </w:p>
    <w:p w14:paraId="53CD2239" w14:textId="7FA6BF24" w:rsidR="00C4102D" w:rsidRDefault="00C4102D" w:rsidP="00032E49">
      <w:pPr>
        <w:ind w:right="51"/>
        <w:rPr>
          <w:sz w:val="24"/>
        </w:rPr>
      </w:pPr>
    </w:p>
    <w:p w14:paraId="54102637" w14:textId="5E7FCDD8" w:rsidR="00012FD5" w:rsidRPr="003C5688" w:rsidRDefault="003C5688" w:rsidP="003C5688">
      <w:pPr>
        <w:pStyle w:val="5TCuadrosGrficas"/>
        <w:jc w:val="center"/>
        <w:rPr>
          <w:b w:val="0"/>
        </w:rPr>
      </w:pPr>
      <w:r>
        <w:rPr>
          <w:b w:val="0"/>
        </w:rPr>
        <w:lastRenderedPageBreak/>
        <w:t>Mapa 1</w:t>
      </w:r>
    </w:p>
    <w:p w14:paraId="15B89C06" w14:textId="6281A2C0" w:rsidR="00012FD5" w:rsidRDefault="00012FD5" w:rsidP="003C5688">
      <w:pPr>
        <w:pStyle w:val="5TCuadrosGrficas"/>
        <w:jc w:val="center"/>
        <w:rPr>
          <w:rFonts w:ascii="Arial Negrita" w:hAnsi="Arial Negrita"/>
          <w:smallCaps/>
          <w:sz w:val="22"/>
          <w:szCs w:val="22"/>
        </w:rPr>
      </w:pPr>
      <w:r w:rsidRPr="003C5688">
        <w:rPr>
          <w:rFonts w:ascii="Arial Negrita" w:hAnsi="Arial Negrita"/>
          <w:smallCaps/>
          <w:sz w:val="22"/>
          <w:szCs w:val="22"/>
        </w:rPr>
        <w:t>Tasa d</w:t>
      </w:r>
      <w:r w:rsidR="00C4102D">
        <w:rPr>
          <w:rFonts w:ascii="Arial Negrita" w:hAnsi="Arial Negrita"/>
          <w:smallCaps/>
          <w:sz w:val="22"/>
          <w:szCs w:val="22"/>
        </w:rPr>
        <w:t xml:space="preserve">e </w:t>
      </w:r>
      <w:r w:rsidRPr="003C5688">
        <w:rPr>
          <w:rFonts w:ascii="Arial Negrita" w:hAnsi="Arial Negrita"/>
          <w:smallCaps/>
          <w:sz w:val="22"/>
          <w:szCs w:val="22"/>
        </w:rPr>
        <w:t>la PEA</w:t>
      </w:r>
      <w:r w:rsidR="00C4102D" w:rsidRPr="00C425D7">
        <w:rPr>
          <w:rFonts w:ascii="Arial Negrita" w:hAnsi="Arial Negrita"/>
          <w:smallCaps/>
          <w:sz w:val="22"/>
          <w:szCs w:val="22"/>
        </w:rPr>
        <w:t>, 2021</w:t>
      </w:r>
    </w:p>
    <w:p w14:paraId="28C5B878" w14:textId="77777777" w:rsidR="003C4EE4" w:rsidRPr="003C5688" w:rsidRDefault="003C4EE4" w:rsidP="003C5688">
      <w:pPr>
        <w:pStyle w:val="5TCuadrosGrficas"/>
        <w:jc w:val="center"/>
        <w:rPr>
          <w:rFonts w:ascii="Arial Negrita" w:hAnsi="Arial Negrita"/>
          <w:smallCaps/>
          <w:sz w:val="22"/>
          <w:szCs w:val="22"/>
        </w:rPr>
      </w:pPr>
    </w:p>
    <w:p w14:paraId="3499E549" w14:textId="77777777" w:rsidR="00012FD5" w:rsidRDefault="00012FD5" w:rsidP="003C5688">
      <w:pPr>
        <w:jc w:val="center"/>
        <w:rPr>
          <w:rFonts w:cs="Arial"/>
        </w:rPr>
      </w:pPr>
      <w:r>
        <w:rPr>
          <w:noProof/>
        </w:rPr>
        <w:drawing>
          <wp:inline distT="0" distB="0" distL="0" distR="0" wp14:anchorId="03457A4F" wp14:editId="64897865">
            <wp:extent cx="3830400" cy="2592000"/>
            <wp:effectExtent l="0" t="0" r="0" b="0"/>
            <wp:docPr id="4" name="Imagen 4" descr="Mapa&#10;&#10;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Map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400" cy="25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BD05D" w14:textId="5CCC4481" w:rsidR="00ED1A03" w:rsidRDefault="00ED1A03" w:rsidP="00C425D7">
      <w:pPr>
        <w:pStyle w:val="7cFuente"/>
        <w:ind w:right="2036" w:firstLine="539"/>
      </w:pPr>
      <w:r>
        <w:t xml:space="preserve">Nota: Cálculos derivados de las </w:t>
      </w:r>
      <w:r w:rsidR="00032E49" w:rsidRPr="004317DC">
        <w:rPr>
          <w:color w:val="000000"/>
        </w:rPr>
        <w:t xml:space="preserve">técnicas de </w:t>
      </w:r>
      <w:r w:rsidR="00032E49">
        <w:rPr>
          <w:color w:val="000000"/>
        </w:rPr>
        <w:t>e</w:t>
      </w:r>
      <w:r w:rsidR="00032E49" w:rsidRPr="004317DC">
        <w:rPr>
          <w:color w:val="000000"/>
        </w:rPr>
        <w:t xml:space="preserve">stimación en </w:t>
      </w:r>
      <w:r w:rsidR="00032E49">
        <w:rPr>
          <w:color w:val="000000"/>
        </w:rPr>
        <w:t>á</w:t>
      </w:r>
      <w:r w:rsidR="00032E49" w:rsidRPr="004317DC">
        <w:rPr>
          <w:color w:val="000000"/>
        </w:rPr>
        <w:t xml:space="preserve">reas </w:t>
      </w:r>
      <w:r w:rsidR="00032E49">
        <w:rPr>
          <w:color w:val="000000"/>
        </w:rPr>
        <w:t>p</w:t>
      </w:r>
      <w:r w:rsidR="00032E49" w:rsidRPr="004317DC">
        <w:rPr>
          <w:color w:val="000000"/>
        </w:rPr>
        <w:t>equeñas</w:t>
      </w:r>
      <w:r w:rsidR="00847D9B">
        <w:rPr>
          <w:color w:val="000000"/>
        </w:rPr>
        <w:t>.</w:t>
      </w:r>
    </w:p>
    <w:p w14:paraId="48353BCD" w14:textId="77777777" w:rsidR="00ED1A03" w:rsidRDefault="00ED1A03" w:rsidP="00C425D7">
      <w:pPr>
        <w:pStyle w:val="7cFuente"/>
        <w:ind w:right="2036" w:firstLine="539"/>
        <w:rPr>
          <w:color w:val="000000"/>
          <w:sz w:val="24"/>
          <w:szCs w:val="24"/>
        </w:rPr>
      </w:pPr>
      <w:r w:rsidRPr="00893B39">
        <w:t>Fuente: INEGI</w:t>
      </w:r>
      <w:r>
        <w:t>.</w:t>
      </w:r>
      <w:r w:rsidRPr="00893B39">
        <w:rPr>
          <w:color w:val="000000"/>
          <w:sz w:val="24"/>
          <w:szCs w:val="24"/>
        </w:rPr>
        <w:t xml:space="preserve"> </w:t>
      </w:r>
    </w:p>
    <w:p w14:paraId="5CB5726D" w14:textId="77777777" w:rsidR="00584156" w:rsidRDefault="00584156" w:rsidP="003C5688"/>
    <w:p w14:paraId="5D7DE99B" w14:textId="19AA8876" w:rsidR="0057616F" w:rsidRDefault="00012FD5" w:rsidP="00032E49">
      <w:pPr>
        <w:ind w:right="51"/>
        <w:rPr>
          <w:color w:val="000000"/>
          <w:sz w:val="24"/>
        </w:rPr>
      </w:pPr>
      <w:r w:rsidRPr="002B7EF9">
        <w:rPr>
          <w:sz w:val="24"/>
        </w:rPr>
        <w:t xml:space="preserve">Las 16 </w:t>
      </w:r>
      <w:r w:rsidR="000433B1">
        <w:rPr>
          <w:sz w:val="24"/>
        </w:rPr>
        <w:t xml:space="preserve">demarcaciones territoriales </w:t>
      </w:r>
      <w:r w:rsidRPr="002B7EF9">
        <w:rPr>
          <w:sz w:val="24"/>
        </w:rPr>
        <w:t>de la C</w:t>
      </w:r>
      <w:r w:rsidR="000433B1">
        <w:rPr>
          <w:sz w:val="24"/>
        </w:rPr>
        <w:t>iudad de México</w:t>
      </w:r>
      <w:r w:rsidRPr="002B7EF9">
        <w:rPr>
          <w:sz w:val="24"/>
        </w:rPr>
        <w:t>,</w:t>
      </w:r>
      <w:r w:rsidR="001F57ED">
        <w:rPr>
          <w:sz w:val="24"/>
        </w:rPr>
        <w:t xml:space="preserve"> </w:t>
      </w:r>
      <w:r w:rsidRPr="002B7EF9">
        <w:rPr>
          <w:sz w:val="24"/>
        </w:rPr>
        <w:t>15 de los 17 municipios de Tabasco</w:t>
      </w:r>
      <w:r w:rsidR="00FA254C">
        <w:rPr>
          <w:sz w:val="24"/>
        </w:rPr>
        <w:t>, así como</w:t>
      </w:r>
      <w:r w:rsidRPr="002B7EF9">
        <w:rPr>
          <w:sz w:val="24"/>
        </w:rPr>
        <w:t xml:space="preserve"> </w:t>
      </w:r>
      <w:r w:rsidR="00A41598" w:rsidRPr="002B7EF9">
        <w:rPr>
          <w:sz w:val="24"/>
        </w:rPr>
        <w:t>49 de los 60</w:t>
      </w:r>
      <w:r w:rsidR="009574F5" w:rsidRPr="002B7EF9">
        <w:rPr>
          <w:sz w:val="24"/>
        </w:rPr>
        <w:t xml:space="preserve"> </w:t>
      </w:r>
      <w:r w:rsidR="00A41598" w:rsidRPr="002B7EF9">
        <w:rPr>
          <w:sz w:val="24"/>
        </w:rPr>
        <w:t>de</w:t>
      </w:r>
      <w:r w:rsidRPr="002B7EF9">
        <w:rPr>
          <w:sz w:val="24"/>
        </w:rPr>
        <w:t xml:space="preserve"> Tlaxcala </w:t>
      </w:r>
      <w:r w:rsidR="000433B1">
        <w:rPr>
          <w:sz w:val="24"/>
        </w:rPr>
        <w:t>registraron</w:t>
      </w:r>
      <w:r w:rsidR="000433B1" w:rsidRPr="002B7EF9">
        <w:rPr>
          <w:sz w:val="24"/>
        </w:rPr>
        <w:t xml:space="preserve"> </w:t>
      </w:r>
      <w:r w:rsidRPr="002B7EF9">
        <w:rPr>
          <w:sz w:val="24"/>
        </w:rPr>
        <w:t>una tasa de población ocupada por debajo de 96</w:t>
      </w:r>
      <w:r w:rsidR="0086226C" w:rsidRPr="002B7EF9">
        <w:rPr>
          <w:sz w:val="24"/>
        </w:rPr>
        <w:t xml:space="preserve"> </w:t>
      </w:r>
      <w:r w:rsidR="004C5899">
        <w:rPr>
          <w:sz w:val="24"/>
        </w:rPr>
        <w:t>%</w:t>
      </w:r>
      <w:r w:rsidRPr="002B7EF9">
        <w:rPr>
          <w:sz w:val="24"/>
        </w:rPr>
        <w:t>.</w:t>
      </w:r>
      <w:r w:rsidR="00D04A92">
        <w:rPr>
          <w:sz w:val="24"/>
        </w:rPr>
        <w:t xml:space="preserve"> </w:t>
      </w:r>
      <w:r w:rsidR="00EC45C4" w:rsidRPr="002B7EF9">
        <w:rPr>
          <w:color w:val="000000"/>
          <w:sz w:val="24"/>
        </w:rPr>
        <w:t xml:space="preserve">En </w:t>
      </w:r>
      <w:r w:rsidR="000F14E0">
        <w:rPr>
          <w:color w:val="000000"/>
          <w:sz w:val="24"/>
        </w:rPr>
        <w:t xml:space="preserve">Guanajuato, Querétaro y el sur de Hidalgo, así como </w:t>
      </w:r>
      <w:r w:rsidR="00D04A92">
        <w:rPr>
          <w:color w:val="000000"/>
          <w:sz w:val="24"/>
        </w:rPr>
        <w:t xml:space="preserve">en el </w:t>
      </w:r>
      <w:r w:rsidR="00A54A09">
        <w:rPr>
          <w:color w:val="000000"/>
          <w:sz w:val="24"/>
        </w:rPr>
        <w:t>e</w:t>
      </w:r>
      <w:r w:rsidR="000F14E0">
        <w:rPr>
          <w:color w:val="000000"/>
          <w:sz w:val="24"/>
        </w:rPr>
        <w:t>stado de México</w:t>
      </w:r>
      <w:r w:rsidR="00D04A92">
        <w:rPr>
          <w:color w:val="000000"/>
          <w:sz w:val="24"/>
        </w:rPr>
        <w:t xml:space="preserve"> </w:t>
      </w:r>
      <w:r w:rsidR="00EC45C4" w:rsidRPr="002B7EF9">
        <w:rPr>
          <w:color w:val="000000"/>
          <w:sz w:val="24"/>
        </w:rPr>
        <w:t xml:space="preserve">y </w:t>
      </w:r>
      <w:r w:rsidR="008A7DAB">
        <w:rPr>
          <w:color w:val="000000"/>
          <w:sz w:val="24"/>
        </w:rPr>
        <w:t xml:space="preserve">en </w:t>
      </w:r>
      <w:r w:rsidR="00EC45C4" w:rsidRPr="002B7EF9">
        <w:rPr>
          <w:color w:val="000000"/>
          <w:sz w:val="24"/>
        </w:rPr>
        <w:t>el occidente de Coahuila, Durango</w:t>
      </w:r>
      <w:r w:rsidR="00EC45C4" w:rsidRPr="003C5688">
        <w:rPr>
          <w:color w:val="000000"/>
          <w:sz w:val="24"/>
        </w:rPr>
        <w:t xml:space="preserve"> y Sonora</w:t>
      </w:r>
      <w:r w:rsidR="008A7DAB">
        <w:rPr>
          <w:color w:val="000000"/>
          <w:sz w:val="24"/>
        </w:rPr>
        <w:t>,</w:t>
      </w:r>
      <w:r w:rsidR="003C5688" w:rsidRPr="003C5688">
        <w:rPr>
          <w:color w:val="000000"/>
          <w:sz w:val="24"/>
        </w:rPr>
        <w:t xml:space="preserve"> </w:t>
      </w:r>
      <w:r w:rsidR="004C5899">
        <w:rPr>
          <w:color w:val="000000"/>
          <w:sz w:val="24"/>
        </w:rPr>
        <w:t xml:space="preserve">las estimaciones resultaron similares. </w:t>
      </w:r>
    </w:p>
    <w:p w14:paraId="19A9845C" w14:textId="1870A0D9" w:rsidR="00584156" w:rsidRDefault="00584156" w:rsidP="00032E49">
      <w:pPr>
        <w:ind w:right="51"/>
        <w:rPr>
          <w:color w:val="000000"/>
          <w:sz w:val="24"/>
        </w:rPr>
      </w:pPr>
    </w:p>
    <w:p w14:paraId="7A375989" w14:textId="5D33F64E" w:rsidR="003C5688" w:rsidRPr="003C5688" w:rsidRDefault="003C5688" w:rsidP="003C5688">
      <w:pPr>
        <w:pStyle w:val="5TCuadrosGrficas"/>
        <w:jc w:val="center"/>
        <w:rPr>
          <w:b w:val="0"/>
        </w:rPr>
      </w:pPr>
      <w:r>
        <w:rPr>
          <w:b w:val="0"/>
        </w:rPr>
        <w:t>Mapa 2</w:t>
      </w:r>
    </w:p>
    <w:p w14:paraId="4C0198A3" w14:textId="5D91B882" w:rsidR="003C4EE4" w:rsidRDefault="003C5688" w:rsidP="007E254F">
      <w:pPr>
        <w:pStyle w:val="5TCuadrosGrficas"/>
        <w:jc w:val="center"/>
        <w:rPr>
          <w:rFonts w:ascii="Arial Negrita" w:hAnsi="Arial Negrita"/>
          <w:smallCaps/>
          <w:sz w:val="22"/>
          <w:szCs w:val="22"/>
        </w:rPr>
      </w:pPr>
      <w:r w:rsidRPr="003C5688">
        <w:rPr>
          <w:rFonts w:ascii="Arial Negrita" w:hAnsi="Arial Negrita"/>
          <w:smallCaps/>
          <w:sz w:val="22"/>
          <w:szCs w:val="22"/>
        </w:rPr>
        <w:t xml:space="preserve">Tasa de </w:t>
      </w:r>
      <w:r>
        <w:rPr>
          <w:rFonts w:ascii="Arial Negrita" w:hAnsi="Arial Negrita"/>
          <w:smallCaps/>
          <w:sz w:val="22"/>
          <w:szCs w:val="22"/>
        </w:rPr>
        <w:t>ocupados</w:t>
      </w:r>
      <w:r w:rsidR="00C4102D" w:rsidRPr="00C425D7">
        <w:rPr>
          <w:rFonts w:ascii="Arial Negrita" w:hAnsi="Arial Negrita"/>
          <w:smallCaps/>
          <w:sz w:val="22"/>
          <w:szCs w:val="22"/>
        </w:rPr>
        <w:t>, 2021</w:t>
      </w:r>
    </w:p>
    <w:p w14:paraId="3A604950" w14:textId="77777777" w:rsidR="00C425D7" w:rsidRPr="003C5688" w:rsidRDefault="00C425D7" w:rsidP="007E254F">
      <w:pPr>
        <w:pStyle w:val="5TCuadrosGrficas"/>
        <w:jc w:val="center"/>
        <w:rPr>
          <w:rFonts w:ascii="Arial Negrita" w:hAnsi="Arial Negrita"/>
          <w:smallCaps/>
          <w:sz w:val="22"/>
          <w:szCs w:val="22"/>
        </w:rPr>
      </w:pPr>
    </w:p>
    <w:p w14:paraId="346AAEF6" w14:textId="77777777" w:rsidR="00012FD5" w:rsidRPr="00A50D5C" w:rsidRDefault="00012FD5" w:rsidP="00012FD5">
      <w:pPr>
        <w:spacing w:line="360" w:lineRule="auto"/>
        <w:jc w:val="center"/>
        <w:rPr>
          <w:rFonts w:cs="Arial"/>
        </w:rPr>
      </w:pPr>
      <w:r>
        <w:rPr>
          <w:noProof/>
        </w:rPr>
        <w:drawing>
          <wp:inline distT="0" distB="0" distL="0" distR="0" wp14:anchorId="7938547A" wp14:editId="74B1A5E6">
            <wp:extent cx="3830400" cy="2592000"/>
            <wp:effectExtent l="0" t="0" r="0" b="0"/>
            <wp:docPr id="5" name="Imagen 5" descr="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Map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400" cy="25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F0A40" w14:textId="22E5E934" w:rsidR="00032E49" w:rsidRDefault="00032E49" w:rsidP="00C425D7">
      <w:pPr>
        <w:pStyle w:val="7cFuente"/>
        <w:ind w:firstLine="539"/>
      </w:pPr>
      <w:r>
        <w:t xml:space="preserve">Nota: Cálculos derivados de las </w:t>
      </w:r>
      <w:r w:rsidRPr="004317DC">
        <w:rPr>
          <w:color w:val="000000"/>
        </w:rPr>
        <w:t xml:space="preserve">técnicas de </w:t>
      </w:r>
      <w:r>
        <w:rPr>
          <w:color w:val="000000"/>
        </w:rPr>
        <w:t>e</w:t>
      </w:r>
      <w:r w:rsidRPr="004317DC">
        <w:rPr>
          <w:color w:val="000000"/>
        </w:rPr>
        <w:t xml:space="preserve">stimación en </w:t>
      </w:r>
      <w:r>
        <w:rPr>
          <w:color w:val="000000"/>
        </w:rPr>
        <w:t>á</w:t>
      </w:r>
      <w:r w:rsidRPr="004317DC">
        <w:rPr>
          <w:color w:val="000000"/>
        </w:rPr>
        <w:t xml:space="preserve">reas </w:t>
      </w:r>
      <w:r>
        <w:rPr>
          <w:color w:val="000000"/>
        </w:rPr>
        <w:t>p</w:t>
      </w:r>
      <w:r w:rsidRPr="004317DC">
        <w:rPr>
          <w:color w:val="000000"/>
        </w:rPr>
        <w:t>equeñas</w:t>
      </w:r>
      <w:r w:rsidR="00847D9B">
        <w:rPr>
          <w:color w:val="000000"/>
        </w:rPr>
        <w:t>.</w:t>
      </w:r>
    </w:p>
    <w:p w14:paraId="0EB09E76" w14:textId="7905E959" w:rsidR="00ED1A03" w:rsidRDefault="00ED1A03" w:rsidP="00C425D7">
      <w:pPr>
        <w:pStyle w:val="7cFuente"/>
        <w:ind w:firstLine="539"/>
        <w:rPr>
          <w:color w:val="000000"/>
          <w:sz w:val="24"/>
          <w:szCs w:val="24"/>
        </w:rPr>
      </w:pPr>
      <w:r w:rsidRPr="00893B39">
        <w:t>Fuente: INEGI</w:t>
      </w:r>
      <w:r>
        <w:t>.</w:t>
      </w:r>
      <w:r w:rsidRPr="00893B39">
        <w:rPr>
          <w:color w:val="000000"/>
          <w:sz w:val="24"/>
          <w:szCs w:val="24"/>
        </w:rPr>
        <w:t xml:space="preserve"> </w:t>
      </w:r>
    </w:p>
    <w:p w14:paraId="0D5050AF" w14:textId="77777777" w:rsidR="0057616F" w:rsidRDefault="0057616F" w:rsidP="00032E49">
      <w:pPr>
        <w:ind w:right="51"/>
        <w:rPr>
          <w:sz w:val="24"/>
        </w:rPr>
      </w:pPr>
    </w:p>
    <w:p w14:paraId="16B20CE7" w14:textId="5D89851A" w:rsidR="00012FD5" w:rsidRPr="00E455A6" w:rsidRDefault="00F2051C" w:rsidP="00032E49">
      <w:pPr>
        <w:ind w:right="51"/>
        <w:rPr>
          <w:sz w:val="24"/>
        </w:rPr>
      </w:pPr>
      <w:r>
        <w:rPr>
          <w:sz w:val="24"/>
        </w:rPr>
        <w:lastRenderedPageBreak/>
        <w:t>Los municipios del norte tienen las menores tasas de informalidad laboral, mientras que</w:t>
      </w:r>
      <w:r w:rsidR="00E455A6">
        <w:rPr>
          <w:sz w:val="24"/>
        </w:rPr>
        <w:t xml:space="preserve"> </w:t>
      </w:r>
      <w:r w:rsidR="00E455A6" w:rsidRPr="00E455A6">
        <w:rPr>
          <w:bCs/>
          <w:sz w:val="24"/>
        </w:rPr>
        <w:t xml:space="preserve">más de la mitad de </w:t>
      </w:r>
      <w:r w:rsidR="00E455A6">
        <w:rPr>
          <w:bCs/>
          <w:sz w:val="24"/>
        </w:rPr>
        <w:t>lo</w:t>
      </w:r>
      <w:r w:rsidR="00E455A6" w:rsidRPr="00E455A6">
        <w:rPr>
          <w:bCs/>
          <w:sz w:val="24"/>
        </w:rPr>
        <w:t xml:space="preserve">s municipios </w:t>
      </w:r>
      <w:r w:rsidR="00E455A6">
        <w:rPr>
          <w:bCs/>
          <w:sz w:val="24"/>
        </w:rPr>
        <w:t xml:space="preserve">de </w:t>
      </w:r>
      <w:r w:rsidR="00012FD5" w:rsidRPr="00E455A6">
        <w:rPr>
          <w:bCs/>
          <w:sz w:val="24"/>
        </w:rPr>
        <w:t xml:space="preserve">Chiapas, Guerrero, Oaxaca, Puebla y Veracruz </w:t>
      </w:r>
      <w:r>
        <w:rPr>
          <w:bCs/>
          <w:sz w:val="24"/>
        </w:rPr>
        <w:t xml:space="preserve">presentan una alta </w:t>
      </w:r>
      <w:r w:rsidR="00012FD5" w:rsidRPr="00E455A6">
        <w:rPr>
          <w:bCs/>
          <w:sz w:val="24"/>
        </w:rPr>
        <w:t>prevalencia</w:t>
      </w:r>
      <w:r w:rsidR="00A54A09">
        <w:rPr>
          <w:bCs/>
          <w:sz w:val="24"/>
        </w:rPr>
        <w:t>,</w:t>
      </w:r>
      <w:r w:rsidR="007A1ED4">
        <w:rPr>
          <w:bCs/>
          <w:sz w:val="24"/>
        </w:rPr>
        <w:t xml:space="preserve"> con</w:t>
      </w:r>
      <w:r>
        <w:rPr>
          <w:bCs/>
          <w:sz w:val="24"/>
        </w:rPr>
        <w:t xml:space="preserve"> tasas</w:t>
      </w:r>
      <w:r w:rsidR="007A1ED4">
        <w:rPr>
          <w:bCs/>
          <w:sz w:val="24"/>
        </w:rPr>
        <w:t xml:space="preserve"> superiores a </w:t>
      </w:r>
      <w:r w:rsidR="00012FD5" w:rsidRPr="00E455A6">
        <w:rPr>
          <w:bCs/>
          <w:sz w:val="24"/>
        </w:rPr>
        <w:t>80</w:t>
      </w:r>
      <w:r w:rsidR="0086226C">
        <w:rPr>
          <w:sz w:val="24"/>
          <w:lang w:val="es-MX"/>
        </w:rPr>
        <w:t xml:space="preserve"> </w:t>
      </w:r>
      <w:r w:rsidR="00E03669">
        <w:rPr>
          <w:sz w:val="24"/>
          <w:lang w:val="es-MX"/>
        </w:rPr>
        <w:t>por ciento</w:t>
      </w:r>
      <w:r w:rsidR="007A1ED4">
        <w:rPr>
          <w:sz w:val="24"/>
          <w:lang w:val="es-MX"/>
        </w:rPr>
        <w:t>.</w:t>
      </w:r>
      <w:r w:rsidR="00E455A6">
        <w:rPr>
          <w:bCs/>
          <w:sz w:val="24"/>
        </w:rPr>
        <w:t xml:space="preserve"> </w:t>
      </w:r>
    </w:p>
    <w:p w14:paraId="47A5A6F3" w14:textId="77777777" w:rsidR="00012FD5" w:rsidRPr="00994820" w:rsidRDefault="00012FD5" w:rsidP="00012FD5">
      <w:pPr>
        <w:ind w:left="-567" w:right="-518"/>
      </w:pPr>
    </w:p>
    <w:p w14:paraId="5FA3DD4F" w14:textId="1763D07E" w:rsidR="00E455A6" w:rsidRPr="003C5688" w:rsidRDefault="00E455A6" w:rsidP="00E455A6">
      <w:pPr>
        <w:pStyle w:val="5TCuadrosGrficas"/>
        <w:jc w:val="center"/>
        <w:rPr>
          <w:b w:val="0"/>
        </w:rPr>
      </w:pPr>
      <w:r>
        <w:rPr>
          <w:b w:val="0"/>
        </w:rPr>
        <w:t>Mapa 3</w:t>
      </w:r>
    </w:p>
    <w:p w14:paraId="2C6E1783" w14:textId="174D69E1" w:rsidR="00E455A6" w:rsidRDefault="00E455A6" w:rsidP="00E455A6">
      <w:pPr>
        <w:pStyle w:val="5TCuadrosGrficas"/>
        <w:jc w:val="center"/>
        <w:rPr>
          <w:rFonts w:ascii="Arial Negrita" w:hAnsi="Arial Negrita"/>
          <w:smallCaps/>
          <w:sz w:val="22"/>
          <w:szCs w:val="22"/>
        </w:rPr>
      </w:pPr>
      <w:r w:rsidRPr="003C5688">
        <w:rPr>
          <w:rFonts w:ascii="Arial Negrita" w:hAnsi="Arial Negrita"/>
          <w:smallCaps/>
          <w:sz w:val="22"/>
          <w:szCs w:val="22"/>
        </w:rPr>
        <w:t xml:space="preserve">Tasa de </w:t>
      </w:r>
      <w:r>
        <w:rPr>
          <w:rFonts w:ascii="Arial Negrita" w:hAnsi="Arial Negrita"/>
          <w:smallCaps/>
          <w:sz w:val="22"/>
          <w:szCs w:val="22"/>
        </w:rPr>
        <w:t xml:space="preserve">población ocupada </w:t>
      </w:r>
      <w:r w:rsidRPr="00C425D7">
        <w:rPr>
          <w:rFonts w:ascii="Arial Negrita" w:hAnsi="Arial Negrita"/>
          <w:smallCaps/>
          <w:sz w:val="22"/>
          <w:szCs w:val="22"/>
        </w:rPr>
        <w:t>informal</w:t>
      </w:r>
      <w:r w:rsidR="00C4102D" w:rsidRPr="00C425D7">
        <w:rPr>
          <w:rFonts w:ascii="Arial Negrita" w:hAnsi="Arial Negrita"/>
          <w:smallCaps/>
          <w:sz w:val="22"/>
          <w:szCs w:val="22"/>
        </w:rPr>
        <w:t>, 2021</w:t>
      </w:r>
    </w:p>
    <w:p w14:paraId="40A22485" w14:textId="77777777" w:rsidR="003C4EE4" w:rsidRPr="003C5688" w:rsidRDefault="003C4EE4" w:rsidP="00E455A6">
      <w:pPr>
        <w:pStyle w:val="5TCuadrosGrficas"/>
        <w:jc w:val="center"/>
        <w:rPr>
          <w:rFonts w:ascii="Arial Negrita" w:hAnsi="Arial Negrita"/>
          <w:smallCaps/>
          <w:sz w:val="22"/>
          <w:szCs w:val="22"/>
        </w:rPr>
      </w:pPr>
    </w:p>
    <w:p w14:paraId="6472276B" w14:textId="77777777" w:rsidR="00012FD5" w:rsidRPr="004317DC" w:rsidRDefault="00012FD5" w:rsidP="00012FD5">
      <w:pPr>
        <w:spacing w:line="360" w:lineRule="auto"/>
        <w:jc w:val="center"/>
        <w:rPr>
          <w:rFonts w:cs="Arial"/>
          <w:color w:val="000000"/>
        </w:rPr>
      </w:pPr>
      <w:r>
        <w:rPr>
          <w:noProof/>
        </w:rPr>
        <w:drawing>
          <wp:inline distT="0" distB="0" distL="0" distR="0" wp14:anchorId="0AD4C23D" wp14:editId="7FC1AC84">
            <wp:extent cx="4078800" cy="2772000"/>
            <wp:effectExtent l="0" t="0" r="0" b="9525"/>
            <wp:docPr id="7" name="Imagen 7" descr="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Map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800" cy="27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CACFB" w14:textId="5D35A8B6" w:rsidR="00032E49" w:rsidRDefault="00032E49" w:rsidP="00FF70E7">
      <w:pPr>
        <w:pStyle w:val="7cFuente"/>
        <w:ind w:firstLine="397"/>
      </w:pPr>
      <w:r>
        <w:t xml:space="preserve">Nota: Cálculos derivados de las </w:t>
      </w:r>
      <w:r w:rsidRPr="004317DC">
        <w:rPr>
          <w:color w:val="000000"/>
        </w:rPr>
        <w:t xml:space="preserve">técnicas de </w:t>
      </w:r>
      <w:r>
        <w:rPr>
          <w:color w:val="000000"/>
        </w:rPr>
        <w:t>e</w:t>
      </w:r>
      <w:r w:rsidRPr="004317DC">
        <w:rPr>
          <w:color w:val="000000"/>
        </w:rPr>
        <w:t xml:space="preserve">stimación en </w:t>
      </w:r>
      <w:r>
        <w:rPr>
          <w:color w:val="000000"/>
        </w:rPr>
        <w:t>á</w:t>
      </w:r>
      <w:r w:rsidRPr="004317DC">
        <w:rPr>
          <w:color w:val="000000"/>
        </w:rPr>
        <w:t xml:space="preserve">reas </w:t>
      </w:r>
      <w:r>
        <w:rPr>
          <w:color w:val="000000"/>
        </w:rPr>
        <w:t>p</w:t>
      </w:r>
      <w:r w:rsidRPr="004317DC">
        <w:rPr>
          <w:color w:val="000000"/>
        </w:rPr>
        <w:t>equeñas</w:t>
      </w:r>
      <w:r w:rsidR="00847D9B">
        <w:rPr>
          <w:color w:val="000000"/>
        </w:rPr>
        <w:t>.</w:t>
      </w:r>
    </w:p>
    <w:p w14:paraId="0A5F2D8F" w14:textId="5E652103" w:rsidR="00012FD5" w:rsidRDefault="00012FD5" w:rsidP="00FF70E7">
      <w:pPr>
        <w:pStyle w:val="7cFuente"/>
        <w:ind w:firstLine="397"/>
        <w:rPr>
          <w:color w:val="000000"/>
          <w:sz w:val="24"/>
          <w:szCs w:val="24"/>
        </w:rPr>
      </w:pPr>
      <w:r w:rsidRPr="00893B39">
        <w:t>Fuente: INEGI</w:t>
      </w:r>
      <w:r>
        <w:t>.</w:t>
      </w:r>
      <w:r w:rsidRPr="00893B39">
        <w:rPr>
          <w:color w:val="000000"/>
          <w:sz w:val="24"/>
          <w:szCs w:val="24"/>
        </w:rPr>
        <w:t xml:space="preserve"> </w:t>
      </w:r>
    </w:p>
    <w:bookmarkEnd w:id="3"/>
    <w:p w14:paraId="708C9A9D" w14:textId="77777777" w:rsidR="00BA6BEC" w:rsidRDefault="00BA6BEC" w:rsidP="00032E49">
      <w:pPr>
        <w:ind w:right="51"/>
        <w:rPr>
          <w:sz w:val="24"/>
        </w:rPr>
      </w:pPr>
    </w:p>
    <w:p w14:paraId="748D5590" w14:textId="77777777" w:rsidR="00BA6BEC" w:rsidRDefault="00BA6BEC" w:rsidP="00032E49">
      <w:pPr>
        <w:ind w:right="51"/>
        <w:rPr>
          <w:sz w:val="24"/>
        </w:rPr>
      </w:pPr>
    </w:p>
    <w:p w14:paraId="1596C568" w14:textId="2BB3E99E" w:rsidR="00ED1A03" w:rsidRPr="00ED1A03" w:rsidRDefault="00ED1A03" w:rsidP="00032E49">
      <w:pPr>
        <w:ind w:right="51"/>
        <w:rPr>
          <w:sz w:val="24"/>
        </w:rPr>
      </w:pPr>
      <w:r w:rsidRPr="00ED1A03">
        <w:rPr>
          <w:sz w:val="24"/>
        </w:rPr>
        <w:t>Con este trabajo</w:t>
      </w:r>
      <w:r w:rsidR="0086226C">
        <w:rPr>
          <w:sz w:val="24"/>
        </w:rPr>
        <w:t>,</w:t>
      </w:r>
      <w:r w:rsidRPr="00ED1A03">
        <w:rPr>
          <w:sz w:val="24"/>
        </w:rPr>
        <w:t xml:space="preserve"> el INEGI atiende la necesidad de desarrollar nuevas opciones técnicas y metodológicas</w:t>
      </w:r>
      <w:r w:rsidR="0086226C">
        <w:rPr>
          <w:sz w:val="24"/>
        </w:rPr>
        <w:t xml:space="preserve"> </w:t>
      </w:r>
      <w:r w:rsidRPr="00ED1A03">
        <w:rPr>
          <w:sz w:val="24"/>
        </w:rPr>
        <w:t xml:space="preserve">que </w:t>
      </w:r>
      <w:r w:rsidR="007A1ED4">
        <w:rPr>
          <w:sz w:val="24"/>
        </w:rPr>
        <w:t>fortalezcan</w:t>
      </w:r>
      <w:r w:rsidRPr="00ED1A03">
        <w:rPr>
          <w:sz w:val="24"/>
        </w:rPr>
        <w:t xml:space="preserve"> la infraestructura estadística</w:t>
      </w:r>
      <w:r w:rsidR="007A1ED4">
        <w:rPr>
          <w:sz w:val="24"/>
        </w:rPr>
        <w:t xml:space="preserve">. La </w:t>
      </w:r>
      <w:r w:rsidRPr="00ED1A03">
        <w:rPr>
          <w:sz w:val="24"/>
        </w:rPr>
        <w:t>información</w:t>
      </w:r>
      <w:r w:rsidR="007A1ED4">
        <w:rPr>
          <w:sz w:val="24"/>
        </w:rPr>
        <w:t xml:space="preserve"> </w:t>
      </w:r>
      <w:r w:rsidR="00342834">
        <w:rPr>
          <w:sz w:val="24"/>
        </w:rPr>
        <w:t>contribuye a</w:t>
      </w:r>
      <w:r w:rsidR="007A1ED4">
        <w:rPr>
          <w:sz w:val="24"/>
        </w:rPr>
        <w:t xml:space="preserve"> facilitar </w:t>
      </w:r>
      <w:r w:rsidRPr="00ED1A03">
        <w:rPr>
          <w:sz w:val="24"/>
        </w:rPr>
        <w:t>la toma de decisiones en torno a la planeación, diseño y evaluación de programas sociales.</w:t>
      </w:r>
    </w:p>
    <w:p w14:paraId="1AF02528" w14:textId="77777777" w:rsidR="00ED1A03" w:rsidRDefault="00ED1A03" w:rsidP="00ED1A03">
      <w:pPr>
        <w:ind w:left="-567" w:right="-660"/>
        <w:rPr>
          <w:sz w:val="24"/>
        </w:rPr>
      </w:pPr>
    </w:p>
    <w:p w14:paraId="711E1166" w14:textId="30161409" w:rsidR="00CF56CC" w:rsidRPr="00ED1A03" w:rsidRDefault="00CF56CC" w:rsidP="00032E49">
      <w:pPr>
        <w:ind w:right="51"/>
        <w:rPr>
          <w:sz w:val="24"/>
        </w:rPr>
      </w:pPr>
      <w:r w:rsidRPr="00ED1A03">
        <w:rPr>
          <w:sz w:val="24"/>
        </w:rPr>
        <w:t xml:space="preserve">La información completa puede consultarse en: </w:t>
      </w:r>
    </w:p>
    <w:p w14:paraId="5D27DCF5" w14:textId="2C130803" w:rsidR="00221F34" w:rsidRDefault="00531199" w:rsidP="00221F34">
      <w:pPr>
        <w:ind w:right="51"/>
        <w:rPr>
          <w:sz w:val="24"/>
        </w:rPr>
      </w:pPr>
      <w:hyperlink r:id="rId12" w:history="1">
        <w:r w:rsidR="0086201A" w:rsidRPr="00FA254C">
          <w:rPr>
            <w:rStyle w:val="Hipervnculo"/>
            <w:rFonts w:cs="Arial"/>
            <w:sz w:val="24"/>
          </w:rPr>
          <w:t>https://www.inegi.org.mx/investigacion/ilmm/2021/</w:t>
        </w:r>
      </w:hyperlink>
      <w:r w:rsidR="00AC6B83" w:rsidRPr="00FA254C">
        <w:rPr>
          <w:sz w:val="24"/>
        </w:rPr>
        <w:t>.</w:t>
      </w:r>
    </w:p>
    <w:p w14:paraId="7127317B" w14:textId="77777777" w:rsidR="00221F34" w:rsidRPr="00221F34" w:rsidRDefault="00221F34" w:rsidP="00221F34">
      <w:pPr>
        <w:ind w:right="51"/>
        <w:rPr>
          <w:rFonts w:cs="Arial"/>
          <w:sz w:val="24"/>
        </w:rPr>
      </w:pPr>
    </w:p>
    <w:p w14:paraId="486BE277" w14:textId="6DDBD834" w:rsidR="000F7C63" w:rsidRDefault="000F7C63" w:rsidP="00CF56CC">
      <w:pPr>
        <w:pStyle w:val="NormalWeb"/>
        <w:spacing w:before="0" w:beforeAutospacing="0" w:after="0" w:afterAutospacing="0"/>
        <w:ind w:left="-284" w:right="-279"/>
        <w:contextualSpacing/>
        <w:jc w:val="center"/>
        <w:rPr>
          <w:rFonts w:ascii="Arial" w:hAnsi="Arial" w:cs="Arial"/>
        </w:rPr>
      </w:pPr>
    </w:p>
    <w:p w14:paraId="51283796" w14:textId="77777777" w:rsidR="00CF56CC" w:rsidRPr="00ED1A03" w:rsidRDefault="00CF56CC" w:rsidP="00ED1A03">
      <w:pPr>
        <w:ind w:left="-567" w:right="-660"/>
        <w:jc w:val="center"/>
        <w:rPr>
          <w:sz w:val="24"/>
        </w:rPr>
      </w:pPr>
      <w:r w:rsidRPr="00ED1A03">
        <w:rPr>
          <w:sz w:val="24"/>
        </w:rPr>
        <w:t xml:space="preserve">Para consultas de medios y periodistas, contactar a: </w:t>
      </w:r>
      <w:hyperlink r:id="rId13" w:history="1">
        <w:r w:rsidRPr="00ED1A03">
          <w:rPr>
            <w:rStyle w:val="Hipervnculo"/>
            <w:rFonts w:cs="Arial"/>
            <w:sz w:val="24"/>
          </w:rPr>
          <w:t>comunicacionsocial@inegi.org.mx</w:t>
        </w:r>
      </w:hyperlink>
    </w:p>
    <w:p w14:paraId="0EE94A17" w14:textId="77777777" w:rsidR="00CF56CC" w:rsidRPr="00ED1A03" w:rsidRDefault="00CF56CC" w:rsidP="00ED1A03">
      <w:pPr>
        <w:ind w:left="-567" w:right="-660"/>
        <w:jc w:val="center"/>
        <w:rPr>
          <w:sz w:val="24"/>
        </w:rPr>
      </w:pPr>
      <w:r w:rsidRPr="00ED1A03">
        <w:rPr>
          <w:sz w:val="24"/>
        </w:rPr>
        <w:t xml:space="preserve">o llamar al teléfono (55) 52-78-10-00, </w:t>
      </w:r>
      <w:proofErr w:type="spellStart"/>
      <w:r w:rsidRPr="00ED1A03">
        <w:rPr>
          <w:sz w:val="24"/>
        </w:rPr>
        <w:t>exts</w:t>
      </w:r>
      <w:proofErr w:type="spellEnd"/>
      <w:r w:rsidRPr="00ED1A03">
        <w:rPr>
          <w:sz w:val="24"/>
        </w:rPr>
        <w:t>. 1134, 1260 y 1241.</w:t>
      </w:r>
    </w:p>
    <w:p w14:paraId="26CC0A9B" w14:textId="77777777" w:rsidR="00CF56CC" w:rsidRPr="00ED1A03" w:rsidRDefault="00CF56CC" w:rsidP="00ED1A03">
      <w:pPr>
        <w:ind w:left="-567" w:right="-660"/>
        <w:jc w:val="center"/>
        <w:rPr>
          <w:sz w:val="24"/>
        </w:rPr>
      </w:pPr>
    </w:p>
    <w:p w14:paraId="7CBFA343" w14:textId="77777777" w:rsidR="00CF56CC" w:rsidRPr="00ED1A03" w:rsidRDefault="00CF56CC" w:rsidP="00ED1A03">
      <w:pPr>
        <w:ind w:left="-567" w:right="-660"/>
        <w:jc w:val="center"/>
        <w:rPr>
          <w:sz w:val="24"/>
        </w:rPr>
      </w:pPr>
      <w:r w:rsidRPr="00ED1A03">
        <w:rPr>
          <w:sz w:val="24"/>
        </w:rPr>
        <w:t>Dirección de Atención a Medios / Dirección General Adjunta de Comunicación</w:t>
      </w:r>
    </w:p>
    <w:p w14:paraId="5EE74211" w14:textId="77777777" w:rsidR="00CF56CC" w:rsidRPr="00ED1A03" w:rsidRDefault="00CF56CC" w:rsidP="00CF56CC">
      <w:pPr>
        <w:rPr>
          <w:sz w:val="24"/>
        </w:rPr>
      </w:pPr>
    </w:p>
    <w:p w14:paraId="68DE6269" w14:textId="77777777" w:rsidR="00CF56CC" w:rsidRPr="00FB7B7A" w:rsidRDefault="00CF56CC" w:rsidP="0018158F">
      <w:pPr>
        <w:rPr>
          <w:sz w:val="20"/>
          <w:szCs w:val="20"/>
        </w:rPr>
      </w:pPr>
    </w:p>
    <w:p w14:paraId="367246FD" w14:textId="77777777" w:rsidR="00CF56CC" w:rsidRPr="00FB7B7A" w:rsidRDefault="00CF56CC" w:rsidP="0018158F">
      <w:pPr>
        <w:ind w:left="1416"/>
        <w:contextualSpacing/>
        <w:rPr>
          <w:sz w:val="20"/>
          <w:szCs w:val="20"/>
        </w:rPr>
      </w:pPr>
    </w:p>
    <w:p w14:paraId="6EA13AAF" w14:textId="6C061AEF" w:rsidR="00032E49" w:rsidRDefault="0018158F" w:rsidP="0018158F">
      <w:pPr>
        <w:ind w:left="1416"/>
        <w:rPr>
          <w:noProof/>
          <w:sz w:val="20"/>
        </w:rPr>
        <w:sectPr w:rsidR="00032E49" w:rsidSect="00C55CB9">
          <w:headerReference w:type="default" r:id="rId14"/>
          <w:footerReference w:type="default" r:id="rId15"/>
          <w:pgSz w:w="12242" w:h="15842" w:code="1"/>
          <w:pgMar w:top="1702" w:right="1134" w:bottom="992" w:left="1134" w:header="567" w:footer="567" w:gutter="0"/>
          <w:cols w:space="708"/>
          <w:docGrid w:linePitch="360"/>
        </w:sectPr>
      </w:pPr>
      <w:r>
        <w:rPr>
          <w:noProof/>
          <w:sz w:val="20"/>
        </w:rPr>
        <w:t xml:space="preserve">          </w:t>
      </w:r>
      <w:r w:rsidR="00CF56CC" w:rsidRPr="008F0992">
        <w:rPr>
          <w:noProof/>
          <w:sz w:val="20"/>
          <w:lang w:eastAsia="es-MX"/>
        </w:rPr>
        <w:drawing>
          <wp:inline distT="0" distB="0" distL="0" distR="0" wp14:anchorId="4BBD0573" wp14:editId="2D86DB74">
            <wp:extent cx="318472" cy="322419"/>
            <wp:effectExtent l="0" t="0" r="5715" b="1905"/>
            <wp:docPr id="11" name="Imagen 11" descr="C:\Users\saladeprensa\Desktop\NVOS LOGOS\F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72" cy="322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56CC">
        <w:rPr>
          <w:noProof/>
          <w:sz w:val="20"/>
        </w:rPr>
        <w:t xml:space="preserve"> </w:t>
      </w:r>
      <w:r w:rsidR="00CF56CC" w:rsidRPr="008F0992">
        <w:rPr>
          <w:noProof/>
          <w:sz w:val="20"/>
          <w:lang w:eastAsia="es-MX"/>
        </w:rPr>
        <w:drawing>
          <wp:inline distT="0" distB="0" distL="0" distR="0" wp14:anchorId="299DC057" wp14:editId="23E8A339">
            <wp:extent cx="327704" cy="325467"/>
            <wp:effectExtent l="0" t="0" r="0" b="0"/>
            <wp:docPr id="31" name="Imagen 31" descr="C:\Users\saladeprensa\Desktop\NVOS LOGOS\I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60" cy="44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56CC">
        <w:rPr>
          <w:noProof/>
          <w:sz w:val="20"/>
        </w:rPr>
        <w:t xml:space="preserve"> </w:t>
      </w:r>
      <w:r w:rsidR="00CF56CC" w:rsidRPr="008F0992">
        <w:rPr>
          <w:noProof/>
          <w:sz w:val="20"/>
          <w:lang w:eastAsia="es-MX"/>
        </w:rPr>
        <w:drawing>
          <wp:inline distT="0" distB="0" distL="0" distR="0" wp14:anchorId="2ECA7E7A" wp14:editId="2962CDB6">
            <wp:extent cx="321276" cy="324093"/>
            <wp:effectExtent l="0" t="0" r="3175" b="0"/>
            <wp:docPr id="21" name="Imagen 21" descr="C:\Users\saladeprensa\Desktop\NVOS LOGOS\T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52" cy="33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56CC">
        <w:rPr>
          <w:noProof/>
          <w:sz w:val="20"/>
        </w:rPr>
        <w:t xml:space="preserve"> </w:t>
      </w:r>
      <w:r w:rsidR="00CF56CC" w:rsidRPr="008F0992">
        <w:rPr>
          <w:noProof/>
          <w:sz w:val="20"/>
          <w:lang w:eastAsia="es-MX"/>
        </w:rPr>
        <w:drawing>
          <wp:inline distT="0" distB="0" distL="0" distR="0" wp14:anchorId="4E7A8C38" wp14:editId="4E6216A9">
            <wp:extent cx="321276" cy="326574"/>
            <wp:effectExtent l="0" t="0" r="3175" b="0"/>
            <wp:docPr id="32" name="Imagen 32" descr="C:\Users\saladeprensa\Desktop\NVOS LOGOS\Y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02" cy="37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56CC">
        <w:rPr>
          <w:noProof/>
          <w:sz w:val="20"/>
        </w:rPr>
        <w:t xml:space="preserve">  </w:t>
      </w:r>
      <w:r w:rsidR="00CF56CC" w:rsidRPr="008F0992">
        <w:rPr>
          <w:noProof/>
          <w:sz w:val="14"/>
          <w:szCs w:val="18"/>
          <w:lang w:eastAsia="es-MX"/>
        </w:rPr>
        <w:drawing>
          <wp:inline distT="0" distB="0" distL="0" distR="0" wp14:anchorId="240C34D4" wp14:editId="03535DEB">
            <wp:extent cx="2323070" cy="319707"/>
            <wp:effectExtent l="0" t="0" r="1270" b="4445"/>
            <wp:docPr id="23" name="Imagen 2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623" cy="35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39196" w14:textId="1264FF3C" w:rsidR="00994820" w:rsidRDefault="00994820" w:rsidP="0075604A">
      <w:pPr>
        <w:pStyle w:val="7cFuente"/>
        <w:ind w:left="0" w:firstLine="0"/>
        <w:rPr>
          <w:color w:val="000000"/>
          <w:sz w:val="24"/>
          <w:szCs w:val="24"/>
        </w:rPr>
      </w:pPr>
    </w:p>
    <w:p w14:paraId="7D9A85FC" w14:textId="4473A1DE" w:rsidR="00221F34" w:rsidRDefault="00221F34" w:rsidP="00221F34">
      <w:pPr>
        <w:pStyle w:val="7cFuente"/>
        <w:ind w:left="0" w:firstLine="0"/>
        <w:rPr>
          <w:b/>
          <w:color w:val="000000"/>
          <w:sz w:val="24"/>
          <w:szCs w:val="24"/>
        </w:rPr>
      </w:pPr>
    </w:p>
    <w:p w14:paraId="4B1E2667" w14:textId="77777777" w:rsidR="00C425D7" w:rsidRDefault="00C425D7" w:rsidP="00221F34">
      <w:pPr>
        <w:pStyle w:val="7cFuente"/>
        <w:ind w:left="0" w:firstLine="0"/>
        <w:rPr>
          <w:b/>
          <w:color w:val="000000"/>
          <w:sz w:val="24"/>
          <w:szCs w:val="24"/>
        </w:rPr>
      </w:pPr>
    </w:p>
    <w:p w14:paraId="47A06F2C" w14:textId="3B26AF8E" w:rsidR="00994820" w:rsidRPr="00032E49" w:rsidRDefault="00032E49" w:rsidP="00C425D7">
      <w:pPr>
        <w:pStyle w:val="7cFuente"/>
        <w:ind w:left="0" w:right="51" w:firstLine="0"/>
        <w:jc w:val="center"/>
        <w:rPr>
          <w:b/>
          <w:color w:val="000000"/>
          <w:sz w:val="24"/>
          <w:szCs w:val="24"/>
        </w:rPr>
      </w:pPr>
      <w:r w:rsidRPr="00032E49">
        <w:rPr>
          <w:b/>
          <w:color w:val="000000"/>
          <w:sz w:val="24"/>
          <w:szCs w:val="24"/>
        </w:rPr>
        <w:lastRenderedPageBreak/>
        <w:t>ANEXO</w:t>
      </w:r>
    </w:p>
    <w:p w14:paraId="7817A81E" w14:textId="3E997711" w:rsidR="007C5EA7" w:rsidRDefault="007C5EA7" w:rsidP="00C425D7">
      <w:pPr>
        <w:pStyle w:val="7cFuente"/>
        <w:ind w:left="0" w:right="51" w:firstLine="0"/>
        <w:rPr>
          <w:color w:val="000000"/>
          <w:sz w:val="24"/>
          <w:szCs w:val="24"/>
        </w:rPr>
      </w:pPr>
    </w:p>
    <w:p w14:paraId="74AA2D8E" w14:textId="4521E777" w:rsidR="007C5EA7" w:rsidRDefault="007C5EA7" w:rsidP="00C425D7">
      <w:pPr>
        <w:ind w:right="51"/>
        <w:jc w:val="center"/>
        <w:rPr>
          <w:b/>
          <w:sz w:val="24"/>
        </w:rPr>
      </w:pPr>
      <w:r w:rsidRPr="00CF56CC">
        <w:rPr>
          <w:b/>
          <w:sz w:val="24"/>
        </w:rPr>
        <w:t>NOTA</w:t>
      </w:r>
      <w:r w:rsidRPr="00CF56CC">
        <w:rPr>
          <w:b/>
          <w:spacing w:val="-5"/>
          <w:sz w:val="24"/>
        </w:rPr>
        <w:t xml:space="preserve"> </w:t>
      </w:r>
      <w:r w:rsidRPr="00CF56CC">
        <w:rPr>
          <w:b/>
          <w:sz w:val="24"/>
        </w:rPr>
        <w:t>TÉCNICA</w:t>
      </w:r>
    </w:p>
    <w:p w14:paraId="40B9A037" w14:textId="77777777" w:rsidR="00032E49" w:rsidRPr="00CF56CC" w:rsidRDefault="00032E49" w:rsidP="00F62C7A">
      <w:pPr>
        <w:rPr>
          <w:b/>
          <w:sz w:val="24"/>
        </w:rPr>
      </w:pPr>
    </w:p>
    <w:p w14:paraId="426C6587" w14:textId="5FCF4AB2" w:rsidR="007C5EA7" w:rsidRDefault="007C5EA7" w:rsidP="007C5EA7">
      <w:r w:rsidRPr="004317DC">
        <w:t>Las áreas pequeñas son subconjuntos poblacionales de tamaño inferior al considerado en el diseño original de una encuesta por muestreo probabilístico. Pueden ser áreas geográficas o dominios temáticos no considerados explícitamente. Las técnicas</w:t>
      </w:r>
      <w:r w:rsidR="00B3765D" w:rsidRPr="004317DC">
        <w:rPr>
          <w:color w:val="000000"/>
        </w:rPr>
        <w:t xml:space="preserve"> de </w:t>
      </w:r>
      <w:r w:rsidR="00B3765D">
        <w:rPr>
          <w:color w:val="000000"/>
        </w:rPr>
        <w:t>e</w:t>
      </w:r>
      <w:r w:rsidR="00B3765D" w:rsidRPr="004317DC">
        <w:rPr>
          <w:color w:val="000000"/>
        </w:rPr>
        <w:t xml:space="preserve">stimación en </w:t>
      </w:r>
      <w:r w:rsidR="00B3765D">
        <w:rPr>
          <w:color w:val="000000"/>
        </w:rPr>
        <w:t>á</w:t>
      </w:r>
      <w:r w:rsidR="00B3765D" w:rsidRPr="004317DC">
        <w:rPr>
          <w:color w:val="000000"/>
        </w:rPr>
        <w:t xml:space="preserve">reas </w:t>
      </w:r>
      <w:r w:rsidR="00B3765D">
        <w:rPr>
          <w:color w:val="000000"/>
        </w:rPr>
        <w:t>p</w:t>
      </w:r>
      <w:r w:rsidR="00B3765D" w:rsidRPr="004317DC">
        <w:rPr>
          <w:color w:val="000000"/>
        </w:rPr>
        <w:t xml:space="preserve">equeñas </w:t>
      </w:r>
      <w:r w:rsidR="00B3765D">
        <w:t>s</w:t>
      </w:r>
      <w:r w:rsidRPr="004317DC">
        <w:t>on herramientas estadísticas relativamente novedosas</w:t>
      </w:r>
      <w:r w:rsidR="00EC07C2">
        <w:t xml:space="preserve">. Estas </w:t>
      </w:r>
      <w:r w:rsidRPr="004317DC">
        <w:t xml:space="preserve">permiten estimar parámetros sin necesidad de desarrollar </w:t>
      </w:r>
      <w:r w:rsidR="00EC07C2">
        <w:t xml:space="preserve">encuestas </w:t>
      </w:r>
      <w:r w:rsidRPr="004317DC">
        <w:t>adiciona</w:t>
      </w:r>
      <w:r w:rsidR="00EC07C2">
        <w:t xml:space="preserve">les, pues basta el </w:t>
      </w:r>
      <w:r w:rsidR="00A53AA2">
        <w:t xml:space="preserve">uso de </w:t>
      </w:r>
      <w:r w:rsidRPr="004317DC">
        <w:t>fuentes de información de propósitos múltiples</w:t>
      </w:r>
      <w:r>
        <w:t xml:space="preserve">: </w:t>
      </w:r>
      <w:r w:rsidRPr="004317DC">
        <w:t>encuestas</w:t>
      </w:r>
      <w:r>
        <w:t xml:space="preserve"> por muestreo</w:t>
      </w:r>
      <w:r w:rsidRPr="004317DC">
        <w:t xml:space="preserve">, censos, registros administrativos, </w:t>
      </w:r>
      <w:r>
        <w:t>etcétera</w:t>
      </w:r>
      <w:r w:rsidRPr="004317DC">
        <w:t>.</w:t>
      </w:r>
    </w:p>
    <w:p w14:paraId="537FCB6D" w14:textId="77777777" w:rsidR="007C5EA7" w:rsidRPr="004317DC" w:rsidRDefault="007C5EA7" w:rsidP="007C5EA7"/>
    <w:p w14:paraId="68ABF733" w14:textId="717A91B1" w:rsidR="007C5EA7" w:rsidRPr="004317DC" w:rsidRDefault="00421420" w:rsidP="007C5EA7">
      <w:r>
        <w:t>A</w:t>
      </w:r>
      <w:r w:rsidRPr="004317DC">
        <w:t xml:space="preserve"> nivel municipal</w:t>
      </w:r>
      <w:r>
        <w:t>, e</w:t>
      </w:r>
      <w:r w:rsidR="007C5EA7" w:rsidRPr="004317DC">
        <w:t xml:space="preserve">l objetivo de estimar </w:t>
      </w:r>
      <w:r>
        <w:t xml:space="preserve">las </w:t>
      </w:r>
      <w:r w:rsidRPr="004317DC">
        <w:t>características laborales sobre</w:t>
      </w:r>
      <w:r>
        <w:t xml:space="preserve"> la</w:t>
      </w:r>
      <w:r w:rsidRPr="004317DC">
        <w:t xml:space="preserve"> PEA </w:t>
      </w:r>
      <w:r w:rsidR="007C5EA7" w:rsidRPr="004317DC">
        <w:t xml:space="preserve">, </w:t>
      </w:r>
      <w:r w:rsidR="007C5EA7">
        <w:t>la p</w:t>
      </w:r>
      <w:r w:rsidR="007C5EA7" w:rsidRPr="004317DC">
        <w:t xml:space="preserve">oblación </w:t>
      </w:r>
      <w:r w:rsidR="007C5EA7">
        <w:t>o</w:t>
      </w:r>
      <w:r w:rsidR="007C5EA7" w:rsidRPr="004317DC">
        <w:t>cupada</w:t>
      </w:r>
      <w:r w:rsidR="007C5EA7">
        <w:t xml:space="preserve"> y</w:t>
      </w:r>
      <w:r w:rsidR="007C5EA7" w:rsidRPr="004317DC">
        <w:t xml:space="preserve"> </w:t>
      </w:r>
      <w:r w:rsidR="007C5EA7">
        <w:t>la p</w:t>
      </w:r>
      <w:r w:rsidR="007C5EA7" w:rsidRPr="004317DC">
        <w:t xml:space="preserve">oblación </w:t>
      </w:r>
      <w:r w:rsidR="007C5EA7">
        <w:t>o</w:t>
      </w:r>
      <w:r w:rsidR="007C5EA7" w:rsidRPr="004317DC">
        <w:t xml:space="preserve">cupada </w:t>
      </w:r>
      <w:r w:rsidR="007C5EA7">
        <w:t>i</w:t>
      </w:r>
      <w:r w:rsidR="007C5EA7" w:rsidRPr="004317DC">
        <w:t xml:space="preserve">nformal mediante </w:t>
      </w:r>
      <w:r w:rsidR="00C55CB9">
        <w:t xml:space="preserve">la </w:t>
      </w:r>
      <w:r w:rsidR="00653C25">
        <w:t>generación de</w:t>
      </w:r>
      <w:r w:rsidR="00C55CB9">
        <w:t xml:space="preserve"> </w:t>
      </w:r>
      <w:r w:rsidR="003D0ADB">
        <w:t>técnicas de estimación en áreas pequeñas</w:t>
      </w:r>
      <w:r w:rsidR="007C5EA7" w:rsidRPr="004317DC">
        <w:t xml:space="preserve"> es fortalecer el análisis estadístico y ampliar la oferta de información derivada de la </w:t>
      </w:r>
      <w:r w:rsidR="007C5EA7">
        <w:rPr>
          <w:color w:val="000000"/>
        </w:rPr>
        <w:t>ENOE</w:t>
      </w:r>
      <w:r w:rsidR="007C5EA7" w:rsidRPr="00A233C4">
        <w:rPr>
          <w:color w:val="000000"/>
          <w:vertAlign w:val="superscript"/>
        </w:rPr>
        <w:t>N</w:t>
      </w:r>
      <w:r w:rsidR="007C5EA7" w:rsidRPr="004317DC">
        <w:t xml:space="preserve">. </w:t>
      </w:r>
      <w:r>
        <w:t>P</w:t>
      </w:r>
      <w:r w:rsidRPr="004317DC">
        <w:t xml:space="preserve">ara el primer trimestre </w:t>
      </w:r>
      <w:r>
        <w:t>de 2021, l</w:t>
      </w:r>
      <w:r w:rsidR="007C5EA7" w:rsidRPr="004317DC">
        <w:t xml:space="preserve">as variables que se estimaron a nivel de municipio o </w:t>
      </w:r>
      <w:r w:rsidR="003D0ADB">
        <w:t>demarcaciones territoriales</w:t>
      </w:r>
      <w:r w:rsidR="007C5EA7" w:rsidRPr="004317DC">
        <w:t xml:space="preserve"> son:</w:t>
      </w:r>
    </w:p>
    <w:p w14:paraId="2837613B" w14:textId="77777777" w:rsidR="007C5EA7" w:rsidRDefault="007C5EA7" w:rsidP="007C5EA7"/>
    <w:p w14:paraId="6F99D804" w14:textId="063419A8" w:rsidR="007C5EA7" w:rsidRPr="004317DC" w:rsidRDefault="007C5EA7" w:rsidP="00C425D7">
      <w:pPr>
        <w:pStyle w:val="3Vietas1"/>
        <w:numPr>
          <w:ilvl w:val="0"/>
          <w:numId w:val="14"/>
        </w:numPr>
        <w:spacing w:before="0" w:after="0"/>
        <w:ind w:left="714" w:hanging="357"/>
      </w:pPr>
      <w:r w:rsidRPr="004317DC">
        <w:t>Tasa de</w:t>
      </w:r>
      <w:r w:rsidRPr="004317DC">
        <w:rPr>
          <w:spacing w:val="7"/>
        </w:rPr>
        <w:t xml:space="preserve"> </w:t>
      </w:r>
      <w:r>
        <w:rPr>
          <w:spacing w:val="7"/>
        </w:rPr>
        <w:t xml:space="preserve">la </w:t>
      </w:r>
      <w:r>
        <w:t>p</w:t>
      </w:r>
      <w:r w:rsidRPr="004317DC">
        <w:t>oblación</w:t>
      </w:r>
      <w:r w:rsidRPr="004317DC">
        <w:rPr>
          <w:spacing w:val="5"/>
        </w:rPr>
        <w:t xml:space="preserve"> </w:t>
      </w:r>
      <w:r>
        <w:t>e</w:t>
      </w:r>
      <w:r w:rsidRPr="004317DC">
        <w:t>conómicamente</w:t>
      </w:r>
      <w:r w:rsidRPr="004317DC">
        <w:rPr>
          <w:spacing w:val="4"/>
        </w:rPr>
        <w:t xml:space="preserve"> </w:t>
      </w:r>
      <w:r>
        <w:t>a</w:t>
      </w:r>
      <w:r w:rsidRPr="004317DC">
        <w:t>ctiva</w:t>
      </w:r>
      <w:r>
        <w:t xml:space="preserve"> (PEA)</w:t>
      </w:r>
    </w:p>
    <w:p w14:paraId="7C010B82" w14:textId="17C8FA4E" w:rsidR="007C5EA7" w:rsidRPr="004317DC" w:rsidRDefault="007C5EA7" w:rsidP="00C425D7">
      <w:pPr>
        <w:pStyle w:val="3Vietas1"/>
        <w:numPr>
          <w:ilvl w:val="0"/>
          <w:numId w:val="14"/>
        </w:numPr>
        <w:spacing w:before="0" w:after="0"/>
        <w:ind w:left="714" w:hanging="357"/>
      </w:pPr>
      <w:r w:rsidRPr="004317DC">
        <w:t xml:space="preserve">Tasa de </w:t>
      </w:r>
      <w:r>
        <w:t>la p</w:t>
      </w:r>
      <w:r w:rsidRPr="004317DC">
        <w:t xml:space="preserve">oblación </w:t>
      </w:r>
      <w:r>
        <w:t>o</w:t>
      </w:r>
      <w:r w:rsidRPr="004317DC">
        <w:t>cupada</w:t>
      </w:r>
      <w:r>
        <w:t xml:space="preserve"> (ocupados)</w:t>
      </w:r>
    </w:p>
    <w:p w14:paraId="4F237662" w14:textId="143745A0" w:rsidR="007C5EA7" w:rsidRPr="004317DC" w:rsidRDefault="007C5EA7" w:rsidP="00C425D7">
      <w:pPr>
        <w:pStyle w:val="3Vietas1"/>
        <w:numPr>
          <w:ilvl w:val="0"/>
          <w:numId w:val="14"/>
        </w:numPr>
        <w:spacing w:before="0" w:after="0"/>
        <w:ind w:left="714" w:hanging="357"/>
      </w:pPr>
      <w:r w:rsidRPr="004317DC">
        <w:t>Tasa de</w:t>
      </w:r>
      <w:r>
        <w:t xml:space="preserve"> la p</w:t>
      </w:r>
      <w:r w:rsidRPr="004317DC">
        <w:t>oblación</w:t>
      </w:r>
      <w:r w:rsidRPr="004317DC">
        <w:rPr>
          <w:spacing w:val="12"/>
        </w:rPr>
        <w:t xml:space="preserve"> </w:t>
      </w:r>
      <w:r>
        <w:t>o</w:t>
      </w:r>
      <w:r w:rsidRPr="004317DC">
        <w:t>cupada</w:t>
      </w:r>
      <w:r w:rsidRPr="004317DC">
        <w:rPr>
          <w:spacing w:val="12"/>
        </w:rPr>
        <w:t xml:space="preserve"> </w:t>
      </w:r>
      <w:r>
        <w:t>i</w:t>
      </w:r>
      <w:r w:rsidRPr="004317DC">
        <w:t>nformal</w:t>
      </w:r>
      <w:r>
        <w:rPr>
          <w:spacing w:val="13"/>
        </w:rPr>
        <w:t xml:space="preserve"> (informales)</w:t>
      </w:r>
    </w:p>
    <w:p w14:paraId="1E8166B2" w14:textId="77777777" w:rsidR="007C5EA7" w:rsidRDefault="007C5EA7" w:rsidP="007C5EA7"/>
    <w:p w14:paraId="654D6D04" w14:textId="2776C2F3" w:rsidR="007C5EA7" w:rsidRDefault="007C5EA7" w:rsidP="007C5EA7">
      <w:r w:rsidRPr="004317DC">
        <w:t xml:space="preserve">El periodo del primer trimestre </w:t>
      </w:r>
      <w:r>
        <w:t xml:space="preserve">se </w:t>
      </w:r>
      <w:r w:rsidRPr="004317DC">
        <w:t>estableci</w:t>
      </w:r>
      <w:r>
        <w:t>ó</w:t>
      </w:r>
      <w:r w:rsidRPr="004317DC">
        <w:t xml:space="preserve"> debido al tiempo de referencia entre las diferentes fuentes de información y la oportunidad de liberación de </w:t>
      </w:r>
      <w:r>
        <w:t xml:space="preserve">los </w:t>
      </w:r>
      <w:r w:rsidRPr="004317DC">
        <w:t xml:space="preserve">indicadores estratégicos. </w:t>
      </w:r>
      <w:r>
        <w:t xml:space="preserve">Los </w:t>
      </w:r>
      <w:r w:rsidRPr="004317DC">
        <w:t>registros administrativos</w:t>
      </w:r>
      <w:r>
        <w:t xml:space="preserve">, que sirven de </w:t>
      </w:r>
      <w:r w:rsidRPr="004317DC">
        <w:t>variables auxiliares</w:t>
      </w:r>
      <w:r>
        <w:t>,</w:t>
      </w:r>
      <w:r w:rsidRPr="004317DC">
        <w:t xml:space="preserve"> </w:t>
      </w:r>
      <w:r>
        <w:t xml:space="preserve">tienen como fecha de referencia el </w:t>
      </w:r>
      <w:r w:rsidRPr="004317DC">
        <w:t>final de año (31 de diciembre)</w:t>
      </w:r>
      <w:r w:rsidR="00A53AA2">
        <w:t xml:space="preserve">. Así, </w:t>
      </w:r>
      <w:r w:rsidRPr="004317DC">
        <w:t xml:space="preserve">la fecha </w:t>
      </w:r>
      <w:r w:rsidR="00A53AA2" w:rsidRPr="004317DC">
        <w:t xml:space="preserve">de coincidencia </w:t>
      </w:r>
      <w:r w:rsidRPr="004317DC">
        <w:t xml:space="preserve">más próxima con la </w:t>
      </w:r>
      <w:r>
        <w:rPr>
          <w:color w:val="000000"/>
        </w:rPr>
        <w:t>ENOE</w:t>
      </w:r>
      <w:r w:rsidRPr="00A233C4">
        <w:rPr>
          <w:color w:val="000000"/>
          <w:vertAlign w:val="superscript"/>
        </w:rPr>
        <w:t>N</w:t>
      </w:r>
      <w:r w:rsidRPr="004317DC">
        <w:t xml:space="preserve"> es el primer trimestre (a la mitad del periodo, 14 de febrero).</w:t>
      </w:r>
      <w:r w:rsidR="00A53AA2">
        <w:t xml:space="preserve"> Además, es </w:t>
      </w:r>
      <w:r w:rsidRPr="004317DC">
        <w:t xml:space="preserve">importante contar con información </w:t>
      </w:r>
      <w:r w:rsidR="00421420">
        <w:t>de</w:t>
      </w:r>
      <w:r w:rsidRPr="004317DC">
        <w:t xml:space="preserve"> principio de año para </w:t>
      </w:r>
      <w:r w:rsidR="00CD629A">
        <w:t xml:space="preserve">la planeación y diseño de </w:t>
      </w:r>
      <w:r w:rsidRPr="004317DC">
        <w:t>política</w:t>
      </w:r>
      <w:r>
        <w:t>s</w:t>
      </w:r>
      <w:r w:rsidRPr="004317DC">
        <w:t xml:space="preserve"> social</w:t>
      </w:r>
      <w:r>
        <w:t>es</w:t>
      </w:r>
      <w:r w:rsidRPr="004317DC">
        <w:t xml:space="preserve">, </w:t>
      </w:r>
      <w:r>
        <w:t xml:space="preserve">y </w:t>
      </w:r>
      <w:r w:rsidR="00CD629A">
        <w:t>por la pertinencia que tiene para quienes toman decisiones y para quienes us</w:t>
      </w:r>
      <w:r w:rsidR="003F5060">
        <w:t>a</w:t>
      </w:r>
      <w:r w:rsidR="00CD629A">
        <w:t xml:space="preserve">n la información en general. </w:t>
      </w:r>
    </w:p>
    <w:p w14:paraId="20799DDF" w14:textId="77777777" w:rsidR="007C5EA7" w:rsidRPr="00032E49" w:rsidRDefault="007C5EA7" w:rsidP="00EE5EC7">
      <w:pPr>
        <w:pStyle w:val="7cFuente"/>
        <w:rPr>
          <w:rFonts w:ascii="Arial Negrita" w:hAnsi="Arial Negrita"/>
          <w:smallCaps/>
          <w:color w:val="000000"/>
          <w:sz w:val="24"/>
          <w:szCs w:val="24"/>
        </w:rPr>
      </w:pPr>
    </w:p>
    <w:p w14:paraId="0EB324FC" w14:textId="7A061C8B" w:rsidR="00CF56CC" w:rsidRPr="00032E49" w:rsidRDefault="00032E49" w:rsidP="00032E49">
      <w:pPr>
        <w:pStyle w:val="2Subttulos"/>
        <w:rPr>
          <w:rFonts w:ascii="Arial Negrita" w:hAnsi="Arial Negrita"/>
          <w:smallCaps/>
        </w:rPr>
      </w:pPr>
      <w:r w:rsidRPr="00032E49">
        <w:rPr>
          <w:rFonts w:ascii="Arial Negrita" w:hAnsi="Arial Negrita"/>
          <w:caps w:val="0"/>
          <w:smallCaps/>
        </w:rPr>
        <w:t>Metodología</w:t>
      </w:r>
      <w:r w:rsidR="00CD629A">
        <w:rPr>
          <w:rFonts w:ascii="Arial Negrita" w:hAnsi="Arial Negrita"/>
          <w:caps w:val="0"/>
          <w:smallCaps/>
        </w:rPr>
        <w:t>:</w:t>
      </w:r>
      <w:r w:rsidRPr="00032E49">
        <w:rPr>
          <w:rFonts w:ascii="Arial Negrita" w:hAnsi="Arial Negrita"/>
          <w:caps w:val="0"/>
          <w:smallCaps/>
          <w:spacing w:val="-3"/>
        </w:rPr>
        <w:t xml:space="preserve"> </w:t>
      </w:r>
      <w:r w:rsidRPr="00032E49">
        <w:rPr>
          <w:rFonts w:ascii="Arial Negrita" w:hAnsi="Arial Negrita"/>
          <w:caps w:val="0"/>
          <w:smallCaps/>
        </w:rPr>
        <w:t>descripción</w:t>
      </w:r>
      <w:r w:rsidRPr="00032E49">
        <w:rPr>
          <w:rFonts w:ascii="Arial Negrita" w:hAnsi="Arial Negrita"/>
          <w:caps w:val="0"/>
          <w:smallCaps/>
          <w:spacing w:val="-2"/>
        </w:rPr>
        <w:t xml:space="preserve"> </w:t>
      </w:r>
      <w:r w:rsidRPr="00032E49">
        <w:rPr>
          <w:rFonts w:ascii="Arial Negrita" w:hAnsi="Arial Negrita"/>
          <w:caps w:val="0"/>
          <w:smallCaps/>
        </w:rPr>
        <w:t>del</w:t>
      </w:r>
      <w:r w:rsidRPr="00032E49">
        <w:rPr>
          <w:rFonts w:ascii="Arial Negrita" w:hAnsi="Arial Negrita"/>
          <w:caps w:val="0"/>
          <w:smallCaps/>
          <w:spacing w:val="-4"/>
        </w:rPr>
        <w:t xml:space="preserve"> </w:t>
      </w:r>
      <w:r w:rsidRPr="00032E49">
        <w:rPr>
          <w:rFonts w:ascii="Arial Negrita" w:hAnsi="Arial Negrita"/>
          <w:caps w:val="0"/>
          <w:smallCaps/>
        </w:rPr>
        <w:t>proceso</w:t>
      </w:r>
    </w:p>
    <w:p w14:paraId="099E8D20" w14:textId="77777777" w:rsidR="00CF56CC" w:rsidRDefault="00CF56CC" w:rsidP="00AD4657">
      <w:pPr>
        <w:rPr>
          <w:b/>
          <w:bCs/>
        </w:rPr>
      </w:pPr>
    </w:p>
    <w:p w14:paraId="2298B33C" w14:textId="25E4BE7C" w:rsidR="00CF56CC" w:rsidRDefault="00CF56CC" w:rsidP="00AD4657">
      <w:pPr>
        <w:rPr>
          <w:b/>
          <w:bCs/>
        </w:rPr>
      </w:pPr>
      <w:r>
        <w:t>E</w:t>
      </w:r>
      <w:r w:rsidRPr="007F65AD">
        <w:t xml:space="preserve">l proceso de </w:t>
      </w:r>
      <w:r w:rsidR="003D0ADB">
        <w:t>las técnicas de estimación en áreas pequeñas</w:t>
      </w:r>
      <w:r w:rsidR="003F5060">
        <w:t xml:space="preserve"> se alineó </w:t>
      </w:r>
      <w:r>
        <w:t xml:space="preserve">al </w:t>
      </w:r>
      <w:r w:rsidRPr="004153EC">
        <w:t>proceso estándar para la generación de estadística básica y derivada</w:t>
      </w:r>
      <w:r w:rsidR="003F5060">
        <w:t xml:space="preserve">. Este se encuentra </w:t>
      </w:r>
      <w:r w:rsidRPr="004153EC">
        <w:t xml:space="preserve">en </w:t>
      </w:r>
      <w:r>
        <w:t xml:space="preserve">la </w:t>
      </w:r>
      <w:r w:rsidRPr="004153EC">
        <w:t>Norma Técnica del Proceso de Producción de Información Estadística y Geográfica.</w:t>
      </w:r>
    </w:p>
    <w:p w14:paraId="5720B786" w14:textId="77777777" w:rsidR="00CF56CC" w:rsidRDefault="00CF56CC" w:rsidP="00AD4657">
      <w:pPr>
        <w:rPr>
          <w:b/>
          <w:bCs/>
        </w:rPr>
      </w:pPr>
    </w:p>
    <w:p w14:paraId="1D2D6866" w14:textId="0CA4EA1C" w:rsidR="00CF56CC" w:rsidRDefault="00CF56CC" w:rsidP="00AD4657">
      <w:pPr>
        <w:rPr>
          <w:b/>
          <w:bCs/>
        </w:rPr>
      </w:pPr>
      <w:r>
        <w:t xml:space="preserve">Para obtener las estimaciones se utilizaron </w:t>
      </w:r>
      <w:r w:rsidRPr="00691492">
        <w:t>técnicas de</w:t>
      </w:r>
      <w:r w:rsidR="003D0ADB">
        <w:t xml:space="preserve"> estimación en áreas pequeñas</w:t>
      </w:r>
      <w:r w:rsidR="003F5060">
        <w:t xml:space="preserve">. Se trata de </w:t>
      </w:r>
      <w:r w:rsidRPr="00691492">
        <w:t xml:space="preserve">herramientas estadísticas relativamente novedosas que permiten estimar parámetros, mediante el uso de fuentes de información combinadas </w:t>
      </w:r>
      <w:r w:rsidR="003F5060">
        <w:t>con</w:t>
      </w:r>
      <w:r w:rsidRPr="00691492">
        <w:t xml:space="preserve"> propósitos múltiples</w:t>
      </w:r>
      <w:r>
        <w:t xml:space="preserve">: censos, </w:t>
      </w:r>
      <w:r w:rsidRPr="00691492">
        <w:t>encuestas</w:t>
      </w:r>
      <w:r>
        <w:t xml:space="preserve"> por muestreo</w:t>
      </w:r>
      <w:r w:rsidRPr="00691492">
        <w:t xml:space="preserve">, registros administrativos, </w:t>
      </w:r>
      <w:r>
        <w:t xml:space="preserve">entre </w:t>
      </w:r>
      <w:r w:rsidRPr="00691492">
        <w:t>otras.</w:t>
      </w:r>
      <w:r>
        <w:t xml:space="preserve"> </w:t>
      </w:r>
      <w:r w:rsidRPr="00691492">
        <w:t xml:space="preserve">El método utilizado </w:t>
      </w:r>
      <w:r>
        <w:t xml:space="preserve">fue el de </w:t>
      </w:r>
      <w:proofErr w:type="spellStart"/>
      <w:r w:rsidRPr="00DA27B6">
        <w:rPr>
          <w:i/>
        </w:rPr>
        <w:t>Empirical</w:t>
      </w:r>
      <w:proofErr w:type="spellEnd"/>
      <w:r w:rsidRPr="00DA27B6">
        <w:rPr>
          <w:i/>
        </w:rPr>
        <w:t xml:space="preserve"> </w:t>
      </w:r>
      <w:proofErr w:type="spellStart"/>
      <w:r w:rsidRPr="00DA27B6">
        <w:rPr>
          <w:i/>
        </w:rPr>
        <w:t>Best</w:t>
      </w:r>
      <w:proofErr w:type="spellEnd"/>
      <w:r w:rsidRPr="00DA27B6">
        <w:rPr>
          <w:i/>
        </w:rPr>
        <w:t xml:space="preserve"> Linear </w:t>
      </w:r>
      <w:proofErr w:type="spellStart"/>
      <w:r w:rsidRPr="00DA27B6">
        <w:rPr>
          <w:i/>
        </w:rPr>
        <w:t>Unbiased</w:t>
      </w:r>
      <w:proofErr w:type="spellEnd"/>
      <w:r w:rsidRPr="00DA27B6">
        <w:rPr>
          <w:i/>
        </w:rPr>
        <w:t xml:space="preserve"> Predictor</w:t>
      </w:r>
      <w:r>
        <w:t xml:space="preserve"> </w:t>
      </w:r>
      <w:r w:rsidRPr="00691492">
        <w:t xml:space="preserve">(EBLUP), </w:t>
      </w:r>
      <w:r w:rsidR="003F5060">
        <w:t xml:space="preserve">más un </w:t>
      </w:r>
      <w:r w:rsidRPr="00691492">
        <w:t>componente espacial</w:t>
      </w:r>
      <w:r>
        <w:t xml:space="preserve"> (SEBLUP)</w:t>
      </w:r>
      <w:r w:rsidRPr="00691492">
        <w:t>.</w:t>
      </w:r>
    </w:p>
    <w:p w14:paraId="720AC6ED" w14:textId="77777777" w:rsidR="00CF56CC" w:rsidRDefault="00CF56CC" w:rsidP="00AD4657">
      <w:pPr>
        <w:rPr>
          <w:b/>
          <w:bCs/>
        </w:rPr>
      </w:pPr>
    </w:p>
    <w:p w14:paraId="227E62F1" w14:textId="34C72804" w:rsidR="00CF56CC" w:rsidRDefault="003F5060" w:rsidP="00AD4657">
      <w:pPr>
        <w:rPr>
          <w:b/>
          <w:bCs/>
        </w:rPr>
      </w:pPr>
      <w:r>
        <w:t>La validez estadística está garantizada porque los</w:t>
      </w:r>
      <w:r w:rsidR="00CF56CC">
        <w:t xml:space="preserve"> resultados de los modelos se validaron mediante los supuestos estadísticos indispensables para este tipo de ejercicios</w:t>
      </w:r>
      <w:r>
        <w:t xml:space="preserve">. Se </w:t>
      </w:r>
      <w:r w:rsidR="00CF56CC">
        <w:t>enlistan los siguientes:</w:t>
      </w:r>
    </w:p>
    <w:p w14:paraId="65A6804E" w14:textId="77777777" w:rsidR="00CF56CC" w:rsidRDefault="00CF56CC" w:rsidP="00AD4657">
      <w:pPr>
        <w:rPr>
          <w:b/>
          <w:bCs/>
        </w:rPr>
      </w:pPr>
    </w:p>
    <w:p w14:paraId="3F95187D" w14:textId="5E361B5B" w:rsidR="00CF56CC" w:rsidRDefault="00CF56CC" w:rsidP="00C425D7">
      <w:pPr>
        <w:pStyle w:val="3Vietas1"/>
        <w:spacing w:before="0" w:after="0"/>
        <w:ind w:left="709" w:hanging="425"/>
      </w:pPr>
      <w:r w:rsidRPr="00B80318">
        <w:t>Linealidad</w:t>
      </w:r>
      <w:r w:rsidR="00653C25">
        <w:t>. L</w:t>
      </w:r>
      <w:r w:rsidRPr="00B80318">
        <w:t xml:space="preserve">a variable de interés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sub>
        </m:sSub>
      </m:oMath>
      <w:r w:rsidRPr="00B80318">
        <w:t xml:space="preserve"> se asume relacionada con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sub>
        </m:sSub>
      </m:oMath>
      <w:r w:rsidRPr="00B80318">
        <w:t xml:space="preserve"> mediante un modelo de regresión lineal. </w:t>
      </w:r>
    </w:p>
    <w:p w14:paraId="55D93951" w14:textId="77777777" w:rsidR="00CF56CC" w:rsidRDefault="00CF56CC" w:rsidP="00C425D7">
      <w:pPr>
        <w:pStyle w:val="3Vietas1"/>
        <w:spacing w:before="0" w:after="0"/>
        <w:ind w:left="709" w:hanging="425"/>
        <w:rPr>
          <w:b/>
        </w:rPr>
      </w:pPr>
      <w:r w:rsidRPr="00B80318">
        <w:t>Normalidad de los efectos aleatorios y de los residuales.</w:t>
      </w:r>
    </w:p>
    <w:p w14:paraId="0978C454" w14:textId="70AF2D91" w:rsidR="00CF56CC" w:rsidRDefault="00CF56CC" w:rsidP="00C425D7">
      <w:pPr>
        <w:pStyle w:val="3Vietas1"/>
        <w:spacing w:before="0" w:after="0"/>
        <w:ind w:left="709" w:hanging="425"/>
        <w:rPr>
          <w:b/>
        </w:rPr>
      </w:pPr>
      <w:r w:rsidRPr="00B80318">
        <w:t>Homocedasticidad</w:t>
      </w:r>
      <w:r w:rsidR="00653C25">
        <w:t>. I</w:t>
      </w:r>
      <w:r w:rsidRPr="00B80318">
        <w:t xml:space="preserve">gualdad de varianzas en los residuales. </w:t>
      </w:r>
    </w:p>
    <w:p w14:paraId="79106D34" w14:textId="3B48BE48" w:rsidR="00CF56CC" w:rsidRDefault="00CF56CC" w:rsidP="00C425D7">
      <w:pPr>
        <w:pStyle w:val="3Vietas1"/>
        <w:spacing w:before="0" w:after="0"/>
        <w:ind w:left="709" w:hanging="425"/>
        <w:rPr>
          <w:b/>
        </w:rPr>
      </w:pPr>
      <w:r w:rsidRPr="00B80318">
        <w:t>No-colinealidad</w:t>
      </w:r>
      <w:r w:rsidR="00653C25">
        <w:t>. I</w:t>
      </w:r>
      <w:r w:rsidRPr="00B80318">
        <w:t xml:space="preserve">nexistencia de colinealidad o multicolinealidad. </w:t>
      </w:r>
    </w:p>
    <w:p w14:paraId="063A67EB" w14:textId="77777777" w:rsidR="00CF56CC" w:rsidRPr="00C24DB1" w:rsidRDefault="00CF56CC" w:rsidP="00AD4657">
      <w:pPr>
        <w:rPr>
          <w:b/>
        </w:rPr>
      </w:pPr>
    </w:p>
    <w:p w14:paraId="0DBFAFAE" w14:textId="6A43F481" w:rsidR="00AD4657" w:rsidRDefault="00CF56CC" w:rsidP="00653C25">
      <w:pPr>
        <w:rPr>
          <w:spacing w:val="-4"/>
        </w:rPr>
      </w:pPr>
      <w:r w:rsidRPr="00AD4657">
        <w:rPr>
          <w:spacing w:val="-4"/>
        </w:rPr>
        <w:lastRenderedPageBreak/>
        <w:t>Después de aprobar los supuestos estadísticos,</w:t>
      </w:r>
      <w:r w:rsidR="001C37E4">
        <w:rPr>
          <w:spacing w:val="-4"/>
        </w:rPr>
        <w:t xml:space="preserve"> cada una de las variables se </w:t>
      </w:r>
      <w:r w:rsidRPr="00AD4657">
        <w:rPr>
          <w:spacing w:val="-4"/>
        </w:rPr>
        <w:t>sometió a un proceso de validación. Para este</w:t>
      </w:r>
      <w:r w:rsidR="001C37E4">
        <w:rPr>
          <w:spacing w:val="-4"/>
        </w:rPr>
        <w:t>, s</w:t>
      </w:r>
      <w:r w:rsidRPr="00AD4657">
        <w:rPr>
          <w:spacing w:val="-4"/>
        </w:rPr>
        <w:t xml:space="preserve">e utilizaron las estimaciones de los municipios que en la </w:t>
      </w:r>
      <w:r w:rsidR="00A233C4">
        <w:rPr>
          <w:color w:val="000000"/>
        </w:rPr>
        <w:t>ENOE</w:t>
      </w:r>
      <w:r w:rsidR="00A233C4" w:rsidRPr="00A233C4">
        <w:rPr>
          <w:color w:val="000000"/>
          <w:vertAlign w:val="superscript"/>
        </w:rPr>
        <w:t>N</w:t>
      </w:r>
      <w:r w:rsidRPr="00AD4657">
        <w:rPr>
          <w:spacing w:val="-4"/>
        </w:rPr>
        <w:t xml:space="preserve"> tienen muestra aleatoria con un coeficiente de variación (CV) aceptable y las cifras derivadas de aplicar la estructura porcentual del CPV 2020 a las cifras estatales de la encuesta. </w:t>
      </w:r>
      <w:r w:rsidR="001C37E4">
        <w:rPr>
          <w:spacing w:val="-4"/>
        </w:rPr>
        <w:t xml:space="preserve">Los resultados obtenidos fueron </w:t>
      </w:r>
      <w:r w:rsidRPr="00AD4657">
        <w:rPr>
          <w:spacing w:val="-4"/>
        </w:rPr>
        <w:t>similares.</w:t>
      </w:r>
    </w:p>
    <w:p w14:paraId="4D5A6D3E" w14:textId="77777777" w:rsidR="00653C25" w:rsidRPr="00653C25" w:rsidRDefault="00653C25" w:rsidP="00653C25">
      <w:pPr>
        <w:rPr>
          <w:b/>
          <w:spacing w:val="-4"/>
        </w:rPr>
      </w:pPr>
    </w:p>
    <w:p w14:paraId="380CBE31" w14:textId="72F64C05" w:rsidR="00CF56CC" w:rsidRPr="00032E49" w:rsidRDefault="00032E49" w:rsidP="00032E49">
      <w:pPr>
        <w:pStyle w:val="2Subttulos"/>
        <w:rPr>
          <w:rFonts w:ascii="Arial Negrita" w:hAnsi="Arial Negrita"/>
          <w:smallCaps/>
        </w:rPr>
      </w:pPr>
      <w:r w:rsidRPr="00032E49">
        <w:rPr>
          <w:rFonts w:ascii="Arial Negrita" w:hAnsi="Arial Negrita"/>
          <w:caps w:val="0"/>
          <w:smallCaps/>
        </w:rPr>
        <w:t>Fuentes</w:t>
      </w:r>
      <w:r w:rsidRPr="00032E49">
        <w:rPr>
          <w:rFonts w:ascii="Arial Negrita" w:hAnsi="Arial Negrita"/>
          <w:caps w:val="0"/>
          <w:smallCaps/>
          <w:spacing w:val="-2"/>
        </w:rPr>
        <w:t xml:space="preserve"> </w:t>
      </w:r>
      <w:r w:rsidRPr="00032E49">
        <w:rPr>
          <w:rFonts w:ascii="Arial Negrita" w:hAnsi="Arial Negrita"/>
          <w:caps w:val="0"/>
          <w:smallCaps/>
        </w:rPr>
        <w:t>de</w:t>
      </w:r>
      <w:r w:rsidRPr="00032E49">
        <w:rPr>
          <w:rFonts w:ascii="Arial Negrita" w:hAnsi="Arial Negrita"/>
          <w:caps w:val="0"/>
          <w:smallCaps/>
          <w:spacing w:val="1"/>
        </w:rPr>
        <w:t xml:space="preserve"> </w:t>
      </w:r>
      <w:r w:rsidR="002C6F73">
        <w:rPr>
          <w:rFonts w:ascii="Arial Negrita" w:hAnsi="Arial Negrita"/>
          <w:caps w:val="0"/>
          <w:smallCaps/>
        </w:rPr>
        <w:t>Datos</w:t>
      </w:r>
    </w:p>
    <w:p w14:paraId="527F3C48" w14:textId="77777777" w:rsidR="00AD4657" w:rsidRPr="004317DC" w:rsidRDefault="00AD4657" w:rsidP="00AD4657"/>
    <w:p w14:paraId="5BE93697" w14:textId="1C73ECAF" w:rsidR="00CF56CC" w:rsidRDefault="00CF56CC" w:rsidP="00AD4657">
      <w:r>
        <w:t xml:space="preserve">La </w:t>
      </w:r>
      <w:r w:rsidR="00A233C4">
        <w:rPr>
          <w:color w:val="000000"/>
        </w:rPr>
        <w:t>ENOE</w:t>
      </w:r>
      <w:r w:rsidR="00A233C4" w:rsidRPr="00A233C4">
        <w:rPr>
          <w:color w:val="000000"/>
          <w:vertAlign w:val="superscript"/>
        </w:rPr>
        <w:t>N</w:t>
      </w:r>
      <w:r w:rsidR="00D90489">
        <w:rPr>
          <w:color w:val="FF0000"/>
          <w:vertAlign w:val="superscript"/>
        </w:rPr>
        <w:t xml:space="preserve"> </w:t>
      </w:r>
      <w:r>
        <w:t xml:space="preserve">fue la </w:t>
      </w:r>
      <w:r w:rsidRPr="004317DC">
        <w:t xml:space="preserve">fuente de datos </w:t>
      </w:r>
      <w:r>
        <w:t>para obtener las variables dependientes para el primer trimestre de 2021.</w:t>
      </w:r>
    </w:p>
    <w:p w14:paraId="1CE02210" w14:textId="77777777" w:rsidR="00CF56CC" w:rsidRDefault="00CF56CC" w:rsidP="00AD4657">
      <w:pPr>
        <w:rPr>
          <w:color w:val="000000"/>
        </w:rPr>
      </w:pPr>
    </w:p>
    <w:p w14:paraId="5D87862B" w14:textId="37A579D1" w:rsidR="00CF56CC" w:rsidRPr="00AD4657" w:rsidRDefault="00CF56CC" w:rsidP="00AD4657">
      <w:pPr>
        <w:rPr>
          <w:spacing w:val="-6"/>
        </w:rPr>
      </w:pPr>
      <w:r w:rsidRPr="00AD4657">
        <w:rPr>
          <w:spacing w:val="-6"/>
        </w:rPr>
        <w:t xml:space="preserve">En el marco conceptual de la </w:t>
      </w:r>
      <w:r w:rsidR="00A233C4">
        <w:rPr>
          <w:color w:val="000000"/>
        </w:rPr>
        <w:t>ENOE</w:t>
      </w:r>
      <w:r w:rsidR="00A233C4" w:rsidRPr="00A233C4">
        <w:rPr>
          <w:color w:val="000000"/>
          <w:vertAlign w:val="superscript"/>
        </w:rPr>
        <w:t>N</w:t>
      </w:r>
      <w:r w:rsidRPr="00AD4657">
        <w:rPr>
          <w:spacing w:val="-6"/>
        </w:rPr>
        <w:t xml:space="preserve">, la población de 15 años y más se </w:t>
      </w:r>
      <w:r w:rsidR="00612967">
        <w:rPr>
          <w:spacing w:val="-6"/>
        </w:rPr>
        <w:t>ramifica</w:t>
      </w:r>
      <w:r w:rsidRPr="00AD4657">
        <w:rPr>
          <w:spacing w:val="-6"/>
        </w:rPr>
        <w:t xml:space="preserve"> de acuerdo con lo siguiente:</w:t>
      </w:r>
    </w:p>
    <w:p w14:paraId="33330EF7" w14:textId="77777777" w:rsidR="00CF56CC" w:rsidRDefault="00CF56CC" w:rsidP="00AD4657"/>
    <w:p w14:paraId="48D1F06C" w14:textId="729BCAC5" w:rsidR="00CF56CC" w:rsidRPr="00AD4657" w:rsidRDefault="00B3765D" w:rsidP="00B3765D">
      <w:pPr>
        <w:pStyle w:val="5TCuadrosGrficas"/>
        <w:jc w:val="center"/>
        <w:rPr>
          <w:b w:val="0"/>
        </w:rPr>
      </w:pPr>
      <w:r>
        <w:rPr>
          <w:b w:val="0"/>
        </w:rPr>
        <w:t>Gráfica</w:t>
      </w:r>
      <w:r w:rsidR="00CF56CC" w:rsidRPr="00AD4657">
        <w:rPr>
          <w:b w:val="0"/>
        </w:rPr>
        <w:t xml:space="preserve"> </w:t>
      </w:r>
      <w:r w:rsidR="00221F34">
        <w:rPr>
          <w:b w:val="0"/>
        </w:rPr>
        <w:t>1</w:t>
      </w:r>
    </w:p>
    <w:p w14:paraId="046C6141" w14:textId="4CDBBFC6" w:rsidR="00B3765D" w:rsidRDefault="00CF56CC" w:rsidP="00B3765D">
      <w:pPr>
        <w:pStyle w:val="5TCuadrosGrficas"/>
        <w:jc w:val="center"/>
        <w:rPr>
          <w:rFonts w:ascii="Arial Negrita" w:hAnsi="Arial Negrita"/>
          <w:smallCaps/>
          <w:sz w:val="22"/>
          <w:szCs w:val="22"/>
        </w:rPr>
      </w:pPr>
      <w:r w:rsidRPr="00B3765D">
        <w:rPr>
          <w:rFonts w:ascii="Arial Negrita" w:hAnsi="Arial Negrita"/>
          <w:smallCaps/>
          <w:sz w:val="22"/>
          <w:szCs w:val="22"/>
        </w:rPr>
        <w:t>Ramificación de la variable población de 15 años y más</w:t>
      </w:r>
    </w:p>
    <w:p w14:paraId="39013F25" w14:textId="7BCD0CAE" w:rsidR="00CF56CC" w:rsidRPr="00B3765D" w:rsidRDefault="00CF56CC" w:rsidP="00B3765D">
      <w:pPr>
        <w:pStyle w:val="5TCuadrosGrficas"/>
        <w:jc w:val="center"/>
        <w:rPr>
          <w:rFonts w:ascii="Arial Negrita" w:hAnsi="Arial Negrita"/>
          <w:smallCaps/>
          <w:sz w:val="22"/>
          <w:szCs w:val="22"/>
        </w:rPr>
      </w:pPr>
      <w:r w:rsidRPr="00B3765D">
        <w:rPr>
          <w:rFonts w:ascii="Arial Negrita" w:hAnsi="Arial Negrita"/>
          <w:smallCaps/>
          <w:sz w:val="22"/>
          <w:szCs w:val="22"/>
        </w:rPr>
        <w:t>según condiciones laborales</w:t>
      </w:r>
    </w:p>
    <w:p w14:paraId="55723B7E" w14:textId="5E8F7177" w:rsidR="00B23678" w:rsidRPr="004317DC" w:rsidRDefault="00B23678" w:rsidP="00AD4657">
      <w:pPr>
        <w:pStyle w:val="0ColocarCyG"/>
      </w:pPr>
      <w:r w:rsidRPr="005E351F">
        <w:rPr>
          <w:noProof/>
        </w:rPr>
        <w:drawing>
          <wp:inline distT="0" distB="0" distL="0" distR="0" wp14:anchorId="4000D4A6" wp14:editId="7AEABCCB">
            <wp:extent cx="5781675" cy="1400175"/>
            <wp:effectExtent l="0" t="0" r="0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1E4EF" w14:textId="77777777" w:rsidR="00CF56CC" w:rsidRPr="001D5E07" w:rsidRDefault="00CF56CC" w:rsidP="00AD4657">
      <w:pPr>
        <w:pStyle w:val="6Nota"/>
        <w:rPr>
          <w:b/>
        </w:rPr>
      </w:pPr>
      <w:r w:rsidRPr="001D5E07">
        <w:t xml:space="preserve">Nota: La </w:t>
      </w:r>
      <w:r>
        <w:t>p</w:t>
      </w:r>
      <w:r w:rsidRPr="001D5E07">
        <w:t xml:space="preserve">oblación </w:t>
      </w:r>
      <w:r>
        <w:t>o</w:t>
      </w:r>
      <w:r w:rsidRPr="001D5E07">
        <w:t>cupada tiene más categorías, en la ilustración únicamente s</w:t>
      </w:r>
      <w:r>
        <w:t xml:space="preserve">e </w:t>
      </w:r>
      <w:r w:rsidRPr="001D5E07">
        <w:t>presentan</w:t>
      </w:r>
      <w:r w:rsidRPr="001D5E07">
        <w:rPr>
          <w:spacing w:val="-1"/>
        </w:rPr>
        <w:t xml:space="preserve"> </w:t>
      </w:r>
      <w:r w:rsidRPr="001D5E07">
        <w:t xml:space="preserve">las principales. Las estimaciones de tasas se calcularon para las variables con </w:t>
      </w:r>
      <w:r>
        <w:t>recuadr</w:t>
      </w:r>
      <w:r w:rsidRPr="001D5E07">
        <w:t>o</w:t>
      </w:r>
      <w:r>
        <w:t xml:space="preserve"> en rosa</w:t>
      </w:r>
      <w:r w:rsidRPr="001D5E07">
        <w:t>.</w:t>
      </w:r>
    </w:p>
    <w:p w14:paraId="5CE9D621" w14:textId="5E344358" w:rsidR="00B3765D" w:rsidRDefault="00CF56CC" w:rsidP="00AD4657">
      <w:pPr>
        <w:pStyle w:val="7cFuente"/>
      </w:pPr>
      <w:r w:rsidRPr="00D90489">
        <w:t>Fuente</w:t>
      </w:r>
      <w:r w:rsidRPr="004317DC">
        <w:t>: INEGI</w:t>
      </w:r>
      <w:r w:rsidR="00EC45C4">
        <w:t>.</w:t>
      </w:r>
    </w:p>
    <w:p w14:paraId="555F3B8F" w14:textId="77777777" w:rsidR="00B3765D" w:rsidRDefault="00B3765D" w:rsidP="00AD4657">
      <w:pPr>
        <w:pStyle w:val="7cFuente"/>
      </w:pPr>
    </w:p>
    <w:p w14:paraId="6198918B" w14:textId="11C889E8" w:rsidR="00CF56CC" w:rsidRDefault="00CF56CC" w:rsidP="00AD4657">
      <w:pPr>
        <w:pStyle w:val="7cFuente"/>
      </w:pPr>
      <w:r w:rsidRPr="004317DC">
        <w:t>.</w:t>
      </w:r>
    </w:p>
    <w:p w14:paraId="6C39BECC" w14:textId="3A3CD7B9" w:rsidR="00CF56CC" w:rsidRPr="004317DC" w:rsidRDefault="00CF56CC" w:rsidP="00AD4657">
      <w:pPr>
        <w:rPr>
          <w:b/>
          <w:bCs/>
        </w:rPr>
      </w:pPr>
      <w:r w:rsidRPr="00AD4657">
        <w:rPr>
          <w:b/>
          <w:position w:val="1"/>
        </w:rPr>
        <w:t>P</w:t>
      </w:r>
      <w:r w:rsidRPr="00AD4657">
        <w:rPr>
          <w:b/>
          <w:position w:val="1"/>
          <w:vertAlign w:val="subscript"/>
        </w:rPr>
        <w:t>15y+</w:t>
      </w:r>
      <w:r w:rsidRPr="00AD4657">
        <w:rPr>
          <w:b/>
          <w:position w:val="1"/>
        </w:rPr>
        <w:t xml:space="preserve">: </w:t>
      </w:r>
      <w:r w:rsidR="002D3427">
        <w:rPr>
          <w:b/>
          <w:position w:val="1"/>
        </w:rPr>
        <w:t>P</w:t>
      </w:r>
      <w:r w:rsidRPr="00AD4657">
        <w:rPr>
          <w:b/>
          <w:position w:val="1"/>
        </w:rPr>
        <w:t>oblación</w:t>
      </w:r>
      <w:r w:rsidRPr="00AD4657">
        <w:rPr>
          <w:b/>
          <w:spacing w:val="-5"/>
          <w:position w:val="1"/>
        </w:rPr>
        <w:t xml:space="preserve"> </w:t>
      </w:r>
      <w:r w:rsidRPr="00AD4657">
        <w:rPr>
          <w:b/>
          <w:position w:val="1"/>
        </w:rPr>
        <w:t>de</w:t>
      </w:r>
      <w:r w:rsidRPr="00AD4657">
        <w:rPr>
          <w:b/>
          <w:spacing w:val="-6"/>
          <w:position w:val="1"/>
        </w:rPr>
        <w:t xml:space="preserve"> </w:t>
      </w:r>
      <w:r w:rsidRPr="00AD4657">
        <w:rPr>
          <w:b/>
          <w:position w:val="1"/>
        </w:rPr>
        <w:t>15</w:t>
      </w:r>
      <w:r w:rsidRPr="00AD4657">
        <w:rPr>
          <w:b/>
          <w:spacing w:val="-5"/>
          <w:position w:val="1"/>
        </w:rPr>
        <w:t xml:space="preserve"> </w:t>
      </w:r>
      <w:r w:rsidRPr="00AD4657">
        <w:rPr>
          <w:b/>
          <w:position w:val="1"/>
        </w:rPr>
        <w:t>años</w:t>
      </w:r>
      <w:r w:rsidRPr="00AD4657">
        <w:rPr>
          <w:b/>
          <w:spacing w:val="-4"/>
          <w:position w:val="1"/>
        </w:rPr>
        <w:t xml:space="preserve"> </w:t>
      </w:r>
      <w:r w:rsidRPr="00AD4657">
        <w:rPr>
          <w:b/>
          <w:position w:val="1"/>
        </w:rPr>
        <w:t>y</w:t>
      </w:r>
      <w:r w:rsidRPr="00AD4657">
        <w:rPr>
          <w:b/>
          <w:spacing w:val="-7"/>
          <w:position w:val="1"/>
        </w:rPr>
        <w:t xml:space="preserve"> </w:t>
      </w:r>
      <w:r w:rsidRPr="00AD4657">
        <w:rPr>
          <w:b/>
          <w:position w:val="1"/>
        </w:rPr>
        <w:t>más.</w:t>
      </w:r>
      <w:r w:rsidRPr="004317DC">
        <w:rPr>
          <w:spacing w:val="-3"/>
          <w:position w:val="1"/>
        </w:rPr>
        <w:t xml:space="preserve"> </w:t>
      </w:r>
      <w:r w:rsidRPr="000A0264">
        <w:t xml:space="preserve">Conjunto de personas que en el momento de la </w:t>
      </w:r>
      <w:r w:rsidRPr="004317DC">
        <w:t>entrevista</w:t>
      </w:r>
      <w:r w:rsidRPr="000A0264">
        <w:t xml:space="preserve"> </w:t>
      </w:r>
      <w:r w:rsidRPr="004317DC">
        <w:t>tenían 15 años cumplidos</w:t>
      </w:r>
      <w:r w:rsidRPr="000A0264">
        <w:t xml:space="preserve"> </w:t>
      </w:r>
      <w:r w:rsidR="00FB561C">
        <w:t>y más</w:t>
      </w:r>
      <w:r w:rsidRPr="004317DC">
        <w:t>.</w:t>
      </w:r>
    </w:p>
    <w:p w14:paraId="2208C04A" w14:textId="77777777" w:rsidR="00AD4657" w:rsidRDefault="00AD4657" w:rsidP="00AD4657">
      <w:pPr>
        <w:rPr>
          <w:position w:val="1"/>
        </w:rPr>
      </w:pPr>
    </w:p>
    <w:p w14:paraId="7E597804" w14:textId="1D06A095" w:rsidR="00CF56CC" w:rsidRPr="00ED6C2C" w:rsidRDefault="00CF56CC" w:rsidP="00AD4657">
      <w:pPr>
        <w:rPr>
          <w:b/>
          <w:bCs/>
          <w:position w:val="1"/>
        </w:rPr>
      </w:pPr>
      <w:r w:rsidRPr="00AD4657">
        <w:rPr>
          <w:b/>
          <w:position w:val="1"/>
        </w:rPr>
        <w:t xml:space="preserve">PEA: </w:t>
      </w:r>
      <w:r w:rsidR="00FB561C">
        <w:rPr>
          <w:b/>
          <w:position w:val="1"/>
        </w:rPr>
        <w:t>P</w:t>
      </w:r>
      <w:r w:rsidRPr="00AD4657">
        <w:rPr>
          <w:b/>
          <w:position w:val="1"/>
        </w:rPr>
        <w:t xml:space="preserve">oblación </w:t>
      </w:r>
      <w:r w:rsidR="00FB561C">
        <w:rPr>
          <w:b/>
          <w:position w:val="1"/>
        </w:rPr>
        <w:t>E</w:t>
      </w:r>
      <w:r w:rsidRPr="00AD4657">
        <w:rPr>
          <w:b/>
          <w:position w:val="1"/>
        </w:rPr>
        <w:t xml:space="preserve">conómicamente </w:t>
      </w:r>
      <w:r w:rsidR="00FB561C">
        <w:rPr>
          <w:b/>
          <w:position w:val="1"/>
        </w:rPr>
        <w:t>A</w:t>
      </w:r>
      <w:r w:rsidRPr="00AD4657">
        <w:rPr>
          <w:b/>
          <w:position w:val="1"/>
        </w:rPr>
        <w:t xml:space="preserve">ctiva. </w:t>
      </w:r>
      <w:r w:rsidRPr="00ED6C2C">
        <w:rPr>
          <w:position w:val="1"/>
        </w:rPr>
        <w:t>La integran las personas de 15 años y más que tuvieron vínculo con una actividad económica o que l</w:t>
      </w:r>
      <w:r w:rsidR="00FB561C">
        <w:rPr>
          <w:position w:val="1"/>
        </w:rPr>
        <w:t>a</w:t>
      </w:r>
      <w:r w:rsidRPr="00ED6C2C">
        <w:rPr>
          <w:position w:val="1"/>
        </w:rPr>
        <w:t xml:space="preserve"> buscaron en la semana de referencia, por lo que se encontraban ocupadas o desocupadas.</w:t>
      </w:r>
    </w:p>
    <w:p w14:paraId="67BA67BA" w14:textId="77777777" w:rsidR="00AD4657" w:rsidRDefault="00AD4657" w:rsidP="00AD4657">
      <w:pPr>
        <w:rPr>
          <w:position w:val="1"/>
        </w:rPr>
      </w:pPr>
    </w:p>
    <w:p w14:paraId="09638DA5" w14:textId="42A72321" w:rsidR="00CF56CC" w:rsidRPr="00796717" w:rsidRDefault="00CF56CC" w:rsidP="00AD4657">
      <w:pPr>
        <w:rPr>
          <w:b/>
          <w:bCs/>
          <w:position w:val="1"/>
        </w:rPr>
      </w:pPr>
      <w:r w:rsidRPr="00AD4657">
        <w:rPr>
          <w:b/>
          <w:position w:val="1"/>
        </w:rPr>
        <w:t xml:space="preserve">OCU: </w:t>
      </w:r>
      <w:r w:rsidR="00FB561C">
        <w:rPr>
          <w:b/>
          <w:position w:val="1"/>
        </w:rPr>
        <w:t>P</w:t>
      </w:r>
      <w:r w:rsidRPr="00AD4657">
        <w:rPr>
          <w:b/>
          <w:position w:val="1"/>
        </w:rPr>
        <w:t xml:space="preserve">oblación </w:t>
      </w:r>
      <w:r w:rsidR="00FB561C">
        <w:rPr>
          <w:b/>
          <w:position w:val="1"/>
        </w:rPr>
        <w:t>O</w:t>
      </w:r>
      <w:r w:rsidRPr="00AD4657">
        <w:rPr>
          <w:b/>
          <w:position w:val="1"/>
        </w:rPr>
        <w:t>cupada.</w:t>
      </w:r>
      <w:r w:rsidRPr="00ED6C2C">
        <w:rPr>
          <w:position w:val="1"/>
        </w:rPr>
        <w:t xml:space="preserve"> Personas de 15 años y más que en la semana de referencia realizaron alguna actividad económica durante al menos una hora. Incluye a </w:t>
      </w:r>
      <w:r w:rsidR="00FB561C">
        <w:rPr>
          <w:position w:val="1"/>
        </w:rPr>
        <w:t xml:space="preserve">las y </w:t>
      </w:r>
      <w:r w:rsidRPr="00ED6C2C">
        <w:rPr>
          <w:position w:val="1"/>
        </w:rPr>
        <w:t>los ocupados que tenían trabajo, pero no lo</w:t>
      </w:r>
      <w:r w:rsidRPr="00202178">
        <w:rPr>
          <w:position w:val="1"/>
        </w:rPr>
        <w:t xml:space="preserve"> desempeñaron temporalmente por alguna razón, sin que por ello perdieran el vínculo laboral</w:t>
      </w:r>
      <w:r w:rsidR="002E73D5">
        <w:rPr>
          <w:position w:val="1"/>
        </w:rPr>
        <w:t xml:space="preserve">, así </w:t>
      </w:r>
      <w:r w:rsidRPr="00202178">
        <w:rPr>
          <w:position w:val="1"/>
        </w:rPr>
        <w:t>como a quienes ayudaron en alguna actividad económica sin recibir un sueldo o salario.</w:t>
      </w:r>
    </w:p>
    <w:p w14:paraId="2B563941" w14:textId="77777777" w:rsidR="0063442A" w:rsidRDefault="0063442A" w:rsidP="00AD4657">
      <w:pPr>
        <w:rPr>
          <w:b/>
          <w:position w:val="1"/>
        </w:rPr>
      </w:pPr>
    </w:p>
    <w:p w14:paraId="4B3DA9DD" w14:textId="0F72E39E" w:rsidR="00CF56CC" w:rsidRDefault="00CF56CC" w:rsidP="00AD4657">
      <w:pPr>
        <w:rPr>
          <w:b/>
          <w:bCs/>
          <w:position w:val="1"/>
        </w:rPr>
      </w:pPr>
      <w:r w:rsidRPr="00AD4657">
        <w:rPr>
          <w:b/>
          <w:position w:val="1"/>
        </w:rPr>
        <w:t xml:space="preserve">INFOR: </w:t>
      </w:r>
      <w:r w:rsidR="002E73D5">
        <w:rPr>
          <w:b/>
          <w:position w:val="1"/>
        </w:rPr>
        <w:t>P</w:t>
      </w:r>
      <w:r w:rsidRPr="00AD4657">
        <w:rPr>
          <w:b/>
          <w:position w:val="1"/>
        </w:rPr>
        <w:t xml:space="preserve">oblación </w:t>
      </w:r>
      <w:r w:rsidR="002E73D5">
        <w:rPr>
          <w:b/>
          <w:position w:val="1"/>
        </w:rPr>
        <w:t>O</w:t>
      </w:r>
      <w:r w:rsidRPr="00AD4657">
        <w:rPr>
          <w:b/>
          <w:position w:val="1"/>
        </w:rPr>
        <w:t xml:space="preserve">cupada </w:t>
      </w:r>
      <w:r w:rsidR="002E73D5">
        <w:rPr>
          <w:b/>
          <w:position w:val="1"/>
        </w:rPr>
        <w:t>I</w:t>
      </w:r>
      <w:r w:rsidRPr="00AD4657">
        <w:rPr>
          <w:b/>
          <w:position w:val="1"/>
        </w:rPr>
        <w:t xml:space="preserve">nformal. </w:t>
      </w:r>
      <w:r w:rsidRPr="00202178">
        <w:rPr>
          <w:position w:val="1"/>
        </w:rPr>
        <w:t xml:space="preserve">Personas de 15 años y más </w:t>
      </w:r>
      <w:r w:rsidR="002E73D5">
        <w:rPr>
          <w:position w:val="1"/>
        </w:rPr>
        <w:t>quienes,</w:t>
      </w:r>
      <w:r w:rsidRPr="00202178">
        <w:rPr>
          <w:position w:val="1"/>
        </w:rPr>
        <w:t xml:space="preserve"> por el contexto en el que </w:t>
      </w:r>
      <w:r w:rsidR="002E73D5">
        <w:rPr>
          <w:position w:val="1"/>
        </w:rPr>
        <w:t xml:space="preserve">trabajan, </w:t>
      </w:r>
      <w:r w:rsidRPr="00202178">
        <w:rPr>
          <w:position w:val="1"/>
        </w:rPr>
        <w:t>no pueden invocar a su favor el marco legal o institucional que corresponda a su inserción económica</w:t>
      </w:r>
      <w:r w:rsidR="002E73D5">
        <w:rPr>
          <w:position w:val="1"/>
        </w:rPr>
        <w:t xml:space="preserve">. Así, se considerará </w:t>
      </w:r>
      <w:r w:rsidRPr="00202178">
        <w:rPr>
          <w:position w:val="1"/>
        </w:rPr>
        <w:t>ocupación o empleo informal todo el espectro de modalidades ocupacionales, ya sea dependientes o independientes,</w:t>
      </w:r>
      <w:r w:rsidR="002E73D5">
        <w:rPr>
          <w:position w:val="1"/>
        </w:rPr>
        <w:t xml:space="preserve"> con esta </w:t>
      </w:r>
      <w:r w:rsidRPr="00202178">
        <w:rPr>
          <w:position w:val="1"/>
        </w:rPr>
        <w:t xml:space="preserve">circunstancia. </w:t>
      </w:r>
      <w:r w:rsidR="002E73D5">
        <w:rPr>
          <w:position w:val="1"/>
        </w:rPr>
        <w:t xml:space="preserve">Aquí se agrupan </w:t>
      </w:r>
      <w:r w:rsidRPr="00202178">
        <w:rPr>
          <w:position w:val="1"/>
        </w:rPr>
        <w:t>todas las modalidades de empleo informal, sector informal, trabajo doméstico remunerado</w:t>
      </w:r>
      <w:r w:rsidR="000A7020">
        <w:rPr>
          <w:position w:val="1"/>
        </w:rPr>
        <w:t>, tr</w:t>
      </w:r>
      <w:r w:rsidRPr="00202178">
        <w:rPr>
          <w:position w:val="1"/>
        </w:rPr>
        <w:t xml:space="preserve">abajo agropecuario no protegido y </w:t>
      </w:r>
      <w:r w:rsidR="000A7020">
        <w:rPr>
          <w:position w:val="1"/>
        </w:rPr>
        <w:t>trabajo</w:t>
      </w:r>
      <w:r w:rsidRPr="00202178">
        <w:rPr>
          <w:position w:val="1"/>
        </w:rPr>
        <w:t xml:space="preserve"> subordinado que, aunque</w:t>
      </w:r>
      <w:r w:rsidR="000A7020">
        <w:rPr>
          <w:position w:val="1"/>
        </w:rPr>
        <w:t xml:space="preserve"> se realice </w:t>
      </w:r>
      <w:r w:rsidRPr="00202178">
        <w:rPr>
          <w:position w:val="1"/>
        </w:rPr>
        <w:t xml:space="preserve">en unidades económicas formales, </w:t>
      </w:r>
      <w:r w:rsidR="000A7020">
        <w:rPr>
          <w:position w:val="1"/>
        </w:rPr>
        <w:t xml:space="preserve">se lleva a cabo </w:t>
      </w:r>
      <w:r w:rsidRPr="00202178">
        <w:rPr>
          <w:position w:val="1"/>
        </w:rPr>
        <w:t>en modalidades fuera de la seguridad social.</w:t>
      </w:r>
    </w:p>
    <w:p w14:paraId="7E953CDA" w14:textId="77777777" w:rsidR="00CF56CC" w:rsidRDefault="00CF56CC" w:rsidP="00AD4657">
      <w:pPr>
        <w:rPr>
          <w:b/>
          <w:bCs/>
          <w:position w:val="1"/>
        </w:rPr>
      </w:pPr>
    </w:p>
    <w:p w14:paraId="3E4C7D05" w14:textId="7231B4B3" w:rsidR="00CF56CC" w:rsidRPr="00AD4657" w:rsidRDefault="00CF56CC" w:rsidP="00AD4657">
      <w:pPr>
        <w:rPr>
          <w:b/>
          <w:color w:val="000000"/>
          <w:spacing w:val="-4"/>
        </w:rPr>
      </w:pPr>
      <w:r w:rsidRPr="00AD4657">
        <w:rPr>
          <w:spacing w:val="-4"/>
        </w:rPr>
        <w:t xml:space="preserve">Para obtener las variables explicativas se recurrió a </w:t>
      </w:r>
      <w:r w:rsidRPr="00AD4657">
        <w:rPr>
          <w:color w:val="000000"/>
          <w:spacing w:val="-4"/>
        </w:rPr>
        <w:t>distintas fuentes de información</w:t>
      </w:r>
      <w:r w:rsidR="00D541A7">
        <w:rPr>
          <w:color w:val="000000"/>
          <w:spacing w:val="-4"/>
        </w:rPr>
        <w:t xml:space="preserve">. Estas debían ser </w:t>
      </w:r>
      <w:r w:rsidRPr="00AD4657">
        <w:rPr>
          <w:color w:val="000000"/>
          <w:spacing w:val="-4"/>
        </w:rPr>
        <w:t xml:space="preserve">consistentes con la fecha de referencia, la unidad de observación y la unidad de análisis de la </w:t>
      </w:r>
      <w:r w:rsidR="00A233C4">
        <w:rPr>
          <w:color w:val="000000"/>
        </w:rPr>
        <w:t>ENOE</w:t>
      </w:r>
      <w:r w:rsidR="00A233C4" w:rsidRPr="00A233C4">
        <w:rPr>
          <w:color w:val="000000"/>
          <w:vertAlign w:val="superscript"/>
        </w:rPr>
        <w:t>N</w:t>
      </w:r>
      <w:r w:rsidRPr="00AD4657">
        <w:rPr>
          <w:color w:val="000000"/>
          <w:spacing w:val="-4"/>
        </w:rPr>
        <w:t xml:space="preserve">. Se </w:t>
      </w:r>
      <w:r w:rsidRPr="00AD4657">
        <w:rPr>
          <w:color w:val="000000"/>
          <w:spacing w:val="-4"/>
        </w:rPr>
        <w:lastRenderedPageBreak/>
        <w:t xml:space="preserve">realizó un análisis de las experiencias internacionales </w:t>
      </w:r>
      <w:r w:rsidR="002D3427">
        <w:rPr>
          <w:color w:val="000000"/>
          <w:spacing w:val="-4"/>
        </w:rPr>
        <w:t xml:space="preserve">con el fin de conocer </w:t>
      </w:r>
      <w:r w:rsidRPr="00AD4657">
        <w:rPr>
          <w:color w:val="000000"/>
          <w:spacing w:val="-4"/>
        </w:rPr>
        <w:t>cuáles se han utilizado en ejercicios similares. Posteriormente, se hizo la búsqueda y procesamiento de las bases de datos.</w:t>
      </w:r>
    </w:p>
    <w:p w14:paraId="1764EC2E" w14:textId="77777777" w:rsidR="00CF56CC" w:rsidRDefault="00CF56CC" w:rsidP="00AD4657">
      <w:pPr>
        <w:rPr>
          <w:b/>
          <w:color w:val="000000"/>
        </w:rPr>
      </w:pPr>
    </w:p>
    <w:p w14:paraId="15C55F81" w14:textId="77777777" w:rsidR="00CF56CC" w:rsidRDefault="00CF56CC" w:rsidP="00AD4657">
      <w:pPr>
        <w:rPr>
          <w:b/>
          <w:color w:val="000000"/>
        </w:rPr>
      </w:pPr>
      <w:r>
        <w:rPr>
          <w:color w:val="000000"/>
        </w:rPr>
        <w:t xml:space="preserve">Las </w:t>
      </w:r>
      <w:r w:rsidRPr="00032B4E">
        <w:rPr>
          <w:color w:val="000000"/>
        </w:rPr>
        <w:t xml:space="preserve">variables explicativas se </w:t>
      </w:r>
      <w:r>
        <w:rPr>
          <w:color w:val="000000"/>
        </w:rPr>
        <w:t xml:space="preserve">analizaron </w:t>
      </w:r>
      <w:r w:rsidRPr="00032B4E">
        <w:rPr>
          <w:color w:val="000000"/>
        </w:rPr>
        <w:t xml:space="preserve">para determinar </w:t>
      </w:r>
      <w:r>
        <w:rPr>
          <w:color w:val="000000"/>
        </w:rPr>
        <w:t xml:space="preserve">su </w:t>
      </w:r>
      <w:r w:rsidRPr="00032B4E">
        <w:rPr>
          <w:color w:val="000000"/>
        </w:rPr>
        <w:t xml:space="preserve">relación </w:t>
      </w:r>
      <w:r>
        <w:rPr>
          <w:color w:val="000000"/>
        </w:rPr>
        <w:t xml:space="preserve">con </w:t>
      </w:r>
      <w:r w:rsidRPr="00032B4E">
        <w:rPr>
          <w:color w:val="000000"/>
        </w:rPr>
        <w:t>las variables objeto de estimación</w:t>
      </w:r>
      <w:r>
        <w:rPr>
          <w:color w:val="000000"/>
        </w:rPr>
        <w:t>. A continuación, se enlistan las seleccionadas para la construcción de los modelos:</w:t>
      </w:r>
    </w:p>
    <w:p w14:paraId="4FED9395" w14:textId="77777777" w:rsidR="00CF56CC" w:rsidRDefault="00CF56CC" w:rsidP="00AD4657">
      <w:pPr>
        <w:rPr>
          <w:b/>
          <w:color w:val="000000"/>
        </w:rPr>
      </w:pPr>
    </w:p>
    <w:p w14:paraId="68438C0D" w14:textId="6A3334C2" w:rsidR="00CF56CC" w:rsidRDefault="00360F14" w:rsidP="00AD4657">
      <w:pPr>
        <w:pStyle w:val="3Vietas1"/>
        <w:rPr>
          <w:b/>
        </w:rPr>
      </w:pPr>
      <w:r>
        <w:t>Proporción de población con m</w:t>
      </w:r>
      <w:r w:rsidR="00CF56CC" w:rsidRPr="008360E1">
        <w:t>atrícula escolar</w:t>
      </w:r>
      <w:r>
        <w:t xml:space="preserve"> de educación básica</w:t>
      </w:r>
      <w:r w:rsidR="00CF56CC">
        <w:t>.</w:t>
      </w:r>
    </w:p>
    <w:p w14:paraId="0260AF29" w14:textId="77777777" w:rsidR="00CF56CC" w:rsidRDefault="00CF56CC" w:rsidP="00AD4657">
      <w:pPr>
        <w:pStyle w:val="3Vietas1"/>
        <w:rPr>
          <w:b/>
        </w:rPr>
      </w:pPr>
      <w:r w:rsidRPr="008360E1">
        <w:t>Proporción de población afiliada al IMSS o al ISSSTE</w:t>
      </w:r>
      <w:r>
        <w:t>.</w:t>
      </w:r>
    </w:p>
    <w:p w14:paraId="522C629A" w14:textId="507158E7" w:rsidR="00CF56CC" w:rsidRDefault="00CF56CC" w:rsidP="00AD4657">
      <w:pPr>
        <w:pStyle w:val="3Vietas1"/>
        <w:rPr>
          <w:b/>
        </w:rPr>
      </w:pPr>
      <w:r w:rsidRPr="008360E1">
        <w:t>Proporción de población femenina</w:t>
      </w:r>
      <w:r>
        <w:t xml:space="preserve"> de 18 a 29 </w:t>
      </w:r>
      <w:proofErr w:type="gramStart"/>
      <w:r>
        <w:t>años</w:t>
      </w:r>
      <w:r w:rsidR="003E1380">
        <w:t xml:space="preserve"> de edad</w:t>
      </w:r>
      <w:proofErr w:type="gramEnd"/>
      <w:r>
        <w:t>.</w:t>
      </w:r>
    </w:p>
    <w:p w14:paraId="36ACAF43" w14:textId="40121A28" w:rsidR="00CF56CC" w:rsidRDefault="00CF56CC" w:rsidP="00AD4657">
      <w:pPr>
        <w:pStyle w:val="3Vietas1"/>
        <w:rPr>
          <w:b/>
        </w:rPr>
      </w:pPr>
      <w:r w:rsidRPr="008360E1">
        <w:t>Proporción de población</w:t>
      </w:r>
      <w:r>
        <w:t xml:space="preserve"> masculina</w:t>
      </w:r>
      <w:r w:rsidRPr="008360E1">
        <w:t xml:space="preserve"> de </w:t>
      </w:r>
      <w:r w:rsidR="00360F14">
        <w:t>1</w:t>
      </w:r>
      <w:r w:rsidRPr="008360E1">
        <w:t xml:space="preserve">5 </w:t>
      </w:r>
      <w:r w:rsidR="00360F14">
        <w:t>a 44</w:t>
      </w:r>
      <w:r w:rsidRPr="008360E1">
        <w:t xml:space="preserve"> </w:t>
      </w:r>
      <w:proofErr w:type="gramStart"/>
      <w:r w:rsidR="00360F14">
        <w:t>años</w:t>
      </w:r>
      <w:r w:rsidR="003E1380">
        <w:t xml:space="preserve"> de edad</w:t>
      </w:r>
      <w:proofErr w:type="gramEnd"/>
      <w:r>
        <w:t>.</w:t>
      </w:r>
    </w:p>
    <w:p w14:paraId="19CC5D08" w14:textId="77777777" w:rsidR="00CF56CC" w:rsidRPr="00E15CB4" w:rsidRDefault="00CF56CC" w:rsidP="00AD4657">
      <w:pPr>
        <w:rPr>
          <w:b/>
          <w:bCs/>
          <w:position w:val="1"/>
        </w:rPr>
      </w:pPr>
    </w:p>
    <w:p w14:paraId="5019BE84" w14:textId="67CDDCF1" w:rsidR="00CF56CC" w:rsidRDefault="00CF56CC" w:rsidP="00AD4657">
      <w:pPr>
        <w:rPr>
          <w:b/>
          <w:smallCaps/>
        </w:rPr>
      </w:pPr>
      <w:r w:rsidRPr="00B3765D">
        <w:rPr>
          <w:b/>
          <w:smallCaps/>
        </w:rPr>
        <w:t>Referencias</w:t>
      </w:r>
    </w:p>
    <w:p w14:paraId="5FA1F825" w14:textId="77777777" w:rsidR="00B3765D" w:rsidRPr="00B3765D" w:rsidRDefault="00B3765D" w:rsidP="00AD4657">
      <w:pPr>
        <w:rPr>
          <w:b/>
          <w:bCs/>
          <w:smallCaps/>
        </w:rPr>
      </w:pPr>
    </w:p>
    <w:p w14:paraId="06AEBA27" w14:textId="2EDE6E26" w:rsidR="00CF56CC" w:rsidRPr="00202178" w:rsidRDefault="00CF56CC" w:rsidP="00AD4657">
      <w:pPr>
        <w:rPr>
          <w:b/>
          <w:bCs/>
          <w:position w:val="1"/>
        </w:rPr>
      </w:pPr>
      <w:r w:rsidRPr="00202178">
        <w:t>La</w:t>
      </w:r>
      <w:r w:rsidRPr="00202178">
        <w:rPr>
          <w:spacing w:val="-9"/>
        </w:rPr>
        <w:t xml:space="preserve"> </w:t>
      </w:r>
      <w:r w:rsidRPr="00202178">
        <w:t>información</w:t>
      </w:r>
      <w:r w:rsidRPr="00202178">
        <w:rPr>
          <w:spacing w:val="-8"/>
        </w:rPr>
        <w:t xml:space="preserve"> </w:t>
      </w:r>
      <w:r w:rsidRPr="00202178">
        <w:t>complet</w:t>
      </w:r>
      <w:r w:rsidR="00EE1A99">
        <w:t xml:space="preserve">a puede consultarse en la siguiente dirección de Internet: </w:t>
      </w:r>
      <w:r w:rsidRPr="00202178">
        <w:rPr>
          <w:spacing w:val="-8"/>
        </w:rPr>
        <w:t xml:space="preserve"> </w:t>
      </w:r>
    </w:p>
    <w:p w14:paraId="782828BB" w14:textId="0C3E9EEA" w:rsidR="00CF56CC" w:rsidRDefault="00531199" w:rsidP="00AC6B83">
      <w:pPr>
        <w:rPr>
          <w:bCs/>
        </w:rPr>
      </w:pPr>
      <w:hyperlink r:id="rId22" w:history="1">
        <w:r w:rsidR="0086201A" w:rsidRPr="00487DDA">
          <w:rPr>
            <w:rStyle w:val="Hipervnculo"/>
            <w:rFonts w:cs="Arial"/>
          </w:rPr>
          <w:t>https://www.inegi.org.mx/investigacion/ilmm/2021/</w:t>
        </w:r>
      </w:hyperlink>
      <w:r w:rsidR="00AC6B83" w:rsidRPr="00AC6B83">
        <w:rPr>
          <w:bCs/>
        </w:rPr>
        <w:t>.</w:t>
      </w:r>
    </w:p>
    <w:p w14:paraId="59633E43" w14:textId="4F588693" w:rsidR="009C12B0" w:rsidRDefault="009C12B0" w:rsidP="00AC6B83">
      <w:pPr>
        <w:rPr>
          <w:bCs/>
        </w:rPr>
      </w:pPr>
    </w:p>
    <w:p w14:paraId="2DA8953F" w14:textId="1E2C8C0E" w:rsidR="00994820" w:rsidRDefault="00994820" w:rsidP="00994820">
      <w:pPr>
        <w:rPr>
          <w:color w:val="000000"/>
        </w:rPr>
      </w:pPr>
      <w:r>
        <w:rPr>
          <w:color w:val="000000"/>
        </w:rPr>
        <w:t>Los resultados</w:t>
      </w:r>
      <w:r w:rsidRPr="004317DC">
        <w:rPr>
          <w:color w:val="000000"/>
        </w:rPr>
        <w:t xml:space="preserve"> se </w:t>
      </w:r>
      <w:r>
        <w:rPr>
          <w:color w:val="000000"/>
        </w:rPr>
        <w:t>obtuvieron</w:t>
      </w:r>
      <w:r w:rsidRPr="004317DC">
        <w:rPr>
          <w:color w:val="000000"/>
        </w:rPr>
        <w:t xml:space="preserve"> mediante técnicas </w:t>
      </w:r>
      <w:r w:rsidR="00B30A2D">
        <w:rPr>
          <w:color w:val="000000"/>
        </w:rPr>
        <w:t>de estimación en áreas p</w:t>
      </w:r>
      <w:r w:rsidR="009A6F54">
        <w:rPr>
          <w:color w:val="000000"/>
        </w:rPr>
        <w:t>e</w:t>
      </w:r>
      <w:r w:rsidR="00B30A2D">
        <w:rPr>
          <w:color w:val="000000"/>
        </w:rPr>
        <w:t>queñas</w:t>
      </w:r>
      <w:r w:rsidR="00B3765D">
        <w:rPr>
          <w:color w:val="000000"/>
        </w:rPr>
        <w:t>.</w:t>
      </w:r>
      <w:r>
        <w:rPr>
          <w:color w:val="000000"/>
        </w:rPr>
        <w:t xml:space="preserve"> S</w:t>
      </w:r>
      <w:r w:rsidRPr="004317DC">
        <w:rPr>
          <w:color w:val="000000"/>
        </w:rPr>
        <w:t>e utilizó información combinada de distintas fuentes</w:t>
      </w:r>
      <w:r w:rsidR="00875E4C">
        <w:rPr>
          <w:color w:val="000000"/>
        </w:rPr>
        <w:t>;</w:t>
      </w:r>
      <w:r w:rsidRPr="004317DC">
        <w:rPr>
          <w:color w:val="000000"/>
        </w:rPr>
        <w:t xml:space="preserve"> a partir de </w:t>
      </w:r>
      <w:r w:rsidR="006F322F">
        <w:rPr>
          <w:color w:val="000000"/>
        </w:rPr>
        <w:t>esta</w:t>
      </w:r>
      <w:r w:rsidR="00875E4C">
        <w:rPr>
          <w:color w:val="000000"/>
        </w:rPr>
        <w:t>,</w:t>
      </w:r>
      <w:r w:rsidRPr="004317DC">
        <w:rPr>
          <w:color w:val="000000"/>
        </w:rPr>
        <w:t xml:space="preserve"> se construyeron modelos estadísticos en los que se tomaron como variables dependientes a la PEA, </w:t>
      </w:r>
      <w:r>
        <w:rPr>
          <w:color w:val="000000"/>
        </w:rPr>
        <w:t>a los oc</w:t>
      </w:r>
      <w:r w:rsidRPr="004317DC">
        <w:rPr>
          <w:color w:val="000000"/>
        </w:rPr>
        <w:t xml:space="preserve">upados </w:t>
      </w:r>
      <w:r>
        <w:rPr>
          <w:color w:val="000000"/>
        </w:rPr>
        <w:t>y a los</w:t>
      </w:r>
      <w:r w:rsidRPr="004317DC">
        <w:rPr>
          <w:color w:val="000000"/>
        </w:rPr>
        <w:t xml:space="preserve"> </w:t>
      </w:r>
      <w:r>
        <w:rPr>
          <w:color w:val="000000"/>
        </w:rPr>
        <w:t>i</w:t>
      </w:r>
      <w:r w:rsidRPr="004317DC">
        <w:rPr>
          <w:color w:val="000000"/>
        </w:rPr>
        <w:t>nformales</w:t>
      </w:r>
      <w:r w:rsidR="006F322F">
        <w:rPr>
          <w:color w:val="000000"/>
        </w:rPr>
        <w:t xml:space="preserve">. La </w:t>
      </w:r>
      <w:r w:rsidRPr="004317DC">
        <w:rPr>
          <w:color w:val="000000"/>
        </w:rPr>
        <w:t xml:space="preserve">información proviene de la </w:t>
      </w:r>
      <w:r>
        <w:rPr>
          <w:color w:val="000000"/>
        </w:rPr>
        <w:t>ENOE</w:t>
      </w:r>
      <w:r w:rsidRPr="00A233C4">
        <w:rPr>
          <w:color w:val="000000"/>
          <w:vertAlign w:val="superscript"/>
        </w:rPr>
        <w:t>N</w:t>
      </w:r>
      <w:r>
        <w:rPr>
          <w:color w:val="000000"/>
        </w:rPr>
        <w:t>.</w:t>
      </w:r>
      <w:r w:rsidRPr="004317DC">
        <w:rPr>
          <w:color w:val="000000"/>
        </w:rPr>
        <w:t xml:space="preserve"> </w:t>
      </w:r>
    </w:p>
    <w:p w14:paraId="377256F9" w14:textId="77777777" w:rsidR="00994820" w:rsidRDefault="00994820" w:rsidP="00994820">
      <w:pPr>
        <w:rPr>
          <w:color w:val="000000"/>
        </w:rPr>
      </w:pPr>
    </w:p>
    <w:p w14:paraId="387F5411" w14:textId="456E61D4" w:rsidR="00994820" w:rsidRPr="00492A9D" w:rsidRDefault="00994820" w:rsidP="002F741A">
      <w:r w:rsidRPr="004317DC">
        <w:rPr>
          <w:color w:val="000000"/>
        </w:rPr>
        <w:t xml:space="preserve">Las variables auxiliares </w:t>
      </w:r>
      <w:r>
        <w:rPr>
          <w:color w:val="000000"/>
        </w:rPr>
        <w:t xml:space="preserve">se obtuvieron </w:t>
      </w:r>
      <w:r w:rsidRPr="004317DC">
        <w:rPr>
          <w:color w:val="000000"/>
        </w:rPr>
        <w:t xml:space="preserve">de los registros administrativos del Instituto Mexicano del Seguro Social (IMSS), </w:t>
      </w:r>
      <w:r w:rsidR="006F322F">
        <w:rPr>
          <w:color w:val="000000"/>
        </w:rPr>
        <w:t xml:space="preserve">del </w:t>
      </w:r>
      <w:r w:rsidRPr="004317DC">
        <w:rPr>
          <w:color w:val="000000"/>
        </w:rPr>
        <w:t>Instituto de Seguridad y Servicios Sociales de los Trabajadores del Estado (ISSSTE)</w:t>
      </w:r>
      <w:r>
        <w:rPr>
          <w:color w:val="000000"/>
        </w:rPr>
        <w:t xml:space="preserve"> y </w:t>
      </w:r>
      <w:r w:rsidR="006F322F">
        <w:rPr>
          <w:color w:val="000000"/>
        </w:rPr>
        <w:t xml:space="preserve">de </w:t>
      </w:r>
      <w:r>
        <w:rPr>
          <w:color w:val="000000"/>
        </w:rPr>
        <w:t>la Secretaría de Educación Pública (SEP),</w:t>
      </w:r>
      <w:r>
        <w:t xml:space="preserve"> así como del Censo de Población y Vivienda 2020</w:t>
      </w:r>
      <w:r w:rsidR="002F741A">
        <w:t xml:space="preserve">             </w:t>
      </w:r>
      <w:r>
        <w:t>(CPV</w:t>
      </w:r>
      <w:r w:rsidR="002F741A">
        <w:t xml:space="preserve"> 2</w:t>
      </w:r>
      <w:r>
        <w:t xml:space="preserve">020). Esta publicación da continuidad a la serie de ejercicios sobre el tema. </w:t>
      </w:r>
    </w:p>
    <w:p w14:paraId="48D91722" w14:textId="3A32D902" w:rsidR="009C12B0" w:rsidRPr="00E547D7" w:rsidRDefault="009C12B0" w:rsidP="00AC6B83">
      <w:pPr>
        <w:rPr>
          <w:color w:val="000000"/>
        </w:rPr>
      </w:pPr>
    </w:p>
    <w:sectPr w:rsidR="009C12B0" w:rsidRPr="00E547D7" w:rsidSect="00032E49">
      <w:headerReference w:type="default" r:id="rId23"/>
      <w:type w:val="continuous"/>
      <w:pgSz w:w="12242" w:h="15842" w:code="1"/>
      <w:pgMar w:top="1985" w:right="1134" w:bottom="992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91F6F" w14:textId="77777777" w:rsidR="00531199" w:rsidRDefault="00531199" w:rsidP="000C290A">
      <w:r>
        <w:separator/>
      </w:r>
    </w:p>
  </w:endnote>
  <w:endnote w:type="continuationSeparator" w:id="0">
    <w:p w14:paraId="4C808529" w14:textId="77777777" w:rsidR="00531199" w:rsidRDefault="00531199" w:rsidP="000C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egrita">
    <w:altName w:val="Arial"/>
    <w:panose1 w:val="020B0704020202020204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3DB7A" w14:textId="53C8355E" w:rsidR="003D6BC3" w:rsidRPr="00C30CA1" w:rsidRDefault="003D6BC3" w:rsidP="00C30CA1">
    <w:pPr>
      <w:pStyle w:val="Piedepgina"/>
      <w:jc w:val="center"/>
      <w:rPr>
        <w:b/>
        <w:color w:val="002060"/>
        <w:sz w:val="20"/>
        <w:szCs w:val="20"/>
      </w:rPr>
    </w:pPr>
    <w:r w:rsidRPr="00C30CA1">
      <w:rPr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1FA25" w14:textId="77777777" w:rsidR="00531199" w:rsidRDefault="00531199" w:rsidP="000C290A">
      <w:r>
        <w:separator/>
      </w:r>
    </w:p>
  </w:footnote>
  <w:footnote w:type="continuationSeparator" w:id="0">
    <w:p w14:paraId="203122C9" w14:textId="77777777" w:rsidR="00531199" w:rsidRDefault="00531199" w:rsidP="000C290A">
      <w:r>
        <w:continuationSeparator/>
      </w:r>
    </w:p>
  </w:footnote>
  <w:footnote w:id="1">
    <w:p w14:paraId="730BB72F" w14:textId="76D001FD" w:rsidR="009E21C0" w:rsidRPr="00C425D7" w:rsidRDefault="009E21C0" w:rsidP="00C758BA">
      <w:pPr>
        <w:pStyle w:val="Textonotapie"/>
        <w:ind w:left="142" w:right="51" w:hanging="142"/>
        <w:rPr>
          <w:color w:val="000000" w:themeColor="text1"/>
          <w:lang w:val="es-MX"/>
        </w:rPr>
      </w:pPr>
      <w:r w:rsidRPr="00C425D7">
        <w:rPr>
          <w:rStyle w:val="Refdenotaalpie"/>
          <w:color w:val="000000" w:themeColor="text1"/>
        </w:rPr>
        <w:footnoteRef/>
      </w:r>
      <w:r w:rsidRPr="00C425D7">
        <w:rPr>
          <w:color w:val="000000" w:themeColor="text1"/>
        </w:rPr>
        <w:t xml:space="preserve"> </w:t>
      </w:r>
      <w:r w:rsidR="004A3FCF" w:rsidRPr="00C425D7">
        <w:rPr>
          <w:rFonts w:cs="Arial"/>
          <w:color w:val="000000" w:themeColor="text1"/>
          <w:sz w:val="16"/>
          <w:szCs w:val="16"/>
          <w:lang w:val="es-MX"/>
        </w:rPr>
        <w:t>Actualmente</w:t>
      </w:r>
      <w:r w:rsidR="00224D31">
        <w:rPr>
          <w:rFonts w:cs="Arial"/>
          <w:color w:val="000000" w:themeColor="text1"/>
          <w:sz w:val="16"/>
          <w:szCs w:val="16"/>
          <w:lang w:val="es-MX"/>
        </w:rPr>
        <w:t>,</w:t>
      </w:r>
      <w:r w:rsidR="004A3FCF" w:rsidRPr="00C425D7">
        <w:rPr>
          <w:rFonts w:cs="Arial"/>
          <w:color w:val="000000" w:themeColor="text1"/>
          <w:sz w:val="16"/>
          <w:szCs w:val="16"/>
          <w:lang w:val="es-MX"/>
        </w:rPr>
        <w:t xml:space="preserve"> el Marco Geoestadístico </w:t>
      </w:r>
      <w:r w:rsidR="005059D7" w:rsidRPr="00C425D7">
        <w:rPr>
          <w:rFonts w:cs="Arial"/>
          <w:color w:val="000000" w:themeColor="text1"/>
          <w:sz w:val="16"/>
          <w:szCs w:val="16"/>
          <w:lang w:val="es-MX"/>
        </w:rPr>
        <w:t>a nivel municipal</w:t>
      </w:r>
      <w:r w:rsidR="004A3FCF" w:rsidRPr="00C425D7">
        <w:rPr>
          <w:rFonts w:cs="Arial"/>
          <w:color w:val="000000" w:themeColor="text1"/>
          <w:sz w:val="16"/>
          <w:szCs w:val="16"/>
          <w:lang w:val="es-MX"/>
        </w:rPr>
        <w:t xml:space="preserve"> consta de 2</w:t>
      </w:r>
      <w:r w:rsidR="00524EA2">
        <w:rPr>
          <w:rFonts w:cs="Arial"/>
          <w:color w:val="000000" w:themeColor="text1"/>
          <w:sz w:val="16"/>
          <w:szCs w:val="16"/>
          <w:lang w:val="es-MX"/>
        </w:rPr>
        <w:t xml:space="preserve"> </w:t>
      </w:r>
      <w:r w:rsidR="004A3FCF" w:rsidRPr="00C425D7">
        <w:rPr>
          <w:rFonts w:cs="Arial"/>
          <w:color w:val="000000" w:themeColor="text1"/>
          <w:sz w:val="16"/>
          <w:szCs w:val="16"/>
          <w:lang w:val="es-MX"/>
        </w:rPr>
        <w:t>471 unidades geográficas; sin embargo, p</w:t>
      </w:r>
      <w:r w:rsidRPr="00C425D7">
        <w:rPr>
          <w:rFonts w:cs="Arial"/>
          <w:color w:val="000000" w:themeColor="text1"/>
          <w:sz w:val="16"/>
          <w:szCs w:val="16"/>
          <w:lang w:val="es-MX"/>
        </w:rPr>
        <w:t>ara 2021</w:t>
      </w:r>
      <w:r w:rsidR="004A3FCF" w:rsidRPr="00C425D7">
        <w:rPr>
          <w:rFonts w:cs="Arial"/>
          <w:color w:val="000000" w:themeColor="text1"/>
          <w:sz w:val="16"/>
          <w:szCs w:val="16"/>
          <w:lang w:val="es-MX"/>
        </w:rPr>
        <w:t xml:space="preserve"> solo</w:t>
      </w:r>
      <w:r w:rsidRPr="00C425D7">
        <w:rPr>
          <w:rFonts w:cs="Arial"/>
          <w:color w:val="000000" w:themeColor="text1"/>
          <w:sz w:val="16"/>
          <w:szCs w:val="16"/>
          <w:lang w:val="es-MX"/>
        </w:rPr>
        <w:t xml:space="preserve"> </w:t>
      </w:r>
      <w:r w:rsidR="00224D31">
        <w:rPr>
          <w:rFonts w:cs="Arial"/>
          <w:color w:val="000000" w:themeColor="text1"/>
          <w:sz w:val="16"/>
          <w:szCs w:val="16"/>
          <w:lang w:val="es-MX"/>
        </w:rPr>
        <w:t>hubo</w:t>
      </w:r>
      <w:r w:rsidRPr="00C425D7">
        <w:rPr>
          <w:rFonts w:cs="Arial"/>
          <w:color w:val="000000" w:themeColor="text1"/>
          <w:sz w:val="16"/>
          <w:szCs w:val="16"/>
          <w:lang w:val="es-MX"/>
        </w:rPr>
        <w:t xml:space="preserve"> estimaciones </w:t>
      </w:r>
      <w:r w:rsidR="00224D31">
        <w:rPr>
          <w:rFonts w:cs="Arial"/>
          <w:color w:val="000000" w:themeColor="text1"/>
          <w:sz w:val="16"/>
          <w:szCs w:val="16"/>
          <w:lang w:val="es-MX"/>
        </w:rPr>
        <w:t>para</w:t>
      </w:r>
      <w:r w:rsidRPr="00C425D7">
        <w:rPr>
          <w:rFonts w:cs="Arial"/>
          <w:color w:val="000000" w:themeColor="text1"/>
          <w:sz w:val="16"/>
          <w:szCs w:val="16"/>
          <w:lang w:val="es-MX"/>
        </w:rPr>
        <w:t xml:space="preserve"> 2</w:t>
      </w:r>
      <w:r w:rsidR="00524EA2">
        <w:rPr>
          <w:rFonts w:cs="Arial"/>
          <w:color w:val="000000" w:themeColor="text1"/>
          <w:sz w:val="16"/>
          <w:szCs w:val="16"/>
          <w:lang w:val="es-MX"/>
        </w:rPr>
        <w:t xml:space="preserve"> </w:t>
      </w:r>
      <w:r w:rsidRPr="00C425D7">
        <w:rPr>
          <w:rFonts w:cs="Arial"/>
          <w:color w:val="000000" w:themeColor="text1"/>
          <w:sz w:val="16"/>
          <w:szCs w:val="16"/>
          <w:lang w:val="es-MX"/>
        </w:rPr>
        <w:t xml:space="preserve">463 municipios </w:t>
      </w:r>
      <w:r w:rsidR="004A3FCF" w:rsidRPr="00C425D7">
        <w:rPr>
          <w:rFonts w:cs="Arial"/>
          <w:color w:val="000000" w:themeColor="text1"/>
          <w:sz w:val="16"/>
          <w:szCs w:val="16"/>
          <w:lang w:val="es-MX"/>
        </w:rPr>
        <w:t>porque eran los que tenían</w:t>
      </w:r>
      <w:r w:rsidRPr="00C425D7">
        <w:rPr>
          <w:rFonts w:cs="Arial"/>
          <w:color w:val="000000" w:themeColor="text1"/>
          <w:sz w:val="16"/>
          <w:szCs w:val="16"/>
          <w:lang w:val="es-MX"/>
        </w:rPr>
        <w:t xml:space="preserve"> información auxiliar</w:t>
      </w:r>
      <w:r w:rsidR="00D641D5" w:rsidRPr="00C425D7">
        <w:rPr>
          <w:rFonts w:cs="Arial"/>
          <w:color w:val="000000" w:themeColor="text1"/>
          <w:sz w:val="16"/>
          <w:szCs w:val="16"/>
          <w:lang w:val="es-MX"/>
        </w:rPr>
        <w:t>. Mientras tanto, p</w:t>
      </w:r>
      <w:r w:rsidRPr="00C425D7">
        <w:rPr>
          <w:rFonts w:cs="Arial"/>
          <w:color w:val="000000" w:themeColor="text1"/>
          <w:sz w:val="16"/>
          <w:szCs w:val="16"/>
          <w:lang w:val="es-MX"/>
        </w:rPr>
        <w:t xml:space="preserve">ara </w:t>
      </w:r>
      <w:r w:rsidR="00D641D5" w:rsidRPr="00C425D7">
        <w:rPr>
          <w:rFonts w:cs="Arial"/>
          <w:color w:val="000000" w:themeColor="text1"/>
          <w:sz w:val="16"/>
          <w:szCs w:val="16"/>
          <w:lang w:val="es-MX"/>
        </w:rPr>
        <w:t>2020</w:t>
      </w:r>
      <w:r w:rsidRPr="00C425D7">
        <w:rPr>
          <w:rFonts w:cs="Arial"/>
          <w:color w:val="000000" w:themeColor="text1"/>
          <w:sz w:val="16"/>
          <w:szCs w:val="16"/>
          <w:lang w:val="es-MX"/>
        </w:rPr>
        <w:t xml:space="preserve"> se contó</w:t>
      </w:r>
      <w:r w:rsidR="00B46DA1" w:rsidRPr="00C425D7">
        <w:rPr>
          <w:rFonts w:cs="Arial"/>
          <w:color w:val="000000" w:themeColor="text1"/>
          <w:sz w:val="16"/>
          <w:szCs w:val="16"/>
          <w:lang w:val="es-MX"/>
        </w:rPr>
        <w:t xml:space="preserve"> </w:t>
      </w:r>
      <w:r w:rsidRPr="00C425D7">
        <w:rPr>
          <w:rFonts w:cs="Arial"/>
          <w:color w:val="000000" w:themeColor="text1"/>
          <w:sz w:val="16"/>
          <w:szCs w:val="16"/>
          <w:lang w:val="es-MX"/>
        </w:rPr>
        <w:t xml:space="preserve">con información auxiliar </w:t>
      </w:r>
      <w:r w:rsidR="00D641D5" w:rsidRPr="00C425D7">
        <w:rPr>
          <w:rFonts w:cs="Arial"/>
          <w:color w:val="000000" w:themeColor="text1"/>
          <w:sz w:val="16"/>
          <w:szCs w:val="16"/>
          <w:lang w:val="es-MX"/>
        </w:rPr>
        <w:t>de</w:t>
      </w:r>
      <w:r w:rsidRPr="00C425D7">
        <w:rPr>
          <w:rFonts w:cs="Arial"/>
          <w:color w:val="000000" w:themeColor="text1"/>
          <w:sz w:val="16"/>
          <w:szCs w:val="16"/>
          <w:lang w:val="es-MX"/>
        </w:rPr>
        <w:t xml:space="preserve"> 2</w:t>
      </w:r>
      <w:r w:rsidR="00524EA2">
        <w:rPr>
          <w:rFonts w:cs="Arial"/>
          <w:color w:val="000000" w:themeColor="text1"/>
          <w:sz w:val="16"/>
          <w:szCs w:val="16"/>
          <w:lang w:val="es-MX"/>
        </w:rPr>
        <w:t xml:space="preserve"> </w:t>
      </w:r>
      <w:r w:rsidRPr="00C425D7">
        <w:rPr>
          <w:rFonts w:cs="Arial"/>
          <w:color w:val="000000" w:themeColor="text1"/>
          <w:sz w:val="16"/>
          <w:szCs w:val="16"/>
          <w:lang w:val="es-MX"/>
        </w:rPr>
        <w:t>458 municipios</w:t>
      </w:r>
      <w:r w:rsidR="00D641D5" w:rsidRPr="00C425D7">
        <w:rPr>
          <w:rFonts w:cs="Arial"/>
          <w:color w:val="000000" w:themeColor="text1"/>
          <w:sz w:val="16"/>
          <w:szCs w:val="16"/>
          <w:lang w:val="es-MX"/>
        </w:rPr>
        <w:t xml:space="preserve">, por lo que la comparación </w:t>
      </w:r>
      <w:r w:rsidR="003853D8" w:rsidRPr="00C425D7">
        <w:rPr>
          <w:rFonts w:cs="Arial"/>
          <w:color w:val="000000" w:themeColor="text1"/>
          <w:sz w:val="16"/>
          <w:szCs w:val="16"/>
          <w:lang w:val="es-MX"/>
        </w:rPr>
        <w:t xml:space="preserve">entre los dos años solo puede realizarse para este </w:t>
      </w:r>
      <w:r w:rsidR="004A3FCF" w:rsidRPr="00C425D7">
        <w:rPr>
          <w:rFonts w:cs="Arial"/>
          <w:color w:val="000000" w:themeColor="text1"/>
          <w:sz w:val="16"/>
          <w:szCs w:val="16"/>
          <w:lang w:val="es-MX"/>
        </w:rPr>
        <w:t xml:space="preserve">último </w:t>
      </w:r>
      <w:r w:rsidR="003853D8" w:rsidRPr="00C425D7">
        <w:rPr>
          <w:rFonts w:cs="Arial"/>
          <w:color w:val="000000" w:themeColor="text1"/>
          <w:sz w:val="16"/>
          <w:szCs w:val="16"/>
          <w:lang w:val="es-MX"/>
        </w:rPr>
        <w:t>número de</w:t>
      </w:r>
      <w:r w:rsidR="00D641D5" w:rsidRPr="00C425D7">
        <w:rPr>
          <w:rFonts w:cs="Arial"/>
          <w:color w:val="000000" w:themeColor="text1"/>
          <w:sz w:val="16"/>
          <w:szCs w:val="16"/>
          <w:lang w:val="es-MX"/>
        </w:rPr>
        <w:t xml:space="preserve"> </w:t>
      </w:r>
      <w:r w:rsidR="003853D8" w:rsidRPr="00C425D7">
        <w:rPr>
          <w:rFonts w:cs="Arial"/>
          <w:color w:val="000000" w:themeColor="text1"/>
          <w:sz w:val="16"/>
          <w:szCs w:val="16"/>
          <w:lang w:val="es-MX"/>
        </w:rPr>
        <w:t>unidades geográficas</w:t>
      </w:r>
      <w:r w:rsidR="00D641D5" w:rsidRPr="00C425D7">
        <w:rPr>
          <w:rFonts w:cs="Arial"/>
          <w:color w:val="000000" w:themeColor="text1"/>
          <w:sz w:val="16"/>
          <w:szCs w:val="16"/>
          <w:lang w:val="es-MX"/>
        </w:rPr>
        <w:t>.</w:t>
      </w:r>
    </w:p>
  </w:footnote>
  <w:footnote w:id="2">
    <w:p w14:paraId="3D0C0406" w14:textId="77777777" w:rsidR="00B36B8B" w:rsidRPr="00C425D7" w:rsidRDefault="00B36B8B" w:rsidP="00B36B8B">
      <w:pPr>
        <w:ind w:left="142" w:right="51" w:hanging="142"/>
        <w:rPr>
          <w:rFonts w:cs="Arial"/>
          <w:color w:val="000000" w:themeColor="text1"/>
          <w:sz w:val="16"/>
          <w:szCs w:val="16"/>
          <w:lang w:val="es-MX"/>
        </w:rPr>
      </w:pPr>
      <w:r w:rsidRPr="00C425D7">
        <w:rPr>
          <w:rStyle w:val="Refdenotaalpie"/>
          <w:color w:val="000000" w:themeColor="text1"/>
          <w:sz w:val="16"/>
          <w:szCs w:val="16"/>
        </w:rPr>
        <w:footnoteRef/>
      </w:r>
      <w:r w:rsidRPr="00C425D7">
        <w:rPr>
          <w:color w:val="000000" w:themeColor="text1"/>
          <w:sz w:val="16"/>
          <w:szCs w:val="16"/>
        </w:rPr>
        <w:t xml:space="preserve"> </w:t>
      </w:r>
      <w:r w:rsidRPr="00C425D7">
        <w:rPr>
          <w:rFonts w:cs="Arial"/>
          <w:color w:val="000000" w:themeColor="text1"/>
          <w:sz w:val="16"/>
          <w:szCs w:val="16"/>
          <w:lang w:val="es-MX"/>
        </w:rPr>
        <w:t>Dada la relevancia que tiene para el país la información</w:t>
      </w:r>
      <w:r w:rsidRPr="00C425D7">
        <w:rPr>
          <w:rFonts w:cs="Arial"/>
          <w:color w:val="000000" w:themeColor="text1"/>
          <w:sz w:val="16"/>
          <w:szCs w:val="16"/>
          <w:vertAlign w:val="superscript"/>
          <w:lang w:val="es-MX"/>
        </w:rPr>
        <w:t xml:space="preserve"> </w:t>
      </w:r>
      <w:r w:rsidRPr="00C425D7">
        <w:rPr>
          <w:rFonts w:cs="Arial"/>
          <w:color w:val="000000" w:themeColor="text1"/>
          <w:sz w:val="16"/>
          <w:szCs w:val="16"/>
          <w:shd w:val="clear" w:color="auto" w:fill="FFFFFF"/>
          <w:lang w:val="es-MX"/>
        </w:rPr>
        <w:t xml:space="preserve">estadística sobre la fuerza de trabajo y las características ocupacionales de la población, a </w:t>
      </w:r>
      <w:r w:rsidRPr="00C425D7">
        <w:rPr>
          <w:rFonts w:cs="Arial"/>
          <w:color w:val="000000" w:themeColor="text1"/>
          <w:sz w:val="16"/>
          <w:szCs w:val="16"/>
          <w:lang w:val="es-MX"/>
        </w:rPr>
        <w:t>partir de julio de 2020 y derivado de la contingencia sanitaria,</w:t>
      </w:r>
      <w:r w:rsidRPr="00C425D7">
        <w:rPr>
          <w:rFonts w:cs="Arial"/>
          <w:color w:val="000000" w:themeColor="text1"/>
          <w:lang w:val="es-MX"/>
        </w:rPr>
        <w:t xml:space="preserve"> </w:t>
      </w:r>
      <w:r w:rsidRPr="00C425D7">
        <w:rPr>
          <w:rFonts w:cs="Arial"/>
          <w:color w:val="000000" w:themeColor="text1"/>
          <w:sz w:val="16"/>
          <w:szCs w:val="16"/>
          <w:lang w:val="es-MX"/>
        </w:rPr>
        <w:t>el INEGI comenzó el levantamiento de la ENOE Nueva Edición (ENOE</w:t>
      </w:r>
      <w:r w:rsidRPr="00C425D7">
        <w:rPr>
          <w:rFonts w:cs="Arial"/>
          <w:color w:val="000000" w:themeColor="text1"/>
          <w:sz w:val="16"/>
          <w:szCs w:val="16"/>
          <w:vertAlign w:val="superscript"/>
          <w:lang w:val="es-MX"/>
        </w:rPr>
        <w:t>N</w:t>
      </w:r>
      <w:r w:rsidRPr="00C425D7">
        <w:rPr>
          <w:rFonts w:cs="Arial"/>
          <w:color w:val="000000" w:themeColor="text1"/>
          <w:sz w:val="16"/>
          <w:szCs w:val="16"/>
          <w:lang w:val="es-MX"/>
        </w:rPr>
        <w:t xml:space="preserve">). Esta encuesta considera entrevistas cara a cara y, como complemento, entrevistas telefónicas, mientras que la ENOE tradicional incluye solo el componente de encuestas cara a cara. </w:t>
      </w:r>
    </w:p>
    <w:p w14:paraId="11033958" w14:textId="77777777" w:rsidR="00B36B8B" w:rsidRPr="00371FF1" w:rsidRDefault="00B36B8B" w:rsidP="00B36B8B">
      <w:pPr>
        <w:pStyle w:val="Textonotapie"/>
        <w:rPr>
          <w:lang w:val="es-MX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AAA13" w14:textId="3919DA6A" w:rsidR="003D6BC3" w:rsidRPr="00901F94" w:rsidRDefault="003D6BC3" w:rsidP="00744AC7">
    <w:pPr>
      <w:ind w:right="51"/>
      <w:jc w:val="right"/>
      <w:rPr>
        <w:rFonts w:cs="Arial"/>
        <w:b/>
        <w:color w:val="002060"/>
        <w:sz w:val="24"/>
      </w:rPr>
    </w:pPr>
    <w:r w:rsidRPr="00901F94">
      <w:rPr>
        <w:rFonts w:cs="Arial"/>
        <w:noProof/>
        <w:sz w:val="24"/>
        <w:lang w:val="es-MX" w:eastAsia="es-MX"/>
      </w:rPr>
      <w:drawing>
        <wp:anchor distT="0" distB="0" distL="114300" distR="114300" simplePos="0" relativeHeight="251659264" behindDoc="1" locked="0" layoutInCell="1" allowOverlap="1" wp14:anchorId="11781CA6" wp14:editId="2F12ACED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673100" cy="693420"/>
          <wp:effectExtent l="0" t="0" r="0" b="0"/>
          <wp:wrapTight wrapText="bothSides">
            <wp:wrapPolygon edited="0">
              <wp:start x="0" y="0"/>
              <wp:lineTo x="0" y="20769"/>
              <wp:lineTo x="20785" y="20769"/>
              <wp:lineTo x="20785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1F94">
      <w:rPr>
        <w:rFonts w:cs="Arial"/>
        <w:b/>
        <w:color w:val="002060"/>
        <w:sz w:val="24"/>
      </w:rPr>
      <w:t>COMUNICADO</w:t>
    </w:r>
    <w:r w:rsidRPr="00901F94">
      <w:rPr>
        <w:rFonts w:cs="Arial"/>
        <w:b/>
        <w:color w:val="002060"/>
        <w:spacing w:val="-11"/>
        <w:sz w:val="24"/>
      </w:rPr>
      <w:t xml:space="preserve"> </w:t>
    </w:r>
    <w:r w:rsidRPr="00901F94">
      <w:rPr>
        <w:rFonts w:cs="Arial"/>
        <w:b/>
        <w:color w:val="002060"/>
        <w:sz w:val="24"/>
      </w:rPr>
      <w:t>DE</w:t>
    </w:r>
    <w:r w:rsidRPr="00901F94">
      <w:rPr>
        <w:rFonts w:cs="Arial"/>
        <w:b/>
        <w:color w:val="002060"/>
        <w:spacing w:val="-11"/>
        <w:sz w:val="24"/>
      </w:rPr>
      <w:t xml:space="preserve"> P</w:t>
    </w:r>
    <w:r w:rsidRPr="00901F94">
      <w:rPr>
        <w:rFonts w:cs="Arial"/>
        <w:b/>
        <w:color w:val="002060"/>
        <w:spacing w:val="-1"/>
        <w:sz w:val="24"/>
      </w:rPr>
      <w:t>RENSA</w:t>
    </w:r>
    <w:r w:rsidRPr="00901F94">
      <w:rPr>
        <w:rFonts w:cs="Arial"/>
        <w:b/>
        <w:color w:val="002060"/>
        <w:spacing w:val="-11"/>
        <w:sz w:val="24"/>
      </w:rPr>
      <w:t xml:space="preserve"> </w:t>
    </w:r>
    <w:r w:rsidRPr="00901F94">
      <w:rPr>
        <w:rFonts w:cs="Arial"/>
        <w:b/>
        <w:color w:val="002060"/>
        <w:sz w:val="24"/>
      </w:rPr>
      <w:t xml:space="preserve">NÚM. </w:t>
    </w:r>
    <w:r w:rsidR="00875E4C">
      <w:rPr>
        <w:rFonts w:cs="Arial"/>
        <w:b/>
        <w:color w:val="002060"/>
        <w:sz w:val="24"/>
      </w:rPr>
      <w:t>315/22</w:t>
    </w:r>
    <w:r w:rsidRPr="00901F94">
      <w:rPr>
        <w:rFonts w:cs="Arial"/>
        <w:b/>
        <w:color w:val="002060"/>
        <w:sz w:val="24"/>
      </w:rPr>
      <w:t xml:space="preserve"> </w:t>
    </w:r>
  </w:p>
  <w:p w14:paraId="7B4B7197" w14:textId="0C60E9E5" w:rsidR="003D6BC3" w:rsidRPr="00901F94" w:rsidRDefault="00875E4C" w:rsidP="00744AC7">
    <w:pPr>
      <w:ind w:right="51"/>
      <w:jc w:val="right"/>
      <w:rPr>
        <w:rFonts w:eastAsia="Arial" w:cs="Arial"/>
        <w:sz w:val="24"/>
      </w:rPr>
    </w:pPr>
    <w:r>
      <w:rPr>
        <w:rFonts w:cs="Arial"/>
        <w:b/>
        <w:color w:val="002060"/>
        <w:sz w:val="24"/>
      </w:rPr>
      <w:t>7</w:t>
    </w:r>
    <w:r w:rsidR="003D6BC3" w:rsidRPr="00901F94">
      <w:rPr>
        <w:rFonts w:cs="Arial"/>
        <w:b/>
        <w:color w:val="002060"/>
        <w:sz w:val="24"/>
      </w:rPr>
      <w:t xml:space="preserve"> DE </w:t>
    </w:r>
    <w:r>
      <w:rPr>
        <w:rFonts w:cs="Arial"/>
        <w:b/>
        <w:color w:val="002060"/>
        <w:sz w:val="24"/>
      </w:rPr>
      <w:t>JUNIO</w:t>
    </w:r>
    <w:r w:rsidR="003D6BC3" w:rsidRPr="00901F94">
      <w:rPr>
        <w:rFonts w:cs="Arial"/>
        <w:b/>
        <w:color w:val="002060"/>
        <w:sz w:val="24"/>
      </w:rPr>
      <w:t xml:space="preserve"> DE</w:t>
    </w:r>
    <w:r w:rsidR="003D6BC3" w:rsidRPr="00901F94">
      <w:rPr>
        <w:rFonts w:cs="Arial"/>
        <w:b/>
        <w:color w:val="002060"/>
        <w:spacing w:val="-5"/>
        <w:sz w:val="24"/>
      </w:rPr>
      <w:t xml:space="preserve"> </w:t>
    </w:r>
    <w:r w:rsidR="003D6BC3" w:rsidRPr="00901F94">
      <w:rPr>
        <w:rFonts w:cs="Arial"/>
        <w:b/>
        <w:color w:val="002060"/>
        <w:sz w:val="24"/>
      </w:rPr>
      <w:t>202</w:t>
    </w:r>
    <w:r w:rsidR="0049799B">
      <w:rPr>
        <w:rFonts w:cs="Arial"/>
        <w:b/>
        <w:color w:val="002060"/>
        <w:sz w:val="24"/>
      </w:rPr>
      <w:t>2</w:t>
    </w:r>
  </w:p>
  <w:p w14:paraId="1851B421" w14:textId="69271D9E" w:rsidR="003D6BC3" w:rsidRPr="00901F94" w:rsidRDefault="003D6BC3" w:rsidP="00744AC7">
    <w:pPr>
      <w:ind w:right="51"/>
      <w:jc w:val="right"/>
      <w:rPr>
        <w:rFonts w:eastAsia="Arial" w:cs="Arial"/>
        <w:sz w:val="24"/>
      </w:rPr>
    </w:pPr>
    <w:r w:rsidRPr="00901F94">
      <w:rPr>
        <w:rFonts w:cs="Arial"/>
        <w:b/>
        <w:color w:val="002060"/>
        <w:sz w:val="24"/>
      </w:rPr>
      <w:t>PÁGINA</w:t>
    </w:r>
    <w:r w:rsidRPr="00901F94">
      <w:rPr>
        <w:rFonts w:cs="Arial"/>
        <w:b/>
        <w:color w:val="002060"/>
        <w:spacing w:val="-13"/>
        <w:sz w:val="24"/>
      </w:rPr>
      <w:t xml:space="preserve"> </w:t>
    </w:r>
    <w:r w:rsidRPr="00901F94">
      <w:rPr>
        <w:rFonts w:cs="Arial"/>
        <w:sz w:val="24"/>
      </w:rPr>
      <w:fldChar w:fldCharType="begin"/>
    </w:r>
    <w:r w:rsidRPr="00901F94">
      <w:rPr>
        <w:rFonts w:cs="Arial"/>
        <w:b/>
        <w:color w:val="002060"/>
        <w:sz w:val="24"/>
      </w:rPr>
      <w:instrText xml:space="preserve"> PAGE </w:instrText>
    </w:r>
    <w:r w:rsidRPr="00901F94">
      <w:rPr>
        <w:rFonts w:cs="Arial"/>
        <w:sz w:val="24"/>
      </w:rPr>
      <w:fldChar w:fldCharType="separate"/>
    </w:r>
    <w:r w:rsidRPr="00901F94">
      <w:rPr>
        <w:rFonts w:cs="Arial"/>
        <w:b/>
        <w:noProof/>
        <w:color w:val="002060"/>
        <w:sz w:val="24"/>
      </w:rPr>
      <w:t>1</w:t>
    </w:r>
    <w:r w:rsidRPr="00901F94">
      <w:rPr>
        <w:rFonts w:cs="Arial"/>
        <w:sz w:val="24"/>
      </w:rPr>
      <w:fldChar w:fldCharType="end"/>
    </w:r>
    <w:r w:rsidRPr="00901F94">
      <w:rPr>
        <w:rFonts w:cs="Arial"/>
        <w:b/>
        <w:color w:val="002060"/>
        <w:sz w:val="24"/>
      </w:rPr>
      <w:t>/</w:t>
    </w:r>
    <w:r w:rsidR="00952592">
      <w:rPr>
        <w:rFonts w:cs="Arial"/>
        <w:b/>
        <w:color w:val="002060"/>
        <w:sz w:val="24"/>
      </w:rPr>
      <w:t>7</w:t>
    </w:r>
  </w:p>
  <w:p w14:paraId="5D13E3B7" w14:textId="6B583308" w:rsidR="003D6BC3" w:rsidRPr="0042178D" w:rsidRDefault="003D6BC3" w:rsidP="003D6BC3">
    <w:pPr>
      <w:tabs>
        <w:tab w:val="center" w:pos="4962"/>
      </w:tabs>
      <w:ind w:right="-34"/>
      <w:rPr>
        <w:b/>
        <w:color w:val="002060"/>
      </w:rPr>
    </w:pPr>
  </w:p>
  <w:p w14:paraId="5F13C7CF" w14:textId="77777777" w:rsidR="003D6BC3" w:rsidRDefault="003D6B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2257B" w14:textId="541B86C9" w:rsidR="00032E49" w:rsidRPr="00901F94" w:rsidRDefault="00032E49" w:rsidP="00032E49">
    <w:pPr>
      <w:ind w:right="51"/>
      <w:jc w:val="center"/>
      <w:rPr>
        <w:rFonts w:eastAsia="Arial" w:cs="Arial"/>
        <w:sz w:val="24"/>
      </w:rPr>
    </w:pPr>
    <w:r w:rsidRPr="00901F94">
      <w:rPr>
        <w:rFonts w:cs="Arial"/>
        <w:noProof/>
        <w:sz w:val="24"/>
        <w:lang w:val="es-MX" w:eastAsia="es-MX"/>
      </w:rPr>
      <w:drawing>
        <wp:anchor distT="0" distB="0" distL="114300" distR="114300" simplePos="0" relativeHeight="251661312" behindDoc="1" locked="0" layoutInCell="1" allowOverlap="1" wp14:anchorId="311D70C6" wp14:editId="32B8FC50">
          <wp:simplePos x="0" y="0"/>
          <wp:positionH relativeFrom="margin">
            <wp:posOffset>2727960</wp:posOffset>
          </wp:positionH>
          <wp:positionV relativeFrom="paragraph">
            <wp:posOffset>-62865</wp:posOffset>
          </wp:positionV>
          <wp:extent cx="803760" cy="828000"/>
          <wp:effectExtent l="0" t="0" r="0" b="0"/>
          <wp:wrapTight wrapText="bothSides">
            <wp:wrapPolygon edited="0">
              <wp:start x="0" y="0"/>
              <wp:lineTo x="0" y="20887"/>
              <wp:lineTo x="21002" y="20887"/>
              <wp:lineTo x="21002" y="0"/>
              <wp:lineTo x="0" y="0"/>
            </wp:wrapPolygon>
          </wp:wrapTight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76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84C0A3" w14:textId="77777777" w:rsidR="00032E49" w:rsidRPr="0042178D" w:rsidRDefault="00032E49" w:rsidP="003D6BC3">
    <w:pPr>
      <w:tabs>
        <w:tab w:val="center" w:pos="4962"/>
      </w:tabs>
      <w:ind w:right="-34"/>
      <w:rPr>
        <w:b/>
        <w:color w:val="002060"/>
      </w:rPr>
    </w:pPr>
  </w:p>
  <w:p w14:paraId="74DF2F10" w14:textId="77777777" w:rsidR="00032E49" w:rsidRDefault="00032E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32308"/>
    <w:multiLevelType w:val="hybridMultilevel"/>
    <w:tmpl w:val="83B64D2C"/>
    <w:lvl w:ilvl="0" w:tplc="00C84C0A">
      <w:start w:val="1"/>
      <w:numFmt w:val="bullet"/>
      <w:pStyle w:val="3Vieta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F7469"/>
    <w:multiLevelType w:val="hybridMultilevel"/>
    <w:tmpl w:val="55CE4006"/>
    <w:lvl w:ilvl="0" w:tplc="38022268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BDA3E04"/>
    <w:multiLevelType w:val="hybridMultilevel"/>
    <w:tmpl w:val="AEC692C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A75B90"/>
    <w:multiLevelType w:val="hybridMultilevel"/>
    <w:tmpl w:val="D92C0B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97A99"/>
    <w:multiLevelType w:val="hybridMultilevel"/>
    <w:tmpl w:val="3596424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D2083"/>
    <w:multiLevelType w:val="hybridMultilevel"/>
    <w:tmpl w:val="059C6E16"/>
    <w:lvl w:ilvl="0" w:tplc="9E300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EE04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92F8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96E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9057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5006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FA7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8C4E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E9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3BD0E04"/>
    <w:multiLevelType w:val="hybridMultilevel"/>
    <w:tmpl w:val="0BC4BF54"/>
    <w:lvl w:ilvl="0" w:tplc="2780C0CC">
      <w:start w:val="5"/>
      <w:numFmt w:val="bullet"/>
      <w:lvlText w:val=""/>
      <w:lvlJc w:val="left"/>
      <w:pPr>
        <w:ind w:left="-207" w:hanging="360"/>
      </w:pPr>
      <w:rPr>
        <w:rFonts w:ascii="Symbol" w:eastAsia="Arial MT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7" w15:restartNumberingAfterBreak="0">
    <w:nsid w:val="33E216D5"/>
    <w:multiLevelType w:val="hybridMultilevel"/>
    <w:tmpl w:val="61B24E9C"/>
    <w:lvl w:ilvl="0" w:tplc="4BB0F782">
      <w:numFmt w:val="bullet"/>
      <w:lvlText w:val="-"/>
      <w:lvlJc w:val="left"/>
      <w:pPr>
        <w:ind w:left="436" w:hanging="360"/>
      </w:pPr>
      <w:rPr>
        <w:rFonts w:ascii="Arial" w:eastAsiaTheme="minorHAnsi" w:hAnsi="Arial" w:cs="Arial" w:hint="default"/>
        <w:sz w:val="22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3A7C685D"/>
    <w:multiLevelType w:val="hybridMultilevel"/>
    <w:tmpl w:val="039E3F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96A2E"/>
    <w:multiLevelType w:val="hybridMultilevel"/>
    <w:tmpl w:val="0738287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DA6956"/>
    <w:multiLevelType w:val="hybridMultilevel"/>
    <w:tmpl w:val="CEBCA356"/>
    <w:lvl w:ilvl="0" w:tplc="C63C8E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4CA3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82E1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0008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B0C5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10BF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62FE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E696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6080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0ED7E9E"/>
    <w:multiLevelType w:val="hybridMultilevel"/>
    <w:tmpl w:val="D01ECC1C"/>
    <w:lvl w:ilvl="0" w:tplc="080A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2" w15:restartNumberingAfterBreak="0">
    <w:nsid w:val="78CB5AE3"/>
    <w:multiLevelType w:val="hybridMultilevel"/>
    <w:tmpl w:val="F744A6B0"/>
    <w:lvl w:ilvl="0" w:tplc="52AAB6E2">
      <w:start w:val="1"/>
      <w:numFmt w:val="decimal"/>
      <w:lvlText w:val="%1."/>
      <w:lvlJc w:val="left"/>
      <w:pPr>
        <w:ind w:left="269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8A243108">
      <w:numFmt w:val="bullet"/>
      <w:lvlText w:val="•"/>
      <w:lvlJc w:val="left"/>
      <w:pPr>
        <w:ind w:left="1199" w:hanging="269"/>
      </w:pPr>
      <w:rPr>
        <w:rFonts w:hint="default"/>
        <w:lang w:val="es-ES" w:eastAsia="en-US" w:bidi="ar-SA"/>
      </w:rPr>
    </w:lvl>
    <w:lvl w:ilvl="2" w:tplc="7F2635B6">
      <w:numFmt w:val="bullet"/>
      <w:lvlText w:val="•"/>
      <w:lvlJc w:val="left"/>
      <w:pPr>
        <w:ind w:left="2119" w:hanging="269"/>
      </w:pPr>
      <w:rPr>
        <w:rFonts w:hint="default"/>
        <w:lang w:val="es-ES" w:eastAsia="en-US" w:bidi="ar-SA"/>
      </w:rPr>
    </w:lvl>
    <w:lvl w:ilvl="3" w:tplc="DA80FE38">
      <w:numFmt w:val="bullet"/>
      <w:lvlText w:val="•"/>
      <w:lvlJc w:val="left"/>
      <w:pPr>
        <w:ind w:left="3039" w:hanging="269"/>
      </w:pPr>
      <w:rPr>
        <w:rFonts w:hint="default"/>
        <w:lang w:val="es-ES" w:eastAsia="en-US" w:bidi="ar-SA"/>
      </w:rPr>
    </w:lvl>
    <w:lvl w:ilvl="4" w:tplc="53A0A58A">
      <w:numFmt w:val="bullet"/>
      <w:lvlText w:val="•"/>
      <w:lvlJc w:val="left"/>
      <w:pPr>
        <w:ind w:left="3959" w:hanging="269"/>
      </w:pPr>
      <w:rPr>
        <w:rFonts w:hint="default"/>
        <w:lang w:val="es-ES" w:eastAsia="en-US" w:bidi="ar-SA"/>
      </w:rPr>
    </w:lvl>
    <w:lvl w:ilvl="5" w:tplc="487E978E">
      <w:numFmt w:val="bullet"/>
      <w:lvlText w:val="•"/>
      <w:lvlJc w:val="left"/>
      <w:pPr>
        <w:ind w:left="4879" w:hanging="269"/>
      </w:pPr>
      <w:rPr>
        <w:rFonts w:hint="default"/>
        <w:lang w:val="es-ES" w:eastAsia="en-US" w:bidi="ar-SA"/>
      </w:rPr>
    </w:lvl>
    <w:lvl w:ilvl="6" w:tplc="B1686740">
      <w:numFmt w:val="bullet"/>
      <w:lvlText w:val="•"/>
      <w:lvlJc w:val="left"/>
      <w:pPr>
        <w:ind w:left="5799" w:hanging="269"/>
      </w:pPr>
      <w:rPr>
        <w:rFonts w:hint="default"/>
        <w:lang w:val="es-ES" w:eastAsia="en-US" w:bidi="ar-SA"/>
      </w:rPr>
    </w:lvl>
    <w:lvl w:ilvl="7" w:tplc="9DC62DF2">
      <w:numFmt w:val="bullet"/>
      <w:lvlText w:val="•"/>
      <w:lvlJc w:val="left"/>
      <w:pPr>
        <w:ind w:left="6719" w:hanging="269"/>
      </w:pPr>
      <w:rPr>
        <w:rFonts w:hint="default"/>
        <w:lang w:val="es-ES" w:eastAsia="en-US" w:bidi="ar-SA"/>
      </w:rPr>
    </w:lvl>
    <w:lvl w:ilvl="8" w:tplc="1518A78C">
      <w:numFmt w:val="bullet"/>
      <w:lvlText w:val="•"/>
      <w:lvlJc w:val="left"/>
      <w:pPr>
        <w:ind w:left="7639" w:hanging="269"/>
      </w:pPr>
      <w:rPr>
        <w:rFonts w:hint="default"/>
        <w:lang w:val="es-ES" w:eastAsia="en-US" w:bidi="ar-SA"/>
      </w:rPr>
    </w:lvl>
  </w:abstractNum>
  <w:abstractNum w:abstractNumId="13" w15:restartNumberingAfterBreak="0">
    <w:nsid w:val="7E071ED0"/>
    <w:multiLevelType w:val="hybridMultilevel"/>
    <w:tmpl w:val="9B12782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10"/>
  </w:num>
  <w:num w:numId="8">
    <w:abstractNumId w:val="12"/>
  </w:num>
  <w:num w:numId="9">
    <w:abstractNumId w:val="11"/>
  </w:num>
  <w:num w:numId="10">
    <w:abstractNumId w:val="8"/>
  </w:num>
  <w:num w:numId="11">
    <w:abstractNumId w:val="7"/>
  </w:num>
  <w:num w:numId="12">
    <w:abstractNumId w:val="4"/>
  </w:num>
  <w:num w:numId="13">
    <w:abstractNumId w:val="6"/>
  </w:num>
  <w:num w:numId="14">
    <w:abstractNumId w:val="13"/>
  </w:num>
  <w:num w:numId="15">
    <w:abstractNumId w:val="9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90A"/>
    <w:rsid w:val="000053DD"/>
    <w:rsid w:val="000100EC"/>
    <w:rsid w:val="00012FD5"/>
    <w:rsid w:val="00024A78"/>
    <w:rsid w:val="000277DA"/>
    <w:rsid w:val="00032E49"/>
    <w:rsid w:val="00033AFD"/>
    <w:rsid w:val="000369B6"/>
    <w:rsid w:val="000433B1"/>
    <w:rsid w:val="00060A18"/>
    <w:rsid w:val="00062FA2"/>
    <w:rsid w:val="000735D7"/>
    <w:rsid w:val="0007622B"/>
    <w:rsid w:val="00096F03"/>
    <w:rsid w:val="000A32E0"/>
    <w:rsid w:val="000A59BA"/>
    <w:rsid w:val="000A7020"/>
    <w:rsid w:val="000B2B74"/>
    <w:rsid w:val="000B6F25"/>
    <w:rsid w:val="000B6FBE"/>
    <w:rsid w:val="000B7C71"/>
    <w:rsid w:val="000C2551"/>
    <w:rsid w:val="000C290A"/>
    <w:rsid w:val="000C51CF"/>
    <w:rsid w:val="000D1F4A"/>
    <w:rsid w:val="000E11C8"/>
    <w:rsid w:val="000E4E30"/>
    <w:rsid w:val="000F14E0"/>
    <w:rsid w:val="000F1FAB"/>
    <w:rsid w:val="000F537C"/>
    <w:rsid w:val="000F7C63"/>
    <w:rsid w:val="001075A3"/>
    <w:rsid w:val="00110B58"/>
    <w:rsid w:val="00111982"/>
    <w:rsid w:val="00115ACF"/>
    <w:rsid w:val="00123407"/>
    <w:rsid w:val="001357E5"/>
    <w:rsid w:val="00141641"/>
    <w:rsid w:val="00141903"/>
    <w:rsid w:val="001466C3"/>
    <w:rsid w:val="00154D3A"/>
    <w:rsid w:val="00163E7E"/>
    <w:rsid w:val="00165901"/>
    <w:rsid w:val="00166FC6"/>
    <w:rsid w:val="0018158F"/>
    <w:rsid w:val="001836D7"/>
    <w:rsid w:val="00184673"/>
    <w:rsid w:val="001A050E"/>
    <w:rsid w:val="001A3351"/>
    <w:rsid w:val="001C10DF"/>
    <w:rsid w:val="001C37E4"/>
    <w:rsid w:val="001C6E0E"/>
    <w:rsid w:val="001D03C1"/>
    <w:rsid w:val="001D2131"/>
    <w:rsid w:val="001D61DC"/>
    <w:rsid w:val="001D7E43"/>
    <w:rsid w:val="001E38F1"/>
    <w:rsid w:val="001F0934"/>
    <w:rsid w:val="001F1611"/>
    <w:rsid w:val="001F57ED"/>
    <w:rsid w:val="001F6D24"/>
    <w:rsid w:val="002010A4"/>
    <w:rsid w:val="002016D6"/>
    <w:rsid w:val="00206A1D"/>
    <w:rsid w:val="00214AF2"/>
    <w:rsid w:val="0022038B"/>
    <w:rsid w:val="00221F34"/>
    <w:rsid w:val="00223274"/>
    <w:rsid w:val="00224D31"/>
    <w:rsid w:val="002303E1"/>
    <w:rsid w:val="00232D83"/>
    <w:rsid w:val="00234D98"/>
    <w:rsid w:val="002376BB"/>
    <w:rsid w:val="002448AF"/>
    <w:rsid w:val="00257746"/>
    <w:rsid w:val="00263C33"/>
    <w:rsid w:val="00272FB2"/>
    <w:rsid w:val="002766D0"/>
    <w:rsid w:val="0028236D"/>
    <w:rsid w:val="0029101C"/>
    <w:rsid w:val="00297D79"/>
    <w:rsid w:val="00297F2D"/>
    <w:rsid w:val="002A01BB"/>
    <w:rsid w:val="002B1B90"/>
    <w:rsid w:val="002B741A"/>
    <w:rsid w:val="002B7EF9"/>
    <w:rsid w:val="002B7FB9"/>
    <w:rsid w:val="002C0930"/>
    <w:rsid w:val="002C1100"/>
    <w:rsid w:val="002C6D67"/>
    <w:rsid w:val="002C6F73"/>
    <w:rsid w:val="002D3427"/>
    <w:rsid w:val="002D488F"/>
    <w:rsid w:val="002E2E5F"/>
    <w:rsid w:val="002E73D5"/>
    <w:rsid w:val="002F1359"/>
    <w:rsid w:val="002F1C57"/>
    <w:rsid w:val="002F36D4"/>
    <w:rsid w:val="002F3F88"/>
    <w:rsid w:val="002F741A"/>
    <w:rsid w:val="00300830"/>
    <w:rsid w:val="00303B49"/>
    <w:rsid w:val="0031534F"/>
    <w:rsid w:val="0031674C"/>
    <w:rsid w:val="00320678"/>
    <w:rsid w:val="003238E7"/>
    <w:rsid w:val="0033267E"/>
    <w:rsid w:val="00332BF5"/>
    <w:rsid w:val="00342834"/>
    <w:rsid w:val="00344083"/>
    <w:rsid w:val="00346FC5"/>
    <w:rsid w:val="00350D55"/>
    <w:rsid w:val="0035271D"/>
    <w:rsid w:val="00357D1B"/>
    <w:rsid w:val="00360F14"/>
    <w:rsid w:val="00361992"/>
    <w:rsid w:val="0036692F"/>
    <w:rsid w:val="00371FF1"/>
    <w:rsid w:val="003853D8"/>
    <w:rsid w:val="003906D3"/>
    <w:rsid w:val="00392B51"/>
    <w:rsid w:val="003A09D9"/>
    <w:rsid w:val="003A4E75"/>
    <w:rsid w:val="003A7674"/>
    <w:rsid w:val="003B5114"/>
    <w:rsid w:val="003C3D6F"/>
    <w:rsid w:val="003C4EE4"/>
    <w:rsid w:val="003C5688"/>
    <w:rsid w:val="003C635F"/>
    <w:rsid w:val="003D0ADB"/>
    <w:rsid w:val="003D679C"/>
    <w:rsid w:val="003D6BC3"/>
    <w:rsid w:val="003E1380"/>
    <w:rsid w:val="003F5060"/>
    <w:rsid w:val="003F7E46"/>
    <w:rsid w:val="0040034C"/>
    <w:rsid w:val="00412172"/>
    <w:rsid w:val="00421420"/>
    <w:rsid w:val="00422D20"/>
    <w:rsid w:val="00433C01"/>
    <w:rsid w:val="004359DD"/>
    <w:rsid w:val="00451D4D"/>
    <w:rsid w:val="004561DB"/>
    <w:rsid w:val="00462077"/>
    <w:rsid w:val="0046341A"/>
    <w:rsid w:val="004672EE"/>
    <w:rsid w:val="00470F24"/>
    <w:rsid w:val="00471DB5"/>
    <w:rsid w:val="00472A6E"/>
    <w:rsid w:val="004755E4"/>
    <w:rsid w:val="00482E21"/>
    <w:rsid w:val="00485BB8"/>
    <w:rsid w:val="0048664B"/>
    <w:rsid w:val="00493C87"/>
    <w:rsid w:val="0049799B"/>
    <w:rsid w:val="004A075E"/>
    <w:rsid w:val="004A3FCF"/>
    <w:rsid w:val="004C5899"/>
    <w:rsid w:val="004D67F6"/>
    <w:rsid w:val="004E10EF"/>
    <w:rsid w:val="004E5119"/>
    <w:rsid w:val="004F55B8"/>
    <w:rsid w:val="00500FFD"/>
    <w:rsid w:val="005059D7"/>
    <w:rsid w:val="005060D3"/>
    <w:rsid w:val="005061E2"/>
    <w:rsid w:val="00520EF7"/>
    <w:rsid w:val="0052297C"/>
    <w:rsid w:val="00524EA2"/>
    <w:rsid w:val="00525D63"/>
    <w:rsid w:val="00531199"/>
    <w:rsid w:val="00533B99"/>
    <w:rsid w:val="005354B7"/>
    <w:rsid w:val="005358CD"/>
    <w:rsid w:val="00537DB5"/>
    <w:rsid w:val="0055069D"/>
    <w:rsid w:val="00550FE4"/>
    <w:rsid w:val="0056365D"/>
    <w:rsid w:val="005639BE"/>
    <w:rsid w:val="00563C83"/>
    <w:rsid w:val="005652F1"/>
    <w:rsid w:val="00566381"/>
    <w:rsid w:val="00571DF0"/>
    <w:rsid w:val="00572CD2"/>
    <w:rsid w:val="0057616F"/>
    <w:rsid w:val="00576D9A"/>
    <w:rsid w:val="00582658"/>
    <w:rsid w:val="00584156"/>
    <w:rsid w:val="0059103F"/>
    <w:rsid w:val="00591AFB"/>
    <w:rsid w:val="005A6789"/>
    <w:rsid w:val="005B168A"/>
    <w:rsid w:val="005B16BE"/>
    <w:rsid w:val="005B2649"/>
    <w:rsid w:val="005C4073"/>
    <w:rsid w:val="005D241C"/>
    <w:rsid w:val="005D6276"/>
    <w:rsid w:val="005D7065"/>
    <w:rsid w:val="005E62CB"/>
    <w:rsid w:val="005E6323"/>
    <w:rsid w:val="005F17A6"/>
    <w:rsid w:val="005F6BB2"/>
    <w:rsid w:val="00601FC4"/>
    <w:rsid w:val="006050AF"/>
    <w:rsid w:val="0060647B"/>
    <w:rsid w:val="00612967"/>
    <w:rsid w:val="00615234"/>
    <w:rsid w:val="00615C1A"/>
    <w:rsid w:val="00616DAB"/>
    <w:rsid w:val="00617F34"/>
    <w:rsid w:val="0062133C"/>
    <w:rsid w:val="00623D76"/>
    <w:rsid w:val="006241DC"/>
    <w:rsid w:val="006253FC"/>
    <w:rsid w:val="00627D1D"/>
    <w:rsid w:val="0063130A"/>
    <w:rsid w:val="0063442A"/>
    <w:rsid w:val="0064185F"/>
    <w:rsid w:val="00647C1E"/>
    <w:rsid w:val="00653C25"/>
    <w:rsid w:val="006551C2"/>
    <w:rsid w:val="006551C7"/>
    <w:rsid w:val="00656648"/>
    <w:rsid w:val="0066116F"/>
    <w:rsid w:val="0066229F"/>
    <w:rsid w:val="006715B6"/>
    <w:rsid w:val="00675039"/>
    <w:rsid w:val="00680062"/>
    <w:rsid w:val="006828D1"/>
    <w:rsid w:val="006A1841"/>
    <w:rsid w:val="006A3177"/>
    <w:rsid w:val="006A5961"/>
    <w:rsid w:val="006A795A"/>
    <w:rsid w:val="006B1BA2"/>
    <w:rsid w:val="006B6379"/>
    <w:rsid w:val="006C1BDA"/>
    <w:rsid w:val="006C50E6"/>
    <w:rsid w:val="006C53CB"/>
    <w:rsid w:val="006D23F9"/>
    <w:rsid w:val="006D4081"/>
    <w:rsid w:val="006D4C40"/>
    <w:rsid w:val="006E35D1"/>
    <w:rsid w:val="006E449D"/>
    <w:rsid w:val="006E4A4D"/>
    <w:rsid w:val="006F0226"/>
    <w:rsid w:val="006F322F"/>
    <w:rsid w:val="006F4E78"/>
    <w:rsid w:val="006F6835"/>
    <w:rsid w:val="00700B70"/>
    <w:rsid w:val="007125EE"/>
    <w:rsid w:val="00713461"/>
    <w:rsid w:val="0071743C"/>
    <w:rsid w:val="00736968"/>
    <w:rsid w:val="00737D69"/>
    <w:rsid w:val="00744AC7"/>
    <w:rsid w:val="00755C5B"/>
    <w:rsid w:val="00755DCC"/>
    <w:rsid w:val="0075604A"/>
    <w:rsid w:val="00760F59"/>
    <w:rsid w:val="0076137C"/>
    <w:rsid w:val="00761A43"/>
    <w:rsid w:val="007863D4"/>
    <w:rsid w:val="00793B42"/>
    <w:rsid w:val="00796717"/>
    <w:rsid w:val="007A1CF4"/>
    <w:rsid w:val="007A1ED4"/>
    <w:rsid w:val="007B01FF"/>
    <w:rsid w:val="007B613F"/>
    <w:rsid w:val="007B6263"/>
    <w:rsid w:val="007C5EA7"/>
    <w:rsid w:val="007D10A1"/>
    <w:rsid w:val="007D434B"/>
    <w:rsid w:val="007E254F"/>
    <w:rsid w:val="007E4B18"/>
    <w:rsid w:val="007E7B4A"/>
    <w:rsid w:val="00815F89"/>
    <w:rsid w:val="00815FCB"/>
    <w:rsid w:val="0081688F"/>
    <w:rsid w:val="00830733"/>
    <w:rsid w:val="008331CF"/>
    <w:rsid w:val="0083575F"/>
    <w:rsid w:val="00846A37"/>
    <w:rsid w:val="00847C0E"/>
    <w:rsid w:val="00847D9B"/>
    <w:rsid w:val="00847E06"/>
    <w:rsid w:val="00852733"/>
    <w:rsid w:val="00852BBF"/>
    <w:rsid w:val="00855676"/>
    <w:rsid w:val="0086201A"/>
    <w:rsid w:val="0086226C"/>
    <w:rsid w:val="00863552"/>
    <w:rsid w:val="00866071"/>
    <w:rsid w:val="008738E7"/>
    <w:rsid w:val="00873CFB"/>
    <w:rsid w:val="00875E4C"/>
    <w:rsid w:val="008862C0"/>
    <w:rsid w:val="00886C9E"/>
    <w:rsid w:val="008A1D81"/>
    <w:rsid w:val="008A7DAB"/>
    <w:rsid w:val="008B6243"/>
    <w:rsid w:val="008C7033"/>
    <w:rsid w:val="008D1786"/>
    <w:rsid w:val="008E1954"/>
    <w:rsid w:val="008E6DF4"/>
    <w:rsid w:val="00901F94"/>
    <w:rsid w:val="00902B14"/>
    <w:rsid w:val="00904306"/>
    <w:rsid w:val="0090737D"/>
    <w:rsid w:val="00915A78"/>
    <w:rsid w:val="00921239"/>
    <w:rsid w:val="009216F5"/>
    <w:rsid w:val="009229CB"/>
    <w:rsid w:val="0093558B"/>
    <w:rsid w:val="00936B0D"/>
    <w:rsid w:val="00940782"/>
    <w:rsid w:val="009418A2"/>
    <w:rsid w:val="00946D25"/>
    <w:rsid w:val="00952592"/>
    <w:rsid w:val="00953923"/>
    <w:rsid w:val="009574F5"/>
    <w:rsid w:val="00960C92"/>
    <w:rsid w:val="00961451"/>
    <w:rsid w:val="0096641E"/>
    <w:rsid w:val="009807D2"/>
    <w:rsid w:val="00985CA7"/>
    <w:rsid w:val="00991A61"/>
    <w:rsid w:val="00994820"/>
    <w:rsid w:val="009949B0"/>
    <w:rsid w:val="00994F2D"/>
    <w:rsid w:val="00995B85"/>
    <w:rsid w:val="009A01DF"/>
    <w:rsid w:val="009A2056"/>
    <w:rsid w:val="009A25D9"/>
    <w:rsid w:val="009A6F54"/>
    <w:rsid w:val="009A7E93"/>
    <w:rsid w:val="009B2F7E"/>
    <w:rsid w:val="009C02CE"/>
    <w:rsid w:val="009C12B0"/>
    <w:rsid w:val="009C2EA3"/>
    <w:rsid w:val="009C32E8"/>
    <w:rsid w:val="009C514B"/>
    <w:rsid w:val="009C52D2"/>
    <w:rsid w:val="009C6A27"/>
    <w:rsid w:val="009D4D9C"/>
    <w:rsid w:val="009E21C0"/>
    <w:rsid w:val="009F062F"/>
    <w:rsid w:val="009F16E3"/>
    <w:rsid w:val="009F547F"/>
    <w:rsid w:val="00A003B7"/>
    <w:rsid w:val="00A0055D"/>
    <w:rsid w:val="00A1451F"/>
    <w:rsid w:val="00A15550"/>
    <w:rsid w:val="00A21455"/>
    <w:rsid w:val="00A233C4"/>
    <w:rsid w:val="00A24347"/>
    <w:rsid w:val="00A26CB0"/>
    <w:rsid w:val="00A317C0"/>
    <w:rsid w:val="00A32205"/>
    <w:rsid w:val="00A323CE"/>
    <w:rsid w:val="00A3633C"/>
    <w:rsid w:val="00A41598"/>
    <w:rsid w:val="00A47673"/>
    <w:rsid w:val="00A53901"/>
    <w:rsid w:val="00A53909"/>
    <w:rsid w:val="00A53AA2"/>
    <w:rsid w:val="00A54A09"/>
    <w:rsid w:val="00A72EAD"/>
    <w:rsid w:val="00A76CD5"/>
    <w:rsid w:val="00A81F2A"/>
    <w:rsid w:val="00A83EAE"/>
    <w:rsid w:val="00A855A3"/>
    <w:rsid w:val="00A91BC5"/>
    <w:rsid w:val="00AA471D"/>
    <w:rsid w:val="00AA4E55"/>
    <w:rsid w:val="00AB3F91"/>
    <w:rsid w:val="00AC252D"/>
    <w:rsid w:val="00AC6B83"/>
    <w:rsid w:val="00AC6C80"/>
    <w:rsid w:val="00AD0766"/>
    <w:rsid w:val="00AD076C"/>
    <w:rsid w:val="00AD18AC"/>
    <w:rsid w:val="00AD4657"/>
    <w:rsid w:val="00AD51D0"/>
    <w:rsid w:val="00AE26E9"/>
    <w:rsid w:val="00AE27A9"/>
    <w:rsid w:val="00AF3816"/>
    <w:rsid w:val="00B04237"/>
    <w:rsid w:val="00B06EB5"/>
    <w:rsid w:val="00B15982"/>
    <w:rsid w:val="00B17952"/>
    <w:rsid w:val="00B23678"/>
    <w:rsid w:val="00B25379"/>
    <w:rsid w:val="00B30A2D"/>
    <w:rsid w:val="00B34C48"/>
    <w:rsid w:val="00B353B9"/>
    <w:rsid w:val="00B357E9"/>
    <w:rsid w:val="00B3589A"/>
    <w:rsid w:val="00B36B8B"/>
    <w:rsid w:val="00B3765D"/>
    <w:rsid w:val="00B41A93"/>
    <w:rsid w:val="00B4295A"/>
    <w:rsid w:val="00B44120"/>
    <w:rsid w:val="00B46523"/>
    <w:rsid w:val="00B46DA1"/>
    <w:rsid w:val="00B72732"/>
    <w:rsid w:val="00B76C33"/>
    <w:rsid w:val="00B8220D"/>
    <w:rsid w:val="00B8259E"/>
    <w:rsid w:val="00B942E5"/>
    <w:rsid w:val="00BA5556"/>
    <w:rsid w:val="00BA6BEC"/>
    <w:rsid w:val="00BA6D34"/>
    <w:rsid w:val="00BB130D"/>
    <w:rsid w:val="00BB5CF9"/>
    <w:rsid w:val="00BC0678"/>
    <w:rsid w:val="00BC2946"/>
    <w:rsid w:val="00BC2B18"/>
    <w:rsid w:val="00BC48DD"/>
    <w:rsid w:val="00BC5604"/>
    <w:rsid w:val="00BD63D1"/>
    <w:rsid w:val="00BF1290"/>
    <w:rsid w:val="00BF260C"/>
    <w:rsid w:val="00BF79B1"/>
    <w:rsid w:val="00C0470A"/>
    <w:rsid w:val="00C07EF2"/>
    <w:rsid w:val="00C10DD8"/>
    <w:rsid w:val="00C12999"/>
    <w:rsid w:val="00C1358A"/>
    <w:rsid w:val="00C20565"/>
    <w:rsid w:val="00C2080A"/>
    <w:rsid w:val="00C25D9E"/>
    <w:rsid w:val="00C30CA1"/>
    <w:rsid w:val="00C3132E"/>
    <w:rsid w:val="00C333DE"/>
    <w:rsid w:val="00C4102D"/>
    <w:rsid w:val="00C4204E"/>
    <w:rsid w:val="00C425D7"/>
    <w:rsid w:val="00C47369"/>
    <w:rsid w:val="00C5309B"/>
    <w:rsid w:val="00C54A30"/>
    <w:rsid w:val="00C55CB9"/>
    <w:rsid w:val="00C71F8A"/>
    <w:rsid w:val="00C73270"/>
    <w:rsid w:val="00C74B54"/>
    <w:rsid w:val="00C75519"/>
    <w:rsid w:val="00C758BA"/>
    <w:rsid w:val="00C80F72"/>
    <w:rsid w:val="00C92B33"/>
    <w:rsid w:val="00C9320C"/>
    <w:rsid w:val="00C959D4"/>
    <w:rsid w:val="00C96B76"/>
    <w:rsid w:val="00CA08C7"/>
    <w:rsid w:val="00CA0D51"/>
    <w:rsid w:val="00CA66F5"/>
    <w:rsid w:val="00CB0020"/>
    <w:rsid w:val="00CB52B4"/>
    <w:rsid w:val="00CB738D"/>
    <w:rsid w:val="00CC0C0C"/>
    <w:rsid w:val="00CC19E1"/>
    <w:rsid w:val="00CD1D2E"/>
    <w:rsid w:val="00CD210B"/>
    <w:rsid w:val="00CD629A"/>
    <w:rsid w:val="00CD65B2"/>
    <w:rsid w:val="00CE38E0"/>
    <w:rsid w:val="00CF069F"/>
    <w:rsid w:val="00CF4A15"/>
    <w:rsid w:val="00CF56CC"/>
    <w:rsid w:val="00CF5A68"/>
    <w:rsid w:val="00CF71E4"/>
    <w:rsid w:val="00CF7840"/>
    <w:rsid w:val="00D04A92"/>
    <w:rsid w:val="00D11559"/>
    <w:rsid w:val="00D26743"/>
    <w:rsid w:val="00D26A6A"/>
    <w:rsid w:val="00D27147"/>
    <w:rsid w:val="00D35878"/>
    <w:rsid w:val="00D35AF5"/>
    <w:rsid w:val="00D53FBB"/>
    <w:rsid w:val="00D541A7"/>
    <w:rsid w:val="00D56827"/>
    <w:rsid w:val="00D60374"/>
    <w:rsid w:val="00D641D5"/>
    <w:rsid w:val="00D75068"/>
    <w:rsid w:val="00D76280"/>
    <w:rsid w:val="00D81B64"/>
    <w:rsid w:val="00D82880"/>
    <w:rsid w:val="00D8317B"/>
    <w:rsid w:val="00D85A69"/>
    <w:rsid w:val="00D90489"/>
    <w:rsid w:val="00D907CA"/>
    <w:rsid w:val="00D908C4"/>
    <w:rsid w:val="00D92323"/>
    <w:rsid w:val="00D96309"/>
    <w:rsid w:val="00DA00D6"/>
    <w:rsid w:val="00DA6048"/>
    <w:rsid w:val="00DA7ECC"/>
    <w:rsid w:val="00DB3276"/>
    <w:rsid w:val="00DB4ABA"/>
    <w:rsid w:val="00DB508A"/>
    <w:rsid w:val="00DB7DB8"/>
    <w:rsid w:val="00DC63E3"/>
    <w:rsid w:val="00DE4B70"/>
    <w:rsid w:val="00DE742B"/>
    <w:rsid w:val="00DE7A9E"/>
    <w:rsid w:val="00E03664"/>
    <w:rsid w:val="00E03669"/>
    <w:rsid w:val="00E14D0F"/>
    <w:rsid w:val="00E251A9"/>
    <w:rsid w:val="00E304C4"/>
    <w:rsid w:val="00E3483B"/>
    <w:rsid w:val="00E3562E"/>
    <w:rsid w:val="00E455A6"/>
    <w:rsid w:val="00E54442"/>
    <w:rsid w:val="00E547D7"/>
    <w:rsid w:val="00E55FBF"/>
    <w:rsid w:val="00E64412"/>
    <w:rsid w:val="00E7634A"/>
    <w:rsid w:val="00E80089"/>
    <w:rsid w:val="00E810D9"/>
    <w:rsid w:val="00E85760"/>
    <w:rsid w:val="00E87059"/>
    <w:rsid w:val="00E90A78"/>
    <w:rsid w:val="00EB06FB"/>
    <w:rsid w:val="00EB2C18"/>
    <w:rsid w:val="00EC07C2"/>
    <w:rsid w:val="00EC22F2"/>
    <w:rsid w:val="00EC2DDB"/>
    <w:rsid w:val="00EC45C4"/>
    <w:rsid w:val="00EC511D"/>
    <w:rsid w:val="00EC5E90"/>
    <w:rsid w:val="00ED1A03"/>
    <w:rsid w:val="00EE1A33"/>
    <w:rsid w:val="00EE1A99"/>
    <w:rsid w:val="00EE1BE0"/>
    <w:rsid w:val="00EE27AD"/>
    <w:rsid w:val="00EE34E8"/>
    <w:rsid w:val="00EE5EC7"/>
    <w:rsid w:val="00EF0D94"/>
    <w:rsid w:val="00F14A39"/>
    <w:rsid w:val="00F17720"/>
    <w:rsid w:val="00F2051C"/>
    <w:rsid w:val="00F3250B"/>
    <w:rsid w:val="00F32610"/>
    <w:rsid w:val="00F33416"/>
    <w:rsid w:val="00F33423"/>
    <w:rsid w:val="00F60E87"/>
    <w:rsid w:val="00F62C7A"/>
    <w:rsid w:val="00F6497F"/>
    <w:rsid w:val="00F71BC5"/>
    <w:rsid w:val="00F727EB"/>
    <w:rsid w:val="00F834AE"/>
    <w:rsid w:val="00F879E7"/>
    <w:rsid w:val="00F91419"/>
    <w:rsid w:val="00FA254C"/>
    <w:rsid w:val="00FA54FF"/>
    <w:rsid w:val="00FA573E"/>
    <w:rsid w:val="00FB1AAC"/>
    <w:rsid w:val="00FB33F0"/>
    <w:rsid w:val="00FB3983"/>
    <w:rsid w:val="00FB561C"/>
    <w:rsid w:val="00FC11EE"/>
    <w:rsid w:val="00FC1F82"/>
    <w:rsid w:val="00FC6E18"/>
    <w:rsid w:val="00FC733D"/>
    <w:rsid w:val="00FC7CA2"/>
    <w:rsid w:val="00FD787A"/>
    <w:rsid w:val="00FE0ACB"/>
    <w:rsid w:val="00FE0B07"/>
    <w:rsid w:val="00FE2D97"/>
    <w:rsid w:val="00FE32E1"/>
    <w:rsid w:val="00FE6BC5"/>
    <w:rsid w:val="00FF1A32"/>
    <w:rsid w:val="00FF39F9"/>
    <w:rsid w:val="00FF70E7"/>
    <w:rsid w:val="00F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26B6DD"/>
  <w15:chartTrackingRefBased/>
  <w15:docId w15:val="{509CD4D3-1574-48F8-9C23-C7A81BCC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4_Normal"/>
    <w:qFormat/>
    <w:rsid w:val="007A1CF4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paragraph" w:styleId="Ttulo1">
    <w:name w:val="heading 1"/>
    <w:basedOn w:val="Normal"/>
    <w:link w:val="Ttulo1Car"/>
    <w:uiPriority w:val="9"/>
    <w:qFormat/>
    <w:rsid w:val="00096F03"/>
    <w:pPr>
      <w:widowControl w:val="0"/>
      <w:autoSpaceDE w:val="0"/>
      <w:autoSpaceDN w:val="0"/>
      <w:ind w:left="682"/>
      <w:outlineLvl w:val="0"/>
    </w:pPr>
    <w:rPr>
      <w:rFonts w:eastAsia="Arial" w:cs="Arial"/>
      <w:b/>
      <w:bCs/>
      <w:sz w:val="24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34C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34C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aliases w:val="D_Hipervínculo"/>
    <w:qFormat/>
    <w:rsid w:val="000C290A"/>
    <w:rPr>
      <w:color w:val="0000FF"/>
      <w:u w:val="single"/>
    </w:rPr>
  </w:style>
  <w:style w:type="paragraph" w:customStyle="1" w:styleId="3Vietas1">
    <w:name w:val="3_Viñetas_1"/>
    <w:basedOn w:val="Normal"/>
    <w:link w:val="3Vietas1Car"/>
    <w:qFormat/>
    <w:rsid w:val="000C290A"/>
    <w:pPr>
      <w:numPr>
        <w:numId w:val="1"/>
      </w:numPr>
      <w:spacing w:before="80" w:after="40"/>
    </w:pPr>
    <w:rPr>
      <w:rFonts w:cs="Arial"/>
      <w:bCs/>
    </w:rPr>
  </w:style>
  <w:style w:type="paragraph" w:customStyle="1" w:styleId="2Subttulos">
    <w:name w:val="2_Subtítulos"/>
    <w:basedOn w:val="Normal"/>
    <w:link w:val="2SubttulosCar"/>
    <w:qFormat/>
    <w:rsid w:val="000C290A"/>
    <w:pPr>
      <w:autoSpaceDE w:val="0"/>
      <w:autoSpaceDN w:val="0"/>
      <w:adjustRightInd w:val="0"/>
    </w:pPr>
    <w:rPr>
      <w:rFonts w:cs="Arial"/>
      <w:b/>
      <w:bCs/>
      <w:caps/>
      <w:szCs w:val="22"/>
    </w:rPr>
  </w:style>
  <w:style w:type="character" w:customStyle="1" w:styleId="3Vietas1Car">
    <w:name w:val="3_Viñetas_1 Car"/>
    <w:basedOn w:val="Fuentedeprrafopredeter"/>
    <w:link w:val="3Vietas1"/>
    <w:rsid w:val="000C290A"/>
    <w:rPr>
      <w:rFonts w:ascii="Arial" w:eastAsia="Times New Roman" w:hAnsi="Arial" w:cs="Arial"/>
      <w:bCs/>
      <w:szCs w:val="24"/>
      <w:lang w:val="es-ES" w:eastAsia="es-ES"/>
    </w:rPr>
  </w:style>
  <w:style w:type="character" w:customStyle="1" w:styleId="2SubttulosCar">
    <w:name w:val="2_Subtítulos Car"/>
    <w:basedOn w:val="Fuentedeprrafopredeter"/>
    <w:link w:val="2Subttulos"/>
    <w:rsid w:val="000C290A"/>
    <w:rPr>
      <w:rFonts w:ascii="Arial" w:eastAsia="Times New Roman" w:hAnsi="Arial" w:cs="Arial"/>
      <w:b/>
      <w:bCs/>
      <w:caps/>
      <w:lang w:val="es-ES" w:eastAsia="es-ES"/>
    </w:rPr>
  </w:style>
  <w:style w:type="paragraph" w:customStyle="1" w:styleId="5TCuadrosGrficas">
    <w:name w:val="5_T_Cuadros_Gráficas"/>
    <w:basedOn w:val="Normal"/>
    <w:link w:val="5TCuadrosGrficasCar"/>
    <w:qFormat/>
    <w:rsid w:val="000C290A"/>
    <w:pPr>
      <w:ind w:left="851" w:right="851"/>
    </w:pPr>
    <w:rPr>
      <w:rFonts w:cs="Arial"/>
      <w:b/>
      <w:bCs/>
      <w:sz w:val="20"/>
      <w:szCs w:val="20"/>
    </w:rPr>
  </w:style>
  <w:style w:type="character" w:customStyle="1" w:styleId="5TCuadrosGrficasCar">
    <w:name w:val="5_T_Cuadros_Gráficas Car"/>
    <w:basedOn w:val="Fuentedeprrafopredeter"/>
    <w:link w:val="5TCuadrosGrficas"/>
    <w:rsid w:val="000C290A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paragraph" w:customStyle="1" w:styleId="1Ttulos">
    <w:name w:val="1_Títulos"/>
    <w:basedOn w:val="Normal"/>
    <w:next w:val="Normal"/>
    <w:link w:val="1TtulosCar"/>
    <w:qFormat/>
    <w:rsid w:val="000C290A"/>
    <w:pPr>
      <w:suppressAutoHyphens/>
      <w:jc w:val="center"/>
    </w:pPr>
    <w:rPr>
      <w:b/>
      <w:sz w:val="24"/>
      <w:szCs w:val="20"/>
      <w:shd w:val="clear" w:color="FFFFFF" w:fill="FFFFFF"/>
    </w:rPr>
  </w:style>
  <w:style w:type="character" w:customStyle="1" w:styleId="1TtulosCar">
    <w:name w:val="1_Títulos Car"/>
    <w:link w:val="1Ttulos"/>
    <w:rsid w:val="000C290A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customStyle="1" w:styleId="7cFuente">
    <w:name w:val="7c_Fuente"/>
    <w:basedOn w:val="Normal"/>
    <w:link w:val="7cFuenteCar"/>
    <w:qFormat/>
    <w:rsid w:val="000C290A"/>
    <w:pPr>
      <w:autoSpaceDE w:val="0"/>
      <w:autoSpaceDN w:val="0"/>
      <w:ind w:left="1446" w:right="851" w:hanging="595"/>
    </w:pPr>
    <w:rPr>
      <w:sz w:val="16"/>
      <w:szCs w:val="16"/>
    </w:rPr>
  </w:style>
  <w:style w:type="character" w:customStyle="1" w:styleId="7cFuenteCar">
    <w:name w:val="7c_Fuente Car"/>
    <w:basedOn w:val="Fuentedeprrafopredeter"/>
    <w:link w:val="7cFuente"/>
    <w:rsid w:val="000C290A"/>
    <w:rPr>
      <w:rFonts w:ascii="Arial" w:eastAsia="Times New Roman" w:hAnsi="Arial" w:cs="Times New Roman"/>
      <w:sz w:val="16"/>
      <w:szCs w:val="16"/>
      <w:lang w:val="es-ES" w:eastAsia="es-ES"/>
    </w:rPr>
  </w:style>
  <w:style w:type="paragraph" w:customStyle="1" w:styleId="8Citas">
    <w:name w:val="8_Citas"/>
    <w:basedOn w:val="Normal"/>
    <w:link w:val="8CitasCar"/>
    <w:qFormat/>
    <w:rsid w:val="000C290A"/>
    <w:pPr>
      <w:autoSpaceDE w:val="0"/>
      <w:autoSpaceDN w:val="0"/>
      <w:ind w:left="142" w:right="57" w:hanging="142"/>
    </w:pPr>
    <w:rPr>
      <w:rFonts w:cs="Arial"/>
      <w:color w:val="000000" w:themeColor="text1"/>
      <w:sz w:val="16"/>
      <w:szCs w:val="16"/>
    </w:rPr>
  </w:style>
  <w:style w:type="character" w:customStyle="1" w:styleId="8CitasCar">
    <w:name w:val="8_Citas Car"/>
    <w:basedOn w:val="Fuentedeprrafopredeter"/>
    <w:link w:val="8Citas"/>
    <w:rsid w:val="000C290A"/>
    <w:rPr>
      <w:rFonts w:ascii="Arial" w:eastAsia="Times New Roman" w:hAnsi="Arial" w:cs="Arial"/>
      <w:color w:val="000000" w:themeColor="text1"/>
      <w:sz w:val="16"/>
      <w:szCs w:val="16"/>
      <w:lang w:val="es-ES" w:eastAsia="es-ES"/>
    </w:rPr>
  </w:style>
  <w:style w:type="paragraph" w:customStyle="1" w:styleId="9TReferencias">
    <w:name w:val="9_T_Referencias"/>
    <w:basedOn w:val="2Subttulos"/>
    <w:qFormat/>
    <w:rsid w:val="000C290A"/>
    <w:rPr>
      <w:color w:val="003057"/>
    </w:rPr>
  </w:style>
  <w:style w:type="paragraph" w:customStyle="1" w:styleId="0ColocarCyG">
    <w:name w:val="0_Colocar CyG"/>
    <w:basedOn w:val="5TCuadrosGrficas"/>
    <w:qFormat/>
    <w:rsid w:val="000C290A"/>
    <w:pPr>
      <w:spacing w:before="120" w:after="120"/>
      <w:jc w:val="center"/>
    </w:pPr>
  </w:style>
  <w:style w:type="character" w:styleId="Refdenotaalpie">
    <w:name w:val="footnote reference"/>
    <w:basedOn w:val="Fuentedeprrafopredeter"/>
    <w:uiPriority w:val="99"/>
    <w:semiHidden/>
    <w:unhideWhenUsed/>
    <w:rsid w:val="000C290A"/>
    <w:rPr>
      <w:vertAlign w:val="superscript"/>
    </w:rPr>
  </w:style>
  <w:style w:type="paragraph" w:customStyle="1" w:styleId="8acitasgraficascuadros">
    <w:name w:val="8a_citas graficas_cuadros"/>
    <w:basedOn w:val="8Citas"/>
    <w:qFormat/>
    <w:rsid w:val="000C290A"/>
    <w:pPr>
      <w:ind w:left="993" w:right="851"/>
    </w:pPr>
    <w:rPr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B0423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0423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04237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423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4237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423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4237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37D6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37D69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744AC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4AC7"/>
    <w:rPr>
      <w:rFonts w:ascii="Arial" w:eastAsia="Times New Roman" w:hAnsi="Arial" w:cs="Times New Roman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44A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4AC7"/>
    <w:rPr>
      <w:rFonts w:ascii="Arial" w:eastAsia="Times New Roman" w:hAnsi="Arial" w:cs="Times New Roman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CF5A68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lang w:val="es-MX"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873CF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873CFB"/>
    <w:rPr>
      <w:rFonts w:eastAsiaTheme="minorEastAsia"/>
      <w:color w:val="5A5A5A" w:themeColor="text1" w:themeTint="A5"/>
      <w:spacing w:val="15"/>
      <w:lang w:val="es-ES" w:eastAsia="es-ES"/>
    </w:rPr>
  </w:style>
  <w:style w:type="paragraph" w:styleId="Prrafodelista">
    <w:name w:val="List Paragraph"/>
    <w:basedOn w:val="Normal"/>
    <w:uiPriority w:val="1"/>
    <w:qFormat/>
    <w:rsid w:val="00700B7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val="es-MX" w:eastAsia="en-US"/>
    </w:rPr>
  </w:style>
  <w:style w:type="table" w:styleId="Tablaconcuadrcula1clara-nfasis1">
    <w:name w:val="Grid Table 1 Light Accent 1"/>
    <w:basedOn w:val="Tablanormal"/>
    <w:uiPriority w:val="46"/>
    <w:rsid w:val="003A4E75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41A93"/>
    <w:pPr>
      <w:spacing w:after="120"/>
      <w:jc w:val="left"/>
    </w:pPr>
    <w:rPr>
      <w:rFonts w:ascii="Times New Roman" w:hAnsi="Times New Roman"/>
      <w:sz w:val="24"/>
      <w:lang w:val="es-MX" w:eastAsia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41A93"/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096F03"/>
    <w:rPr>
      <w:rFonts w:ascii="Arial" w:eastAsia="Arial" w:hAnsi="Arial" w:cs="Arial"/>
      <w:b/>
      <w:bCs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B34C4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34C4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paragraph" w:customStyle="1" w:styleId="6Nota">
    <w:name w:val="6_Nota"/>
    <w:basedOn w:val="8acitasgraficascuadros"/>
    <w:qFormat/>
    <w:rsid w:val="00B34C48"/>
    <w:pPr>
      <w:ind w:left="851" w:firstLine="0"/>
    </w:pPr>
  </w:style>
  <w:style w:type="character" w:styleId="Hipervnculovisitado">
    <w:name w:val="FollowedHyperlink"/>
    <w:basedOn w:val="Fuentedeprrafopredeter"/>
    <w:uiPriority w:val="99"/>
    <w:semiHidden/>
    <w:unhideWhenUsed/>
    <w:rsid w:val="0086201A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533B99"/>
    <w:pPr>
      <w:spacing w:after="0" w:line="240" w:lineRule="auto"/>
    </w:pPr>
    <w:rPr>
      <w:rFonts w:ascii="Arial" w:eastAsia="Times New Roman" w:hAnsi="Arial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about:blank" TargetMode="External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hyperlink" Target="https://www.inegi.org.mx/investigacion/ilmm/2021/" TargetMode="External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hyperlink" Target="https://www.inegi.org.mx/investigacion/ilmm/2021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B44D0-E915-4BA8-9AAE-B0B047F14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1810</Words>
  <Characters>9961</Characters>
  <Application>Microsoft Office Word</Application>
  <DocSecurity>0</DocSecurity>
  <Lines>83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Comunicado. Indicadores Laborales para los Municipios y Demarcaciones Territoriales de México</vt:lpstr>
      <vt:lpstr/>
    </vt:vector>
  </TitlesOfParts>
  <Company>INEGI</Company>
  <LinksUpToDate>false</LinksUpToDate>
  <CharactersWithSpaces>11748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Indicadores Laborales para los Municipios y Demarcaciones Territoriales de México</dc:title>
  <dc:subject/>
  <dc:creator>INEGI</dc:creator>
  <cp:keywords/>
  <dc:description/>
  <cp:lastModifiedBy>GUILLEN MEDINA MOISES</cp:lastModifiedBy>
  <cp:revision>5</cp:revision>
  <dcterms:created xsi:type="dcterms:W3CDTF">2022-06-06T17:37:00Z</dcterms:created>
  <dcterms:modified xsi:type="dcterms:W3CDTF">2022-06-06T18:47:00Z</dcterms:modified>
</cp:coreProperties>
</file>