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84EB7" w14:textId="77777777" w:rsidR="006D7D36" w:rsidRPr="00FC3C74" w:rsidRDefault="006D7D36" w:rsidP="006D7D3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288CB4A3" wp14:editId="38FA8BF6">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AD6E17E" w14:textId="77777777" w:rsidR="006D7D36" w:rsidRPr="00776EFB" w:rsidRDefault="006D7D36" w:rsidP="006D7D36">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7</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abril</w:t>
                            </w:r>
                          </w:p>
                          <w:p w14:paraId="20959B15" w14:textId="77777777" w:rsidR="006D7D36" w:rsidRPr="003D4E37" w:rsidRDefault="006D7D36" w:rsidP="006D7D3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CB4A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AD6E17E" w14:textId="77777777" w:rsidR="006D7D36" w:rsidRPr="00776EFB" w:rsidRDefault="006D7D36" w:rsidP="006D7D36">
                      <w:pPr>
                        <w:jc w:val="right"/>
                        <w:rPr>
                          <w:rFonts w:ascii="Arial" w:hAnsi="Arial" w:cs="Arial"/>
                          <w:b/>
                          <w:color w:val="FFFFFF" w:themeColor="background1"/>
                          <w:shd w:val="clear" w:color="auto" w:fill="365F91" w:themeFill="accent1" w:themeFillShade="BF"/>
                          <w:lang w:val="pt-BR"/>
                        </w:rPr>
                      </w:pPr>
                      <w:r w:rsidRPr="00776EFB">
                        <w:rPr>
                          <w:rFonts w:ascii="Arial" w:hAnsi="Arial" w:cs="Arial"/>
                          <w:b/>
                          <w:color w:val="FFFFFF" w:themeColor="background1"/>
                          <w:shd w:val="clear" w:color="auto" w:fill="365F91" w:themeFill="accent1" w:themeFillShade="BF"/>
                          <w:lang w:val="pt-BR"/>
                        </w:rPr>
                        <w:t xml:space="preserve">Próxima </w:t>
                      </w:r>
                      <w:proofErr w:type="spellStart"/>
                      <w:r w:rsidRPr="00776EFB">
                        <w:rPr>
                          <w:rFonts w:ascii="Arial" w:hAnsi="Arial" w:cs="Arial"/>
                          <w:b/>
                          <w:color w:val="FFFFFF" w:themeColor="background1"/>
                          <w:shd w:val="clear" w:color="auto" w:fill="365F91" w:themeFill="accent1" w:themeFillShade="BF"/>
                          <w:lang w:val="pt-BR"/>
                        </w:rPr>
                        <w:t>publicación</w:t>
                      </w:r>
                      <w:proofErr w:type="spellEnd"/>
                      <w:r w:rsidRPr="00776EFB">
                        <w:rPr>
                          <w:rFonts w:ascii="Arial" w:hAnsi="Arial" w:cs="Arial"/>
                          <w:b/>
                          <w:color w:val="FFFFFF" w:themeColor="background1"/>
                          <w:shd w:val="clear" w:color="auto" w:fill="365F91" w:themeFill="accent1" w:themeFillShade="BF"/>
                          <w:lang w:val="pt-BR"/>
                        </w:rPr>
                        <w:t>:  2</w:t>
                      </w:r>
                      <w:r>
                        <w:rPr>
                          <w:rFonts w:ascii="Arial" w:hAnsi="Arial" w:cs="Arial"/>
                          <w:b/>
                          <w:color w:val="FFFFFF" w:themeColor="background1"/>
                          <w:shd w:val="clear" w:color="auto" w:fill="365F91" w:themeFill="accent1" w:themeFillShade="BF"/>
                          <w:lang w:val="pt-BR"/>
                        </w:rPr>
                        <w:t>7</w:t>
                      </w:r>
                      <w:r w:rsidRPr="00776EFB">
                        <w:rPr>
                          <w:rFonts w:ascii="Arial" w:hAnsi="Arial" w:cs="Arial"/>
                          <w:b/>
                          <w:color w:val="FFFFFF" w:themeColor="background1"/>
                          <w:shd w:val="clear" w:color="auto" w:fill="365F91" w:themeFill="accent1" w:themeFillShade="BF"/>
                          <w:lang w:val="pt-BR"/>
                        </w:rPr>
                        <w:t xml:space="preserve"> de </w:t>
                      </w:r>
                      <w:r>
                        <w:rPr>
                          <w:rFonts w:ascii="Arial" w:hAnsi="Arial" w:cs="Arial"/>
                          <w:b/>
                          <w:color w:val="FFFFFF" w:themeColor="background1"/>
                          <w:shd w:val="clear" w:color="auto" w:fill="365F91" w:themeFill="accent1" w:themeFillShade="BF"/>
                          <w:lang w:val="pt-BR"/>
                        </w:rPr>
                        <w:t>abril</w:t>
                      </w:r>
                    </w:p>
                    <w:p w14:paraId="20959B15" w14:textId="77777777" w:rsidR="006D7D36" w:rsidRPr="003D4E37" w:rsidRDefault="006D7D36" w:rsidP="006D7D36">
                      <w:pPr>
                        <w:jc w:val="right"/>
                      </w:pPr>
                    </w:p>
                  </w:txbxContent>
                </v:textbox>
                <w10:wrap type="square"/>
              </v:shape>
            </w:pict>
          </mc:Fallback>
        </mc:AlternateContent>
      </w:r>
      <w:bookmarkStart w:id="0" w:name="_Hlk61875621"/>
    </w:p>
    <w:p w14:paraId="6020C5D4" w14:textId="77777777" w:rsidR="006D7D36" w:rsidRDefault="006D7D36" w:rsidP="006D7D36">
      <w:pPr>
        <w:jc w:val="center"/>
        <w:rPr>
          <w:b/>
          <w:bCs/>
          <w:caps/>
          <w:sz w:val="28"/>
          <w:szCs w:val="28"/>
        </w:rPr>
      </w:pPr>
    </w:p>
    <w:p w14:paraId="64523FE3" w14:textId="4E469B15" w:rsidR="006D7D36" w:rsidRPr="00CB7F40" w:rsidRDefault="006D7D36" w:rsidP="006D7D36">
      <w:pPr>
        <w:pStyle w:val="Ttulo2"/>
        <w:keepNext w:val="0"/>
        <w:widowControl w:val="0"/>
        <w:spacing w:before="360"/>
        <w:jc w:val="center"/>
        <w:rPr>
          <w:b/>
          <w:szCs w:val="24"/>
        </w:rPr>
      </w:pPr>
      <w:bookmarkStart w:id="1" w:name="_GoBack"/>
      <w:bookmarkEnd w:id="1"/>
      <w:r w:rsidRPr="00CB7F40">
        <w:rPr>
          <w:b/>
          <w:szCs w:val="24"/>
        </w:rPr>
        <w:t>INFORMACIÓN OPORTUNA SOBRE LA</w:t>
      </w:r>
    </w:p>
    <w:p w14:paraId="4269DA8E" w14:textId="77777777" w:rsidR="006D7D36" w:rsidRPr="00CB7F40" w:rsidRDefault="006D7D36" w:rsidP="006D7D36">
      <w:pPr>
        <w:pStyle w:val="Ttulo2"/>
        <w:keepNext w:val="0"/>
        <w:widowControl w:val="0"/>
        <w:spacing w:before="0"/>
        <w:jc w:val="center"/>
        <w:rPr>
          <w:b/>
          <w:szCs w:val="24"/>
        </w:rPr>
      </w:pPr>
      <w:r w:rsidRPr="00CB7F40">
        <w:rPr>
          <w:b/>
          <w:szCs w:val="24"/>
        </w:rPr>
        <w:t xml:space="preserve">BALANZA COMERCIAL DE MERCANCÍAS DE MÉXICO </w:t>
      </w:r>
    </w:p>
    <w:p w14:paraId="71F2536C" w14:textId="77777777" w:rsidR="006D7D36" w:rsidRPr="00CB7F40" w:rsidRDefault="006D7D36" w:rsidP="006D7D36">
      <w:pPr>
        <w:pStyle w:val="Ttulo2"/>
        <w:keepNext w:val="0"/>
        <w:widowControl w:val="0"/>
        <w:spacing w:before="0"/>
        <w:jc w:val="center"/>
        <w:rPr>
          <w:b/>
          <w:szCs w:val="24"/>
        </w:rPr>
      </w:pPr>
      <w:r w:rsidRPr="00CB7F40">
        <w:rPr>
          <w:b/>
          <w:szCs w:val="24"/>
        </w:rPr>
        <w:t>FEBRERO DE 2022</w:t>
      </w:r>
    </w:p>
    <w:p w14:paraId="78774E44" w14:textId="77777777" w:rsidR="006D7D36" w:rsidRPr="006A7897" w:rsidRDefault="006D7D36" w:rsidP="006D7D36">
      <w:pPr>
        <w:pStyle w:val="bullet"/>
        <w:numPr>
          <w:ilvl w:val="0"/>
          <w:numId w:val="0"/>
        </w:numPr>
        <w:tabs>
          <w:tab w:val="left" w:pos="8505"/>
        </w:tabs>
        <w:spacing w:before="120" w:line="200" w:lineRule="atLeast"/>
        <w:ind w:right="49"/>
        <w:rPr>
          <w:rFonts w:cs="Arial"/>
          <w:b w:val="0"/>
          <w:color w:val="auto"/>
          <w:sz w:val="24"/>
          <w:szCs w:val="24"/>
        </w:rPr>
      </w:pPr>
      <w:r w:rsidRPr="006A7897">
        <w:rPr>
          <w:rFonts w:cs="Arial"/>
          <w:b w:val="0"/>
          <w:color w:val="auto"/>
          <w:sz w:val="24"/>
          <w:szCs w:val="24"/>
        </w:rPr>
        <w:t xml:space="preserve">La información oportuna de comercio exterior de febrero de 2022, con cifras originales, muestra un superávit comercial de 1,293 millones de dólares, saldo que se compara con el de 2,688 millones de dólares en igual mes de 2021. </w:t>
      </w:r>
    </w:p>
    <w:p w14:paraId="1402869C" w14:textId="77777777" w:rsidR="006D7D36" w:rsidRPr="006A7897" w:rsidRDefault="006D7D36" w:rsidP="006D7D36">
      <w:pPr>
        <w:pStyle w:val="bullet"/>
        <w:numPr>
          <w:ilvl w:val="0"/>
          <w:numId w:val="0"/>
        </w:numPr>
        <w:tabs>
          <w:tab w:val="left" w:pos="8505"/>
        </w:tabs>
        <w:spacing w:before="120" w:line="200" w:lineRule="atLeast"/>
        <w:ind w:right="49"/>
        <w:rPr>
          <w:rFonts w:cs="Arial"/>
          <w:b w:val="0"/>
          <w:color w:val="auto"/>
          <w:sz w:val="24"/>
          <w:szCs w:val="24"/>
        </w:rPr>
      </w:pPr>
      <w:r w:rsidRPr="006A7897">
        <w:rPr>
          <w:rFonts w:cs="Arial"/>
          <w:b w:val="0"/>
          <w:color w:val="auto"/>
          <w:sz w:val="24"/>
          <w:szCs w:val="24"/>
        </w:rPr>
        <w:t>En los primeros dos meses de 2022 la balanza comercial presentó un déficit de 4,993 millones de dólares</w:t>
      </w:r>
      <w:r w:rsidRPr="006A7897">
        <w:rPr>
          <w:rFonts w:cs="Arial"/>
          <w:b w:val="0"/>
          <w:color w:val="auto"/>
          <w:sz w:val="24"/>
          <w:szCs w:val="24"/>
          <w:vertAlign w:val="superscript"/>
        </w:rPr>
        <w:footnoteReference w:id="1"/>
      </w:r>
      <w:r w:rsidRPr="006A7897">
        <w:rPr>
          <w:rFonts w:cs="Arial"/>
          <w:b w:val="0"/>
          <w:color w:val="auto"/>
          <w:sz w:val="24"/>
          <w:szCs w:val="24"/>
        </w:rPr>
        <w:t>.</w:t>
      </w:r>
    </w:p>
    <w:p w14:paraId="3FF2C48C" w14:textId="77777777" w:rsidR="006D7D36" w:rsidRPr="00C70C22" w:rsidRDefault="006D7D36" w:rsidP="006D7D36">
      <w:pPr>
        <w:pStyle w:val="bullet"/>
        <w:numPr>
          <w:ilvl w:val="0"/>
          <w:numId w:val="0"/>
        </w:numPr>
        <w:tabs>
          <w:tab w:val="left" w:pos="8647"/>
          <w:tab w:val="left" w:pos="9072"/>
        </w:tabs>
        <w:spacing w:before="480"/>
        <w:ind w:right="49"/>
        <w:contextualSpacing/>
        <w:rPr>
          <w:color w:val="auto"/>
          <w:sz w:val="16"/>
          <w:szCs w:val="16"/>
        </w:rPr>
      </w:pPr>
    </w:p>
    <w:p w14:paraId="5F6AF956" w14:textId="77777777" w:rsidR="006D7D36" w:rsidRDefault="006D7D36" w:rsidP="006D7D36">
      <w:pPr>
        <w:pStyle w:val="bullet"/>
        <w:numPr>
          <w:ilvl w:val="0"/>
          <w:numId w:val="0"/>
        </w:numPr>
        <w:tabs>
          <w:tab w:val="left" w:pos="8647"/>
          <w:tab w:val="left" w:pos="9072"/>
        </w:tabs>
        <w:ind w:right="49"/>
        <w:contextualSpacing/>
        <w:rPr>
          <w:color w:val="auto"/>
          <w:sz w:val="16"/>
          <w:szCs w:val="16"/>
        </w:rPr>
      </w:pPr>
    </w:p>
    <w:p w14:paraId="25EC4737" w14:textId="77777777" w:rsidR="006D7D36" w:rsidRPr="00601C8A" w:rsidRDefault="006D7D36" w:rsidP="006D7D36">
      <w:pPr>
        <w:pStyle w:val="bullet"/>
        <w:numPr>
          <w:ilvl w:val="0"/>
          <w:numId w:val="0"/>
        </w:numPr>
        <w:tabs>
          <w:tab w:val="left" w:pos="8647"/>
          <w:tab w:val="left" w:pos="9072"/>
        </w:tabs>
        <w:ind w:right="49"/>
        <w:contextualSpacing/>
        <w:rPr>
          <w:rFonts w:cs="Arial"/>
          <w:smallCaps/>
          <w:color w:val="auto"/>
          <w:sz w:val="24"/>
          <w:szCs w:val="24"/>
        </w:rPr>
      </w:pPr>
      <w:r w:rsidRPr="00601C8A">
        <w:rPr>
          <w:rFonts w:cs="Arial"/>
          <w:smallCaps/>
          <w:color w:val="auto"/>
          <w:sz w:val="24"/>
          <w:szCs w:val="24"/>
        </w:rPr>
        <w:t>Exportaciones</w:t>
      </w:r>
    </w:p>
    <w:p w14:paraId="7474BCD4" w14:textId="77777777" w:rsidR="006D7D36" w:rsidRPr="00F9074B" w:rsidRDefault="006D7D36" w:rsidP="006D7D36">
      <w:pPr>
        <w:pStyle w:val="bullet"/>
        <w:numPr>
          <w:ilvl w:val="0"/>
          <w:numId w:val="0"/>
        </w:numPr>
        <w:tabs>
          <w:tab w:val="left" w:pos="8505"/>
        </w:tabs>
        <w:spacing w:before="240" w:line="200" w:lineRule="atLeast"/>
        <w:ind w:right="49"/>
        <w:rPr>
          <w:rFonts w:cs="Arial"/>
          <w:b w:val="0"/>
          <w:color w:val="auto"/>
          <w:sz w:val="24"/>
          <w:szCs w:val="24"/>
        </w:rPr>
      </w:pPr>
      <w:r w:rsidRPr="00F9074B">
        <w:rPr>
          <w:rFonts w:cs="Arial"/>
          <w:b w:val="0"/>
          <w:color w:val="auto"/>
          <w:sz w:val="24"/>
          <w:szCs w:val="24"/>
        </w:rPr>
        <w:t>En febrero de 2022, el valor de las exportaciones de mercancías alcanzó 46,246 millones de dólares, cifra integrada por 43,452 millones de dólares de exportaciones no petroleras y por 2,795 millones de dólares de petroleras. Así, en el mes de referencia las exportaciones totales exhibieron un incremento anual de 27.8%, resultado de crecimientos de 26.5% en las exportaciones no petroleras y de 53.5% en las petroleras. Al interior de las exportaciones no petroleras, las dirigidas a Estados Unidos avanzaron a una tasa anual de 24.8% y al resto del mundo 33.8%.</w:t>
      </w:r>
    </w:p>
    <w:p w14:paraId="3D7D0588" w14:textId="77777777" w:rsidR="006D7D36" w:rsidRPr="00F9074B" w:rsidRDefault="006D7D36" w:rsidP="006D7D36">
      <w:pPr>
        <w:pStyle w:val="bullet"/>
        <w:numPr>
          <w:ilvl w:val="0"/>
          <w:numId w:val="0"/>
        </w:numPr>
        <w:tabs>
          <w:tab w:val="left" w:pos="8505"/>
        </w:tabs>
        <w:spacing w:line="200" w:lineRule="atLeast"/>
        <w:ind w:right="49"/>
        <w:rPr>
          <w:rFonts w:cs="Arial"/>
          <w:b w:val="0"/>
          <w:color w:val="auto"/>
          <w:sz w:val="24"/>
          <w:szCs w:val="24"/>
        </w:rPr>
      </w:pPr>
      <w:r w:rsidRPr="00F9074B">
        <w:rPr>
          <w:rFonts w:cs="Arial"/>
          <w:b w:val="0"/>
          <w:color w:val="auto"/>
          <w:sz w:val="24"/>
          <w:szCs w:val="24"/>
        </w:rPr>
        <w:t xml:space="preserve">En febrero de 2022 y con cifras desestacionalizadas, las exportaciones totales de mercancías registraron un incremento mensual de 16.03%, resultado de crecimientos de 16.18% en las exportaciones no petroleras y de 13.89% en las petroleras. </w:t>
      </w:r>
    </w:p>
    <w:p w14:paraId="0049F745" w14:textId="77777777" w:rsidR="006D7D36" w:rsidRPr="00F9074B" w:rsidRDefault="006D7D36" w:rsidP="006D7D36">
      <w:pPr>
        <w:pStyle w:val="bullet"/>
        <w:numPr>
          <w:ilvl w:val="0"/>
          <w:numId w:val="0"/>
        </w:numPr>
        <w:tabs>
          <w:tab w:val="left" w:pos="8505"/>
        </w:tabs>
        <w:spacing w:before="480" w:after="240" w:line="200" w:lineRule="atLeast"/>
        <w:ind w:right="49"/>
        <w:rPr>
          <w:rFonts w:cs="Arial"/>
          <w:smallCaps/>
          <w:color w:val="auto"/>
          <w:sz w:val="24"/>
          <w:szCs w:val="24"/>
        </w:rPr>
      </w:pPr>
      <w:r w:rsidRPr="00F9074B">
        <w:rPr>
          <w:rFonts w:cs="Arial"/>
          <w:smallCaps/>
          <w:color w:val="auto"/>
          <w:sz w:val="24"/>
          <w:szCs w:val="24"/>
        </w:rPr>
        <w:t>Importaciones</w:t>
      </w:r>
    </w:p>
    <w:p w14:paraId="309FC2C5" w14:textId="77777777" w:rsidR="006D7D36" w:rsidRPr="00F9074B" w:rsidRDefault="006D7D36" w:rsidP="006D7D36">
      <w:pPr>
        <w:pStyle w:val="bullet"/>
        <w:numPr>
          <w:ilvl w:val="0"/>
          <w:numId w:val="0"/>
        </w:numPr>
        <w:tabs>
          <w:tab w:val="left" w:pos="8505"/>
        </w:tabs>
        <w:spacing w:before="120" w:after="240" w:line="200" w:lineRule="atLeast"/>
        <w:ind w:right="49"/>
        <w:rPr>
          <w:rFonts w:cs="Arial"/>
          <w:b w:val="0"/>
          <w:color w:val="auto"/>
          <w:sz w:val="24"/>
          <w:szCs w:val="24"/>
        </w:rPr>
      </w:pPr>
      <w:r w:rsidRPr="00F9074B">
        <w:rPr>
          <w:rFonts w:cs="Arial"/>
          <w:b w:val="0"/>
          <w:color w:val="auto"/>
          <w:sz w:val="24"/>
          <w:szCs w:val="24"/>
        </w:rPr>
        <w:t>El valor de las importaciones de mercancías en febrero de 2022 fue de 44,953 millones de dólares, un avance anual de 34.2%. Dicha cifra se originó de expansiones de 33% en las importaciones no petroleras y de 47.6% en las petroleras. Al considerar las importaciones por tipo de bien, se observaron alzas anuales de 39.5% en las importaciones de bienes de consumo, de 35.8% en las de bienes de uso intermedio y de 12.6% en las de bienes de capital.</w:t>
      </w:r>
    </w:p>
    <w:p w14:paraId="7BFFDBF3" w14:textId="77777777" w:rsidR="006D7D36" w:rsidRDefault="006D7D36" w:rsidP="006D7D36">
      <w:pPr>
        <w:pStyle w:val="bullet"/>
        <w:numPr>
          <w:ilvl w:val="0"/>
          <w:numId w:val="0"/>
        </w:numPr>
        <w:tabs>
          <w:tab w:val="left" w:pos="8505"/>
        </w:tabs>
        <w:spacing w:before="480" w:after="240" w:line="200" w:lineRule="atLeast"/>
        <w:ind w:right="49"/>
        <w:rPr>
          <w:rFonts w:cs="Arial"/>
          <w:smallCaps/>
          <w:color w:val="auto"/>
          <w:sz w:val="24"/>
          <w:szCs w:val="24"/>
        </w:rPr>
      </w:pPr>
    </w:p>
    <w:p w14:paraId="21A60672" w14:textId="77777777" w:rsidR="006D7D36" w:rsidRPr="00B05907" w:rsidRDefault="006D7D36" w:rsidP="006D7D36">
      <w:pPr>
        <w:pStyle w:val="bullet"/>
        <w:numPr>
          <w:ilvl w:val="0"/>
          <w:numId w:val="0"/>
        </w:numPr>
        <w:ind w:right="-547"/>
        <w:rPr>
          <w:color w:val="auto"/>
          <w:sz w:val="16"/>
          <w:szCs w:val="16"/>
        </w:rPr>
      </w:pPr>
    </w:p>
    <w:p w14:paraId="7951FEFB" w14:textId="77777777" w:rsidR="006D7D36" w:rsidRPr="00B01AD5" w:rsidRDefault="006D7D36" w:rsidP="006D7D36">
      <w:pPr>
        <w:pStyle w:val="bullet"/>
        <w:numPr>
          <w:ilvl w:val="0"/>
          <w:numId w:val="0"/>
        </w:numPr>
        <w:tabs>
          <w:tab w:val="left" w:pos="8505"/>
        </w:tabs>
        <w:spacing w:before="120" w:after="240" w:line="200" w:lineRule="atLeast"/>
        <w:ind w:right="49"/>
        <w:rPr>
          <w:rFonts w:cs="Arial"/>
          <w:b w:val="0"/>
          <w:color w:val="auto"/>
          <w:sz w:val="24"/>
          <w:szCs w:val="24"/>
        </w:rPr>
      </w:pPr>
      <w:r w:rsidRPr="00B01AD5">
        <w:rPr>
          <w:rFonts w:cs="Arial"/>
          <w:b w:val="0"/>
          <w:bCs/>
          <w:color w:val="auto"/>
          <w:sz w:val="24"/>
          <w:szCs w:val="24"/>
        </w:rPr>
        <w:lastRenderedPageBreak/>
        <w:t>Con series ajustadas por estacionalidad</w:t>
      </w:r>
      <w:r w:rsidRPr="00B01AD5">
        <w:rPr>
          <w:rFonts w:cs="Arial"/>
          <w:b w:val="0"/>
          <w:color w:val="auto"/>
          <w:sz w:val="24"/>
          <w:szCs w:val="24"/>
        </w:rPr>
        <w:t>, las importaciones totales mostraron un avance mensual de 9.06%, producto de la combinación de un alza de 10.33% en las importaciones no petroleras y de una caída de 1.84% en las petroleras. Por tipo de bien, se presentaron aumentos mensuales de 3.27% en las importaciones de bienes de consumo, de 10.87% en las de bienes de uso intermedio y de 0.62% en las de bienes de capital.</w:t>
      </w:r>
    </w:p>
    <w:p w14:paraId="59AFCC88" w14:textId="77777777" w:rsidR="006D7D36" w:rsidRPr="0081034A" w:rsidRDefault="006D7D36" w:rsidP="006D7D36">
      <w:pPr>
        <w:pStyle w:val="titulos"/>
        <w:spacing w:after="120"/>
        <w:jc w:val="center"/>
        <w:rPr>
          <w:rFonts w:cs="Arial"/>
          <w:b w:val="0"/>
          <w:smallCaps/>
          <w:sz w:val="22"/>
          <w:lang w:val="es-MX"/>
        </w:rPr>
      </w:pPr>
      <w:r w:rsidRPr="0081034A">
        <w:rPr>
          <w:b w:val="0"/>
          <w:i w:val="0"/>
          <w:u w:val="none"/>
        </w:rPr>
        <w:t>Cifras originales</w:t>
      </w:r>
    </w:p>
    <w:p w14:paraId="4846663B" w14:textId="77777777" w:rsidR="006D7D36" w:rsidRDefault="006D7D36" w:rsidP="006D7D36">
      <w:pPr>
        <w:pStyle w:val="p01"/>
        <w:keepNext/>
        <w:widowControl/>
        <w:spacing w:before="0"/>
        <w:jc w:val="center"/>
        <w:rPr>
          <w:rFonts w:ascii="Arial" w:hAnsi="Arial" w:cs="Arial"/>
          <w:color w:val="auto"/>
          <w:sz w:val="16"/>
          <w:szCs w:val="16"/>
        </w:rPr>
      </w:pPr>
      <w:r>
        <w:rPr>
          <w:rFonts w:ascii="Arial" w:hAnsi="Arial" w:cs="Arial"/>
          <w:b/>
          <w:smallCaps/>
          <w:color w:val="auto"/>
          <w:sz w:val="22"/>
          <w:lang w:val="es-MX"/>
        </w:rPr>
        <w:t>Balanza Comercial de Mercancías de México</w:t>
      </w:r>
    </w:p>
    <w:tbl>
      <w:tblPr>
        <w:tblW w:w="8207"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6D7D36" w14:paraId="0BE423EF" w14:textId="77777777" w:rsidTr="00F03F20">
        <w:trPr>
          <w:jc w:val="center"/>
        </w:trPr>
        <w:tc>
          <w:tcPr>
            <w:tcW w:w="2940" w:type="dxa"/>
            <w:vMerge w:val="restart"/>
            <w:tcBorders>
              <w:top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4FCCC3B1"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7D7C4A78"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Febrero*</w:t>
            </w:r>
          </w:p>
        </w:tc>
        <w:tc>
          <w:tcPr>
            <w:tcW w:w="2876" w:type="dxa"/>
            <w:gridSpan w:val="2"/>
            <w:tcBorders>
              <w:top w:val="double" w:sz="4" w:space="0" w:color="000000" w:themeColor="text1"/>
              <w:left w:val="double" w:sz="4" w:space="0" w:color="000000" w:themeColor="text1"/>
              <w:bottom w:val="double" w:sz="4" w:space="0" w:color="000000" w:themeColor="text1"/>
            </w:tcBorders>
            <w:shd w:val="clear" w:color="auto" w:fill="C2D69B" w:themeFill="accent3" w:themeFillTint="99"/>
          </w:tcPr>
          <w:p w14:paraId="2441D063"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Enero-Febrero*</w:t>
            </w:r>
          </w:p>
        </w:tc>
      </w:tr>
      <w:tr w:rsidR="006D7D36" w14:paraId="3CD369E8" w14:textId="77777777" w:rsidTr="00F03F20">
        <w:trPr>
          <w:jc w:val="center"/>
        </w:trPr>
        <w:tc>
          <w:tcPr>
            <w:tcW w:w="2940" w:type="dxa"/>
            <w:vMerge/>
            <w:tcBorders>
              <w:top w:val="nil"/>
              <w:bottom w:val="double" w:sz="4" w:space="0" w:color="000000" w:themeColor="text1"/>
              <w:right w:val="double" w:sz="4" w:space="0" w:color="000000" w:themeColor="text1"/>
            </w:tcBorders>
            <w:vAlign w:val="center"/>
            <w:hideMark/>
          </w:tcPr>
          <w:p w14:paraId="4A43439E" w14:textId="77777777" w:rsidR="006D7D36" w:rsidRDefault="006D7D36" w:rsidP="00F03F20">
            <w:pPr>
              <w:spacing w:line="276" w:lineRule="auto"/>
              <w:rPr>
                <w:rFonts w:ascii="Arial" w:hAnsi="Arial" w:cs="Arial"/>
                <w:snapToGrid w:val="0"/>
                <w:sz w:val="18"/>
                <w:szCs w:val="18"/>
                <w:lang w:eastAsia="en-US"/>
              </w:rPr>
            </w:pPr>
          </w:p>
        </w:tc>
        <w:tc>
          <w:tcPr>
            <w:tcW w:w="1195"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1185DC4B" w14:textId="77777777" w:rsidR="006D7D36" w:rsidRDefault="006D7D36" w:rsidP="00F03F20">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5760DF32"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3A5F529D"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00000" w:themeColor="text1"/>
              <w:left w:val="double" w:sz="4" w:space="0" w:color="000000" w:themeColor="text1"/>
              <w:bottom w:val="double" w:sz="4" w:space="0" w:color="000000" w:themeColor="text1"/>
            </w:tcBorders>
            <w:shd w:val="clear" w:color="auto" w:fill="C2D69B" w:themeFill="accent3" w:themeFillTint="99"/>
          </w:tcPr>
          <w:p w14:paraId="75F11584" w14:textId="77777777" w:rsidR="006D7D36" w:rsidRDefault="006D7D36" w:rsidP="00F03F20">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6D7D36" w:rsidRPr="00090C29" w14:paraId="7AE69199" w14:textId="77777777" w:rsidTr="00F03F20">
        <w:trPr>
          <w:jc w:val="center"/>
        </w:trPr>
        <w:tc>
          <w:tcPr>
            <w:tcW w:w="2940" w:type="dxa"/>
            <w:tcBorders>
              <w:top w:val="double" w:sz="4" w:space="0" w:color="000000" w:themeColor="text1"/>
              <w:right w:val="double" w:sz="4" w:space="0" w:color="000000" w:themeColor="text1"/>
            </w:tcBorders>
            <w:vAlign w:val="bottom"/>
            <w:hideMark/>
          </w:tcPr>
          <w:p w14:paraId="1592B3FD" w14:textId="77777777" w:rsidR="006D7D36" w:rsidRDefault="006D7D36" w:rsidP="00F03F20">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00000" w:themeColor="text1"/>
              <w:left w:val="double" w:sz="4" w:space="0" w:color="000000" w:themeColor="text1"/>
              <w:bottom w:val="nil"/>
            </w:tcBorders>
            <w:vAlign w:val="bottom"/>
            <w:hideMark/>
          </w:tcPr>
          <w:p w14:paraId="380FA80F" w14:textId="77777777" w:rsidR="006D7D36" w:rsidRPr="0099535E" w:rsidRDefault="006D7D36" w:rsidP="00F03F20">
            <w:pPr>
              <w:tabs>
                <w:tab w:val="decimal" w:pos="844"/>
              </w:tabs>
              <w:spacing w:before="20" w:line="276" w:lineRule="auto"/>
              <w:rPr>
                <w:rFonts w:ascii="Arial" w:hAnsi="Arial" w:cs="Arial"/>
                <w:b/>
                <w:bCs/>
                <w:sz w:val="18"/>
                <w:szCs w:val="18"/>
                <w:u w:val="single"/>
              </w:rPr>
            </w:pPr>
            <w:r>
              <w:rPr>
                <w:rFonts w:ascii="Arial" w:hAnsi="Arial" w:cs="Arial"/>
                <w:b/>
                <w:bCs/>
                <w:sz w:val="18"/>
                <w:szCs w:val="18"/>
                <w:u w:val="single"/>
              </w:rPr>
              <w:t>46,246.0</w:t>
            </w:r>
          </w:p>
        </w:tc>
        <w:tc>
          <w:tcPr>
            <w:tcW w:w="1196" w:type="dxa"/>
            <w:tcBorders>
              <w:top w:val="double" w:sz="4" w:space="0" w:color="000000" w:themeColor="text1"/>
              <w:bottom w:val="nil"/>
              <w:right w:val="double" w:sz="4" w:space="0" w:color="000000" w:themeColor="text1"/>
            </w:tcBorders>
            <w:vAlign w:val="bottom"/>
          </w:tcPr>
          <w:p w14:paraId="4BAF154D" w14:textId="77777777" w:rsidR="006D7D36" w:rsidRPr="00155B09" w:rsidRDefault="006D7D36" w:rsidP="00F03F20">
            <w:pPr>
              <w:tabs>
                <w:tab w:val="decimal" w:pos="493"/>
              </w:tabs>
              <w:spacing w:before="20" w:line="276" w:lineRule="auto"/>
              <w:rPr>
                <w:rFonts w:ascii="Arial" w:hAnsi="Arial" w:cs="Arial"/>
                <w:b/>
                <w:bCs/>
                <w:sz w:val="18"/>
                <w:szCs w:val="18"/>
                <w:u w:val="single"/>
              </w:rPr>
            </w:pPr>
            <w:r w:rsidRPr="00155B09">
              <w:rPr>
                <w:rFonts w:ascii="Arial" w:hAnsi="Arial" w:cs="Arial"/>
                <w:b/>
                <w:bCs/>
                <w:sz w:val="18"/>
                <w:szCs w:val="18"/>
                <w:u w:val="single"/>
              </w:rPr>
              <w:t>27.8</w:t>
            </w:r>
          </w:p>
        </w:tc>
        <w:tc>
          <w:tcPr>
            <w:tcW w:w="1458" w:type="dxa"/>
            <w:tcBorders>
              <w:top w:val="double" w:sz="4" w:space="0" w:color="000000" w:themeColor="text1"/>
              <w:left w:val="double" w:sz="4" w:space="0" w:color="000000" w:themeColor="text1"/>
            </w:tcBorders>
          </w:tcPr>
          <w:p w14:paraId="16D0FA40" w14:textId="77777777" w:rsidR="006D7D36" w:rsidRPr="00090C29" w:rsidRDefault="006D7D36" w:rsidP="00F03F20">
            <w:pPr>
              <w:tabs>
                <w:tab w:val="decimal" w:pos="868"/>
              </w:tabs>
              <w:spacing w:before="20" w:line="276" w:lineRule="auto"/>
              <w:rPr>
                <w:rFonts w:ascii="Arial" w:hAnsi="Arial" w:cs="Arial"/>
                <w:b/>
                <w:bCs/>
                <w:sz w:val="18"/>
                <w:szCs w:val="18"/>
                <w:u w:val="single"/>
              </w:rPr>
            </w:pPr>
            <w:r>
              <w:rPr>
                <w:rFonts w:ascii="Arial" w:hAnsi="Arial" w:cs="Arial"/>
                <w:b/>
                <w:bCs/>
                <w:sz w:val="18"/>
                <w:szCs w:val="18"/>
                <w:u w:val="single"/>
              </w:rPr>
              <w:t>80,145.1</w:t>
            </w:r>
          </w:p>
        </w:tc>
        <w:tc>
          <w:tcPr>
            <w:tcW w:w="1418" w:type="dxa"/>
            <w:tcBorders>
              <w:top w:val="double" w:sz="4" w:space="0" w:color="000000" w:themeColor="text1"/>
            </w:tcBorders>
          </w:tcPr>
          <w:p w14:paraId="6A1D2378" w14:textId="77777777" w:rsidR="006D7D36" w:rsidRPr="00155B09" w:rsidRDefault="006D7D36" w:rsidP="00F03F20">
            <w:pPr>
              <w:tabs>
                <w:tab w:val="decimal" w:pos="673"/>
              </w:tabs>
              <w:spacing w:before="20" w:line="276" w:lineRule="auto"/>
              <w:rPr>
                <w:rFonts w:ascii="Arial" w:hAnsi="Arial" w:cs="Arial"/>
                <w:b/>
                <w:bCs/>
                <w:sz w:val="18"/>
                <w:szCs w:val="18"/>
                <w:u w:val="single"/>
              </w:rPr>
            </w:pPr>
            <w:r w:rsidRPr="00155B09">
              <w:rPr>
                <w:rFonts w:ascii="Arial" w:hAnsi="Arial" w:cs="Arial"/>
                <w:b/>
                <w:bCs/>
                <w:sz w:val="18"/>
                <w:szCs w:val="18"/>
                <w:u w:val="single"/>
              </w:rPr>
              <w:t>16.4</w:t>
            </w:r>
          </w:p>
        </w:tc>
      </w:tr>
      <w:tr w:rsidR="006D7D36" w:rsidRPr="0099535E" w14:paraId="1EA0E151" w14:textId="77777777" w:rsidTr="00F03F20">
        <w:trPr>
          <w:trHeight w:val="200"/>
          <w:jc w:val="center"/>
        </w:trPr>
        <w:tc>
          <w:tcPr>
            <w:tcW w:w="2940" w:type="dxa"/>
            <w:tcBorders>
              <w:right w:val="double" w:sz="4" w:space="0" w:color="000000" w:themeColor="text1"/>
            </w:tcBorders>
            <w:hideMark/>
          </w:tcPr>
          <w:p w14:paraId="7A6CA712"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tcBorders>
            <w:vAlign w:val="bottom"/>
            <w:hideMark/>
          </w:tcPr>
          <w:p w14:paraId="35524D8F" w14:textId="77777777" w:rsidR="006D7D36" w:rsidRPr="0099535E" w:rsidRDefault="006D7D36" w:rsidP="00F03F20">
            <w:pPr>
              <w:tabs>
                <w:tab w:val="decimal" w:pos="844"/>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2,794.5</w:t>
            </w:r>
          </w:p>
        </w:tc>
        <w:tc>
          <w:tcPr>
            <w:tcW w:w="1196" w:type="dxa"/>
            <w:tcBorders>
              <w:top w:val="nil"/>
              <w:bottom w:val="nil"/>
              <w:right w:val="double" w:sz="4" w:space="0" w:color="000000" w:themeColor="text1"/>
            </w:tcBorders>
            <w:vAlign w:val="bottom"/>
          </w:tcPr>
          <w:p w14:paraId="31762FB5" w14:textId="77777777" w:rsidR="006D7D36" w:rsidRPr="0099535E" w:rsidRDefault="006D7D36" w:rsidP="00F03F20">
            <w:pPr>
              <w:tabs>
                <w:tab w:val="decimal" w:pos="49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53.5</w:t>
            </w:r>
          </w:p>
        </w:tc>
        <w:tc>
          <w:tcPr>
            <w:tcW w:w="1458" w:type="dxa"/>
            <w:tcBorders>
              <w:left w:val="double" w:sz="4" w:space="0" w:color="000000" w:themeColor="text1"/>
            </w:tcBorders>
          </w:tcPr>
          <w:p w14:paraId="1E10F48B"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5,216.8</w:t>
            </w:r>
          </w:p>
        </w:tc>
        <w:tc>
          <w:tcPr>
            <w:tcW w:w="1418" w:type="dxa"/>
          </w:tcPr>
          <w:p w14:paraId="0B823E68"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45.0</w:t>
            </w:r>
          </w:p>
        </w:tc>
      </w:tr>
      <w:tr w:rsidR="006D7D36" w14:paraId="75BFCAE9" w14:textId="77777777" w:rsidTr="00F03F20">
        <w:trPr>
          <w:trHeight w:val="200"/>
          <w:jc w:val="center"/>
        </w:trPr>
        <w:tc>
          <w:tcPr>
            <w:tcW w:w="2940" w:type="dxa"/>
            <w:tcBorders>
              <w:right w:val="double" w:sz="4" w:space="0" w:color="000000" w:themeColor="text1"/>
            </w:tcBorders>
            <w:hideMark/>
          </w:tcPr>
          <w:p w14:paraId="1CF0A97C"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tcBorders>
            <w:vAlign w:val="bottom"/>
            <w:hideMark/>
          </w:tcPr>
          <w:p w14:paraId="57A2B158"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43,451.5</w:t>
            </w:r>
          </w:p>
        </w:tc>
        <w:tc>
          <w:tcPr>
            <w:tcW w:w="1196" w:type="dxa"/>
            <w:tcBorders>
              <w:top w:val="nil"/>
              <w:bottom w:val="nil"/>
              <w:right w:val="double" w:sz="4" w:space="0" w:color="000000" w:themeColor="text1"/>
            </w:tcBorders>
            <w:vAlign w:val="bottom"/>
          </w:tcPr>
          <w:p w14:paraId="177A58C2"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26.5</w:t>
            </w:r>
          </w:p>
        </w:tc>
        <w:tc>
          <w:tcPr>
            <w:tcW w:w="1458" w:type="dxa"/>
            <w:tcBorders>
              <w:left w:val="double" w:sz="4" w:space="0" w:color="000000" w:themeColor="text1"/>
            </w:tcBorders>
          </w:tcPr>
          <w:p w14:paraId="4BABD182" w14:textId="77777777" w:rsidR="006D7D36"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74,928.3</w:t>
            </w:r>
          </w:p>
        </w:tc>
        <w:tc>
          <w:tcPr>
            <w:tcW w:w="1418" w:type="dxa"/>
          </w:tcPr>
          <w:p w14:paraId="19914990" w14:textId="77777777" w:rsidR="006D7D36"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14.8</w:t>
            </w:r>
          </w:p>
        </w:tc>
      </w:tr>
      <w:tr w:rsidR="006D7D36" w:rsidRPr="0099535E" w14:paraId="60811B59" w14:textId="77777777" w:rsidTr="00F03F20">
        <w:trPr>
          <w:trHeight w:val="198"/>
          <w:jc w:val="center"/>
        </w:trPr>
        <w:tc>
          <w:tcPr>
            <w:tcW w:w="2940" w:type="dxa"/>
            <w:tcBorders>
              <w:right w:val="double" w:sz="4" w:space="0" w:color="000000" w:themeColor="text1"/>
            </w:tcBorders>
            <w:hideMark/>
          </w:tcPr>
          <w:p w14:paraId="59D85649" w14:textId="77777777" w:rsidR="006D7D36" w:rsidRDefault="006D7D36" w:rsidP="00F03F20">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0000" w:themeColor="text1"/>
              <w:bottom w:val="nil"/>
            </w:tcBorders>
            <w:vAlign w:val="bottom"/>
            <w:hideMark/>
          </w:tcPr>
          <w:p w14:paraId="5B732248"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1,900.3</w:t>
            </w:r>
          </w:p>
        </w:tc>
        <w:tc>
          <w:tcPr>
            <w:tcW w:w="1196" w:type="dxa"/>
            <w:tcBorders>
              <w:top w:val="nil"/>
              <w:bottom w:val="nil"/>
              <w:right w:val="double" w:sz="4" w:space="0" w:color="000000" w:themeColor="text1"/>
            </w:tcBorders>
            <w:vAlign w:val="bottom"/>
          </w:tcPr>
          <w:p w14:paraId="6AF71658"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 xml:space="preserve">  5.3</w:t>
            </w:r>
          </w:p>
        </w:tc>
        <w:tc>
          <w:tcPr>
            <w:tcW w:w="1458" w:type="dxa"/>
            <w:tcBorders>
              <w:left w:val="double" w:sz="4" w:space="0" w:color="000000" w:themeColor="text1"/>
            </w:tcBorders>
          </w:tcPr>
          <w:p w14:paraId="24212748"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3,680.8</w:t>
            </w:r>
          </w:p>
        </w:tc>
        <w:tc>
          <w:tcPr>
            <w:tcW w:w="1418" w:type="dxa"/>
          </w:tcPr>
          <w:p w14:paraId="26ECABA2"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9.8</w:t>
            </w:r>
          </w:p>
        </w:tc>
      </w:tr>
      <w:tr w:rsidR="006D7D36" w:rsidRPr="0099535E" w14:paraId="10D7059F" w14:textId="77777777" w:rsidTr="00F03F20">
        <w:trPr>
          <w:trHeight w:val="200"/>
          <w:jc w:val="center"/>
        </w:trPr>
        <w:tc>
          <w:tcPr>
            <w:tcW w:w="2940" w:type="dxa"/>
            <w:tcBorders>
              <w:right w:val="double" w:sz="4" w:space="0" w:color="000000" w:themeColor="text1"/>
            </w:tcBorders>
            <w:hideMark/>
          </w:tcPr>
          <w:p w14:paraId="540319B2" w14:textId="77777777" w:rsidR="006D7D36" w:rsidRDefault="006D7D36" w:rsidP="00F03F2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0000" w:themeColor="text1"/>
              <w:bottom w:val="nil"/>
            </w:tcBorders>
            <w:vAlign w:val="bottom"/>
            <w:hideMark/>
          </w:tcPr>
          <w:p w14:paraId="15FD9EE1"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908.6</w:t>
            </w:r>
          </w:p>
        </w:tc>
        <w:tc>
          <w:tcPr>
            <w:tcW w:w="1196" w:type="dxa"/>
            <w:tcBorders>
              <w:top w:val="nil"/>
              <w:bottom w:val="nil"/>
              <w:right w:val="double" w:sz="4" w:space="0" w:color="000000" w:themeColor="text1"/>
            </w:tcBorders>
            <w:vAlign w:val="bottom"/>
          </w:tcPr>
          <w:p w14:paraId="3DC4CFB7"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24.6</w:t>
            </w:r>
          </w:p>
        </w:tc>
        <w:tc>
          <w:tcPr>
            <w:tcW w:w="1458" w:type="dxa"/>
            <w:tcBorders>
              <w:left w:val="double" w:sz="4" w:space="0" w:color="000000" w:themeColor="text1"/>
            </w:tcBorders>
          </w:tcPr>
          <w:p w14:paraId="42617F3D"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1,506.4</w:t>
            </w:r>
          </w:p>
        </w:tc>
        <w:tc>
          <w:tcPr>
            <w:tcW w:w="1418" w:type="dxa"/>
          </w:tcPr>
          <w:p w14:paraId="315B263F"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5.9</w:t>
            </w:r>
          </w:p>
        </w:tc>
      </w:tr>
      <w:tr w:rsidR="006D7D36" w:rsidRPr="0099535E" w14:paraId="0BE22B07" w14:textId="77777777" w:rsidTr="00F03F20">
        <w:trPr>
          <w:trHeight w:val="200"/>
          <w:jc w:val="center"/>
        </w:trPr>
        <w:tc>
          <w:tcPr>
            <w:tcW w:w="2940" w:type="dxa"/>
            <w:tcBorders>
              <w:right w:val="double" w:sz="4" w:space="0" w:color="000000" w:themeColor="text1"/>
            </w:tcBorders>
            <w:hideMark/>
          </w:tcPr>
          <w:p w14:paraId="23FF6A39" w14:textId="77777777" w:rsidR="006D7D36" w:rsidRDefault="006D7D36" w:rsidP="00F03F20">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0000" w:themeColor="text1"/>
              <w:bottom w:val="nil"/>
            </w:tcBorders>
            <w:vAlign w:val="bottom"/>
            <w:hideMark/>
          </w:tcPr>
          <w:p w14:paraId="189ACECC"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40,642.5</w:t>
            </w:r>
          </w:p>
        </w:tc>
        <w:tc>
          <w:tcPr>
            <w:tcW w:w="1196" w:type="dxa"/>
            <w:tcBorders>
              <w:top w:val="nil"/>
              <w:bottom w:val="nil"/>
              <w:right w:val="double" w:sz="4" w:space="0" w:color="000000" w:themeColor="text1"/>
            </w:tcBorders>
            <w:vAlign w:val="bottom"/>
          </w:tcPr>
          <w:p w14:paraId="05FC2388"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27.7</w:t>
            </w:r>
          </w:p>
        </w:tc>
        <w:tc>
          <w:tcPr>
            <w:tcW w:w="1458" w:type="dxa"/>
            <w:tcBorders>
              <w:left w:val="double" w:sz="4" w:space="0" w:color="000000" w:themeColor="text1"/>
            </w:tcBorders>
          </w:tcPr>
          <w:p w14:paraId="34EBCD75"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69,741.1</w:t>
            </w:r>
          </w:p>
        </w:tc>
        <w:tc>
          <w:tcPr>
            <w:tcW w:w="1418" w:type="dxa"/>
          </w:tcPr>
          <w:p w14:paraId="5535CC0E"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15.3</w:t>
            </w:r>
          </w:p>
        </w:tc>
      </w:tr>
      <w:tr w:rsidR="006D7D36" w:rsidRPr="00265ED4" w14:paraId="6993470D" w14:textId="77777777" w:rsidTr="00F03F20">
        <w:trPr>
          <w:trHeight w:val="200"/>
          <w:jc w:val="center"/>
        </w:trPr>
        <w:tc>
          <w:tcPr>
            <w:tcW w:w="2940" w:type="dxa"/>
            <w:tcBorders>
              <w:right w:val="double" w:sz="4" w:space="0" w:color="000000" w:themeColor="text1"/>
            </w:tcBorders>
            <w:hideMark/>
          </w:tcPr>
          <w:p w14:paraId="7E995B45" w14:textId="77777777" w:rsidR="006D7D36" w:rsidRDefault="006D7D36" w:rsidP="00F03F2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0000" w:themeColor="text1"/>
              <w:bottom w:val="nil"/>
            </w:tcBorders>
            <w:vAlign w:val="bottom"/>
            <w:hideMark/>
          </w:tcPr>
          <w:p w14:paraId="5C4F5AF4"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14,251.9</w:t>
            </w:r>
          </w:p>
        </w:tc>
        <w:tc>
          <w:tcPr>
            <w:tcW w:w="1196" w:type="dxa"/>
            <w:tcBorders>
              <w:top w:val="nil"/>
              <w:bottom w:val="nil"/>
              <w:right w:val="double" w:sz="4" w:space="0" w:color="000000" w:themeColor="text1"/>
            </w:tcBorders>
            <w:vAlign w:val="bottom"/>
          </w:tcPr>
          <w:p w14:paraId="6B612A44"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31.8</w:t>
            </w:r>
          </w:p>
        </w:tc>
        <w:tc>
          <w:tcPr>
            <w:tcW w:w="1458" w:type="dxa"/>
            <w:tcBorders>
              <w:left w:val="double" w:sz="4" w:space="0" w:color="000000" w:themeColor="text1"/>
            </w:tcBorders>
          </w:tcPr>
          <w:p w14:paraId="099F5490"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22,502.2</w:t>
            </w:r>
          </w:p>
        </w:tc>
        <w:tc>
          <w:tcPr>
            <w:tcW w:w="1418" w:type="dxa"/>
          </w:tcPr>
          <w:p w14:paraId="407BD47B"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6.2</w:t>
            </w:r>
          </w:p>
        </w:tc>
      </w:tr>
      <w:tr w:rsidR="006D7D36" w:rsidRPr="00265ED4" w14:paraId="1A15960F" w14:textId="77777777" w:rsidTr="00F03F20">
        <w:trPr>
          <w:trHeight w:val="200"/>
          <w:jc w:val="center"/>
        </w:trPr>
        <w:tc>
          <w:tcPr>
            <w:tcW w:w="2940" w:type="dxa"/>
            <w:tcBorders>
              <w:right w:val="double" w:sz="4" w:space="0" w:color="000000" w:themeColor="text1"/>
            </w:tcBorders>
            <w:hideMark/>
          </w:tcPr>
          <w:p w14:paraId="5219ABCB" w14:textId="77777777" w:rsidR="006D7D36" w:rsidRDefault="006D7D36" w:rsidP="00F03F20">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0000" w:themeColor="text1"/>
              <w:bottom w:val="nil"/>
            </w:tcBorders>
            <w:vAlign w:val="bottom"/>
            <w:hideMark/>
          </w:tcPr>
          <w:p w14:paraId="3DE05E11"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26,390.6</w:t>
            </w:r>
          </w:p>
        </w:tc>
        <w:tc>
          <w:tcPr>
            <w:tcW w:w="1196" w:type="dxa"/>
            <w:tcBorders>
              <w:top w:val="nil"/>
              <w:bottom w:val="nil"/>
              <w:right w:val="double" w:sz="4" w:space="0" w:color="000000" w:themeColor="text1"/>
            </w:tcBorders>
            <w:vAlign w:val="bottom"/>
          </w:tcPr>
          <w:p w14:paraId="63858B6A" w14:textId="77777777" w:rsidR="006D7D36" w:rsidRPr="00265ED4" w:rsidRDefault="006D7D36" w:rsidP="00F03F20">
            <w:pPr>
              <w:tabs>
                <w:tab w:val="decimal" w:pos="493"/>
              </w:tabs>
              <w:spacing w:line="276" w:lineRule="auto"/>
              <w:rPr>
                <w:rFonts w:ascii="Arial" w:hAnsi="Arial" w:cs="Arial"/>
                <w:bCs/>
                <w:sz w:val="18"/>
                <w:szCs w:val="18"/>
              </w:rPr>
            </w:pPr>
            <w:r w:rsidRPr="00265ED4">
              <w:rPr>
                <w:rFonts w:ascii="Arial" w:hAnsi="Arial" w:cs="Arial"/>
                <w:bCs/>
                <w:sz w:val="18"/>
                <w:szCs w:val="18"/>
              </w:rPr>
              <w:t xml:space="preserve"> </w:t>
            </w: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25.6</w:t>
            </w:r>
          </w:p>
        </w:tc>
        <w:tc>
          <w:tcPr>
            <w:tcW w:w="1458" w:type="dxa"/>
            <w:tcBorders>
              <w:left w:val="double" w:sz="4" w:space="0" w:color="000000" w:themeColor="text1"/>
            </w:tcBorders>
          </w:tcPr>
          <w:p w14:paraId="1542482A"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47,238.9</w:t>
            </w:r>
          </w:p>
        </w:tc>
        <w:tc>
          <w:tcPr>
            <w:tcW w:w="1418" w:type="dxa"/>
          </w:tcPr>
          <w:p w14:paraId="2AD720E4"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20.3</w:t>
            </w:r>
          </w:p>
        </w:tc>
      </w:tr>
      <w:tr w:rsidR="006D7D36" w:rsidRPr="00265ED4" w14:paraId="4C0CF896" w14:textId="77777777" w:rsidTr="00F03F20">
        <w:trPr>
          <w:trHeight w:val="200"/>
          <w:jc w:val="center"/>
        </w:trPr>
        <w:tc>
          <w:tcPr>
            <w:tcW w:w="2940" w:type="dxa"/>
            <w:tcBorders>
              <w:right w:val="double" w:sz="4" w:space="0" w:color="000000" w:themeColor="text1"/>
            </w:tcBorders>
            <w:hideMark/>
          </w:tcPr>
          <w:p w14:paraId="492A7F03" w14:textId="77777777" w:rsidR="006D7D36" w:rsidRDefault="006D7D36" w:rsidP="00F03F20">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0000" w:themeColor="text1"/>
              <w:bottom w:val="nil"/>
            </w:tcBorders>
            <w:vAlign w:val="bottom"/>
            <w:hideMark/>
          </w:tcPr>
          <w:p w14:paraId="7E576D74" w14:textId="77777777" w:rsidR="006D7D36" w:rsidRPr="00265ED4" w:rsidRDefault="006D7D36" w:rsidP="00F03F20">
            <w:pPr>
              <w:tabs>
                <w:tab w:val="decimal" w:pos="844"/>
              </w:tabs>
              <w:spacing w:before="20" w:line="276" w:lineRule="auto"/>
              <w:rPr>
                <w:rFonts w:ascii="Arial" w:hAnsi="Arial" w:cs="Arial"/>
                <w:b/>
                <w:bCs/>
                <w:sz w:val="18"/>
                <w:szCs w:val="18"/>
                <w:u w:val="single"/>
              </w:rPr>
            </w:pPr>
            <w:r>
              <w:rPr>
                <w:rFonts w:ascii="Arial" w:hAnsi="Arial" w:cs="Arial"/>
                <w:b/>
                <w:bCs/>
                <w:sz w:val="18"/>
                <w:szCs w:val="18"/>
                <w:u w:val="single"/>
              </w:rPr>
              <w:t>44,953.1</w:t>
            </w:r>
          </w:p>
        </w:tc>
        <w:tc>
          <w:tcPr>
            <w:tcW w:w="1196" w:type="dxa"/>
            <w:tcBorders>
              <w:top w:val="nil"/>
              <w:bottom w:val="nil"/>
              <w:right w:val="double" w:sz="4" w:space="0" w:color="000000" w:themeColor="text1"/>
            </w:tcBorders>
            <w:vAlign w:val="bottom"/>
          </w:tcPr>
          <w:p w14:paraId="7B0EF366" w14:textId="77777777" w:rsidR="006D7D36" w:rsidRPr="00155B09" w:rsidRDefault="006D7D36" w:rsidP="00F03F20">
            <w:pPr>
              <w:tabs>
                <w:tab w:val="decimal" w:pos="493"/>
              </w:tabs>
              <w:spacing w:before="20" w:line="276" w:lineRule="auto"/>
              <w:rPr>
                <w:rFonts w:ascii="Arial" w:hAnsi="Arial" w:cs="Arial"/>
                <w:b/>
                <w:bCs/>
                <w:sz w:val="18"/>
                <w:szCs w:val="18"/>
                <w:u w:val="single"/>
              </w:rPr>
            </w:pPr>
            <w:r w:rsidRPr="00155B09">
              <w:rPr>
                <w:rFonts w:ascii="Arial" w:hAnsi="Arial" w:cs="Arial"/>
                <w:b/>
                <w:bCs/>
                <w:sz w:val="18"/>
                <w:szCs w:val="18"/>
                <w:u w:val="single"/>
              </w:rPr>
              <w:t>34.2</w:t>
            </w:r>
          </w:p>
        </w:tc>
        <w:tc>
          <w:tcPr>
            <w:tcW w:w="1458" w:type="dxa"/>
            <w:tcBorders>
              <w:left w:val="double" w:sz="4" w:space="0" w:color="000000" w:themeColor="text1"/>
            </w:tcBorders>
          </w:tcPr>
          <w:p w14:paraId="079C7E6E" w14:textId="77777777" w:rsidR="006D7D36" w:rsidRPr="00265ED4" w:rsidRDefault="006D7D36" w:rsidP="00F03F20">
            <w:pPr>
              <w:tabs>
                <w:tab w:val="decimal" w:pos="868"/>
              </w:tabs>
              <w:spacing w:before="20" w:line="276" w:lineRule="auto"/>
              <w:rPr>
                <w:rFonts w:ascii="Arial" w:hAnsi="Arial" w:cs="Arial"/>
                <w:b/>
                <w:bCs/>
                <w:sz w:val="18"/>
                <w:szCs w:val="18"/>
                <w:u w:val="single"/>
              </w:rPr>
            </w:pPr>
            <w:r>
              <w:rPr>
                <w:rFonts w:ascii="Arial" w:hAnsi="Arial" w:cs="Arial"/>
                <w:b/>
                <w:bCs/>
                <w:sz w:val="18"/>
                <w:szCs w:val="18"/>
                <w:u w:val="single"/>
              </w:rPr>
              <w:t>85,138.4</w:t>
            </w:r>
          </w:p>
        </w:tc>
        <w:tc>
          <w:tcPr>
            <w:tcW w:w="1418" w:type="dxa"/>
          </w:tcPr>
          <w:p w14:paraId="19AAE481" w14:textId="77777777" w:rsidR="006D7D36" w:rsidRPr="00155B09" w:rsidRDefault="006D7D36" w:rsidP="00F03F20">
            <w:pPr>
              <w:tabs>
                <w:tab w:val="decimal" w:pos="673"/>
              </w:tabs>
              <w:spacing w:before="20" w:line="276" w:lineRule="auto"/>
              <w:rPr>
                <w:rFonts w:ascii="Arial" w:hAnsi="Arial" w:cs="Arial"/>
                <w:b/>
                <w:bCs/>
                <w:sz w:val="18"/>
                <w:szCs w:val="18"/>
                <w:u w:val="single"/>
              </w:rPr>
            </w:pPr>
            <w:r w:rsidRPr="00155B09">
              <w:rPr>
                <w:rFonts w:ascii="Arial" w:hAnsi="Arial" w:cs="Arial"/>
                <w:b/>
                <w:bCs/>
                <w:sz w:val="18"/>
                <w:szCs w:val="18"/>
                <w:u w:val="single"/>
              </w:rPr>
              <w:t>26.3</w:t>
            </w:r>
          </w:p>
        </w:tc>
      </w:tr>
      <w:tr w:rsidR="006D7D36" w:rsidRPr="00265ED4" w14:paraId="1ADD36F9" w14:textId="77777777" w:rsidTr="00F03F20">
        <w:trPr>
          <w:trHeight w:val="200"/>
          <w:jc w:val="center"/>
        </w:trPr>
        <w:tc>
          <w:tcPr>
            <w:tcW w:w="2940" w:type="dxa"/>
            <w:tcBorders>
              <w:right w:val="double" w:sz="4" w:space="0" w:color="000000" w:themeColor="text1"/>
            </w:tcBorders>
            <w:hideMark/>
          </w:tcPr>
          <w:p w14:paraId="28A97686"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tcBorders>
            <w:vAlign w:val="bottom"/>
            <w:hideMark/>
          </w:tcPr>
          <w:p w14:paraId="0834B8F7"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4,324.0</w:t>
            </w:r>
          </w:p>
        </w:tc>
        <w:tc>
          <w:tcPr>
            <w:tcW w:w="1196" w:type="dxa"/>
            <w:tcBorders>
              <w:top w:val="nil"/>
              <w:bottom w:val="nil"/>
              <w:right w:val="double" w:sz="4" w:space="0" w:color="000000" w:themeColor="text1"/>
            </w:tcBorders>
            <w:vAlign w:val="bottom"/>
          </w:tcPr>
          <w:p w14:paraId="69A89DBD"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47.6</w:t>
            </w:r>
          </w:p>
        </w:tc>
        <w:tc>
          <w:tcPr>
            <w:tcW w:w="1458" w:type="dxa"/>
            <w:tcBorders>
              <w:left w:val="double" w:sz="4" w:space="0" w:color="000000" w:themeColor="text1"/>
            </w:tcBorders>
          </w:tcPr>
          <w:p w14:paraId="04B85CD7"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8,925.4</w:t>
            </w:r>
          </w:p>
        </w:tc>
        <w:tc>
          <w:tcPr>
            <w:tcW w:w="1418" w:type="dxa"/>
          </w:tcPr>
          <w:p w14:paraId="2FCE5D47"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51.3</w:t>
            </w:r>
          </w:p>
        </w:tc>
      </w:tr>
      <w:tr w:rsidR="006D7D36" w:rsidRPr="00265ED4" w14:paraId="630BADC9" w14:textId="77777777" w:rsidTr="00F03F20">
        <w:trPr>
          <w:trHeight w:val="200"/>
          <w:jc w:val="center"/>
        </w:trPr>
        <w:tc>
          <w:tcPr>
            <w:tcW w:w="2940" w:type="dxa"/>
            <w:tcBorders>
              <w:right w:val="double" w:sz="4" w:space="0" w:color="000000" w:themeColor="text1"/>
            </w:tcBorders>
            <w:hideMark/>
          </w:tcPr>
          <w:p w14:paraId="3392C18E"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tcBorders>
            <w:vAlign w:val="bottom"/>
            <w:hideMark/>
          </w:tcPr>
          <w:p w14:paraId="201828EC"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40,629.1</w:t>
            </w:r>
          </w:p>
        </w:tc>
        <w:tc>
          <w:tcPr>
            <w:tcW w:w="1196" w:type="dxa"/>
            <w:tcBorders>
              <w:top w:val="nil"/>
              <w:bottom w:val="nil"/>
              <w:right w:val="double" w:sz="4" w:space="0" w:color="000000" w:themeColor="text1"/>
            </w:tcBorders>
            <w:vAlign w:val="bottom"/>
          </w:tcPr>
          <w:p w14:paraId="59E6B262"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 xml:space="preserve">   </w:t>
            </w:r>
            <w:r w:rsidRPr="00265ED4">
              <w:rPr>
                <w:rFonts w:ascii="Arial" w:hAnsi="Arial" w:cs="Arial"/>
                <w:bCs/>
                <w:sz w:val="18"/>
                <w:szCs w:val="18"/>
              </w:rPr>
              <w:t xml:space="preserve"> </w:t>
            </w:r>
            <w:r>
              <w:rPr>
                <w:rFonts w:ascii="Arial" w:hAnsi="Arial" w:cs="Arial"/>
                <w:bCs/>
                <w:sz w:val="18"/>
                <w:szCs w:val="18"/>
              </w:rPr>
              <w:t>33.0</w:t>
            </w:r>
          </w:p>
        </w:tc>
        <w:tc>
          <w:tcPr>
            <w:tcW w:w="1458" w:type="dxa"/>
            <w:tcBorders>
              <w:left w:val="double" w:sz="4" w:space="0" w:color="000000" w:themeColor="text1"/>
            </w:tcBorders>
          </w:tcPr>
          <w:p w14:paraId="025652D7"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76,213.0</w:t>
            </w:r>
          </w:p>
        </w:tc>
        <w:tc>
          <w:tcPr>
            <w:tcW w:w="1418" w:type="dxa"/>
          </w:tcPr>
          <w:p w14:paraId="44B4B189"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23.9</w:t>
            </w:r>
          </w:p>
        </w:tc>
      </w:tr>
      <w:tr w:rsidR="006D7D36" w:rsidRPr="00265ED4" w14:paraId="659FD00E" w14:textId="77777777" w:rsidTr="00F03F20">
        <w:trPr>
          <w:trHeight w:val="200"/>
          <w:jc w:val="center"/>
        </w:trPr>
        <w:tc>
          <w:tcPr>
            <w:tcW w:w="2940" w:type="dxa"/>
            <w:tcBorders>
              <w:right w:val="double" w:sz="4" w:space="0" w:color="000000" w:themeColor="text1"/>
            </w:tcBorders>
            <w:hideMark/>
          </w:tcPr>
          <w:p w14:paraId="5216E0C5"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0000" w:themeColor="text1"/>
              <w:bottom w:val="nil"/>
            </w:tcBorders>
            <w:vAlign w:val="bottom"/>
            <w:hideMark/>
          </w:tcPr>
          <w:p w14:paraId="52B9BCDB"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5,404.0</w:t>
            </w:r>
          </w:p>
        </w:tc>
        <w:tc>
          <w:tcPr>
            <w:tcW w:w="1196" w:type="dxa"/>
            <w:tcBorders>
              <w:top w:val="nil"/>
              <w:bottom w:val="nil"/>
              <w:right w:val="double" w:sz="4" w:space="0" w:color="000000" w:themeColor="text1"/>
            </w:tcBorders>
            <w:vAlign w:val="bottom"/>
          </w:tcPr>
          <w:p w14:paraId="3A8F0EDA"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39.5</w:t>
            </w:r>
          </w:p>
        </w:tc>
        <w:tc>
          <w:tcPr>
            <w:tcW w:w="1458" w:type="dxa"/>
            <w:tcBorders>
              <w:left w:val="double" w:sz="4" w:space="0" w:color="000000" w:themeColor="text1"/>
            </w:tcBorders>
          </w:tcPr>
          <w:p w14:paraId="1D398D40"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10,800.4</w:t>
            </w:r>
          </w:p>
        </w:tc>
        <w:tc>
          <w:tcPr>
            <w:tcW w:w="1418" w:type="dxa"/>
          </w:tcPr>
          <w:p w14:paraId="43EC91BD"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35.7</w:t>
            </w:r>
          </w:p>
        </w:tc>
      </w:tr>
      <w:tr w:rsidR="006D7D36" w:rsidRPr="00265ED4" w14:paraId="6470B248" w14:textId="77777777" w:rsidTr="00F03F20">
        <w:trPr>
          <w:trHeight w:val="200"/>
          <w:jc w:val="center"/>
        </w:trPr>
        <w:tc>
          <w:tcPr>
            <w:tcW w:w="2940" w:type="dxa"/>
            <w:tcBorders>
              <w:right w:val="double" w:sz="4" w:space="0" w:color="000000" w:themeColor="text1"/>
            </w:tcBorders>
            <w:hideMark/>
          </w:tcPr>
          <w:p w14:paraId="3EFDA578" w14:textId="77777777" w:rsidR="006D7D36" w:rsidRDefault="006D7D36" w:rsidP="00F03F2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tcBorders>
            <w:vAlign w:val="bottom"/>
            <w:hideMark/>
          </w:tcPr>
          <w:p w14:paraId="23C1B427"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1,329.9</w:t>
            </w:r>
          </w:p>
        </w:tc>
        <w:tc>
          <w:tcPr>
            <w:tcW w:w="1196" w:type="dxa"/>
            <w:tcBorders>
              <w:top w:val="nil"/>
              <w:bottom w:val="nil"/>
              <w:right w:val="double" w:sz="4" w:space="0" w:color="000000" w:themeColor="text1"/>
            </w:tcBorders>
            <w:vAlign w:val="bottom"/>
          </w:tcPr>
          <w:p w14:paraId="5929018D"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65.5</w:t>
            </w:r>
          </w:p>
        </w:tc>
        <w:tc>
          <w:tcPr>
            <w:tcW w:w="1458" w:type="dxa"/>
            <w:tcBorders>
              <w:left w:val="double" w:sz="4" w:space="0" w:color="000000" w:themeColor="text1"/>
            </w:tcBorders>
          </w:tcPr>
          <w:p w14:paraId="152D5FB5"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2,877.2</w:t>
            </w:r>
          </w:p>
        </w:tc>
        <w:tc>
          <w:tcPr>
            <w:tcW w:w="1418" w:type="dxa"/>
          </w:tcPr>
          <w:p w14:paraId="08BD624C"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68.4</w:t>
            </w:r>
          </w:p>
        </w:tc>
      </w:tr>
      <w:tr w:rsidR="006D7D36" w:rsidRPr="00265ED4" w14:paraId="447035DE" w14:textId="77777777" w:rsidTr="00F03F20">
        <w:trPr>
          <w:trHeight w:val="200"/>
          <w:jc w:val="center"/>
        </w:trPr>
        <w:tc>
          <w:tcPr>
            <w:tcW w:w="2940" w:type="dxa"/>
            <w:tcBorders>
              <w:right w:val="double" w:sz="4" w:space="0" w:color="000000" w:themeColor="text1"/>
            </w:tcBorders>
            <w:hideMark/>
          </w:tcPr>
          <w:p w14:paraId="52746898" w14:textId="77777777" w:rsidR="006D7D36" w:rsidRDefault="006D7D36" w:rsidP="00F03F2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tcBorders>
            <w:vAlign w:val="bottom"/>
            <w:hideMark/>
          </w:tcPr>
          <w:p w14:paraId="56DD7366"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4,074.1</w:t>
            </w:r>
          </w:p>
        </w:tc>
        <w:tc>
          <w:tcPr>
            <w:tcW w:w="1196" w:type="dxa"/>
            <w:tcBorders>
              <w:top w:val="nil"/>
              <w:bottom w:val="nil"/>
              <w:right w:val="double" w:sz="4" w:space="0" w:color="000000" w:themeColor="text1"/>
            </w:tcBorders>
            <w:vAlign w:val="bottom"/>
          </w:tcPr>
          <w:p w14:paraId="08A0E447"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 xml:space="preserve">    32.7</w:t>
            </w:r>
          </w:p>
        </w:tc>
        <w:tc>
          <w:tcPr>
            <w:tcW w:w="1458" w:type="dxa"/>
            <w:tcBorders>
              <w:left w:val="double" w:sz="4" w:space="0" w:color="000000" w:themeColor="text1"/>
            </w:tcBorders>
          </w:tcPr>
          <w:p w14:paraId="1F623191"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7,923.2</w:t>
            </w:r>
          </w:p>
        </w:tc>
        <w:tc>
          <w:tcPr>
            <w:tcW w:w="1418" w:type="dxa"/>
          </w:tcPr>
          <w:p w14:paraId="15143CE1"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26.8</w:t>
            </w:r>
          </w:p>
        </w:tc>
      </w:tr>
      <w:tr w:rsidR="006D7D36" w:rsidRPr="00265ED4" w14:paraId="404F6D9E" w14:textId="77777777" w:rsidTr="00F03F20">
        <w:trPr>
          <w:trHeight w:val="200"/>
          <w:jc w:val="center"/>
        </w:trPr>
        <w:tc>
          <w:tcPr>
            <w:tcW w:w="2940" w:type="dxa"/>
            <w:tcBorders>
              <w:right w:val="double" w:sz="4" w:space="0" w:color="000000" w:themeColor="text1"/>
            </w:tcBorders>
            <w:hideMark/>
          </w:tcPr>
          <w:p w14:paraId="1FCF4CFC"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0000" w:themeColor="text1"/>
              <w:bottom w:val="nil"/>
            </w:tcBorders>
            <w:vAlign w:val="bottom"/>
            <w:hideMark/>
          </w:tcPr>
          <w:p w14:paraId="6EC91006" w14:textId="77777777" w:rsidR="006D7D36" w:rsidRPr="00265ED4"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36,298.0</w:t>
            </w:r>
          </w:p>
        </w:tc>
        <w:tc>
          <w:tcPr>
            <w:tcW w:w="1196" w:type="dxa"/>
            <w:tcBorders>
              <w:top w:val="nil"/>
              <w:bottom w:val="nil"/>
              <w:right w:val="double" w:sz="4" w:space="0" w:color="000000" w:themeColor="text1"/>
            </w:tcBorders>
            <w:vAlign w:val="bottom"/>
          </w:tcPr>
          <w:p w14:paraId="3278A407" w14:textId="77777777" w:rsidR="006D7D36" w:rsidRPr="00265ED4"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35.8</w:t>
            </w:r>
          </w:p>
        </w:tc>
        <w:tc>
          <w:tcPr>
            <w:tcW w:w="1458" w:type="dxa"/>
            <w:tcBorders>
              <w:left w:val="double" w:sz="4" w:space="0" w:color="000000" w:themeColor="text1"/>
            </w:tcBorders>
          </w:tcPr>
          <w:p w14:paraId="59395F1B" w14:textId="77777777" w:rsidR="006D7D36" w:rsidRPr="00265ED4"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67,650.5</w:t>
            </w:r>
          </w:p>
        </w:tc>
        <w:tc>
          <w:tcPr>
            <w:tcW w:w="1418" w:type="dxa"/>
          </w:tcPr>
          <w:p w14:paraId="0902825A" w14:textId="77777777" w:rsidR="006D7D36" w:rsidRPr="00265ED4"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26.2</w:t>
            </w:r>
          </w:p>
        </w:tc>
      </w:tr>
      <w:tr w:rsidR="006D7D36" w:rsidRPr="0099535E" w14:paraId="506EADA6" w14:textId="77777777" w:rsidTr="00F03F20">
        <w:trPr>
          <w:trHeight w:val="200"/>
          <w:jc w:val="center"/>
        </w:trPr>
        <w:tc>
          <w:tcPr>
            <w:tcW w:w="2940" w:type="dxa"/>
            <w:tcBorders>
              <w:right w:val="double" w:sz="4" w:space="0" w:color="000000" w:themeColor="text1"/>
            </w:tcBorders>
            <w:hideMark/>
          </w:tcPr>
          <w:p w14:paraId="422D25B5" w14:textId="77777777" w:rsidR="006D7D36" w:rsidRDefault="006D7D36" w:rsidP="00F03F2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tcBorders>
            <w:vAlign w:val="bottom"/>
            <w:hideMark/>
          </w:tcPr>
          <w:p w14:paraId="590C6C64"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2,994.1</w:t>
            </w:r>
          </w:p>
        </w:tc>
        <w:tc>
          <w:tcPr>
            <w:tcW w:w="1196" w:type="dxa"/>
            <w:tcBorders>
              <w:top w:val="nil"/>
              <w:bottom w:val="nil"/>
              <w:right w:val="double" w:sz="4" w:space="0" w:color="000000" w:themeColor="text1"/>
            </w:tcBorders>
            <w:vAlign w:val="bottom"/>
          </w:tcPr>
          <w:p w14:paraId="4CA717C9" w14:textId="77777777" w:rsidR="006D7D36" w:rsidRPr="0099535E" w:rsidRDefault="006D7D36" w:rsidP="00F03F20">
            <w:pPr>
              <w:tabs>
                <w:tab w:val="decimal" w:pos="493"/>
              </w:tabs>
              <w:spacing w:line="276" w:lineRule="auto"/>
              <w:rPr>
                <w:rFonts w:ascii="Arial" w:hAnsi="Arial" w:cs="Arial"/>
                <w:bCs/>
                <w:sz w:val="18"/>
                <w:szCs w:val="18"/>
              </w:rPr>
            </w:pPr>
            <w:r w:rsidRPr="0099535E">
              <w:rPr>
                <w:rFonts w:ascii="Arial" w:hAnsi="Arial" w:cs="Arial"/>
                <w:bCs/>
                <w:sz w:val="18"/>
                <w:szCs w:val="18"/>
              </w:rPr>
              <w:t xml:space="preserve"> </w:t>
            </w:r>
            <w:r>
              <w:rPr>
                <w:rFonts w:ascii="Arial" w:hAnsi="Arial" w:cs="Arial"/>
                <w:bCs/>
                <w:sz w:val="18"/>
                <w:szCs w:val="18"/>
              </w:rPr>
              <w:t xml:space="preserve"> 40.8</w:t>
            </w:r>
          </w:p>
        </w:tc>
        <w:tc>
          <w:tcPr>
            <w:tcW w:w="1458" w:type="dxa"/>
            <w:tcBorders>
              <w:left w:val="double" w:sz="4" w:space="0" w:color="000000" w:themeColor="text1"/>
            </w:tcBorders>
          </w:tcPr>
          <w:p w14:paraId="41486398"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6,048.2</w:t>
            </w:r>
          </w:p>
        </w:tc>
        <w:tc>
          <w:tcPr>
            <w:tcW w:w="1418" w:type="dxa"/>
          </w:tcPr>
          <w:p w14:paraId="11219570"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44.4</w:t>
            </w:r>
          </w:p>
        </w:tc>
      </w:tr>
      <w:tr w:rsidR="006D7D36" w14:paraId="4AF9A354" w14:textId="77777777" w:rsidTr="00F03F20">
        <w:trPr>
          <w:trHeight w:val="200"/>
          <w:jc w:val="center"/>
        </w:trPr>
        <w:tc>
          <w:tcPr>
            <w:tcW w:w="2940" w:type="dxa"/>
            <w:tcBorders>
              <w:right w:val="double" w:sz="4" w:space="0" w:color="000000" w:themeColor="text1"/>
            </w:tcBorders>
            <w:hideMark/>
          </w:tcPr>
          <w:p w14:paraId="4108897A" w14:textId="77777777" w:rsidR="006D7D36" w:rsidRDefault="006D7D36" w:rsidP="00F03F20">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tcBorders>
            <w:vAlign w:val="bottom"/>
            <w:hideMark/>
          </w:tcPr>
          <w:p w14:paraId="7F8EF4CB"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33,304.0</w:t>
            </w:r>
          </w:p>
        </w:tc>
        <w:tc>
          <w:tcPr>
            <w:tcW w:w="1196" w:type="dxa"/>
            <w:tcBorders>
              <w:top w:val="nil"/>
              <w:bottom w:val="nil"/>
              <w:right w:val="double" w:sz="4" w:space="0" w:color="000000" w:themeColor="text1"/>
            </w:tcBorders>
            <w:vAlign w:val="bottom"/>
          </w:tcPr>
          <w:p w14:paraId="2A520A08"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35.4</w:t>
            </w:r>
          </w:p>
        </w:tc>
        <w:tc>
          <w:tcPr>
            <w:tcW w:w="1458" w:type="dxa"/>
            <w:tcBorders>
              <w:left w:val="double" w:sz="4" w:space="0" w:color="000000" w:themeColor="text1"/>
            </w:tcBorders>
          </w:tcPr>
          <w:p w14:paraId="2857992B" w14:textId="77777777" w:rsidR="006D7D36"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61,602.4</w:t>
            </w:r>
          </w:p>
        </w:tc>
        <w:tc>
          <w:tcPr>
            <w:tcW w:w="1418" w:type="dxa"/>
          </w:tcPr>
          <w:p w14:paraId="439BCC4E" w14:textId="77777777" w:rsidR="006D7D36"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24.7</w:t>
            </w:r>
          </w:p>
        </w:tc>
      </w:tr>
      <w:tr w:rsidR="006D7D36" w:rsidRPr="0099535E" w14:paraId="4342D8BA" w14:textId="77777777" w:rsidTr="00F03F20">
        <w:trPr>
          <w:trHeight w:val="200"/>
          <w:jc w:val="center"/>
        </w:trPr>
        <w:tc>
          <w:tcPr>
            <w:tcW w:w="2940" w:type="dxa"/>
            <w:tcBorders>
              <w:right w:val="double" w:sz="4" w:space="0" w:color="000000" w:themeColor="text1"/>
            </w:tcBorders>
            <w:hideMark/>
          </w:tcPr>
          <w:p w14:paraId="65FBA2EF" w14:textId="77777777" w:rsidR="006D7D36" w:rsidRDefault="006D7D36" w:rsidP="00F03F20">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0000" w:themeColor="text1"/>
              <w:bottom w:val="nil"/>
            </w:tcBorders>
            <w:vAlign w:val="bottom"/>
            <w:hideMark/>
          </w:tcPr>
          <w:p w14:paraId="01A6875D" w14:textId="77777777" w:rsidR="006D7D36" w:rsidRPr="0099535E" w:rsidRDefault="006D7D36" w:rsidP="00F03F20">
            <w:pPr>
              <w:tabs>
                <w:tab w:val="decimal" w:pos="844"/>
              </w:tabs>
              <w:spacing w:line="276" w:lineRule="auto"/>
              <w:rPr>
                <w:rFonts w:ascii="Arial" w:hAnsi="Arial" w:cs="Arial"/>
                <w:bCs/>
                <w:sz w:val="18"/>
                <w:szCs w:val="18"/>
              </w:rPr>
            </w:pPr>
            <w:r>
              <w:rPr>
                <w:rFonts w:ascii="Arial" w:hAnsi="Arial" w:cs="Arial"/>
                <w:bCs/>
                <w:sz w:val="18"/>
                <w:szCs w:val="18"/>
              </w:rPr>
              <w:t>3,251.0</w:t>
            </w:r>
          </w:p>
        </w:tc>
        <w:tc>
          <w:tcPr>
            <w:tcW w:w="1196" w:type="dxa"/>
            <w:tcBorders>
              <w:top w:val="nil"/>
              <w:bottom w:val="nil"/>
              <w:right w:val="double" w:sz="4" w:space="0" w:color="000000" w:themeColor="text1"/>
            </w:tcBorders>
            <w:vAlign w:val="bottom"/>
          </w:tcPr>
          <w:p w14:paraId="6CA3BAC6" w14:textId="77777777" w:rsidR="006D7D36" w:rsidRPr="0099535E" w:rsidRDefault="006D7D36" w:rsidP="00F03F20">
            <w:pPr>
              <w:tabs>
                <w:tab w:val="decimal" w:pos="493"/>
              </w:tabs>
              <w:spacing w:line="276" w:lineRule="auto"/>
              <w:rPr>
                <w:rFonts w:ascii="Arial" w:hAnsi="Arial" w:cs="Arial"/>
                <w:bCs/>
                <w:sz w:val="18"/>
                <w:szCs w:val="18"/>
              </w:rPr>
            </w:pPr>
            <w:r>
              <w:rPr>
                <w:rFonts w:ascii="Arial" w:hAnsi="Arial" w:cs="Arial"/>
                <w:bCs/>
                <w:sz w:val="18"/>
                <w:szCs w:val="18"/>
              </w:rPr>
              <w:t>12.6</w:t>
            </w:r>
          </w:p>
        </w:tc>
        <w:tc>
          <w:tcPr>
            <w:tcW w:w="1458" w:type="dxa"/>
            <w:tcBorders>
              <w:left w:val="double" w:sz="4" w:space="0" w:color="000000" w:themeColor="text1"/>
            </w:tcBorders>
          </w:tcPr>
          <w:p w14:paraId="60411C6A" w14:textId="77777777" w:rsidR="006D7D36" w:rsidRPr="0099535E" w:rsidRDefault="006D7D36" w:rsidP="00F03F20">
            <w:pPr>
              <w:tabs>
                <w:tab w:val="decimal" w:pos="868"/>
              </w:tabs>
              <w:spacing w:line="276" w:lineRule="auto"/>
              <w:rPr>
                <w:rFonts w:ascii="Arial" w:hAnsi="Arial" w:cs="Arial"/>
                <w:bCs/>
                <w:sz w:val="18"/>
                <w:szCs w:val="18"/>
              </w:rPr>
            </w:pPr>
            <w:r>
              <w:rPr>
                <w:rFonts w:ascii="Arial" w:hAnsi="Arial" w:cs="Arial"/>
                <w:bCs/>
                <w:sz w:val="18"/>
                <w:szCs w:val="18"/>
              </w:rPr>
              <w:t>6,687.5</w:t>
            </w:r>
          </w:p>
        </w:tc>
        <w:tc>
          <w:tcPr>
            <w:tcW w:w="1418" w:type="dxa"/>
          </w:tcPr>
          <w:p w14:paraId="3CEBF5D6" w14:textId="77777777" w:rsidR="006D7D36" w:rsidRPr="0099535E" w:rsidRDefault="006D7D36" w:rsidP="00F03F20">
            <w:pPr>
              <w:tabs>
                <w:tab w:val="decimal" w:pos="673"/>
              </w:tabs>
              <w:spacing w:line="276" w:lineRule="auto"/>
              <w:rPr>
                <w:rFonts w:ascii="Arial" w:hAnsi="Arial" w:cs="Arial"/>
                <w:bCs/>
                <w:sz w:val="18"/>
                <w:szCs w:val="18"/>
              </w:rPr>
            </w:pPr>
            <w:r>
              <w:rPr>
                <w:rFonts w:ascii="Arial" w:hAnsi="Arial" w:cs="Arial"/>
                <w:bCs/>
                <w:sz w:val="18"/>
                <w:szCs w:val="18"/>
              </w:rPr>
              <w:t>14.6</w:t>
            </w:r>
          </w:p>
        </w:tc>
      </w:tr>
      <w:tr w:rsidR="006D7D36" w:rsidRPr="00A8776A" w14:paraId="5A835853" w14:textId="77777777" w:rsidTr="00F03F20">
        <w:trPr>
          <w:trHeight w:val="200"/>
          <w:jc w:val="center"/>
        </w:trPr>
        <w:tc>
          <w:tcPr>
            <w:tcW w:w="2940" w:type="dxa"/>
            <w:tcBorders>
              <w:right w:val="double" w:sz="4" w:space="0" w:color="000000" w:themeColor="text1"/>
            </w:tcBorders>
            <w:hideMark/>
          </w:tcPr>
          <w:p w14:paraId="76812412" w14:textId="77777777" w:rsidR="006D7D36" w:rsidRDefault="006D7D36" w:rsidP="00F03F20">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0000" w:themeColor="text1"/>
              <w:bottom w:val="double" w:sz="4" w:space="0" w:color="000000" w:themeColor="text1"/>
            </w:tcBorders>
            <w:vAlign w:val="center"/>
            <w:hideMark/>
          </w:tcPr>
          <w:p w14:paraId="5351B1D6" w14:textId="77777777" w:rsidR="006D7D36" w:rsidRPr="0099535E" w:rsidRDefault="006D7D36" w:rsidP="00F03F20">
            <w:pPr>
              <w:tabs>
                <w:tab w:val="decimal" w:pos="844"/>
              </w:tabs>
              <w:spacing w:before="20" w:after="20" w:line="276" w:lineRule="auto"/>
              <w:rPr>
                <w:rFonts w:ascii="Arial" w:hAnsi="Arial" w:cs="Arial"/>
                <w:b/>
                <w:bCs/>
                <w:sz w:val="18"/>
                <w:szCs w:val="18"/>
                <w:u w:val="single"/>
              </w:rPr>
            </w:pPr>
            <w:r>
              <w:rPr>
                <w:rFonts w:ascii="Arial" w:hAnsi="Arial" w:cs="Arial"/>
                <w:b/>
                <w:bCs/>
                <w:sz w:val="18"/>
                <w:szCs w:val="18"/>
                <w:u w:val="single"/>
              </w:rPr>
              <w:t>1,293.0</w:t>
            </w:r>
          </w:p>
        </w:tc>
        <w:tc>
          <w:tcPr>
            <w:tcW w:w="1196" w:type="dxa"/>
            <w:tcBorders>
              <w:top w:val="nil"/>
              <w:bottom w:val="double" w:sz="4" w:space="0" w:color="000000" w:themeColor="text1"/>
              <w:right w:val="double" w:sz="4" w:space="0" w:color="000000" w:themeColor="text1"/>
            </w:tcBorders>
            <w:vAlign w:val="center"/>
          </w:tcPr>
          <w:p w14:paraId="00203CC8" w14:textId="77777777" w:rsidR="006D7D36" w:rsidRPr="00FD6092" w:rsidRDefault="006D7D36" w:rsidP="00F03F20">
            <w:pPr>
              <w:tabs>
                <w:tab w:val="decimal" w:pos="493"/>
              </w:tabs>
              <w:spacing w:before="20" w:after="20" w:line="276" w:lineRule="auto"/>
              <w:rPr>
                <w:rFonts w:ascii="Arial" w:hAnsi="Arial" w:cs="Arial"/>
                <w:bCs/>
                <w:sz w:val="18"/>
                <w:szCs w:val="18"/>
                <w:u w:val="single"/>
              </w:rPr>
            </w:pPr>
            <w:r>
              <w:rPr>
                <w:rFonts w:ascii="Arial" w:hAnsi="Arial" w:cs="Arial"/>
                <w:b/>
                <w:bCs/>
                <w:sz w:val="18"/>
                <w:szCs w:val="18"/>
              </w:rPr>
              <w:t>-</w:t>
            </w:r>
            <w:r>
              <w:rPr>
                <w:rFonts w:ascii="Arial" w:hAnsi="Arial" w:cs="Arial"/>
                <w:b/>
                <w:bCs/>
                <w:sz w:val="18"/>
                <w:szCs w:val="18"/>
                <w:u w:val="single"/>
              </w:rPr>
              <w:t>51.9</w:t>
            </w:r>
          </w:p>
        </w:tc>
        <w:tc>
          <w:tcPr>
            <w:tcW w:w="1458" w:type="dxa"/>
            <w:tcBorders>
              <w:left w:val="double" w:sz="4" w:space="0" w:color="000000" w:themeColor="text1"/>
            </w:tcBorders>
          </w:tcPr>
          <w:p w14:paraId="6FC8768E" w14:textId="77777777" w:rsidR="006D7D36" w:rsidRPr="00FD6092" w:rsidRDefault="006D7D36" w:rsidP="00F03F20">
            <w:pPr>
              <w:tabs>
                <w:tab w:val="decimal" w:pos="868"/>
              </w:tabs>
              <w:spacing w:before="20" w:after="20" w:line="276" w:lineRule="auto"/>
              <w:rPr>
                <w:rFonts w:ascii="Arial" w:hAnsi="Arial" w:cs="Arial"/>
                <w:b/>
                <w:bCs/>
                <w:sz w:val="18"/>
                <w:szCs w:val="18"/>
                <w:u w:val="single"/>
              </w:rPr>
            </w:pPr>
            <w:r>
              <w:rPr>
                <w:rFonts w:ascii="Arial" w:hAnsi="Arial" w:cs="Arial"/>
                <w:b/>
                <w:bCs/>
                <w:sz w:val="18"/>
                <w:szCs w:val="18"/>
              </w:rPr>
              <w:t>-</w:t>
            </w:r>
            <w:r>
              <w:rPr>
                <w:rFonts w:ascii="Arial" w:hAnsi="Arial" w:cs="Arial"/>
                <w:b/>
                <w:bCs/>
                <w:sz w:val="18"/>
                <w:szCs w:val="18"/>
                <w:u w:val="single"/>
              </w:rPr>
              <w:t>4,993.3</w:t>
            </w:r>
          </w:p>
        </w:tc>
        <w:tc>
          <w:tcPr>
            <w:tcW w:w="1418" w:type="dxa"/>
          </w:tcPr>
          <w:p w14:paraId="787924BD" w14:textId="77777777" w:rsidR="006D7D36" w:rsidRPr="00A8776A" w:rsidRDefault="006D7D36" w:rsidP="00F03F20">
            <w:pPr>
              <w:tabs>
                <w:tab w:val="decimal" w:pos="390"/>
                <w:tab w:val="decimal" w:pos="673"/>
              </w:tabs>
              <w:spacing w:before="20" w:after="20" w:line="276" w:lineRule="auto"/>
              <w:jc w:val="center"/>
              <w:rPr>
                <w:rFonts w:ascii="Arial" w:hAnsi="Arial" w:cs="Arial"/>
                <w:b/>
                <w:bCs/>
                <w:sz w:val="18"/>
                <w:szCs w:val="18"/>
                <w:u w:val="single"/>
              </w:rPr>
            </w:pPr>
            <w:r>
              <w:rPr>
                <w:rFonts w:ascii="Arial" w:hAnsi="Arial" w:cs="Arial"/>
                <w:b/>
                <w:bCs/>
                <w:sz w:val="18"/>
                <w:szCs w:val="18"/>
                <w:u w:val="single"/>
              </w:rPr>
              <w:t>S.S.</w:t>
            </w:r>
          </w:p>
        </w:tc>
      </w:tr>
    </w:tbl>
    <w:p w14:paraId="7BE0571E" w14:textId="77777777" w:rsidR="006D7D36" w:rsidRDefault="006D7D36" w:rsidP="006D7D36">
      <w:pPr>
        <w:pStyle w:val="p01"/>
        <w:keepNext/>
        <w:widowControl/>
        <w:spacing w:before="0"/>
        <w:jc w:val="center"/>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687B1A79" w14:textId="77777777" w:rsidR="006D7D36" w:rsidRDefault="006D7D36" w:rsidP="006D7D36">
      <w:pPr>
        <w:pStyle w:val="p0"/>
        <w:keepLines w:val="0"/>
        <w:spacing w:before="0"/>
        <w:ind w:left="1418"/>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55B38878" w14:textId="77777777" w:rsidR="006D7D36" w:rsidRDefault="006D7D36" w:rsidP="006D7D36">
      <w:pPr>
        <w:pStyle w:val="p0"/>
        <w:keepLines w:val="0"/>
        <w:spacing w:before="0"/>
        <w:ind w:left="1418"/>
        <w:jc w:val="left"/>
        <w:rPr>
          <w:rFonts w:ascii="Arial" w:hAnsi="Arial" w:cs="Arial"/>
          <w:color w:val="auto"/>
          <w:sz w:val="16"/>
          <w:szCs w:val="16"/>
        </w:rPr>
      </w:pPr>
      <w:r>
        <w:rPr>
          <w:rFonts w:ascii="Arial" w:hAnsi="Arial" w:cs="Arial"/>
          <w:color w:val="auto"/>
          <w:sz w:val="16"/>
          <w:szCs w:val="16"/>
        </w:rPr>
        <w:t>S.S. Sin significancia</w:t>
      </w:r>
    </w:p>
    <w:p w14:paraId="63874EBD" w14:textId="77777777" w:rsidR="006D7D36" w:rsidRDefault="006D7D36" w:rsidP="006D7D36">
      <w:pPr>
        <w:pStyle w:val="p0"/>
        <w:keepLines w:val="0"/>
        <w:tabs>
          <w:tab w:val="left" w:pos="1260"/>
        </w:tabs>
        <w:spacing w:before="20"/>
        <w:ind w:left="1418"/>
        <w:jc w:val="left"/>
        <w:rPr>
          <w:rFonts w:ascii="Arial" w:hAnsi="Arial"/>
          <w:color w:val="auto"/>
          <w:sz w:val="16"/>
          <w:szCs w:val="16"/>
        </w:rPr>
      </w:pPr>
    </w:p>
    <w:p w14:paraId="58E49F1F" w14:textId="77777777" w:rsidR="006D7D36" w:rsidRDefault="006D7D36" w:rsidP="006D7D36">
      <w:pPr>
        <w:pStyle w:val="p0"/>
        <w:keepLines w:val="0"/>
        <w:tabs>
          <w:tab w:val="left" w:pos="1260"/>
        </w:tabs>
        <w:spacing w:before="20"/>
        <w:ind w:left="993"/>
        <w:jc w:val="left"/>
        <w:rPr>
          <w:rFonts w:ascii="Arial" w:hAnsi="Arial"/>
          <w:color w:val="auto"/>
          <w:sz w:val="16"/>
          <w:szCs w:val="16"/>
        </w:rPr>
      </w:pPr>
    </w:p>
    <w:p w14:paraId="55B948C5" w14:textId="77777777" w:rsidR="006D7D36" w:rsidRDefault="006D7D36" w:rsidP="006D7D36">
      <w:pPr>
        <w:pStyle w:val="p0"/>
        <w:keepLines w:val="0"/>
        <w:tabs>
          <w:tab w:val="left" w:pos="1260"/>
        </w:tabs>
        <w:spacing w:before="20"/>
        <w:ind w:left="993"/>
        <w:jc w:val="left"/>
        <w:rPr>
          <w:rFonts w:ascii="Arial" w:hAnsi="Arial"/>
          <w:color w:val="auto"/>
          <w:sz w:val="16"/>
          <w:szCs w:val="16"/>
        </w:rPr>
      </w:pPr>
    </w:p>
    <w:p w14:paraId="4029859C" w14:textId="77777777" w:rsidR="006D7D36" w:rsidRDefault="006D7D36" w:rsidP="006D7D36">
      <w:pPr>
        <w:pStyle w:val="p0"/>
        <w:keepLines w:val="0"/>
        <w:tabs>
          <w:tab w:val="left" w:pos="1260"/>
        </w:tabs>
        <w:spacing w:before="20"/>
        <w:ind w:left="993"/>
        <w:jc w:val="left"/>
        <w:rPr>
          <w:rFonts w:ascii="Arial" w:hAnsi="Arial"/>
          <w:color w:val="auto"/>
          <w:sz w:val="16"/>
          <w:szCs w:val="16"/>
        </w:rPr>
      </w:pPr>
    </w:p>
    <w:p w14:paraId="13F7758F" w14:textId="77777777" w:rsidR="006D7D36" w:rsidRPr="008919DF" w:rsidRDefault="006D7D36" w:rsidP="006D7D36">
      <w:pPr>
        <w:spacing w:before="240"/>
        <w:jc w:val="center"/>
        <w:rPr>
          <w:rFonts w:ascii="Arial" w:hAnsi="Arial" w:cs="Arial"/>
          <w:sz w:val="22"/>
          <w:szCs w:val="22"/>
        </w:rPr>
      </w:pPr>
      <w:r w:rsidRPr="008919DF">
        <w:rPr>
          <w:rFonts w:ascii="Arial" w:hAnsi="Arial" w:cs="Arial"/>
          <w:sz w:val="22"/>
          <w:szCs w:val="22"/>
        </w:rPr>
        <w:t xml:space="preserve">Para consultas de medios y periodistas, contactar a: </w:t>
      </w:r>
      <w:hyperlink r:id="rId8" w:history="1">
        <w:r w:rsidRPr="008919DF">
          <w:rPr>
            <w:rStyle w:val="Hipervnculo"/>
            <w:rFonts w:ascii="Arial" w:hAnsi="Arial" w:cs="Arial"/>
            <w:sz w:val="22"/>
            <w:szCs w:val="22"/>
          </w:rPr>
          <w:t>comunicacionsocial@inegi.org.mx</w:t>
        </w:r>
      </w:hyperlink>
    </w:p>
    <w:p w14:paraId="1765B828" w14:textId="77777777" w:rsidR="006D7D36" w:rsidRPr="008919DF" w:rsidRDefault="006D7D36" w:rsidP="006D7D36">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 xml:space="preserve">o llamar al teléfono (55) 52-78-10-00, </w:t>
      </w:r>
      <w:proofErr w:type="spellStart"/>
      <w:r w:rsidRPr="008919DF">
        <w:rPr>
          <w:rFonts w:ascii="Arial" w:hAnsi="Arial" w:cs="Arial"/>
          <w:sz w:val="22"/>
          <w:szCs w:val="22"/>
        </w:rPr>
        <w:t>exts</w:t>
      </w:r>
      <w:proofErr w:type="spellEnd"/>
      <w:r w:rsidRPr="008919DF">
        <w:rPr>
          <w:rFonts w:ascii="Arial" w:hAnsi="Arial" w:cs="Arial"/>
          <w:sz w:val="22"/>
          <w:szCs w:val="22"/>
        </w:rPr>
        <w:t>. 1134, 1260 y 1241.</w:t>
      </w:r>
    </w:p>
    <w:p w14:paraId="34569BC4" w14:textId="77777777" w:rsidR="006D7D36" w:rsidRPr="008919DF" w:rsidRDefault="006D7D36" w:rsidP="006D7D36">
      <w:pPr>
        <w:pStyle w:val="NormalWeb"/>
        <w:spacing w:before="0" w:beforeAutospacing="0" w:after="0" w:afterAutospacing="0"/>
        <w:ind w:left="-426" w:right="-518"/>
        <w:contextualSpacing/>
        <w:jc w:val="center"/>
        <w:rPr>
          <w:rFonts w:ascii="Arial" w:hAnsi="Arial" w:cs="Arial"/>
          <w:sz w:val="22"/>
          <w:szCs w:val="22"/>
        </w:rPr>
      </w:pPr>
    </w:p>
    <w:p w14:paraId="79A281BF" w14:textId="77777777" w:rsidR="006D7D36" w:rsidRPr="008919DF" w:rsidRDefault="006D7D36" w:rsidP="006D7D36">
      <w:pPr>
        <w:pStyle w:val="NormalWeb"/>
        <w:spacing w:before="0" w:beforeAutospacing="0" w:after="0" w:afterAutospacing="0"/>
        <w:ind w:left="-426" w:right="-518"/>
        <w:contextualSpacing/>
        <w:jc w:val="center"/>
        <w:rPr>
          <w:rFonts w:ascii="Arial" w:hAnsi="Arial" w:cs="Arial"/>
          <w:sz w:val="22"/>
          <w:szCs w:val="22"/>
        </w:rPr>
      </w:pPr>
      <w:r w:rsidRPr="008919DF">
        <w:rPr>
          <w:rFonts w:ascii="Arial" w:hAnsi="Arial" w:cs="Arial"/>
          <w:sz w:val="22"/>
          <w:szCs w:val="22"/>
        </w:rPr>
        <w:t>Dirección de Atención a Medios / Dirección General Adjunta de Comunicación</w:t>
      </w:r>
    </w:p>
    <w:p w14:paraId="6A586A87" w14:textId="77777777" w:rsidR="006D7D36" w:rsidRPr="00B455B1" w:rsidRDefault="006D7D36" w:rsidP="006D7D36">
      <w:pPr>
        <w:pStyle w:val="NormalWeb"/>
        <w:spacing w:before="0" w:beforeAutospacing="0" w:after="0" w:afterAutospacing="0"/>
        <w:ind w:left="-426" w:right="-518"/>
        <w:contextualSpacing/>
        <w:jc w:val="center"/>
        <w:rPr>
          <w:rFonts w:ascii="Arial" w:hAnsi="Arial" w:cs="Arial"/>
          <w:sz w:val="12"/>
          <w:szCs w:val="12"/>
        </w:rPr>
      </w:pPr>
    </w:p>
    <w:p w14:paraId="5CFBBDD8" w14:textId="77777777" w:rsidR="006D7D36" w:rsidRPr="008F0992" w:rsidRDefault="006D7D36" w:rsidP="006D7D36">
      <w:pPr>
        <w:spacing w:before="120"/>
        <w:ind w:left="-425" w:right="-516"/>
        <w:contextualSpacing/>
        <w:jc w:val="center"/>
        <w:rPr>
          <w:noProof/>
        </w:rPr>
      </w:pPr>
      <w:r w:rsidRPr="00FF1218">
        <w:rPr>
          <w:noProof/>
        </w:rPr>
        <w:drawing>
          <wp:inline distT="0" distB="0" distL="0" distR="0" wp14:anchorId="7ED81F6D" wp14:editId="443A883E">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14897EE1" wp14:editId="79D534BC">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354F694" wp14:editId="6D843CFE">
            <wp:extent cx="365760" cy="365760"/>
            <wp:effectExtent l="0" t="0" r="0"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0524C315" wp14:editId="6E5CA8E9">
            <wp:extent cx="365760" cy="365760"/>
            <wp:effectExtent l="0" t="0" r="0" b="0"/>
            <wp:docPr id="18" name="Imagen 1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73C8D9E5" wp14:editId="7B5C0BB7">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0AEEA86" w14:textId="77777777" w:rsidR="006D7D36" w:rsidRPr="00886C35" w:rsidRDefault="006D7D36" w:rsidP="006D7D36">
      <w:pPr>
        <w:pStyle w:val="bullet"/>
        <w:numPr>
          <w:ilvl w:val="0"/>
          <w:numId w:val="0"/>
        </w:numPr>
        <w:spacing w:before="100" w:beforeAutospacing="1" w:after="360"/>
        <w:ind w:right="49"/>
        <w:rPr>
          <w:rFonts w:cs="Arial"/>
          <w:b w:val="0"/>
          <w:color w:val="auto"/>
          <w:szCs w:val="24"/>
        </w:rPr>
      </w:pPr>
    </w:p>
    <w:bookmarkEnd w:id="0"/>
    <w:p w14:paraId="1167F578" w14:textId="77777777" w:rsidR="006D7D36" w:rsidRDefault="006D7D36" w:rsidP="006D7D36">
      <w:pPr>
        <w:ind w:left="-567"/>
        <w:jc w:val="center"/>
        <w:rPr>
          <w:noProof/>
        </w:rPr>
        <w:sectPr w:rsidR="006D7D36" w:rsidSect="00C70C22">
          <w:headerReference w:type="default" r:id="rId19"/>
          <w:footerReference w:type="default" r:id="rId20"/>
          <w:pgSz w:w="12240" w:h="15840"/>
          <w:pgMar w:top="1418" w:right="1134" w:bottom="1276" w:left="1134" w:header="709" w:footer="709" w:gutter="0"/>
          <w:cols w:space="708"/>
          <w:docGrid w:linePitch="360"/>
        </w:sectPr>
      </w:pPr>
    </w:p>
    <w:p w14:paraId="5C40A774" w14:textId="77777777" w:rsidR="006D7D36" w:rsidRPr="002A470D" w:rsidRDefault="006D7D36" w:rsidP="00C515B3">
      <w:pPr>
        <w:pStyle w:val="Profesin"/>
        <w:spacing w:before="240"/>
        <w:outlineLvl w:val="0"/>
        <w:rPr>
          <w:sz w:val="24"/>
          <w:szCs w:val="24"/>
          <w:lang w:val="es-MX"/>
        </w:rPr>
      </w:pPr>
      <w:r w:rsidRPr="002A470D">
        <w:rPr>
          <w:sz w:val="24"/>
          <w:szCs w:val="24"/>
          <w:lang w:val="es-MX"/>
        </w:rPr>
        <w:lastRenderedPageBreak/>
        <w:t>ANEXO</w:t>
      </w:r>
    </w:p>
    <w:p w14:paraId="3764E316" w14:textId="77777777" w:rsidR="006D7D36" w:rsidRPr="002A470D" w:rsidRDefault="006D7D36" w:rsidP="00C515B3">
      <w:pPr>
        <w:pStyle w:val="Profesin"/>
        <w:spacing w:before="240"/>
        <w:outlineLvl w:val="0"/>
        <w:rPr>
          <w:sz w:val="24"/>
          <w:szCs w:val="24"/>
          <w:lang w:val="es-MX"/>
        </w:rPr>
      </w:pPr>
      <w:r w:rsidRPr="002A470D">
        <w:rPr>
          <w:sz w:val="24"/>
          <w:szCs w:val="24"/>
          <w:lang w:val="es-MX"/>
        </w:rPr>
        <w:t>Nota técnica</w:t>
      </w:r>
    </w:p>
    <w:p w14:paraId="707BD907" w14:textId="52172015" w:rsidR="00935622" w:rsidRDefault="00935622">
      <w:pPr>
        <w:rPr>
          <w:rFonts w:ascii="Arial" w:hAnsi="Arial"/>
          <w:b/>
          <w:i/>
          <w:szCs w:val="20"/>
          <w:lang w:val="es-ES_tradnl" w:eastAsia="es-ES"/>
        </w:rPr>
      </w:pPr>
    </w:p>
    <w:p w14:paraId="46AC76B0" w14:textId="4DB694EB" w:rsidR="00A02DDD" w:rsidRPr="007A64AF" w:rsidRDefault="00A02DDD" w:rsidP="00A02DDD">
      <w:pPr>
        <w:pStyle w:val="titulos"/>
        <w:spacing w:after="120"/>
        <w:rPr>
          <w:u w:val="none"/>
        </w:rPr>
      </w:pPr>
      <w:r w:rsidRPr="007A64AF">
        <w:rPr>
          <w:u w:val="none"/>
        </w:rPr>
        <w:t>Cifras originales</w:t>
      </w:r>
    </w:p>
    <w:p w14:paraId="0CB9ADE4" w14:textId="6D470484" w:rsidR="00757DAD" w:rsidRDefault="00757DAD" w:rsidP="000E4FF2">
      <w:pPr>
        <w:pStyle w:val="titulos"/>
        <w:spacing w:before="240" w:after="120" w:line="280" w:lineRule="exact"/>
        <w:ind w:left="284"/>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20529829" w14:textId="0981FB53" w:rsidR="0017714E" w:rsidRPr="00D43508" w:rsidRDefault="000C1C21" w:rsidP="00AC4EB3">
      <w:pPr>
        <w:pStyle w:val="Textoindependiente21"/>
        <w:numPr>
          <w:ilvl w:val="12"/>
          <w:numId w:val="0"/>
        </w:numPr>
        <w:spacing w:before="240" w:after="120" w:line="280" w:lineRule="exact"/>
        <w:rPr>
          <w:spacing w:val="5"/>
          <w:sz w:val="24"/>
        </w:rPr>
      </w:pPr>
      <w:r>
        <w:rPr>
          <w:spacing w:val="5"/>
          <w:sz w:val="24"/>
        </w:rPr>
        <w:t xml:space="preserve">En </w:t>
      </w:r>
      <w:r w:rsidRPr="00D43508">
        <w:rPr>
          <w:spacing w:val="5"/>
          <w:sz w:val="24"/>
        </w:rPr>
        <w:t>febrero de 2022</w:t>
      </w:r>
      <w:r>
        <w:rPr>
          <w:spacing w:val="5"/>
          <w:sz w:val="24"/>
        </w:rPr>
        <w:t>, l</w:t>
      </w:r>
      <w:r w:rsidR="00D43508" w:rsidRPr="00D43508">
        <w:rPr>
          <w:spacing w:val="5"/>
          <w:sz w:val="24"/>
        </w:rPr>
        <w:t>a información oportuna de comercio exterior indica un superávit comercial de 1,293 millones de dólares. Dicho saldo se compara con el déficit de 6,286 millones de dólares reportado en enero. El incremento en el saldo comercial entre enero y febrero se originó de una ampliación en el saldo de la balanza de productos no petroleros, que pasó de un déficit de 4,107 millones de dólares en enero a un superávit de 2,822 millones de dólares en febrero, y de un menor déficit de la balanza de productos petroleros, que pasó de 2,179 millones de dólares a 1,529 millones de dólares en esa misma comparación.</w:t>
      </w:r>
    </w:p>
    <w:p w14:paraId="14FB834F" w14:textId="6DE0CE6D" w:rsidR="00A65B39" w:rsidRPr="00D43BA2" w:rsidRDefault="00A65B39" w:rsidP="00AC4EB3">
      <w:pPr>
        <w:pStyle w:val="Textoindependiente21"/>
        <w:numPr>
          <w:ilvl w:val="12"/>
          <w:numId w:val="0"/>
        </w:numPr>
        <w:spacing w:before="240" w:after="120" w:line="280" w:lineRule="exact"/>
        <w:rPr>
          <w:spacing w:val="5"/>
          <w:sz w:val="24"/>
        </w:rPr>
      </w:pPr>
      <w:r w:rsidRPr="00F67BDE">
        <w:rPr>
          <w:spacing w:val="5"/>
          <w:sz w:val="24"/>
        </w:rPr>
        <w:t xml:space="preserve">En los primeros </w:t>
      </w:r>
      <w:r>
        <w:rPr>
          <w:spacing w:val="5"/>
          <w:sz w:val="24"/>
        </w:rPr>
        <w:t>dos</w:t>
      </w:r>
      <w:r w:rsidRPr="00F67BDE">
        <w:rPr>
          <w:spacing w:val="5"/>
          <w:sz w:val="24"/>
        </w:rPr>
        <w:t xml:space="preserve"> meses de </w:t>
      </w:r>
      <w:r w:rsidR="0051468A">
        <w:rPr>
          <w:spacing w:val="5"/>
          <w:sz w:val="24"/>
        </w:rPr>
        <w:t>2022</w:t>
      </w:r>
      <w:r w:rsidRPr="00F67BDE">
        <w:rPr>
          <w:spacing w:val="5"/>
          <w:sz w:val="24"/>
        </w:rPr>
        <w:t xml:space="preserve">, la balanza comercial presentó un </w:t>
      </w:r>
      <w:r w:rsidR="00ED4C02">
        <w:rPr>
          <w:spacing w:val="5"/>
          <w:sz w:val="24"/>
        </w:rPr>
        <w:t>déficit</w:t>
      </w:r>
      <w:r w:rsidRPr="00F67BDE">
        <w:rPr>
          <w:spacing w:val="5"/>
          <w:sz w:val="24"/>
        </w:rPr>
        <w:t xml:space="preserve"> de </w:t>
      </w:r>
      <w:r w:rsidR="00AB7211">
        <w:rPr>
          <w:spacing w:val="5"/>
          <w:sz w:val="24"/>
        </w:rPr>
        <w:t>4,993</w:t>
      </w:r>
      <w:r w:rsidR="0051468A">
        <w:rPr>
          <w:spacing w:val="5"/>
          <w:sz w:val="24"/>
        </w:rPr>
        <w:t xml:space="preserve"> </w:t>
      </w:r>
      <w:r w:rsidRPr="00F67BDE">
        <w:rPr>
          <w:spacing w:val="5"/>
          <w:sz w:val="24"/>
        </w:rPr>
        <w:t>millones de dólares.</w:t>
      </w:r>
    </w:p>
    <w:p w14:paraId="0A4409F8" w14:textId="03E11FA4" w:rsidR="00A24EBC" w:rsidRDefault="00A24EBC" w:rsidP="00C515B3">
      <w:pPr>
        <w:pStyle w:val="p01"/>
        <w:keepNext/>
        <w:widowControl/>
        <w:spacing w:before="360"/>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2B0A3C25"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 xml:space="preserve">anza </w:t>
      </w:r>
      <w:r w:rsidR="00E72BC9">
        <w:rPr>
          <w:rFonts w:ascii="Arial" w:hAnsi="Arial" w:cs="Arial"/>
          <w:b/>
          <w:smallCaps/>
          <w:color w:val="auto"/>
          <w:sz w:val="22"/>
          <w:lang w:val="es-MX"/>
        </w:rPr>
        <w:t>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w:t>
      </w:r>
      <w:r w:rsidR="00E72BC9">
        <w:rPr>
          <w:rFonts w:ascii="Arial" w:hAnsi="Arial" w:cs="Arial"/>
          <w:b/>
          <w:smallCaps/>
          <w:color w:val="auto"/>
          <w:sz w:val="22"/>
          <w:lang w:val="es-MX"/>
        </w:rPr>
        <w:t>M</w:t>
      </w:r>
      <w:r>
        <w:rPr>
          <w:rFonts w:ascii="Arial" w:hAnsi="Arial" w:cs="Arial"/>
          <w:b/>
          <w:smallCaps/>
          <w:color w:val="auto"/>
          <w:sz w:val="22"/>
          <w:lang w:val="es-MX"/>
        </w:rPr>
        <w:t>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87"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681"/>
        <w:gridCol w:w="1174"/>
        <w:gridCol w:w="1174"/>
        <w:gridCol w:w="1174"/>
        <w:gridCol w:w="1174"/>
        <w:gridCol w:w="1174"/>
        <w:gridCol w:w="1174"/>
      </w:tblGrid>
      <w:tr w:rsidR="00143CAF" w:rsidRPr="00843651" w14:paraId="0479A544" w14:textId="1196E87B" w:rsidTr="0055413A">
        <w:trPr>
          <w:trHeight w:val="293"/>
          <w:jc w:val="center"/>
        </w:trPr>
        <w:tc>
          <w:tcPr>
            <w:tcW w:w="2681"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143CAF" w:rsidRPr="00B97765" w:rsidRDefault="00143CAF"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174"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143CAF" w:rsidRDefault="00143CAF" w:rsidP="00C466A5">
            <w:pPr>
              <w:keepNext/>
              <w:keepLines/>
              <w:jc w:val="center"/>
              <w:rPr>
                <w:rFonts w:ascii="Arial" w:hAnsi="Arial" w:cs="Arial"/>
                <w:sz w:val="18"/>
                <w:szCs w:val="18"/>
              </w:rPr>
            </w:pPr>
            <w:r>
              <w:rPr>
                <w:rFonts w:ascii="Arial" w:hAnsi="Arial" w:cs="Arial"/>
                <w:sz w:val="18"/>
                <w:szCs w:val="18"/>
              </w:rPr>
              <w:t>2020</w:t>
            </w:r>
          </w:p>
        </w:tc>
        <w:tc>
          <w:tcPr>
            <w:tcW w:w="2348" w:type="dxa"/>
            <w:gridSpan w:val="2"/>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2B34E0B" w14:textId="498EB9BB" w:rsidR="00143CAF" w:rsidRDefault="00143CAF" w:rsidP="009B4C6C">
            <w:pPr>
              <w:keepNext/>
              <w:keepLines/>
              <w:jc w:val="center"/>
              <w:rPr>
                <w:rFonts w:ascii="Arial" w:hAnsi="Arial" w:cs="Arial"/>
                <w:sz w:val="18"/>
                <w:szCs w:val="18"/>
              </w:rPr>
            </w:pPr>
            <w:r>
              <w:rPr>
                <w:rFonts w:ascii="Arial" w:hAnsi="Arial" w:cs="Arial"/>
                <w:sz w:val="18"/>
                <w:szCs w:val="18"/>
              </w:rPr>
              <w:t>2021</w:t>
            </w:r>
          </w:p>
        </w:tc>
        <w:tc>
          <w:tcPr>
            <w:tcW w:w="3522" w:type="dxa"/>
            <w:gridSpan w:val="3"/>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656161C4" w14:textId="02DD2516" w:rsidR="00143CAF" w:rsidRDefault="00143CAF" w:rsidP="00485BCD">
            <w:pPr>
              <w:keepNext/>
              <w:keepLines/>
              <w:jc w:val="center"/>
              <w:rPr>
                <w:rFonts w:ascii="Arial" w:hAnsi="Arial" w:cs="Arial"/>
                <w:sz w:val="18"/>
                <w:szCs w:val="18"/>
              </w:rPr>
            </w:pPr>
            <w:r>
              <w:rPr>
                <w:rFonts w:ascii="Arial" w:hAnsi="Arial" w:cs="Arial"/>
                <w:sz w:val="18"/>
                <w:szCs w:val="18"/>
              </w:rPr>
              <w:t>2022</w:t>
            </w:r>
          </w:p>
        </w:tc>
      </w:tr>
      <w:tr w:rsidR="0067323A" w:rsidRPr="00843651" w14:paraId="58C77F26" w14:textId="63F0870D" w:rsidTr="0055413A">
        <w:trPr>
          <w:trHeight w:val="265"/>
          <w:jc w:val="center"/>
        </w:trPr>
        <w:tc>
          <w:tcPr>
            <w:tcW w:w="2681"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67323A" w:rsidRPr="00843651" w:rsidRDefault="0067323A" w:rsidP="0067323A">
            <w:pPr>
              <w:keepNext/>
              <w:keepLines/>
              <w:spacing w:before="60" w:after="60"/>
              <w:jc w:val="both"/>
              <w:rPr>
                <w:rFonts w:ascii="Arial" w:hAnsi="Arial" w:cs="Arial"/>
                <w:sz w:val="16"/>
                <w:szCs w:val="16"/>
              </w:rPr>
            </w:pPr>
          </w:p>
        </w:tc>
        <w:tc>
          <w:tcPr>
            <w:tcW w:w="1174"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67323A" w:rsidRDefault="0067323A" w:rsidP="0067323A">
            <w:pPr>
              <w:keepNext/>
              <w:keepLines/>
              <w:spacing w:before="40" w:after="40"/>
              <w:ind w:left="-100" w:right="-51"/>
              <w:jc w:val="center"/>
              <w:rPr>
                <w:rFonts w:ascii="Arial" w:hAnsi="Arial" w:cs="Arial"/>
                <w:sz w:val="18"/>
                <w:szCs w:val="18"/>
              </w:rPr>
            </w:pPr>
          </w:p>
        </w:tc>
        <w:tc>
          <w:tcPr>
            <w:tcW w:w="117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5D2D124F" w:rsidR="0067323A" w:rsidRDefault="0067323A" w:rsidP="0067323A">
            <w:pPr>
              <w:keepNext/>
              <w:keepLines/>
              <w:spacing w:before="40" w:after="40"/>
              <w:ind w:left="-100" w:right="-51"/>
              <w:jc w:val="center"/>
              <w:rPr>
                <w:rFonts w:ascii="Arial" w:hAnsi="Arial" w:cs="Arial"/>
                <w:sz w:val="18"/>
                <w:szCs w:val="18"/>
              </w:rPr>
            </w:pPr>
            <w:r>
              <w:rPr>
                <w:rFonts w:ascii="Arial" w:hAnsi="Arial" w:cs="Arial"/>
                <w:sz w:val="18"/>
                <w:szCs w:val="18"/>
              </w:rPr>
              <w:t>Dic.</w:t>
            </w:r>
          </w:p>
        </w:tc>
        <w:tc>
          <w:tcPr>
            <w:tcW w:w="117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7998F54B" w:rsidR="0067323A" w:rsidRDefault="0067323A" w:rsidP="0067323A">
            <w:pPr>
              <w:keepNext/>
              <w:keepLines/>
              <w:spacing w:before="40" w:after="40"/>
              <w:ind w:left="-100" w:right="-51"/>
              <w:jc w:val="center"/>
              <w:rPr>
                <w:rFonts w:ascii="Arial" w:hAnsi="Arial" w:cs="Arial"/>
                <w:sz w:val="18"/>
                <w:szCs w:val="18"/>
              </w:rPr>
            </w:pPr>
            <w:r>
              <w:rPr>
                <w:rFonts w:ascii="Arial" w:hAnsi="Arial" w:cs="Arial"/>
                <w:sz w:val="18"/>
                <w:szCs w:val="18"/>
              </w:rPr>
              <w:t>Anual</w:t>
            </w:r>
          </w:p>
        </w:tc>
        <w:tc>
          <w:tcPr>
            <w:tcW w:w="117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2E492CFA" w:rsidR="0067323A" w:rsidRDefault="0067323A" w:rsidP="0067323A">
            <w:pPr>
              <w:keepNext/>
              <w:keepLines/>
              <w:spacing w:before="40" w:after="40"/>
              <w:ind w:left="-100" w:right="-51"/>
              <w:jc w:val="center"/>
              <w:rPr>
                <w:rFonts w:ascii="Arial" w:hAnsi="Arial" w:cs="Arial"/>
                <w:sz w:val="18"/>
                <w:szCs w:val="18"/>
              </w:rPr>
            </w:pPr>
            <w:r>
              <w:rPr>
                <w:rFonts w:ascii="Arial" w:hAnsi="Arial" w:cs="Arial"/>
                <w:sz w:val="18"/>
                <w:szCs w:val="18"/>
              </w:rPr>
              <w:t>Ene</w:t>
            </w:r>
            <w:r w:rsidR="00CD72D5">
              <w:rPr>
                <w:rFonts w:ascii="Arial" w:hAnsi="Arial" w:cs="Arial"/>
                <w:sz w:val="18"/>
                <w:szCs w:val="18"/>
              </w:rPr>
              <w:t>.</w:t>
            </w:r>
          </w:p>
        </w:tc>
        <w:tc>
          <w:tcPr>
            <w:tcW w:w="117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484F2C97" w:rsidR="0067323A" w:rsidRDefault="0067323A" w:rsidP="0067323A">
            <w:pPr>
              <w:keepNext/>
              <w:keepLines/>
              <w:spacing w:before="40" w:after="40"/>
              <w:ind w:left="-100" w:right="-51"/>
              <w:jc w:val="center"/>
              <w:rPr>
                <w:rFonts w:ascii="Arial" w:hAnsi="Arial" w:cs="Arial"/>
                <w:sz w:val="18"/>
                <w:szCs w:val="18"/>
              </w:rPr>
            </w:pPr>
            <w:r>
              <w:rPr>
                <w:rFonts w:ascii="Arial" w:hAnsi="Arial" w:cs="Arial"/>
                <w:sz w:val="18"/>
                <w:szCs w:val="18"/>
              </w:rPr>
              <w:t>Feb</w:t>
            </w:r>
            <w:r w:rsidR="00CD72D5">
              <w:rPr>
                <w:rFonts w:ascii="Arial" w:hAnsi="Arial" w:cs="Arial"/>
                <w:sz w:val="18"/>
                <w:szCs w:val="18"/>
              </w:rPr>
              <w:t>.</w:t>
            </w:r>
            <w:r>
              <w:rPr>
                <w:rFonts w:ascii="Arial" w:hAnsi="Arial" w:cs="Arial"/>
                <w:sz w:val="18"/>
                <w:szCs w:val="18"/>
              </w:rPr>
              <w:t>*</w:t>
            </w:r>
          </w:p>
        </w:tc>
        <w:tc>
          <w:tcPr>
            <w:tcW w:w="1174"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1D79D850" w14:textId="206E786C" w:rsidR="0067323A" w:rsidRDefault="0067323A" w:rsidP="0067323A">
            <w:pPr>
              <w:keepNext/>
              <w:keepLines/>
              <w:spacing w:before="40" w:after="40"/>
              <w:ind w:left="-100" w:right="-51"/>
              <w:jc w:val="center"/>
              <w:rPr>
                <w:rFonts w:ascii="Arial" w:hAnsi="Arial" w:cs="Arial"/>
                <w:sz w:val="18"/>
                <w:szCs w:val="18"/>
              </w:rPr>
            </w:pPr>
            <w:r>
              <w:rPr>
                <w:rFonts w:ascii="Arial" w:hAnsi="Arial" w:cs="Arial"/>
                <w:sz w:val="18"/>
                <w:szCs w:val="18"/>
              </w:rPr>
              <w:t>Ene-Feb</w:t>
            </w:r>
            <w:r w:rsidR="00CD72D5">
              <w:rPr>
                <w:rFonts w:ascii="Arial" w:hAnsi="Arial" w:cs="Arial"/>
                <w:sz w:val="18"/>
                <w:szCs w:val="18"/>
              </w:rPr>
              <w:t>.</w:t>
            </w:r>
            <w:r>
              <w:rPr>
                <w:rFonts w:ascii="Arial" w:hAnsi="Arial" w:cs="Arial"/>
                <w:sz w:val="18"/>
                <w:szCs w:val="18"/>
              </w:rPr>
              <w:t>*</w:t>
            </w:r>
          </w:p>
        </w:tc>
      </w:tr>
      <w:tr w:rsidR="00594315" w:rsidRPr="00843651" w14:paraId="603106D5" w14:textId="666C3FB0" w:rsidTr="0067323A">
        <w:trPr>
          <w:jc w:val="center"/>
        </w:trPr>
        <w:tc>
          <w:tcPr>
            <w:tcW w:w="2681"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4B585D49" w:rsidR="00594315" w:rsidRPr="00843651" w:rsidRDefault="00594315" w:rsidP="00594315">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416,999</w:t>
            </w:r>
          </w:p>
        </w:tc>
        <w:tc>
          <w:tcPr>
            <w:tcW w:w="1174" w:type="dxa"/>
            <w:tcBorders>
              <w:top w:val="double" w:sz="4" w:space="0" w:color="0F243E" w:themeColor="text2" w:themeShade="80"/>
              <w:left w:val="double" w:sz="4" w:space="0" w:color="0F243E" w:themeColor="text2" w:themeShade="80"/>
              <w:bottom w:val="nil"/>
              <w:right w:val="nil"/>
            </w:tcBorders>
            <w:vAlign w:val="center"/>
          </w:tcPr>
          <w:p w14:paraId="5BD58433" w14:textId="3C4FBAF9"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47,693</w:t>
            </w:r>
          </w:p>
        </w:tc>
        <w:tc>
          <w:tcPr>
            <w:tcW w:w="1174" w:type="dxa"/>
            <w:tcBorders>
              <w:top w:val="double" w:sz="4" w:space="0" w:color="0F243E" w:themeColor="text2" w:themeShade="80"/>
              <w:left w:val="nil"/>
              <w:bottom w:val="nil"/>
              <w:right w:val="double" w:sz="4" w:space="0" w:color="0F243E" w:themeColor="text2" w:themeShade="80"/>
            </w:tcBorders>
            <w:vAlign w:val="center"/>
          </w:tcPr>
          <w:p w14:paraId="293D6F85" w14:textId="687623F0"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494,225</w:t>
            </w:r>
          </w:p>
        </w:tc>
        <w:tc>
          <w:tcPr>
            <w:tcW w:w="1174" w:type="dxa"/>
            <w:tcBorders>
              <w:top w:val="double" w:sz="4" w:space="0" w:color="0F243E" w:themeColor="text2" w:themeShade="80"/>
              <w:left w:val="double" w:sz="4" w:space="0" w:color="0F243E" w:themeColor="text2" w:themeShade="80"/>
              <w:bottom w:val="nil"/>
              <w:right w:val="nil"/>
            </w:tcBorders>
            <w:vAlign w:val="center"/>
          </w:tcPr>
          <w:p w14:paraId="5B730A28" w14:textId="41CAAF1B"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33,899</w:t>
            </w:r>
          </w:p>
        </w:tc>
        <w:tc>
          <w:tcPr>
            <w:tcW w:w="1174" w:type="dxa"/>
            <w:tcBorders>
              <w:top w:val="double" w:sz="4" w:space="0" w:color="0F243E" w:themeColor="text2" w:themeShade="80"/>
              <w:left w:val="nil"/>
              <w:bottom w:val="nil"/>
              <w:right w:val="double" w:sz="4" w:space="0" w:color="0F243E" w:themeColor="text2" w:themeShade="80"/>
            </w:tcBorders>
            <w:vAlign w:val="center"/>
          </w:tcPr>
          <w:p w14:paraId="34EC16BC" w14:textId="0BCDEF91" w:rsidR="00594315" w:rsidRDefault="00594315" w:rsidP="00594315">
            <w:pPr>
              <w:keepNext/>
              <w:keepLines/>
              <w:tabs>
                <w:tab w:val="decimal" w:pos="842"/>
              </w:tabs>
              <w:rPr>
                <w:rFonts w:ascii="Arial" w:hAnsi="Arial" w:cs="Arial"/>
                <w:b/>
                <w:bCs/>
                <w:sz w:val="18"/>
                <w:szCs w:val="18"/>
              </w:rPr>
            </w:pPr>
            <w:r w:rsidRPr="00594315">
              <w:rPr>
                <w:rFonts w:ascii="Arial" w:hAnsi="Arial" w:cs="Arial"/>
                <w:b/>
                <w:bCs/>
                <w:sz w:val="18"/>
                <w:szCs w:val="18"/>
              </w:rPr>
              <w:t>46,246</w:t>
            </w:r>
          </w:p>
        </w:tc>
        <w:tc>
          <w:tcPr>
            <w:tcW w:w="1174" w:type="dxa"/>
            <w:tcBorders>
              <w:top w:val="double" w:sz="4" w:space="0" w:color="0F243E" w:themeColor="text2" w:themeShade="80"/>
              <w:left w:val="nil"/>
              <w:bottom w:val="nil"/>
              <w:right w:val="double" w:sz="4" w:space="0" w:color="0F243E" w:themeColor="text2" w:themeShade="80"/>
            </w:tcBorders>
            <w:vAlign w:val="center"/>
          </w:tcPr>
          <w:p w14:paraId="61D43FD7" w14:textId="7A0408ED" w:rsidR="00594315" w:rsidRDefault="00594315" w:rsidP="00594315">
            <w:pPr>
              <w:keepNext/>
              <w:keepLines/>
              <w:tabs>
                <w:tab w:val="decimal" w:pos="842"/>
              </w:tabs>
              <w:rPr>
                <w:rFonts w:ascii="Arial" w:hAnsi="Arial" w:cs="Arial"/>
                <w:b/>
                <w:bCs/>
                <w:sz w:val="18"/>
                <w:szCs w:val="18"/>
              </w:rPr>
            </w:pPr>
            <w:r w:rsidRPr="00594315">
              <w:rPr>
                <w:rFonts w:ascii="Arial" w:hAnsi="Arial" w:cs="Arial"/>
                <w:b/>
                <w:bCs/>
                <w:sz w:val="18"/>
                <w:szCs w:val="18"/>
              </w:rPr>
              <w:t>80,145</w:t>
            </w:r>
          </w:p>
        </w:tc>
      </w:tr>
      <w:tr w:rsidR="00594315" w:rsidRPr="00843651" w14:paraId="62973728" w14:textId="26A21371"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nil"/>
              <w:bottom w:val="nil"/>
              <w:right w:val="double" w:sz="4" w:space="0" w:color="0F243E" w:themeColor="text2" w:themeShade="80"/>
            </w:tcBorders>
            <w:vAlign w:val="center"/>
          </w:tcPr>
          <w:p w14:paraId="2D810D8F" w14:textId="5E1D8B93"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17,484</w:t>
            </w:r>
          </w:p>
        </w:tc>
        <w:tc>
          <w:tcPr>
            <w:tcW w:w="1174" w:type="dxa"/>
            <w:tcBorders>
              <w:top w:val="nil"/>
              <w:left w:val="double" w:sz="4" w:space="0" w:color="0F243E" w:themeColor="text2" w:themeShade="80"/>
              <w:bottom w:val="nil"/>
              <w:right w:val="nil"/>
            </w:tcBorders>
            <w:vAlign w:val="center"/>
          </w:tcPr>
          <w:p w14:paraId="4AF1E60A" w14:textId="18E052BF"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2,802</w:t>
            </w:r>
          </w:p>
        </w:tc>
        <w:tc>
          <w:tcPr>
            <w:tcW w:w="1174" w:type="dxa"/>
            <w:tcBorders>
              <w:top w:val="nil"/>
              <w:left w:val="nil"/>
              <w:bottom w:val="nil"/>
              <w:right w:val="double" w:sz="4" w:space="0" w:color="0F243E" w:themeColor="text2" w:themeShade="80"/>
            </w:tcBorders>
            <w:vAlign w:val="center"/>
          </w:tcPr>
          <w:p w14:paraId="3D12E539" w14:textId="6F600C6F"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28,926</w:t>
            </w:r>
          </w:p>
        </w:tc>
        <w:tc>
          <w:tcPr>
            <w:tcW w:w="1174" w:type="dxa"/>
            <w:tcBorders>
              <w:top w:val="nil"/>
              <w:left w:val="double" w:sz="4" w:space="0" w:color="0F243E" w:themeColor="text2" w:themeShade="80"/>
              <w:bottom w:val="nil"/>
              <w:right w:val="nil"/>
            </w:tcBorders>
            <w:vAlign w:val="center"/>
          </w:tcPr>
          <w:p w14:paraId="6FC3B427" w14:textId="4CDCDE27"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2,422</w:t>
            </w:r>
          </w:p>
        </w:tc>
        <w:tc>
          <w:tcPr>
            <w:tcW w:w="1174" w:type="dxa"/>
            <w:tcBorders>
              <w:top w:val="nil"/>
              <w:left w:val="nil"/>
              <w:bottom w:val="nil"/>
              <w:right w:val="double" w:sz="4" w:space="0" w:color="0F243E" w:themeColor="text2" w:themeShade="80"/>
            </w:tcBorders>
            <w:vAlign w:val="center"/>
          </w:tcPr>
          <w:p w14:paraId="18F0A283" w14:textId="31430FE5" w:rsidR="00594315" w:rsidRPr="00594315" w:rsidRDefault="00594315" w:rsidP="00594315">
            <w:pPr>
              <w:keepNext/>
              <w:keepLines/>
              <w:tabs>
                <w:tab w:val="decimal" w:pos="842"/>
              </w:tabs>
              <w:rPr>
                <w:rFonts w:ascii="Arial" w:hAnsi="Arial" w:cs="Arial"/>
                <w:sz w:val="18"/>
                <w:szCs w:val="18"/>
              </w:rPr>
            </w:pPr>
            <w:r w:rsidRPr="00594315">
              <w:rPr>
                <w:rFonts w:ascii="Arial" w:hAnsi="Arial" w:cs="Arial"/>
                <w:sz w:val="18"/>
                <w:szCs w:val="18"/>
              </w:rPr>
              <w:t>2,795</w:t>
            </w:r>
          </w:p>
        </w:tc>
        <w:tc>
          <w:tcPr>
            <w:tcW w:w="1174" w:type="dxa"/>
            <w:tcBorders>
              <w:top w:val="nil"/>
              <w:left w:val="nil"/>
              <w:bottom w:val="nil"/>
              <w:right w:val="double" w:sz="4" w:space="0" w:color="0F243E" w:themeColor="text2" w:themeShade="80"/>
            </w:tcBorders>
            <w:vAlign w:val="center"/>
          </w:tcPr>
          <w:p w14:paraId="32D0A4F4" w14:textId="6E3A5987" w:rsidR="00594315" w:rsidRPr="00594315" w:rsidRDefault="00594315" w:rsidP="00594315">
            <w:pPr>
              <w:keepNext/>
              <w:keepLines/>
              <w:tabs>
                <w:tab w:val="decimal" w:pos="842"/>
              </w:tabs>
              <w:rPr>
                <w:rFonts w:ascii="Arial" w:hAnsi="Arial" w:cs="Arial"/>
                <w:sz w:val="18"/>
                <w:szCs w:val="18"/>
              </w:rPr>
            </w:pPr>
            <w:r w:rsidRPr="00594315">
              <w:rPr>
                <w:rFonts w:ascii="Arial" w:hAnsi="Arial" w:cs="Arial"/>
                <w:sz w:val="18"/>
                <w:szCs w:val="18"/>
              </w:rPr>
              <w:t>5,217</w:t>
            </w:r>
          </w:p>
        </w:tc>
      </w:tr>
      <w:tr w:rsidR="00594315" w:rsidRPr="00843651" w14:paraId="31EFA848" w14:textId="0954E263"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5E2BE2E1" w14:textId="1AA2FABE"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nil"/>
              <w:bottom w:val="nil"/>
              <w:right w:val="double" w:sz="4" w:space="0" w:color="0F243E" w:themeColor="text2" w:themeShade="80"/>
            </w:tcBorders>
            <w:vAlign w:val="center"/>
          </w:tcPr>
          <w:p w14:paraId="402C6E6E" w14:textId="3D0C445E"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399,515</w:t>
            </w:r>
          </w:p>
        </w:tc>
        <w:tc>
          <w:tcPr>
            <w:tcW w:w="1174" w:type="dxa"/>
            <w:tcBorders>
              <w:top w:val="nil"/>
              <w:left w:val="double" w:sz="4" w:space="0" w:color="0F243E" w:themeColor="text2" w:themeShade="80"/>
              <w:bottom w:val="nil"/>
              <w:right w:val="nil"/>
            </w:tcBorders>
            <w:vAlign w:val="center"/>
          </w:tcPr>
          <w:p w14:paraId="03953DA4" w14:textId="2ACBCC11"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44,891</w:t>
            </w:r>
          </w:p>
        </w:tc>
        <w:tc>
          <w:tcPr>
            <w:tcW w:w="1174" w:type="dxa"/>
            <w:tcBorders>
              <w:top w:val="nil"/>
              <w:left w:val="nil"/>
              <w:bottom w:val="nil"/>
              <w:right w:val="double" w:sz="4" w:space="0" w:color="0F243E" w:themeColor="text2" w:themeShade="80"/>
            </w:tcBorders>
            <w:vAlign w:val="center"/>
          </w:tcPr>
          <w:p w14:paraId="0F6A8197" w14:textId="7A0460AB"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465,299</w:t>
            </w:r>
          </w:p>
        </w:tc>
        <w:tc>
          <w:tcPr>
            <w:tcW w:w="1174" w:type="dxa"/>
            <w:tcBorders>
              <w:top w:val="nil"/>
              <w:left w:val="double" w:sz="4" w:space="0" w:color="0F243E" w:themeColor="text2" w:themeShade="80"/>
              <w:bottom w:val="nil"/>
              <w:right w:val="nil"/>
            </w:tcBorders>
            <w:vAlign w:val="center"/>
          </w:tcPr>
          <w:p w14:paraId="458CFA76" w14:textId="411E6736"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31,477</w:t>
            </w:r>
          </w:p>
        </w:tc>
        <w:tc>
          <w:tcPr>
            <w:tcW w:w="1174" w:type="dxa"/>
            <w:tcBorders>
              <w:top w:val="nil"/>
              <w:left w:val="nil"/>
              <w:bottom w:val="nil"/>
              <w:right w:val="double" w:sz="4" w:space="0" w:color="0F243E" w:themeColor="text2" w:themeShade="80"/>
            </w:tcBorders>
            <w:vAlign w:val="center"/>
          </w:tcPr>
          <w:p w14:paraId="03FA3C80" w14:textId="59780B2B" w:rsidR="00594315" w:rsidRPr="00594315" w:rsidRDefault="00594315" w:rsidP="00594315">
            <w:pPr>
              <w:keepNext/>
              <w:keepLines/>
              <w:tabs>
                <w:tab w:val="decimal" w:pos="842"/>
              </w:tabs>
              <w:rPr>
                <w:rFonts w:ascii="Arial" w:hAnsi="Arial" w:cs="Arial"/>
                <w:sz w:val="18"/>
                <w:szCs w:val="18"/>
              </w:rPr>
            </w:pPr>
            <w:r w:rsidRPr="00594315">
              <w:rPr>
                <w:rFonts w:ascii="Arial" w:hAnsi="Arial" w:cs="Arial"/>
                <w:sz w:val="18"/>
                <w:szCs w:val="18"/>
              </w:rPr>
              <w:t>43,452</w:t>
            </w:r>
          </w:p>
        </w:tc>
        <w:tc>
          <w:tcPr>
            <w:tcW w:w="1174" w:type="dxa"/>
            <w:tcBorders>
              <w:top w:val="nil"/>
              <w:left w:val="nil"/>
              <w:bottom w:val="nil"/>
              <w:right w:val="double" w:sz="4" w:space="0" w:color="0F243E" w:themeColor="text2" w:themeShade="80"/>
            </w:tcBorders>
            <w:vAlign w:val="center"/>
          </w:tcPr>
          <w:p w14:paraId="187D96DB" w14:textId="698F8827" w:rsidR="00594315" w:rsidRPr="00594315" w:rsidRDefault="00594315" w:rsidP="00594315">
            <w:pPr>
              <w:keepNext/>
              <w:keepLines/>
              <w:tabs>
                <w:tab w:val="decimal" w:pos="842"/>
              </w:tabs>
              <w:rPr>
                <w:rFonts w:ascii="Arial" w:hAnsi="Arial" w:cs="Arial"/>
                <w:sz w:val="18"/>
                <w:szCs w:val="18"/>
              </w:rPr>
            </w:pPr>
            <w:r w:rsidRPr="00594315">
              <w:rPr>
                <w:rFonts w:ascii="Arial" w:hAnsi="Arial" w:cs="Arial"/>
                <w:sz w:val="18"/>
                <w:szCs w:val="18"/>
              </w:rPr>
              <w:t>74,928</w:t>
            </w:r>
          </w:p>
        </w:tc>
      </w:tr>
      <w:tr w:rsidR="00594315" w:rsidRPr="00843651" w14:paraId="16E7E605" w14:textId="25110D74"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5217AB52" w14:textId="40E7D790" w:rsidR="00594315" w:rsidRPr="00843651" w:rsidRDefault="00594315" w:rsidP="00594315">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174" w:type="dxa"/>
            <w:tcBorders>
              <w:top w:val="nil"/>
              <w:left w:val="nil"/>
              <w:bottom w:val="nil"/>
              <w:right w:val="double" w:sz="4" w:space="0" w:color="0F243E" w:themeColor="text2" w:themeShade="80"/>
            </w:tcBorders>
            <w:vAlign w:val="center"/>
          </w:tcPr>
          <w:p w14:paraId="0880FDC2" w14:textId="6EBA1FAE"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382,986</w:t>
            </w:r>
          </w:p>
        </w:tc>
        <w:tc>
          <w:tcPr>
            <w:tcW w:w="1174" w:type="dxa"/>
            <w:tcBorders>
              <w:top w:val="nil"/>
              <w:left w:val="double" w:sz="4" w:space="0" w:color="0F243E" w:themeColor="text2" w:themeShade="80"/>
              <w:bottom w:val="nil"/>
              <w:right w:val="nil"/>
            </w:tcBorders>
            <w:vAlign w:val="center"/>
          </w:tcPr>
          <w:p w14:paraId="5793C08F" w14:textId="5B702A7D"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47,102</w:t>
            </w:r>
          </w:p>
        </w:tc>
        <w:tc>
          <w:tcPr>
            <w:tcW w:w="1174" w:type="dxa"/>
            <w:tcBorders>
              <w:top w:val="nil"/>
              <w:left w:val="nil"/>
              <w:bottom w:val="nil"/>
              <w:right w:val="double" w:sz="4" w:space="0" w:color="0F243E" w:themeColor="text2" w:themeShade="80"/>
            </w:tcBorders>
            <w:vAlign w:val="center"/>
          </w:tcPr>
          <w:p w14:paraId="5A4F19EB" w14:textId="16D197A4"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505,716</w:t>
            </w:r>
          </w:p>
        </w:tc>
        <w:tc>
          <w:tcPr>
            <w:tcW w:w="1174" w:type="dxa"/>
            <w:tcBorders>
              <w:top w:val="nil"/>
              <w:left w:val="double" w:sz="4" w:space="0" w:color="0F243E" w:themeColor="text2" w:themeShade="80"/>
              <w:bottom w:val="nil"/>
              <w:right w:val="nil"/>
            </w:tcBorders>
            <w:vAlign w:val="center"/>
          </w:tcPr>
          <w:p w14:paraId="36552509" w14:textId="7924C947"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40,185</w:t>
            </w:r>
          </w:p>
        </w:tc>
        <w:tc>
          <w:tcPr>
            <w:tcW w:w="1174" w:type="dxa"/>
            <w:tcBorders>
              <w:top w:val="nil"/>
              <w:left w:val="nil"/>
              <w:bottom w:val="nil"/>
              <w:right w:val="double" w:sz="4" w:space="0" w:color="0F243E" w:themeColor="text2" w:themeShade="80"/>
            </w:tcBorders>
            <w:vAlign w:val="center"/>
          </w:tcPr>
          <w:p w14:paraId="27A242C2" w14:textId="62FE5E66" w:rsidR="00594315" w:rsidRDefault="00594315" w:rsidP="00594315">
            <w:pPr>
              <w:keepNext/>
              <w:keepLines/>
              <w:tabs>
                <w:tab w:val="decimal" w:pos="842"/>
              </w:tabs>
              <w:rPr>
                <w:rFonts w:ascii="Arial" w:hAnsi="Arial" w:cs="Arial"/>
                <w:b/>
                <w:bCs/>
                <w:sz w:val="18"/>
                <w:szCs w:val="18"/>
              </w:rPr>
            </w:pPr>
            <w:r w:rsidRPr="00594315">
              <w:rPr>
                <w:rFonts w:ascii="Arial" w:hAnsi="Arial" w:cs="Arial"/>
                <w:b/>
                <w:bCs/>
                <w:sz w:val="18"/>
                <w:szCs w:val="18"/>
              </w:rPr>
              <w:t>44,953</w:t>
            </w:r>
          </w:p>
        </w:tc>
        <w:tc>
          <w:tcPr>
            <w:tcW w:w="1174" w:type="dxa"/>
            <w:tcBorders>
              <w:top w:val="nil"/>
              <w:left w:val="nil"/>
              <w:bottom w:val="nil"/>
              <w:right w:val="double" w:sz="4" w:space="0" w:color="0F243E" w:themeColor="text2" w:themeShade="80"/>
            </w:tcBorders>
            <w:vAlign w:val="center"/>
          </w:tcPr>
          <w:p w14:paraId="1A3DCFF8" w14:textId="0DB2F2F9" w:rsidR="00594315" w:rsidRDefault="00594315" w:rsidP="00594315">
            <w:pPr>
              <w:keepNext/>
              <w:keepLines/>
              <w:tabs>
                <w:tab w:val="decimal" w:pos="842"/>
              </w:tabs>
              <w:rPr>
                <w:rFonts w:ascii="Arial" w:hAnsi="Arial" w:cs="Arial"/>
                <w:b/>
                <w:bCs/>
                <w:sz w:val="18"/>
                <w:szCs w:val="18"/>
              </w:rPr>
            </w:pPr>
            <w:r w:rsidRPr="00594315">
              <w:rPr>
                <w:rFonts w:ascii="Arial" w:hAnsi="Arial" w:cs="Arial"/>
                <w:b/>
                <w:bCs/>
                <w:sz w:val="18"/>
                <w:szCs w:val="18"/>
              </w:rPr>
              <w:t>85,138</w:t>
            </w:r>
          </w:p>
        </w:tc>
      </w:tr>
      <w:tr w:rsidR="00594315" w:rsidRPr="00843651" w14:paraId="7FEC5E2C" w14:textId="506012BE"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174" w:type="dxa"/>
            <w:tcBorders>
              <w:top w:val="nil"/>
              <w:left w:val="nil"/>
              <w:bottom w:val="nil"/>
              <w:right w:val="double" w:sz="4" w:space="0" w:color="0F243E" w:themeColor="text2" w:themeShade="80"/>
            </w:tcBorders>
            <w:vAlign w:val="center"/>
          </w:tcPr>
          <w:p w14:paraId="116E905B" w14:textId="566723BC"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31,408</w:t>
            </w:r>
          </w:p>
        </w:tc>
        <w:tc>
          <w:tcPr>
            <w:tcW w:w="1174" w:type="dxa"/>
            <w:tcBorders>
              <w:top w:val="nil"/>
              <w:left w:val="double" w:sz="4" w:space="0" w:color="0F243E" w:themeColor="text2" w:themeShade="80"/>
              <w:bottom w:val="nil"/>
              <w:right w:val="nil"/>
            </w:tcBorders>
            <w:vAlign w:val="center"/>
          </w:tcPr>
          <w:p w14:paraId="59A49E5E" w14:textId="4EF212FC"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5,285</w:t>
            </w:r>
          </w:p>
        </w:tc>
        <w:tc>
          <w:tcPr>
            <w:tcW w:w="1174" w:type="dxa"/>
            <w:tcBorders>
              <w:top w:val="nil"/>
              <w:left w:val="nil"/>
              <w:bottom w:val="nil"/>
              <w:right w:val="double" w:sz="4" w:space="0" w:color="0F243E" w:themeColor="text2" w:themeShade="80"/>
            </w:tcBorders>
            <w:vAlign w:val="center"/>
          </w:tcPr>
          <w:p w14:paraId="1B5C558A" w14:textId="20077693"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53,851</w:t>
            </w:r>
          </w:p>
        </w:tc>
        <w:tc>
          <w:tcPr>
            <w:tcW w:w="1174" w:type="dxa"/>
            <w:tcBorders>
              <w:top w:val="nil"/>
              <w:left w:val="double" w:sz="4" w:space="0" w:color="0F243E" w:themeColor="text2" w:themeShade="80"/>
              <w:bottom w:val="nil"/>
              <w:right w:val="nil"/>
            </w:tcBorders>
            <w:vAlign w:val="center"/>
          </w:tcPr>
          <w:p w14:paraId="297E08CA" w14:textId="2FC3ED18"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4,601</w:t>
            </w:r>
          </w:p>
        </w:tc>
        <w:tc>
          <w:tcPr>
            <w:tcW w:w="1174" w:type="dxa"/>
            <w:tcBorders>
              <w:top w:val="nil"/>
              <w:left w:val="nil"/>
              <w:bottom w:val="nil"/>
              <w:right w:val="double" w:sz="4" w:space="0" w:color="0F243E" w:themeColor="text2" w:themeShade="80"/>
            </w:tcBorders>
            <w:vAlign w:val="center"/>
          </w:tcPr>
          <w:p w14:paraId="404A5D5C" w14:textId="4BC1A622"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4,324</w:t>
            </w:r>
          </w:p>
        </w:tc>
        <w:tc>
          <w:tcPr>
            <w:tcW w:w="1174" w:type="dxa"/>
            <w:tcBorders>
              <w:top w:val="nil"/>
              <w:left w:val="nil"/>
              <w:bottom w:val="nil"/>
              <w:right w:val="double" w:sz="4" w:space="0" w:color="0F243E" w:themeColor="text2" w:themeShade="80"/>
            </w:tcBorders>
            <w:vAlign w:val="center"/>
          </w:tcPr>
          <w:p w14:paraId="10BBDEF7" w14:textId="54C11DF4"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8,925</w:t>
            </w:r>
          </w:p>
        </w:tc>
      </w:tr>
      <w:tr w:rsidR="00594315" w:rsidRPr="00843651" w14:paraId="3FDD1FE5" w14:textId="12655857"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29E5B054" w14:textId="57678EB5"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174" w:type="dxa"/>
            <w:tcBorders>
              <w:top w:val="nil"/>
              <w:left w:val="nil"/>
              <w:bottom w:val="nil"/>
              <w:right w:val="double" w:sz="4" w:space="0" w:color="0F243E" w:themeColor="text2" w:themeShade="80"/>
            </w:tcBorders>
            <w:vAlign w:val="center"/>
          </w:tcPr>
          <w:p w14:paraId="203650F6" w14:textId="5BDBF9FC"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351,578</w:t>
            </w:r>
          </w:p>
        </w:tc>
        <w:tc>
          <w:tcPr>
            <w:tcW w:w="1174" w:type="dxa"/>
            <w:tcBorders>
              <w:top w:val="nil"/>
              <w:left w:val="double" w:sz="4" w:space="0" w:color="0F243E" w:themeColor="text2" w:themeShade="80"/>
              <w:bottom w:val="nil"/>
              <w:right w:val="nil"/>
            </w:tcBorders>
            <w:vAlign w:val="center"/>
          </w:tcPr>
          <w:p w14:paraId="5ECCA0D7" w14:textId="533900B1"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41,817</w:t>
            </w:r>
          </w:p>
        </w:tc>
        <w:tc>
          <w:tcPr>
            <w:tcW w:w="1174" w:type="dxa"/>
            <w:tcBorders>
              <w:top w:val="nil"/>
              <w:left w:val="nil"/>
              <w:bottom w:val="nil"/>
              <w:right w:val="double" w:sz="4" w:space="0" w:color="0F243E" w:themeColor="text2" w:themeShade="80"/>
            </w:tcBorders>
            <w:vAlign w:val="center"/>
          </w:tcPr>
          <w:p w14:paraId="6B435023" w14:textId="3C4A434C"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451,864</w:t>
            </w:r>
          </w:p>
        </w:tc>
        <w:tc>
          <w:tcPr>
            <w:tcW w:w="1174" w:type="dxa"/>
            <w:tcBorders>
              <w:top w:val="nil"/>
              <w:left w:val="double" w:sz="4" w:space="0" w:color="0F243E" w:themeColor="text2" w:themeShade="80"/>
              <w:bottom w:val="nil"/>
              <w:right w:val="nil"/>
            </w:tcBorders>
            <w:vAlign w:val="center"/>
          </w:tcPr>
          <w:p w14:paraId="72D22574" w14:textId="5AEF9D75"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35,584</w:t>
            </w:r>
          </w:p>
        </w:tc>
        <w:tc>
          <w:tcPr>
            <w:tcW w:w="1174" w:type="dxa"/>
            <w:tcBorders>
              <w:top w:val="nil"/>
              <w:left w:val="nil"/>
              <w:bottom w:val="nil"/>
              <w:right w:val="double" w:sz="4" w:space="0" w:color="0F243E" w:themeColor="text2" w:themeShade="80"/>
            </w:tcBorders>
            <w:vAlign w:val="center"/>
          </w:tcPr>
          <w:p w14:paraId="10664E79" w14:textId="69E189A8"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40,629</w:t>
            </w:r>
          </w:p>
        </w:tc>
        <w:tc>
          <w:tcPr>
            <w:tcW w:w="1174" w:type="dxa"/>
            <w:tcBorders>
              <w:top w:val="nil"/>
              <w:left w:val="nil"/>
              <w:bottom w:val="nil"/>
              <w:right w:val="double" w:sz="4" w:space="0" w:color="0F243E" w:themeColor="text2" w:themeShade="80"/>
            </w:tcBorders>
            <w:vAlign w:val="center"/>
          </w:tcPr>
          <w:p w14:paraId="54FAB455" w14:textId="1302A56B"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76,213</w:t>
            </w:r>
          </w:p>
        </w:tc>
      </w:tr>
      <w:tr w:rsidR="00594315" w:rsidRPr="00843651" w14:paraId="79A375E0" w14:textId="30E4F998"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211D66EA" w14:textId="3AD551C1" w:rsidR="00594315" w:rsidRPr="00843651" w:rsidRDefault="00594315" w:rsidP="00594315">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174" w:type="dxa"/>
            <w:tcBorders>
              <w:top w:val="nil"/>
              <w:left w:val="nil"/>
              <w:bottom w:val="nil"/>
              <w:right w:val="double" w:sz="4" w:space="0" w:color="0F243E" w:themeColor="text2" w:themeShade="80"/>
            </w:tcBorders>
            <w:vAlign w:val="center"/>
          </w:tcPr>
          <w:p w14:paraId="50FCDE7F" w14:textId="032CC15D"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34,013</w:t>
            </w:r>
          </w:p>
        </w:tc>
        <w:tc>
          <w:tcPr>
            <w:tcW w:w="1174" w:type="dxa"/>
            <w:tcBorders>
              <w:top w:val="nil"/>
              <w:left w:val="double" w:sz="4" w:space="0" w:color="0F243E" w:themeColor="text2" w:themeShade="80"/>
              <w:bottom w:val="nil"/>
              <w:right w:val="nil"/>
            </w:tcBorders>
            <w:vAlign w:val="center"/>
          </w:tcPr>
          <w:p w14:paraId="0FF07D0A" w14:textId="2F58D8A3" w:rsidR="00594315" w:rsidRPr="00655EF9" w:rsidRDefault="00594315" w:rsidP="00594315">
            <w:pPr>
              <w:keepNext/>
              <w:keepLines/>
              <w:tabs>
                <w:tab w:val="decimal" w:pos="842"/>
              </w:tabs>
              <w:rPr>
                <w:rFonts w:ascii="Arial" w:hAnsi="Arial" w:cs="Arial"/>
                <w:b/>
                <w:bCs/>
                <w:sz w:val="18"/>
                <w:szCs w:val="18"/>
              </w:rPr>
            </w:pPr>
            <w:r w:rsidRPr="00460395">
              <w:rPr>
                <w:rFonts w:ascii="Arial" w:hAnsi="Arial" w:cs="Arial"/>
                <w:b/>
                <w:sz w:val="18"/>
                <w:szCs w:val="18"/>
              </w:rPr>
              <w:t>590</w:t>
            </w:r>
          </w:p>
        </w:tc>
        <w:tc>
          <w:tcPr>
            <w:tcW w:w="1174" w:type="dxa"/>
            <w:tcBorders>
              <w:top w:val="nil"/>
              <w:left w:val="nil"/>
              <w:bottom w:val="nil"/>
              <w:right w:val="double" w:sz="4" w:space="0" w:color="0F243E" w:themeColor="text2" w:themeShade="80"/>
            </w:tcBorders>
            <w:vAlign w:val="center"/>
          </w:tcPr>
          <w:p w14:paraId="17F9A660" w14:textId="69B40C68" w:rsidR="00594315" w:rsidRDefault="00594315" w:rsidP="00594315">
            <w:pPr>
              <w:keepNext/>
              <w:keepLines/>
              <w:tabs>
                <w:tab w:val="decimal" w:pos="842"/>
              </w:tabs>
              <w:rPr>
                <w:rFonts w:ascii="Arial" w:hAnsi="Arial" w:cs="Arial"/>
                <w:b/>
                <w:bCs/>
                <w:sz w:val="18"/>
                <w:szCs w:val="18"/>
              </w:rPr>
            </w:pPr>
            <w:r>
              <w:rPr>
                <w:rFonts w:ascii="Arial" w:hAnsi="Arial" w:cs="Arial"/>
                <w:b/>
                <w:bCs/>
                <w:sz w:val="18"/>
                <w:szCs w:val="18"/>
              </w:rPr>
              <w:t>-11,491</w:t>
            </w:r>
          </w:p>
        </w:tc>
        <w:tc>
          <w:tcPr>
            <w:tcW w:w="1174" w:type="dxa"/>
            <w:tcBorders>
              <w:top w:val="nil"/>
              <w:left w:val="double" w:sz="4" w:space="0" w:color="0F243E" w:themeColor="text2" w:themeShade="80"/>
              <w:bottom w:val="nil"/>
              <w:right w:val="nil"/>
            </w:tcBorders>
            <w:vAlign w:val="center"/>
          </w:tcPr>
          <w:p w14:paraId="5C6A8676" w14:textId="67DA7F37" w:rsidR="00594315" w:rsidRPr="00460395" w:rsidRDefault="00594315" w:rsidP="00594315">
            <w:pPr>
              <w:keepNext/>
              <w:keepLines/>
              <w:tabs>
                <w:tab w:val="decimal" w:pos="845"/>
              </w:tabs>
              <w:rPr>
                <w:rFonts w:ascii="Arial" w:hAnsi="Arial" w:cs="Arial"/>
                <w:b/>
                <w:sz w:val="18"/>
                <w:szCs w:val="18"/>
              </w:rPr>
            </w:pPr>
            <w:r>
              <w:rPr>
                <w:rFonts w:ascii="Arial" w:hAnsi="Arial" w:cs="Arial"/>
                <w:b/>
                <w:bCs/>
                <w:sz w:val="18"/>
                <w:szCs w:val="18"/>
              </w:rPr>
              <w:t>-6,286</w:t>
            </w:r>
          </w:p>
        </w:tc>
        <w:tc>
          <w:tcPr>
            <w:tcW w:w="1174" w:type="dxa"/>
            <w:tcBorders>
              <w:top w:val="nil"/>
              <w:left w:val="nil"/>
              <w:bottom w:val="nil"/>
              <w:right w:val="double" w:sz="4" w:space="0" w:color="0F243E" w:themeColor="text2" w:themeShade="80"/>
            </w:tcBorders>
            <w:vAlign w:val="center"/>
          </w:tcPr>
          <w:p w14:paraId="5F707E20" w14:textId="7B57D66F" w:rsidR="00594315" w:rsidRPr="00245142" w:rsidRDefault="00594315" w:rsidP="00594315">
            <w:pPr>
              <w:keepNext/>
              <w:keepLines/>
              <w:tabs>
                <w:tab w:val="decimal" w:pos="842"/>
              </w:tabs>
              <w:rPr>
                <w:rFonts w:ascii="Arial" w:hAnsi="Arial" w:cs="Arial"/>
                <w:b/>
                <w:bCs/>
                <w:sz w:val="18"/>
                <w:szCs w:val="18"/>
              </w:rPr>
            </w:pPr>
            <w:r w:rsidRPr="00245142">
              <w:rPr>
                <w:rFonts w:ascii="Arial" w:hAnsi="Arial" w:cs="Arial"/>
                <w:b/>
                <w:bCs/>
                <w:sz w:val="18"/>
                <w:szCs w:val="18"/>
              </w:rPr>
              <w:t>1,293</w:t>
            </w:r>
          </w:p>
        </w:tc>
        <w:tc>
          <w:tcPr>
            <w:tcW w:w="1174" w:type="dxa"/>
            <w:tcBorders>
              <w:top w:val="nil"/>
              <w:left w:val="nil"/>
              <w:bottom w:val="nil"/>
              <w:right w:val="double" w:sz="4" w:space="0" w:color="0F243E" w:themeColor="text2" w:themeShade="80"/>
            </w:tcBorders>
            <w:vAlign w:val="center"/>
          </w:tcPr>
          <w:p w14:paraId="5B481874" w14:textId="3681C80B" w:rsidR="00594315" w:rsidRPr="00245142" w:rsidRDefault="00594315" w:rsidP="00594315">
            <w:pPr>
              <w:keepNext/>
              <w:keepLines/>
              <w:tabs>
                <w:tab w:val="decimal" w:pos="842"/>
              </w:tabs>
              <w:rPr>
                <w:rFonts w:ascii="Arial" w:hAnsi="Arial" w:cs="Arial"/>
                <w:b/>
                <w:bCs/>
                <w:sz w:val="18"/>
                <w:szCs w:val="18"/>
              </w:rPr>
            </w:pPr>
            <w:r w:rsidRPr="00245142">
              <w:rPr>
                <w:rFonts w:ascii="Arial" w:hAnsi="Arial" w:cs="Arial"/>
                <w:b/>
                <w:bCs/>
                <w:sz w:val="18"/>
                <w:szCs w:val="18"/>
              </w:rPr>
              <w:t>-4,993</w:t>
            </w:r>
          </w:p>
        </w:tc>
      </w:tr>
      <w:tr w:rsidR="00594315" w:rsidRPr="00843651" w14:paraId="4B624851" w14:textId="77DF0AFB" w:rsidTr="0067323A">
        <w:trPr>
          <w:jc w:val="center"/>
        </w:trPr>
        <w:tc>
          <w:tcPr>
            <w:tcW w:w="2681"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174" w:type="dxa"/>
            <w:tcBorders>
              <w:top w:val="nil"/>
              <w:left w:val="nil"/>
              <w:bottom w:val="nil"/>
              <w:right w:val="double" w:sz="4" w:space="0" w:color="0F243E" w:themeColor="text2" w:themeShade="80"/>
            </w:tcBorders>
            <w:vAlign w:val="center"/>
          </w:tcPr>
          <w:p w14:paraId="08F74609" w14:textId="3195A8FD"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-13,924</w:t>
            </w:r>
          </w:p>
        </w:tc>
        <w:tc>
          <w:tcPr>
            <w:tcW w:w="1174" w:type="dxa"/>
            <w:tcBorders>
              <w:top w:val="nil"/>
              <w:left w:val="double" w:sz="4" w:space="0" w:color="0F243E" w:themeColor="text2" w:themeShade="80"/>
              <w:bottom w:val="nil"/>
              <w:right w:val="nil"/>
            </w:tcBorders>
            <w:vAlign w:val="center"/>
          </w:tcPr>
          <w:p w14:paraId="11467A60" w14:textId="0EC186B1"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-2,483</w:t>
            </w:r>
          </w:p>
        </w:tc>
        <w:tc>
          <w:tcPr>
            <w:tcW w:w="1174" w:type="dxa"/>
            <w:tcBorders>
              <w:top w:val="nil"/>
              <w:left w:val="nil"/>
              <w:bottom w:val="nil"/>
              <w:right w:val="double" w:sz="4" w:space="0" w:color="0F243E" w:themeColor="text2" w:themeShade="80"/>
            </w:tcBorders>
            <w:vAlign w:val="center"/>
          </w:tcPr>
          <w:p w14:paraId="57D163B4" w14:textId="3C5E7C58" w:rsidR="00594315" w:rsidRDefault="00594315" w:rsidP="00594315">
            <w:pPr>
              <w:keepNext/>
              <w:keepLines/>
              <w:tabs>
                <w:tab w:val="decimal" w:pos="831"/>
              </w:tabs>
              <w:rPr>
                <w:rFonts w:ascii="Arial" w:hAnsi="Arial" w:cs="Arial"/>
                <w:bCs/>
                <w:sz w:val="18"/>
                <w:szCs w:val="18"/>
              </w:rPr>
            </w:pPr>
            <w:r>
              <w:rPr>
                <w:rFonts w:ascii="Arial" w:hAnsi="Arial" w:cs="Arial"/>
                <w:bCs/>
                <w:sz w:val="18"/>
                <w:szCs w:val="18"/>
              </w:rPr>
              <w:t>-24,926</w:t>
            </w:r>
          </w:p>
        </w:tc>
        <w:tc>
          <w:tcPr>
            <w:tcW w:w="1174" w:type="dxa"/>
            <w:tcBorders>
              <w:top w:val="nil"/>
              <w:left w:val="double" w:sz="4" w:space="0" w:color="0F243E" w:themeColor="text2" w:themeShade="80"/>
              <w:bottom w:val="nil"/>
              <w:right w:val="nil"/>
            </w:tcBorders>
            <w:vAlign w:val="center"/>
          </w:tcPr>
          <w:p w14:paraId="2B4B8E94" w14:textId="3333868D" w:rsidR="00594315" w:rsidRDefault="00594315" w:rsidP="00594315">
            <w:pPr>
              <w:keepNext/>
              <w:keepLines/>
              <w:tabs>
                <w:tab w:val="decimal" w:pos="845"/>
              </w:tabs>
              <w:rPr>
                <w:rFonts w:ascii="Arial" w:hAnsi="Arial" w:cs="Arial"/>
                <w:bCs/>
                <w:sz w:val="18"/>
                <w:szCs w:val="18"/>
              </w:rPr>
            </w:pPr>
            <w:r w:rsidRPr="00D42A25">
              <w:rPr>
                <w:rFonts w:ascii="Arial" w:hAnsi="Arial" w:cs="Arial"/>
                <w:sz w:val="18"/>
                <w:szCs w:val="18"/>
              </w:rPr>
              <w:t>-</w:t>
            </w:r>
            <w:r>
              <w:rPr>
                <w:rFonts w:ascii="Arial" w:hAnsi="Arial" w:cs="Arial"/>
                <w:sz w:val="18"/>
                <w:szCs w:val="18"/>
              </w:rPr>
              <w:t>2,179</w:t>
            </w:r>
          </w:p>
        </w:tc>
        <w:tc>
          <w:tcPr>
            <w:tcW w:w="1174" w:type="dxa"/>
            <w:tcBorders>
              <w:top w:val="nil"/>
              <w:left w:val="nil"/>
              <w:bottom w:val="nil"/>
              <w:right w:val="double" w:sz="4" w:space="0" w:color="0F243E" w:themeColor="text2" w:themeShade="80"/>
            </w:tcBorders>
            <w:vAlign w:val="center"/>
          </w:tcPr>
          <w:p w14:paraId="16EADE63" w14:textId="3630A96E"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-1,529</w:t>
            </w:r>
          </w:p>
        </w:tc>
        <w:tc>
          <w:tcPr>
            <w:tcW w:w="1174" w:type="dxa"/>
            <w:tcBorders>
              <w:top w:val="nil"/>
              <w:left w:val="nil"/>
              <w:bottom w:val="nil"/>
              <w:right w:val="double" w:sz="4" w:space="0" w:color="0F243E" w:themeColor="text2" w:themeShade="80"/>
            </w:tcBorders>
            <w:vAlign w:val="center"/>
          </w:tcPr>
          <w:p w14:paraId="42B52E27" w14:textId="6C519D78"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-3,709</w:t>
            </w:r>
          </w:p>
        </w:tc>
      </w:tr>
      <w:tr w:rsidR="00594315" w:rsidRPr="00843651" w14:paraId="7494F75E" w14:textId="3BB86875" w:rsidTr="0067323A">
        <w:trPr>
          <w:jc w:val="center"/>
        </w:trPr>
        <w:tc>
          <w:tcPr>
            <w:tcW w:w="2681"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4AB762DF" w:rsidR="00594315" w:rsidRPr="00843651" w:rsidRDefault="00594315" w:rsidP="00594315">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174"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594315" w:rsidRDefault="00594315" w:rsidP="00594315">
            <w:pPr>
              <w:keepNext/>
              <w:keepLines/>
              <w:tabs>
                <w:tab w:val="decimal" w:pos="842"/>
              </w:tabs>
              <w:rPr>
                <w:rFonts w:ascii="Arial" w:hAnsi="Arial" w:cs="Arial"/>
                <w:bCs/>
                <w:sz w:val="18"/>
                <w:szCs w:val="18"/>
              </w:rPr>
            </w:pPr>
            <w:r>
              <w:rPr>
                <w:rFonts w:ascii="Arial" w:hAnsi="Arial" w:cs="Arial"/>
                <w:bCs/>
                <w:sz w:val="18"/>
                <w:szCs w:val="18"/>
              </w:rPr>
              <w:t>47,938</w:t>
            </w:r>
          </w:p>
        </w:tc>
        <w:tc>
          <w:tcPr>
            <w:tcW w:w="1174" w:type="dxa"/>
            <w:tcBorders>
              <w:top w:val="nil"/>
              <w:left w:val="double" w:sz="4" w:space="0" w:color="0F243E" w:themeColor="text2" w:themeShade="80"/>
              <w:bottom w:val="double" w:sz="4" w:space="0" w:color="0F243E" w:themeColor="text2" w:themeShade="80"/>
              <w:right w:val="nil"/>
            </w:tcBorders>
            <w:vAlign w:val="center"/>
          </w:tcPr>
          <w:p w14:paraId="1685A18F" w14:textId="79EF57AF" w:rsidR="00594315" w:rsidRDefault="00594315" w:rsidP="00594315">
            <w:pPr>
              <w:keepNext/>
              <w:keepLines/>
              <w:tabs>
                <w:tab w:val="decimal" w:pos="840"/>
              </w:tabs>
              <w:rPr>
                <w:rFonts w:ascii="Arial" w:hAnsi="Arial" w:cs="Arial"/>
                <w:bCs/>
                <w:sz w:val="18"/>
                <w:szCs w:val="18"/>
              </w:rPr>
            </w:pPr>
            <w:r>
              <w:rPr>
                <w:rFonts w:ascii="Arial" w:hAnsi="Arial" w:cs="Arial"/>
                <w:bCs/>
                <w:sz w:val="18"/>
                <w:szCs w:val="18"/>
              </w:rPr>
              <w:t>3,074</w:t>
            </w:r>
          </w:p>
        </w:tc>
        <w:tc>
          <w:tcPr>
            <w:tcW w:w="1174" w:type="dxa"/>
            <w:tcBorders>
              <w:top w:val="nil"/>
              <w:left w:val="nil"/>
              <w:bottom w:val="double" w:sz="4" w:space="0" w:color="0F243E" w:themeColor="text2" w:themeShade="80"/>
              <w:right w:val="double" w:sz="4" w:space="0" w:color="0F243E" w:themeColor="text2" w:themeShade="80"/>
            </w:tcBorders>
            <w:vAlign w:val="center"/>
          </w:tcPr>
          <w:p w14:paraId="1F93AD90" w14:textId="20A84ED7" w:rsidR="00594315" w:rsidRDefault="00594315" w:rsidP="00594315">
            <w:pPr>
              <w:keepNext/>
              <w:keepLines/>
              <w:tabs>
                <w:tab w:val="decimal" w:pos="833"/>
              </w:tabs>
              <w:rPr>
                <w:rFonts w:ascii="Arial" w:hAnsi="Arial" w:cs="Arial"/>
                <w:bCs/>
                <w:sz w:val="18"/>
                <w:szCs w:val="18"/>
              </w:rPr>
            </w:pPr>
            <w:r>
              <w:rPr>
                <w:rFonts w:ascii="Arial" w:hAnsi="Arial" w:cs="Arial"/>
                <w:bCs/>
                <w:sz w:val="18"/>
                <w:szCs w:val="18"/>
              </w:rPr>
              <w:t>13,435</w:t>
            </w:r>
          </w:p>
        </w:tc>
        <w:tc>
          <w:tcPr>
            <w:tcW w:w="1174" w:type="dxa"/>
            <w:tcBorders>
              <w:top w:val="nil"/>
              <w:left w:val="double" w:sz="4" w:space="0" w:color="0F243E" w:themeColor="text2" w:themeShade="80"/>
              <w:bottom w:val="double" w:sz="4" w:space="0" w:color="0F243E" w:themeColor="text2" w:themeShade="80"/>
              <w:right w:val="nil"/>
            </w:tcBorders>
            <w:vAlign w:val="center"/>
          </w:tcPr>
          <w:p w14:paraId="5F52B489" w14:textId="36E0D572" w:rsidR="00594315" w:rsidRDefault="00594315" w:rsidP="00594315">
            <w:pPr>
              <w:keepNext/>
              <w:keepLines/>
              <w:tabs>
                <w:tab w:val="decimal" w:pos="845"/>
              </w:tabs>
              <w:rPr>
                <w:rFonts w:ascii="Arial" w:hAnsi="Arial" w:cs="Arial"/>
                <w:bCs/>
                <w:sz w:val="18"/>
                <w:szCs w:val="18"/>
              </w:rPr>
            </w:pPr>
            <w:r w:rsidRPr="00D42A25">
              <w:rPr>
                <w:rFonts w:ascii="Arial" w:hAnsi="Arial" w:cs="Arial"/>
                <w:sz w:val="18"/>
                <w:szCs w:val="18"/>
              </w:rPr>
              <w:t>-</w:t>
            </w:r>
            <w:r>
              <w:rPr>
                <w:rFonts w:ascii="Arial" w:hAnsi="Arial" w:cs="Arial"/>
                <w:sz w:val="18"/>
                <w:szCs w:val="18"/>
              </w:rPr>
              <w:t>4,107</w:t>
            </w:r>
          </w:p>
        </w:tc>
        <w:tc>
          <w:tcPr>
            <w:tcW w:w="1174" w:type="dxa"/>
            <w:tcBorders>
              <w:top w:val="nil"/>
              <w:left w:val="nil"/>
              <w:bottom w:val="double" w:sz="4" w:space="0" w:color="0F243E" w:themeColor="text2" w:themeShade="80"/>
              <w:right w:val="double" w:sz="4" w:space="0" w:color="0F243E" w:themeColor="text2" w:themeShade="80"/>
            </w:tcBorders>
            <w:vAlign w:val="center"/>
          </w:tcPr>
          <w:p w14:paraId="7F763324" w14:textId="5BD90545" w:rsidR="00594315" w:rsidRPr="00245142" w:rsidRDefault="00594315" w:rsidP="00594315">
            <w:pPr>
              <w:keepNext/>
              <w:keepLines/>
              <w:tabs>
                <w:tab w:val="decimal" w:pos="857"/>
              </w:tabs>
              <w:rPr>
                <w:rFonts w:ascii="Arial" w:hAnsi="Arial" w:cs="Arial"/>
                <w:sz w:val="18"/>
                <w:szCs w:val="18"/>
              </w:rPr>
            </w:pPr>
            <w:r w:rsidRPr="00245142">
              <w:rPr>
                <w:rFonts w:ascii="Arial" w:hAnsi="Arial" w:cs="Arial"/>
                <w:sz w:val="18"/>
                <w:szCs w:val="18"/>
              </w:rPr>
              <w:t>2,822</w:t>
            </w:r>
          </w:p>
        </w:tc>
        <w:tc>
          <w:tcPr>
            <w:tcW w:w="1174" w:type="dxa"/>
            <w:tcBorders>
              <w:top w:val="nil"/>
              <w:left w:val="nil"/>
              <w:bottom w:val="double" w:sz="4" w:space="0" w:color="0F243E" w:themeColor="text2" w:themeShade="80"/>
              <w:right w:val="double" w:sz="4" w:space="0" w:color="0F243E" w:themeColor="text2" w:themeShade="80"/>
            </w:tcBorders>
            <w:vAlign w:val="center"/>
          </w:tcPr>
          <w:p w14:paraId="2C8C25A0" w14:textId="7E303D57" w:rsidR="00594315" w:rsidRPr="00245142" w:rsidRDefault="00594315" w:rsidP="00594315">
            <w:pPr>
              <w:keepNext/>
              <w:keepLines/>
              <w:tabs>
                <w:tab w:val="decimal" w:pos="842"/>
              </w:tabs>
              <w:rPr>
                <w:rFonts w:ascii="Arial" w:hAnsi="Arial" w:cs="Arial"/>
                <w:sz w:val="18"/>
                <w:szCs w:val="18"/>
              </w:rPr>
            </w:pPr>
            <w:r w:rsidRPr="00245142">
              <w:rPr>
                <w:rFonts w:ascii="Arial" w:hAnsi="Arial" w:cs="Arial"/>
                <w:sz w:val="18"/>
                <w:szCs w:val="18"/>
              </w:rPr>
              <w:t>-1,285</w:t>
            </w:r>
          </w:p>
        </w:tc>
      </w:tr>
    </w:tbl>
    <w:p w14:paraId="71943240" w14:textId="6D343840" w:rsidR="00496988" w:rsidRDefault="00C5486F" w:rsidP="00334339">
      <w:pPr>
        <w:pStyle w:val="Textoindependiente211"/>
        <w:numPr>
          <w:ilvl w:val="12"/>
          <w:numId w:val="0"/>
        </w:numPr>
        <w:spacing w:after="0" w:line="280" w:lineRule="exact"/>
        <w:rPr>
          <w:rFonts w:cs="Arial"/>
          <w:sz w:val="24"/>
          <w:szCs w:val="24"/>
        </w:rPr>
      </w:pPr>
      <w:r w:rsidRPr="00C15FB0">
        <w:rPr>
          <w:rFonts w:cs="Arial"/>
          <w:color w:val="000000" w:themeColor="text1"/>
          <w:sz w:val="18"/>
          <w:szCs w:val="18"/>
        </w:rPr>
        <w:t>* Cifras oportunas</w:t>
      </w:r>
      <w:r w:rsidR="00F165AE">
        <w:rPr>
          <w:rFonts w:cs="Arial"/>
          <w:color w:val="000000" w:themeColor="text1"/>
          <w:sz w:val="18"/>
          <w:szCs w:val="18"/>
        </w:rPr>
        <w:t>.</w:t>
      </w:r>
      <w:r w:rsidR="00334339">
        <w:rPr>
          <w:rFonts w:cs="Arial"/>
          <w:sz w:val="24"/>
          <w:szCs w:val="24"/>
        </w:rPr>
        <w:t xml:space="preserve"> </w:t>
      </w:r>
    </w:p>
    <w:p w14:paraId="39C9040D" w14:textId="77777777" w:rsidR="00C515B3" w:rsidRDefault="00C515B3" w:rsidP="001F12C3">
      <w:pPr>
        <w:pStyle w:val="titulos"/>
        <w:spacing w:before="240" w:after="120" w:line="280" w:lineRule="exact"/>
        <w:ind w:left="567"/>
        <w:rPr>
          <w:u w:val="none"/>
        </w:rPr>
      </w:pPr>
    </w:p>
    <w:p w14:paraId="65F15634" w14:textId="77777777" w:rsidR="00C515B3" w:rsidRDefault="00C515B3" w:rsidP="001F12C3">
      <w:pPr>
        <w:pStyle w:val="titulos"/>
        <w:spacing w:before="240" w:after="120" w:line="280" w:lineRule="exact"/>
        <w:ind w:left="567"/>
        <w:rPr>
          <w:u w:val="none"/>
        </w:rPr>
      </w:pPr>
    </w:p>
    <w:p w14:paraId="680E3726" w14:textId="77777777" w:rsidR="00C515B3" w:rsidRDefault="00C515B3" w:rsidP="001F12C3">
      <w:pPr>
        <w:pStyle w:val="titulos"/>
        <w:spacing w:before="240" w:after="120" w:line="280" w:lineRule="exact"/>
        <w:ind w:left="567"/>
        <w:rPr>
          <w:u w:val="none"/>
        </w:rPr>
      </w:pPr>
    </w:p>
    <w:p w14:paraId="6ECC1CA4" w14:textId="77777777" w:rsidR="00C515B3" w:rsidRDefault="00C515B3" w:rsidP="001F12C3">
      <w:pPr>
        <w:pStyle w:val="titulos"/>
        <w:spacing w:before="240" w:after="120" w:line="280" w:lineRule="exact"/>
        <w:ind w:left="567"/>
        <w:rPr>
          <w:u w:val="none"/>
        </w:rPr>
      </w:pPr>
    </w:p>
    <w:p w14:paraId="07D61AA2" w14:textId="0466976E" w:rsidR="00757DAD" w:rsidRDefault="00757DAD" w:rsidP="005054AD">
      <w:pPr>
        <w:pStyle w:val="titulos"/>
        <w:spacing w:after="120" w:line="280" w:lineRule="exact"/>
        <w:ind w:left="567"/>
        <w:rPr>
          <w:u w:val="none"/>
        </w:rPr>
      </w:pPr>
      <w:r>
        <w:rPr>
          <w:u w:val="none"/>
        </w:rPr>
        <w:lastRenderedPageBreak/>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0F32F5C8" w14:textId="383E1DD6" w:rsidR="00274E2C" w:rsidRPr="005735D2" w:rsidRDefault="000C1C21" w:rsidP="000F56B3">
      <w:pPr>
        <w:pStyle w:val="Textoindependiente211"/>
        <w:numPr>
          <w:ilvl w:val="12"/>
          <w:numId w:val="0"/>
        </w:numPr>
        <w:spacing w:before="120" w:after="120" w:line="280" w:lineRule="exact"/>
        <w:rPr>
          <w:rFonts w:ascii="Calibri" w:hAnsi="Calibri" w:cs="Calibri"/>
          <w:spacing w:val="5"/>
          <w:szCs w:val="22"/>
        </w:rPr>
      </w:pPr>
      <w:r>
        <w:rPr>
          <w:rFonts w:cs="Arial"/>
          <w:sz w:val="24"/>
          <w:szCs w:val="24"/>
        </w:rPr>
        <w:t>E</w:t>
      </w:r>
      <w:r w:rsidRPr="005A2979">
        <w:rPr>
          <w:rFonts w:cs="Arial"/>
          <w:sz w:val="24"/>
          <w:szCs w:val="24"/>
        </w:rPr>
        <w:t>n febrero de 2022</w:t>
      </w:r>
      <w:r>
        <w:rPr>
          <w:rFonts w:cs="Arial"/>
          <w:sz w:val="24"/>
          <w:szCs w:val="24"/>
        </w:rPr>
        <w:t>, e</w:t>
      </w:r>
      <w:r w:rsidR="005A2979" w:rsidRPr="005A2979">
        <w:rPr>
          <w:rFonts w:cs="Arial"/>
          <w:sz w:val="24"/>
          <w:szCs w:val="24"/>
        </w:rPr>
        <w:t xml:space="preserve">l valor de las exportaciones de mercancías fue de 46,246 millones de dólares, </w:t>
      </w:r>
      <w:r>
        <w:rPr>
          <w:rFonts w:cs="Arial"/>
          <w:sz w:val="24"/>
          <w:szCs w:val="24"/>
        </w:rPr>
        <w:t>un avance de</w:t>
      </w:r>
      <w:r w:rsidR="005A2979" w:rsidRPr="005A2979">
        <w:rPr>
          <w:rFonts w:cs="Arial"/>
          <w:sz w:val="24"/>
          <w:szCs w:val="24"/>
        </w:rPr>
        <w:t xml:space="preserve"> 27.8% </w:t>
      </w:r>
      <w:r>
        <w:rPr>
          <w:rFonts w:cs="Arial"/>
          <w:sz w:val="24"/>
          <w:szCs w:val="24"/>
        </w:rPr>
        <w:t xml:space="preserve">a tasa anual, </w:t>
      </w:r>
      <w:r w:rsidR="005A2979" w:rsidRPr="005A2979">
        <w:rPr>
          <w:rFonts w:cs="Arial"/>
          <w:sz w:val="24"/>
          <w:szCs w:val="24"/>
        </w:rPr>
        <w:t xml:space="preserve">resultado de </w:t>
      </w:r>
      <w:r>
        <w:rPr>
          <w:rFonts w:cs="Arial"/>
          <w:sz w:val="24"/>
          <w:szCs w:val="24"/>
        </w:rPr>
        <w:t>aumentos</w:t>
      </w:r>
      <w:r w:rsidR="005A2979" w:rsidRPr="005A2979">
        <w:rPr>
          <w:rFonts w:cs="Arial"/>
          <w:sz w:val="24"/>
          <w:szCs w:val="24"/>
        </w:rPr>
        <w:t xml:space="preserve"> de 26.5% en las exportaciones no petroleras y de 53.5% en las petroleras. Al interior de las exportaciones no petroleras, las dirigidas a Estados Unidos avanzaron 24.8% a tasa anual </w:t>
      </w:r>
      <w:r w:rsidR="005A2979">
        <w:rPr>
          <w:rFonts w:cs="Arial"/>
          <w:sz w:val="24"/>
          <w:szCs w:val="24"/>
        </w:rPr>
        <w:t>y</w:t>
      </w:r>
      <w:r w:rsidR="005A2979" w:rsidRPr="005A2979">
        <w:rPr>
          <w:rFonts w:cs="Arial"/>
          <w:sz w:val="24"/>
          <w:szCs w:val="24"/>
        </w:rPr>
        <w:t xml:space="preserve"> al resto del mundo 33.8%.</w:t>
      </w:r>
    </w:p>
    <w:p w14:paraId="1BD1015C" w14:textId="22AFDE46" w:rsidR="00912F70" w:rsidRDefault="00912F70" w:rsidP="00AF1CF5">
      <w:pPr>
        <w:pStyle w:val="Textoindependiente21"/>
        <w:keepNext/>
        <w:keepLines/>
        <w:widowControl w:val="0"/>
        <w:numPr>
          <w:ilvl w:val="12"/>
          <w:numId w:val="0"/>
        </w:numPr>
        <w:spacing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1F12C3">
      <w:pPr>
        <w:pStyle w:val="p01"/>
        <w:keepNext/>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472"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911"/>
        <w:gridCol w:w="1386"/>
        <w:gridCol w:w="939"/>
        <w:gridCol w:w="1134"/>
        <w:gridCol w:w="993"/>
        <w:gridCol w:w="993"/>
        <w:gridCol w:w="1028"/>
      </w:tblGrid>
      <w:tr w:rsidR="00903744" w:rsidRPr="00075546" w14:paraId="54876B84" w14:textId="6F8ECFEC" w:rsidTr="0055413A">
        <w:trPr>
          <w:trHeight w:val="374"/>
          <w:jc w:val="center"/>
        </w:trPr>
        <w:tc>
          <w:tcPr>
            <w:tcW w:w="1140"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903744" w:rsidRPr="00231C06" w:rsidRDefault="00903744"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27"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67806F8D" w:rsidR="00903744" w:rsidRDefault="00274E2C"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Pr>
                <w:rFonts w:cs="Arial"/>
                <w:color w:val="000000"/>
                <w:sz w:val="18"/>
                <w:szCs w:val="18"/>
                <w:lang w:val="es-ES"/>
              </w:rPr>
              <w:t>Participación</w:t>
            </w:r>
            <w:r w:rsidR="00903744">
              <w:rPr>
                <w:rFonts w:cs="Arial"/>
                <w:color w:val="000000"/>
                <w:sz w:val="18"/>
                <w:szCs w:val="18"/>
                <w:lang w:val="es-ES"/>
              </w:rPr>
              <w:t xml:space="preserve"> </w:t>
            </w:r>
            <w:r w:rsidR="00903744" w:rsidRPr="00231C06">
              <w:rPr>
                <w:rFonts w:cs="Arial"/>
                <w:color w:val="000000"/>
                <w:sz w:val="18"/>
                <w:szCs w:val="18"/>
                <w:lang w:val="es-ES"/>
              </w:rPr>
              <w:t>%</w:t>
            </w:r>
          </w:p>
          <w:p w14:paraId="7D2AEF77" w14:textId="7FCDB4D4" w:rsidR="00903744" w:rsidRPr="00231C06" w:rsidRDefault="00903744"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67323A">
              <w:rPr>
                <w:rFonts w:cs="Arial"/>
                <w:color w:val="000000"/>
                <w:sz w:val="18"/>
                <w:szCs w:val="18"/>
              </w:rPr>
              <w:t>-Feb</w:t>
            </w:r>
            <w:r w:rsidR="003720C1">
              <w:rPr>
                <w:rFonts w:cs="Arial"/>
                <w:color w:val="000000"/>
                <w:sz w:val="18"/>
                <w:szCs w:val="18"/>
              </w:rPr>
              <w:t>.</w:t>
            </w:r>
            <w:r>
              <w:rPr>
                <w:rFonts w:cs="Arial"/>
                <w:color w:val="000000"/>
                <w:sz w:val="18"/>
                <w:szCs w:val="18"/>
              </w:rPr>
              <w:t>* 2022</w:t>
            </w:r>
          </w:p>
        </w:tc>
        <w:tc>
          <w:tcPr>
            <w:tcW w:w="3034" w:type="pct"/>
            <w:gridSpan w:val="5"/>
            <w:tcBorders>
              <w:top w:val="double" w:sz="4" w:space="0" w:color="0F243E" w:themeColor="text2" w:themeShade="80"/>
              <w:left w:val="double" w:sz="4" w:space="0" w:color="0F243E" w:themeColor="text2" w:themeShade="80"/>
              <w:bottom w:val="double" w:sz="4" w:space="0" w:color="auto"/>
              <w:right w:val="double" w:sz="4" w:space="0" w:color="0F243E" w:themeColor="text2" w:themeShade="80"/>
            </w:tcBorders>
            <w:shd w:val="clear" w:color="auto" w:fill="D6E3BC" w:themeFill="accent3" w:themeFillTint="66"/>
            <w:vAlign w:val="center"/>
          </w:tcPr>
          <w:p w14:paraId="54CB86E5" w14:textId="19EAD4EE" w:rsidR="00903744" w:rsidRDefault="00903744"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67323A" w:rsidRPr="00075546" w14:paraId="139BB901" w14:textId="1F02EA44" w:rsidTr="0055413A">
        <w:trPr>
          <w:trHeight w:val="253"/>
          <w:jc w:val="center"/>
        </w:trPr>
        <w:tc>
          <w:tcPr>
            <w:tcW w:w="1140"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67323A" w:rsidRPr="00231C06" w:rsidRDefault="0067323A" w:rsidP="004F6856">
            <w:pPr>
              <w:keepNext/>
              <w:keepLines/>
              <w:widowControl w:val="0"/>
              <w:spacing w:before="60" w:after="60"/>
              <w:jc w:val="center"/>
              <w:rPr>
                <w:rFonts w:ascii="Arial" w:hAnsi="Arial" w:cs="Arial"/>
                <w:snapToGrid w:val="0"/>
                <w:sz w:val="18"/>
                <w:szCs w:val="18"/>
                <w:lang w:eastAsia="en-US"/>
              </w:rPr>
            </w:pPr>
          </w:p>
        </w:tc>
        <w:tc>
          <w:tcPr>
            <w:tcW w:w="827"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67323A" w:rsidRPr="00231C06" w:rsidRDefault="0067323A"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1236" w:type="pct"/>
            <w:gridSpan w:val="2"/>
            <w:tcBorders>
              <w:top w:val="double" w:sz="4" w:space="0" w:color="auto"/>
              <w:left w:val="double" w:sz="4" w:space="0" w:color="0F243E" w:themeColor="text2" w:themeShade="80"/>
              <w:bottom w:val="double" w:sz="4" w:space="0" w:color="auto"/>
              <w:right w:val="double" w:sz="4" w:space="0" w:color="0F243E" w:themeColor="text2" w:themeShade="80"/>
            </w:tcBorders>
            <w:shd w:val="clear" w:color="auto" w:fill="D6E3BC" w:themeFill="accent3" w:themeFillTint="66"/>
            <w:vAlign w:val="center"/>
          </w:tcPr>
          <w:p w14:paraId="5CD038D6" w14:textId="2A3733AA" w:rsidR="0067323A" w:rsidRDefault="0067323A"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c>
          <w:tcPr>
            <w:tcW w:w="1797" w:type="pct"/>
            <w:gridSpan w:val="3"/>
            <w:tcBorders>
              <w:top w:val="double" w:sz="4" w:space="0" w:color="auto"/>
              <w:left w:val="double" w:sz="4" w:space="0" w:color="0F243E" w:themeColor="text2" w:themeShade="80"/>
              <w:bottom w:val="double" w:sz="4" w:space="0" w:color="auto"/>
              <w:right w:val="double" w:sz="4" w:space="0" w:color="0F243E" w:themeColor="text2" w:themeShade="80"/>
            </w:tcBorders>
            <w:shd w:val="clear" w:color="auto" w:fill="D6E3BC" w:themeFill="accent3" w:themeFillTint="66"/>
            <w:vAlign w:val="center"/>
          </w:tcPr>
          <w:p w14:paraId="4DE1FBD5" w14:textId="020F5D3D" w:rsidR="0067323A" w:rsidRDefault="0067323A"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2022</w:t>
            </w:r>
          </w:p>
        </w:tc>
      </w:tr>
      <w:tr w:rsidR="0067323A" w:rsidRPr="00075546" w14:paraId="55E911BE" w14:textId="7186FF01" w:rsidTr="0055413A">
        <w:trPr>
          <w:trHeight w:val="110"/>
          <w:jc w:val="center"/>
        </w:trPr>
        <w:tc>
          <w:tcPr>
            <w:tcW w:w="1140"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67323A" w:rsidRPr="00231C06" w:rsidRDefault="0067323A" w:rsidP="0067323A">
            <w:pPr>
              <w:pStyle w:val="Textoindependiente21"/>
              <w:keepNext/>
              <w:keepLines/>
              <w:widowControl w:val="0"/>
              <w:numPr>
                <w:ilvl w:val="12"/>
                <w:numId w:val="0"/>
              </w:numPr>
              <w:spacing w:before="120" w:after="120"/>
              <w:jc w:val="center"/>
              <w:rPr>
                <w:rFonts w:cs="Arial"/>
                <w:color w:val="000000"/>
                <w:sz w:val="18"/>
                <w:szCs w:val="18"/>
                <w:lang w:val="es-ES"/>
              </w:rPr>
            </w:pPr>
          </w:p>
        </w:tc>
        <w:tc>
          <w:tcPr>
            <w:tcW w:w="827"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67323A" w:rsidRPr="00231C06" w:rsidRDefault="0067323A" w:rsidP="0067323A">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60" w:type="pct"/>
            <w:tcBorders>
              <w:top w:val="double" w:sz="4" w:space="0" w:color="auto"/>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0E203CC3" w:rsidR="0067323A" w:rsidRDefault="0067323A"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p>
        </w:tc>
        <w:tc>
          <w:tcPr>
            <w:tcW w:w="676" w:type="pct"/>
            <w:tcBorders>
              <w:top w:val="double" w:sz="4" w:space="0" w:color="auto"/>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5AF6A196" w:rsidR="0067323A" w:rsidRDefault="0067323A"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92" w:type="pct"/>
            <w:tcBorders>
              <w:top w:val="double" w:sz="4" w:space="0" w:color="auto"/>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05990B35" w:rsidR="0067323A" w:rsidRDefault="00A65B39"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p>
        </w:tc>
        <w:tc>
          <w:tcPr>
            <w:tcW w:w="592" w:type="pct"/>
            <w:tcBorders>
              <w:top w:val="double" w:sz="4" w:space="0" w:color="auto"/>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2E7CD235" w:rsidR="0067323A" w:rsidRDefault="00A65B39"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Feb.</w:t>
            </w:r>
          </w:p>
        </w:tc>
        <w:tc>
          <w:tcPr>
            <w:tcW w:w="613" w:type="pct"/>
            <w:tcBorders>
              <w:top w:val="double" w:sz="4" w:space="0" w:color="auto"/>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2F1C764" w14:textId="4DDC2295" w:rsidR="0067323A" w:rsidRDefault="0067323A" w:rsidP="0067323A">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A65B39">
              <w:rPr>
                <w:rFonts w:ascii="Arial" w:hAnsi="Arial" w:cs="Arial"/>
                <w:color w:val="000000"/>
                <w:sz w:val="18"/>
                <w:szCs w:val="18"/>
              </w:rPr>
              <w:t>-Feb</w:t>
            </w:r>
            <w:r>
              <w:rPr>
                <w:rFonts w:ascii="Arial" w:hAnsi="Arial" w:cs="Arial"/>
                <w:color w:val="000000"/>
                <w:sz w:val="18"/>
                <w:szCs w:val="18"/>
              </w:rPr>
              <w:t>.*</w:t>
            </w:r>
          </w:p>
        </w:tc>
      </w:tr>
      <w:tr w:rsidR="005A2979" w:rsidRPr="00075546" w14:paraId="2C6730F8" w14:textId="707B353F" w:rsidTr="00A65B39">
        <w:trPr>
          <w:jc w:val="center"/>
        </w:trPr>
        <w:tc>
          <w:tcPr>
            <w:tcW w:w="1140"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5A2979" w:rsidRPr="00231C06" w:rsidRDefault="005A2979" w:rsidP="005A2979">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27" w:type="pct"/>
            <w:tcBorders>
              <w:top w:val="double" w:sz="4" w:space="0" w:color="0F243E" w:themeColor="text2" w:themeShade="80"/>
              <w:left w:val="nil"/>
              <w:bottom w:val="nil"/>
              <w:right w:val="double" w:sz="4" w:space="0" w:color="0F243E" w:themeColor="text2" w:themeShade="80"/>
            </w:tcBorders>
            <w:vAlign w:val="center"/>
          </w:tcPr>
          <w:p w14:paraId="4F5E192A" w14:textId="6452C5A5" w:rsidR="005A2979" w:rsidRPr="003A1E24" w:rsidRDefault="005A2979" w:rsidP="005A2979">
            <w:pPr>
              <w:tabs>
                <w:tab w:val="decimal" w:pos="560"/>
              </w:tabs>
              <w:rPr>
                <w:rFonts w:ascii="Arial" w:hAnsi="Arial" w:cs="Arial"/>
                <w:b/>
                <w:sz w:val="18"/>
                <w:szCs w:val="18"/>
              </w:rPr>
            </w:pPr>
            <w:r>
              <w:rPr>
                <w:rFonts w:ascii="Arial" w:hAnsi="Arial" w:cs="Arial"/>
                <w:b/>
                <w:sz w:val="18"/>
                <w:szCs w:val="18"/>
              </w:rPr>
              <w:t>100.00</w:t>
            </w:r>
          </w:p>
        </w:tc>
        <w:tc>
          <w:tcPr>
            <w:tcW w:w="560" w:type="pct"/>
            <w:tcBorders>
              <w:top w:val="double" w:sz="4" w:space="0" w:color="0F243E" w:themeColor="text2" w:themeShade="80"/>
              <w:left w:val="double" w:sz="4" w:space="0" w:color="0F243E" w:themeColor="text2" w:themeShade="80"/>
              <w:bottom w:val="nil"/>
              <w:right w:val="nil"/>
            </w:tcBorders>
            <w:vAlign w:val="center"/>
          </w:tcPr>
          <w:p w14:paraId="70A03B69" w14:textId="575DFF3A" w:rsidR="005A2979" w:rsidRDefault="005A2979" w:rsidP="005A2979">
            <w:pPr>
              <w:widowControl w:val="0"/>
              <w:tabs>
                <w:tab w:val="decimal" w:pos="506"/>
              </w:tabs>
              <w:rPr>
                <w:rFonts w:ascii="Arial" w:hAnsi="Arial" w:cs="Arial"/>
                <w:b/>
                <w:bCs/>
                <w:sz w:val="18"/>
                <w:szCs w:val="18"/>
              </w:rPr>
            </w:pPr>
            <w:r>
              <w:rPr>
                <w:rFonts w:ascii="Arial" w:hAnsi="Arial" w:cs="Arial"/>
                <w:b/>
                <w:bCs/>
                <w:sz w:val="18"/>
                <w:szCs w:val="18"/>
              </w:rPr>
              <w:t>9.3</w:t>
            </w:r>
          </w:p>
        </w:tc>
        <w:tc>
          <w:tcPr>
            <w:tcW w:w="676" w:type="pct"/>
            <w:tcBorders>
              <w:top w:val="double" w:sz="4" w:space="0" w:color="0F243E" w:themeColor="text2" w:themeShade="80"/>
              <w:left w:val="nil"/>
              <w:bottom w:val="nil"/>
              <w:right w:val="double" w:sz="4" w:space="0" w:color="0F243E" w:themeColor="text2" w:themeShade="80"/>
            </w:tcBorders>
            <w:vAlign w:val="center"/>
          </w:tcPr>
          <w:p w14:paraId="4E141518" w14:textId="663856AA" w:rsidR="005A2979" w:rsidRDefault="005A2979" w:rsidP="005A2979">
            <w:pPr>
              <w:tabs>
                <w:tab w:val="decimal" w:pos="506"/>
              </w:tabs>
              <w:rPr>
                <w:rFonts w:ascii="Arial" w:hAnsi="Arial" w:cs="Arial"/>
                <w:b/>
                <w:bCs/>
                <w:sz w:val="18"/>
                <w:szCs w:val="18"/>
              </w:rPr>
            </w:pPr>
            <w:r>
              <w:rPr>
                <w:rFonts w:ascii="Arial" w:hAnsi="Arial" w:cs="Arial"/>
                <w:b/>
                <w:bCs/>
                <w:sz w:val="18"/>
                <w:szCs w:val="18"/>
              </w:rPr>
              <w:t>16.5</w:t>
            </w:r>
          </w:p>
        </w:tc>
        <w:tc>
          <w:tcPr>
            <w:tcW w:w="592" w:type="pct"/>
            <w:tcBorders>
              <w:top w:val="double" w:sz="4" w:space="0" w:color="0F243E" w:themeColor="text2" w:themeShade="80"/>
              <w:left w:val="double" w:sz="4" w:space="0" w:color="0F243E" w:themeColor="text2" w:themeShade="80"/>
              <w:bottom w:val="nil"/>
              <w:right w:val="nil"/>
            </w:tcBorders>
            <w:vAlign w:val="center"/>
          </w:tcPr>
          <w:p w14:paraId="65671A04" w14:textId="66723423" w:rsidR="005A2979" w:rsidRDefault="005A2979" w:rsidP="005A2979">
            <w:pPr>
              <w:tabs>
                <w:tab w:val="decimal" w:pos="419"/>
              </w:tabs>
              <w:rPr>
                <w:rFonts w:ascii="Arial" w:hAnsi="Arial" w:cs="Arial"/>
                <w:b/>
                <w:bCs/>
                <w:sz w:val="18"/>
                <w:szCs w:val="18"/>
              </w:rPr>
            </w:pPr>
            <w:r>
              <w:rPr>
                <w:rFonts w:ascii="Arial" w:hAnsi="Arial" w:cs="Arial"/>
                <w:b/>
                <w:bCs/>
                <w:sz w:val="18"/>
                <w:szCs w:val="18"/>
              </w:rPr>
              <w:t>1.9</w:t>
            </w:r>
          </w:p>
        </w:tc>
        <w:tc>
          <w:tcPr>
            <w:tcW w:w="592" w:type="pct"/>
            <w:tcBorders>
              <w:top w:val="double" w:sz="4" w:space="0" w:color="0F243E" w:themeColor="text2" w:themeShade="80"/>
              <w:left w:val="nil"/>
              <w:bottom w:val="nil"/>
              <w:right w:val="nil"/>
            </w:tcBorders>
            <w:vAlign w:val="center"/>
          </w:tcPr>
          <w:p w14:paraId="737A0D90" w14:textId="0856A2F3"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26.5</w:t>
            </w:r>
          </w:p>
        </w:tc>
        <w:tc>
          <w:tcPr>
            <w:tcW w:w="613" w:type="pct"/>
            <w:tcBorders>
              <w:top w:val="double" w:sz="4" w:space="0" w:color="0F243E" w:themeColor="text2" w:themeShade="80"/>
              <w:left w:val="nil"/>
              <w:bottom w:val="nil"/>
              <w:right w:val="double" w:sz="4" w:space="0" w:color="0F243E" w:themeColor="text2" w:themeShade="80"/>
            </w:tcBorders>
            <w:vAlign w:val="center"/>
          </w:tcPr>
          <w:p w14:paraId="41B69DA2" w14:textId="2D88524F"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14.8</w:t>
            </w:r>
          </w:p>
        </w:tc>
      </w:tr>
      <w:tr w:rsidR="005A2979" w:rsidRPr="00075546" w14:paraId="3571A734" w14:textId="15CA317C" w:rsidTr="00A65B39">
        <w:trPr>
          <w:jc w:val="center"/>
        </w:trPr>
        <w:tc>
          <w:tcPr>
            <w:tcW w:w="1140"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5A2979" w:rsidRPr="00231C06" w:rsidRDefault="005A2979" w:rsidP="005A2979">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27" w:type="pct"/>
            <w:tcBorders>
              <w:top w:val="nil"/>
              <w:left w:val="nil"/>
              <w:bottom w:val="nil"/>
              <w:right w:val="double" w:sz="4" w:space="0" w:color="0F243E" w:themeColor="text2" w:themeShade="80"/>
            </w:tcBorders>
            <w:vAlign w:val="center"/>
          </w:tcPr>
          <w:p w14:paraId="41E104EA" w14:textId="44392DFF" w:rsidR="005A2979" w:rsidRPr="00B66D8E" w:rsidRDefault="005A2979" w:rsidP="005A2979">
            <w:pPr>
              <w:tabs>
                <w:tab w:val="decimal" w:pos="560"/>
              </w:tabs>
              <w:rPr>
                <w:rFonts w:ascii="Arial" w:hAnsi="Arial" w:cs="Arial"/>
                <w:b/>
                <w:bCs/>
                <w:sz w:val="18"/>
                <w:szCs w:val="18"/>
              </w:rPr>
            </w:pPr>
            <w:r>
              <w:rPr>
                <w:rFonts w:ascii="Arial" w:hAnsi="Arial" w:cs="Arial"/>
                <w:b/>
                <w:bCs/>
                <w:sz w:val="18"/>
                <w:szCs w:val="18"/>
              </w:rPr>
              <w:t>81.13</w:t>
            </w:r>
          </w:p>
        </w:tc>
        <w:tc>
          <w:tcPr>
            <w:tcW w:w="560" w:type="pct"/>
            <w:tcBorders>
              <w:top w:val="nil"/>
              <w:left w:val="double" w:sz="4" w:space="0" w:color="0F243E" w:themeColor="text2" w:themeShade="80"/>
              <w:bottom w:val="nil"/>
              <w:right w:val="nil"/>
            </w:tcBorders>
            <w:vAlign w:val="center"/>
          </w:tcPr>
          <w:p w14:paraId="56B3C397" w14:textId="2F266935" w:rsidR="005A2979" w:rsidRDefault="005A2979" w:rsidP="005A2979">
            <w:pPr>
              <w:widowControl w:val="0"/>
              <w:tabs>
                <w:tab w:val="decimal" w:pos="506"/>
              </w:tabs>
              <w:rPr>
                <w:rFonts w:ascii="Arial" w:hAnsi="Arial" w:cs="Arial"/>
                <w:b/>
                <w:bCs/>
                <w:sz w:val="18"/>
                <w:szCs w:val="18"/>
              </w:rPr>
            </w:pPr>
            <w:r>
              <w:rPr>
                <w:rFonts w:ascii="Arial" w:hAnsi="Arial" w:cs="Arial"/>
                <w:b/>
                <w:bCs/>
                <w:sz w:val="18"/>
                <w:szCs w:val="18"/>
              </w:rPr>
              <w:t>10.7</w:t>
            </w:r>
          </w:p>
        </w:tc>
        <w:tc>
          <w:tcPr>
            <w:tcW w:w="676" w:type="pct"/>
            <w:tcBorders>
              <w:top w:val="nil"/>
              <w:left w:val="nil"/>
              <w:bottom w:val="nil"/>
              <w:right w:val="double" w:sz="4" w:space="0" w:color="0F243E" w:themeColor="text2" w:themeShade="80"/>
            </w:tcBorders>
            <w:vAlign w:val="center"/>
          </w:tcPr>
          <w:p w14:paraId="4963652D" w14:textId="3EB8828A" w:rsidR="005A2979" w:rsidRDefault="005A2979" w:rsidP="005A2979">
            <w:pPr>
              <w:tabs>
                <w:tab w:val="decimal" w:pos="506"/>
              </w:tabs>
              <w:rPr>
                <w:rFonts w:ascii="Arial" w:hAnsi="Arial" w:cs="Arial"/>
                <w:b/>
                <w:bCs/>
                <w:sz w:val="18"/>
                <w:szCs w:val="18"/>
              </w:rPr>
            </w:pPr>
            <w:r>
              <w:rPr>
                <w:rFonts w:ascii="Arial" w:hAnsi="Arial" w:cs="Arial"/>
                <w:b/>
                <w:bCs/>
                <w:sz w:val="18"/>
                <w:szCs w:val="18"/>
              </w:rPr>
              <w:t>16.2</w:t>
            </w:r>
          </w:p>
        </w:tc>
        <w:tc>
          <w:tcPr>
            <w:tcW w:w="592" w:type="pct"/>
            <w:tcBorders>
              <w:top w:val="nil"/>
              <w:left w:val="double" w:sz="4" w:space="0" w:color="0F243E" w:themeColor="text2" w:themeShade="80"/>
              <w:bottom w:val="nil"/>
              <w:right w:val="nil"/>
            </w:tcBorders>
            <w:vAlign w:val="center"/>
          </w:tcPr>
          <w:p w14:paraId="10D058CF" w14:textId="314FEBD7" w:rsidR="005A2979" w:rsidRDefault="005A2979" w:rsidP="005A2979">
            <w:pPr>
              <w:tabs>
                <w:tab w:val="decimal" w:pos="419"/>
              </w:tabs>
              <w:rPr>
                <w:rFonts w:ascii="Arial" w:hAnsi="Arial" w:cs="Arial"/>
                <w:b/>
                <w:bCs/>
                <w:sz w:val="18"/>
                <w:szCs w:val="18"/>
              </w:rPr>
            </w:pPr>
            <w:r>
              <w:rPr>
                <w:rFonts w:ascii="Arial" w:hAnsi="Arial" w:cs="Arial"/>
                <w:b/>
                <w:bCs/>
                <w:sz w:val="18"/>
                <w:szCs w:val="18"/>
              </w:rPr>
              <w:t>4.1</w:t>
            </w:r>
          </w:p>
        </w:tc>
        <w:tc>
          <w:tcPr>
            <w:tcW w:w="592" w:type="pct"/>
            <w:tcBorders>
              <w:top w:val="nil"/>
              <w:left w:val="nil"/>
              <w:bottom w:val="nil"/>
              <w:right w:val="nil"/>
            </w:tcBorders>
            <w:vAlign w:val="center"/>
          </w:tcPr>
          <w:p w14:paraId="052D49B7" w14:textId="25E2F94E"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24.8</w:t>
            </w:r>
          </w:p>
        </w:tc>
        <w:tc>
          <w:tcPr>
            <w:tcW w:w="613" w:type="pct"/>
            <w:tcBorders>
              <w:top w:val="nil"/>
              <w:left w:val="nil"/>
              <w:bottom w:val="nil"/>
              <w:right w:val="double" w:sz="4" w:space="0" w:color="0F243E" w:themeColor="text2" w:themeShade="80"/>
            </w:tcBorders>
            <w:vAlign w:val="center"/>
          </w:tcPr>
          <w:p w14:paraId="08D92F87" w14:textId="307295CE"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15.0</w:t>
            </w:r>
          </w:p>
        </w:tc>
      </w:tr>
      <w:tr w:rsidR="005A2979" w:rsidRPr="00075546" w14:paraId="5D502775" w14:textId="0F00FA7B" w:rsidTr="00A65B39">
        <w:trPr>
          <w:jc w:val="center"/>
        </w:trPr>
        <w:tc>
          <w:tcPr>
            <w:tcW w:w="1140"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5A2979" w:rsidRPr="00231C06" w:rsidRDefault="005A2979" w:rsidP="005A297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27" w:type="pct"/>
            <w:tcBorders>
              <w:top w:val="nil"/>
              <w:left w:val="nil"/>
              <w:bottom w:val="nil"/>
              <w:right w:val="double" w:sz="4" w:space="0" w:color="0F243E" w:themeColor="text2" w:themeShade="80"/>
            </w:tcBorders>
            <w:vAlign w:val="center"/>
          </w:tcPr>
          <w:p w14:paraId="7AE35AF4" w14:textId="2A4375FD" w:rsidR="005A2979" w:rsidRPr="003A1E24" w:rsidRDefault="005A2979" w:rsidP="005A2979">
            <w:pPr>
              <w:tabs>
                <w:tab w:val="decimal" w:pos="560"/>
              </w:tabs>
              <w:rPr>
                <w:rFonts w:ascii="Arial" w:hAnsi="Arial" w:cs="Arial"/>
                <w:sz w:val="18"/>
                <w:szCs w:val="18"/>
              </w:rPr>
            </w:pPr>
            <w:r>
              <w:rPr>
                <w:rFonts w:ascii="Arial" w:hAnsi="Arial" w:cs="Arial"/>
                <w:sz w:val="18"/>
                <w:szCs w:val="18"/>
              </w:rPr>
              <w:t>24.67</w:t>
            </w:r>
          </w:p>
        </w:tc>
        <w:tc>
          <w:tcPr>
            <w:tcW w:w="560" w:type="pct"/>
            <w:tcBorders>
              <w:top w:val="nil"/>
              <w:left w:val="double" w:sz="4" w:space="0" w:color="0F243E" w:themeColor="text2" w:themeShade="80"/>
              <w:bottom w:val="nil"/>
              <w:right w:val="nil"/>
            </w:tcBorders>
            <w:vAlign w:val="center"/>
          </w:tcPr>
          <w:p w14:paraId="1C3D2ED5" w14:textId="63DDCF2A" w:rsidR="005A2979" w:rsidRDefault="005A2979" w:rsidP="005A2979">
            <w:pPr>
              <w:widowControl w:val="0"/>
              <w:tabs>
                <w:tab w:val="decimal" w:pos="506"/>
              </w:tabs>
              <w:rPr>
                <w:rFonts w:ascii="Arial" w:hAnsi="Arial" w:cs="Arial"/>
                <w:sz w:val="18"/>
                <w:szCs w:val="18"/>
              </w:rPr>
            </w:pPr>
            <w:r>
              <w:rPr>
                <w:rFonts w:ascii="Arial" w:hAnsi="Arial" w:cs="Arial"/>
                <w:sz w:val="18"/>
                <w:szCs w:val="18"/>
              </w:rPr>
              <w:t>-1.7</w:t>
            </w:r>
          </w:p>
        </w:tc>
        <w:tc>
          <w:tcPr>
            <w:tcW w:w="676" w:type="pct"/>
            <w:tcBorders>
              <w:top w:val="nil"/>
              <w:left w:val="nil"/>
              <w:bottom w:val="nil"/>
              <w:right w:val="double" w:sz="4" w:space="0" w:color="0F243E" w:themeColor="text2" w:themeShade="80"/>
            </w:tcBorders>
            <w:vAlign w:val="center"/>
          </w:tcPr>
          <w:p w14:paraId="723A6C74" w14:textId="6643B452" w:rsidR="005A2979" w:rsidRDefault="005A2979" w:rsidP="005A2979">
            <w:pPr>
              <w:tabs>
                <w:tab w:val="decimal" w:pos="506"/>
              </w:tabs>
              <w:rPr>
                <w:rFonts w:ascii="Arial" w:hAnsi="Arial" w:cs="Arial"/>
                <w:sz w:val="18"/>
                <w:szCs w:val="18"/>
              </w:rPr>
            </w:pPr>
            <w:r>
              <w:rPr>
                <w:rFonts w:ascii="Arial" w:hAnsi="Arial" w:cs="Arial"/>
                <w:sz w:val="18"/>
                <w:szCs w:val="18"/>
              </w:rPr>
              <w:t>13.7</w:t>
            </w:r>
          </w:p>
        </w:tc>
        <w:tc>
          <w:tcPr>
            <w:tcW w:w="592" w:type="pct"/>
            <w:tcBorders>
              <w:top w:val="nil"/>
              <w:left w:val="double" w:sz="4" w:space="0" w:color="0F243E" w:themeColor="text2" w:themeShade="80"/>
              <w:bottom w:val="nil"/>
              <w:right w:val="nil"/>
            </w:tcBorders>
            <w:vAlign w:val="center"/>
          </w:tcPr>
          <w:p w14:paraId="245B8938" w14:textId="34443467" w:rsidR="005A2979" w:rsidRDefault="005A2979" w:rsidP="005A2979">
            <w:pPr>
              <w:tabs>
                <w:tab w:val="decimal" w:pos="419"/>
              </w:tabs>
              <w:rPr>
                <w:rFonts w:ascii="Arial" w:hAnsi="Arial" w:cs="Arial"/>
                <w:sz w:val="18"/>
                <w:szCs w:val="18"/>
              </w:rPr>
            </w:pPr>
            <w:r>
              <w:rPr>
                <w:rFonts w:ascii="Arial" w:hAnsi="Arial" w:cs="Arial"/>
                <w:sz w:val="18"/>
                <w:szCs w:val="18"/>
              </w:rPr>
              <w:t>-18.5</w:t>
            </w:r>
          </w:p>
        </w:tc>
        <w:tc>
          <w:tcPr>
            <w:tcW w:w="592" w:type="pct"/>
            <w:tcBorders>
              <w:top w:val="nil"/>
              <w:left w:val="nil"/>
              <w:bottom w:val="nil"/>
              <w:right w:val="nil"/>
            </w:tcBorders>
            <w:vAlign w:val="center"/>
          </w:tcPr>
          <w:p w14:paraId="465F9E7E" w14:textId="2C31594D"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27.2</w:t>
            </w:r>
          </w:p>
        </w:tc>
        <w:tc>
          <w:tcPr>
            <w:tcW w:w="613" w:type="pct"/>
            <w:tcBorders>
              <w:top w:val="nil"/>
              <w:left w:val="nil"/>
              <w:bottom w:val="nil"/>
              <w:right w:val="double" w:sz="4" w:space="0" w:color="0F243E" w:themeColor="text2" w:themeShade="80"/>
            </w:tcBorders>
            <w:vAlign w:val="center"/>
          </w:tcPr>
          <w:p w14:paraId="3395E925" w14:textId="451CAA56"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4.7</w:t>
            </w:r>
          </w:p>
        </w:tc>
      </w:tr>
      <w:tr w:rsidR="005A2979" w:rsidRPr="00075546" w14:paraId="514B537E" w14:textId="191E0D94" w:rsidTr="00A65B39">
        <w:trPr>
          <w:jc w:val="center"/>
        </w:trPr>
        <w:tc>
          <w:tcPr>
            <w:tcW w:w="1140"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5A2979" w:rsidRPr="00231C06" w:rsidRDefault="005A2979" w:rsidP="005A297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27" w:type="pct"/>
            <w:tcBorders>
              <w:top w:val="nil"/>
              <w:left w:val="nil"/>
              <w:bottom w:val="nil"/>
              <w:right w:val="double" w:sz="4" w:space="0" w:color="0F243E" w:themeColor="text2" w:themeShade="80"/>
            </w:tcBorders>
            <w:vAlign w:val="center"/>
          </w:tcPr>
          <w:p w14:paraId="01271D9F" w14:textId="548F3075" w:rsidR="005A2979" w:rsidRPr="00B66D8E" w:rsidRDefault="005A2979" w:rsidP="005A2979">
            <w:pPr>
              <w:tabs>
                <w:tab w:val="decimal" w:pos="560"/>
              </w:tabs>
              <w:rPr>
                <w:rFonts w:ascii="Arial" w:hAnsi="Arial" w:cs="Arial"/>
                <w:bCs/>
                <w:sz w:val="18"/>
                <w:szCs w:val="18"/>
              </w:rPr>
            </w:pPr>
            <w:r>
              <w:rPr>
                <w:rFonts w:ascii="Arial" w:hAnsi="Arial" w:cs="Arial"/>
                <w:bCs/>
                <w:sz w:val="18"/>
                <w:szCs w:val="18"/>
              </w:rPr>
              <w:t>5</w:t>
            </w:r>
            <w:r w:rsidR="0055413A">
              <w:rPr>
                <w:rFonts w:ascii="Arial" w:hAnsi="Arial" w:cs="Arial"/>
                <w:bCs/>
                <w:sz w:val="18"/>
                <w:szCs w:val="18"/>
              </w:rPr>
              <w:t>6</w:t>
            </w:r>
            <w:r>
              <w:rPr>
                <w:rFonts w:ascii="Arial" w:hAnsi="Arial" w:cs="Arial"/>
                <w:bCs/>
                <w:sz w:val="18"/>
                <w:szCs w:val="18"/>
              </w:rPr>
              <w:t>.46</w:t>
            </w:r>
          </w:p>
        </w:tc>
        <w:tc>
          <w:tcPr>
            <w:tcW w:w="560" w:type="pct"/>
            <w:tcBorders>
              <w:top w:val="nil"/>
              <w:left w:val="double" w:sz="4" w:space="0" w:color="0F243E" w:themeColor="text2" w:themeShade="80"/>
              <w:bottom w:val="nil"/>
              <w:right w:val="nil"/>
            </w:tcBorders>
            <w:vAlign w:val="center"/>
          </w:tcPr>
          <w:p w14:paraId="5E18CD84" w14:textId="419BFC20" w:rsidR="005A2979" w:rsidRDefault="005A2979" w:rsidP="005A2979">
            <w:pPr>
              <w:widowControl w:val="0"/>
              <w:tabs>
                <w:tab w:val="decimal" w:pos="506"/>
              </w:tabs>
              <w:rPr>
                <w:rFonts w:ascii="Arial" w:hAnsi="Arial" w:cs="Arial"/>
                <w:sz w:val="18"/>
                <w:szCs w:val="18"/>
              </w:rPr>
            </w:pPr>
            <w:r>
              <w:rPr>
                <w:rFonts w:ascii="Arial" w:hAnsi="Arial" w:cs="Arial"/>
                <w:sz w:val="18"/>
                <w:szCs w:val="18"/>
              </w:rPr>
              <w:t>16.6</w:t>
            </w:r>
          </w:p>
        </w:tc>
        <w:tc>
          <w:tcPr>
            <w:tcW w:w="676" w:type="pct"/>
            <w:tcBorders>
              <w:top w:val="nil"/>
              <w:left w:val="nil"/>
              <w:bottom w:val="nil"/>
              <w:right w:val="double" w:sz="4" w:space="0" w:color="0F243E" w:themeColor="text2" w:themeShade="80"/>
            </w:tcBorders>
            <w:vAlign w:val="center"/>
          </w:tcPr>
          <w:p w14:paraId="789138D6" w14:textId="40482B5E" w:rsidR="005A2979" w:rsidRDefault="005A2979" w:rsidP="005A2979">
            <w:pPr>
              <w:tabs>
                <w:tab w:val="decimal" w:pos="506"/>
              </w:tabs>
              <w:rPr>
                <w:rFonts w:ascii="Arial" w:hAnsi="Arial" w:cs="Arial"/>
                <w:sz w:val="18"/>
                <w:szCs w:val="18"/>
              </w:rPr>
            </w:pPr>
            <w:r>
              <w:rPr>
                <w:rFonts w:ascii="Arial" w:hAnsi="Arial" w:cs="Arial"/>
                <w:sz w:val="18"/>
                <w:szCs w:val="18"/>
              </w:rPr>
              <w:t>17.3</w:t>
            </w:r>
          </w:p>
        </w:tc>
        <w:tc>
          <w:tcPr>
            <w:tcW w:w="592" w:type="pct"/>
            <w:tcBorders>
              <w:top w:val="nil"/>
              <w:left w:val="double" w:sz="4" w:space="0" w:color="0F243E" w:themeColor="text2" w:themeShade="80"/>
              <w:bottom w:val="nil"/>
              <w:right w:val="nil"/>
            </w:tcBorders>
            <w:vAlign w:val="center"/>
          </w:tcPr>
          <w:p w14:paraId="6D9EAF4A" w14:textId="566C16ED" w:rsidR="005A2979" w:rsidRDefault="005A2979" w:rsidP="005A2979">
            <w:pPr>
              <w:tabs>
                <w:tab w:val="decimal" w:pos="419"/>
              </w:tabs>
              <w:rPr>
                <w:rFonts w:ascii="Arial" w:hAnsi="Arial" w:cs="Arial"/>
                <w:sz w:val="18"/>
                <w:szCs w:val="18"/>
              </w:rPr>
            </w:pPr>
            <w:r>
              <w:rPr>
                <w:rFonts w:ascii="Arial" w:hAnsi="Arial" w:cs="Arial"/>
                <w:sz w:val="18"/>
                <w:szCs w:val="18"/>
              </w:rPr>
              <w:t>16.2</w:t>
            </w:r>
          </w:p>
        </w:tc>
        <w:tc>
          <w:tcPr>
            <w:tcW w:w="592" w:type="pct"/>
            <w:tcBorders>
              <w:top w:val="nil"/>
              <w:left w:val="nil"/>
              <w:bottom w:val="nil"/>
              <w:right w:val="nil"/>
            </w:tcBorders>
            <w:vAlign w:val="center"/>
          </w:tcPr>
          <w:p w14:paraId="763E5B8E" w14:textId="18F1A377"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23.7</w:t>
            </w:r>
          </w:p>
        </w:tc>
        <w:tc>
          <w:tcPr>
            <w:tcW w:w="613" w:type="pct"/>
            <w:tcBorders>
              <w:top w:val="nil"/>
              <w:left w:val="nil"/>
              <w:bottom w:val="nil"/>
              <w:right w:val="double" w:sz="4" w:space="0" w:color="0F243E" w:themeColor="text2" w:themeShade="80"/>
            </w:tcBorders>
            <w:vAlign w:val="center"/>
          </w:tcPr>
          <w:p w14:paraId="30FBB824" w14:textId="0A8EE261"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20.2</w:t>
            </w:r>
          </w:p>
        </w:tc>
      </w:tr>
      <w:tr w:rsidR="005A2979" w:rsidRPr="00075546" w14:paraId="5CF8F748" w14:textId="43D3FA98" w:rsidTr="00A65B39">
        <w:trPr>
          <w:jc w:val="center"/>
        </w:trPr>
        <w:tc>
          <w:tcPr>
            <w:tcW w:w="1140"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5A2979" w:rsidRPr="00231C06" w:rsidRDefault="005A2979" w:rsidP="005A2979">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27" w:type="pct"/>
            <w:tcBorders>
              <w:top w:val="nil"/>
              <w:left w:val="nil"/>
              <w:bottom w:val="nil"/>
              <w:right w:val="double" w:sz="4" w:space="0" w:color="0F243E" w:themeColor="text2" w:themeShade="80"/>
            </w:tcBorders>
            <w:vAlign w:val="center"/>
          </w:tcPr>
          <w:p w14:paraId="07AD8029" w14:textId="26762922" w:rsidR="005A2979" w:rsidRPr="00B66D8E" w:rsidRDefault="005A2979" w:rsidP="005A2979">
            <w:pPr>
              <w:tabs>
                <w:tab w:val="decimal" w:pos="560"/>
              </w:tabs>
              <w:rPr>
                <w:rFonts w:ascii="Arial" w:hAnsi="Arial" w:cs="Arial"/>
                <w:b/>
                <w:bCs/>
                <w:sz w:val="18"/>
                <w:szCs w:val="18"/>
              </w:rPr>
            </w:pPr>
            <w:r>
              <w:rPr>
                <w:rFonts w:ascii="Arial" w:hAnsi="Arial" w:cs="Arial"/>
                <w:b/>
                <w:bCs/>
                <w:sz w:val="18"/>
                <w:szCs w:val="18"/>
              </w:rPr>
              <w:t>18.87</w:t>
            </w:r>
          </w:p>
        </w:tc>
        <w:tc>
          <w:tcPr>
            <w:tcW w:w="560" w:type="pct"/>
            <w:tcBorders>
              <w:top w:val="nil"/>
              <w:left w:val="double" w:sz="4" w:space="0" w:color="0F243E" w:themeColor="text2" w:themeShade="80"/>
              <w:bottom w:val="nil"/>
              <w:right w:val="nil"/>
            </w:tcBorders>
            <w:vAlign w:val="center"/>
          </w:tcPr>
          <w:p w14:paraId="5030FD7F" w14:textId="4848D84F" w:rsidR="005A2979" w:rsidRDefault="005A2979" w:rsidP="005A2979">
            <w:pPr>
              <w:widowControl w:val="0"/>
              <w:tabs>
                <w:tab w:val="decimal" w:pos="506"/>
              </w:tabs>
              <w:rPr>
                <w:rFonts w:ascii="Arial" w:hAnsi="Arial" w:cs="Arial"/>
                <w:b/>
                <w:bCs/>
                <w:sz w:val="18"/>
                <w:szCs w:val="18"/>
              </w:rPr>
            </w:pPr>
            <w:r>
              <w:rPr>
                <w:rFonts w:ascii="Arial" w:hAnsi="Arial" w:cs="Arial"/>
                <w:b/>
                <w:bCs/>
                <w:sz w:val="18"/>
                <w:szCs w:val="18"/>
              </w:rPr>
              <w:t>2.5</w:t>
            </w:r>
          </w:p>
        </w:tc>
        <w:tc>
          <w:tcPr>
            <w:tcW w:w="676" w:type="pct"/>
            <w:tcBorders>
              <w:top w:val="nil"/>
              <w:left w:val="nil"/>
              <w:bottom w:val="nil"/>
              <w:right w:val="double" w:sz="4" w:space="0" w:color="0F243E" w:themeColor="text2" w:themeShade="80"/>
            </w:tcBorders>
            <w:vAlign w:val="center"/>
          </w:tcPr>
          <w:p w14:paraId="0279DE16" w14:textId="4B7063FF" w:rsidR="005A2979" w:rsidRDefault="005A2979" w:rsidP="005A2979">
            <w:pPr>
              <w:tabs>
                <w:tab w:val="decimal" w:pos="506"/>
              </w:tabs>
              <w:rPr>
                <w:rFonts w:ascii="Arial" w:hAnsi="Arial" w:cs="Arial"/>
                <w:b/>
                <w:bCs/>
                <w:sz w:val="18"/>
                <w:szCs w:val="18"/>
              </w:rPr>
            </w:pPr>
            <w:r>
              <w:rPr>
                <w:rFonts w:ascii="Arial" w:hAnsi="Arial" w:cs="Arial"/>
                <w:b/>
                <w:bCs/>
                <w:sz w:val="18"/>
                <w:szCs w:val="18"/>
              </w:rPr>
              <w:t>17.8</w:t>
            </w:r>
          </w:p>
        </w:tc>
        <w:tc>
          <w:tcPr>
            <w:tcW w:w="592" w:type="pct"/>
            <w:tcBorders>
              <w:top w:val="nil"/>
              <w:left w:val="double" w:sz="4" w:space="0" w:color="0F243E" w:themeColor="text2" w:themeShade="80"/>
              <w:bottom w:val="nil"/>
              <w:right w:val="nil"/>
            </w:tcBorders>
            <w:vAlign w:val="center"/>
          </w:tcPr>
          <w:p w14:paraId="4F444854" w14:textId="39E2A0EA" w:rsidR="005A2979" w:rsidRDefault="005A2979" w:rsidP="005A2979">
            <w:pPr>
              <w:tabs>
                <w:tab w:val="decimal" w:pos="419"/>
              </w:tabs>
              <w:rPr>
                <w:rFonts w:ascii="Arial" w:hAnsi="Arial" w:cs="Arial"/>
                <w:b/>
                <w:bCs/>
                <w:sz w:val="18"/>
                <w:szCs w:val="18"/>
              </w:rPr>
            </w:pPr>
            <w:r>
              <w:rPr>
                <w:rFonts w:ascii="Arial" w:hAnsi="Arial" w:cs="Arial"/>
                <w:b/>
                <w:bCs/>
                <w:sz w:val="18"/>
                <w:szCs w:val="18"/>
              </w:rPr>
              <w:t>-7.4</w:t>
            </w:r>
          </w:p>
        </w:tc>
        <w:tc>
          <w:tcPr>
            <w:tcW w:w="592" w:type="pct"/>
            <w:tcBorders>
              <w:top w:val="nil"/>
              <w:left w:val="nil"/>
              <w:bottom w:val="nil"/>
              <w:right w:val="nil"/>
            </w:tcBorders>
            <w:vAlign w:val="center"/>
          </w:tcPr>
          <w:p w14:paraId="1849A984" w14:textId="145FE15C"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33.8</w:t>
            </w:r>
          </w:p>
        </w:tc>
        <w:tc>
          <w:tcPr>
            <w:tcW w:w="613" w:type="pct"/>
            <w:tcBorders>
              <w:top w:val="nil"/>
              <w:left w:val="nil"/>
              <w:bottom w:val="nil"/>
              <w:right w:val="double" w:sz="4" w:space="0" w:color="0F243E" w:themeColor="text2" w:themeShade="80"/>
            </w:tcBorders>
            <w:vAlign w:val="center"/>
          </w:tcPr>
          <w:p w14:paraId="364177EE" w14:textId="64AAF464" w:rsidR="005A2979" w:rsidRPr="001C3486" w:rsidRDefault="005A2979" w:rsidP="005A2979">
            <w:pPr>
              <w:tabs>
                <w:tab w:val="decimal" w:pos="471"/>
              </w:tabs>
              <w:rPr>
                <w:rFonts w:ascii="Arial" w:hAnsi="Arial" w:cs="Arial"/>
                <w:b/>
                <w:bCs/>
                <w:sz w:val="18"/>
                <w:szCs w:val="18"/>
              </w:rPr>
            </w:pPr>
            <w:r w:rsidRPr="001C3486">
              <w:rPr>
                <w:rFonts w:ascii="Arial" w:hAnsi="Arial" w:cs="Arial"/>
                <w:b/>
                <w:bCs/>
                <w:sz w:val="18"/>
                <w:szCs w:val="18"/>
              </w:rPr>
              <w:t>14.1</w:t>
            </w:r>
          </w:p>
        </w:tc>
      </w:tr>
      <w:tr w:rsidR="005A2979" w:rsidRPr="00075546" w14:paraId="46A4E156" w14:textId="08A2AFB8" w:rsidTr="00A65B39">
        <w:trPr>
          <w:jc w:val="center"/>
        </w:trPr>
        <w:tc>
          <w:tcPr>
            <w:tcW w:w="1140"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5A2979" w:rsidRPr="00231C06" w:rsidRDefault="005A2979" w:rsidP="005A297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27" w:type="pct"/>
            <w:tcBorders>
              <w:top w:val="nil"/>
              <w:left w:val="nil"/>
              <w:bottom w:val="nil"/>
              <w:right w:val="double" w:sz="4" w:space="0" w:color="0F243E" w:themeColor="text2" w:themeShade="80"/>
            </w:tcBorders>
            <w:vAlign w:val="center"/>
          </w:tcPr>
          <w:p w14:paraId="10569A32" w14:textId="4F4C3518" w:rsidR="005A2979" w:rsidRPr="003A1E24" w:rsidRDefault="005A2979" w:rsidP="005A2979">
            <w:pPr>
              <w:tabs>
                <w:tab w:val="decimal" w:pos="560"/>
              </w:tabs>
              <w:rPr>
                <w:rFonts w:ascii="Arial" w:hAnsi="Arial" w:cs="Arial"/>
                <w:sz w:val="18"/>
                <w:szCs w:val="18"/>
              </w:rPr>
            </w:pPr>
            <w:r>
              <w:rPr>
                <w:rFonts w:ascii="Arial" w:hAnsi="Arial" w:cs="Arial"/>
                <w:sz w:val="18"/>
                <w:szCs w:val="18"/>
              </w:rPr>
              <w:t>5.36</w:t>
            </w:r>
          </w:p>
        </w:tc>
        <w:tc>
          <w:tcPr>
            <w:tcW w:w="560" w:type="pct"/>
            <w:tcBorders>
              <w:top w:val="nil"/>
              <w:left w:val="double" w:sz="4" w:space="0" w:color="0F243E" w:themeColor="text2" w:themeShade="80"/>
              <w:bottom w:val="nil"/>
              <w:right w:val="nil"/>
            </w:tcBorders>
            <w:vAlign w:val="center"/>
          </w:tcPr>
          <w:p w14:paraId="62107F96" w14:textId="24B68A18" w:rsidR="005A2979" w:rsidRDefault="005A2979" w:rsidP="005A2979">
            <w:pPr>
              <w:widowControl w:val="0"/>
              <w:tabs>
                <w:tab w:val="decimal" w:pos="506"/>
              </w:tabs>
              <w:rPr>
                <w:rFonts w:ascii="Arial" w:hAnsi="Arial" w:cs="Arial"/>
                <w:sz w:val="18"/>
                <w:szCs w:val="18"/>
              </w:rPr>
            </w:pPr>
            <w:r>
              <w:rPr>
                <w:rFonts w:ascii="Arial" w:hAnsi="Arial" w:cs="Arial"/>
                <w:sz w:val="18"/>
                <w:szCs w:val="18"/>
              </w:rPr>
              <w:t>-19.6</w:t>
            </w:r>
          </w:p>
        </w:tc>
        <w:tc>
          <w:tcPr>
            <w:tcW w:w="676" w:type="pct"/>
            <w:tcBorders>
              <w:top w:val="nil"/>
              <w:left w:val="nil"/>
              <w:bottom w:val="nil"/>
              <w:right w:val="double" w:sz="4" w:space="0" w:color="0F243E" w:themeColor="text2" w:themeShade="80"/>
            </w:tcBorders>
            <w:vAlign w:val="center"/>
          </w:tcPr>
          <w:p w14:paraId="2DFB7E60" w14:textId="6C30DB28" w:rsidR="005A2979" w:rsidRDefault="005A2979" w:rsidP="005A2979">
            <w:pPr>
              <w:tabs>
                <w:tab w:val="decimal" w:pos="506"/>
              </w:tabs>
              <w:rPr>
                <w:rFonts w:ascii="Arial" w:hAnsi="Arial" w:cs="Arial"/>
                <w:sz w:val="18"/>
                <w:szCs w:val="18"/>
              </w:rPr>
            </w:pPr>
            <w:r>
              <w:rPr>
                <w:rFonts w:ascii="Arial" w:hAnsi="Arial" w:cs="Arial"/>
                <w:sz w:val="18"/>
                <w:szCs w:val="18"/>
              </w:rPr>
              <w:t>14.1</w:t>
            </w:r>
          </w:p>
        </w:tc>
        <w:tc>
          <w:tcPr>
            <w:tcW w:w="592" w:type="pct"/>
            <w:tcBorders>
              <w:top w:val="nil"/>
              <w:left w:val="double" w:sz="4" w:space="0" w:color="0F243E" w:themeColor="text2" w:themeShade="80"/>
              <w:bottom w:val="nil"/>
              <w:right w:val="nil"/>
            </w:tcBorders>
            <w:vAlign w:val="center"/>
          </w:tcPr>
          <w:p w14:paraId="18D0A051" w14:textId="388C9918" w:rsidR="005A2979" w:rsidRDefault="005A2979" w:rsidP="005A2979">
            <w:pPr>
              <w:tabs>
                <w:tab w:val="decimal" w:pos="419"/>
              </w:tabs>
              <w:rPr>
                <w:rFonts w:ascii="Arial" w:hAnsi="Arial" w:cs="Arial"/>
                <w:sz w:val="18"/>
                <w:szCs w:val="18"/>
              </w:rPr>
            </w:pPr>
            <w:r>
              <w:rPr>
                <w:rFonts w:ascii="Arial" w:hAnsi="Arial" w:cs="Arial"/>
                <w:sz w:val="18"/>
                <w:szCs w:val="18"/>
              </w:rPr>
              <w:t>-31.1</w:t>
            </w:r>
          </w:p>
        </w:tc>
        <w:tc>
          <w:tcPr>
            <w:tcW w:w="592" w:type="pct"/>
            <w:tcBorders>
              <w:top w:val="nil"/>
              <w:left w:val="nil"/>
              <w:bottom w:val="nil"/>
              <w:right w:val="nil"/>
            </w:tcBorders>
            <w:vAlign w:val="center"/>
          </w:tcPr>
          <w:p w14:paraId="242BFD65" w14:textId="0DCE0DDD"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54.3</w:t>
            </w:r>
          </w:p>
        </w:tc>
        <w:tc>
          <w:tcPr>
            <w:tcW w:w="613" w:type="pct"/>
            <w:tcBorders>
              <w:top w:val="nil"/>
              <w:left w:val="nil"/>
              <w:bottom w:val="nil"/>
              <w:right w:val="double" w:sz="4" w:space="0" w:color="0F243E" w:themeColor="text2" w:themeShade="80"/>
            </w:tcBorders>
            <w:vAlign w:val="center"/>
          </w:tcPr>
          <w:p w14:paraId="643BD98B" w14:textId="6570B157"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13.6</w:t>
            </w:r>
          </w:p>
        </w:tc>
      </w:tr>
      <w:tr w:rsidR="005A2979" w:rsidRPr="00075546" w14:paraId="6D5F9A46" w14:textId="67159012" w:rsidTr="00A65B39">
        <w:trPr>
          <w:jc w:val="center"/>
        </w:trPr>
        <w:tc>
          <w:tcPr>
            <w:tcW w:w="1140"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5A2979" w:rsidRPr="00231C06" w:rsidRDefault="005A2979" w:rsidP="005A2979">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27" w:type="pct"/>
            <w:tcBorders>
              <w:top w:val="nil"/>
              <w:left w:val="nil"/>
              <w:bottom w:val="double" w:sz="4" w:space="0" w:color="0F243E" w:themeColor="text2" w:themeShade="80"/>
              <w:right w:val="double" w:sz="4" w:space="0" w:color="0F243E" w:themeColor="text2" w:themeShade="80"/>
            </w:tcBorders>
            <w:vAlign w:val="center"/>
          </w:tcPr>
          <w:p w14:paraId="53D302C7" w14:textId="0CC6CD41" w:rsidR="005A2979" w:rsidRPr="00B66D8E" w:rsidRDefault="005A2979" w:rsidP="005A2979">
            <w:pPr>
              <w:tabs>
                <w:tab w:val="decimal" w:pos="560"/>
              </w:tabs>
              <w:rPr>
                <w:rFonts w:ascii="Arial" w:hAnsi="Arial" w:cs="Arial"/>
                <w:bCs/>
                <w:sz w:val="18"/>
                <w:szCs w:val="18"/>
              </w:rPr>
            </w:pPr>
            <w:r>
              <w:rPr>
                <w:rFonts w:ascii="Arial" w:hAnsi="Arial" w:cs="Arial"/>
                <w:bCs/>
                <w:sz w:val="18"/>
                <w:szCs w:val="18"/>
              </w:rPr>
              <w:t>13.51</w:t>
            </w:r>
          </w:p>
        </w:tc>
        <w:tc>
          <w:tcPr>
            <w:tcW w:w="560" w:type="pct"/>
            <w:tcBorders>
              <w:top w:val="nil"/>
              <w:left w:val="double" w:sz="4" w:space="0" w:color="0F243E" w:themeColor="text2" w:themeShade="80"/>
              <w:bottom w:val="double" w:sz="4" w:space="0" w:color="0F243E" w:themeColor="text2" w:themeShade="80"/>
              <w:right w:val="nil"/>
            </w:tcBorders>
            <w:vAlign w:val="center"/>
          </w:tcPr>
          <w:p w14:paraId="10A5B127" w14:textId="2927D591" w:rsidR="005A2979" w:rsidRDefault="005A2979" w:rsidP="005A2979">
            <w:pPr>
              <w:widowControl w:val="0"/>
              <w:tabs>
                <w:tab w:val="decimal" w:pos="506"/>
              </w:tabs>
              <w:rPr>
                <w:rFonts w:ascii="Arial" w:hAnsi="Arial" w:cs="Arial"/>
                <w:sz w:val="18"/>
                <w:szCs w:val="18"/>
              </w:rPr>
            </w:pPr>
            <w:r>
              <w:rPr>
                <w:rFonts w:ascii="Arial" w:hAnsi="Arial" w:cs="Arial"/>
                <w:sz w:val="18"/>
                <w:szCs w:val="18"/>
              </w:rPr>
              <w:t>12.2</w:t>
            </w:r>
          </w:p>
        </w:tc>
        <w:tc>
          <w:tcPr>
            <w:tcW w:w="676" w:type="pct"/>
            <w:tcBorders>
              <w:top w:val="nil"/>
              <w:left w:val="nil"/>
              <w:bottom w:val="double" w:sz="4" w:space="0" w:color="0F243E" w:themeColor="text2" w:themeShade="80"/>
              <w:right w:val="double" w:sz="4" w:space="0" w:color="0F243E" w:themeColor="text2" w:themeShade="80"/>
            </w:tcBorders>
            <w:vAlign w:val="center"/>
          </w:tcPr>
          <w:p w14:paraId="3F89E9E1" w14:textId="396F5A4F" w:rsidR="005A2979" w:rsidRDefault="005A2979" w:rsidP="005A2979">
            <w:pPr>
              <w:tabs>
                <w:tab w:val="decimal" w:pos="506"/>
              </w:tabs>
              <w:rPr>
                <w:rFonts w:ascii="Arial" w:hAnsi="Arial" w:cs="Arial"/>
                <w:sz w:val="18"/>
                <w:szCs w:val="18"/>
              </w:rPr>
            </w:pPr>
            <w:r>
              <w:rPr>
                <w:rFonts w:ascii="Arial" w:hAnsi="Arial" w:cs="Arial"/>
                <w:sz w:val="18"/>
                <w:szCs w:val="18"/>
              </w:rPr>
              <w:t>19.3</w:t>
            </w:r>
          </w:p>
        </w:tc>
        <w:tc>
          <w:tcPr>
            <w:tcW w:w="592" w:type="pct"/>
            <w:tcBorders>
              <w:top w:val="nil"/>
              <w:left w:val="double" w:sz="4" w:space="0" w:color="0F243E" w:themeColor="text2" w:themeShade="80"/>
              <w:bottom w:val="double" w:sz="4" w:space="0" w:color="0F243E" w:themeColor="text2" w:themeShade="80"/>
              <w:right w:val="nil"/>
            </w:tcBorders>
            <w:vAlign w:val="center"/>
          </w:tcPr>
          <w:p w14:paraId="08C960D9" w14:textId="3BB706BE" w:rsidR="005A2979" w:rsidRDefault="005A2979" w:rsidP="005A2979">
            <w:pPr>
              <w:tabs>
                <w:tab w:val="decimal" w:pos="419"/>
              </w:tabs>
              <w:rPr>
                <w:rFonts w:ascii="Arial" w:hAnsi="Arial" w:cs="Arial"/>
                <w:sz w:val="18"/>
                <w:szCs w:val="18"/>
              </w:rPr>
            </w:pPr>
            <w:r>
              <w:rPr>
                <w:rFonts w:ascii="Arial" w:hAnsi="Arial" w:cs="Arial"/>
                <w:sz w:val="18"/>
                <w:szCs w:val="18"/>
              </w:rPr>
              <w:t>2.0</w:t>
            </w:r>
          </w:p>
        </w:tc>
        <w:tc>
          <w:tcPr>
            <w:tcW w:w="592" w:type="pct"/>
            <w:tcBorders>
              <w:top w:val="nil"/>
              <w:left w:val="nil"/>
              <w:bottom w:val="double" w:sz="4" w:space="0" w:color="0F243E" w:themeColor="text2" w:themeShade="80"/>
              <w:right w:val="nil"/>
            </w:tcBorders>
            <w:vAlign w:val="center"/>
          </w:tcPr>
          <w:p w14:paraId="28DE25DF" w14:textId="702238ED" w:rsidR="005A2979" w:rsidRPr="001C3486" w:rsidRDefault="005A2979" w:rsidP="005A2979">
            <w:pPr>
              <w:tabs>
                <w:tab w:val="decimal" w:pos="471"/>
              </w:tabs>
              <w:rPr>
                <w:rFonts w:ascii="Arial" w:hAnsi="Arial" w:cs="Arial"/>
                <w:sz w:val="18"/>
                <w:szCs w:val="18"/>
              </w:rPr>
            </w:pPr>
            <w:r w:rsidRPr="001C3486">
              <w:rPr>
                <w:rFonts w:ascii="Arial" w:hAnsi="Arial" w:cs="Arial"/>
                <w:sz w:val="18"/>
                <w:szCs w:val="18"/>
              </w:rPr>
              <w:t>25.6</w:t>
            </w:r>
          </w:p>
        </w:tc>
        <w:tc>
          <w:tcPr>
            <w:tcW w:w="613" w:type="pct"/>
            <w:tcBorders>
              <w:top w:val="nil"/>
              <w:left w:val="nil"/>
              <w:bottom w:val="double" w:sz="4" w:space="0" w:color="0F243E" w:themeColor="text2" w:themeShade="80"/>
              <w:right w:val="double" w:sz="4" w:space="0" w:color="0F243E" w:themeColor="text2" w:themeShade="80"/>
            </w:tcBorders>
            <w:vAlign w:val="center"/>
          </w:tcPr>
          <w:p w14:paraId="4144F5EE" w14:textId="5CF6CA07" w:rsidR="005A2979" w:rsidRPr="001C3486" w:rsidRDefault="0055413A" w:rsidP="005A2979">
            <w:pPr>
              <w:tabs>
                <w:tab w:val="decimal" w:pos="471"/>
              </w:tabs>
              <w:rPr>
                <w:rFonts w:ascii="Arial" w:hAnsi="Arial" w:cs="Arial"/>
                <w:sz w:val="18"/>
                <w:szCs w:val="18"/>
              </w:rPr>
            </w:pPr>
            <w:r>
              <w:rPr>
                <w:rFonts w:ascii="Arial" w:hAnsi="Arial" w:cs="Arial"/>
                <w:sz w:val="18"/>
                <w:szCs w:val="18"/>
              </w:rPr>
              <w:t>14.3</w:t>
            </w:r>
          </w:p>
        </w:tc>
      </w:tr>
    </w:tbl>
    <w:p w14:paraId="5ABB28B5" w14:textId="2B069C6D" w:rsidR="00F82911" w:rsidRDefault="00AF1CF5"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0501A829" w14:textId="77777777" w:rsidR="00A452B8" w:rsidRDefault="00A452B8" w:rsidP="000F56B3">
      <w:pPr>
        <w:pStyle w:val="titulos"/>
        <w:spacing w:before="120" w:after="120" w:line="280" w:lineRule="exact"/>
        <w:ind w:left="851"/>
        <w:rPr>
          <w:u w:val="none"/>
        </w:rPr>
      </w:pPr>
    </w:p>
    <w:p w14:paraId="046E6265" w14:textId="18BF7BEB" w:rsidR="00757DAD" w:rsidRDefault="00904A4E" w:rsidP="000F56B3">
      <w:pPr>
        <w:pStyle w:val="titulos"/>
        <w:spacing w:before="120" w:after="120" w:line="280" w:lineRule="exact"/>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6A811DDD" w14:textId="5FC6E66F" w:rsidR="00C440CA" w:rsidRDefault="000F56B3" w:rsidP="00F153AC">
      <w:pPr>
        <w:pStyle w:val="Textoindependiente211"/>
        <w:numPr>
          <w:ilvl w:val="12"/>
          <w:numId w:val="0"/>
        </w:numPr>
        <w:spacing w:before="240" w:after="120" w:line="280" w:lineRule="exact"/>
        <w:rPr>
          <w:rFonts w:cs="Arial"/>
          <w:sz w:val="24"/>
          <w:szCs w:val="24"/>
        </w:rPr>
      </w:pPr>
      <w:r>
        <w:rPr>
          <w:rFonts w:cs="Arial"/>
          <w:sz w:val="24"/>
          <w:szCs w:val="24"/>
        </w:rPr>
        <w:t>E</w:t>
      </w:r>
      <w:r w:rsidRPr="000F56B3">
        <w:rPr>
          <w:rFonts w:cs="Arial"/>
          <w:sz w:val="24"/>
          <w:szCs w:val="24"/>
        </w:rPr>
        <w:t>n febrero de 2022</w:t>
      </w:r>
      <w:r>
        <w:rPr>
          <w:rFonts w:cs="Arial"/>
          <w:sz w:val="24"/>
          <w:szCs w:val="24"/>
        </w:rPr>
        <w:t>, l</w:t>
      </w:r>
      <w:r w:rsidRPr="000F56B3">
        <w:rPr>
          <w:rFonts w:cs="Arial"/>
          <w:sz w:val="24"/>
          <w:szCs w:val="24"/>
        </w:rPr>
        <w:t xml:space="preserve">as exportaciones de productos manufacturados alcanzaron 40,643 millones de dólares, lo que representó un alza </w:t>
      </w:r>
      <w:r w:rsidR="003D6A4D">
        <w:rPr>
          <w:rFonts w:cs="Arial"/>
          <w:sz w:val="24"/>
          <w:szCs w:val="24"/>
        </w:rPr>
        <w:t xml:space="preserve">anual </w:t>
      </w:r>
      <w:r w:rsidRPr="000F56B3">
        <w:rPr>
          <w:rFonts w:cs="Arial"/>
          <w:sz w:val="24"/>
          <w:szCs w:val="24"/>
        </w:rPr>
        <w:t>de 27.7%. L</w:t>
      </w:r>
      <w:r>
        <w:rPr>
          <w:rFonts w:cs="Arial"/>
          <w:sz w:val="24"/>
          <w:szCs w:val="24"/>
        </w:rPr>
        <w:t>o</w:t>
      </w:r>
      <w:r w:rsidRPr="000F56B3">
        <w:rPr>
          <w:rFonts w:cs="Arial"/>
          <w:sz w:val="24"/>
          <w:szCs w:val="24"/>
        </w:rPr>
        <w:t xml:space="preserve">s </w:t>
      </w:r>
      <w:r>
        <w:rPr>
          <w:rFonts w:cs="Arial"/>
          <w:sz w:val="24"/>
          <w:szCs w:val="24"/>
        </w:rPr>
        <w:t xml:space="preserve">aumentos </w:t>
      </w:r>
      <w:r w:rsidRPr="000F56B3">
        <w:rPr>
          <w:rFonts w:cs="Arial"/>
          <w:sz w:val="24"/>
          <w:szCs w:val="24"/>
        </w:rPr>
        <w:t xml:space="preserve">anuales más importantes se observaron en las exportaciones de productos de la siderurgia (80.6%), de maquinaria y equipo especial para industrias diversas (35.8%), de productos automotrices (31.8%), de alimentos, bebidas y tabaco (26%) y de equipos y aparatos eléctricos y electrónicos (21.7%). A su vez, el </w:t>
      </w:r>
      <w:r>
        <w:rPr>
          <w:rFonts w:cs="Arial"/>
          <w:sz w:val="24"/>
          <w:szCs w:val="24"/>
        </w:rPr>
        <w:t>incremento</w:t>
      </w:r>
      <w:r w:rsidRPr="000F56B3">
        <w:rPr>
          <w:rFonts w:cs="Arial"/>
          <w:sz w:val="24"/>
          <w:szCs w:val="24"/>
        </w:rPr>
        <w:t xml:space="preserve"> anual de las exportaciones de productos automotrices fue resultado de </w:t>
      </w:r>
      <w:r>
        <w:rPr>
          <w:rFonts w:cs="Arial"/>
          <w:sz w:val="24"/>
          <w:szCs w:val="24"/>
        </w:rPr>
        <w:t>avances</w:t>
      </w:r>
      <w:r w:rsidRPr="000F56B3">
        <w:rPr>
          <w:rFonts w:cs="Arial"/>
          <w:sz w:val="24"/>
          <w:szCs w:val="24"/>
        </w:rPr>
        <w:t xml:space="preserve"> de 27.2% en las ventas a Estados Unidos y de 54.3% en las dirigidas a otros mercados</w:t>
      </w:r>
      <w:r w:rsidR="008B7FDB">
        <w:rPr>
          <w:rFonts w:cs="Arial"/>
          <w:sz w:val="24"/>
          <w:szCs w:val="24"/>
        </w:rPr>
        <w:t xml:space="preserve"> (véanse cuadros 1 y 3).</w:t>
      </w:r>
    </w:p>
    <w:p w14:paraId="144267AC" w14:textId="77777777" w:rsidR="005054AD" w:rsidRDefault="005054AD" w:rsidP="00C053CB">
      <w:pPr>
        <w:pStyle w:val="Textoindependiente211"/>
        <w:numPr>
          <w:ilvl w:val="12"/>
          <w:numId w:val="0"/>
        </w:numPr>
        <w:spacing w:before="240" w:after="120" w:line="280" w:lineRule="exact"/>
        <w:rPr>
          <w:rFonts w:cs="Arial"/>
          <w:sz w:val="24"/>
          <w:szCs w:val="24"/>
        </w:rPr>
      </w:pPr>
    </w:p>
    <w:p w14:paraId="77496C46" w14:textId="77777777" w:rsidR="005054AD" w:rsidRDefault="005054AD" w:rsidP="00C053CB">
      <w:pPr>
        <w:pStyle w:val="Textoindependiente211"/>
        <w:numPr>
          <w:ilvl w:val="12"/>
          <w:numId w:val="0"/>
        </w:numPr>
        <w:spacing w:before="240" w:after="120" w:line="280" w:lineRule="exact"/>
        <w:rPr>
          <w:rFonts w:cs="Arial"/>
          <w:sz w:val="24"/>
          <w:szCs w:val="24"/>
        </w:rPr>
      </w:pPr>
    </w:p>
    <w:p w14:paraId="6116082A" w14:textId="77777777" w:rsidR="005054AD" w:rsidRDefault="005054AD" w:rsidP="00C053CB">
      <w:pPr>
        <w:pStyle w:val="Textoindependiente211"/>
        <w:numPr>
          <w:ilvl w:val="12"/>
          <w:numId w:val="0"/>
        </w:numPr>
        <w:spacing w:before="240" w:after="120" w:line="280" w:lineRule="exact"/>
        <w:rPr>
          <w:rFonts w:cs="Arial"/>
          <w:sz w:val="24"/>
          <w:szCs w:val="24"/>
        </w:rPr>
      </w:pPr>
    </w:p>
    <w:p w14:paraId="427FFE2C" w14:textId="77777777" w:rsidR="005054AD" w:rsidRDefault="005054AD" w:rsidP="00C053CB">
      <w:pPr>
        <w:pStyle w:val="Textoindependiente211"/>
        <w:numPr>
          <w:ilvl w:val="12"/>
          <w:numId w:val="0"/>
        </w:numPr>
        <w:spacing w:before="240" w:after="120" w:line="280" w:lineRule="exact"/>
        <w:rPr>
          <w:rFonts w:cs="Arial"/>
          <w:sz w:val="24"/>
          <w:szCs w:val="24"/>
        </w:rPr>
      </w:pPr>
    </w:p>
    <w:p w14:paraId="09CD996D" w14:textId="77777777" w:rsidR="005054AD" w:rsidRDefault="005054AD" w:rsidP="00C053CB">
      <w:pPr>
        <w:pStyle w:val="Textoindependiente211"/>
        <w:numPr>
          <w:ilvl w:val="12"/>
          <w:numId w:val="0"/>
        </w:numPr>
        <w:spacing w:before="240" w:after="120" w:line="280" w:lineRule="exact"/>
        <w:rPr>
          <w:rFonts w:cs="Arial"/>
          <w:sz w:val="24"/>
          <w:szCs w:val="24"/>
        </w:rPr>
      </w:pPr>
    </w:p>
    <w:p w14:paraId="289691D4" w14:textId="4346AFA8" w:rsidR="00D218C6" w:rsidRDefault="0081760D" w:rsidP="00C053CB">
      <w:pPr>
        <w:pStyle w:val="Textoindependiente211"/>
        <w:numPr>
          <w:ilvl w:val="12"/>
          <w:numId w:val="0"/>
        </w:numPr>
        <w:spacing w:before="240" w:after="120" w:line="280" w:lineRule="exact"/>
        <w:rPr>
          <w:rFonts w:cs="Arial"/>
          <w:sz w:val="24"/>
          <w:szCs w:val="24"/>
        </w:rPr>
      </w:pPr>
      <w:r w:rsidRPr="0081760D">
        <w:rPr>
          <w:rFonts w:cs="Arial"/>
          <w:sz w:val="24"/>
          <w:szCs w:val="24"/>
        </w:rPr>
        <w:lastRenderedPageBreak/>
        <w:t>En febrero de 2022, el valor de las exportaciones petroleras fue de 2,795 millones de dólares. Este monto se integró por 2,239 millones de dólares de ventas de petróleo crudo</w:t>
      </w:r>
      <w:r w:rsidRPr="00A75F37">
        <w:rPr>
          <w:rStyle w:val="Refdenotaalpie"/>
          <w:rFonts w:cs="Arial"/>
          <w:sz w:val="24"/>
          <w:szCs w:val="24"/>
          <w:lang w:val="es-ES"/>
        </w:rPr>
        <w:footnoteReference w:id="2"/>
      </w:r>
      <w:r w:rsidRPr="0081760D">
        <w:rPr>
          <w:rFonts w:cs="Arial"/>
          <w:sz w:val="24"/>
          <w:szCs w:val="24"/>
        </w:rPr>
        <w:t xml:space="preserve"> y por</w:t>
      </w:r>
      <w:r>
        <w:rPr>
          <w:rFonts w:cs="Arial"/>
          <w:sz w:val="24"/>
          <w:szCs w:val="24"/>
        </w:rPr>
        <w:t xml:space="preserve"> </w:t>
      </w:r>
      <w:r w:rsidRPr="0081760D">
        <w:rPr>
          <w:rFonts w:cs="Arial"/>
          <w:sz w:val="24"/>
          <w:szCs w:val="24"/>
        </w:rPr>
        <w:t xml:space="preserve">556 millones de dólares de exportaciones de otros productos petroleros. En ese mes, el precio promedio de la mezcla mexicana de crudo de exportación se situó en 86.39 dólares por barril, cifra mayor en 10.65 dólares respecto </w:t>
      </w:r>
      <w:r w:rsidR="00CD72D5">
        <w:rPr>
          <w:rFonts w:cs="Arial"/>
          <w:sz w:val="24"/>
          <w:szCs w:val="24"/>
        </w:rPr>
        <w:t xml:space="preserve">a la </w:t>
      </w:r>
      <w:r w:rsidRPr="0081760D">
        <w:rPr>
          <w:rFonts w:cs="Arial"/>
          <w:sz w:val="24"/>
          <w:szCs w:val="24"/>
        </w:rPr>
        <w:t xml:space="preserve">del mes previo y en 30.42 dólares en comparación con febrero de 2021. En cuanto al volumen de crudo exportado, </w:t>
      </w:r>
      <w:r w:rsidR="00217C11">
        <w:rPr>
          <w:rFonts w:cs="Arial"/>
          <w:sz w:val="24"/>
          <w:szCs w:val="24"/>
        </w:rPr>
        <w:t>é</w:t>
      </w:r>
      <w:r w:rsidRPr="0081760D">
        <w:rPr>
          <w:rFonts w:cs="Arial"/>
          <w:sz w:val="24"/>
          <w:szCs w:val="24"/>
        </w:rPr>
        <w:t>ste se ubicó en el mes de referencia en 0.925 millones de barriles diarios, nivel superior al de 0.832 millones de barriles diarios de enero, pero inferior al de 1.006 millones de barriles diarios de febrero de 2021.</w:t>
      </w:r>
    </w:p>
    <w:p w14:paraId="2FB9339C" w14:textId="61C89320" w:rsidR="00D86231" w:rsidRDefault="0081760D" w:rsidP="00C053CB">
      <w:pPr>
        <w:pStyle w:val="Textoindependiente211"/>
        <w:numPr>
          <w:ilvl w:val="12"/>
          <w:numId w:val="0"/>
        </w:numPr>
        <w:spacing w:before="240" w:after="120" w:line="280" w:lineRule="exact"/>
        <w:rPr>
          <w:rFonts w:cs="Arial"/>
          <w:sz w:val="24"/>
          <w:szCs w:val="24"/>
        </w:rPr>
      </w:pPr>
      <w:r w:rsidRPr="0081760D">
        <w:rPr>
          <w:rFonts w:cs="Arial"/>
          <w:sz w:val="24"/>
          <w:szCs w:val="24"/>
        </w:rPr>
        <w:t xml:space="preserve">El valor de las exportaciones agropecuarias y pesqueras en el segundo mes del año en curso fue de 1,900 millones de dólares, monto que implicó un crecimiento de 5.3% a tasa anual. Las expansiones anuales más importantes se registraron en las exportaciones de cítricos (76.1%), café crudo en grano (47.6%), fresas frescas (39.2%), aguacate (32.9%) y de frutas y frutos comestibles (16.2%). En contraste, las </w:t>
      </w:r>
      <w:r>
        <w:rPr>
          <w:rFonts w:cs="Arial"/>
          <w:sz w:val="24"/>
          <w:szCs w:val="24"/>
        </w:rPr>
        <w:t>caídas</w:t>
      </w:r>
      <w:r w:rsidRPr="0081760D">
        <w:rPr>
          <w:rFonts w:cs="Arial"/>
          <w:sz w:val="24"/>
          <w:szCs w:val="24"/>
        </w:rPr>
        <w:t xml:space="preserve"> anuales más relevantes se presentaron en las exportaciones de pimiento (37%) y de jitomate (17.3%).</w:t>
      </w:r>
      <w:r>
        <w:rPr>
          <w:rFonts w:asciiTheme="minorHAnsi" w:hAnsiTheme="minorHAnsi" w:cs="Calibri"/>
          <w:spacing w:val="5"/>
          <w:szCs w:val="22"/>
        </w:rPr>
        <w:t xml:space="preserve"> </w:t>
      </w:r>
      <w:r w:rsidR="003235DA">
        <w:rPr>
          <w:rFonts w:cs="Arial"/>
          <w:sz w:val="24"/>
          <w:szCs w:val="24"/>
        </w:rPr>
        <w:t xml:space="preserve">A su vez, </w:t>
      </w:r>
      <w:r w:rsidR="00EE0750" w:rsidRPr="00F153AC">
        <w:rPr>
          <w:rFonts w:cs="Arial"/>
          <w:sz w:val="24"/>
          <w:szCs w:val="24"/>
        </w:rPr>
        <w:t>las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sidR="008D516D">
        <w:rPr>
          <w:rFonts w:cs="Arial"/>
          <w:sz w:val="24"/>
          <w:szCs w:val="24"/>
        </w:rPr>
        <w:t>909</w:t>
      </w:r>
      <w:r w:rsidR="00431322">
        <w:rPr>
          <w:rFonts w:cs="Arial"/>
          <w:sz w:val="24"/>
          <w:szCs w:val="24"/>
        </w:rPr>
        <w:t xml:space="preserve"> </w:t>
      </w:r>
      <w:r w:rsidR="00EE0750" w:rsidRPr="00F153AC">
        <w:rPr>
          <w:rFonts w:cs="Arial"/>
          <w:sz w:val="24"/>
          <w:szCs w:val="24"/>
        </w:rPr>
        <w:t>millones de dólares con un</w:t>
      </w:r>
      <w:r w:rsidR="00E16926" w:rsidRPr="00F153AC">
        <w:rPr>
          <w:rFonts w:cs="Arial"/>
          <w:sz w:val="24"/>
          <w:szCs w:val="24"/>
        </w:rPr>
        <w:t xml:space="preserve"> </w:t>
      </w:r>
      <w:r w:rsidR="008D516D">
        <w:rPr>
          <w:rFonts w:cs="Arial"/>
          <w:sz w:val="24"/>
          <w:szCs w:val="24"/>
        </w:rPr>
        <w:t>crecimiento</w:t>
      </w:r>
      <w:r w:rsidR="003235DA" w:rsidRPr="00F153AC">
        <w:rPr>
          <w:rFonts w:cs="Arial"/>
          <w:sz w:val="24"/>
          <w:szCs w:val="24"/>
        </w:rPr>
        <w:t xml:space="preserve"> </w:t>
      </w:r>
      <w:r w:rsidR="00EE0750" w:rsidRPr="00F153AC">
        <w:rPr>
          <w:rFonts w:cs="Arial"/>
          <w:sz w:val="24"/>
          <w:szCs w:val="24"/>
        </w:rPr>
        <w:t xml:space="preserve">anual de </w:t>
      </w:r>
      <w:r w:rsidR="008D516D">
        <w:rPr>
          <w:rFonts w:cs="Arial"/>
          <w:sz w:val="24"/>
          <w:szCs w:val="24"/>
        </w:rPr>
        <w:t>24.6</w:t>
      </w:r>
      <w:r w:rsidR="0082734E">
        <w:rPr>
          <w:rFonts w:cs="Arial"/>
          <w:sz w:val="24"/>
          <w:szCs w:val="24"/>
        </w:rPr>
        <w:t>%</w:t>
      </w:r>
      <w:r w:rsidR="00EE0750" w:rsidRPr="00F153AC">
        <w:rPr>
          <w:rFonts w:cs="Arial"/>
          <w:sz w:val="24"/>
          <w:szCs w:val="24"/>
        </w:rPr>
        <w:t>.</w:t>
      </w:r>
    </w:p>
    <w:p w14:paraId="79E21A0A" w14:textId="6731A1A7" w:rsidR="00C053CB" w:rsidRPr="00C053CB" w:rsidRDefault="00E1371C" w:rsidP="00E1371C">
      <w:pPr>
        <w:pStyle w:val="Textoindependiente211"/>
        <w:numPr>
          <w:ilvl w:val="12"/>
          <w:numId w:val="0"/>
        </w:numPr>
        <w:spacing w:before="240" w:after="120" w:line="280" w:lineRule="exact"/>
        <w:rPr>
          <w:rFonts w:cs="Arial"/>
          <w:sz w:val="24"/>
          <w:szCs w:val="24"/>
        </w:rPr>
      </w:pPr>
      <w:r w:rsidRPr="00E1371C">
        <w:rPr>
          <w:rFonts w:cs="Arial"/>
          <w:sz w:val="24"/>
          <w:szCs w:val="24"/>
        </w:rPr>
        <w:t>En el periodo enero-febrero de 2022, el valor de las exportaciones totales sumó</w:t>
      </w:r>
      <w:r>
        <w:rPr>
          <w:rFonts w:cs="Arial"/>
          <w:sz w:val="24"/>
          <w:szCs w:val="24"/>
        </w:rPr>
        <w:t xml:space="preserve"> </w:t>
      </w:r>
      <w:r w:rsidRPr="00E1371C">
        <w:rPr>
          <w:rFonts w:cs="Arial"/>
          <w:sz w:val="24"/>
          <w:szCs w:val="24"/>
        </w:rPr>
        <w:t>80,145 millones de dólares, lo que significó un avance anual de 16.4%. Dicha tasa se derivó de alzas de 14.8% en las exportaciones no petroleras y de 45% en las petroleras.</w:t>
      </w:r>
    </w:p>
    <w:p w14:paraId="35EB48C3" w14:textId="2157F168" w:rsidR="00757DAD" w:rsidRDefault="00757DAD" w:rsidP="00C053CB">
      <w:pPr>
        <w:pStyle w:val="titulos"/>
        <w:spacing w:before="240" w:after="120" w:line="280" w:lineRule="exact"/>
        <w:ind w:left="851"/>
        <w:rPr>
          <w:u w:val="none"/>
        </w:rPr>
      </w:pPr>
      <w:r>
        <w:rPr>
          <w:u w:val="none"/>
        </w:rPr>
        <w:t xml:space="preserve">Estructura de las </w:t>
      </w:r>
      <w:r w:rsidR="001F12C3">
        <w:rPr>
          <w:u w:val="none"/>
        </w:rPr>
        <w:t>e</w:t>
      </w:r>
      <w:r>
        <w:rPr>
          <w:u w:val="none"/>
        </w:rPr>
        <w:t>xportaciones</w:t>
      </w:r>
    </w:p>
    <w:p w14:paraId="398F42D1" w14:textId="66CC744C" w:rsidR="00762DD3" w:rsidRPr="00E1371C" w:rsidRDefault="00E1371C" w:rsidP="00E1371C">
      <w:pPr>
        <w:pStyle w:val="Textoindependiente211"/>
        <w:numPr>
          <w:ilvl w:val="12"/>
          <w:numId w:val="0"/>
        </w:numPr>
        <w:spacing w:before="240" w:after="120" w:line="280" w:lineRule="exact"/>
        <w:rPr>
          <w:rFonts w:cs="Arial"/>
          <w:sz w:val="24"/>
          <w:szCs w:val="24"/>
        </w:rPr>
      </w:pPr>
      <w:r w:rsidRPr="00E1371C">
        <w:rPr>
          <w:rFonts w:cs="Arial"/>
          <w:sz w:val="24"/>
          <w:szCs w:val="24"/>
        </w:rPr>
        <w:t>La estructura del valor de las exportaciones de mercancías durante los primeros dos meses de 2022 fue la siguiente: bienes manufacturados 87%</w:t>
      </w:r>
      <w:r>
        <w:rPr>
          <w:rFonts w:cs="Arial"/>
          <w:sz w:val="24"/>
          <w:szCs w:val="24"/>
        </w:rPr>
        <w:t>,</w:t>
      </w:r>
      <w:r w:rsidRPr="00E1371C">
        <w:rPr>
          <w:rFonts w:cs="Arial"/>
          <w:sz w:val="24"/>
          <w:szCs w:val="24"/>
        </w:rPr>
        <w:t xml:space="preserve"> productos petroleros 6.5%</w:t>
      </w:r>
      <w:r>
        <w:rPr>
          <w:rFonts w:cs="Arial"/>
          <w:sz w:val="24"/>
          <w:szCs w:val="24"/>
        </w:rPr>
        <w:t>,</w:t>
      </w:r>
      <w:r w:rsidRPr="00E1371C">
        <w:rPr>
          <w:rFonts w:cs="Arial"/>
          <w:sz w:val="24"/>
          <w:szCs w:val="24"/>
        </w:rPr>
        <w:t xml:space="preserve"> bienes agropecuarios 4.6% y productos extractivos no petroleros 1.9%.</w:t>
      </w:r>
    </w:p>
    <w:p w14:paraId="3835004A" w14:textId="77777777" w:rsidR="00C053CB" w:rsidRDefault="00C053CB">
      <w:pPr>
        <w:rPr>
          <w:rFonts w:ascii="Arial" w:hAnsi="Arial"/>
          <w:b/>
          <w:i/>
          <w:szCs w:val="20"/>
          <w:lang w:val="es-ES_tradnl" w:eastAsia="es-ES"/>
        </w:rPr>
      </w:pPr>
      <w:r>
        <w:br w:type="page"/>
      </w:r>
    </w:p>
    <w:p w14:paraId="7A38744B" w14:textId="69A9F550" w:rsidR="00757DAD" w:rsidRDefault="00757DAD" w:rsidP="001F12C3">
      <w:pPr>
        <w:pStyle w:val="titulos"/>
        <w:spacing w:before="240" w:after="120" w:line="280" w:lineRule="exact"/>
        <w:ind w:left="567"/>
        <w:rPr>
          <w:u w:val="none"/>
        </w:rPr>
      </w:pPr>
      <w:r>
        <w:rPr>
          <w:u w:val="none"/>
        </w:rPr>
        <w:lastRenderedPageBreak/>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151BE889" w:rsidR="00C3346C" w:rsidRDefault="00023964" w:rsidP="00C3346C">
      <w:pPr>
        <w:pStyle w:val="Textoindependiente211"/>
        <w:numPr>
          <w:ilvl w:val="12"/>
          <w:numId w:val="0"/>
        </w:numPr>
        <w:spacing w:before="240" w:after="0" w:line="280" w:lineRule="exact"/>
        <w:rPr>
          <w:sz w:val="24"/>
          <w:szCs w:val="24"/>
          <w:lang w:val="es-ES"/>
        </w:rPr>
      </w:pPr>
      <w:r w:rsidRPr="00023964">
        <w:rPr>
          <w:sz w:val="24"/>
          <w:szCs w:val="24"/>
          <w:lang w:val="es-ES"/>
        </w:rPr>
        <w:t>El valor de las importaciones de mercancías en febrero de 2022 se ubicó en</w:t>
      </w:r>
      <w:r>
        <w:rPr>
          <w:sz w:val="24"/>
          <w:szCs w:val="24"/>
          <w:lang w:val="es-ES"/>
        </w:rPr>
        <w:t xml:space="preserve"> </w:t>
      </w:r>
      <w:r w:rsidRPr="00023964">
        <w:rPr>
          <w:sz w:val="24"/>
          <w:szCs w:val="24"/>
          <w:lang w:val="es-ES"/>
        </w:rPr>
        <w:t>44,953 millones de dólares, lo que representó un alza anual de 34.2%.</w:t>
      </w:r>
    </w:p>
    <w:p w14:paraId="6036EC00" w14:textId="589256A3" w:rsidR="00757DAD" w:rsidRDefault="00757DAD" w:rsidP="001F12C3">
      <w:pPr>
        <w:pStyle w:val="titulos"/>
        <w:spacing w:before="240" w:after="120" w:line="280" w:lineRule="exact"/>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02DADFD0" w14:textId="40E3B141" w:rsidR="00023964" w:rsidRDefault="00023964" w:rsidP="00023964">
      <w:pPr>
        <w:pStyle w:val="Textoindependiente211"/>
        <w:numPr>
          <w:ilvl w:val="12"/>
          <w:numId w:val="0"/>
        </w:numPr>
        <w:spacing w:before="240" w:after="0" w:line="280" w:lineRule="exact"/>
        <w:rPr>
          <w:sz w:val="24"/>
          <w:szCs w:val="24"/>
          <w:lang w:val="es-ES"/>
        </w:rPr>
      </w:pPr>
      <w:r>
        <w:rPr>
          <w:sz w:val="24"/>
          <w:szCs w:val="24"/>
          <w:lang w:val="es-ES"/>
        </w:rPr>
        <w:t>E</w:t>
      </w:r>
      <w:r w:rsidRPr="00023964">
        <w:rPr>
          <w:sz w:val="24"/>
          <w:szCs w:val="24"/>
          <w:lang w:val="es-ES"/>
        </w:rPr>
        <w:t xml:space="preserve">n febrero de </w:t>
      </w:r>
      <w:proofErr w:type="gramStart"/>
      <w:r w:rsidRPr="00023964">
        <w:rPr>
          <w:sz w:val="24"/>
          <w:szCs w:val="24"/>
          <w:lang w:val="es-ES"/>
        </w:rPr>
        <w:t xml:space="preserve">2022 </w:t>
      </w:r>
      <w:r>
        <w:rPr>
          <w:sz w:val="24"/>
          <w:szCs w:val="24"/>
          <w:lang w:val="es-ES"/>
        </w:rPr>
        <w:t>,</w:t>
      </w:r>
      <w:proofErr w:type="gramEnd"/>
      <w:r>
        <w:rPr>
          <w:sz w:val="24"/>
          <w:szCs w:val="24"/>
          <w:lang w:val="es-ES"/>
        </w:rPr>
        <w:t xml:space="preserve"> l</w:t>
      </w:r>
      <w:r w:rsidRPr="00023964">
        <w:rPr>
          <w:sz w:val="24"/>
          <w:szCs w:val="24"/>
          <w:lang w:val="es-ES"/>
        </w:rPr>
        <w:t xml:space="preserve">as importaciones de bienes de consumo sumaron 5,404 millones de dólares, cifra que se tradujo en un incremento anual de 39.5%. Dicha tasa fue resultado de expansiones de 32.7% en las importaciones de bienes de consumo no petroleros y de 65.5% en las de bienes de consumo petroleros (gasolina y gas butano y propano). </w:t>
      </w:r>
    </w:p>
    <w:p w14:paraId="66F6B5E8" w14:textId="77777777" w:rsidR="00023964" w:rsidRDefault="00023964" w:rsidP="00023964">
      <w:pPr>
        <w:pStyle w:val="Textoindependiente211"/>
        <w:numPr>
          <w:ilvl w:val="12"/>
          <w:numId w:val="0"/>
        </w:numPr>
        <w:spacing w:before="240" w:after="0" w:line="280" w:lineRule="exact"/>
        <w:rPr>
          <w:sz w:val="24"/>
          <w:szCs w:val="24"/>
          <w:lang w:val="es-ES"/>
        </w:rPr>
      </w:pPr>
      <w:r w:rsidRPr="00023964">
        <w:rPr>
          <w:sz w:val="24"/>
          <w:szCs w:val="24"/>
          <w:lang w:val="es-ES"/>
        </w:rPr>
        <w:t xml:space="preserve">Por su parte, se importaron bienes de uso intermedio por un valor de 36,298 millones de dólares, nivel superior en 35.8% al reportado en febrero de 2021. A su vez, esta cifra se originó de crecimientos de 35.4% en las importaciones de productos de uso intermedio no petroleros y de 40.8% en las de bienes de uso intermedio petroleros. </w:t>
      </w:r>
    </w:p>
    <w:p w14:paraId="74E9B3B2" w14:textId="311E445C" w:rsidR="00023964" w:rsidRPr="00023964" w:rsidRDefault="00023964" w:rsidP="00023964">
      <w:pPr>
        <w:pStyle w:val="Textoindependiente211"/>
        <w:numPr>
          <w:ilvl w:val="12"/>
          <w:numId w:val="0"/>
        </w:numPr>
        <w:spacing w:before="240" w:after="0" w:line="280" w:lineRule="exact"/>
        <w:rPr>
          <w:sz w:val="24"/>
          <w:szCs w:val="24"/>
          <w:lang w:val="es-ES"/>
        </w:rPr>
      </w:pPr>
      <w:r w:rsidRPr="00023964">
        <w:rPr>
          <w:sz w:val="24"/>
          <w:szCs w:val="24"/>
          <w:lang w:val="es-ES"/>
        </w:rPr>
        <w:t xml:space="preserve">En </w:t>
      </w:r>
      <w:r w:rsidR="00CD15A7">
        <w:rPr>
          <w:sz w:val="24"/>
          <w:szCs w:val="24"/>
          <w:lang w:val="es-ES"/>
        </w:rPr>
        <w:t xml:space="preserve">febrero de 2022, </w:t>
      </w:r>
      <w:r w:rsidRPr="00023964">
        <w:rPr>
          <w:sz w:val="24"/>
          <w:szCs w:val="24"/>
          <w:lang w:val="es-ES"/>
        </w:rPr>
        <w:t>las importaciones de bienes de capital</w:t>
      </w:r>
      <w:r w:rsidR="00CD15A7">
        <w:rPr>
          <w:sz w:val="24"/>
          <w:szCs w:val="24"/>
          <w:lang w:val="es-ES"/>
        </w:rPr>
        <w:t xml:space="preserve"> </w:t>
      </w:r>
      <w:r w:rsidRPr="00023964">
        <w:rPr>
          <w:sz w:val="24"/>
          <w:szCs w:val="24"/>
          <w:lang w:val="es-ES"/>
        </w:rPr>
        <w:t>alcanzaron 3,251 millones de dólares, un avance anual de 12.6%.</w:t>
      </w:r>
    </w:p>
    <w:p w14:paraId="449FB8A9" w14:textId="6F3C3E54" w:rsidR="00023964" w:rsidRPr="00023964" w:rsidRDefault="00023964" w:rsidP="00023964">
      <w:pPr>
        <w:pStyle w:val="Textoindependiente211"/>
        <w:numPr>
          <w:ilvl w:val="12"/>
          <w:numId w:val="0"/>
        </w:numPr>
        <w:spacing w:before="240" w:after="0" w:line="280" w:lineRule="exact"/>
        <w:rPr>
          <w:sz w:val="24"/>
          <w:szCs w:val="24"/>
          <w:lang w:val="es-ES"/>
        </w:rPr>
      </w:pPr>
      <w:r w:rsidRPr="00023964">
        <w:rPr>
          <w:sz w:val="24"/>
          <w:szCs w:val="24"/>
          <w:lang w:val="es-ES"/>
        </w:rPr>
        <w:t>El valor acumulado de las importaciones totales en el primer bimestre de 2022 ascendió a 85,138 millones de dólares, monto mayor en 26.3% al observado en igual lapso de 2021. A su interior, las importaciones no petroleras aumentaron a tasa anual 23.9</w:t>
      </w:r>
      <w:r w:rsidR="009A20D4">
        <w:rPr>
          <w:sz w:val="24"/>
          <w:szCs w:val="24"/>
          <w:lang w:val="es-ES"/>
        </w:rPr>
        <w:t>%</w:t>
      </w:r>
      <w:r w:rsidR="00217C11">
        <w:rPr>
          <w:sz w:val="24"/>
          <w:szCs w:val="24"/>
          <w:lang w:val="es-ES"/>
        </w:rPr>
        <w:t xml:space="preserve"> y</w:t>
      </w:r>
      <w:r w:rsidRPr="00023964">
        <w:rPr>
          <w:sz w:val="24"/>
          <w:szCs w:val="24"/>
          <w:lang w:val="es-ES"/>
        </w:rPr>
        <w:t xml:space="preserve"> las petroleras 51.3%.</w:t>
      </w:r>
    </w:p>
    <w:p w14:paraId="620BB2B7" w14:textId="584BEB7C" w:rsidR="00757DAD" w:rsidRDefault="00757DAD" w:rsidP="001F12C3">
      <w:pPr>
        <w:pStyle w:val="titulos"/>
        <w:spacing w:before="240" w:after="120" w:line="280" w:lineRule="exact"/>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7D6FE2E2" w:rsidR="00C3346C" w:rsidRPr="007B230F" w:rsidRDefault="00023964" w:rsidP="00C053CB">
      <w:pPr>
        <w:pStyle w:val="Textoindependiente211"/>
        <w:numPr>
          <w:ilvl w:val="12"/>
          <w:numId w:val="0"/>
        </w:numPr>
        <w:spacing w:before="240" w:after="0" w:line="280" w:lineRule="exact"/>
        <w:rPr>
          <w:sz w:val="24"/>
          <w:szCs w:val="24"/>
          <w:lang w:val="es-ES"/>
        </w:rPr>
      </w:pPr>
      <w:r w:rsidRPr="00023964">
        <w:rPr>
          <w:sz w:val="24"/>
          <w:szCs w:val="24"/>
          <w:lang w:val="es-ES"/>
        </w:rPr>
        <w:t>La estructura del valor de las importaciones en el periodo enero-febrero de 2022 fue la siguiente: bienes de uso intermedio 79.5%</w:t>
      </w:r>
      <w:r w:rsidR="001C7836">
        <w:rPr>
          <w:sz w:val="24"/>
          <w:szCs w:val="24"/>
          <w:lang w:val="es-ES"/>
        </w:rPr>
        <w:t>,</w:t>
      </w:r>
      <w:r w:rsidRPr="00023964">
        <w:rPr>
          <w:sz w:val="24"/>
          <w:szCs w:val="24"/>
          <w:lang w:val="es-ES"/>
        </w:rPr>
        <w:t xml:space="preserve"> bienes de consumo 12.7% y bienes de capital 7.8%.</w:t>
      </w:r>
    </w:p>
    <w:p w14:paraId="42FD9054" w14:textId="77777777" w:rsidR="00C053CB" w:rsidRDefault="00C053CB">
      <w:pPr>
        <w:rPr>
          <w:rFonts w:ascii="Arial" w:hAnsi="Arial"/>
          <w:b/>
          <w:i/>
          <w:szCs w:val="20"/>
          <w:lang w:val="es-ES_tradnl" w:eastAsia="es-ES"/>
        </w:rPr>
      </w:pPr>
      <w:r>
        <w:br w:type="page"/>
      </w:r>
    </w:p>
    <w:p w14:paraId="61DC273F" w14:textId="241E8C6A" w:rsidR="00743646" w:rsidRPr="00900594" w:rsidRDefault="00900594" w:rsidP="00152FA9">
      <w:pPr>
        <w:pStyle w:val="titulos"/>
        <w:spacing w:before="240" w:after="120"/>
        <w:rPr>
          <w:u w:val="none"/>
        </w:rPr>
      </w:pPr>
      <w:r>
        <w:rPr>
          <w:u w:val="none"/>
        </w:rPr>
        <w:lastRenderedPageBreak/>
        <w:t>C</w:t>
      </w:r>
      <w:r w:rsidRPr="00900594">
        <w:rPr>
          <w:u w:val="none"/>
        </w:rPr>
        <w:t xml:space="preserve">ifras </w:t>
      </w:r>
      <w:r w:rsidR="002C126C">
        <w:rPr>
          <w:u w:val="none"/>
        </w:rPr>
        <w:t>desestacionalizadas</w:t>
      </w:r>
    </w:p>
    <w:p w14:paraId="41CBAB75" w14:textId="04E73069" w:rsidR="00441AF9" w:rsidRPr="00B02246" w:rsidRDefault="00441AF9" w:rsidP="00152FA9">
      <w:pPr>
        <w:pStyle w:val="Textoindependiente211"/>
        <w:numPr>
          <w:ilvl w:val="12"/>
          <w:numId w:val="0"/>
        </w:numPr>
        <w:spacing w:before="120" w:after="0" w:line="280" w:lineRule="exact"/>
        <w:rPr>
          <w:sz w:val="24"/>
          <w:szCs w:val="24"/>
          <w:lang w:val="es-ES"/>
        </w:rPr>
      </w:pPr>
      <w:r w:rsidRPr="00441AF9">
        <w:rPr>
          <w:sz w:val="24"/>
          <w:szCs w:val="24"/>
          <w:lang w:val="es-ES"/>
        </w:rPr>
        <w:t>Con cifras desestacionalizadas, en febrero de 2022 la balanza comercial registró un superávit de 113 millones de dólares, mientras que en enero presentó un déficit de 2,566 millones de dólares. La ampliación del saldo ajustado por estacionalidad entre enero y febrero fue resultado de un mayor saldo de la balanza de productos no petroleros, que pasó de un déficit de 505 millones de dólares en enero a un superávit de 1,729 millones de dólares en febrero, y de una reducción del déficit de la balanza de productos petroleros, que pasó de</w:t>
      </w:r>
      <w:r>
        <w:rPr>
          <w:sz w:val="24"/>
          <w:szCs w:val="24"/>
          <w:lang w:val="es-ES"/>
        </w:rPr>
        <w:t xml:space="preserve"> </w:t>
      </w:r>
      <w:r w:rsidRPr="00441AF9">
        <w:rPr>
          <w:sz w:val="24"/>
          <w:szCs w:val="24"/>
          <w:lang w:val="es-ES"/>
        </w:rPr>
        <w:t>2,062 millones de dólares a 1,616 millones de dólares en esa misma comparación.</w:t>
      </w:r>
    </w:p>
    <w:p w14:paraId="41D92C5D" w14:textId="6458E4E2" w:rsidR="00900594" w:rsidRPr="00900594" w:rsidRDefault="00900594" w:rsidP="00152FA9">
      <w:pPr>
        <w:pStyle w:val="Textoindependiente217"/>
        <w:numPr>
          <w:ilvl w:val="12"/>
          <w:numId w:val="0"/>
        </w:numPr>
        <w:spacing w:before="120" w:after="0" w:line="280" w:lineRule="exact"/>
        <w:jc w:val="center"/>
        <w:rPr>
          <w:bCs/>
          <w:sz w:val="20"/>
          <w:szCs w:val="18"/>
          <w:lang w:val="es-ES"/>
        </w:rPr>
      </w:pPr>
      <w:bookmarkStart w:id="2" w:name="_Hlk43973138"/>
      <w:r w:rsidRPr="00900594">
        <w:rPr>
          <w:bCs/>
          <w:sz w:val="20"/>
          <w:szCs w:val="18"/>
          <w:lang w:val="es-ES"/>
        </w:rPr>
        <w:t>Gráfica 1</w:t>
      </w:r>
    </w:p>
    <w:p w14:paraId="3E2475B8" w14:textId="351CAD30" w:rsidR="002305FE" w:rsidRDefault="002305FE" w:rsidP="0090059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282CE75A" w14:textId="32501402" w:rsidR="00460395" w:rsidRPr="002C126C" w:rsidRDefault="00460395" w:rsidP="00900594">
      <w:pPr>
        <w:pStyle w:val="Textoindependiente217"/>
        <w:numPr>
          <w:ilvl w:val="12"/>
          <w:numId w:val="0"/>
        </w:numPr>
        <w:spacing w:after="0" w:line="280" w:lineRule="exact"/>
        <w:jc w:val="center"/>
        <w:rPr>
          <w:b/>
          <w:smallCaps/>
          <w:lang w:val="es-ES"/>
        </w:rPr>
      </w:pPr>
      <w:r>
        <w:rPr>
          <w:b/>
          <w:smallCaps/>
          <w:lang w:val="es-ES"/>
        </w:rPr>
        <w:t xml:space="preserve">serie </w:t>
      </w:r>
      <w:r w:rsidR="007C3D6A">
        <w:rPr>
          <w:b/>
          <w:smallCaps/>
          <w:lang w:val="es-ES"/>
        </w:rPr>
        <w:t>d</w:t>
      </w:r>
      <w:r>
        <w:rPr>
          <w:b/>
          <w:smallCaps/>
          <w:lang w:val="es-ES"/>
        </w:rPr>
        <w:t>esestacionalizada</w:t>
      </w:r>
    </w:p>
    <w:p w14:paraId="773B7720" w14:textId="41D1946E"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53FCF71A" w:rsidR="00BF5EC9" w:rsidRPr="006D29AC" w:rsidRDefault="007D2779"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2AA08F57" wp14:editId="1A9BC05B">
            <wp:extent cx="4464000" cy="2520000"/>
            <wp:effectExtent l="0" t="0" r="32385" b="33020"/>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12210A">
      <w:pPr>
        <w:pStyle w:val="Textoindependiente217"/>
        <w:widowControl w:val="0"/>
        <w:numPr>
          <w:ilvl w:val="12"/>
          <w:numId w:val="0"/>
        </w:numPr>
        <w:spacing w:after="0"/>
        <w:ind w:left="1134"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1989683B" w14:textId="334781A0" w:rsidR="00151413" w:rsidRPr="00151413" w:rsidRDefault="00CD15A7" w:rsidP="00441AF9">
      <w:pPr>
        <w:pStyle w:val="Textoindependiente211"/>
        <w:numPr>
          <w:ilvl w:val="12"/>
          <w:numId w:val="0"/>
        </w:numPr>
        <w:spacing w:before="120" w:after="0" w:line="280" w:lineRule="exact"/>
        <w:rPr>
          <w:sz w:val="24"/>
          <w:szCs w:val="24"/>
          <w:lang w:val="es-ES"/>
        </w:rPr>
      </w:pPr>
      <w:r>
        <w:rPr>
          <w:sz w:val="24"/>
          <w:szCs w:val="24"/>
          <w:lang w:val="es-ES"/>
        </w:rPr>
        <w:t xml:space="preserve">En febrero de 2022 y </w:t>
      </w:r>
      <w:r w:rsidR="000A7898">
        <w:rPr>
          <w:sz w:val="24"/>
          <w:szCs w:val="24"/>
          <w:lang w:val="es-ES"/>
        </w:rPr>
        <w:t xml:space="preserve">con </w:t>
      </w:r>
      <w:r>
        <w:rPr>
          <w:sz w:val="24"/>
          <w:szCs w:val="24"/>
          <w:lang w:val="es-ES"/>
        </w:rPr>
        <w:t>cifras desestacionalizadas</w:t>
      </w:r>
      <w:r w:rsidR="00441AF9" w:rsidRPr="00441AF9">
        <w:rPr>
          <w:sz w:val="24"/>
          <w:szCs w:val="24"/>
          <w:lang w:val="es-ES"/>
        </w:rPr>
        <w:t xml:space="preserve">, las exportaciones totales </w:t>
      </w:r>
      <w:r w:rsidR="00441AF9">
        <w:rPr>
          <w:sz w:val="24"/>
          <w:szCs w:val="24"/>
          <w:lang w:val="es-ES"/>
        </w:rPr>
        <w:t>reportaron</w:t>
      </w:r>
      <w:r w:rsidR="00441AF9" w:rsidRPr="00441AF9">
        <w:rPr>
          <w:sz w:val="24"/>
          <w:szCs w:val="24"/>
          <w:lang w:val="es-ES"/>
        </w:rPr>
        <w:t xml:space="preserve"> un incremento mensual de 16.03%, </w:t>
      </w:r>
      <w:r>
        <w:rPr>
          <w:sz w:val="24"/>
          <w:szCs w:val="24"/>
          <w:lang w:val="es-ES"/>
        </w:rPr>
        <w:t xml:space="preserve">resultado </w:t>
      </w:r>
      <w:r w:rsidR="00441AF9" w:rsidRPr="00441AF9">
        <w:rPr>
          <w:sz w:val="24"/>
          <w:szCs w:val="24"/>
          <w:lang w:val="es-ES"/>
        </w:rPr>
        <w:t xml:space="preserve">de crecimientos de 16.18% en las exportaciones no petroleras y de 13.89% en las petroleras. Al interior de las exportaciones no petroleras, las manufactureras presentaron un avance mensual de 16.71%. A su vez, dicha tasa fue reflejo de </w:t>
      </w:r>
      <w:r w:rsidR="00441AF9">
        <w:rPr>
          <w:sz w:val="24"/>
          <w:szCs w:val="24"/>
          <w:lang w:val="es-ES"/>
        </w:rPr>
        <w:t>incrementos</w:t>
      </w:r>
      <w:r w:rsidR="00441AF9" w:rsidRPr="00441AF9">
        <w:rPr>
          <w:sz w:val="24"/>
          <w:szCs w:val="24"/>
          <w:lang w:val="es-ES"/>
        </w:rPr>
        <w:t xml:space="preserve"> de 34.73% en las exportaciones automotrices y de 9.30% en las manufactureras no automotrices.</w:t>
      </w:r>
    </w:p>
    <w:p w14:paraId="0D183639" w14:textId="1496CDD8" w:rsidR="00C053CB" w:rsidRDefault="00C053CB">
      <w:pPr>
        <w:rPr>
          <w:rFonts w:ascii="Arial" w:hAnsi="Arial"/>
          <w:lang w:val="es-ES" w:eastAsia="es-ES"/>
        </w:rPr>
      </w:pPr>
      <w:r>
        <w:rPr>
          <w:lang w:val="es-ES"/>
        </w:rPr>
        <w:br w:type="page"/>
      </w:r>
    </w:p>
    <w:p w14:paraId="78639D73" w14:textId="77777777" w:rsidR="009C5D79" w:rsidRDefault="009C5D79" w:rsidP="00034647">
      <w:pPr>
        <w:pStyle w:val="Textoindependiente211"/>
        <w:numPr>
          <w:ilvl w:val="12"/>
          <w:numId w:val="0"/>
        </w:numPr>
        <w:spacing w:before="240" w:after="0" w:line="280" w:lineRule="exact"/>
        <w:rPr>
          <w:sz w:val="24"/>
          <w:szCs w:val="24"/>
          <w:lang w:val="es-ES"/>
        </w:rPr>
      </w:pP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7D2779">
        <w:tc>
          <w:tcPr>
            <w:tcW w:w="4725" w:type="dxa"/>
            <w:shd w:val="clear" w:color="auto" w:fill="auto"/>
          </w:tcPr>
          <w:p w14:paraId="14A2D42A" w14:textId="79EA25CD" w:rsidR="0065085B" w:rsidRPr="00260163" w:rsidRDefault="007D2779" w:rsidP="00016BFA">
            <w:pPr>
              <w:pStyle w:val="Textoindependiente217"/>
              <w:widowControl w:val="0"/>
              <w:numPr>
                <w:ilvl w:val="12"/>
                <w:numId w:val="0"/>
              </w:numPr>
              <w:spacing w:before="120" w:after="0"/>
              <w:jc w:val="center"/>
            </w:pPr>
            <w:r>
              <w:rPr>
                <w:noProof/>
              </w:rPr>
              <w:drawing>
                <wp:inline distT="0" distB="0" distL="0" distR="0" wp14:anchorId="26B91DC3" wp14:editId="0AB33357">
                  <wp:extent cx="2808000" cy="2088000"/>
                  <wp:effectExtent l="0" t="0" r="11430" b="76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6D7A5F45" w:rsidR="0065085B" w:rsidRPr="00260163" w:rsidRDefault="007D2779" w:rsidP="00016BFA">
            <w:pPr>
              <w:pStyle w:val="Textoindependiente217"/>
              <w:widowControl w:val="0"/>
              <w:numPr>
                <w:ilvl w:val="12"/>
                <w:numId w:val="0"/>
              </w:numPr>
              <w:spacing w:before="120" w:after="0"/>
              <w:jc w:val="center"/>
            </w:pPr>
            <w:r>
              <w:rPr>
                <w:noProof/>
              </w:rPr>
              <w:drawing>
                <wp:inline distT="0" distB="0" distL="0" distR="0" wp14:anchorId="0AA5C01F" wp14:editId="17EED80E">
                  <wp:extent cx="2808000" cy="2088000"/>
                  <wp:effectExtent l="0" t="0" r="11430" b="7620"/>
                  <wp:docPr id="4" name="Gráfico 4">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6C2D6C">
        <w:tc>
          <w:tcPr>
            <w:tcW w:w="4725" w:type="dxa"/>
          </w:tcPr>
          <w:p w14:paraId="20733AE8" w14:textId="333DF84E" w:rsidR="0065085B" w:rsidRPr="00260163" w:rsidRDefault="006C2D6C" w:rsidP="00016BFA">
            <w:pPr>
              <w:pStyle w:val="Textoindependiente217"/>
              <w:widowControl w:val="0"/>
              <w:numPr>
                <w:ilvl w:val="12"/>
                <w:numId w:val="0"/>
              </w:numPr>
              <w:spacing w:before="120" w:after="0"/>
              <w:jc w:val="center"/>
            </w:pPr>
            <w:r>
              <w:rPr>
                <w:noProof/>
              </w:rPr>
              <w:drawing>
                <wp:inline distT="0" distB="0" distL="0" distR="0" wp14:anchorId="6B6B9955" wp14:editId="425DCAFC">
                  <wp:extent cx="2808000" cy="2088000"/>
                  <wp:effectExtent l="0" t="0" r="11430" b="7620"/>
                  <wp:docPr id="6" name="Gráfico 6">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4907B695" w:rsidR="0065085B" w:rsidRPr="00260163" w:rsidRDefault="006C2D6C" w:rsidP="00016BFA">
            <w:pPr>
              <w:pStyle w:val="Textoindependiente217"/>
              <w:widowControl w:val="0"/>
              <w:numPr>
                <w:ilvl w:val="12"/>
                <w:numId w:val="0"/>
              </w:numPr>
              <w:spacing w:before="120" w:after="0"/>
              <w:jc w:val="center"/>
            </w:pPr>
            <w:r>
              <w:rPr>
                <w:noProof/>
              </w:rPr>
              <w:drawing>
                <wp:inline distT="0" distB="0" distL="0" distR="0" wp14:anchorId="47F45063" wp14:editId="1436E082">
                  <wp:extent cx="2808000" cy="2088000"/>
                  <wp:effectExtent l="0" t="0" r="11430" b="7620"/>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6C2D6C">
        <w:tc>
          <w:tcPr>
            <w:tcW w:w="4725" w:type="dxa"/>
          </w:tcPr>
          <w:p w14:paraId="0CD35AE3" w14:textId="3268B173" w:rsidR="0065085B" w:rsidRPr="003B5309" w:rsidRDefault="006C2D6C" w:rsidP="00016BFA">
            <w:pPr>
              <w:pStyle w:val="Textoindependiente217"/>
              <w:widowControl w:val="0"/>
              <w:numPr>
                <w:ilvl w:val="12"/>
                <w:numId w:val="0"/>
              </w:numPr>
              <w:spacing w:before="120" w:after="0"/>
              <w:jc w:val="center"/>
            </w:pPr>
            <w:r>
              <w:rPr>
                <w:noProof/>
              </w:rPr>
              <w:drawing>
                <wp:inline distT="0" distB="0" distL="0" distR="0" wp14:anchorId="756C5859" wp14:editId="7BAB86AE">
                  <wp:extent cx="2808000" cy="2088000"/>
                  <wp:effectExtent l="0" t="0" r="11430" b="7620"/>
                  <wp:docPr id="8" name="Gráfico 8">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19ED8178" w:rsidR="0065085B" w:rsidRDefault="006C2D6C" w:rsidP="00016BFA">
            <w:pPr>
              <w:pStyle w:val="Textoindependiente217"/>
              <w:widowControl w:val="0"/>
              <w:numPr>
                <w:ilvl w:val="12"/>
                <w:numId w:val="0"/>
              </w:numPr>
              <w:spacing w:before="120" w:after="0"/>
              <w:jc w:val="center"/>
            </w:pPr>
            <w:r>
              <w:rPr>
                <w:noProof/>
              </w:rPr>
              <w:drawing>
                <wp:inline distT="0" distB="0" distL="0" distR="0" wp14:anchorId="478CA206" wp14:editId="65C96A6D">
                  <wp:extent cx="2808000" cy="2088000"/>
                  <wp:effectExtent l="0" t="0" r="11430" b="7620"/>
                  <wp:docPr id="9" name="Gráfico 9">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72EDA67E" w:rsidR="002C126C" w:rsidRDefault="003B5309" w:rsidP="003B5309">
      <w:pPr>
        <w:pStyle w:val="Textoindependiente211"/>
        <w:numPr>
          <w:ilvl w:val="12"/>
          <w:numId w:val="0"/>
        </w:numPr>
        <w:spacing w:after="0" w:line="280" w:lineRule="exact"/>
        <w:rPr>
          <w:sz w:val="24"/>
          <w:szCs w:val="24"/>
          <w:lang w:val="es-ES"/>
        </w:rPr>
      </w:pPr>
      <w:r w:rsidRPr="00260163">
        <w:rPr>
          <w:sz w:val="16"/>
          <w:szCs w:val="16"/>
        </w:rPr>
        <w:t xml:space="preserve">*  </w:t>
      </w:r>
      <w:r w:rsidRPr="00260163">
        <w:rPr>
          <w:sz w:val="18"/>
          <w:szCs w:val="16"/>
        </w:rPr>
        <w:t>Cifras oportunas.</w:t>
      </w:r>
    </w:p>
    <w:p w14:paraId="2EA04AC6" w14:textId="77777777" w:rsidR="00140111" w:rsidRDefault="00140111">
      <w:pPr>
        <w:rPr>
          <w:rFonts w:ascii="Arial" w:hAnsi="Arial"/>
          <w:lang w:val="es-ES" w:eastAsia="es-ES"/>
        </w:rPr>
      </w:pPr>
      <w:r>
        <w:rPr>
          <w:lang w:val="es-ES"/>
        </w:rPr>
        <w:br w:type="page"/>
      </w:r>
    </w:p>
    <w:p w14:paraId="0188CD1B" w14:textId="1B596423" w:rsidR="004C7D88" w:rsidRPr="005735D2" w:rsidRDefault="00441AF9" w:rsidP="0088160B">
      <w:pPr>
        <w:pStyle w:val="Textoindependiente211"/>
        <w:numPr>
          <w:ilvl w:val="12"/>
          <w:numId w:val="0"/>
        </w:numPr>
        <w:spacing w:before="120" w:after="0" w:line="280" w:lineRule="exact"/>
        <w:rPr>
          <w:rFonts w:asciiTheme="minorHAnsi" w:hAnsiTheme="minorHAnsi" w:cs="Calibri"/>
          <w:spacing w:val="5"/>
        </w:rPr>
      </w:pPr>
      <w:r w:rsidRPr="00441AF9">
        <w:rPr>
          <w:sz w:val="24"/>
          <w:szCs w:val="24"/>
          <w:lang w:val="es-ES"/>
        </w:rPr>
        <w:lastRenderedPageBreak/>
        <w:t xml:space="preserve">En febrero de 2022, las importaciones totales de mercancías mostraron un aumento mensual desestacionalizado de 9.06%. Esta cifra fue resultado neto de un incremento de 10.33% en las importaciones no petroleras y de una disminución de 1.84% en las petroleras. </w:t>
      </w:r>
      <w:r>
        <w:rPr>
          <w:sz w:val="24"/>
          <w:szCs w:val="24"/>
          <w:lang w:val="es-ES"/>
        </w:rPr>
        <w:t>S</w:t>
      </w:r>
      <w:r w:rsidRPr="00441AF9">
        <w:rPr>
          <w:sz w:val="24"/>
          <w:szCs w:val="24"/>
          <w:lang w:val="es-ES"/>
        </w:rPr>
        <w:t>e observ</w:t>
      </w:r>
      <w:r w:rsidR="00CD15A7">
        <w:rPr>
          <w:sz w:val="24"/>
          <w:szCs w:val="24"/>
          <w:lang w:val="es-ES"/>
        </w:rPr>
        <w:t>ó un</w:t>
      </w:r>
      <w:r w:rsidRPr="00441AF9">
        <w:rPr>
          <w:sz w:val="24"/>
          <w:szCs w:val="24"/>
          <w:lang w:val="es-ES"/>
        </w:rPr>
        <w:t xml:space="preserve"> crecimiento mensual de 3.27% en las importaciones de bienes de consumo (avance de 6.16% en las importaciones de bienes de consumo no petroleros), de 10.87% en las de bienes de uso intermedio (alza de 11.97% en las de bienes de uso intermedio no petroleros) y de 0.62% en las de bienes de capital.</w:t>
      </w:r>
    </w:p>
    <w:p w14:paraId="01B8BE06" w14:textId="07388EE9" w:rsidR="00900594" w:rsidRDefault="00900594" w:rsidP="00A3628A">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F605C7">
        <w:tc>
          <w:tcPr>
            <w:tcW w:w="4690" w:type="dxa"/>
          </w:tcPr>
          <w:p w14:paraId="655AF491" w14:textId="0D159C4D" w:rsidR="0065085B" w:rsidRPr="00CE6AE4" w:rsidRDefault="00F605C7" w:rsidP="00D7592F">
            <w:pPr>
              <w:pStyle w:val="Textoindependiente217"/>
              <w:widowControl w:val="0"/>
              <w:numPr>
                <w:ilvl w:val="12"/>
                <w:numId w:val="0"/>
              </w:numPr>
              <w:spacing w:before="120" w:after="0"/>
              <w:jc w:val="center"/>
            </w:pPr>
            <w:r>
              <w:rPr>
                <w:noProof/>
              </w:rPr>
              <w:drawing>
                <wp:inline distT="0" distB="0" distL="0" distR="0" wp14:anchorId="1119F3F1" wp14:editId="52622787">
                  <wp:extent cx="2818800" cy="2088000"/>
                  <wp:effectExtent l="0" t="0" r="635" b="7620"/>
                  <wp:docPr id="10" name="Gráfico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627A7731" w:rsidR="0065085B" w:rsidRPr="00CE6AE4" w:rsidRDefault="00F605C7" w:rsidP="00D7592F">
            <w:pPr>
              <w:pStyle w:val="Textoindependiente217"/>
              <w:widowControl w:val="0"/>
              <w:numPr>
                <w:ilvl w:val="12"/>
                <w:numId w:val="0"/>
              </w:numPr>
              <w:spacing w:before="120" w:after="0"/>
              <w:jc w:val="center"/>
            </w:pPr>
            <w:r>
              <w:rPr>
                <w:noProof/>
              </w:rPr>
              <w:drawing>
                <wp:inline distT="0" distB="0" distL="0" distR="0" wp14:anchorId="0F3B6E11" wp14:editId="06BC03A4">
                  <wp:extent cx="2808000" cy="2088000"/>
                  <wp:effectExtent l="0" t="0" r="11430" b="7620"/>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F605C7">
        <w:tc>
          <w:tcPr>
            <w:tcW w:w="4690" w:type="dxa"/>
          </w:tcPr>
          <w:p w14:paraId="5A861ACC" w14:textId="621F10A1" w:rsidR="0065085B" w:rsidRPr="00CE6AE4" w:rsidRDefault="00F605C7" w:rsidP="00D7592F">
            <w:pPr>
              <w:pStyle w:val="Textoindependiente217"/>
              <w:widowControl w:val="0"/>
              <w:numPr>
                <w:ilvl w:val="12"/>
                <w:numId w:val="0"/>
              </w:numPr>
              <w:spacing w:before="120" w:after="60"/>
              <w:ind w:left="34"/>
              <w:jc w:val="center"/>
            </w:pPr>
            <w:r>
              <w:rPr>
                <w:noProof/>
              </w:rPr>
              <w:drawing>
                <wp:inline distT="0" distB="0" distL="0" distR="0" wp14:anchorId="5CCDEE11" wp14:editId="501B1C77">
                  <wp:extent cx="2818800" cy="2088000"/>
                  <wp:effectExtent l="0" t="0" r="635" b="7620"/>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50076C0E" w:rsidR="0065085B" w:rsidRPr="00CE6AE4" w:rsidRDefault="00F605C7" w:rsidP="00D7592F">
            <w:pPr>
              <w:pStyle w:val="Textoindependiente217"/>
              <w:widowControl w:val="0"/>
              <w:numPr>
                <w:ilvl w:val="12"/>
                <w:numId w:val="0"/>
              </w:numPr>
              <w:spacing w:before="120" w:after="60"/>
              <w:jc w:val="center"/>
            </w:pPr>
            <w:r>
              <w:rPr>
                <w:noProof/>
              </w:rPr>
              <w:drawing>
                <wp:inline distT="0" distB="0" distL="0" distR="0" wp14:anchorId="47C93BD0" wp14:editId="1ABC855F">
                  <wp:extent cx="2808000" cy="2088000"/>
                  <wp:effectExtent l="0" t="0" r="11430" b="7620"/>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DA6F08">
        <w:tc>
          <w:tcPr>
            <w:tcW w:w="4690" w:type="dxa"/>
          </w:tcPr>
          <w:p w14:paraId="5AAC9AC4" w14:textId="11051557" w:rsidR="0065085B" w:rsidRPr="00CE6AE4" w:rsidRDefault="00F605C7" w:rsidP="00016BFA">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0B1054DE" wp14:editId="4E85A247">
                  <wp:extent cx="2808000" cy="2088000"/>
                  <wp:effectExtent l="0" t="0" r="11430" b="7620"/>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682" w:type="dxa"/>
          </w:tcPr>
          <w:p w14:paraId="2ABA2ABE" w14:textId="646BD4EC" w:rsidR="0065085B" w:rsidRDefault="00DA6F08" w:rsidP="00016BFA">
            <w:pPr>
              <w:pStyle w:val="Textoindependiente217"/>
              <w:widowControl w:val="0"/>
              <w:numPr>
                <w:ilvl w:val="12"/>
                <w:numId w:val="0"/>
              </w:numPr>
              <w:spacing w:before="120" w:after="120"/>
              <w:jc w:val="center"/>
            </w:pPr>
            <w:r>
              <w:rPr>
                <w:noProof/>
              </w:rPr>
              <w:drawing>
                <wp:inline distT="0" distB="0" distL="0" distR="0" wp14:anchorId="17D45D25" wp14:editId="59D7A4D9">
                  <wp:extent cx="2808000" cy="2088000"/>
                  <wp:effectExtent l="0" t="0" r="11430" b="762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2"/>
    <w:p w14:paraId="21E72DA5" w14:textId="77777777" w:rsidR="00DC78AA" w:rsidRDefault="00DC78AA" w:rsidP="00016BFA">
      <w:pPr>
        <w:pStyle w:val="rollo"/>
        <w:keepLines w:val="0"/>
        <w:spacing w:before="0" w:after="240" w:line="280" w:lineRule="exact"/>
        <w:rPr>
          <w:sz w:val="18"/>
          <w:szCs w:val="16"/>
        </w:rPr>
      </w:pPr>
      <w:r w:rsidRPr="00CE6AE4">
        <w:rPr>
          <w:sz w:val="18"/>
          <w:szCs w:val="16"/>
        </w:rPr>
        <w:t>* Cifras oportunas.</w:t>
      </w:r>
    </w:p>
    <w:p w14:paraId="6897FDD5" w14:textId="0696BC36" w:rsidR="005219B3" w:rsidRDefault="00383E44" w:rsidP="00AD3F00">
      <w:pPr>
        <w:pStyle w:val="rollo"/>
        <w:keepLines w:val="0"/>
        <w:spacing w:before="12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Pr="002C06F8">
        <w:rPr>
          <w:rFonts w:cs="Arial"/>
          <w:spacing w:val="3"/>
          <w:szCs w:val="22"/>
          <w:lang w:val="es-ES"/>
        </w:rPr>
        <w:t xml:space="preserve"> es </w:t>
      </w:r>
      <w:r>
        <w:rPr>
          <w:rFonts w:cs="Arial"/>
          <w:spacing w:val="3"/>
          <w:szCs w:val="22"/>
          <w:lang w:val="es-ES"/>
        </w:rPr>
        <w:t xml:space="preserve">elaborada por el SAT, SE, </w:t>
      </w:r>
      <w:r w:rsidRPr="002C06F8">
        <w:rPr>
          <w:rFonts w:cs="Arial"/>
          <w:spacing w:val="3"/>
          <w:szCs w:val="22"/>
          <w:lang w:val="es-ES"/>
        </w:rPr>
        <w:t>Banco de México</w:t>
      </w:r>
      <w:r w:rsidR="00260078">
        <w:rPr>
          <w:rFonts w:cs="Arial"/>
          <w:spacing w:val="3"/>
          <w:szCs w:val="22"/>
          <w:lang w:val="es-ES"/>
        </w:rPr>
        <w:t xml:space="preserve"> e</w:t>
      </w:r>
      <w:r w:rsidRPr="002C06F8">
        <w:rPr>
          <w:rFonts w:cs="Arial"/>
          <w:spacing w:val="3"/>
          <w:szCs w:val="22"/>
          <w:lang w:val="es-ES"/>
        </w:rPr>
        <w:t xml:space="preserve"> INEGI</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8D0415">
      <w:headerReference w:type="default" r:id="rId34"/>
      <w:footerReference w:type="default" r:id="rId35"/>
      <w:pgSz w:w="12240" w:h="15840" w:code="1"/>
      <w:pgMar w:top="2268" w:right="1418" w:bottom="851" w:left="1418" w:header="720" w:footer="720"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8D10E" w14:textId="77777777" w:rsidR="00525D3C" w:rsidRDefault="00525D3C">
      <w:r>
        <w:separator/>
      </w:r>
    </w:p>
  </w:endnote>
  <w:endnote w:type="continuationSeparator" w:id="0">
    <w:p w14:paraId="62B7E3B0" w14:textId="77777777" w:rsidR="00525D3C" w:rsidRDefault="00525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EB97C" w14:textId="77777777" w:rsidR="006D7D36" w:rsidRPr="006110F4" w:rsidRDefault="006D7D36" w:rsidP="00C70C22">
    <w:pPr>
      <w:pStyle w:val="Piedepgina"/>
      <w:jc w:val="center"/>
      <w:rPr>
        <w:rFonts w:ascii="Arial" w:hAnsi="Arial" w:cs="Arial"/>
        <w:b/>
        <w:bCs/>
        <w:color w:val="002060"/>
        <w:sz w:val="20"/>
        <w:szCs w:val="20"/>
      </w:rPr>
    </w:pPr>
    <w:r w:rsidRPr="006110F4">
      <w:rPr>
        <w:rFonts w:ascii="Arial" w:hAnsi="Arial" w:cs="Arial"/>
        <w:b/>
        <w:bCs/>
        <w:color w:val="002060"/>
        <w:sz w:val="20"/>
        <w:szCs w:val="20"/>
      </w:rPr>
      <w:t>COMUNICACIÓN SOCIAL</w:t>
    </w:r>
  </w:p>
  <w:p w14:paraId="343E967A" w14:textId="77777777" w:rsidR="006D7D36" w:rsidRPr="006110F4" w:rsidRDefault="006D7D36" w:rsidP="00C70C22">
    <w:pPr>
      <w:pStyle w:val="Piedepgina"/>
      <w:jc w:val="center"/>
      <w:rPr>
        <w:rFonts w:ascii="Arial" w:hAnsi="Arial" w:cs="Arial"/>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E498C" w:rsidRPr="004E706B" w:rsidRDefault="002E498C">
    <w:pPr>
      <w:pStyle w:val="Piedepgina"/>
      <w:jc w:val="center"/>
      <w:rPr>
        <w:rFonts w:ascii="Arial" w:hAnsi="Arial" w:cs="Arial"/>
        <w:color w:val="002060"/>
        <w:sz w:val="20"/>
        <w:szCs w:val="20"/>
      </w:rPr>
    </w:pPr>
    <w:r w:rsidRPr="004E706B">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E190C" w14:textId="77777777" w:rsidR="00525D3C" w:rsidRDefault="00525D3C">
      <w:r>
        <w:separator/>
      </w:r>
    </w:p>
  </w:footnote>
  <w:footnote w:type="continuationSeparator" w:id="0">
    <w:p w14:paraId="6CB078BE" w14:textId="77777777" w:rsidR="00525D3C" w:rsidRDefault="00525D3C">
      <w:r>
        <w:continuationSeparator/>
      </w:r>
    </w:p>
  </w:footnote>
  <w:footnote w:id="1">
    <w:p w14:paraId="153A707B" w14:textId="77777777" w:rsidR="006D7D36" w:rsidRDefault="006D7D36" w:rsidP="006D7D36">
      <w:pPr>
        <w:pStyle w:val="Textonotapie"/>
        <w:ind w:left="142" w:right="49" w:hanging="142"/>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sidRPr="00F931F6">
        <w:rPr>
          <w:rFonts w:ascii="Arial" w:hAnsi="Arial" w:cs="Arial"/>
          <w:sz w:val="16"/>
          <w:szCs w:val="16"/>
        </w:rPr>
        <w:t xml:space="preserve">La suma de los componentes que integran la estadística de la </w:t>
      </w:r>
      <w:r>
        <w:rPr>
          <w:rFonts w:ascii="Arial" w:hAnsi="Arial" w:cs="Arial"/>
          <w:sz w:val="16"/>
          <w:szCs w:val="16"/>
        </w:rPr>
        <w:t>B</w:t>
      </w:r>
      <w:r w:rsidRPr="00F931F6">
        <w:rPr>
          <w:rFonts w:ascii="Arial" w:hAnsi="Arial" w:cs="Arial"/>
          <w:sz w:val="16"/>
          <w:szCs w:val="16"/>
        </w:rPr>
        <w:t xml:space="preserve">alanza </w:t>
      </w:r>
      <w:r>
        <w:rPr>
          <w:rFonts w:ascii="Arial" w:hAnsi="Arial" w:cs="Arial"/>
          <w:sz w:val="16"/>
          <w:szCs w:val="16"/>
        </w:rPr>
        <w:t>C</w:t>
      </w:r>
      <w:r w:rsidRPr="00F931F6">
        <w:rPr>
          <w:rFonts w:ascii="Arial" w:hAnsi="Arial" w:cs="Arial"/>
          <w:sz w:val="16"/>
          <w:szCs w:val="16"/>
        </w:rPr>
        <w:t xml:space="preserve">omercial de </w:t>
      </w:r>
      <w:r>
        <w:rPr>
          <w:rFonts w:ascii="Arial" w:hAnsi="Arial" w:cs="Arial"/>
          <w:sz w:val="16"/>
          <w:szCs w:val="16"/>
        </w:rPr>
        <w:t>M</w:t>
      </w:r>
      <w:r w:rsidRPr="00F931F6">
        <w:rPr>
          <w:rFonts w:ascii="Arial" w:hAnsi="Arial" w:cs="Arial"/>
          <w:sz w:val="16"/>
          <w:szCs w:val="16"/>
        </w:rPr>
        <w:t xml:space="preserve">ercancías de México que se presenta en este reporte puede no coincidir con los totales debido al redondeo de las cifras. </w:t>
      </w:r>
    </w:p>
    <w:p w14:paraId="7DF9E20A" w14:textId="77777777" w:rsidR="006D7D36" w:rsidRDefault="006D7D36" w:rsidP="006D7D36">
      <w:pPr>
        <w:pStyle w:val="Textonotapie"/>
        <w:ind w:left="142" w:right="49" w:hanging="142"/>
        <w:jc w:val="both"/>
        <w:rPr>
          <w:rFonts w:ascii="Arial" w:hAnsi="Arial" w:cs="Arial"/>
          <w:sz w:val="16"/>
          <w:szCs w:val="16"/>
        </w:rPr>
      </w:pPr>
    </w:p>
    <w:p w14:paraId="7661A525" w14:textId="77777777" w:rsidR="006D7D36" w:rsidRPr="00F931F6" w:rsidRDefault="006D7D36" w:rsidP="006D7D36">
      <w:pPr>
        <w:pStyle w:val="Textonotapie"/>
        <w:ind w:left="142" w:right="-1" w:hanging="142"/>
        <w:jc w:val="both"/>
        <w:rPr>
          <w:rFonts w:ascii="Arial" w:hAnsi="Arial" w:cs="Arial"/>
          <w:sz w:val="16"/>
          <w:szCs w:val="16"/>
        </w:rPr>
      </w:pPr>
    </w:p>
  </w:footnote>
  <w:footnote w:id="2">
    <w:p w14:paraId="5738634B" w14:textId="77777777" w:rsidR="0081760D" w:rsidRPr="00384AA7" w:rsidRDefault="0081760D" w:rsidP="0081760D">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9850A" w14:textId="0BE53EA5" w:rsidR="006D7D36" w:rsidRPr="00776EFB" w:rsidRDefault="006D7D36" w:rsidP="00C70C22">
    <w:pPr>
      <w:pStyle w:val="Encabezado"/>
      <w:ind w:left="-142" w:right="49" w:hanging="142"/>
      <w:jc w:val="right"/>
      <w:rPr>
        <w:rFonts w:ascii="Arial" w:hAnsi="Arial" w:cs="Arial"/>
        <w:b/>
        <w:color w:val="002060"/>
        <w:lang w:val="pt-BR"/>
      </w:rPr>
    </w:pPr>
    <w:r>
      <w:rPr>
        <w:noProof/>
        <w:lang w:eastAsia="es-MX"/>
      </w:rPr>
      <w:drawing>
        <wp:anchor distT="0" distB="0" distL="114300" distR="114300" simplePos="0" relativeHeight="251659264" behindDoc="0" locked="0" layoutInCell="1" allowOverlap="1" wp14:anchorId="3422C6AD" wp14:editId="352CB2BD">
          <wp:simplePos x="0" y="0"/>
          <wp:positionH relativeFrom="margin">
            <wp:posOffset>7364</wp:posOffset>
          </wp:positionH>
          <wp:positionV relativeFrom="margin">
            <wp:posOffset>-1092200</wp:posOffset>
          </wp:positionV>
          <wp:extent cx="828000" cy="828000"/>
          <wp:effectExtent l="0" t="0" r="0" b="0"/>
          <wp:wrapSquare wrapText="bothSides"/>
          <wp:docPr id="19" name="Imagen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76EFB">
      <w:rPr>
        <w:rFonts w:ascii="Arial" w:hAnsi="Arial" w:cs="Arial"/>
        <w:b/>
        <w:color w:val="002060"/>
      </w:rPr>
      <w:t xml:space="preserve">COMUNICADO DE PRENSA NÚM. </w:t>
    </w:r>
    <w:r w:rsidR="007C6D68">
      <w:rPr>
        <w:rFonts w:ascii="Arial" w:hAnsi="Arial" w:cs="Arial"/>
        <w:b/>
        <w:color w:val="002060"/>
      </w:rPr>
      <w:t>165</w:t>
    </w:r>
    <w:r w:rsidRPr="00776EFB">
      <w:rPr>
        <w:rFonts w:ascii="Arial" w:hAnsi="Arial" w:cs="Arial"/>
        <w:b/>
        <w:color w:val="002060"/>
      </w:rPr>
      <w:t>/22</w:t>
    </w:r>
  </w:p>
  <w:p w14:paraId="57418934" w14:textId="77777777" w:rsidR="006D7D36" w:rsidRPr="00776EFB" w:rsidRDefault="006D7D36" w:rsidP="00C70C22">
    <w:pPr>
      <w:pStyle w:val="Encabezado"/>
      <w:ind w:left="-567" w:right="49"/>
      <w:jc w:val="right"/>
      <w:rPr>
        <w:rFonts w:ascii="Arial" w:hAnsi="Arial" w:cs="Arial"/>
        <w:b/>
        <w:color w:val="002060"/>
        <w:lang w:val="pt-BR"/>
      </w:rPr>
    </w:pPr>
    <w:r w:rsidRPr="00776EFB">
      <w:rPr>
        <w:rFonts w:ascii="Arial" w:hAnsi="Arial" w:cs="Arial"/>
        <w:b/>
        <w:color w:val="002060"/>
        <w:lang w:val="pt-BR"/>
      </w:rPr>
      <w:t>2</w:t>
    </w:r>
    <w:r>
      <w:rPr>
        <w:rFonts w:ascii="Arial" w:hAnsi="Arial" w:cs="Arial"/>
        <w:b/>
        <w:color w:val="002060"/>
        <w:lang w:val="pt-BR"/>
      </w:rPr>
      <w:t>8</w:t>
    </w:r>
    <w:r w:rsidRPr="00776EFB">
      <w:rPr>
        <w:rFonts w:ascii="Arial" w:hAnsi="Arial" w:cs="Arial"/>
        <w:b/>
        <w:color w:val="002060"/>
        <w:lang w:val="pt-BR"/>
      </w:rPr>
      <w:t xml:space="preserve"> DE </w:t>
    </w:r>
    <w:r>
      <w:rPr>
        <w:rFonts w:ascii="Arial" w:hAnsi="Arial" w:cs="Arial"/>
        <w:b/>
        <w:color w:val="002060"/>
        <w:lang w:val="pt-BR"/>
      </w:rPr>
      <w:t xml:space="preserve">MARZO </w:t>
    </w:r>
    <w:r w:rsidRPr="00776EFB">
      <w:rPr>
        <w:rFonts w:ascii="Arial" w:hAnsi="Arial" w:cs="Arial"/>
        <w:b/>
        <w:color w:val="002060"/>
        <w:lang w:val="pt-BR"/>
      </w:rPr>
      <w:t>DE 2022</w:t>
    </w:r>
  </w:p>
  <w:p w14:paraId="08396F0E" w14:textId="731532CE" w:rsidR="006D7D36" w:rsidRPr="00776EFB" w:rsidRDefault="006D7D36" w:rsidP="00C70C22">
    <w:pPr>
      <w:pStyle w:val="Encabezado"/>
      <w:ind w:left="-567" w:right="49"/>
      <w:jc w:val="right"/>
      <w:rPr>
        <w:rFonts w:ascii="Arial" w:hAnsi="Arial" w:cs="Arial"/>
        <w:b/>
        <w:color w:val="002060"/>
      </w:rPr>
    </w:pPr>
    <w:r w:rsidRPr="00776EFB">
      <w:rPr>
        <w:rFonts w:ascii="Arial" w:hAnsi="Arial" w:cs="Arial"/>
        <w:b/>
        <w:color w:val="002060"/>
      </w:rPr>
      <w:t xml:space="preserve">PÁGINA </w:t>
    </w:r>
    <w:r w:rsidRPr="00776EFB">
      <w:rPr>
        <w:rFonts w:ascii="Arial" w:hAnsi="Arial" w:cs="Arial"/>
        <w:b/>
        <w:color w:val="002060"/>
      </w:rPr>
      <w:fldChar w:fldCharType="begin"/>
    </w:r>
    <w:r w:rsidRPr="00776EFB">
      <w:rPr>
        <w:rFonts w:ascii="Arial" w:hAnsi="Arial" w:cs="Arial"/>
        <w:b/>
        <w:color w:val="002060"/>
      </w:rPr>
      <w:instrText xml:space="preserve"> PAGE  \* Arabic </w:instrText>
    </w:r>
    <w:r w:rsidRPr="00776EFB">
      <w:rPr>
        <w:rFonts w:ascii="Arial" w:hAnsi="Arial" w:cs="Arial"/>
        <w:b/>
        <w:color w:val="002060"/>
      </w:rPr>
      <w:fldChar w:fldCharType="separate"/>
    </w:r>
    <w:r w:rsidRPr="00776EFB">
      <w:rPr>
        <w:rFonts w:ascii="Arial" w:hAnsi="Arial" w:cs="Arial"/>
        <w:b/>
        <w:noProof/>
        <w:color w:val="002060"/>
      </w:rPr>
      <w:t>1</w:t>
    </w:r>
    <w:r w:rsidRPr="00776EFB">
      <w:rPr>
        <w:rFonts w:ascii="Arial" w:hAnsi="Arial" w:cs="Arial"/>
        <w:b/>
        <w:color w:val="002060"/>
      </w:rPr>
      <w:fldChar w:fldCharType="end"/>
    </w:r>
    <w:r w:rsidRPr="00776EFB">
      <w:rPr>
        <w:rFonts w:ascii="Arial" w:hAnsi="Arial" w:cs="Arial"/>
        <w:b/>
        <w:color w:val="002060"/>
      </w:rPr>
      <w:t>/</w:t>
    </w:r>
    <w:r w:rsidR="00E84DFF">
      <w:rPr>
        <w:rFonts w:ascii="Arial" w:hAnsi="Arial" w:cs="Arial"/>
        <w:b/>
        <w:color w:val="002060"/>
      </w:rPr>
      <w:t>10</w:t>
    </w:r>
  </w:p>
  <w:p w14:paraId="1E66136D" w14:textId="77777777" w:rsidR="006D7D36" w:rsidRDefault="006D7D36" w:rsidP="00C70C22">
    <w:pPr>
      <w:pStyle w:val="Encabezado"/>
      <w:ind w:right="49"/>
      <w:jc w:val="center"/>
    </w:pPr>
  </w:p>
  <w:p w14:paraId="4D03FDEF" w14:textId="77777777" w:rsidR="006D7D36" w:rsidRDefault="006D7D36"/>
  <w:p w14:paraId="2D31A2A6" w14:textId="77777777" w:rsidR="006D7D36" w:rsidRDefault="006D7D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0CF61673" w:rsidR="002E498C" w:rsidRDefault="002E498C" w:rsidP="006D7D36">
    <w:pPr>
      <w:pStyle w:val="Encabezado"/>
      <w:tabs>
        <w:tab w:val="clear" w:pos="4419"/>
        <w:tab w:val="clear" w:pos="8838"/>
        <w:tab w:val="left" w:pos="4877"/>
      </w:tabs>
      <w:jc w:val="center"/>
    </w:pPr>
    <w:r>
      <w:rPr>
        <w:noProof/>
        <w:lang w:val="es-MX" w:eastAsia="es-MX"/>
      </w:rPr>
      <w:drawing>
        <wp:inline distT="0" distB="0" distL="0" distR="0" wp14:anchorId="69E4CCC0" wp14:editId="01F5E9CD">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233754CB" w14:textId="77777777" w:rsidR="002E498C" w:rsidRDefault="002E498C"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4D07"/>
    <w:rsid w:val="0001532E"/>
    <w:rsid w:val="00015C82"/>
    <w:rsid w:val="00016280"/>
    <w:rsid w:val="000162D9"/>
    <w:rsid w:val="00016319"/>
    <w:rsid w:val="00016372"/>
    <w:rsid w:val="000163D9"/>
    <w:rsid w:val="00016424"/>
    <w:rsid w:val="000164CA"/>
    <w:rsid w:val="00016518"/>
    <w:rsid w:val="00016868"/>
    <w:rsid w:val="00016B3A"/>
    <w:rsid w:val="00016B6B"/>
    <w:rsid w:val="00016BFA"/>
    <w:rsid w:val="00016C2D"/>
    <w:rsid w:val="00016CE2"/>
    <w:rsid w:val="00016DEA"/>
    <w:rsid w:val="00016E36"/>
    <w:rsid w:val="00017243"/>
    <w:rsid w:val="000173BF"/>
    <w:rsid w:val="000177CA"/>
    <w:rsid w:val="000178F8"/>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3964"/>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203F"/>
    <w:rsid w:val="0005355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195E"/>
    <w:rsid w:val="0007222E"/>
    <w:rsid w:val="0007241B"/>
    <w:rsid w:val="00072491"/>
    <w:rsid w:val="00072CE0"/>
    <w:rsid w:val="00072DFD"/>
    <w:rsid w:val="000732B7"/>
    <w:rsid w:val="00073502"/>
    <w:rsid w:val="0007372E"/>
    <w:rsid w:val="000739BD"/>
    <w:rsid w:val="00073B73"/>
    <w:rsid w:val="00073D63"/>
    <w:rsid w:val="00073DA5"/>
    <w:rsid w:val="000748FA"/>
    <w:rsid w:val="0007499D"/>
    <w:rsid w:val="00074F21"/>
    <w:rsid w:val="00075546"/>
    <w:rsid w:val="00075598"/>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3C9"/>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A7898"/>
    <w:rsid w:val="000B00E1"/>
    <w:rsid w:val="000B036C"/>
    <w:rsid w:val="000B0611"/>
    <w:rsid w:val="000B0763"/>
    <w:rsid w:val="000B09AA"/>
    <w:rsid w:val="000B0E5A"/>
    <w:rsid w:val="000B1079"/>
    <w:rsid w:val="000B1412"/>
    <w:rsid w:val="000B1519"/>
    <w:rsid w:val="000B15E3"/>
    <w:rsid w:val="000B1EDB"/>
    <w:rsid w:val="000B271F"/>
    <w:rsid w:val="000B298B"/>
    <w:rsid w:val="000B2B3F"/>
    <w:rsid w:val="000B2DB5"/>
    <w:rsid w:val="000B3111"/>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59"/>
    <w:rsid w:val="000B6CD2"/>
    <w:rsid w:val="000B6F15"/>
    <w:rsid w:val="000B77B6"/>
    <w:rsid w:val="000B7B1F"/>
    <w:rsid w:val="000B7D02"/>
    <w:rsid w:val="000C0442"/>
    <w:rsid w:val="000C05F2"/>
    <w:rsid w:val="000C0669"/>
    <w:rsid w:val="000C0954"/>
    <w:rsid w:val="000C12AD"/>
    <w:rsid w:val="000C1C21"/>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1A"/>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56B3"/>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2590"/>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17C7E"/>
    <w:rsid w:val="001206EC"/>
    <w:rsid w:val="00120CB8"/>
    <w:rsid w:val="00120D51"/>
    <w:rsid w:val="00120DE2"/>
    <w:rsid w:val="00121528"/>
    <w:rsid w:val="0012178C"/>
    <w:rsid w:val="001217FE"/>
    <w:rsid w:val="00121F50"/>
    <w:rsid w:val="00122098"/>
    <w:rsid w:val="0012210A"/>
    <w:rsid w:val="00122248"/>
    <w:rsid w:val="00122558"/>
    <w:rsid w:val="001226EE"/>
    <w:rsid w:val="001229AE"/>
    <w:rsid w:val="00122CDD"/>
    <w:rsid w:val="001230D0"/>
    <w:rsid w:val="001231F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625B"/>
    <w:rsid w:val="001264A7"/>
    <w:rsid w:val="001264BA"/>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53FF"/>
    <w:rsid w:val="0013607A"/>
    <w:rsid w:val="0013627B"/>
    <w:rsid w:val="001369FF"/>
    <w:rsid w:val="00137042"/>
    <w:rsid w:val="00137152"/>
    <w:rsid w:val="00137580"/>
    <w:rsid w:val="001378AA"/>
    <w:rsid w:val="00137A0A"/>
    <w:rsid w:val="00137DF5"/>
    <w:rsid w:val="00137EBD"/>
    <w:rsid w:val="00140111"/>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6D"/>
    <w:rsid w:val="001439C6"/>
    <w:rsid w:val="00143A1D"/>
    <w:rsid w:val="00143CAF"/>
    <w:rsid w:val="001441A6"/>
    <w:rsid w:val="00144378"/>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413"/>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981"/>
    <w:rsid w:val="00154D17"/>
    <w:rsid w:val="00154F76"/>
    <w:rsid w:val="001553B5"/>
    <w:rsid w:val="00155794"/>
    <w:rsid w:val="001559BA"/>
    <w:rsid w:val="00155B09"/>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62"/>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486"/>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836"/>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1FC7"/>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346"/>
    <w:rsid w:val="00217347"/>
    <w:rsid w:val="0021788C"/>
    <w:rsid w:val="00217C11"/>
    <w:rsid w:val="00217C7A"/>
    <w:rsid w:val="00217D1A"/>
    <w:rsid w:val="002200BE"/>
    <w:rsid w:val="00220369"/>
    <w:rsid w:val="0022067B"/>
    <w:rsid w:val="00220852"/>
    <w:rsid w:val="002208E1"/>
    <w:rsid w:val="00220968"/>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142"/>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078"/>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2C"/>
    <w:rsid w:val="00274E36"/>
    <w:rsid w:val="00274E9F"/>
    <w:rsid w:val="00275415"/>
    <w:rsid w:val="00275707"/>
    <w:rsid w:val="00275783"/>
    <w:rsid w:val="00275870"/>
    <w:rsid w:val="0027587D"/>
    <w:rsid w:val="00275ED1"/>
    <w:rsid w:val="00276474"/>
    <w:rsid w:val="002767DE"/>
    <w:rsid w:val="00276DB2"/>
    <w:rsid w:val="00276EDB"/>
    <w:rsid w:val="00276FAC"/>
    <w:rsid w:val="0027753E"/>
    <w:rsid w:val="002777B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97E93"/>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16EA"/>
    <w:rsid w:val="002B20F1"/>
    <w:rsid w:val="002B25D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7D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C78"/>
    <w:rsid w:val="00306E70"/>
    <w:rsid w:val="003076B0"/>
    <w:rsid w:val="00307714"/>
    <w:rsid w:val="00307973"/>
    <w:rsid w:val="00307A1D"/>
    <w:rsid w:val="00307D43"/>
    <w:rsid w:val="00307F56"/>
    <w:rsid w:val="00310AAE"/>
    <w:rsid w:val="00310FD1"/>
    <w:rsid w:val="00311111"/>
    <w:rsid w:val="003112AB"/>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5DA"/>
    <w:rsid w:val="0032367D"/>
    <w:rsid w:val="003236CC"/>
    <w:rsid w:val="00323AB3"/>
    <w:rsid w:val="00324167"/>
    <w:rsid w:val="003247CD"/>
    <w:rsid w:val="00324827"/>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2EF2"/>
    <w:rsid w:val="00333047"/>
    <w:rsid w:val="00333195"/>
    <w:rsid w:val="0033325C"/>
    <w:rsid w:val="0033383F"/>
    <w:rsid w:val="00333B1F"/>
    <w:rsid w:val="00333F29"/>
    <w:rsid w:val="003341A0"/>
    <w:rsid w:val="00334339"/>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CBE"/>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0C1"/>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88"/>
    <w:rsid w:val="0038371D"/>
    <w:rsid w:val="0038371F"/>
    <w:rsid w:val="00383AF4"/>
    <w:rsid w:val="00383B52"/>
    <w:rsid w:val="00383E44"/>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639"/>
    <w:rsid w:val="00396A85"/>
    <w:rsid w:val="00396CFA"/>
    <w:rsid w:val="00396FD3"/>
    <w:rsid w:val="00397088"/>
    <w:rsid w:val="003974F8"/>
    <w:rsid w:val="00397653"/>
    <w:rsid w:val="00397661"/>
    <w:rsid w:val="00397711"/>
    <w:rsid w:val="00397A09"/>
    <w:rsid w:val="003A0100"/>
    <w:rsid w:val="003A0113"/>
    <w:rsid w:val="003A036F"/>
    <w:rsid w:val="003A0EE1"/>
    <w:rsid w:val="003A1100"/>
    <w:rsid w:val="003A11DB"/>
    <w:rsid w:val="003A165A"/>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2DF3"/>
    <w:rsid w:val="003B31AE"/>
    <w:rsid w:val="003B35D1"/>
    <w:rsid w:val="003B3778"/>
    <w:rsid w:val="003B37CB"/>
    <w:rsid w:val="003B3C8D"/>
    <w:rsid w:val="003B3DD5"/>
    <w:rsid w:val="003B421B"/>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AD5"/>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8C1"/>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A4D"/>
    <w:rsid w:val="003D6DA3"/>
    <w:rsid w:val="003D7157"/>
    <w:rsid w:val="003D725A"/>
    <w:rsid w:val="003D7319"/>
    <w:rsid w:val="003D73F5"/>
    <w:rsid w:val="003D7418"/>
    <w:rsid w:val="003D74EB"/>
    <w:rsid w:val="003D786A"/>
    <w:rsid w:val="003D79DB"/>
    <w:rsid w:val="003D7B13"/>
    <w:rsid w:val="003D7B33"/>
    <w:rsid w:val="003D7D81"/>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EC7"/>
    <w:rsid w:val="003E6FB9"/>
    <w:rsid w:val="003E6FE6"/>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7DC"/>
    <w:rsid w:val="003F58CC"/>
    <w:rsid w:val="003F5F2F"/>
    <w:rsid w:val="003F615E"/>
    <w:rsid w:val="003F665A"/>
    <w:rsid w:val="003F6ACC"/>
    <w:rsid w:val="003F6B21"/>
    <w:rsid w:val="003F6B29"/>
    <w:rsid w:val="003F72AE"/>
    <w:rsid w:val="003F7355"/>
    <w:rsid w:val="003F77DB"/>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832"/>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E5A"/>
    <w:rsid w:val="00426F46"/>
    <w:rsid w:val="00426F6A"/>
    <w:rsid w:val="00427050"/>
    <w:rsid w:val="00427AAD"/>
    <w:rsid w:val="00427D3D"/>
    <w:rsid w:val="0043069F"/>
    <w:rsid w:val="00430D98"/>
    <w:rsid w:val="00430F22"/>
    <w:rsid w:val="004311AA"/>
    <w:rsid w:val="00431322"/>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3A"/>
    <w:rsid w:val="004365B1"/>
    <w:rsid w:val="0043690F"/>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AF9"/>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4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39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7E0"/>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BCD"/>
    <w:rsid w:val="00485E47"/>
    <w:rsid w:val="00485FAC"/>
    <w:rsid w:val="00485FFD"/>
    <w:rsid w:val="004861C7"/>
    <w:rsid w:val="00486EE4"/>
    <w:rsid w:val="00486EF5"/>
    <w:rsid w:val="00486F74"/>
    <w:rsid w:val="004874D0"/>
    <w:rsid w:val="00487666"/>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FFC"/>
    <w:rsid w:val="004A2284"/>
    <w:rsid w:val="004A22B5"/>
    <w:rsid w:val="004A22F2"/>
    <w:rsid w:val="004A2C91"/>
    <w:rsid w:val="004A3216"/>
    <w:rsid w:val="004A362D"/>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997"/>
    <w:rsid w:val="004B6AA9"/>
    <w:rsid w:val="004B6D6F"/>
    <w:rsid w:val="004B7334"/>
    <w:rsid w:val="004B7AF1"/>
    <w:rsid w:val="004C0741"/>
    <w:rsid w:val="004C0C3D"/>
    <w:rsid w:val="004C1504"/>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C7B9E"/>
    <w:rsid w:val="004C7D88"/>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06B"/>
    <w:rsid w:val="004E747C"/>
    <w:rsid w:val="004E7850"/>
    <w:rsid w:val="004E7C94"/>
    <w:rsid w:val="004E7FED"/>
    <w:rsid w:val="004F01C6"/>
    <w:rsid w:val="004F1044"/>
    <w:rsid w:val="004F12B3"/>
    <w:rsid w:val="004F147E"/>
    <w:rsid w:val="004F17BC"/>
    <w:rsid w:val="004F18F4"/>
    <w:rsid w:val="004F2C55"/>
    <w:rsid w:val="004F2C90"/>
    <w:rsid w:val="004F2CCD"/>
    <w:rsid w:val="004F3499"/>
    <w:rsid w:val="004F3791"/>
    <w:rsid w:val="004F3BE3"/>
    <w:rsid w:val="004F3D3D"/>
    <w:rsid w:val="004F3F59"/>
    <w:rsid w:val="004F3FDE"/>
    <w:rsid w:val="004F41B6"/>
    <w:rsid w:val="004F47B6"/>
    <w:rsid w:val="004F47E3"/>
    <w:rsid w:val="004F489C"/>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4AD"/>
    <w:rsid w:val="005055C4"/>
    <w:rsid w:val="00505607"/>
    <w:rsid w:val="005056BE"/>
    <w:rsid w:val="00505914"/>
    <w:rsid w:val="00505A1F"/>
    <w:rsid w:val="00505D8E"/>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94C"/>
    <w:rsid w:val="00513D59"/>
    <w:rsid w:val="00513DF7"/>
    <w:rsid w:val="005144E0"/>
    <w:rsid w:val="0051468A"/>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CD8"/>
    <w:rsid w:val="00525D3C"/>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059"/>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D78"/>
    <w:rsid w:val="00542669"/>
    <w:rsid w:val="005426D1"/>
    <w:rsid w:val="00542F00"/>
    <w:rsid w:val="00543B2F"/>
    <w:rsid w:val="0054405D"/>
    <w:rsid w:val="00544082"/>
    <w:rsid w:val="0054422F"/>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13A"/>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791"/>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315"/>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A8"/>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979"/>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572"/>
    <w:rsid w:val="005B571C"/>
    <w:rsid w:val="005B57B8"/>
    <w:rsid w:val="005B5D74"/>
    <w:rsid w:val="005B618F"/>
    <w:rsid w:val="005B655A"/>
    <w:rsid w:val="005B6CF0"/>
    <w:rsid w:val="005B72BF"/>
    <w:rsid w:val="005B7610"/>
    <w:rsid w:val="005B7DF9"/>
    <w:rsid w:val="005C0078"/>
    <w:rsid w:val="005C04F2"/>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69E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97F"/>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6E82"/>
    <w:rsid w:val="005E71D4"/>
    <w:rsid w:val="005E7253"/>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15"/>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014"/>
    <w:rsid w:val="00601483"/>
    <w:rsid w:val="00601614"/>
    <w:rsid w:val="00601C8A"/>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C77"/>
    <w:rsid w:val="0061215B"/>
    <w:rsid w:val="00612281"/>
    <w:rsid w:val="006123B5"/>
    <w:rsid w:val="00612755"/>
    <w:rsid w:val="00612962"/>
    <w:rsid w:val="00612F81"/>
    <w:rsid w:val="00613236"/>
    <w:rsid w:val="00613291"/>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6E08"/>
    <w:rsid w:val="00626F31"/>
    <w:rsid w:val="006271F5"/>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23A"/>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CCD"/>
    <w:rsid w:val="00683E6D"/>
    <w:rsid w:val="00684606"/>
    <w:rsid w:val="006846AD"/>
    <w:rsid w:val="006846CB"/>
    <w:rsid w:val="0068472A"/>
    <w:rsid w:val="00684930"/>
    <w:rsid w:val="00685531"/>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D0D"/>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D6C"/>
    <w:rsid w:val="006C2F50"/>
    <w:rsid w:val="006C3435"/>
    <w:rsid w:val="006C376B"/>
    <w:rsid w:val="006C3782"/>
    <w:rsid w:val="006C3837"/>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6"/>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6F3A"/>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51"/>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B89"/>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B79"/>
    <w:rsid w:val="00727BAA"/>
    <w:rsid w:val="00727BFC"/>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04B"/>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094"/>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DD3"/>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201"/>
    <w:rsid w:val="0077256E"/>
    <w:rsid w:val="00772B4F"/>
    <w:rsid w:val="00772D02"/>
    <w:rsid w:val="007737DB"/>
    <w:rsid w:val="00773A2D"/>
    <w:rsid w:val="00773BA7"/>
    <w:rsid w:val="00773F74"/>
    <w:rsid w:val="00773FAE"/>
    <w:rsid w:val="00773FEF"/>
    <w:rsid w:val="00774239"/>
    <w:rsid w:val="0077436E"/>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AF3"/>
    <w:rsid w:val="00785B60"/>
    <w:rsid w:val="007862E0"/>
    <w:rsid w:val="00786379"/>
    <w:rsid w:val="0078699E"/>
    <w:rsid w:val="00786CCA"/>
    <w:rsid w:val="00786D19"/>
    <w:rsid w:val="00787005"/>
    <w:rsid w:val="007872E2"/>
    <w:rsid w:val="00787588"/>
    <w:rsid w:val="00787810"/>
    <w:rsid w:val="00787839"/>
    <w:rsid w:val="00787856"/>
    <w:rsid w:val="0078789A"/>
    <w:rsid w:val="00787994"/>
    <w:rsid w:val="0079004F"/>
    <w:rsid w:val="007904E0"/>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3A"/>
    <w:rsid w:val="007A7E68"/>
    <w:rsid w:val="007A7FA2"/>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6A"/>
    <w:rsid w:val="007C3D85"/>
    <w:rsid w:val="007C3F37"/>
    <w:rsid w:val="007C4468"/>
    <w:rsid w:val="007C4D84"/>
    <w:rsid w:val="007C5163"/>
    <w:rsid w:val="007C53EB"/>
    <w:rsid w:val="007C55D5"/>
    <w:rsid w:val="007C5BBB"/>
    <w:rsid w:val="007C5CE6"/>
    <w:rsid w:val="007C5D9D"/>
    <w:rsid w:val="007C5F31"/>
    <w:rsid w:val="007C6A38"/>
    <w:rsid w:val="007C6B3F"/>
    <w:rsid w:val="007C6D68"/>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132F"/>
    <w:rsid w:val="007D1401"/>
    <w:rsid w:val="007D14F6"/>
    <w:rsid w:val="007D1B89"/>
    <w:rsid w:val="007D1FF1"/>
    <w:rsid w:val="007D26FE"/>
    <w:rsid w:val="007D2779"/>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2F2"/>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261"/>
    <w:rsid w:val="0080533B"/>
    <w:rsid w:val="00805573"/>
    <w:rsid w:val="0080568A"/>
    <w:rsid w:val="00805810"/>
    <w:rsid w:val="0080588C"/>
    <w:rsid w:val="00805C6B"/>
    <w:rsid w:val="00805D2D"/>
    <w:rsid w:val="00805EAB"/>
    <w:rsid w:val="0080664C"/>
    <w:rsid w:val="00806CBC"/>
    <w:rsid w:val="008071B0"/>
    <w:rsid w:val="0080726A"/>
    <w:rsid w:val="00807316"/>
    <w:rsid w:val="00807C91"/>
    <w:rsid w:val="00810115"/>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60D"/>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7158"/>
    <w:rsid w:val="0082734E"/>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3FE3"/>
    <w:rsid w:val="0083445B"/>
    <w:rsid w:val="008344F7"/>
    <w:rsid w:val="008347DB"/>
    <w:rsid w:val="00834E19"/>
    <w:rsid w:val="0083515C"/>
    <w:rsid w:val="008358E1"/>
    <w:rsid w:val="00835C5A"/>
    <w:rsid w:val="00836412"/>
    <w:rsid w:val="00836413"/>
    <w:rsid w:val="00836765"/>
    <w:rsid w:val="008367A4"/>
    <w:rsid w:val="00836897"/>
    <w:rsid w:val="00836EE6"/>
    <w:rsid w:val="00837038"/>
    <w:rsid w:val="00837535"/>
    <w:rsid w:val="00837781"/>
    <w:rsid w:val="0083782F"/>
    <w:rsid w:val="00837931"/>
    <w:rsid w:val="00837B80"/>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889"/>
    <w:rsid w:val="008709A0"/>
    <w:rsid w:val="008709B9"/>
    <w:rsid w:val="00870A4D"/>
    <w:rsid w:val="00870C10"/>
    <w:rsid w:val="00871063"/>
    <w:rsid w:val="008712E1"/>
    <w:rsid w:val="008713AF"/>
    <w:rsid w:val="00871AF5"/>
    <w:rsid w:val="00871B6C"/>
    <w:rsid w:val="00871F91"/>
    <w:rsid w:val="0087204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160B"/>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41"/>
    <w:rsid w:val="008858CD"/>
    <w:rsid w:val="00886587"/>
    <w:rsid w:val="00887043"/>
    <w:rsid w:val="008872E7"/>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6A"/>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4E0F"/>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415"/>
    <w:rsid w:val="008D09D5"/>
    <w:rsid w:val="008D0AB5"/>
    <w:rsid w:val="008D0D98"/>
    <w:rsid w:val="008D11A8"/>
    <w:rsid w:val="008D1581"/>
    <w:rsid w:val="008D185A"/>
    <w:rsid w:val="008D1A9D"/>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16D"/>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AF9"/>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57B"/>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CD4"/>
    <w:rsid w:val="00902091"/>
    <w:rsid w:val="00902279"/>
    <w:rsid w:val="00902B26"/>
    <w:rsid w:val="00903372"/>
    <w:rsid w:val="00903588"/>
    <w:rsid w:val="009035C2"/>
    <w:rsid w:val="00903744"/>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5153"/>
    <w:rsid w:val="00915355"/>
    <w:rsid w:val="00915374"/>
    <w:rsid w:val="009154B8"/>
    <w:rsid w:val="009155FF"/>
    <w:rsid w:val="009156CB"/>
    <w:rsid w:val="00915757"/>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22"/>
    <w:rsid w:val="00935638"/>
    <w:rsid w:val="00935771"/>
    <w:rsid w:val="009359B6"/>
    <w:rsid w:val="00935DE4"/>
    <w:rsid w:val="00935FC1"/>
    <w:rsid w:val="00936402"/>
    <w:rsid w:val="00936477"/>
    <w:rsid w:val="00936692"/>
    <w:rsid w:val="00936DE2"/>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2E29"/>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162"/>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5E"/>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B66"/>
    <w:rsid w:val="00961DF9"/>
    <w:rsid w:val="009621FC"/>
    <w:rsid w:val="00962724"/>
    <w:rsid w:val="009628F5"/>
    <w:rsid w:val="00962DE8"/>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5218"/>
    <w:rsid w:val="0098534D"/>
    <w:rsid w:val="00985576"/>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3002"/>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EFB"/>
    <w:rsid w:val="009A0F0D"/>
    <w:rsid w:val="009A10D6"/>
    <w:rsid w:val="009A11D6"/>
    <w:rsid w:val="009A160B"/>
    <w:rsid w:val="009A1639"/>
    <w:rsid w:val="009A1B94"/>
    <w:rsid w:val="009A1E56"/>
    <w:rsid w:val="009A20D4"/>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10B"/>
    <w:rsid w:val="009B7356"/>
    <w:rsid w:val="009B73BA"/>
    <w:rsid w:val="009B7BAA"/>
    <w:rsid w:val="009B7C86"/>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99D"/>
    <w:rsid w:val="009F7BAA"/>
    <w:rsid w:val="00A000AD"/>
    <w:rsid w:val="00A00620"/>
    <w:rsid w:val="00A00636"/>
    <w:rsid w:val="00A007FB"/>
    <w:rsid w:val="00A01237"/>
    <w:rsid w:val="00A0157A"/>
    <w:rsid w:val="00A017B0"/>
    <w:rsid w:val="00A01A31"/>
    <w:rsid w:val="00A02438"/>
    <w:rsid w:val="00A02D34"/>
    <w:rsid w:val="00A02DAD"/>
    <w:rsid w:val="00A02DD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5FC"/>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28A"/>
    <w:rsid w:val="00A36D0E"/>
    <w:rsid w:val="00A3744F"/>
    <w:rsid w:val="00A37871"/>
    <w:rsid w:val="00A378F6"/>
    <w:rsid w:val="00A37DD5"/>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2B8"/>
    <w:rsid w:val="00A4539F"/>
    <w:rsid w:val="00A45412"/>
    <w:rsid w:val="00A456A6"/>
    <w:rsid w:val="00A45808"/>
    <w:rsid w:val="00A45CC7"/>
    <w:rsid w:val="00A45D61"/>
    <w:rsid w:val="00A46100"/>
    <w:rsid w:val="00A468A2"/>
    <w:rsid w:val="00A46B36"/>
    <w:rsid w:val="00A46CBC"/>
    <w:rsid w:val="00A47022"/>
    <w:rsid w:val="00A471CE"/>
    <w:rsid w:val="00A4726D"/>
    <w:rsid w:val="00A4793C"/>
    <w:rsid w:val="00A47A19"/>
    <w:rsid w:val="00A47CDA"/>
    <w:rsid w:val="00A50563"/>
    <w:rsid w:val="00A50682"/>
    <w:rsid w:val="00A506A9"/>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FC"/>
    <w:rsid w:val="00A63AD5"/>
    <w:rsid w:val="00A63E56"/>
    <w:rsid w:val="00A63EC4"/>
    <w:rsid w:val="00A6482B"/>
    <w:rsid w:val="00A64A24"/>
    <w:rsid w:val="00A64B7E"/>
    <w:rsid w:val="00A65544"/>
    <w:rsid w:val="00A65901"/>
    <w:rsid w:val="00A65A92"/>
    <w:rsid w:val="00A65B39"/>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0F14"/>
    <w:rsid w:val="00A71004"/>
    <w:rsid w:val="00A71B1B"/>
    <w:rsid w:val="00A721AF"/>
    <w:rsid w:val="00A726F3"/>
    <w:rsid w:val="00A7275B"/>
    <w:rsid w:val="00A7284D"/>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C27"/>
    <w:rsid w:val="00A82FB1"/>
    <w:rsid w:val="00A830F9"/>
    <w:rsid w:val="00A8328E"/>
    <w:rsid w:val="00A83483"/>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298"/>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48D6"/>
    <w:rsid w:val="00AB535E"/>
    <w:rsid w:val="00AB5434"/>
    <w:rsid w:val="00AB5B20"/>
    <w:rsid w:val="00AB5EF0"/>
    <w:rsid w:val="00AB613C"/>
    <w:rsid w:val="00AB6BA6"/>
    <w:rsid w:val="00AB6C5F"/>
    <w:rsid w:val="00AB6F1A"/>
    <w:rsid w:val="00AB7211"/>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0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E5C"/>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289"/>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B4"/>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CB"/>
    <w:rsid w:val="00B9325E"/>
    <w:rsid w:val="00B9327F"/>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69D"/>
    <w:rsid w:val="00B9685B"/>
    <w:rsid w:val="00B96F9B"/>
    <w:rsid w:val="00B970BE"/>
    <w:rsid w:val="00B971CF"/>
    <w:rsid w:val="00B97638"/>
    <w:rsid w:val="00B97765"/>
    <w:rsid w:val="00B979C1"/>
    <w:rsid w:val="00B97DF0"/>
    <w:rsid w:val="00BA02E4"/>
    <w:rsid w:val="00BA0730"/>
    <w:rsid w:val="00BA09BF"/>
    <w:rsid w:val="00BA0F50"/>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598"/>
    <w:rsid w:val="00BB0B20"/>
    <w:rsid w:val="00BB0CAE"/>
    <w:rsid w:val="00BB0D8C"/>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5FE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5EB"/>
    <w:rsid w:val="00BC7628"/>
    <w:rsid w:val="00BD036C"/>
    <w:rsid w:val="00BD056F"/>
    <w:rsid w:val="00BD0AD0"/>
    <w:rsid w:val="00BD0CCD"/>
    <w:rsid w:val="00BD0D0D"/>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263"/>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5C8"/>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3C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49A"/>
    <w:rsid w:val="00C204A1"/>
    <w:rsid w:val="00C205CE"/>
    <w:rsid w:val="00C20A01"/>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2D6"/>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24C"/>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5B3"/>
    <w:rsid w:val="00C51ECD"/>
    <w:rsid w:val="00C52612"/>
    <w:rsid w:val="00C52628"/>
    <w:rsid w:val="00C52C7C"/>
    <w:rsid w:val="00C52FFC"/>
    <w:rsid w:val="00C53344"/>
    <w:rsid w:val="00C534D4"/>
    <w:rsid w:val="00C541E6"/>
    <w:rsid w:val="00C5486F"/>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2DB4"/>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6F54"/>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6B7"/>
    <w:rsid w:val="00CA0DC3"/>
    <w:rsid w:val="00CA0EBB"/>
    <w:rsid w:val="00CA1001"/>
    <w:rsid w:val="00CA1C38"/>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AA2"/>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4AD"/>
    <w:rsid w:val="00CB394C"/>
    <w:rsid w:val="00CB3B57"/>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4BF"/>
    <w:rsid w:val="00CD064F"/>
    <w:rsid w:val="00CD0C6E"/>
    <w:rsid w:val="00CD0DA8"/>
    <w:rsid w:val="00CD11A2"/>
    <w:rsid w:val="00CD1496"/>
    <w:rsid w:val="00CD15A7"/>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2D5"/>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250"/>
    <w:rsid w:val="00CE598C"/>
    <w:rsid w:val="00CE5A2C"/>
    <w:rsid w:val="00CE5EE8"/>
    <w:rsid w:val="00CE6133"/>
    <w:rsid w:val="00CE6238"/>
    <w:rsid w:val="00CE66EF"/>
    <w:rsid w:val="00CE6AE4"/>
    <w:rsid w:val="00CE6D26"/>
    <w:rsid w:val="00CE6F65"/>
    <w:rsid w:val="00CE6FC6"/>
    <w:rsid w:val="00CE77D5"/>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8C6"/>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A25"/>
    <w:rsid w:val="00D42C8D"/>
    <w:rsid w:val="00D42CF8"/>
    <w:rsid w:val="00D4350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0B5B"/>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4C25"/>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99D"/>
    <w:rsid w:val="00D80D33"/>
    <w:rsid w:val="00D80FC9"/>
    <w:rsid w:val="00D811E5"/>
    <w:rsid w:val="00D813F4"/>
    <w:rsid w:val="00D8195A"/>
    <w:rsid w:val="00D81B89"/>
    <w:rsid w:val="00D81C33"/>
    <w:rsid w:val="00D82123"/>
    <w:rsid w:val="00D82456"/>
    <w:rsid w:val="00D82587"/>
    <w:rsid w:val="00D826AD"/>
    <w:rsid w:val="00D82B01"/>
    <w:rsid w:val="00D8301E"/>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299"/>
    <w:rsid w:val="00DA66CE"/>
    <w:rsid w:val="00DA679F"/>
    <w:rsid w:val="00DA6F08"/>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8AA"/>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1B"/>
    <w:rsid w:val="00E03B65"/>
    <w:rsid w:val="00E03C61"/>
    <w:rsid w:val="00E03D89"/>
    <w:rsid w:val="00E04CC5"/>
    <w:rsid w:val="00E04E94"/>
    <w:rsid w:val="00E04F59"/>
    <w:rsid w:val="00E05126"/>
    <w:rsid w:val="00E05CC8"/>
    <w:rsid w:val="00E05E2A"/>
    <w:rsid w:val="00E0618E"/>
    <w:rsid w:val="00E06365"/>
    <w:rsid w:val="00E06F4A"/>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71C"/>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809"/>
    <w:rsid w:val="00E32A88"/>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A7C"/>
    <w:rsid w:val="00E55BC4"/>
    <w:rsid w:val="00E55DB2"/>
    <w:rsid w:val="00E55DCD"/>
    <w:rsid w:val="00E562C7"/>
    <w:rsid w:val="00E563DD"/>
    <w:rsid w:val="00E56922"/>
    <w:rsid w:val="00E56FB3"/>
    <w:rsid w:val="00E573F9"/>
    <w:rsid w:val="00E5749E"/>
    <w:rsid w:val="00E57589"/>
    <w:rsid w:val="00E5758F"/>
    <w:rsid w:val="00E57D68"/>
    <w:rsid w:val="00E57E0C"/>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1CA"/>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2BC9"/>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4DFF"/>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9A9"/>
    <w:rsid w:val="00E939F8"/>
    <w:rsid w:val="00E93B39"/>
    <w:rsid w:val="00E93B78"/>
    <w:rsid w:val="00E943CA"/>
    <w:rsid w:val="00E945D7"/>
    <w:rsid w:val="00E94681"/>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87E"/>
    <w:rsid w:val="00EA5D58"/>
    <w:rsid w:val="00EA5E11"/>
    <w:rsid w:val="00EA607E"/>
    <w:rsid w:val="00EA626C"/>
    <w:rsid w:val="00EA6A38"/>
    <w:rsid w:val="00EA6D0D"/>
    <w:rsid w:val="00EA6DBF"/>
    <w:rsid w:val="00EA6DFE"/>
    <w:rsid w:val="00EA6E15"/>
    <w:rsid w:val="00EA7421"/>
    <w:rsid w:val="00EA799D"/>
    <w:rsid w:val="00EA7AD8"/>
    <w:rsid w:val="00EA7AF1"/>
    <w:rsid w:val="00EA7D5B"/>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7E5"/>
    <w:rsid w:val="00EB484A"/>
    <w:rsid w:val="00EB4932"/>
    <w:rsid w:val="00EB4B32"/>
    <w:rsid w:val="00EB4B84"/>
    <w:rsid w:val="00EB4D11"/>
    <w:rsid w:val="00EB4ECB"/>
    <w:rsid w:val="00EB522E"/>
    <w:rsid w:val="00EB5567"/>
    <w:rsid w:val="00EB58F4"/>
    <w:rsid w:val="00EB5EB0"/>
    <w:rsid w:val="00EB634F"/>
    <w:rsid w:val="00EB6401"/>
    <w:rsid w:val="00EB64B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0A7"/>
    <w:rsid w:val="00ED32B8"/>
    <w:rsid w:val="00ED3B3C"/>
    <w:rsid w:val="00ED3BB4"/>
    <w:rsid w:val="00ED4B83"/>
    <w:rsid w:val="00ED4C02"/>
    <w:rsid w:val="00ED4E74"/>
    <w:rsid w:val="00ED5656"/>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7D"/>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C7E"/>
    <w:rsid w:val="00EF1DBC"/>
    <w:rsid w:val="00EF1E25"/>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5F37"/>
    <w:rsid w:val="00EF62E1"/>
    <w:rsid w:val="00EF633A"/>
    <w:rsid w:val="00EF6461"/>
    <w:rsid w:val="00EF694E"/>
    <w:rsid w:val="00EF6A48"/>
    <w:rsid w:val="00EF6C23"/>
    <w:rsid w:val="00EF7916"/>
    <w:rsid w:val="00EF7FAB"/>
    <w:rsid w:val="00F00333"/>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6FCB"/>
    <w:rsid w:val="00F07C5C"/>
    <w:rsid w:val="00F07E7B"/>
    <w:rsid w:val="00F1078C"/>
    <w:rsid w:val="00F10F16"/>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0DE"/>
    <w:rsid w:val="00F2516E"/>
    <w:rsid w:val="00F2546F"/>
    <w:rsid w:val="00F2562C"/>
    <w:rsid w:val="00F26705"/>
    <w:rsid w:val="00F26A24"/>
    <w:rsid w:val="00F26B18"/>
    <w:rsid w:val="00F26C05"/>
    <w:rsid w:val="00F272F0"/>
    <w:rsid w:val="00F27318"/>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05C7"/>
    <w:rsid w:val="00F61072"/>
    <w:rsid w:val="00F61518"/>
    <w:rsid w:val="00F61651"/>
    <w:rsid w:val="00F6170F"/>
    <w:rsid w:val="00F61C8E"/>
    <w:rsid w:val="00F623D9"/>
    <w:rsid w:val="00F6245F"/>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3F6"/>
    <w:rsid w:val="00F777BE"/>
    <w:rsid w:val="00F77D36"/>
    <w:rsid w:val="00F77D7F"/>
    <w:rsid w:val="00F80004"/>
    <w:rsid w:val="00F800B1"/>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621"/>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21D"/>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3D1F"/>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5B1"/>
    <w:rsid w:val="00FB2747"/>
    <w:rsid w:val="00FB28FD"/>
    <w:rsid w:val="00FB2E64"/>
    <w:rsid w:val="00FB392B"/>
    <w:rsid w:val="00FB395D"/>
    <w:rsid w:val="00FB39C1"/>
    <w:rsid w:val="00FB4287"/>
    <w:rsid w:val="00FB4D45"/>
    <w:rsid w:val="00FB4ED5"/>
    <w:rsid w:val="00FB5892"/>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uiPriority w:val="99"/>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uiPriority w:val="99"/>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paragraph" w:customStyle="1" w:styleId="Profesin">
    <w:name w:val="Profesión"/>
    <w:basedOn w:val="Normal"/>
    <w:rsid w:val="006D7D36"/>
    <w:pPr>
      <w:jc w:val="center"/>
    </w:pPr>
    <w:rPr>
      <w:rFonts w:ascii="Arial" w:hAnsi="Arial" w:cs="Arial"/>
      <w:b/>
      <w:bCs/>
      <w:caps/>
      <w:sz w:val="28"/>
      <w:szCs w:val="28"/>
      <w:lang w:val="es-ES_tradnl" w:eastAsia="es-ES"/>
    </w:rPr>
  </w:style>
  <w:style w:type="character" w:styleId="Hipervnculo">
    <w:name w:val="Hyperlink"/>
    <w:basedOn w:val="Fuentedeprrafopredeter"/>
    <w:rsid w:val="006D7D36"/>
    <w:rPr>
      <w:color w:val="0000FF"/>
      <w:u w:val="single"/>
    </w:rPr>
  </w:style>
  <w:style w:type="character" w:customStyle="1" w:styleId="TextonotapieCar">
    <w:name w:val="Texto nota pie Car"/>
    <w:basedOn w:val="Fuentedeprrafopredeter"/>
    <w:link w:val="Textonotapie"/>
    <w:rsid w:val="006D7D36"/>
    <w:rPr>
      <w:lang w:val="es-ES" w:eastAsia="es-ES"/>
    </w:rPr>
  </w:style>
  <w:style w:type="paragraph" w:styleId="Ttulo">
    <w:name w:val="Title"/>
    <w:basedOn w:val="Normal"/>
    <w:link w:val="TtuloCar"/>
    <w:uiPriority w:val="10"/>
    <w:qFormat/>
    <w:rsid w:val="006D7D36"/>
    <w:pPr>
      <w:jc w:val="center"/>
    </w:pPr>
    <w:rPr>
      <w:rFonts w:ascii="Arial" w:hAnsi="Arial"/>
      <w:b/>
      <w:szCs w:val="20"/>
      <w:lang w:val="es-ES" w:eastAsia="es-ES"/>
    </w:rPr>
  </w:style>
  <w:style w:type="character" w:customStyle="1" w:styleId="TtuloCar">
    <w:name w:val="Título Car"/>
    <w:basedOn w:val="Fuentedeprrafopredeter"/>
    <w:link w:val="Ttulo"/>
    <w:uiPriority w:val="10"/>
    <w:rsid w:val="006D7D36"/>
    <w:rPr>
      <w:rFonts w:ascii="Arial" w:hAnsi="Arial"/>
      <w:b/>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27016150">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2022\02-22\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2022\02-22\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6464797668043236"/>
        </c:manualLayout>
      </c:layout>
      <c:lineChart>
        <c:grouping val="standard"/>
        <c:varyColors val="0"/>
        <c:ser>
          <c:idx val="1"/>
          <c:order val="0"/>
          <c:tx>
            <c:strRef>
              <c:f>datos!$C$4</c:f>
              <c:strCache>
                <c:ptCount val="1"/>
                <c:pt idx="0">
                  <c:v>Serie Desestacionalizada</c:v>
                </c:pt>
              </c:strCache>
            </c:strRef>
          </c:tx>
          <c:spPr>
            <a:ln w="15875" cap="flat">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datos!$C$5:$C$78</c:f>
              <c:numCache>
                <c:formatCode>#,##0.0</c:formatCode>
                <c:ptCount val="74"/>
                <c:pt idx="0">
                  <c:v>-945.12869501779505</c:v>
                </c:pt>
                <c:pt idx="1">
                  <c:v>-1911.5535544422301</c:v>
                </c:pt>
                <c:pt idx="2">
                  <c:v>-1908.02041938198</c:v>
                </c:pt>
                <c:pt idx="3">
                  <c:v>-2266.4195096981798</c:v>
                </c:pt>
                <c:pt idx="4">
                  <c:v>-901.63402675255804</c:v>
                </c:pt>
                <c:pt idx="5">
                  <c:v>-1282.0495369433099</c:v>
                </c:pt>
                <c:pt idx="6">
                  <c:v>-810.89026877127196</c:v>
                </c:pt>
                <c:pt idx="7">
                  <c:v>-758.90472065580798</c:v>
                </c:pt>
                <c:pt idx="8">
                  <c:v>-930.07771603402398</c:v>
                </c:pt>
                <c:pt idx="9">
                  <c:v>-319.46030942651299</c:v>
                </c:pt>
                <c:pt idx="10">
                  <c:v>-20.1155537200605</c:v>
                </c:pt>
                <c:pt idx="11">
                  <c:v>-1090.70679175996</c:v>
                </c:pt>
                <c:pt idx="12">
                  <c:v>-500.57983462180999</c:v>
                </c:pt>
                <c:pt idx="13">
                  <c:v>-491.49190308632399</c:v>
                </c:pt>
                <c:pt idx="14">
                  <c:v>-1166.9906705783301</c:v>
                </c:pt>
                <c:pt idx="15">
                  <c:v>-562.16416096319199</c:v>
                </c:pt>
                <c:pt idx="16">
                  <c:v>-1551.16094202268</c:v>
                </c:pt>
                <c:pt idx="17">
                  <c:v>-818.34437602648597</c:v>
                </c:pt>
                <c:pt idx="18">
                  <c:v>-695.942338000988</c:v>
                </c:pt>
                <c:pt idx="19">
                  <c:v>-1602.3942917705299</c:v>
                </c:pt>
                <c:pt idx="20">
                  <c:v>-1341.6459260655299</c:v>
                </c:pt>
                <c:pt idx="21">
                  <c:v>-1134.5833827031199</c:v>
                </c:pt>
                <c:pt idx="22">
                  <c:v>178.95175442531399</c:v>
                </c:pt>
                <c:pt idx="23">
                  <c:v>-1202.570676371</c:v>
                </c:pt>
                <c:pt idx="24">
                  <c:v>-689.76815225925395</c:v>
                </c:pt>
                <c:pt idx="25">
                  <c:v>-386.06677215084898</c:v>
                </c:pt>
                <c:pt idx="26">
                  <c:v>-871.44311962690006</c:v>
                </c:pt>
                <c:pt idx="27">
                  <c:v>-901.86558569843396</c:v>
                </c:pt>
                <c:pt idx="28">
                  <c:v>-2409.9740034435299</c:v>
                </c:pt>
                <c:pt idx="29">
                  <c:v>-2174.87579566877</c:v>
                </c:pt>
                <c:pt idx="30">
                  <c:v>-1603.55114797229</c:v>
                </c:pt>
                <c:pt idx="31">
                  <c:v>-1108.88527011786</c:v>
                </c:pt>
                <c:pt idx="32">
                  <c:v>-91.502960318020101</c:v>
                </c:pt>
                <c:pt idx="33">
                  <c:v>-1214.1715454697801</c:v>
                </c:pt>
                <c:pt idx="34">
                  <c:v>-2202.7087447037102</c:v>
                </c:pt>
                <c:pt idx="35">
                  <c:v>221.695048391043</c:v>
                </c:pt>
                <c:pt idx="36">
                  <c:v>-745.37139565537905</c:v>
                </c:pt>
                <c:pt idx="37">
                  <c:v>175.73492708793901</c:v>
                </c:pt>
                <c:pt idx="38">
                  <c:v>-137.721840933767</c:v>
                </c:pt>
                <c:pt idx="39">
                  <c:v>-200.46320651052901</c:v>
                </c:pt>
                <c:pt idx="40">
                  <c:v>240.74116363710399</c:v>
                </c:pt>
                <c:pt idx="41">
                  <c:v>748.25816945057204</c:v>
                </c:pt>
                <c:pt idx="42">
                  <c:v>395.827151904235</c:v>
                </c:pt>
                <c:pt idx="43">
                  <c:v>1276.9530797545201</c:v>
                </c:pt>
                <c:pt idx="44">
                  <c:v>806.70444875173303</c:v>
                </c:pt>
                <c:pt idx="45">
                  <c:v>425.92526159479797</c:v>
                </c:pt>
                <c:pt idx="46">
                  <c:v>1030.26279263477</c:v>
                </c:pt>
                <c:pt idx="47">
                  <c:v>1367.7868550431001</c:v>
                </c:pt>
                <c:pt idx="48">
                  <c:v>2143.4344796086898</c:v>
                </c:pt>
                <c:pt idx="49">
                  <c:v>1394.6877215405</c:v>
                </c:pt>
                <c:pt idx="50">
                  <c:v>1757.67637853562</c:v>
                </c:pt>
                <c:pt idx="51">
                  <c:v>-4689.4842965416701</c:v>
                </c:pt>
                <c:pt idx="52">
                  <c:v>-3766.3761914972401</c:v>
                </c:pt>
                <c:pt idx="53">
                  <c:v>4239.01092102657</c:v>
                </c:pt>
                <c:pt idx="54">
                  <c:v>6955.42712291524</c:v>
                </c:pt>
                <c:pt idx="55">
                  <c:v>7091.3946370892199</c:v>
                </c:pt>
                <c:pt idx="56">
                  <c:v>5343.6142176392696</c:v>
                </c:pt>
                <c:pt idx="57">
                  <c:v>6916.0402496454799</c:v>
                </c:pt>
                <c:pt idx="58">
                  <c:v>3456.34103681231</c:v>
                </c:pt>
                <c:pt idx="59">
                  <c:v>3794.20077861552</c:v>
                </c:pt>
                <c:pt idx="60">
                  <c:v>3231.2628651371801</c:v>
                </c:pt>
                <c:pt idx="61">
                  <c:v>1827.0376070770999</c:v>
                </c:pt>
                <c:pt idx="62">
                  <c:v>-4054.4441087724299</c:v>
                </c:pt>
                <c:pt idx="63">
                  <c:v>-511.99269853276002</c:v>
                </c:pt>
                <c:pt idx="64">
                  <c:v>-1156.82082329792</c:v>
                </c:pt>
                <c:pt idx="65">
                  <c:v>-1116.48066532761</c:v>
                </c:pt>
                <c:pt idx="66">
                  <c:v>-2839.85221237825</c:v>
                </c:pt>
                <c:pt idx="67">
                  <c:v>-2397.9679156140201</c:v>
                </c:pt>
                <c:pt idx="68">
                  <c:v>-1217.7335031134701</c:v>
                </c:pt>
                <c:pt idx="69">
                  <c:v>-1429.3865495514499</c:v>
                </c:pt>
                <c:pt idx="70">
                  <c:v>565.07336524062998</c:v>
                </c:pt>
                <c:pt idx="71">
                  <c:v>-1526.7519072607299</c:v>
                </c:pt>
                <c:pt idx="72">
                  <c:v>-2566.3535266960098</c:v>
                </c:pt>
                <c:pt idx="73">
                  <c:v>112.58619394926301</c:v>
                </c:pt>
              </c:numCache>
            </c:numRef>
          </c:val>
          <c:smooth val="0"/>
          <c:extLst>
            <c:ext xmlns:c16="http://schemas.microsoft.com/office/drawing/2014/chart" uri="{C3380CC4-5D6E-409C-BE32-E72D297353CC}">
              <c16:uniqueId val="{00000000-28A4-418F-B208-2D68C0CA48C8}"/>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600"/>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sz="700"/>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prstClr val="black"/>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datos!$U$5:$U$78</c:f>
              <c:numCache>
                <c:formatCode>#,##0.0</c:formatCode>
                <c:ptCount val="74"/>
                <c:pt idx="0">
                  <c:v>29604.2630444104</c:v>
                </c:pt>
                <c:pt idx="1">
                  <c:v>29567.276137290901</c:v>
                </c:pt>
                <c:pt idx="2">
                  <c:v>29019.885684541299</c:v>
                </c:pt>
                <c:pt idx="3">
                  <c:v>29860.6887368998</c:v>
                </c:pt>
                <c:pt idx="4">
                  <c:v>28941.473381629701</c:v>
                </c:pt>
                <c:pt idx="5">
                  <c:v>29294.3369901367</c:v>
                </c:pt>
                <c:pt idx="6">
                  <c:v>29287.363829606798</c:v>
                </c:pt>
                <c:pt idx="7">
                  <c:v>29282.9014216463</c:v>
                </c:pt>
                <c:pt idx="8">
                  <c:v>30347.206866000201</c:v>
                </c:pt>
                <c:pt idx="9">
                  <c:v>29404.539454547099</c:v>
                </c:pt>
                <c:pt idx="10">
                  <c:v>29944.829354203299</c:v>
                </c:pt>
                <c:pt idx="11">
                  <c:v>30504.4457172287</c:v>
                </c:pt>
                <c:pt idx="12">
                  <c:v>30252.6992546658</c:v>
                </c:pt>
                <c:pt idx="13">
                  <c:v>30362.903568014899</c:v>
                </c:pt>
                <c:pt idx="14">
                  <c:v>30794.246132259701</c:v>
                </c:pt>
                <c:pt idx="15">
                  <c:v>30661.853267254701</c:v>
                </c:pt>
                <c:pt idx="16">
                  <c:v>31626.895176288999</c:v>
                </c:pt>
                <c:pt idx="17">
                  <c:v>32062.944702103599</c:v>
                </c:pt>
                <c:pt idx="18">
                  <c:v>31519.808249629099</c:v>
                </c:pt>
                <c:pt idx="19">
                  <c:v>32128.337013427299</c:v>
                </c:pt>
                <c:pt idx="20">
                  <c:v>31895.8127221758</c:v>
                </c:pt>
                <c:pt idx="21">
                  <c:v>32429.885922715999</c:v>
                </c:pt>
                <c:pt idx="22">
                  <c:v>31911.397555881402</c:v>
                </c:pt>
                <c:pt idx="23">
                  <c:v>33348.217416388703</c:v>
                </c:pt>
                <c:pt idx="24">
                  <c:v>32705.985646015801</c:v>
                </c:pt>
                <c:pt idx="25">
                  <c:v>33156.093967514098</c:v>
                </c:pt>
                <c:pt idx="26">
                  <c:v>34473.414580509998</c:v>
                </c:pt>
                <c:pt idx="27">
                  <c:v>33809.8418157411</c:v>
                </c:pt>
                <c:pt idx="28">
                  <c:v>34406.618633142498</c:v>
                </c:pt>
                <c:pt idx="29">
                  <c:v>34416.678707321502</c:v>
                </c:pt>
                <c:pt idx="30">
                  <c:v>34486.571839888398</c:v>
                </c:pt>
                <c:pt idx="31">
                  <c:v>34515.2546299893</c:v>
                </c:pt>
                <c:pt idx="32">
                  <c:v>34910.616089258299</c:v>
                </c:pt>
                <c:pt idx="33">
                  <c:v>34847.027359781299</c:v>
                </c:pt>
                <c:pt idx="34">
                  <c:v>34863.295768482501</c:v>
                </c:pt>
                <c:pt idx="35">
                  <c:v>33621.779013029802</c:v>
                </c:pt>
                <c:pt idx="36">
                  <c:v>34534.048300969902</c:v>
                </c:pt>
                <c:pt idx="37">
                  <c:v>34358.388542401102</c:v>
                </c:pt>
                <c:pt idx="38">
                  <c:v>33991.557842095397</c:v>
                </c:pt>
                <c:pt idx="39">
                  <c:v>34714.177701849803</c:v>
                </c:pt>
                <c:pt idx="40">
                  <c:v>34270.772865203297</c:v>
                </c:pt>
                <c:pt idx="41">
                  <c:v>33941.021959197402</c:v>
                </c:pt>
                <c:pt idx="42">
                  <c:v>34543.500774776403</c:v>
                </c:pt>
                <c:pt idx="43">
                  <c:v>34561.069998443898</c:v>
                </c:pt>
                <c:pt idx="44">
                  <c:v>33893.374331125502</c:v>
                </c:pt>
                <c:pt idx="45">
                  <c:v>33562.554907029698</c:v>
                </c:pt>
                <c:pt idx="46">
                  <c:v>32727.163990311801</c:v>
                </c:pt>
                <c:pt idx="47">
                  <c:v>32692.2274460238</c:v>
                </c:pt>
                <c:pt idx="48">
                  <c:v>33059.494602269602</c:v>
                </c:pt>
                <c:pt idx="49">
                  <c:v>32648.9489178556</c:v>
                </c:pt>
                <c:pt idx="50">
                  <c:v>31373.2331873769</c:v>
                </c:pt>
                <c:pt idx="51">
                  <c:v>25204.838558789899</c:v>
                </c:pt>
                <c:pt idx="52">
                  <c:v>20519.358295356102</c:v>
                </c:pt>
                <c:pt idx="53">
                  <c:v>26005.8107962631</c:v>
                </c:pt>
                <c:pt idx="54">
                  <c:v>26243.505592457499</c:v>
                </c:pt>
                <c:pt idx="55">
                  <c:v>28529.176633001</c:v>
                </c:pt>
                <c:pt idx="56">
                  <c:v>30160.2644904767</c:v>
                </c:pt>
                <c:pt idx="57">
                  <c:v>30849.155794168</c:v>
                </c:pt>
                <c:pt idx="58">
                  <c:v>32710.698501479899</c:v>
                </c:pt>
                <c:pt idx="59">
                  <c:v>33147.765777518303</c:v>
                </c:pt>
                <c:pt idx="60">
                  <c:v>34234.861603409401</c:v>
                </c:pt>
                <c:pt idx="61">
                  <c:v>32978.0255630151</c:v>
                </c:pt>
                <c:pt idx="62">
                  <c:v>37525.090683165698</c:v>
                </c:pt>
                <c:pt idx="63">
                  <c:v>36605.318455413399</c:v>
                </c:pt>
                <c:pt idx="64">
                  <c:v>37382.6762558427</c:v>
                </c:pt>
                <c:pt idx="65">
                  <c:v>37630.068221625603</c:v>
                </c:pt>
                <c:pt idx="66">
                  <c:v>39526.009456913103</c:v>
                </c:pt>
                <c:pt idx="67">
                  <c:v>37850.095863591501</c:v>
                </c:pt>
                <c:pt idx="68">
                  <c:v>37973.176886862697</c:v>
                </c:pt>
                <c:pt idx="69">
                  <c:v>38586.082373126403</c:v>
                </c:pt>
                <c:pt idx="70">
                  <c:v>39398.038635492601</c:v>
                </c:pt>
                <c:pt idx="71">
                  <c:v>40982.674326266802</c:v>
                </c:pt>
                <c:pt idx="72">
                  <c:v>39632.923859132097</c:v>
                </c:pt>
                <c:pt idx="73">
                  <c:v>43728.506790892301</c:v>
                </c:pt>
              </c:numCache>
            </c:numRef>
          </c:val>
          <c:smooth val="0"/>
          <c:extLst>
            <c:ext xmlns:c16="http://schemas.microsoft.com/office/drawing/2014/chart" uri="{C3380CC4-5D6E-409C-BE32-E72D297353CC}">
              <c16:uniqueId val="{00000000-FB06-41F9-974E-A686D24B9E05}"/>
            </c:ext>
          </c:extLst>
        </c:ser>
        <c:ser>
          <c:idx val="0"/>
          <c:order val="1"/>
          <c:tx>
            <c:strRef>
              <c:f>datos!$V$4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datos!$V$5:$V$78</c:f>
              <c:numCache>
                <c:formatCode>#,##0.0</c:formatCode>
                <c:ptCount val="74"/>
                <c:pt idx="0">
                  <c:v>29619.029335157538</c:v>
                </c:pt>
                <c:pt idx="1">
                  <c:v>29382.619297530357</c:v>
                </c:pt>
                <c:pt idx="2">
                  <c:v>29177.562613154339</c:v>
                </c:pt>
                <c:pt idx="3">
                  <c:v>29058.3452837365</c:v>
                </c:pt>
                <c:pt idx="4">
                  <c:v>29038.43909099435</c:v>
                </c:pt>
                <c:pt idx="5">
                  <c:v>29088.870709799383</c:v>
                </c:pt>
                <c:pt idx="6">
                  <c:v>29203.528937984316</c:v>
                </c:pt>
                <c:pt idx="7">
                  <c:v>29378.554441270702</c:v>
                </c:pt>
                <c:pt idx="8">
                  <c:v>29581.683729102457</c:v>
                </c:pt>
                <c:pt idx="9">
                  <c:v>29789.272261217364</c:v>
                </c:pt>
                <c:pt idx="10">
                  <c:v>29986.234622510721</c:v>
                </c:pt>
                <c:pt idx="11">
                  <c:v>30165.76302092148</c:v>
                </c:pt>
                <c:pt idx="12">
                  <c:v>30364.276838105332</c:v>
                </c:pt>
                <c:pt idx="13">
                  <c:v>30594.589894961529</c:v>
                </c:pt>
                <c:pt idx="14">
                  <c:v>30860.398489446492</c:v>
                </c:pt>
                <c:pt idx="15">
                  <c:v>31139.09005551727</c:v>
                </c:pt>
                <c:pt idx="16">
                  <c:v>31410.605724176119</c:v>
                </c:pt>
                <c:pt idx="17">
                  <c:v>31648.741284095588</c:v>
                </c:pt>
                <c:pt idx="18">
                  <c:v>31833.724077441926</c:v>
                </c:pt>
                <c:pt idx="19">
                  <c:v>31968.154124428049</c:v>
                </c:pt>
                <c:pt idx="20">
                  <c:v>32071.792670240102</c:v>
                </c:pt>
                <c:pt idx="21">
                  <c:v>32209.092537907891</c:v>
                </c:pt>
                <c:pt idx="22">
                  <c:v>32415.06913130288</c:v>
                </c:pt>
                <c:pt idx="23">
                  <c:v>32701.646549718997</c:v>
                </c:pt>
                <c:pt idx="24">
                  <c:v>33042.071997843137</c:v>
                </c:pt>
                <c:pt idx="25">
                  <c:v>33404.732760706509</c:v>
                </c:pt>
                <c:pt idx="26">
                  <c:v>33753.574167873761</c:v>
                </c:pt>
                <c:pt idx="27">
                  <c:v>34046.961875618581</c:v>
                </c:pt>
                <c:pt idx="28">
                  <c:v>34273.212664994673</c:v>
                </c:pt>
                <c:pt idx="29">
                  <c:v>34450.505844450861</c:v>
                </c:pt>
                <c:pt idx="30">
                  <c:v>34583.800975588849</c:v>
                </c:pt>
                <c:pt idx="31">
                  <c:v>34660.921910188183</c:v>
                </c:pt>
                <c:pt idx="32">
                  <c:v>34701.233441036871</c:v>
                </c:pt>
                <c:pt idx="33">
                  <c:v>34675.8686940564</c:v>
                </c:pt>
                <c:pt idx="34">
                  <c:v>34584.763301329011</c:v>
                </c:pt>
                <c:pt idx="35">
                  <c:v>34478.064121905409</c:v>
                </c:pt>
                <c:pt idx="36">
                  <c:v>34372.234441288041</c:v>
                </c:pt>
                <c:pt idx="37">
                  <c:v>34302.478824814541</c:v>
                </c:pt>
                <c:pt idx="38">
                  <c:v>34302.316445655539</c:v>
                </c:pt>
                <c:pt idx="39">
                  <c:v>34364.902136422679</c:v>
                </c:pt>
                <c:pt idx="40">
                  <c:v>34449.514528184453</c:v>
                </c:pt>
                <c:pt idx="41">
                  <c:v>34490.673217600328</c:v>
                </c:pt>
                <c:pt idx="42">
                  <c:v>34416.77020449283</c:v>
                </c:pt>
                <c:pt idx="43">
                  <c:v>34215.780842323235</c:v>
                </c:pt>
                <c:pt idx="44">
                  <c:v>33917.232479026577</c:v>
                </c:pt>
                <c:pt idx="45">
                  <c:v>33568.03872541328</c:v>
                </c:pt>
                <c:pt idx="46">
                  <c:v>33194.768191369578</c:v>
                </c:pt>
                <c:pt idx="47">
                  <c:v>32807.894440327262</c:v>
                </c:pt>
                <c:pt idx="48">
                  <c:v>32439.712877052702</c:v>
                </c:pt>
                <c:pt idx="49">
                  <c:v>32125.496839457202</c:v>
                </c:pt>
                <c:pt idx="50">
                  <c:v>31915.656103568774</c:v>
                </c:pt>
                <c:pt idx="51">
                  <c:v>25425.205867239431</c:v>
                </c:pt>
                <c:pt idx="52">
                  <c:v>25703.245585220451</c:v>
                </c:pt>
                <c:pt idx="53">
                  <c:v>26341.48660270566</c:v>
                </c:pt>
                <c:pt idx="54">
                  <c:v>27329.120214506911</c:v>
                </c:pt>
                <c:pt idx="55">
                  <c:v>28553.750701777652</c:v>
                </c:pt>
                <c:pt idx="56">
                  <c:v>29856.045010920869</c:v>
                </c:pt>
                <c:pt idx="57">
                  <c:v>31117.619844278463</c:v>
                </c:pt>
                <c:pt idx="58">
                  <c:v>32288.594294027542</c:v>
                </c:pt>
                <c:pt idx="59">
                  <c:v>33347.567698642408</c:v>
                </c:pt>
                <c:pt idx="60">
                  <c:v>34309.405664746751</c:v>
                </c:pt>
                <c:pt idx="61">
                  <c:v>35201.74883512433</c:v>
                </c:pt>
                <c:pt idx="62">
                  <c:v>36021.083366513973</c:v>
                </c:pt>
                <c:pt idx="63">
                  <c:v>36723.414430623758</c:v>
                </c:pt>
                <c:pt idx="64">
                  <c:v>37252.092572232614</c:v>
                </c:pt>
                <c:pt idx="65">
                  <c:v>37586.116016336913</c:v>
                </c:pt>
                <c:pt idx="66">
                  <c:v>37786.851261668387</c:v>
                </c:pt>
                <c:pt idx="67">
                  <c:v>37987.399728398887</c:v>
                </c:pt>
                <c:pt idx="68">
                  <c:v>38293.211696093771</c:v>
                </c:pt>
                <c:pt idx="69">
                  <c:v>38818.621625997228</c:v>
                </c:pt>
                <c:pt idx="70">
                  <c:v>39592.608841846661</c:v>
                </c:pt>
                <c:pt idx="71">
                  <c:v>40581.519057970727</c:v>
                </c:pt>
                <c:pt idx="72">
                  <c:v>41690.122895482898</c:v>
                </c:pt>
                <c:pt idx="73">
                  <c:v>42794.848626199091</c:v>
                </c:pt>
              </c:numCache>
            </c:numRef>
          </c:val>
          <c:smooth val="0"/>
          <c:extLst>
            <c:ext xmlns:c16="http://schemas.microsoft.com/office/drawing/2014/chart" uri="{C3380CC4-5D6E-409C-BE32-E72D297353CC}">
              <c16:uniqueId val="{00000001-FB06-41F9-974E-A686D24B9E05}"/>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5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datos!$W$5:$W$78</c:f>
              <c:numCache>
                <c:formatCode>#,##0.0</c:formatCode>
                <c:ptCount val="74"/>
                <c:pt idx="0">
                  <c:v>4341.9479113206999</c:v>
                </c:pt>
                <c:pt idx="1">
                  <c:v>4243.1745699354396</c:v>
                </c:pt>
                <c:pt idx="2">
                  <c:v>4155.3622726741396</c:v>
                </c:pt>
                <c:pt idx="3">
                  <c:v>4250.63082301341</c:v>
                </c:pt>
                <c:pt idx="4">
                  <c:v>4372.6071741214701</c:v>
                </c:pt>
                <c:pt idx="5">
                  <c:v>4262.5160934512596</c:v>
                </c:pt>
                <c:pt idx="6">
                  <c:v>4616.71772986625</c:v>
                </c:pt>
                <c:pt idx="7">
                  <c:v>4194.6097469821798</c:v>
                </c:pt>
                <c:pt idx="8">
                  <c:v>4467.03068195577</c:v>
                </c:pt>
                <c:pt idx="9">
                  <c:v>4330.04962349981</c:v>
                </c:pt>
                <c:pt idx="10">
                  <c:v>4235.96760562487</c:v>
                </c:pt>
                <c:pt idx="11">
                  <c:v>4477.1711119211504</c:v>
                </c:pt>
                <c:pt idx="12">
                  <c:v>4447.4545617799304</c:v>
                </c:pt>
                <c:pt idx="13">
                  <c:v>4682.2468539391202</c:v>
                </c:pt>
                <c:pt idx="14">
                  <c:v>4724.1837383923303</c:v>
                </c:pt>
                <c:pt idx="15">
                  <c:v>4549.7340996092698</c:v>
                </c:pt>
                <c:pt idx="16">
                  <c:v>4645.10117582149</c:v>
                </c:pt>
                <c:pt idx="17">
                  <c:v>4749.6920858506401</c:v>
                </c:pt>
                <c:pt idx="18">
                  <c:v>4722.6284109483004</c:v>
                </c:pt>
                <c:pt idx="19">
                  <c:v>4730.8164101683697</c:v>
                </c:pt>
                <c:pt idx="20">
                  <c:v>4958.6458380169397</c:v>
                </c:pt>
                <c:pt idx="21">
                  <c:v>4891.6813131173703</c:v>
                </c:pt>
                <c:pt idx="22">
                  <c:v>4908.3878012072701</c:v>
                </c:pt>
                <c:pt idx="23">
                  <c:v>5448.6831395869103</c:v>
                </c:pt>
                <c:pt idx="24">
                  <c:v>4965.6083976010004</c:v>
                </c:pt>
                <c:pt idx="25">
                  <c:v>5226.43140116425</c:v>
                </c:pt>
                <c:pt idx="26">
                  <c:v>5422.4221689484002</c:v>
                </c:pt>
                <c:pt idx="27">
                  <c:v>5272.8208833858998</c:v>
                </c:pt>
                <c:pt idx="28">
                  <c:v>5243.2000428991096</c:v>
                </c:pt>
                <c:pt idx="29">
                  <c:v>5377.9164154160098</c:v>
                </c:pt>
                <c:pt idx="30">
                  <c:v>5352.09823324435</c:v>
                </c:pt>
                <c:pt idx="31">
                  <c:v>5512.6468196778396</c:v>
                </c:pt>
                <c:pt idx="32">
                  <c:v>5312.47196901596</c:v>
                </c:pt>
                <c:pt idx="33">
                  <c:v>5294.4069438741099</c:v>
                </c:pt>
                <c:pt idx="34">
                  <c:v>5161.6604314932902</c:v>
                </c:pt>
                <c:pt idx="35">
                  <c:v>4905.9607904157001</c:v>
                </c:pt>
                <c:pt idx="36">
                  <c:v>4841.0113915191596</c:v>
                </c:pt>
                <c:pt idx="37">
                  <c:v>4905.8496964723599</c:v>
                </c:pt>
                <c:pt idx="38">
                  <c:v>5211.8820893950196</c:v>
                </c:pt>
                <c:pt idx="39">
                  <c:v>5400.3749474954102</c:v>
                </c:pt>
                <c:pt idx="40">
                  <c:v>5320.0463596398904</c:v>
                </c:pt>
                <c:pt idx="41">
                  <c:v>5253.2646988292499</c:v>
                </c:pt>
                <c:pt idx="42">
                  <c:v>5104.1002465317797</c:v>
                </c:pt>
                <c:pt idx="43">
                  <c:v>5061.6756095136097</c:v>
                </c:pt>
                <c:pt idx="44">
                  <c:v>4893.6944960517503</c:v>
                </c:pt>
                <c:pt idx="45">
                  <c:v>5157.1002069691503</c:v>
                </c:pt>
                <c:pt idx="46">
                  <c:v>5057.6228647174303</c:v>
                </c:pt>
                <c:pt idx="47">
                  <c:v>4887.4947103407603</c:v>
                </c:pt>
                <c:pt idx="48">
                  <c:v>5134.5730873743996</c:v>
                </c:pt>
                <c:pt idx="49">
                  <c:v>4912.1265166903204</c:v>
                </c:pt>
                <c:pt idx="50">
                  <c:v>4414.0631428991401</c:v>
                </c:pt>
                <c:pt idx="51">
                  <c:v>2935.39002233152</c:v>
                </c:pt>
                <c:pt idx="52">
                  <c:v>2554.0575900511599</c:v>
                </c:pt>
                <c:pt idx="53">
                  <c:v>2742.6630184048099</c:v>
                </c:pt>
                <c:pt idx="54">
                  <c:v>3291.0291011136801</c:v>
                </c:pt>
                <c:pt idx="55">
                  <c:v>3750.8220134336102</c:v>
                </c:pt>
                <c:pt idx="56">
                  <c:v>3808.5063535986201</c:v>
                </c:pt>
                <c:pt idx="57">
                  <c:v>3730.2103129256502</c:v>
                </c:pt>
                <c:pt idx="58">
                  <c:v>4156.2365279618298</c:v>
                </c:pt>
                <c:pt idx="59">
                  <c:v>4350.9735375625796</c:v>
                </c:pt>
                <c:pt idx="60">
                  <c:v>4451.0328293247503</c:v>
                </c:pt>
                <c:pt idx="61">
                  <c:v>4324.58229836795</c:v>
                </c:pt>
                <c:pt idx="62">
                  <c:v>4897.8794963299897</c:v>
                </c:pt>
                <c:pt idx="63">
                  <c:v>4760.1334018882299</c:v>
                </c:pt>
                <c:pt idx="64">
                  <c:v>5481.6841892836601</c:v>
                </c:pt>
                <c:pt idx="65">
                  <c:v>5485.2364963611599</c:v>
                </c:pt>
                <c:pt idx="66">
                  <c:v>5530.7519345768496</c:v>
                </c:pt>
                <c:pt idx="67">
                  <c:v>5191.6772909370702</c:v>
                </c:pt>
                <c:pt idx="68">
                  <c:v>5215.2803265681896</c:v>
                </c:pt>
                <c:pt idx="69">
                  <c:v>5315.5639799671098</c:v>
                </c:pt>
                <c:pt idx="70">
                  <c:v>5338.4405576983299</c:v>
                </c:pt>
                <c:pt idx="71">
                  <c:v>5761.90942268657</c:v>
                </c:pt>
                <c:pt idx="72">
                  <c:v>5818.6954755710703</c:v>
                </c:pt>
                <c:pt idx="73">
                  <c:v>6009.1558952461401</c:v>
                </c:pt>
              </c:numCache>
            </c:numRef>
          </c:val>
          <c:smooth val="0"/>
          <c:extLst>
            <c:ext xmlns:c16="http://schemas.microsoft.com/office/drawing/2014/chart" uri="{C3380CC4-5D6E-409C-BE32-E72D297353CC}">
              <c16:uniqueId val="{00000000-504E-43E9-9B8F-178D4928DB9F}"/>
            </c:ext>
          </c:extLst>
        </c:ser>
        <c:ser>
          <c:idx val="0"/>
          <c:order val="1"/>
          <c:tx>
            <c:strRef>
              <c:f>datos!$X$4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datos!$X$5:$X$78</c:f>
              <c:numCache>
                <c:formatCode>#,##0.0</c:formatCode>
                <c:ptCount val="74"/>
                <c:pt idx="0">
                  <c:v>4403.8093394724119</c:v>
                </c:pt>
                <c:pt idx="1">
                  <c:v>4335.2699489787028</c:v>
                </c:pt>
                <c:pt idx="2">
                  <c:v>4290.5040839559933</c:v>
                </c:pt>
                <c:pt idx="3">
                  <c:v>4272.2335650286359</c:v>
                </c:pt>
                <c:pt idx="4">
                  <c:v>4281.1396053540138</c:v>
                </c:pt>
                <c:pt idx="5">
                  <c:v>4298.6161561942235</c:v>
                </c:pt>
                <c:pt idx="6">
                  <c:v>4308.017052987625</c:v>
                </c:pt>
                <c:pt idx="7">
                  <c:v>4309.2637213657254</c:v>
                </c:pt>
                <c:pt idx="8">
                  <c:v>4317.06814119718</c:v>
                </c:pt>
                <c:pt idx="9">
                  <c:v>4348.7855281311895</c:v>
                </c:pt>
                <c:pt idx="10">
                  <c:v>4406.0462458017</c:v>
                </c:pt>
                <c:pt idx="11">
                  <c:v>4477.94945763342</c:v>
                </c:pt>
                <c:pt idx="12">
                  <c:v>4548.8238919021305</c:v>
                </c:pt>
                <c:pt idx="13">
                  <c:v>4608.9531563895298</c:v>
                </c:pt>
                <c:pt idx="14">
                  <c:v>4646.2018381296202</c:v>
                </c:pt>
                <c:pt idx="15">
                  <c:v>4665.2983203937702</c:v>
                </c:pt>
                <c:pt idx="16">
                  <c:v>4673.4985020365302</c:v>
                </c:pt>
                <c:pt idx="17">
                  <c:v>4690.2212426473898</c:v>
                </c:pt>
                <c:pt idx="18">
                  <c:v>4736.2437906310997</c:v>
                </c:pt>
                <c:pt idx="19">
                  <c:v>4804.8171218315601</c:v>
                </c:pt>
                <c:pt idx="20">
                  <c:v>4880.1013830662096</c:v>
                </c:pt>
                <c:pt idx="21">
                  <c:v>4954.6605972908501</c:v>
                </c:pt>
                <c:pt idx="22">
                  <c:v>5027.8164351413898</c:v>
                </c:pt>
                <c:pt idx="23">
                  <c:v>5098.0752167114997</c:v>
                </c:pt>
                <c:pt idx="24">
                  <c:v>5159.7255927177102</c:v>
                </c:pt>
                <c:pt idx="25">
                  <c:v>5208.6709864063305</c:v>
                </c:pt>
                <c:pt idx="26">
                  <c:v>5252.9521368453297</c:v>
                </c:pt>
                <c:pt idx="27">
                  <c:v>5296.3088117528805</c:v>
                </c:pt>
                <c:pt idx="28">
                  <c:v>5336.5285402382096</c:v>
                </c:pt>
                <c:pt idx="29">
                  <c:v>5373.5664884346006</c:v>
                </c:pt>
                <c:pt idx="30">
                  <c:v>5390.8757901258195</c:v>
                </c:pt>
                <c:pt idx="31">
                  <c:v>5373.999064052</c:v>
                </c:pt>
                <c:pt idx="32">
                  <c:v>5319.7268789232003</c:v>
                </c:pt>
                <c:pt idx="33">
                  <c:v>5228.0029333811499</c:v>
                </c:pt>
                <c:pt idx="34">
                  <c:v>5127.5626737900802</c:v>
                </c:pt>
                <c:pt idx="35">
                  <c:v>5061.1598418746298</c:v>
                </c:pt>
                <c:pt idx="36">
                  <c:v>5056.1062375869096</c:v>
                </c:pt>
                <c:pt idx="37">
                  <c:v>5107.4861993640898</c:v>
                </c:pt>
                <c:pt idx="38">
                  <c:v>5187.8640623398605</c:v>
                </c:pt>
                <c:pt idx="39">
                  <c:v>5249.6040347499202</c:v>
                </c:pt>
                <c:pt idx="40">
                  <c:v>5265.2824561564503</c:v>
                </c:pt>
                <c:pt idx="41">
                  <c:v>5232.2543644359603</c:v>
                </c:pt>
                <c:pt idx="42">
                  <c:v>5165.4000745031699</c:v>
                </c:pt>
                <c:pt idx="43">
                  <c:v>5098.3752702123702</c:v>
                </c:pt>
                <c:pt idx="44">
                  <c:v>5060.6405711962698</c:v>
                </c:pt>
                <c:pt idx="45">
                  <c:v>5049.6532526686897</c:v>
                </c:pt>
                <c:pt idx="46">
                  <c:v>5039.0714436432199</c:v>
                </c:pt>
                <c:pt idx="47">
                  <c:v>4995.6378166854402</c:v>
                </c:pt>
                <c:pt idx="48">
                  <c:v>4901.98564677374</c:v>
                </c:pt>
                <c:pt idx="49">
                  <c:v>4771.1099522657896</c:v>
                </c:pt>
                <c:pt idx="50">
                  <c:v>4645.1646126218102</c:v>
                </c:pt>
                <c:pt idx="51">
                  <c:v>2948.9516580772379</c:v>
                </c:pt>
                <c:pt idx="52">
                  <c:v>2984.689284985252</c:v>
                </c:pt>
                <c:pt idx="53">
                  <c:v>3098.4196655284541</c:v>
                </c:pt>
                <c:pt idx="54">
                  <c:v>3282.663564040346</c:v>
                </c:pt>
                <c:pt idx="55">
                  <c:v>3511.4436440561349</c:v>
                </c:pt>
                <c:pt idx="56">
                  <c:v>3742.9149138114381</c:v>
                </c:pt>
                <c:pt idx="57">
                  <c:v>3953.9576030725148</c:v>
                </c:pt>
                <c:pt idx="58">
                  <c:v>4136.85176354743</c:v>
                </c:pt>
                <c:pt idx="59">
                  <c:v>4301.9180320638006</c:v>
                </c:pt>
                <c:pt idx="60">
                  <c:v>4473.2615347273895</c:v>
                </c:pt>
                <c:pt idx="61">
                  <c:v>4673.0552856946797</c:v>
                </c:pt>
                <c:pt idx="62">
                  <c:v>4896.9436113963702</c:v>
                </c:pt>
                <c:pt idx="63">
                  <c:v>5113.7098625839408</c:v>
                </c:pt>
                <c:pt idx="64">
                  <c:v>5284.1651289148504</c:v>
                </c:pt>
                <c:pt idx="65">
                  <c:v>5375.80019804121</c:v>
                </c:pt>
                <c:pt idx="66">
                  <c:v>5389.1912192112104</c:v>
                </c:pt>
                <c:pt idx="67">
                  <c:v>5357.6688542864595</c:v>
                </c:pt>
                <c:pt idx="68">
                  <c:v>5334.4355010975896</c:v>
                </c:pt>
                <c:pt idx="69">
                  <c:v>5369.7648882151698</c:v>
                </c:pt>
                <c:pt idx="70">
                  <c:v>5478.0428769170994</c:v>
                </c:pt>
                <c:pt idx="71">
                  <c:v>5642.1998316694098</c:v>
                </c:pt>
                <c:pt idx="72">
                  <c:v>5818.7670309363002</c:v>
                </c:pt>
                <c:pt idx="73">
                  <c:v>5964.8863933350804</c:v>
                </c:pt>
              </c:numCache>
            </c:numRef>
          </c:val>
          <c:smooth val="0"/>
          <c:extLst>
            <c:ext xmlns:c16="http://schemas.microsoft.com/office/drawing/2014/chart" uri="{C3380CC4-5D6E-409C-BE32-E72D297353CC}">
              <c16:uniqueId val="{00000001-504E-43E9-9B8F-178D4928DB9F}"/>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datos!$Y$5:$Y$78</c:f>
              <c:numCache>
                <c:formatCode>#,##0.0</c:formatCode>
                <c:ptCount val="74"/>
                <c:pt idx="0">
                  <c:v>24230.545071199002</c:v>
                </c:pt>
                <c:pt idx="1">
                  <c:v>24119.8521413899</c:v>
                </c:pt>
                <c:pt idx="2">
                  <c:v>23763.801860763801</c:v>
                </c:pt>
                <c:pt idx="3">
                  <c:v>24884.135331014499</c:v>
                </c:pt>
                <c:pt idx="4">
                  <c:v>23896.525879495599</c:v>
                </c:pt>
                <c:pt idx="5">
                  <c:v>24056.590019777399</c:v>
                </c:pt>
                <c:pt idx="6">
                  <c:v>24324.803688663502</c:v>
                </c:pt>
                <c:pt idx="7">
                  <c:v>24318.126588507701</c:v>
                </c:pt>
                <c:pt idx="8">
                  <c:v>25394.139118016101</c:v>
                </c:pt>
                <c:pt idx="9">
                  <c:v>24681.642757838399</c:v>
                </c:pt>
                <c:pt idx="10">
                  <c:v>25305.4732559371</c:v>
                </c:pt>
                <c:pt idx="11">
                  <c:v>25914.254897306899</c:v>
                </c:pt>
                <c:pt idx="12">
                  <c:v>25917.596331552599</c:v>
                </c:pt>
                <c:pt idx="13">
                  <c:v>25847.797421925301</c:v>
                </c:pt>
                <c:pt idx="14">
                  <c:v>26158.0784872025</c:v>
                </c:pt>
                <c:pt idx="15">
                  <c:v>25878.7647840145</c:v>
                </c:pt>
                <c:pt idx="16">
                  <c:v>26559.6352162207</c:v>
                </c:pt>
                <c:pt idx="17">
                  <c:v>26939.065972025099</c:v>
                </c:pt>
                <c:pt idx="18">
                  <c:v>26563.198447038802</c:v>
                </c:pt>
                <c:pt idx="19">
                  <c:v>27563.7507672057</c:v>
                </c:pt>
                <c:pt idx="20">
                  <c:v>27113.599317943001</c:v>
                </c:pt>
                <c:pt idx="21">
                  <c:v>27879.666633718502</c:v>
                </c:pt>
                <c:pt idx="22">
                  <c:v>27464.632742297799</c:v>
                </c:pt>
                <c:pt idx="23">
                  <c:v>28605.077531762599</c:v>
                </c:pt>
                <c:pt idx="24">
                  <c:v>27773.6289639225</c:v>
                </c:pt>
                <c:pt idx="25">
                  <c:v>28474.593520021401</c:v>
                </c:pt>
                <c:pt idx="26">
                  <c:v>29839.417626456801</c:v>
                </c:pt>
                <c:pt idx="27">
                  <c:v>29092.5634372516</c:v>
                </c:pt>
                <c:pt idx="28">
                  <c:v>29949.6654706312</c:v>
                </c:pt>
                <c:pt idx="29">
                  <c:v>30031.4016295109</c:v>
                </c:pt>
                <c:pt idx="30">
                  <c:v>29870.414716828898</c:v>
                </c:pt>
                <c:pt idx="31">
                  <c:v>29750.514728968501</c:v>
                </c:pt>
                <c:pt idx="32">
                  <c:v>30197.4159237735</c:v>
                </c:pt>
                <c:pt idx="33">
                  <c:v>30244.445220339501</c:v>
                </c:pt>
                <c:pt idx="34">
                  <c:v>30865.482056739798</c:v>
                </c:pt>
                <c:pt idx="35">
                  <c:v>29300.467911946002</c:v>
                </c:pt>
                <c:pt idx="36">
                  <c:v>29889.733896429399</c:v>
                </c:pt>
                <c:pt idx="37">
                  <c:v>29800.024864896299</c:v>
                </c:pt>
                <c:pt idx="38">
                  <c:v>29505.923187661901</c:v>
                </c:pt>
                <c:pt idx="39">
                  <c:v>30202.044959806601</c:v>
                </c:pt>
                <c:pt idx="40">
                  <c:v>29982.036975960898</c:v>
                </c:pt>
                <c:pt idx="41">
                  <c:v>29718.594597654901</c:v>
                </c:pt>
                <c:pt idx="42">
                  <c:v>30002.832079496598</c:v>
                </c:pt>
                <c:pt idx="43">
                  <c:v>29768.4799475988</c:v>
                </c:pt>
                <c:pt idx="44">
                  <c:v>29222.328563830099</c:v>
                </c:pt>
                <c:pt idx="45">
                  <c:v>28570.683221004401</c:v>
                </c:pt>
                <c:pt idx="46">
                  <c:v>28044.872442892502</c:v>
                </c:pt>
                <c:pt idx="47">
                  <c:v>28024.9040935185</c:v>
                </c:pt>
                <c:pt idx="48">
                  <c:v>28605.146020278298</c:v>
                </c:pt>
                <c:pt idx="49">
                  <c:v>28277.4405646169</c:v>
                </c:pt>
                <c:pt idx="50">
                  <c:v>27470.899715322601</c:v>
                </c:pt>
                <c:pt idx="51">
                  <c:v>21793.219365260102</c:v>
                </c:pt>
                <c:pt idx="52">
                  <c:v>17122.365647428302</c:v>
                </c:pt>
                <c:pt idx="53">
                  <c:v>22391.917701386901</c:v>
                </c:pt>
                <c:pt idx="54">
                  <c:v>22487.9837274237</c:v>
                </c:pt>
                <c:pt idx="55">
                  <c:v>24544.449620332802</c:v>
                </c:pt>
                <c:pt idx="56">
                  <c:v>26107.718602225501</c:v>
                </c:pt>
                <c:pt idx="57">
                  <c:v>26973.260462158702</c:v>
                </c:pt>
                <c:pt idx="58">
                  <c:v>28308.765089937599</c:v>
                </c:pt>
                <c:pt idx="59">
                  <c:v>28759.303849630898</c:v>
                </c:pt>
                <c:pt idx="60">
                  <c:v>29757.648606788902</c:v>
                </c:pt>
                <c:pt idx="61">
                  <c:v>28585.941698315899</c:v>
                </c:pt>
                <c:pt idx="62">
                  <c:v>35491.4028441591</c:v>
                </c:pt>
                <c:pt idx="63">
                  <c:v>32296.074088441401</c:v>
                </c:pt>
                <c:pt idx="64">
                  <c:v>32841.548035081898</c:v>
                </c:pt>
                <c:pt idx="65">
                  <c:v>33421.569560736199</c:v>
                </c:pt>
                <c:pt idx="66">
                  <c:v>35453.004148983498</c:v>
                </c:pt>
                <c:pt idx="67">
                  <c:v>34197.536170164203</c:v>
                </c:pt>
                <c:pt idx="68">
                  <c:v>33889.629967664201</c:v>
                </c:pt>
                <c:pt idx="69">
                  <c:v>34503.359888637096</c:v>
                </c:pt>
                <c:pt idx="70">
                  <c:v>35050.263760808703</c:v>
                </c:pt>
                <c:pt idx="71">
                  <c:v>36461.042190951397</c:v>
                </c:pt>
                <c:pt idx="72">
                  <c:v>34926.074013875397</c:v>
                </c:pt>
                <c:pt idx="73">
                  <c:v>38723.553707974701</c:v>
                </c:pt>
              </c:numCache>
            </c:numRef>
          </c:val>
          <c:smooth val="0"/>
          <c:extLst>
            <c:ext xmlns:c16="http://schemas.microsoft.com/office/drawing/2014/chart" uri="{C3380CC4-5D6E-409C-BE32-E72D297353CC}">
              <c16:uniqueId val="{00000000-2D77-4E4B-B004-36F09025393B}"/>
            </c:ext>
          </c:extLst>
        </c:ser>
        <c:ser>
          <c:idx val="0"/>
          <c:order val="1"/>
          <c:tx>
            <c:strRef>
              <c:f>datos!$Z$4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datos!$Z$5:$Z$78</c:f>
              <c:numCache>
                <c:formatCode>#,##0.0</c:formatCode>
                <c:ptCount val="74"/>
                <c:pt idx="0">
                  <c:v>24257.85176219968</c:v>
                </c:pt>
                <c:pt idx="1">
                  <c:v>24110.305286307299</c:v>
                </c:pt>
                <c:pt idx="2">
                  <c:v>23995.311164390831</c:v>
                </c:pt>
                <c:pt idx="3">
                  <c:v>23953.06333469216</c:v>
                </c:pt>
                <c:pt idx="4">
                  <c:v>23990.870871409639</c:v>
                </c:pt>
                <c:pt idx="5">
                  <c:v>24083.510974759462</c:v>
                </c:pt>
                <c:pt idx="6">
                  <c:v>24236.985462879988</c:v>
                </c:pt>
                <c:pt idx="7">
                  <c:v>24458.828701452159</c:v>
                </c:pt>
                <c:pt idx="8">
                  <c:v>24731.548504397921</c:v>
                </c:pt>
                <c:pt idx="9">
                  <c:v>25032.135705234101</c:v>
                </c:pt>
                <c:pt idx="10">
                  <c:v>25331.83178109091</c:v>
                </c:pt>
                <c:pt idx="11">
                  <c:v>25591.249168426883</c:v>
                </c:pt>
                <c:pt idx="12">
                  <c:v>25815.839831137397</c:v>
                </c:pt>
                <c:pt idx="13">
                  <c:v>26001.686778423209</c:v>
                </c:pt>
                <c:pt idx="14">
                  <c:v>26164.50044865394</c:v>
                </c:pt>
                <c:pt idx="15">
                  <c:v>26314.648315322229</c:v>
                </c:pt>
                <c:pt idx="16">
                  <c:v>26478.40840115412</c:v>
                </c:pt>
                <c:pt idx="17">
                  <c:v>26663.640551808028</c:v>
                </c:pt>
                <c:pt idx="18">
                  <c:v>26869.41896966485</c:v>
                </c:pt>
                <c:pt idx="19">
                  <c:v>27089.850639199271</c:v>
                </c:pt>
                <c:pt idx="20">
                  <c:v>27307.902741174501</c:v>
                </c:pt>
                <c:pt idx="21">
                  <c:v>27549.622782761278</c:v>
                </c:pt>
                <c:pt idx="22">
                  <c:v>27817.569596544141</c:v>
                </c:pt>
                <c:pt idx="23">
                  <c:v>28119.62913523964</c:v>
                </c:pt>
                <c:pt idx="24">
                  <c:v>28451.166088440172</c:v>
                </c:pt>
                <c:pt idx="25">
                  <c:v>28804.73239598997</c:v>
                </c:pt>
                <c:pt idx="26">
                  <c:v>29154.19732291692</c:v>
                </c:pt>
                <c:pt idx="27">
                  <c:v>29453.373364655588</c:v>
                </c:pt>
                <c:pt idx="28">
                  <c:v>29680.07807256862</c:v>
                </c:pt>
                <c:pt idx="29">
                  <c:v>29849.44382903861</c:v>
                </c:pt>
                <c:pt idx="30">
                  <c:v>29974.322872879689</c:v>
                </c:pt>
                <c:pt idx="31">
                  <c:v>30045.595157849421</c:v>
                </c:pt>
                <c:pt idx="32">
                  <c:v>30087.6880683954</c:v>
                </c:pt>
                <c:pt idx="33">
                  <c:v>30075.10235143422</c:v>
                </c:pt>
                <c:pt idx="34">
                  <c:v>30004.50307614054</c:v>
                </c:pt>
                <c:pt idx="35">
                  <c:v>29920.055890886601</c:v>
                </c:pt>
                <c:pt idx="36">
                  <c:v>29831.307418684119</c:v>
                </c:pt>
                <c:pt idx="37">
                  <c:v>29774.681448958268</c:v>
                </c:pt>
                <c:pt idx="38">
                  <c:v>29780.90737568996</c:v>
                </c:pt>
                <c:pt idx="39">
                  <c:v>29845.490411685198</c:v>
                </c:pt>
                <c:pt idx="40">
                  <c:v>29911.27297503622</c:v>
                </c:pt>
                <c:pt idx="41">
                  <c:v>29901.518250039539</c:v>
                </c:pt>
                <c:pt idx="42">
                  <c:v>29751.951737388983</c:v>
                </c:pt>
                <c:pt idx="43">
                  <c:v>29475.63264454819</c:v>
                </c:pt>
                <c:pt idx="44">
                  <c:v>29127.000433440229</c:v>
                </c:pt>
                <c:pt idx="45">
                  <c:v>28776.796406461959</c:v>
                </c:pt>
                <c:pt idx="46">
                  <c:v>28461.57965411789</c:v>
                </c:pt>
                <c:pt idx="47">
                  <c:v>28185.552494142048</c:v>
                </c:pt>
                <c:pt idx="48">
                  <c:v>27950.621031813411</c:v>
                </c:pt>
                <c:pt idx="49">
                  <c:v>27753.287706747582</c:v>
                </c:pt>
                <c:pt idx="50">
                  <c:v>27611.272620791642</c:v>
                </c:pt>
                <c:pt idx="51">
                  <c:v>21995.125299244381</c:v>
                </c:pt>
                <c:pt idx="52">
                  <c:v>22199.034107746062</c:v>
                </c:pt>
                <c:pt idx="53">
                  <c:v>22723.344735849158</c:v>
                </c:pt>
                <c:pt idx="54">
                  <c:v>23571.028994541539</c:v>
                </c:pt>
                <c:pt idx="55">
                  <c:v>24650.227226007431</c:v>
                </c:pt>
                <c:pt idx="56">
                  <c:v>25814.081575157521</c:v>
                </c:pt>
                <c:pt idx="57">
                  <c:v>26943.239705746382</c:v>
                </c:pt>
                <c:pt idx="58">
                  <c:v>27983.409419492651</c:v>
                </c:pt>
                <c:pt idx="59">
                  <c:v>28918.670915769741</c:v>
                </c:pt>
                <c:pt idx="60">
                  <c:v>29773.797696886279</c:v>
                </c:pt>
                <c:pt idx="61">
                  <c:v>30591.850994602093</c:v>
                </c:pt>
                <c:pt idx="62">
                  <c:v>31398.126748406219</c:v>
                </c:pt>
                <c:pt idx="63">
                  <c:v>32164.354932296032</c:v>
                </c:pt>
                <c:pt idx="64">
                  <c:v>32827.280593938332</c:v>
                </c:pt>
                <c:pt idx="65">
                  <c:v>33331.461607406542</c:v>
                </c:pt>
                <c:pt idx="66">
                  <c:v>33689.218030655131</c:v>
                </c:pt>
                <c:pt idx="67">
                  <c:v>33981.74642951502</c:v>
                </c:pt>
                <c:pt idx="68">
                  <c:v>34284.498579321269</c:v>
                </c:pt>
                <c:pt idx="69">
                  <c:v>34703.860616507125</c:v>
                </c:pt>
                <c:pt idx="70">
                  <c:v>35293.799623539948</c:v>
                </c:pt>
                <c:pt idx="71">
                  <c:v>36055.659987138453</c:v>
                </c:pt>
                <c:pt idx="72">
                  <c:v>36939.534346855558</c:v>
                </c:pt>
                <c:pt idx="73">
                  <c:v>37852.754067282665</c:v>
                </c:pt>
              </c:numCache>
            </c:numRef>
          </c:val>
          <c:smooth val="0"/>
          <c:extLst>
            <c:ext xmlns:c16="http://schemas.microsoft.com/office/drawing/2014/chart" uri="{C3380CC4-5D6E-409C-BE32-E72D297353CC}">
              <c16:uniqueId val="{00000001-2D77-4E4B-B004-36F09025393B}"/>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datos!$AA$5:$AA$78</c:f>
              <c:numCache>
                <c:formatCode>#,##0.0</c:formatCode>
                <c:ptCount val="74"/>
                <c:pt idx="0">
                  <c:v>3232.9141470232198</c:v>
                </c:pt>
                <c:pt idx="1">
                  <c:v>3204.0947029818999</c:v>
                </c:pt>
                <c:pt idx="2">
                  <c:v>3204.02247726211</c:v>
                </c:pt>
                <c:pt idx="3">
                  <c:v>3157.5631332723801</c:v>
                </c:pt>
                <c:pt idx="4">
                  <c:v>3246.96641269252</c:v>
                </c:pt>
                <c:pt idx="5">
                  <c:v>3534.5239538072301</c:v>
                </c:pt>
                <c:pt idx="6">
                  <c:v>3345.43715737817</c:v>
                </c:pt>
                <c:pt idx="7">
                  <c:v>3330.1274956110501</c:v>
                </c:pt>
                <c:pt idx="8">
                  <c:v>3450.5209756219201</c:v>
                </c:pt>
                <c:pt idx="9">
                  <c:v>3304.0881622254301</c:v>
                </c:pt>
                <c:pt idx="10">
                  <c:v>3294.8139139405798</c:v>
                </c:pt>
                <c:pt idx="11">
                  <c:v>3350.7296684705002</c:v>
                </c:pt>
                <c:pt idx="12">
                  <c:v>3250.49812179113</c:v>
                </c:pt>
                <c:pt idx="13">
                  <c:v>3223.5956289118499</c:v>
                </c:pt>
                <c:pt idx="14">
                  <c:v>3239.07843596875</c:v>
                </c:pt>
                <c:pt idx="15">
                  <c:v>3415.95146715289</c:v>
                </c:pt>
                <c:pt idx="16">
                  <c:v>3439.2220331691101</c:v>
                </c:pt>
                <c:pt idx="17">
                  <c:v>3452.7789706046901</c:v>
                </c:pt>
                <c:pt idx="18">
                  <c:v>3388.0948699032601</c:v>
                </c:pt>
                <c:pt idx="19">
                  <c:v>3591.5442379732699</c:v>
                </c:pt>
                <c:pt idx="20">
                  <c:v>3471.35868165378</c:v>
                </c:pt>
                <c:pt idx="21">
                  <c:v>3490.28830089454</c:v>
                </c:pt>
                <c:pt idx="22">
                  <c:v>3521.6085538914399</c:v>
                </c:pt>
                <c:pt idx="23">
                  <c:v>3603.1793419507599</c:v>
                </c:pt>
                <c:pt idx="24">
                  <c:v>3636.0049770354799</c:v>
                </c:pt>
                <c:pt idx="25">
                  <c:v>3793.3518181689401</c:v>
                </c:pt>
                <c:pt idx="26">
                  <c:v>3788.3099390795101</c:v>
                </c:pt>
                <c:pt idx="27">
                  <c:v>3776.74770668564</c:v>
                </c:pt>
                <c:pt idx="28">
                  <c:v>3751.2017079398101</c:v>
                </c:pt>
                <c:pt idx="29">
                  <c:v>3936.52670631402</c:v>
                </c:pt>
                <c:pt idx="30">
                  <c:v>4020.0661415233299</c:v>
                </c:pt>
                <c:pt idx="31">
                  <c:v>3874.4401566235201</c:v>
                </c:pt>
                <c:pt idx="32">
                  <c:v>3930.3571435963099</c:v>
                </c:pt>
                <c:pt idx="33">
                  <c:v>3948.3039888453</c:v>
                </c:pt>
                <c:pt idx="34">
                  <c:v>3665.3178264082298</c:v>
                </c:pt>
                <c:pt idx="35">
                  <c:v>3408.1722564329698</c:v>
                </c:pt>
                <c:pt idx="36">
                  <c:v>3683.0268443862801</c:v>
                </c:pt>
                <c:pt idx="37">
                  <c:v>3519.06989733712</c:v>
                </c:pt>
                <c:pt idx="38">
                  <c:v>3579.17656627621</c:v>
                </c:pt>
                <c:pt idx="39">
                  <c:v>3607.0855937318001</c:v>
                </c:pt>
                <c:pt idx="40">
                  <c:v>3589.7721035598101</c:v>
                </c:pt>
                <c:pt idx="41">
                  <c:v>3191.4948978303501</c:v>
                </c:pt>
                <c:pt idx="42">
                  <c:v>3233.77728296029</c:v>
                </c:pt>
                <c:pt idx="43">
                  <c:v>3474.7611853364601</c:v>
                </c:pt>
                <c:pt idx="44">
                  <c:v>3333.6731737377199</c:v>
                </c:pt>
                <c:pt idx="45">
                  <c:v>3456.2583057411598</c:v>
                </c:pt>
                <c:pt idx="46">
                  <c:v>3336.87239793968</c:v>
                </c:pt>
                <c:pt idx="47">
                  <c:v>3246.9594908771901</c:v>
                </c:pt>
                <c:pt idx="48">
                  <c:v>3152.1541843749501</c:v>
                </c:pt>
                <c:pt idx="49">
                  <c:v>3031.0554005387498</c:v>
                </c:pt>
                <c:pt idx="50">
                  <c:v>2778.0270417417</c:v>
                </c:pt>
                <c:pt idx="51">
                  <c:v>2617.1649229414902</c:v>
                </c:pt>
                <c:pt idx="52">
                  <c:v>2389.0764505525399</c:v>
                </c:pt>
                <c:pt idx="53">
                  <c:v>2614.3249427688602</c:v>
                </c:pt>
                <c:pt idx="54">
                  <c:v>2590.3328327465902</c:v>
                </c:pt>
                <c:pt idx="55">
                  <c:v>2649.9662044889901</c:v>
                </c:pt>
                <c:pt idx="56">
                  <c:v>2722.4210884294698</c:v>
                </c:pt>
                <c:pt idx="57">
                  <c:v>2698.0704765482901</c:v>
                </c:pt>
                <c:pt idx="58">
                  <c:v>2889.2820313259899</c:v>
                </c:pt>
                <c:pt idx="59">
                  <c:v>2940.0481008823199</c:v>
                </c:pt>
                <c:pt idx="60">
                  <c:v>3036.09334605299</c:v>
                </c:pt>
                <c:pt idx="61">
                  <c:v>3174.7314521056401</c:v>
                </c:pt>
                <c:pt idx="62">
                  <c:v>3478.98666759449</c:v>
                </c:pt>
                <c:pt idx="63">
                  <c:v>3331.1351610555898</c:v>
                </c:pt>
                <c:pt idx="64">
                  <c:v>3425.0485978484799</c:v>
                </c:pt>
                <c:pt idx="65">
                  <c:v>3259.1358404798202</c:v>
                </c:pt>
                <c:pt idx="66">
                  <c:v>3438.7015939749099</c:v>
                </c:pt>
                <c:pt idx="67">
                  <c:v>3364.2531464988401</c:v>
                </c:pt>
                <c:pt idx="68">
                  <c:v>3412.8425484600598</c:v>
                </c:pt>
                <c:pt idx="69">
                  <c:v>3425.57328986736</c:v>
                </c:pt>
                <c:pt idx="70">
                  <c:v>3533.26851671341</c:v>
                </c:pt>
                <c:pt idx="71">
                  <c:v>3552.03383083978</c:v>
                </c:pt>
                <c:pt idx="72">
                  <c:v>3538.0015182103998</c:v>
                </c:pt>
                <c:pt idx="73">
                  <c:v>3559.8881985538701</c:v>
                </c:pt>
              </c:numCache>
            </c:numRef>
          </c:val>
          <c:smooth val="0"/>
          <c:extLst>
            <c:ext xmlns:c16="http://schemas.microsoft.com/office/drawing/2014/chart" uri="{C3380CC4-5D6E-409C-BE32-E72D297353CC}">
              <c16:uniqueId val="{00000000-A92C-4C54-A5AD-1906F1B7E3D4}"/>
            </c:ext>
          </c:extLst>
        </c:ser>
        <c:ser>
          <c:idx val="0"/>
          <c:order val="1"/>
          <c:tx>
            <c:strRef>
              <c:f>datos!$AB$4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datos!$AB$5:$AB$78</c:f>
              <c:numCache>
                <c:formatCode>#,##0.0</c:formatCode>
                <c:ptCount val="74"/>
                <c:pt idx="0">
                  <c:v>3230.8593156963302</c:v>
                </c:pt>
                <c:pt idx="1">
                  <c:v>3198.20648814676</c:v>
                </c:pt>
                <c:pt idx="2">
                  <c:v>3190.32858228238</c:v>
                </c:pt>
                <c:pt idx="3">
                  <c:v>3208.26821947391</c:v>
                </c:pt>
                <c:pt idx="4">
                  <c:v>3244.2350449395499</c:v>
                </c:pt>
                <c:pt idx="5">
                  <c:v>3285.31804245492</c:v>
                </c:pt>
                <c:pt idx="6">
                  <c:v>3322.8172277190001</c:v>
                </c:pt>
                <c:pt idx="7">
                  <c:v>3350.1760171420701</c:v>
                </c:pt>
                <c:pt idx="8">
                  <c:v>3359.2388624431201</c:v>
                </c:pt>
                <c:pt idx="9">
                  <c:v>3345.7242968119999</c:v>
                </c:pt>
                <c:pt idx="10">
                  <c:v>3316.5438352886299</c:v>
                </c:pt>
                <c:pt idx="11">
                  <c:v>3287.2294204485202</c:v>
                </c:pt>
                <c:pt idx="12">
                  <c:v>3273.0536152015102</c:v>
                </c:pt>
                <c:pt idx="13">
                  <c:v>3279.68749219046</c:v>
                </c:pt>
                <c:pt idx="14">
                  <c:v>3307.5370557464398</c:v>
                </c:pt>
                <c:pt idx="15">
                  <c:v>3350.00811525791</c:v>
                </c:pt>
                <c:pt idx="16">
                  <c:v>3394.8151924888102</c:v>
                </c:pt>
                <c:pt idx="17">
                  <c:v>3433.3944063961899</c:v>
                </c:pt>
                <c:pt idx="18">
                  <c:v>3459.2297128806399</c:v>
                </c:pt>
                <c:pt idx="19">
                  <c:v>3471.6035433072402</c:v>
                </c:pt>
                <c:pt idx="20">
                  <c:v>3483.54868262026</c:v>
                </c:pt>
                <c:pt idx="21">
                  <c:v>3508.7248997934298</c:v>
                </c:pt>
                <c:pt idx="22">
                  <c:v>3552.7734463676902</c:v>
                </c:pt>
                <c:pt idx="23">
                  <c:v>3605.9393577126698</c:v>
                </c:pt>
                <c:pt idx="24">
                  <c:v>3659.9410681753898</c:v>
                </c:pt>
                <c:pt idx="25">
                  <c:v>3713.96041554354</c:v>
                </c:pt>
                <c:pt idx="26">
                  <c:v>3765.8720291096402</c:v>
                </c:pt>
                <c:pt idx="27">
                  <c:v>3811.8906857901402</c:v>
                </c:pt>
                <c:pt idx="28">
                  <c:v>3856.7474904375599</c:v>
                </c:pt>
                <c:pt idx="29">
                  <c:v>3896.2080491842999</c:v>
                </c:pt>
                <c:pt idx="30">
                  <c:v>3919.0965896513399</c:v>
                </c:pt>
                <c:pt idx="31">
                  <c:v>3917.7377581302999</c:v>
                </c:pt>
                <c:pt idx="32">
                  <c:v>3886.0884116586299</c:v>
                </c:pt>
                <c:pt idx="33">
                  <c:v>3824.5324682272499</c:v>
                </c:pt>
                <c:pt idx="34">
                  <c:v>3748.6275143237399</c:v>
                </c:pt>
                <c:pt idx="35">
                  <c:v>3680.2135614055001</c:v>
                </c:pt>
                <c:pt idx="36">
                  <c:v>3632.1298797955301</c:v>
                </c:pt>
                <c:pt idx="37">
                  <c:v>3599.6257001138702</c:v>
                </c:pt>
                <c:pt idx="38">
                  <c:v>3578.0282844387398</c:v>
                </c:pt>
                <c:pt idx="39">
                  <c:v>3557.5695589082402</c:v>
                </c:pt>
                <c:pt idx="40">
                  <c:v>3530.3791617363499</c:v>
                </c:pt>
                <c:pt idx="41">
                  <c:v>3498.60146883468</c:v>
                </c:pt>
                <c:pt idx="42">
                  <c:v>3468.4225948254002</c:v>
                </c:pt>
                <c:pt idx="43">
                  <c:v>3439.8314010632198</c:v>
                </c:pt>
                <c:pt idx="44">
                  <c:v>3412.87241631607</c:v>
                </c:pt>
                <c:pt idx="45">
                  <c:v>3382.4189799680098</c:v>
                </c:pt>
                <c:pt idx="46">
                  <c:v>3330.0278465606302</c:v>
                </c:pt>
                <c:pt idx="47">
                  <c:v>3240.97579793659</c:v>
                </c:pt>
                <c:pt idx="48">
                  <c:v>3116.1697363722701</c:v>
                </c:pt>
                <c:pt idx="49">
                  <c:v>2970.7931005297601</c:v>
                </c:pt>
                <c:pt idx="50">
                  <c:v>2826.0888186157999</c:v>
                </c:pt>
                <c:pt idx="51">
                  <c:v>2706.3801709910499</c:v>
                </c:pt>
                <c:pt idx="52">
                  <c:v>2627.61650895614</c:v>
                </c:pt>
                <c:pt idx="53">
                  <c:v>2592.3424370132998</c:v>
                </c:pt>
                <c:pt idx="54">
                  <c:v>2598.6117124020202</c:v>
                </c:pt>
                <c:pt idx="55">
                  <c:v>2635.6222795613498</c:v>
                </c:pt>
                <c:pt idx="56">
                  <c:v>2692.2365295119398</c:v>
                </c:pt>
                <c:pt idx="57">
                  <c:v>2763.5631916155498</c:v>
                </c:pt>
                <c:pt idx="58">
                  <c:v>2849.6711402149599</c:v>
                </c:pt>
                <c:pt idx="59">
                  <c:v>2950.1351429917099</c:v>
                </c:pt>
                <c:pt idx="60">
                  <c:v>3057.28567534895</c:v>
                </c:pt>
                <c:pt idx="61">
                  <c:v>3162.9982491997998</c:v>
                </c:pt>
                <c:pt idx="62">
                  <c:v>3256.8032638302102</c:v>
                </c:pt>
                <c:pt idx="63">
                  <c:v>3328.7618573129998</c:v>
                </c:pt>
                <c:pt idx="64">
                  <c:v>3373.5646730331</c:v>
                </c:pt>
                <c:pt idx="65">
                  <c:v>3395.7837190268701</c:v>
                </c:pt>
                <c:pt idx="66">
                  <c:v>3404.4727044115898</c:v>
                </c:pt>
                <c:pt idx="67">
                  <c:v>3413.3469255689301</c:v>
                </c:pt>
                <c:pt idx="68">
                  <c:v>3428.5031762212302</c:v>
                </c:pt>
                <c:pt idx="69">
                  <c:v>3452.9949545531599</c:v>
                </c:pt>
                <c:pt idx="70">
                  <c:v>3488.6822109455602</c:v>
                </c:pt>
                <c:pt idx="71">
                  <c:v>3531.2059597562102</c:v>
                </c:pt>
                <c:pt idx="72">
                  <c:v>3571.8582289113201</c:v>
                </c:pt>
                <c:pt idx="73">
                  <c:v>3605.2578132348799</c:v>
                </c:pt>
              </c:numCache>
            </c:numRef>
          </c:val>
          <c:smooth val="0"/>
          <c:extLst>
            <c:ext xmlns:c16="http://schemas.microsoft.com/office/drawing/2014/chart" uri="{C3380CC4-5D6E-409C-BE32-E72D297353CC}">
              <c16:uniqueId val="{00000001-A92C-4C54-A5AD-1906F1B7E3D4}"/>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datos!$E$5:$E$78</c:f>
              <c:numCache>
                <c:formatCode>#,##0.0</c:formatCode>
                <c:ptCount val="74"/>
                <c:pt idx="0">
                  <c:v>30860.2784345252</c:v>
                </c:pt>
                <c:pt idx="1">
                  <c:v>29655.567859865001</c:v>
                </c:pt>
                <c:pt idx="2">
                  <c:v>29215.166191318</c:v>
                </c:pt>
                <c:pt idx="3">
                  <c:v>30025.909777602101</c:v>
                </c:pt>
                <c:pt idx="4">
                  <c:v>30614.465439557</c:v>
                </c:pt>
                <c:pt idx="5">
                  <c:v>30571.5805300926</c:v>
                </c:pt>
                <c:pt idx="6">
                  <c:v>31476.068307136698</c:v>
                </c:pt>
                <c:pt idx="7">
                  <c:v>31083.959110445099</c:v>
                </c:pt>
                <c:pt idx="8">
                  <c:v>32381.613059559699</c:v>
                </c:pt>
                <c:pt idx="9">
                  <c:v>31996.320234137202</c:v>
                </c:pt>
                <c:pt idx="10">
                  <c:v>32816.139221782498</c:v>
                </c:pt>
                <c:pt idx="11">
                  <c:v>32651.4488859386</c:v>
                </c:pt>
                <c:pt idx="12">
                  <c:v>33114.969180501801</c:v>
                </c:pt>
                <c:pt idx="13">
                  <c:v>33262.1480016899</c:v>
                </c:pt>
                <c:pt idx="14">
                  <c:v>32954.349990985203</c:v>
                </c:pt>
                <c:pt idx="15">
                  <c:v>33282.2861898134</c:v>
                </c:pt>
                <c:pt idx="16">
                  <c:v>33092.797483188602</c:v>
                </c:pt>
                <c:pt idx="17">
                  <c:v>34323.192652453901</c:v>
                </c:pt>
                <c:pt idx="18">
                  <c:v>33977.979389889399</c:v>
                </c:pt>
                <c:pt idx="19">
                  <c:v>34283.717123576796</c:v>
                </c:pt>
                <c:pt idx="20">
                  <c:v>34201.957911548197</c:v>
                </c:pt>
                <c:pt idx="21">
                  <c:v>35127.052865027297</c:v>
                </c:pt>
                <c:pt idx="22">
                  <c:v>36073.580851821796</c:v>
                </c:pt>
                <c:pt idx="23">
                  <c:v>36454.369336929303</c:v>
                </c:pt>
                <c:pt idx="24">
                  <c:v>35685.474186299798</c:v>
                </c:pt>
                <c:pt idx="25">
                  <c:v>37108.309967203699</c:v>
                </c:pt>
                <c:pt idx="26">
                  <c:v>38178.706614857801</c:v>
                </c:pt>
                <c:pt idx="27">
                  <c:v>37240.266441624699</c:v>
                </c:pt>
                <c:pt idx="28">
                  <c:v>36534.093218026603</c:v>
                </c:pt>
                <c:pt idx="29">
                  <c:v>37170.9689555722</c:v>
                </c:pt>
                <c:pt idx="30">
                  <c:v>37639.0279436243</c:v>
                </c:pt>
                <c:pt idx="31">
                  <c:v>38028.716435151997</c:v>
                </c:pt>
                <c:pt idx="32">
                  <c:v>39348.742076067698</c:v>
                </c:pt>
                <c:pt idx="33">
                  <c:v>38272.984607589096</c:v>
                </c:pt>
                <c:pt idx="34">
                  <c:v>37489.751569937602</c:v>
                </c:pt>
                <c:pt idx="35">
                  <c:v>37836.296007185803</c:v>
                </c:pt>
                <c:pt idx="36">
                  <c:v>37668.400736679403</c:v>
                </c:pt>
                <c:pt idx="37">
                  <c:v>38400.679385793803</c:v>
                </c:pt>
                <c:pt idx="38">
                  <c:v>38159.260002399402</c:v>
                </c:pt>
                <c:pt idx="39">
                  <c:v>39009.0422945233</c:v>
                </c:pt>
                <c:pt idx="40">
                  <c:v>39132.596602797697</c:v>
                </c:pt>
                <c:pt idx="41">
                  <c:v>38911.612363765104</c:v>
                </c:pt>
                <c:pt idx="42">
                  <c:v>38736.536760892901</c:v>
                </c:pt>
                <c:pt idx="43">
                  <c:v>39581.869822203298</c:v>
                </c:pt>
                <c:pt idx="44">
                  <c:v>38256.400682371299</c:v>
                </c:pt>
                <c:pt idx="45">
                  <c:v>37609.966995309602</c:v>
                </c:pt>
                <c:pt idx="46">
                  <c:v>37469.6304981844</c:v>
                </c:pt>
                <c:pt idx="47">
                  <c:v>37527.145149779601</c:v>
                </c:pt>
                <c:pt idx="48">
                  <c:v>39035.307771636297</c:v>
                </c:pt>
                <c:pt idx="49">
                  <c:v>37615.3102033865</c:v>
                </c:pt>
                <c:pt idx="50">
                  <c:v>36420.666278499099</c:v>
                </c:pt>
                <c:pt idx="51">
                  <c:v>22656.290013991402</c:v>
                </c:pt>
                <c:pt idx="52">
                  <c:v>18299.123496534699</c:v>
                </c:pt>
                <c:pt idx="53">
                  <c:v>31987.916583587099</c:v>
                </c:pt>
                <c:pt idx="54">
                  <c:v>35324.772784199202</c:v>
                </c:pt>
                <c:pt idx="55">
                  <c:v>38036.632475344602</c:v>
                </c:pt>
                <c:pt idx="56">
                  <c:v>37982.260261892799</c:v>
                </c:pt>
                <c:pt idx="57">
                  <c:v>40317.581501278102</c:v>
                </c:pt>
                <c:pt idx="58">
                  <c:v>38810.6246860377</c:v>
                </c:pt>
                <c:pt idx="59">
                  <c:v>39844.526266691297</c:v>
                </c:pt>
                <c:pt idx="60">
                  <c:v>40476.0376473039</c:v>
                </c:pt>
                <c:pt idx="61">
                  <c:v>37912.293055866598</c:v>
                </c:pt>
                <c:pt idx="62">
                  <c:v>39813.824899311097</c:v>
                </c:pt>
                <c:pt idx="63">
                  <c:v>39875.349952852499</c:v>
                </c:pt>
                <c:pt idx="64">
                  <c:v>40591.4599989161</c:v>
                </c:pt>
                <c:pt idx="65">
                  <c:v>41049.461232249603</c:v>
                </c:pt>
                <c:pt idx="66">
                  <c:v>41582.605465157001</c:v>
                </c:pt>
                <c:pt idx="67">
                  <c:v>40355.498691986097</c:v>
                </c:pt>
                <c:pt idx="68">
                  <c:v>41300.019339578997</c:v>
                </c:pt>
                <c:pt idx="69">
                  <c:v>41815.110608920098</c:v>
                </c:pt>
                <c:pt idx="70">
                  <c:v>44487.046200461104</c:v>
                </c:pt>
                <c:pt idx="71">
                  <c:v>44248.233537216998</c:v>
                </c:pt>
                <c:pt idx="72">
                  <c:v>41716.417480960903</c:v>
                </c:pt>
                <c:pt idx="73">
                  <c:v>48405.183995723899</c:v>
                </c:pt>
              </c:numCache>
            </c:numRef>
          </c:val>
          <c:smooth val="0"/>
          <c:extLst>
            <c:ext xmlns:c16="http://schemas.microsoft.com/office/drawing/2014/chart" uri="{C3380CC4-5D6E-409C-BE32-E72D297353CC}">
              <c16:uniqueId val="{00000000-FAAB-466C-AEBB-5DF20A5E73B3}"/>
            </c:ext>
          </c:extLst>
        </c:ser>
        <c:ser>
          <c:idx val="0"/>
          <c:order val="1"/>
          <c:tx>
            <c:strRef>
              <c:f>datos!$F$4</c:f>
              <c:strCache>
                <c:ptCount val="1"/>
                <c:pt idx="0">
                  <c:v>Serie de Tendencia-Ciclo</c:v>
                </c:pt>
              </c:strCache>
            </c:strRef>
          </c:tx>
          <c:spPr>
            <a:ln w="12700">
              <a:solidFill>
                <a:schemeClr val="tx2">
                  <a:lumMod val="75000"/>
                </a:schemeClr>
              </a:solidFill>
              <a:prstDash val="solid"/>
            </a:ln>
            <a:effectLst/>
          </c:spPr>
          <c:marker>
            <c:symbol val="none"/>
          </c:marker>
          <c:dPt>
            <c:idx val="2"/>
            <c:bubble3D val="0"/>
            <c:extLst>
              <c:ext xmlns:c16="http://schemas.microsoft.com/office/drawing/2014/chart" uri="{C3380CC4-5D6E-409C-BE32-E72D297353CC}">
                <c16:uniqueId val="{00000001-FAAB-466C-AEBB-5DF20A5E73B3}"/>
              </c:ext>
            </c:extLst>
          </c:dPt>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datos!$F$5:$F$78</c:f>
              <c:numCache>
                <c:formatCode>#,##0.0</c:formatCode>
                <c:ptCount val="74"/>
                <c:pt idx="0">
                  <c:v>30184.975902548998</c:v>
                </c:pt>
                <c:pt idx="1">
                  <c:v>30015.428877833234</c:v>
                </c:pt>
                <c:pt idx="2">
                  <c:v>29978.591491358777</c:v>
                </c:pt>
                <c:pt idx="3">
                  <c:v>30097.294371146778</c:v>
                </c:pt>
                <c:pt idx="4">
                  <c:v>30334.928423379035</c:v>
                </c:pt>
                <c:pt idx="5">
                  <c:v>30650.85630144989</c:v>
                </c:pt>
                <c:pt idx="6">
                  <c:v>31007.949523133459</c:v>
                </c:pt>
                <c:pt idx="7">
                  <c:v>31392.607466676778</c:v>
                </c:pt>
                <c:pt idx="8">
                  <c:v>31797.4329927404</c:v>
                </c:pt>
                <c:pt idx="9">
                  <c:v>32204.326930052575</c:v>
                </c:pt>
                <c:pt idx="10">
                  <c:v>32573.615225253699</c:v>
                </c:pt>
                <c:pt idx="11">
                  <c:v>32842.680451259774</c:v>
                </c:pt>
                <c:pt idx="12">
                  <c:v>33006.908221878744</c:v>
                </c:pt>
                <c:pt idx="13">
                  <c:v>33118.201609496471</c:v>
                </c:pt>
                <c:pt idx="14">
                  <c:v>33231.149045791106</c:v>
                </c:pt>
                <c:pt idx="15">
                  <c:v>33366.781183755709</c:v>
                </c:pt>
                <c:pt idx="16">
                  <c:v>33514.71289612558</c:v>
                </c:pt>
                <c:pt idx="17">
                  <c:v>33703.565915906038</c:v>
                </c:pt>
                <c:pt idx="18">
                  <c:v>33967.575773727483</c:v>
                </c:pt>
                <c:pt idx="19">
                  <c:v>34302.583337868644</c:v>
                </c:pt>
                <c:pt idx="20">
                  <c:v>34682.932984766805</c:v>
                </c:pt>
                <c:pt idx="21">
                  <c:v>35118.313716200166</c:v>
                </c:pt>
                <c:pt idx="22">
                  <c:v>35600.368013737083</c:v>
                </c:pt>
                <c:pt idx="23">
                  <c:v>36098.896131925525</c:v>
                </c:pt>
                <c:pt idx="24">
                  <c:v>36547.989819351125</c:v>
                </c:pt>
                <c:pt idx="25">
                  <c:v>36883.503512268348</c:v>
                </c:pt>
                <c:pt idx="26">
                  <c:v>37109.440884854987</c:v>
                </c:pt>
                <c:pt idx="27">
                  <c:v>37277.585601032551</c:v>
                </c:pt>
                <c:pt idx="28">
                  <c:v>37458.183158799657</c:v>
                </c:pt>
                <c:pt idx="29">
                  <c:v>37653.560550939146</c:v>
                </c:pt>
                <c:pt idx="30">
                  <c:v>37839.918710218502</c:v>
                </c:pt>
                <c:pt idx="31">
                  <c:v>37990.423849616818</c:v>
                </c:pt>
                <c:pt idx="32">
                  <c:v>38068.035651246835</c:v>
                </c:pt>
                <c:pt idx="33">
                  <c:v>38036.714105195511</c:v>
                </c:pt>
                <c:pt idx="34">
                  <c:v>37950.976492826645</c:v>
                </c:pt>
                <c:pt idx="35">
                  <c:v>37911.126727835319</c:v>
                </c:pt>
                <c:pt idx="36">
                  <c:v>37982.228293940825</c:v>
                </c:pt>
                <c:pt idx="37">
                  <c:v>38190.440036034837</c:v>
                </c:pt>
                <c:pt idx="38">
                  <c:v>38502.104105137056</c:v>
                </c:pt>
                <c:pt idx="39">
                  <c:v>38835.638294444958</c:v>
                </c:pt>
                <c:pt idx="40">
                  <c:v>39073.585491575352</c:v>
                </c:pt>
                <c:pt idx="41">
                  <c:v>39145.018071827035</c:v>
                </c:pt>
                <c:pt idx="42">
                  <c:v>39014.000086292894</c:v>
                </c:pt>
                <c:pt idx="43">
                  <c:v>38724.219761272485</c:v>
                </c:pt>
                <c:pt idx="44">
                  <c:v>38390.817930432939</c:v>
                </c:pt>
                <c:pt idx="45">
                  <c:v>38085.986059978226</c:v>
                </c:pt>
                <c:pt idx="46">
                  <c:v>37844.079083452052</c:v>
                </c:pt>
                <c:pt idx="47">
                  <c:v>37664.869493962768</c:v>
                </c:pt>
                <c:pt idx="48">
                  <c:v>37508.53019303162</c:v>
                </c:pt>
                <c:pt idx="49">
                  <c:v>37314.923070477358</c:v>
                </c:pt>
                <c:pt idx="50">
                  <c:v>37076.29975969682</c:v>
                </c:pt>
                <c:pt idx="51">
                  <c:v>36843.585461648974</c:v>
                </c:pt>
                <c:pt idx="52">
                  <c:v>36746.991100083942</c:v>
                </c:pt>
                <c:pt idx="53">
                  <c:v>36861.224741594786</c:v>
                </c:pt>
                <c:pt idx="54">
                  <c:v>37202.907791286882</c:v>
                </c:pt>
                <c:pt idx="55">
                  <c:v>37715.797070463123</c:v>
                </c:pt>
                <c:pt idx="56">
                  <c:v>38274.942426378817</c:v>
                </c:pt>
                <c:pt idx="57">
                  <c:v>38771.275483438818</c:v>
                </c:pt>
                <c:pt idx="58">
                  <c:v>39131.56757288269</c:v>
                </c:pt>
                <c:pt idx="59">
                  <c:v>39341.246100781857</c:v>
                </c:pt>
                <c:pt idx="60">
                  <c:v>39472.045463691713</c:v>
                </c:pt>
                <c:pt idx="61">
                  <c:v>39631.827688195532</c:v>
                </c:pt>
                <c:pt idx="62">
                  <c:v>39850.554304595134</c:v>
                </c:pt>
                <c:pt idx="63">
                  <c:v>40120.051814405087</c:v>
                </c:pt>
                <c:pt idx="64">
                  <c:v>40396.922407591053</c:v>
                </c:pt>
                <c:pt idx="65">
                  <c:v>40633.396205781137</c:v>
                </c:pt>
                <c:pt idx="66">
                  <c:v>40853.745930136058</c:v>
                </c:pt>
                <c:pt idx="67">
                  <c:v>41099.823730821125</c:v>
                </c:pt>
                <c:pt idx="68">
                  <c:v>41470.314045127496</c:v>
                </c:pt>
                <c:pt idx="69">
                  <c:v>42067.67303073599</c:v>
                </c:pt>
                <c:pt idx="70">
                  <c:v>42880.11782485219</c:v>
                </c:pt>
                <c:pt idx="71">
                  <c:v>43797.897941831077</c:v>
                </c:pt>
                <c:pt idx="72">
                  <c:v>44701.057928255068</c:v>
                </c:pt>
                <c:pt idx="73">
                  <c:v>45456.44840810715</c:v>
                </c:pt>
              </c:numCache>
            </c:numRef>
          </c:val>
          <c:smooth val="0"/>
          <c:extLst>
            <c:ext xmlns:c16="http://schemas.microsoft.com/office/drawing/2014/chart" uri="{C3380CC4-5D6E-409C-BE32-E72D297353CC}">
              <c16:uniqueId val="{00000002-FAAB-466C-AEBB-5DF20A5E73B3}"/>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52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60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datos!$G$5:$G$78</c:f>
              <c:numCache>
                <c:formatCode>#,##0.0</c:formatCode>
                <c:ptCount val="74"/>
                <c:pt idx="0">
                  <c:v>1195.02114479898</c:v>
                </c:pt>
                <c:pt idx="1">
                  <c:v>1180.57601251093</c:v>
                </c:pt>
                <c:pt idx="2">
                  <c:v>1312.4007244889201</c:v>
                </c:pt>
                <c:pt idx="3">
                  <c:v>1388.59991747605</c:v>
                </c:pt>
                <c:pt idx="4">
                  <c:v>1599.61145502724</c:v>
                </c:pt>
                <c:pt idx="5">
                  <c:v>1579.91360010266</c:v>
                </c:pt>
                <c:pt idx="6">
                  <c:v>1586.34862252931</c:v>
                </c:pt>
                <c:pt idx="7">
                  <c:v>1699.3633603475701</c:v>
                </c:pt>
                <c:pt idx="8">
                  <c:v>1810.0002844258199</c:v>
                </c:pt>
                <c:pt idx="9">
                  <c:v>1838.3409400773901</c:v>
                </c:pt>
                <c:pt idx="10">
                  <c:v>1665.4481154457601</c:v>
                </c:pt>
                <c:pt idx="11">
                  <c:v>1838.86502986042</c:v>
                </c:pt>
                <c:pt idx="12">
                  <c:v>2068.6379737362499</c:v>
                </c:pt>
                <c:pt idx="13">
                  <c:v>1983.22882332932</c:v>
                </c:pt>
                <c:pt idx="14">
                  <c:v>1778.5123078014001</c:v>
                </c:pt>
                <c:pt idx="15">
                  <c:v>1778.0052445306401</c:v>
                </c:pt>
                <c:pt idx="16">
                  <c:v>1518.6963555534001</c:v>
                </c:pt>
                <c:pt idx="17">
                  <c:v>1762.5657813590401</c:v>
                </c:pt>
                <c:pt idx="18">
                  <c:v>1870.00053179117</c:v>
                </c:pt>
                <c:pt idx="19">
                  <c:v>1800.1363789360501</c:v>
                </c:pt>
                <c:pt idx="20">
                  <c:v>1880.7188635718201</c:v>
                </c:pt>
                <c:pt idx="21">
                  <c:v>2165.9827097840798</c:v>
                </c:pt>
                <c:pt idx="22">
                  <c:v>2444.5996122828601</c:v>
                </c:pt>
                <c:pt idx="23">
                  <c:v>2647.5468616058401</c:v>
                </c:pt>
                <c:pt idx="24">
                  <c:v>2506.9923468355901</c:v>
                </c:pt>
                <c:pt idx="25">
                  <c:v>2709.9130246477498</c:v>
                </c:pt>
                <c:pt idx="26">
                  <c:v>2580.3063692339401</c:v>
                </c:pt>
                <c:pt idx="27">
                  <c:v>2773.6676003929601</c:v>
                </c:pt>
                <c:pt idx="28">
                  <c:v>2662.1973682611601</c:v>
                </c:pt>
                <c:pt idx="29">
                  <c:v>2546.3085211923199</c:v>
                </c:pt>
                <c:pt idx="30">
                  <c:v>2430.1333901870898</c:v>
                </c:pt>
                <c:pt idx="31">
                  <c:v>2690.0418716409099</c:v>
                </c:pt>
                <c:pt idx="32">
                  <c:v>2768.1744898508</c:v>
                </c:pt>
                <c:pt idx="33">
                  <c:v>2514.5522796260998</c:v>
                </c:pt>
                <c:pt idx="34">
                  <c:v>2291.6310006273602</c:v>
                </c:pt>
                <c:pt idx="35">
                  <c:v>2166.7819054844799</c:v>
                </c:pt>
                <c:pt idx="36">
                  <c:v>2243.6572018188299</c:v>
                </c:pt>
                <c:pt idx="37">
                  <c:v>2716.4038614587398</c:v>
                </c:pt>
                <c:pt idx="38">
                  <c:v>2471.3785306285999</c:v>
                </c:pt>
                <c:pt idx="39">
                  <c:v>2365.1948947914998</c:v>
                </c:pt>
                <c:pt idx="40">
                  <c:v>2465.5000617537598</c:v>
                </c:pt>
                <c:pt idx="41">
                  <c:v>2000.1839189366001</c:v>
                </c:pt>
                <c:pt idx="42">
                  <c:v>2042.555604834</c:v>
                </c:pt>
                <c:pt idx="43">
                  <c:v>1889.8267303826999</c:v>
                </c:pt>
                <c:pt idx="44">
                  <c:v>1908.8772035941599</c:v>
                </c:pt>
                <c:pt idx="45">
                  <c:v>1779.7256626190201</c:v>
                </c:pt>
                <c:pt idx="46">
                  <c:v>1859.2272669496299</c:v>
                </c:pt>
                <c:pt idx="47">
                  <c:v>2103.8017584105401</c:v>
                </c:pt>
                <c:pt idx="48">
                  <c:v>2352.5889079189001</c:v>
                </c:pt>
                <c:pt idx="49">
                  <c:v>1569.7009139659201</c:v>
                </c:pt>
                <c:pt idx="50">
                  <c:v>1271.81915229525</c:v>
                </c:pt>
                <c:pt idx="51">
                  <c:v>876.54465783207604</c:v>
                </c:pt>
                <c:pt idx="52">
                  <c:v>941.48693439955105</c:v>
                </c:pt>
                <c:pt idx="53">
                  <c:v>1294.16820887719</c:v>
                </c:pt>
                <c:pt idx="54">
                  <c:v>1294.6318628367101</c:v>
                </c:pt>
                <c:pt idx="55">
                  <c:v>1673.1983660779599</c:v>
                </c:pt>
                <c:pt idx="56">
                  <c:v>1504.0048194860999</c:v>
                </c:pt>
                <c:pt idx="57">
                  <c:v>1321.2303360321</c:v>
                </c:pt>
                <c:pt idx="58">
                  <c:v>1546.7605607272801</c:v>
                </c:pt>
                <c:pt idx="59">
                  <c:v>1837.9308779524399</c:v>
                </c:pt>
                <c:pt idx="60">
                  <c:v>1914.42172056555</c:v>
                </c:pt>
                <c:pt idx="61">
                  <c:v>1911.18407315902</c:v>
                </c:pt>
                <c:pt idx="62">
                  <c:v>2164.47609781548</c:v>
                </c:pt>
                <c:pt idx="63">
                  <c:v>2154.1325849107402</c:v>
                </c:pt>
                <c:pt idx="64">
                  <c:v>2247.3942914595</c:v>
                </c:pt>
                <c:pt idx="65">
                  <c:v>2612.6603937957102</c:v>
                </c:pt>
                <c:pt idx="66">
                  <c:v>2661.7626614618798</c:v>
                </c:pt>
                <c:pt idx="67">
                  <c:v>2526.2431143909498</c:v>
                </c:pt>
                <c:pt idx="68">
                  <c:v>2485.24434338642</c:v>
                </c:pt>
                <c:pt idx="69">
                  <c:v>2743.9040143053498</c:v>
                </c:pt>
                <c:pt idx="70">
                  <c:v>2790.01749521589</c:v>
                </c:pt>
                <c:pt idx="71">
                  <c:v>2598.04927952456</c:v>
                </c:pt>
                <c:pt idx="72">
                  <c:v>2588.1924637050402</c:v>
                </c:pt>
                <c:pt idx="73">
                  <c:v>2947.7321640191499</c:v>
                </c:pt>
              </c:numCache>
            </c:numRef>
          </c:val>
          <c:smooth val="0"/>
          <c:extLst>
            <c:ext xmlns:c16="http://schemas.microsoft.com/office/drawing/2014/chart" uri="{C3380CC4-5D6E-409C-BE32-E72D297353CC}">
              <c16:uniqueId val="{00000000-B92B-4608-BB4D-548FCAF70EBB}"/>
            </c:ext>
          </c:extLst>
        </c:ser>
        <c:ser>
          <c:idx val="0"/>
          <c:order val="1"/>
          <c:tx>
            <c:strRef>
              <c:f>datos!$H$4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datos!$H$5:$H$78</c:f>
              <c:numCache>
                <c:formatCode>#,##0.0</c:formatCode>
                <c:ptCount val="74"/>
                <c:pt idx="0">
                  <c:v>1257.9485159051289</c:v>
                </c:pt>
                <c:pt idx="1">
                  <c:v>1253.354637503578</c:v>
                </c:pt>
                <c:pt idx="2">
                  <c:v>1301.6186364067839</c:v>
                </c:pt>
                <c:pt idx="3">
                  <c:v>1386.1660718147141</c:v>
                </c:pt>
                <c:pt idx="4">
                  <c:v>1487.0364043415461</c:v>
                </c:pt>
                <c:pt idx="5">
                  <c:v>1580.4177365439359</c:v>
                </c:pt>
                <c:pt idx="6">
                  <c:v>1650.212962227225</c:v>
                </c:pt>
                <c:pt idx="7">
                  <c:v>1702.5490376837379</c:v>
                </c:pt>
                <c:pt idx="8">
                  <c:v>1752.1267041486381</c:v>
                </c:pt>
                <c:pt idx="9">
                  <c:v>1806.0326624463282</c:v>
                </c:pt>
                <c:pt idx="10">
                  <c:v>1860.511369748252</c:v>
                </c:pt>
                <c:pt idx="11">
                  <c:v>1899.549405769063</c:v>
                </c:pt>
                <c:pt idx="12">
                  <c:v>1906.2631708320619</c:v>
                </c:pt>
                <c:pt idx="13">
                  <c:v>1883.6040797651972</c:v>
                </c:pt>
                <c:pt idx="14">
                  <c:v>1841.838923537902</c:v>
                </c:pt>
                <c:pt idx="15">
                  <c:v>1790.2697011518969</c:v>
                </c:pt>
                <c:pt idx="16">
                  <c:v>1744.56835227226</c:v>
                </c:pt>
                <c:pt idx="17">
                  <c:v>1729.1532534887192</c:v>
                </c:pt>
                <c:pt idx="18">
                  <c:v>1772.0735417713508</c:v>
                </c:pt>
                <c:pt idx="19">
                  <c:v>1873.0356781888199</c:v>
                </c:pt>
                <c:pt idx="20">
                  <c:v>2018.256592784023</c:v>
                </c:pt>
                <c:pt idx="21">
                  <c:v>2185.1599519813058</c:v>
                </c:pt>
                <c:pt idx="22">
                  <c:v>2352.4646334971362</c:v>
                </c:pt>
                <c:pt idx="23">
                  <c:v>2498.9979066115993</c:v>
                </c:pt>
                <c:pt idx="24">
                  <c:v>2608.1228784413661</c:v>
                </c:pt>
                <c:pt idx="25">
                  <c:v>2663.939357354086</c:v>
                </c:pt>
                <c:pt idx="26">
                  <c:v>2670.5404440220441</c:v>
                </c:pt>
                <c:pt idx="27">
                  <c:v>2657.602914589093</c:v>
                </c:pt>
                <c:pt idx="28">
                  <c:v>2650.756630278378</c:v>
                </c:pt>
                <c:pt idx="29">
                  <c:v>2653.5371152645289</c:v>
                </c:pt>
                <c:pt idx="30">
                  <c:v>2649.7826581102472</c:v>
                </c:pt>
                <c:pt idx="31">
                  <c:v>2619.298030293111</c:v>
                </c:pt>
                <c:pt idx="32">
                  <c:v>2557.88164464697</c:v>
                </c:pt>
                <c:pt idx="33">
                  <c:v>2474.6689492200239</c:v>
                </c:pt>
                <c:pt idx="34">
                  <c:v>2390.980380437235</c:v>
                </c:pt>
                <c:pt idx="35">
                  <c:v>2335.657178783651</c:v>
                </c:pt>
                <c:pt idx="36">
                  <c:v>2324.5417727991348</c:v>
                </c:pt>
                <c:pt idx="37">
                  <c:v>2348.9418629318861</c:v>
                </c:pt>
                <c:pt idx="38">
                  <c:v>2373.0345091998761</c:v>
                </c:pt>
                <c:pt idx="39">
                  <c:v>2358.0928660152049</c:v>
                </c:pt>
                <c:pt idx="40">
                  <c:v>2282.9185797261612</c:v>
                </c:pt>
                <c:pt idx="41">
                  <c:v>2162.7172266906141</c:v>
                </c:pt>
                <c:pt idx="42">
                  <c:v>2038.494672292303</c:v>
                </c:pt>
                <c:pt idx="43">
                  <c:v>1950.149174227729</c:v>
                </c:pt>
                <c:pt idx="44">
                  <c:v>1907.3623254957499</c:v>
                </c:pt>
                <c:pt idx="45">
                  <c:v>1893.728381039228</c:v>
                </c:pt>
                <c:pt idx="46">
                  <c:v>1882.161791066784</c:v>
                </c:pt>
                <c:pt idx="47">
                  <c:v>1842.009664293307</c:v>
                </c:pt>
                <c:pt idx="48">
                  <c:v>1758.8008886095158</c:v>
                </c:pt>
                <c:pt idx="49">
                  <c:v>1650.495112369797</c:v>
                </c:pt>
                <c:pt idx="50">
                  <c:v>1543.0218676378811</c:v>
                </c:pt>
                <c:pt idx="51">
                  <c:v>1465.9982340034371</c:v>
                </c:pt>
                <c:pt idx="52">
                  <c:v>1437.7692296656521</c:v>
                </c:pt>
                <c:pt idx="53">
                  <c:v>1453.219230500323</c:v>
                </c:pt>
                <c:pt idx="54">
                  <c:v>1491.394532808534</c:v>
                </c:pt>
                <c:pt idx="55">
                  <c:v>1539.6721169211289</c:v>
                </c:pt>
                <c:pt idx="56">
                  <c:v>1594.3188223560899</c:v>
                </c:pt>
                <c:pt idx="57">
                  <c:v>1656.5456019578389</c:v>
                </c:pt>
                <c:pt idx="58">
                  <c:v>1725.840397346004</c:v>
                </c:pt>
                <c:pt idx="59">
                  <c:v>1802.3184944982588</c:v>
                </c:pt>
                <c:pt idx="60">
                  <c:v>1889.908727830539</c:v>
                </c:pt>
                <c:pt idx="61">
                  <c:v>1993.142344525214</c:v>
                </c:pt>
                <c:pt idx="62">
                  <c:v>2115.2619959829349</c:v>
                </c:pt>
                <c:pt idx="63">
                  <c:v>2245.6394682475839</c:v>
                </c:pt>
                <c:pt idx="64">
                  <c:v>2369.229712331165</c:v>
                </c:pt>
                <c:pt idx="65">
                  <c:v>2477.045788100259</c:v>
                </c:pt>
                <c:pt idx="66">
                  <c:v>2562.262407767606</c:v>
                </c:pt>
                <c:pt idx="67">
                  <c:v>2609.179506646502</c:v>
                </c:pt>
                <c:pt idx="68">
                  <c:v>2625.4214396988491</c:v>
                </c:pt>
                <c:pt idx="69">
                  <c:v>2632.3456957260719</c:v>
                </c:pt>
                <c:pt idx="70">
                  <c:v>2652.1467908981804</c:v>
                </c:pt>
                <c:pt idx="71">
                  <c:v>2699.6726529149378</c:v>
                </c:pt>
                <c:pt idx="72">
                  <c:v>2772.6221445151114</c:v>
                </c:pt>
                <c:pt idx="73">
                  <c:v>2848.3615832359983</c:v>
                </c:pt>
              </c:numCache>
            </c:numRef>
          </c:val>
          <c:smooth val="0"/>
          <c:extLst>
            <c:ext xmlns:c16="http://schemas.microsoft.com/office/drawing/2014/chart" uri="{C3380CC4-5D6E-409C-BE32-E72D297353CC}">
              <c16:uniqueId val="{00000001-B92B-4608-BB4D-548FCAF70EBB}"/>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datos!$I$5:$I$78</c:f>
              <c:numCache>
                <c:formatCode>#,##0.0</c:formatCode>
                <c:ptCount val="74"/>
                <c:pt idx="0">
                  <c:v>29665.2572897262</c:v>
                </c:pt>
                <c:pt idx="1">
                  <c:v>28474.9918473541</c:v>
                </c:pt>
                <c:pt idx="2">
                  <c:v>27902.7654668291</c:v>
                </c:pt>
                <c:pt idx="3">
                  <c:v>28637.309860125999</c:v>
                </c:pt>
                <c:pt idx="4">
                  <c:v>29014.8539845298</c:v>
                </c:pt>
                <c:pt idx="5">
                  <c:v>28991.6669299899</c:v>
                </c:pt>
                <c:pt idx="6">
                  <c:v>29889.7196846074</c:v>
                </c:pt>
                <c:pt idx="7">
                  <c:v>29384.5957500976</c:v>
                </c:pt>
                <c:pt idx="8">
                  <c:v>30571.612775133901</c:v>
                </c:pt>
                <c:pt idx="9">
                  <c:v>30157.979294059802</c:v>
                </c:pt>
                <c:pt idx="10">
                  <c:v>31150.691106336701</c:v>
                </c:pt>
                <c:pt idx="11">
                  <c:v>30812.583856078199</c:v>
                </c:pt>
                <c:pt idx="12">
                  <c:v>31046.331206765601</c:v>
                </c:pt>
                <c:pt idx="13">
                  <c:v>31278.9191783606</c:v>
                </c:pt>
                <c:pt idx="14">
                  <c:v>31175.8376831838</c:v>
                </c:pt>
                <c:pt idx="15">
                  <c:v>31504.280945282801</c:v>
                </c:pt>
                <c:pt idx="16">
                  <c:v>31574.1011276352</c:v>
                </c:pt>
                <c:pt idx="17">
                  <c:v>32560.626871094901</c:v>
                </c:pt>
                <c:pt idx="18">
                  <c:v>32107.978858098199</c:v>
                </c:pt>
                <c:pt idx="19">
                  <c:v>32483.5807446408</c:v>
                </c:pt>
                <c:pt idx="20">
                  <c:v>32321.239047976302</c:v>
                </c:pt>
                <c:pt idx="21">
                  <c:v>32961.0701552432</c:v>
                </c:pt>
                <c:pt idx="22">
                  <c:v>33628.981239539004</c:v>
                </c:pt>
                <c:pt idx="23">
                  <c:v>33806.822475323403</c:v>
                </c:pt>
                <c:pt idx="24">
                  <c:v>33178.481839464199</c:v>
                </c:pt>
                <c:pt idx="25">
                  <c:v>34398.396942555999</c:v>
                </c:pt>
                <c:pt idx="26">
                  <c:v>35598.400245623903</c:v>
                </c:pt>
                <c:pt idx="27">
                  <c:v>34466.598841231702</c:v>
                </c:pt>
                <c:pt idx="28">
                  <c:v>33871.895849765402</c:v>
                </c:pt>
                <c:pt idx="29">
                  <c:v>34624.660434379897</c:v>
                </c:pt>
                <c:pt idx="30">
                  <c:v>35208.894553437203</c:v>
                </c:pt>
                <c:pt idx="31">
                  <c:v>35338.6745635111</c:v>
                </c:pt>
                <c:pt idx="32">
                  <c:v>36580.567586216901</c:v>
                </c:pt>
                <c:pt idx="33">
                  <c:v>35758.432327962997</c:v>
                </c:pt>
                <c:pt idx="34">
                  <c:v>35198.120569310202</c:v>
                </c:pt>
                <c:pt idx="35">
                  <c:v>35669.514101701301</c:v>
                </c:pt>
                <c:pt idx="36">
                  <c:v>35424.743534860601</c:v>
                </c:pt>
                <c:pt idx="37">
                  <c:v>35684.275524334997</c:v>
                </c:pt>
                <c:pt idx="38">
                  <c:v>35687.881471770801</c:v>
                </c:pt>
                <c:pt idx="39">
                  <c:v>36643.8473997318</c:v>
                </c:pt>
                <c:pt idx="40">
                  <c:v>36667.096541043902</c:v>
                </c:pt>
                <c:pt idx="41">
                  <c:v>36911.428444828503</c:v>
                </c:pt>
                <c:pt idx="42">
                  <c:v>36693.981156058901</c:v>
                </c:pt>
                <c:pt idx="43">
                  <c:v>37692.043091820698</c:v>
                </c:pt>
                <c:pt idx="44">
                  <c:v>36347.523478777097</c:v>
                </c:pt>
                <c:pt idx="45">
                  <c:v>35830.241332690501</c:v>
                </c:pt>
                <c:pt idx="46">
                  <c:v>35610.403231234799</c:v>
                </c:pt>
                <c:pt idx="47">
                  <c:v>35423.343391369002</c:v>
                </c:pt>
                <c:pt idx="48">
                  <c:v>36682.718863717397</c:v>
                </c:pt>
                <c:pt idx="49">
                  <c:v>36045.609289420601</c:v>
                </c:pt>
                <c:pt idx="50">
                  <c:v>35148.8471262038</c:v>
                </c:pt>
                <c:pt idx="51">
                  <c:v>21779.745356159299</c:v>
                </c:pt>
                <c:pt idx="52">
                  <c:v>17357.636562135202</c:v>
                </c:pt>
                <c:pt idx="53">
                  <c:v>30693.7483747099</c:v>
                </c:pt>
                <c:pt idx="54">
                  <c:v>34030.140921362501</c:v>
                </c:pt>
                <c:pt idx="55">
                  <c:v>36363.4341092666</c:v>
                </c:pt>
                <c:pt idx="56">
                  <c:v>36478.255442406698</c:v>
                </c:pt>
                <c:pt idx="57">
                  <c:v>38996.351165246</c:v>
                </c:pt>
                <c:pt idx="58">
                  <c:v>37263.8641253104</c:v>
                </c:pt>
                <c:pt idx="59">
                  <c:v>38006.595388738897</c:v>
                </c:pt>
                <c:pt idx="60">
                  <c:v>38561.615926738297</c:v>
                </c:pt>
                <c:pt idx="61">
                  <c:v>36001.108982707497</c:v>
                </c:pt>
                <c:pt idx="62">
                  <c:v>37649.348801495602</c:v>
                </c:pt>
                <c:pt idx="63">
                  <c:v>37721.217367941703</c:v>
                </c:pt>
                <c:pt idx="64">
                  <c:v>38344.065707456597</c:v>
                </c:pt>
                <c:pt idx="65">
                  <c:v>38436.800838453899</c:v>
                </c:pt>
                <c:pt idx="66">
                  <c:v>38920.842803695203</c:v>
                </c:pt>
                <c:pt idx="67">
                  <c:v>37829.255577595199</c:v>
                </c:pt>
                <c:pt idx="68">
                  <c:v>38814.7749961925</c:v>
                </c:pt>
                <c:pt idx="69">
                  <c:v>39071.2065946148</c:v>
                </c:pt>
                <c:pt idx="70">
                  <c:v>41697.028705245197</c:v>
                </c:pt>
                <c:pt idx="71">
                  <c:v>41650.184257692497</c:v>
                </c:pt>
                <c:pt idx="72">
                  <c:v>39128.225017255798</c:v>
                </c:pt>
                <c:pt idx="73">
                  <c:v>45457.451831704799</c:v>
                </c:pt>
              </c:numCache>
            </c:numRef>
          </c:val>
          <c:smooth val="0"/>
          <c:extLst>
            <c:ext xmlns:c16="http://schemas.microsoft.com/office/drawing/2014/chart" uri="{C3380CC4-5D6E-409C-BE32-E72D297353CC}">
              <c16:uniqueId val="{00000000-44E1-4199-92C1-30CD9E9E0246}"/>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datos!$J$5:$J$78</c:f>
              <c:numCache>
                <c:formatCode>#,##0.0</c:formatCode>
                <c:ptCount val="74"/>
                <c:pt idx="0">
                  <c:v>28927.027386643869</c:v>
                </c:pt>
                <c:pt idx="1">
                  <c:v>28762.074240329657</c:v>
                </c:pt>
                <c:pt idx="2">
                  <c:v>28676.972854951993</c:v>
                </c:pt>
                <c:pt idx="3">
                  <c:v>28711.128299332064</c:v>
                </c:pt>
                <c:pt idx="4">
                  <c:v>28847.892019037488</c:v>
                </c:pt>
                <c:pt idx="5">
                  <c:v>29070.438564905955</c:v>
                </c:pt>
                <c:pt idx="6">
                  <c:v>29357.736560906233</c:v>
                </c:pt>
                <c:pt idx="7">
                  <c:v>29690.058428993041</c:v>
                </c:pt>
                <c:pt idx="8">
                  <c:v>30045.306288591761</c:v>
                </c:pt>
                <c:pt idx="9">
                  <c:v>30398.294267606248</c:v>
                </c:pt>
                <c:pt idx="10">
                  <c:v>30713.103855505447</c:v>
                </c:pt>
                <c:pt idx="11">
                  <c:v>30943.131045490714</c:v>
                </c:pt>
                <c:pt idx="12">
                  <c:v>31100.645051046682</c:v>
                </c:pt>
                <c:pt idx="13">
                  <c:v>31234.597529731273</c:v>
                </c:pt>
                <c:pt idx="14">
                  <c:v>31389.310122253206</c:v>
                </c:pt>
                <c:pt idx="15">
                  <c:v>31576.511482603815</c:v>
                </c:pt>
                <c:pt idx="16">
                  <c:v>31770.144543853319</c:v>
                </c:pt>
                <c:pt idx="17">
                  <c:v>31974.412662417319</c:v>
                </c:pt>
                <c:pt idx="18">
                  <c:v>32195.502231956132</c:v>
                </c:pt>
                <c:pt idx="19">
                  <c:v>32429.547659679825</c:v>
                </c:pt>
                <c:pt idx="20">
                  <c:v>32664.676391982783</c:v>
                </c:pt>
                <c:pt idx="21">
                  <c:v>32933.153764218863</c:v>
                </c:pt>
                <c:pt idx="22">
                  <c:v>33247.90338023995</c:v>
                </c:pt>
                <c:pt idx="23">
                  <c:v>33599.898225313926</c:v>
                </c:pt>
                <c:pt idx="24">
                  <c:v>33939.866940909757</c:v>
                </c:pt>
                <c:pt idx="25">
                  <c:v>34219.56415491426</c:v>
                </c:pt>
                <c:pt idx="26">
                  <c:v>34438.900440832942</c:v>
                </c:pt>
                <c:pt idx="27">
                  <c:v>34619.982686443458</c:v>
                </c:pt>
                <c:pt idx="28">
                  <c:v>34807.426528521275</c:v>
                </c:pt>
                <c:pt idx="29">
                  <c:v>35000.023435674615</c:v>
                </c:pt>
                <c:pt idx="30">
                  <c:v>35190.136052108253</c:v>
                </c:pt>
                <c:pt idx="31">
                  <c:v>35371.125819323708</c:v>
                </c:pt>
                <c:pt idx="32">
                  <c:v>35510.154006599863</c:v>
                </c:pt>
                <c:pt idx="33">
                  <c:v>35562.045155975487</c:v>
                </c:pt>
                <c:pt idx="34">
                  <c:v>35559.99611238941</c:v>
                </c:pt>
                <c:pt idx="35">
                  <c:v>35575.469549051668</c:v>
                </c:pt>
                <c:pt idx="36">
                  <c:v>35657.686521141688</c:v>
                </c:pt>
                <c:pt idx="37">
                  <c:v>35841.498173102955</c:v>
                </c:pt>
                <c:pt idx="38">
                  <c:v>36129.069595937181</c:v>
                </c:pt>
                <c:pt idx="39">
                  <c:v>36477.545428429752</c:v>
                </c:pt>
                <c:pt idx="40">
                  <c:v>36790.666911849192</c:v>
                </c:pt>
                <c:pt idx="41">
                  <c:v>36982.300845136422</c:v>
                </c:pt>
                <c:pt idx="42">
                  <c:v>36975.505414000589</c:v>
                </c:pt>
                <c:pt idx="43">
                  <c:v>36774.070587044756</c:v>
                </c:pt>
                <c:pt idx="44">
                  <c:v>36483.455604937189</c:v>
                </c:pt>
                <c:pt idx="45">
                  <c:v>36192.257678939</c:v>
                </c:pt>
                <c:pt idx="46">
                  <c:v>35961.917292385268</c:v>
                </c:pt>
                <c:pt idx="47">
                  <c:v>35822.859829669462</c:v>
                </c:pt>
                <c:pt idx="48">
                  <c:v>35749.729304422108</c:v>
                </c:pt>
                <c:pt idx="49">
                  <c:v>35664.427958107561</c:v>
                </c:pt>
                <c:pt idx="50">
                  <c:v>35533.277892058941</c:v>
                </c:pt>
                <c:pt idx="51">
                  <c:v>35377.587227645534</c:v>
                </c:pt>
                <c:pt idx="52">
                  <c:v>35309.221870418289</c:v>
                </c:pt>
                <c:pt idx="53">
                  <c:v>35408.00551109446</c:v>
                </c:pt>
                <c:pt idx="54">
                  <c:v>35711.51325847835</c:v>
                </c:pt>
                <c:pt idx="55">
                  <c:v>36176.124953541992</c:v>
                </c:pt>
                <c:pt idx="56">
                  <c:v>36680.62360402273</c:v>
                </c:pt>
                <c:pt idx="57">
                  <c:v>37114.729881480976</c:v>
                </c:pt>
                <c:pt idx="58">
                  <c:v>37405.727175536689</c:v>
                </c:pt>
                <c:pt idx="59">
                  <c:v>37538.9276062836</c:v>
                </c:pt>
                <c:pt idx="60">
                  <c:v>37582.136735861175</c:v>
                </c:pt>
                <c:pt idx="61">
                  <c:v>37638.685343670317</c:v>
                </c:pt>
                <c:pt idx="62">
                  <c:v>37735.292308612203</c:v>
                </c:pt>
                <c:pt idx="63">
                  <c:v>37874.4123461575</c:v>
                </c:pt>
                <c:pt idx="64">
                  <c:v>38027.692695259888</c:v>
                </c:pt>
                <c:pt idx="65">
                  <c:v>38156.350417680878</c:v>
                </c:pt>
                <c:pt idx="66">
                  <c:v>38291.483522368449</c:v>
                </c:pt>
                <c:pt idx="67">
                  <c:v>38490.644224174619</c:v>
                </c:pt>
                <c:pt idx="68">
                  <c:v>38844.892605428649</c:v>
                </c:pt>
                <c:pt idx="69">
                  <c:v>39435.327335009919</c:v>
                </c:pt>
                <c:pt idx="70">
                  <c:v>40227.971033954011</c:v>
                </c:pt>
                <c:pt idx="71">
                  <c:v>41098.225288916139</c:v>
                </c:pt>
                <c:pt idx="72">
                  <c:v>41928.435783739958</c:v>
                </c:pt>
                <c:pt idx="73">
                  <c:v>42608.086824871149</c:v>
                </c:pt>
              </c:numCache>
            </c:numRef>
          </c:val>
          <c:smooth val="0"/>
          <c:extLst>
            <c:ext xmlns:c16="http://schemas.microsoft.com/office/drawing/2014/chart" uri="{C3380CC4-5D6E-409C-BE32-E72D297353CC}">
              <c16:uniqueId val="{00000001-44E1-4199-92C1-30CD9E9E0246}"/>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9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datos!$K$5:$K$78</c:f>
              <c:numCache>
                <c:formatCode>#,##0.0</c:formatCode>
                <c:ptCount val="74"/>
                <c:pt idx="0">
                  <c:v>28165.945506001299</c:v>
                </c:pt>
                <c:pt idx="1">
                  <c:v>27026.287575895502</c:v>
                </c:pt>
                <c:pt idx="2">
                  <c:v>26372.009259785798</c:v>
                </c:pt>
                <c:pt idx="3">
                  <c:v>27167.803353948701</c:v>
                </c:pt>
                <c:pt idx="4">
                  <c:v>27600.1524814363</c:v>
                </c:pt>
                <c:pt idx="5">
                  <c:v>27401.636058582499</c:v>
                </c:pt>
                <c:pt idx="6">
                  <c:v>28261.034268075298</c:v>
                </c:pt>
                <c:pt idx="7">
                  <c:v>27727.049353670802</c:v>
                </c:pt>
                <c:pt idx="8">
                  <c:v>28661.336269535299</c:v>
                </c:pt>
                <c:pt idx="9">
                  <c:v>28380.515393493501</c:v>
                </c:pt>
                <c:pt idx="10">
                  <c:v>29385.0944753941</c:v>
                </c:pt>
                <c:pt idx="11">
                  <c:v>29182.0033698238</c:v>
                </c:pt>
                <c:pt idx="12">
                  <c:v>29518.1046621112</c:v>
                </c:pt>
                <c:pt idx="13">
                  <c:v>29548.379577879201</c:v>
                </c:pt>
                <c:pt idx="14">
                  <c:v>29509.151938441199</c:v>
                </c:pt>
                <c:pt idx="15">
                  <c:v>29731.7775493995</c:v>
                </c:pt>
                <c:pt idx="16">
                  <c:v>29828.160632811501</c:v>
                </c:pt>
                <c:pt idx="17">
                  <c:v>30819.812554922199</c:v>
                </c:pt>
                <c:pt idx="18">
                  <c:v>30345.9765720998</c:v>
                </c:pt>
                <c:pt idx="19">
                  <c:v>30507.903036808199</c:v>
                </c:pt>
                <c:pt idx="20">
                  <c:v>30420.2189154763</c:v>
                </c:pt>
                <c:pt idx="21">
                  <c:v>31120.413659173799</c:v>
                </c:pt>
                <c:pt idx="22">
                  <c:v>31741.9780725415</c:v>
                </c:pt>
                <c:pt idx="23">
                  <c:v>31772.883620607699</c:v>
                </c:pt>
                <c:pt idx="24">
                  <c:v>31208.967597536899</c:v>
                </c:pt>
                <c:pt idx="25">
                  <c:v>32532.897219300601</c:v>
                </c:pt>
                <c:pt idx="26">
                  <c:v>33671.267868987699</c:v>
                </c:pt>
                <c:pt idx="27">
                  <c:v>32517.788841622099</c:v>
                </c:pt>
                <c:pt idx="28">
                  <c:v>31871.473266987799</c:v>
                </c:pt>
                <c:pt idx="29">
                  <c:v>32782.084840491501</c:v>
                </c:pt>
                <c:pt idx="30">
                  <c:v>33349.5564641241</c:v>
                </c:pt>
                <c:pt idx="31">
                  <c:v>33428.3099032061</c:v>
                </c:pt>
                <c:pt idx="32">
                  <c:v>34740.993399365601</c:v>
                </c:pt>
                <c:pt idx="33">
                  <c:v>34000.049339788602</c:v>
                </c:pt>
                <c:pt idx="34">
                  <c:v>33425.890191915001</c:v>
                </c:pt>
                <c:pt idx="35">
                  <c:v>33687.258740732301</c:v>
                </c:pt>
                <c:pt idx="36">
                  <c:v>33536.035025059697</c:v>
                </c:pt>
                <c:pt idx="37">
                  <c:v>33745.159753135304</c:v>
                </c:pt>
                <c:pt idx="38">
                  <c:v>33771.376352490399</c:v>
                </c:pt>
                <c:pt idx="39">
                  <c:v>34620.596843325002</c:v>
                </c:pt>
                <c:pt idx="40">
                  <c:v>34558.416326286497</c:v>
                </c:pt>
                <c:pt idx="41">
                  <c:v>34967.951461972298</c:v>
                </c:pt>
                <c:pt idx="42">
                  <c:v>34591.461967852701</c:v>
                </c:pt>
                <c:pt idx="43">
                  <c:v>35717.525646221598</c:v>
                </c:pt>
                <c:pt idx="44">
                  <c:v>34454.059585532799</c:v>
                </c:pt>
                <c:pt idx="45">
                  <c:v>33808.929387460899</c:v>
                </c:pt>
                <c:pt idx="46">
                  <c:v>33527.103267365601</c:v>
                </c:pt>
                <c:pt idx="47">
                  <c:v>33322.9357911482</c:v>
                </c:pt>
                <c:pt idx="48">
                  <c:v>34462.980299568</c:v>
                </c:pt>
                <c:pt idx="49">
                  <c:v>34027.842467447103</c:v>
                </c:pt>
                <c:pt idx="50">
                  <c:v>33009.776500935099</c:v>
                </c:pt>
                <c:pt idx="51">
                  <c:v>19873.896396103999</c:v>
                </c:pt>
                <c:pt idx="52">
                  <c:v>15480.8127806542</c:v>
                </c:pt>
                <c:pt idx="53">
                  <c:v>28521.403183558799</c:v>
                </c:pt>
                <c:pt idx="54">
                  <c:v>32051.454538058399</c:v>
                </c:pt>
                <c:pt idx="55">
                  <c:v>34170.274431366299</c:v>
                </c:pt>
                <c:pt idx="56">
                  <c:v>34225.079668244703</c:v>
                </c:pt>
                <c:pt idx="57">
                  <c:v>36540.623969470202</c:v>
                </c:pt>
                <c:pt idx="58">
                  <c:v>34999.391975625796</c:v>
                </c:pt>
                <c:pt idx="59">
                  <c:v>35825.384653297398</c:v>
                </c:pt>
                <c:pt idx="60">
                  <c:v>36230.948892971697</c:v>
                </c:pt>
                <c:pt idx="61">
                  <c:v>33664.216435590199</c:v>
                </c:pt>
                <c:pt idx="62">
                  <c:v>35217.868371675402</c:v>
                </c:pt>
                <c:pt idx="63">
                  <c:v>35606.785927987403</c:v>
                </c:pt>
                <c:pt idx="64">
                  <c:v>35912.425787508997</c:v>
                </c:pt>
                <c:pt idx="65">
                  <c:v>35804.815131745003</c:v>
                </c:pt>
                <c:pt idx="66">
                  <c:v>36429.304100061599</c:v>
                </c:pt>
                <c:pt idx="67">
                  <c:v>35264.492755819701</c:v>
                </c:pt>
                <c:pt idx="68">
                  <c:v>36437.579107718098</c:v>
                </c:pt>
                <c:pt idx="69">
                  <c:v>36441.817903785697</c:v>
                </c:pt>
                <c:pt idx="70">
                  <c:v>39222.783559779702</c:v>
                </c:pt>
                <c:pt idx="71">
                  <c:v>39186.159329584101</c:v>
                </c:pt>
                <c:pt idx="72">
                  <c:v>36728.5495128478</c:v>
                </c:pt>
                <c:pt idx="73">
                  <c:v>42864.682199968098</c:v>
                </c:pt>
              </c:numCache>
            </c:numRef>
          </c:val>
          <c:smooth val="0"/>
          <c:extLst>
            <c:ext xmlns:c16="http://schemas.microsoft.com/office/drawing/2014/chart" uri="{C3380CC4-5D6E-409C-BE32-E72D297353CC}">
              <c16:uniqueId val="{00000000-0DA8-438D-946B-81D0E4B06AD3}"/>
            </c:ext>
          </c:extLst>
        </c:ser>
        <c:ser>
          <c:idx val="0"/>
          <c:order val="1"/>
          <c:tx>
            <c:strRef>
              <c:f>datos!$J$4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datos!$L$5:$L$78</c:f>
              <c:numCache>
                <c:formatCode>#,##0.0</c:formatCode>
                <c:ptCount val="74"/>
                <c:pt idx="0">
                  <c:v>27430.002617824051</c:v>
                </c:pt>
                <c:pt idx="1">
                  <c:v>27261.403732648818</c:v>
                </c:pt>
                <c:pt idx="2">
                  <c:v>27169.626102779141</c:v>
                </c:pt>
                <c:pt idx="3">
                  <c:v>27190.814949737469</c:v>
                </c:pt>
                <c:pt idx="4">
                  <c:v>27305.600836051311</c:v>
                </c:pt>
                <c:pt idx="5">
                  <c:v>27494.947677899829</c:v>
                </c:pt>
                <c:pt idx="6">
                  <c:v>27741.372578418574</c:v>
                </c:pt>
                <c:pt idx="7">
                  <c:v>28033.45681803245</c:v>
                </c:pt>
                <c:pt idx="8">
                  <c:v>28360.205027006141</c:v>
                </c:pt>
                <c:pt idx="9">
                  <c:v>28699.970834484491</c:v>
                </c:pt>
                <c:pt idx="10">
                  <c:v>29012.873140783187</c:v>
                </c:pt>
                <c:pt idx="11">
                  <c:v>29244.879048153201</c:v>
                </c:pt>
                <c:pt idx="12">
                  <c:v>29402.567833942303</c:v>
                </c:pt>
                <c:pt idx="13">
                  <c:v>29533.317258711097</c:v>
                </c:pt>
                <c:pt idx="14">
                  <c:v>29680.411117864001</c:v>
                </c:pt>
                <c:pt idx="15">
                  <c:v>29854.008609964403</c:v>
                </c:pt>
                <c:pt idx="16">
                  <c:v>30029.077889923203</c:v>
                </c:pt>
                <c:pt idx="17">
                  <c:v>30211.231159656701</c:v>
                </c:pt>
                <c:pt idx="18">
                  <c:v>30405.960237433501</c:v>
                </c:pt>
                <c:pt idx="19">
                  <c:v>30609.995994942699</c:v>
                </c:pt>
                <c:pt idx="20">
                  <c:v>30815.5868376783</c:v>
                </c:pt>
                <c:pt idx="21">
                  <c:v>31058.655314605498</c:v>
                </c:pt>
                <c:pt idx="22">
                  <c:v>31355.910872345899</c:v>
                </c:pt>
                <c:pt idx="23">
                  <c:v>31695.835040083599</c:v>
                </c:pt>
                <c:pt idx="24">
                  <c:v>32027.557776200501</c:v>
                </c:pt>
                <c:pt idx="25">
                  <c:v>32302.6771046715</c:v>
                </c:pt>
                <c:pt idx="26">
                  <c:v>32521.165788910199</c:v>
                </c:pt>
                <c:pt idx="27">
                  <c:v>32705.405860180399</c:v>
                </c:pt>
                <c:pt idx="28">
                  <c:v>32900.742220522603</c:v>
                </c:pt>
                <c:pt idx="29">
                  <c:v>33106.7655244364</c:v>
                </c:pt>
                <c:pt idx="30">
                  <c:v>33315.4528704166</c:v>
                </c:pt>
                <c:pt idx="31">
                  <c:v>33513.841270436402</c:v>
                </c:pt>
                <c:pt idx="32">
                  <c:v>33661.985496441805</c:v>
                </c:pt>
                <c:pt idx="33">
                  <c:v>33714.131643465706</c:v>
                </c:pt>
                <c:pt idx="34">
                  <c:v>33702.9949319226</c:v>
                </c:pt>
                <c:pt idx="35">
                  <c:v>33700.859675118802</c:v>
                </c:pt>
                <c:pt idx="36">
                  <c:v>33762.407900597798</c:v>
                </c:pt>
                <c:pt idx="37">
                  <c:v>33923.5679465672</c:v>
                </c:pt>
                <c:pt idx="38">
                  <c:v>34187.807648679598</c:v>
                </c:pt>
                <c:pt idx="39">
                  <c:v>34516.936967583599</c:v>
                </c:pt>
                <c:pt idx="40">
                  <c:v>34816.295002517698</c:v>
                </c:pt>
                <c:pt idx="41">
                  <c:v>34998.352171388797</c:v>
                </c:pt>
                <c:pt idx="42">
                  <c:v>34984.020231649702</c:v>
                </c:pt>
                <c:pt idx="43">
                  <c:v>34775.077919245297</c:v>
                </c:pt>
                <c:pt idx="44">
                  <c:v>34474.228781958198</c:v>
                </c:pt>
                <c:pt idx="45">
                  <c:v>34166.667145421801</c:v>
                </c:pt>
                <c:pt idx="46">
                  <c:v>33915.6732032828</c:v>
                </c:pt>
                <c:pt idx="47">
                  <c:v>33760.213195354299</c:v>
                </c:pt>
                <c:pt idx="48">
                  <c:v>33678.204955368099</c:v>
                </c:pt>
                <c:pt idx="49">
                  <c:v>33594.808729304699</c:v>
                </c:pt>
                <c:pt idx="50">
                  <c:v>33474.9087838829</c:v>
                </c:pt>
                <c:pt idx="51">
                  <c:v>33330.729661472506</c:v>
                </c:pt>
                <c:pt idx="52">
                  <c:v>33262.357123136797</c:v>
                </c:pt>
                <c:pt idx="53">
                  <c:v>33345.668876146003</c:v>
                </c:pt>
                <c:pt idx="54">
                  <c:v>33620.1860122539</c:v>
                </c:pt>
                <c:pt idx="55">
                  <c:v>34048.874767535402</c:v>
                </c:pt>
                <c:pt idx="56">
                  <c:v>34516.658860735399</c:v>
                </c:pt>
                <c:pt idx="57">
                  <c:v>34915.819156894999</c:v>
                </c:pt>
                <c:pt idx="58">
                  <c:v>35175.298452321804</c:v>
                </c:pt>
                <c:pt idx="59">
                  <c:v>35276.988134815598</c:v>
                </c:pt>
                <c:pt idx="60">
                  <c:v>35282.544743179402</c:v>
                </c:pt>
                <c:pt idx="61">
                  <c:v>35294.061518136703</c:v>
                </c:pt>
                <c:pt idx="62">
                  <c:v>35342.188877627901</c:v>
                </c:pt>
                <c:pt idx="63">
                  <c:v>35434.417054090605</c:v>
                </c:pt>
                <c:pt idx="64">
                  <c:v>35547.179392701495</c:v>
                </c:pt>
                <c:pt idx="65">
                  <c:v>35644.507717369197</c:v>
                </c:pt>
                <c:pt idx="66">
                  <c:v>35756.839552954603</c:v>
                </c:pt>
                <c:pt idx="67">
                  <c:v>35943.105846950901</c:v>
                </c:pt>
                <c:pt idx="68">
                  <c:v>36294.929700062203</c:v>
                </c:pt>
                <c:pt idx="69">
                  <c:v>36892.792976482102</c:v>
                </c:pt>
                <c:pt idx="70">
                  <c:v>37699.935144118303</c:v>
                </c:pt>
                <c:pt idx="71">
                  <c:v>38586.989317198</c:v>
                </c:pt>
                <c:pt idx="72">
                  <c:v>39430.254891053002</c:v>
                </c:pt>
                <c:pt idx="73">
                  <c:v>40113.577732424601</c:v>
                </c:pt>
              </c:numCache>
            </c:numRef>
          </c:val>
          <c:smooth val="0"/>
          <c:extLst>
            <c:ext xmlns:c16="http://schemas.microsoft.com/office/drawing/2014/chart" uri="{C3380CC4-5D6E-409C-BE32-E72D297353CC}">
              <c16:uniqueId val="{00000001-0DA8-438D-946B-81D0E4B06AD3}"/>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70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(datos!$A$5:$B$5,datos!$A$8:$B$78)</c:f>
              <c:multiLvlStrCache>
                <c:ptCount val="72"/>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lvl>
                <c:lvl>
                  <c:pt idx="0">
                    <c:v>2016</c:v>
                  </c:pt>
                  <c:pt idx="10">
                    <c:v>2017</c:v>
                  </c:pt>
                  <c:pt idx="22">
                    <c:v>2018</c:v>
                  </c:pt>
                  <c:pt idx="34">
                    <c:v>2019</c:v>
                  </c:pt>
                  <c:pt idx="46">
                    <c:v>2020</c:v>
                  </c:pt>
                  <c:pt idx="58">
                    <c:v>2021</c:v>
                  </c:pt>
                  <c:pt idx="70">
                    <c:v>2022</c:v>
                  </c:pt>
                </c:lvl>
              </c:multiLvlStrCache>
              <c:extLst/>
            </c:multiLvlStrRef>
          </c:cat>
          <c:val>
            <c:numRef>
              <c:f>(datos!$M$5,datos!$M$8:$M$78)</c:f>
              <c:numCache>
                <c:formatCode>#,##0.0</c:formatCode>
                <c:ptCount val="72"/>
                <c:pt idx="0">
                  <c:v>10058.762609531899</c:v>
                </c:pt>
                <c:pt idx="1">
                  <c:v>9124.65777057784</c:v>
                </c:pt>
                <c:pt idx="2">
                  <c:v>9223.7923186768203</c:v>
                </c:pt>
                <c:pt idx="3">
                  <c:v>9109.5371349166198</c:v>
                </c:pt>
                <c:pt idx="4">
                  <c:v>9158.1157171704399</c:v>
                </c:pt>
                <c:pt idx="5">
                  <c:v>9184.6592086839701</c:v>
                </c:pt>
                <c:pt idx="6">
                  <c:v>9774.7075613352099</c:v>
                </c:pt>
                <c:pt idx="7">
                  <c:v>9491.0940158034009</c:v>
                </c:pt>
                <c:pt idx="8">
                  <c:v>10064.2746655053</c:v>
                </c:pt>
                <c:pt idx="9">
                  <c:v>10193.372856768799</c:v>
                </c:pt>
                <c:pt idx="10">
                  <c:v>10267.568370315001</c:v>
                </c:pt>
                <c:pt idx="11">
                  <c:v>10009.4480487582</c:v>
                </c:pt>
                <c:pt idx="12">
                  <c:v>9995.2389456806704</c:v>
                </c:pt>
                <c:pt idx="13">
                  <c:v>10079.0897675133</c:v>
                </c:pt>
                <c:pt idx="14">
                  <c:v>10213.089564894401</c:v>
                </c:pt>
                <c:pt idx="15">
                  <c:v>10703.7480974304</c:v>
                </c:pt>
                <c:pt idx="16">
                  <c:v>10496.343040407601</c:v>
                </c:pt>
                <c:pt idx="17">
                  <c:v>10591.867325217199</c:v>
                </c:pt>
                <c:pt idx="18">
                  <c:v>10725.572832894</c:v>
                </c:pt>
                <c:pt idx="19">
                  <c:v>11039.7876568386</c:v>
                </c:pt>
                <c:pt idx="20">
                  <c:v>11436.0875113283</c:v>
                </c:pt>
                <c:pt idx="21">
                  <c:v>11211.3749935908</c:v>
                </c:pt>
                <c:pt idx="22">
                  <c:v>10882.216911556399</c:v>
                </c:pt>
                <c:pt idx="23">
                  <c:v>11774.415914576701</c:v>
                </c:pt>
                <c:pt idx="24">
                  <c:v>12410.153996405001</c:v>
                </c:pt>
                <c:pt idx="25">
                  <c:v>11509.493105941099</c:v>
                </c:pt>
                <c:pt idx="26">
                  <c:v>10610.767557740999</c:v>
                </c:pt>
                <c:pt idx="27">
                  <c:v>11587.7792573561</c:v>
                </c:pt>
                <c:pt idx="28">
                  <c:v>11798.510706827599</c:v>
                </c:pt>
                <c:pt idx="29">
                  <c:v>11937.316415216101</c:v>
                </c:pt>
                <c:pt idx="30">
                  <c:v>13038.1388339269</c:v>
                </c:pt>
                <c:pt idx="31">
                  <c:v>12533.123577067799</c:v>
                </c:pt>
                <c:pt idx="32">
                  <c:v>12072.0083341833</c:v>
                </c:pt>
                <c:pt idx="33">
                  <c:v>12084.4437404978</c:v>
                </c:pt>
                <c:pt idx="34">
                  <c:v>11544.177051218299</c:v>
                </c:pt>
                <c:pt idx="35">
                  <c:v>11909.824644659</c:v>
                </c:pt>
                <c:pt idx="36">
                  <c:v>12418.3479149535</c:v>
                </c:pt>
                <c:pt idx="37">
                  <c:v>12450.1284217431</c:v>
                </c:pt>
                <c:pt idx="38">
                  <c:v>12183.329986315901</c:v>
                </c:pt>
                <c:pt idx="39">
                  <c:v>12508.835292621699</c:v>
                </c:pt>
                <c:pt idx="40">
                  <c:v>12991.371465708</c:v>
                </c:pt>
                <c:pt idx="41">
                  <c:v>13461.676395959101</c:v>
                </c:pt>
                <c:pt idx="42">
                  <c:v>12554.978431287</c:v>
                </c:pt>
                <c:pt idx="43">
                  <c:v>11816.4454220726</c:v>
                </c:pt>
                <c:pt idx="44">
                  <c:v>11968.213723683601</c:v>
                </c:pt>
                <c:pt idx="45">
                  <c:v>11889.778317648301</c:v>
                </c:pt>
                <c:pt idx="46">
                  <c:v>12622.4033546757</c:v>
                </c:pt>
                <c:pt idx="47">
                  <c:v>12041.098547695199</c:v>
                </c:pt>
                <c:pt idx="48">
                  <c:v>11710.0083603846</c:v>
                </c:pt>
                <c:pt idx="49">
                  <c:v>2575.9265324060598</c:v>
                </c:pt>
                <c:pt idx="50">
                  <c:v>1250.0811382168699</c:v>
                </c:pt>
                <c:pt idx="51">
                  <c:v>8237.9560414389398</c:v>
                </c:pt>
                <c:pt idx="52">
                  <c:v>12024.859885112101</c:v>
                </c:pt>
                <c:pt idx="53">
                  <c:v>12346.336080478901</c:v>
                </c:pt>
                <c:pt idx="54">
                  <c:v>12131.3309755027</c:v>
                </c:pt>
                <c:pt idx="55">
                  <c:v>13845.9249013884</c:v>
                </c:pt>
                <c:pt idx="56">
                  <c:v>12070.7237419536</c:v>
                </c:pt>
                <c:pt idx="57">
                  <c:v>12769.2693319546</c:v>
                </c:pt>
                <c:pt idx="58">
                  <c:v>13316.4686474798</c:v>
                </c:pt>
                <c:pt idx="59">
                  <c:v>10971.6560906662</c:v>
                </c:pt>
                <c:pt idx="60">
                  <c:v>11013.687785698499</c:v>
                </c:pt>
                <c:pt idx="61">
                  <c:v>12066.707258808899</c:v>
                </c:pt>
                <c:pt idx="62">
                  <c:v>12062.848199939001</c:v>
                </c:pt>
                <c:pt idx="63">
                  <c:v>11273.4837697898</c:v>
                </c:pt>
                <c:pt idx="64">
                  <c:v>11132.094764314799</c:v>
                </c:pt>
                <c:pt idx="65">
                  <c:v>10571.707456901901</c:v>
                </c:pt>
                <c:pt idx="66">
                  <c:v>11117.7632679692</c:v>
                </c:pt>
                <c:pt idx="67">
                  <c:v>11138.169794215601</c:v>
                </c:pt>
                <c:pt idx="68">
                  <c:v>13272.0460491225</c:v>
                </c:pt>
                <c:pt idx="69">
                  <c:v>12163.4197534422</c:v>
                </c:pt>
                <c:pt idx="70">
                  <c:v>10697.174672773001</c:v>
                </c:pt>
                <c:pt idx="71">
                  <c:v>14412.4324913951</c:v>
                </c:pt>
              </c:numCache>
              <c:extLst/>
            </c:numRef>
          </c:val>
          <c:smooth val="0"/>
          <c:extLst>
            <c:ext xmlns:c16="http://schemas.microsoft.com/office/drawing/2014/chart" uri="{C3380CC4-5D6E-409C-BE32-E72D297353CC}">
              <c16:uniqueId val="{00000000-B4DB-46A7-A33C-446E94C8F3D2}"/>
            </c:ext>
          </c:extLst>
        </c:ser>
        <c:ser>
          <c:idx val="0"/>
          <c:order val="1"/>
          <c:tx>
            <c:strRef>
              <c:f>datos!$N$4</c:f>
              <c:strCache>
                <c:ptCount val="1"/>
                <c:pt idx="0">
                  <c:v>Serie de Tendencia-Ciclo</c:v>
                </c:pt>
              </c:strCache>
            </c:strRef>
          </c:tx>
          <c:spPr>
            <a:ln w="12700">
              <a:solidFill>
                <a:schemeClr val="tx2">
                  <a:lumMod val="75000"/>
                </a:schemeClr>
              </a:solidFill>
              <a:prstDash val="solid"/>
            </a:ln>
            <a:effectLst/>
          </c:spPr>
          <c:marker>
            <c:symbol val="none"/>
          </c:marker>
          <c:cat>
            <c:multiLvlStrRef>
              <c:f>(datos!$A$5:$B$5,datos!$A$8:$B$78)</c:f>
              <c:multiLvlStrCache>
                <c:ptCount val="72"/>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lvl>
                <c:lvl>
                  <c:pt idx="0">
                    <c:v>2016</c:v>
                  </c:pt>
                  <c:pt idx="10">
                    <c:v>2017</c:v>
                  </c:pt>
                  <c:pt idx="22">
                    <c:v>2018</c:v>
                  </c:pt>
                  <c:pt idx="34">
                    <c:v>2019</c:v>
                  </c:pt>
                  <c:pt idx="46">
                    <c:v>2020</c:v>
                  </c:pt>
                  <c:pt idx="58">
                    <c:v>2021</c:v>
                  </c:pt>
                  <c:pt idx="70">
                    <c:v>2022</c:v>
                  </c:pt>
                </c:lvl>
              </c:multiLvlStrCache>
              <c:extLst/>
            </c:multiLvlStrRef>
          </c:cat>
          <c:val>
            <c:numRef>
              <c:f>(datos!$N$5,datos!$N$8:$N$78)</c:f>
              <c:numCache>
                <c:formatCode>#,##0.0</c:formatCode>
                <c:ptCount val="72"/>
                <c:pt idx="0">
                  <c:v>9325.0571999435506</c:v>
                </c:pt>
                <c:pt idx="1">
                  <c:v>9174.7128471303695</c:v>
                </c:pt>
                <c:pt idx="2">
                  <c:v>9142.1565627077107</c:v>
                </c:pt>
                <c:pt idx="3">
                  <c:v>9148.2167334558308</c:v>
                </c:pt>
                <c:pt idx="4">
                  <c:v>9215.1545302290706</c:v>
                </c:pt>
                <c:pt idx="5">
                  <c:v>9350.1522303551501</c:v>
                </c:pt>
                <c:pt idx="6">
                  <c:v>9540.76628778534</c:v>
                </c:pt>
                <c:pt idx="7">
                  <c:v>9751.2255516179903</c:v>
                </c:pt>
                <c:pt idx="8">
                  <c:v>9934.7536975529893</c:v>
                </c:pt>
                <c:pt idx="9">
                  <c:v>10050.0151990017</c:v>
                </c:pt>
                <c:pt idx="10">
                  <c:v>10098.1195262483</c:v>
                </c:pt>
                <c:pt idx="11">
                  <c:v>10113.683240865799</c:v>
                </c:pt>
                <c:pt idx="12">
                  <c:v>10135.4241468863</c:v>
                </c:pt>
                <c:pt idx="13">
                  <c:v>10186.481925544</c:v>
                </c:pt>
                <c:pt idx="14">
                  <c:v>10267.3713347555</c:v>
                </c:pt>
                <c:pt idx="15">
                  <c:v>10392.4224496839</c:v>
                </c:pt>
                <c:pt idx="16">
                  <c:v>10548.979178981401</c:v>
                </c:pt>
                <c:pt idx="17">
                  <c:v>10705.337772271299</c:v>
                </c:pt>
                <c:pt idx="18">
                  <c:v>10848.765163813299</c:v>
                </c:pt>
                <c:pt idx="19">
                  <c:v>10994.468208079499</c:v>
                </c:pt>
                <c:pt idx="20">
                  <c:v>11145.7933976117</c:v>
                </c:pt>
                <c:pt idx="21">
                  <c:v>11295.493959962199</c:v>
                </c:pt>
                <c:pt idx="22">
                  <c:v>11422.0140806331</c:v>
                </c:pt>
                <c:pt idx="23">
                  <c:v>11508.2759105937</c:v>
                </c:pt>
                <c:pt idx="24">
                  <c:v>11561.6603675607</c:v>
                </c:pt>
                <c:pt idx="25">
                  <c:v>11598.0186553107</c:v>
                </c:pt>
                <c:pt idx="26">
                  <c:v>11652.9264195698</c:v>
                </c:pt>
                <c:pt idx="27">
                  <c:v>11743.7082315183</c:v>
                </c:pt>
                <c:pt idx="28">
                  <c:v>11879.4077410765</c:v>
                </c:pt>
                <c:pt idx="29">
                  <c:v>12035.933455975999</c:v>
                </c:pt>
                <c:pt idx="30">
                  <c:v>12150.2001237966</c:v>
                </c:pt>
                <c:pt idx="31">
                  <c:v>12171.1108125883</c:v>
                </c:pt>
                <c:pt idx="32">
                  <c:v>12121.847829181401</c:v>
                </c:pt>
                <c:pt idx="33">
                  <c:v>12050.290024755601</c:v>
                </c:pt>
                <c:pt idx="34">
                  <c:v>11998.284488392501</c:v>
                </c:pt>
                <c:pt idx="35">
                  <c:v>12009.4818166076</c:v>
                </c:pt>
                <c:pt idx="36">
                  <c:v>12114.250726363</c:v>
                </c:pt>
                <c:pt idx="37">
                  <c:v>12309.5502038263</c:v>
                </c:pt>
                <c:pt idx="38">
                  <c:v>12524.4307425589</c:v>
                </c:pt>
                <c:pt idx="39">
                  <c:v>12678.0006692966</c:v>
                </c:pt>
                <c:pt idx="40">
                  <c:v>12708.2573960962</c:v>
                </c:pt>
                <c:pt idx="41">
                  <c:v>12621.7546110323</c:v>
                </c:pt>
                <c:pt idx="42">
                  <c:v>12477.8160000261</c:v>
                </c:pt>
                <c:pt idx="43">
                  <c:v>12310.627078646899</c:v>
                </c:pt>
                <c:pt idx="44">
                  <c:v>12157.743251690499</c:v>
                </c:pt>
                <c:pt idx="45">
                  <c:v>12058.3673077937</c:v>
                </c:pt>
                <c:pt idx="46">
                  <c:v>12027.206755548899</c:v>
                </c:pt>
                <c:pt idx="47">
                  <c:v>12025.892700550001</c:v>
                </c:pt>
                <c:pt idx="48">
                  <c:v>12018.977368812801</c:v>
                </c:pt>
                <c:pt idx="49">
                  <c:v>11994.980249894201</c:v>
                </c:pt>
                <c:pt idx="50">
                  <c:v>11994.123430293301</c:v>
                </c:pt>
                <c:pt idx="51">
                  <c:v>12032.5436703549</c:v>
                </c:pt>
                <c:pt idx="52">
                  <c:v>12105.9173957808</c:v>
                </c:pt>
                <c:pt idx="53">
                  <c:v>12202.2645833197</c:v>
                </c:pt>
                <c:pt idx="54">
                  <c:v>12299.565368867899</c:v>
                </c:pt>
                <c:pt idx="55">
                  <c:v>12374.376850336301</c:v>
                </c:pt>
                <c:pt idx="56">
                  <c:v>12396.447319167501</c:v>
                </c:pt>
                <c:pt idx="57">
                  <c:v>12361.3485749011</c:v>
                </c:pt>
                <c:pt idx="58">
                  <c:v>12281.5414919506</c:v>
                </c:pt>
                <c:pt idx="59">
                  <c:v>12173.415554211901</c:v>
                </c:pt>
                <c:pt idx="60">
                  <c:v>12025.4395829187</c:v>
                </c:pt>
                <c:pt idx="61">
                  <c:v>11829.316338012301</c:v>
                </c:pt>
                <c:pt idx="62">
                  <c:v>11592.093155093</c:v>
                </c:pt>
                <c:pt idx="63">
                  <c:v>11340.060420355199</c:v>
                </c:pt>
                <c:pt idx="64">
                  <c:v>11131.521766516</c:v>
                </c:pt>
                <c:pt idx="65">
                  <c:v>11018.667399936399</c:v>
                </c:pt>
                <c:pt idx="66">
                  <c:v>11058.399420580299</c:v>
                </c:pt>
                <c:pt idx="67">
                  <c:v>11296.6204121582</c:v>
                </c:pt>
                <c:pt idx="68">
                  <c:v>11692.555172868701</c:v>
                </c:pt>
                <c:pt idx="69">
                  <c:v>12134.5283286126</c:v>
                </c:pt>
                <c:pt idx="70">
                  <c:v>12536.6595418695</c:v>
                </c:pt>
                <c:pt idx="71">
                  <c:v>12853.5497216432</c:v>
                </c:pt>
              </c:numCache>
              <c:extLst/>
            </c:numRef>
          </c:val>
          <c:smooth val="0"/>
          <c:extLst>
            <c:ext xmlns:c16="http://schemas.microsoft.com/office/drawing/2014/chart" uri="{C3380CC4-5D6E-409C-BE32-E72D297353CC}">
              <c16:uniqueId val="{00000001-B4DB-46A7-A33C-446E94C8F3D2}"/>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datos!$O$5:$O$78</c:f>
              <c:numCache>
                <c:formatCode>#,##0.0</c:formatCode>
                <c:ptCount val="74"/>
                <c:pt idx="0">
                  <c:v>18107.1828964694</c:v>
                </c:pt>
                <c:pt idx="1">
                  <c:v>17745.2410068106</c:v>
                </c:pt>
                <c:pt idx="2">
                  <c:v>17772.213498597899</c:v>
                </c:pt>
                <c:pt idx="3">
                  <c:v>18043.145583370901</c:v>
                </c:pt>
                <c:pt idx="4">
                  <c:v>18376.360162759502</c:v>
                </c:pt>
                <c:pt idx="5">
                  <c:v>18292.098923665901</c:v>
                </c:pt>
                <c:pt idx="6">
                  <c:v>19102.918550904898</c:v>
                </c:pt>
                <c:pt idx="7">
                  <c:v>18542.390144986799</c:v>
                </c:pt>
                <c:pt idx="8">
                  <c:v>18886.6287082001</c:v>
                </c:pt>
                <c:pt idx="9">
                  <c:v>18889.421377690102</c:v>
                </c:pt>
                <c:pt idx="10">
                  <c:v>19320.819809888799</c:v>
                </c:pt>
                <c:pt idx="11">
                  <c:v>18988.630513055101</c:v>
                </c:pt>
                <c:pt idx="12">
                  <c:v>19250.536291796099</c:v>
                </c:pt>
                <c:pt idx="13">
                  <c:v>19538.931529121</c:v>
                </c:pt>
                <c:pt idx="14">
                  <c:v>19513.912992760601</c:v>
                </c:pt>
                <c:pt idx="15">
                  <c:v>19652.687781886201</c:v>
                </c:pt>
                <c:pt idx="16">
                  <c:v>19615.071067917099</c:v>
                </c:pt>
                <c:pt idx="17">
                  <c:v>20116.064457491801</c:v>
                </c:pt>
                <c:pt idx="18">
                  <c:v>19849.633531692201</c:v>
                </c:pt>
                <c:pt idx="19">
                  <c:v>19916.035711591099</c:v>
                </c:pt>
                <c:pt idx="20">
                  <c:v>19694.646082582301</c:v>
                </c:pt>
                <c:pt idx="21">
                  <c:v>20080.626002335201</c:v>
                </c:pt>
                <c:pt idx="22">
                  <c:v>20305.8905612132</c:v>
                </c:pt>
                <c:pt idx="23">
                  <c:v>20561.508627017</c:v>
                </c:pt>
                <c:pt idx="24">
                  <c:v>20326.7506859805</c:v>
                </c:pt>
                <c:pt idx="25">
                  <c:v>20758.4813047239</c:v>
                </c:pt>
                <c:pt idx="26">
                  <c:v>21261.1138725827</c:v>
                </c:pt>
                <c:pt idx="27">
                  <c:v>21008.295735681</c:v>
                </c:pt>
                <c:pt idx="28">
                  <c:v>21260.705709246799</c:v>
                </c:pt>
                <c:pt idx="29">
                  <c:v>21194.3055831354</c:v>
                </c:pt>
                <c:pt idx="30">
                  <c:v>21551.045757296499</c:v>
                </c:pt>
                <c:pt idx="31">
                  <c:v>21490.993487989999</c:v>
                </c:pt>
                <c:pt idx="32">
                  <c:v>21702.854565438702</c:v>
                </c:pt>
                <c:pt idx="33">
                  <c:v>21466.925762720799</c:v>
                </c:pt>
                <c:pt idx="34">
                  <c:v>21353.8818577317</c:v>
                </c:pt>
                <c:pt idx="35">
                  <c:v>21602.815000234499</c:v>
                </c:pt>
                <c:pt idx="36">
                  <c:v>21991.857973841499</c:v>
                </c:pt>
                <c:pt idx="37">
                  <c:v>21835.3351084762</c:v>
                </c:pt>
                <c:pt idx="38">
                  <c:v>21353.028437536799</c:v>
                </c:pt>
                <c:pt idx="39">
                  <c:v>22170.468421581802</c:v>
                </c:pt>
                <c:pt idx="40">
                  <c:v>22375.0863399706</c:v>
                </c:pt>
                <c:pt idx="41">
                  <c:v>22459.116169350498</c:v>
                </c:pt>
                <c:pt idx="42">
                  <c:v>21600.0905021447</c:v>
                </c:pt>
                <c:pt idx="43">
                  <c:v>22255.849250262501</c:v>
                </c:pt>
                <c:pt idx="44">
                  <c:v>21899.0811542458</c:v>
                </c:pt>
                <c:pt idx="45">
                  <c:v>21992.483965388299</c:v>
                </c:pt>
                <c:pt idx="46">
                  <c:v>21558.889543681998</c:v>
                </c:pt>
                <c:pt idx="47">
                  <c:v>21433.157473499999</c:v>
                </c:pt>
                <c:pt idx="48">
                  <c:v>21840.576944892298</c:v>
                </c:pt>
                <c:pt idx="49">
                  <c:v>21986.743919751902</c:v>
                </c:pt>
                <c:pt idx="50">
                  <c:v>21299.768140550401</c:v>
                </c:pt>
                <c:pt idx="51">
                  <c:v>17297.969863697901</c:v>
                </c:pt>
                <c:pt idx="52">
                  <c:v>14230.7316424374</c:v>
                </c:pt>
                <c:pt idx="53">
                  <c:v>20283.447142119901</c:v>
                </c:pt>
                <c:pt idx="54">
                  <c:v>20026.594652946202</c:v>
                </c:pt>
                <c:pt idx="55">
                  <c:v>21823.938350887402</c:v>
                </c:pt>
                <c:pt idx="56">
                  <c:v>22093.748692741901</c:v>
                </c:pt>
                <c:pt idx="57">
                  <c:v>22694.699068081802</c:v>
                </c:pt>
                <c:pt idx="58">
                  <c:v>22928.668233672201</c:v>
                </c:pt>
                <c:pt idx="59">
                  <c:v>23056.115321342801</c:v>
                </c:pt>
                <c:pt idx="60">
                  <c:v>22914.480245491901</c:v>
                </c:pt>
                <c:pt idx="61">
                  <c:v>22692.560344924001</c:v>
                </c:pt>
                <c:pt idx="62">
                  <c:v>24204.180585976999</c:v>
                </c:pt>
                <c:pt idx="63">
                  <c:v>23540.0786691785</c:v>
                </c:pt>
                <c:pt idx="64">
                  <c:v>23849.577587569998</c:v>
                </c:pt>
                <c:pt idx="65">
                  <c:v>24531.331361955199</c:v>
                </c:pt>
                <c:pt idx="66">
                  <c:v>25297.2093357468</c:v>
                </c:pt>
                <c:pt idx="67">
                  <c:v>24692.785298917799</c:v>
                </c:pt>
                <c:pt idx="68">
                  <c:v>25319.815839749001</c:v>
                </c:pt>
                <c:pt idx="69">
                  <c:v>25303.648109570098</c:v>
                </c:pt>
                <c:pt idx="70">
                  <c:v>25950.7375106572</c:v>
                </c:pt>
                <c:pt idx="71">
                  <c:v>27022.739576141899</c:v>
                </c:pt>
                <c:pt idx="72">
                  <c:v>26031.374840074801</c:v>
                </c:pt>
                <c:pt idx="73">
                  <c:v>28452.249708572999</c:v>
                </c:pt>
              </c:numCache>
            </c:numRef>
          </c:val>
          <c:smooth val="0"/>
          <c:extLst>
            <c:ext xmlns:c16="http://schemas.microsoft.com/office/drawing/2014/chart" uri="{C3380CC4-5D6E-409C-BE32-E72D297353CC}">
              <c16:uniqueId val="{00000000-86CE-4115-A8FB-0C5037F5E9A0}"/>
            </c:ext>
          </c:extLst>
        </c:ser>
        <c:ser>
          <c:idx val="0"/>
          <c:order val="1"/>
          <c:tx>
            <c:strRef>
              <c:f>datos!$P$4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datos!$P$5:$P$78</c:f>
              <c:numCache>
                <c:formatCode>#,##0.0</c:formatCode>
                <c:ptCount val="74"/>
                <c:pt idx="0">
                  <c:v>18104.945417880499</c:v>
                </c:pt>
                <c:pt idx="1">
                  <c:v>17976.6453571981</c:v>
                </c:pt>
                <c:pt idx="2">
                  <c:v>17942.594374290798</c:v>
                </c:pt>
                <c:pt idx="3">
                  <c:v>18016.102102607099</c:v>
                </c:pt>
                <c:pt idx="4">
                  <c:v>18163.444273343601</c:v>
                </c:pt>
                <c:pt idx="5">
                  <c:v>18346.730944444</c:v>
                </c:pt>
                <c:pt idx="6">
                  <c:v>18526.218048189501</c:v>
                </c:pt>
                <c:pt idx="7">
                  <c:v>18683.304587677299</c:v>
                </c:pt>
                <c:pt idx="8">
                  <c:v>18819.438739220801</c:v>
                </c:pt>
                <c:pt idx="9">
                  <c:v>18948.745282866501</c:v>
                </c:pt>
                <c:pt idx="10">
                  <c:v>19078.1194432302</c:v>
                </c:pt>
                <c:pt idx="11">
                  <c:v>19194.863849151501</c:v>
                </c:pt>
                <c:pt idx="12">
                  <c:v>19304.448307694001</c:v>
                </c:pt>
                <c:pt idx="13">
                  <c:v>19419.634017845299</c:v>
                </c:pt>
                <c:pt idx="14">
                  <c:v>19544.986970977701</c:v>
                </c:pt>
                <c:pt idx="15">
                  <c:v>19667.526684420402</c:v>
                </c:pt>
                <c:pt idx="16">
                  <c:v>19761.706555167701</c:v>
                </c:pt>
                <c:pt idx="17">
                  <c:v>19818.8087099728</c:v>
                </c:pt>
                <c:pt idx="18">
                  <c:v>19856.9810584521</c:v>
                </c:pt>
                <c:pt idx="19">
                  <c:v>19904.658222671402</c:v>
                </c:pt>
                <c:pt idx="20">
                  <c:v>19966.821673865001</c:v>
                </c:pt>
                <c:pt idx="21">
                  <c:v>20064.187106525998</c:v>
                </c:pt>
                <c:pt idx="22">
                  <c:v>20210.117474734201</c:v>
                </c:pt>
                <c:pt idx="23">
                  <c:v>20400.341080121401</c:v>
                </c:pt>
                <c:pt idx="24">
                  <c:v>20605.543695567401</c:v>
                </c:pt>
                <c:pt idx="25">
                  <c:v>20794.4011940778</c:v>
                </c:pt>
                <c:pt idx="26">
                  <c:v>20959.505421349499</c:v>
                </c:pt>
                <c:pt idx="27">
                  <c:v>21107.387204869701</c:v>
                </c:pt>
                <c:pt idx="28">
                  <c:v>21247.815800952802</c:v>
                </c:pt>
                <c:pt idx="29">
                  <c:v>21363.0572929181</c:v>
                </c:pt>
                <c:pt idx="30">
                  <c:v>21436.045129340098</c:v>
                </c:pt>
                <c:pt idx="31">
                  <c:v>21477.907814460399</c:v>
                </c:pt>
                <c:pt idx="32">
                  <c:v>21511.785372645201</c:v>
                </c:pt>
                <c:pt idx="33">
                  <c:v>21543.020830877402</c:v>
                </c:pt>
                <c:pt idx="34">
                  <c:v>21581.147102741201</c:v>
                </c:pt>
                <c:pt idx="35">
                  <c:v>21650.569650363199</c:v>
                </c:pt>
                <c:pt idx="36">
                  <c:v>21764.123412205299</c:v>
                </c:pt>
                <c:pt idx="37">
                  <c:v>21914.0861299596</c:v>
                </c:pt>
                <c:pt idx="38">
                  <c:v>22073.556922316599</c:v>
                </c:pt>
                <c:pt idx="39">
                  <c:v>22207.386763757298</c:v>
                </c:pt>
                <c:pt idx="40">
                  <c:v>22291.864259958798</c:v>
                </c:pt>
                <c:pt idx="41">
                  <c:v>22320.351502092199</c:v>
                </c:pt>
                <c:pt idx="42">
                  <c:v>22275.762835553502</c:v>
                </c:pt>
                <c:pt idx="43">
                  <c:v>22153.323308212999</c:v>
                </c:pt>
                <c:pt idx="44">
                  <c:v>21996.4127819321</c:v>
                </c:pt>
                <c:pt idx="45">
                  <c:v>21856.040066774902</c:v>
                </c:pt>
                <c:pt idx="46">
                  <c:v>21757.929951592301</c:v>
                </c:pt>
                <c:pt idx="47">
                  <c:v>21701.845887560601</c:v>
                </c:pt>
                <c:pt idx="48">
                  <c:v>21650.998199819202</c:v>
                </c:pt>
                <c:pt idx="49">
                  <c:v>21568.916028754698</c:v>
                </c:pt>
                <c:pt idx="50">
                  <c:v>21455.931415070099</c:v>
                </c:pt>
                <c:pt idx="51">
                  <c:v>21335.749411578301</c:v>
                </c:pt>
                <c:pt idx="52">
                  <c:v>21268.2336928435</c:v>
                </c:pt>
                <c:pt idx="53">
                  <c:v>21313.125205791101</c:v>
                </c:pt>
                <c:pt idx="54">
                  <c:v>21514.268616473099</c:v>
                </c:pt>
                <c:pt idx="55">
                  <c:v>21846.6101842157</c:v>
                </c:pt>
                <c:pt idx="56">
                  <c:v>22217.093491867501</c:v>
                </c:pt>
                <c:pt idx="57">
                  <c:v>22541.4423065587</c:v>
                </c:pt>
                <c:pt idx="58">
                  <c:v>22778.851133154301</c:v>
                </c:pt>
                <c:pt idx="59">
                  <c:v>22915.6395599145</c:v>
                </c:pt>
                <c:pt idx="60">
                  <c:v>23001.003251228802</c:v>
                </c:pt>
                <c:pt idx="61">
                  <c:v>23120.645963924799</c:v>
                </c:pt>
                <c:pt idx="62">
                  <c:v>23316.7492947092</c:v>
                </c:pt>
                <c:pt idx="63">
                  <c:v>23605.100716078301</c:v>
                </c:pt>
                <c:pt idx="64">
                  <c:v>23955.086237608499</c:v>
                </c:pt>
                <c:pt idx="65">
                  <c:v>24304.447297014001</c:v>
                </c:pt>
                <c:pt idx="66">
                  <c:v>24625.317786438602</c:v>
                </c:pt>
                <c:pt idx="67">
                  <c:v>24924.438447014501</c:v>
                </c:pt>
                <c:pt idx="68">
                  <c:v>25236.5302794819</c:v>
                </c:pt>
                <c:pt idx="69">
                  <c:v>25596.172564323901</c:v>
                </c:pt>
                <c:pt idx="70">
                  <c:v>26007.3799712496</c:v>
                </c:pt>
                <c:pt idx="71">
                  <c:v>26452.460988585401</c:v>
                </c:pt>
                <c:pt idx="72">
                  <c:v>26893.595349183499</c:v>
                </c:pt>
                <c:pt idx="73">
                  <c:v>27260.0280107814</c:v>
                </c:pt>
              </c:numCache>
            </c:numRef>
          </c:val>
          <c:smooth val="0"/>
          <c:extLst>
            <c:ext xmlns:c16="http://schemas.microsoft.com/office/drawing/2014/chart" uri="{C3380CC4-5D6E-409C-BE32-E72D297353CC}">
              <c16:uniqueId val="{00000001-86CE-4115-A8FB-0C5037F5E9A0}"/>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300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3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datos!$Q$5:$Q$78</c:f>
              <c:numCache>
                <c:formatCode>#,##0.0</c:formatCode>
                <c:ptCount val="74"/>
                <c:pt idx="0">
                  <c:v>31805.407129543</c:v>
                </c:pt>
                <c:pt idx="1">
                  <c:v>31567.121414307199</c:v>
                </c:pt>
                <c:pt idx="2">
                  <c:v>31123.186610699999</c:v>
                </c:pt>
                <c:pt idx="3">
                  <c:v>32292.329287300301</c:v>
                </c:pt>
                <c:pt idx="4">
                  <c:v>31516.099466309599</c:v>
                </c:pt>
                <c:pt idx="5">
                  <c:v>31853.630067035901</c:v>
                </c:pt>
                <c:pt idx="6">
                  <c:v>32286.958575907898</c:v>
                </c:pt>
                <c:pt idx="7">
                  <c:v>31842.863831101</c:v>
                </c:pt>
                <c:pt idx="8">
                  <c:v>33311.690775593801</c:v>
                </c:pt>
                <c:pt idx="9">
                  <c:v>32315.780543563698</c:v>
                </c:pt>
                <c:pt idx="10">
                  <c:v>32836.254775502501</c:v>
                </c:pt>
                <c:pt idx="11">
                  <c:v>33742.155677698604</c:v>
                </c:pt>
                <c:pt idx="12">
                  <c:v>33615.549015123601</c:v>
                </c:pt>
                <c:pt idx="13">
                  <c:v>33753.639904776202</c:v>
                </c:pt>
                <c:pt idx="14">
                  <c:v>34121.340661563598</c:v>
                </c:pt>
                <c:pt idx="15">
                  <c:v>33844.450350776598</c:v>
                </c:pt>
                <c:pt idx="16">
                  <c:v>34643.958425211298</c:v>
                </c:pt>
                <c:pt idx="17">
                  <c:v>35141.537028480401</c:v>
                </c:pt>
                <c:pt idx="18">
                  <c:v>34673.921727890403</c:v>
                </c:pt>
                <c:pt idx="19">
                  <c:v>35886.111415347397</c:v>
                </c:pt>
                <c:pt idx="20">
                  <c:v>35543.6038376137</c:v>
                </c:pt>
                <c:pt idx="21">
                  <c:v>36261.636247730399</c:v>
                </c:pt>
                <c:pt idx="22">
                  <c:v>35894.629097396501</c:v>
                </c:pt>
                <c:pt idx="23">
                  <c:v>37656.9400133003</c:v>
                </c:pt>
                <c:pt idx="24">
                  <c:v>36375.242338559001</c:v>
                </c:pt>
                <c:pt idx="25">
                  <c:v>37494.3767393546</c:v>
                </c:pt>
                <c:pt idx="26">
                  <c:v>39050.149734484701</c:v>
                </c:pt>
                <c:pt idx="27">
                  <c:v>38142.132027323103</c:v>
                </c:pt>
                <c:pt idx="28">
                  <c:v>38944.067221470097</c:v>
                </c:pt>
                <c:pt idx="29">
                  <c:v>39345.844751240998</c:v>
                </c:pt>
                <c:pt idx="30">
                  <c:v>39242.579091596599</c:v>
                </c:pt>
                <c:pt idx="31">
                  <c:v>39137.601705269903</c:v>
                </c:pt>
                <c:pt idx="32">
                  <c:v>39440.245036385699</c:v>
                </c:pt>
                <c:pt idx="33">
                  <c:v>39487.156153058902</c:v>
                </c:pt>
                <c:pt idx="34">
                  <c:v>39692.460314641299</c:v>
                </c:pt>
                <c:pt idx="35">
                  <c:v>37614.600958794697</c:v>
                </c:pt>
                <c:pt idx="36">
                  <c:v>38413.772132334801</c:v>
                </c:pt>
                <c:pt idx="37">
                  <c:v>38224.944458705802</c:v>
                </c:pt>
                <c:pt idx="38">
                  <c:v>38296.981843333102</c:v>
                </c:pt>
                <c:pt idx="39">
                  <c:v>39209.505501033796</c:v>
                </c:pt>
                <c:pt idx="40">
                  <c:v>38891.855439160601</c:v>
                </c:pt>
                <c:pt idx="41">
                  <c:v>38163.354194314503</c:v>
                </c:pt>
                <c:pt idx="42">
                  <c:v>38340.709608988604</c:v>
                </c:pt>
                <c:pt idx="43">
                  <c:v>38304.916742448797</c:v>
                </c:pt>
                <c:pt idx="44">
                  <c:v>37449.696233619499</c:v>
                </c:pt>
                <c:pt idx="45">
                  <c:v>37184.041733714803</c:v>
                </c:pt>
                <c:pt idx="46">
                  <c:v>36439.367705549601</c:v>
                </c:pt>
                <c:pt idx="47">
                  <c:v>36159.358294736499</c:v>
                </c:pt>
                <c:pt idx="48">
                  <c:v>36891.873292027602</c:v>
                </c:pt>
                <c:pt idx="49">
                  <c:v>36220.622481846003</c:v>
                </c:pt>
                <c:pt idx="50">
                  <c:v>34662.989899963402</c:v>
                </c:pt>
                <c:pt idx="51">
                  <c:v>27345.774310533099</c:v>
                </c:pt>
                <c:pt idx="52">
                  <c:v>22065.499688032</c:v>
                </c:pt>
                <c:pt idx="53">
                  <c:v>27748.905662560501</c:v>
                </c:pt>
                <c:pt idx="54">
                  <c:v>28369.345661283998</c:v>
                </c:pt>
                <c:pt idx="55">
                  <c:v>30945.237838255402</c:v>
                </c:pt>
                <c:pt idx="56">
                  <c:v>32638.646044253601</c:v>
                </c:pt>
                <c:pt idx="57">
                  <c:v>33401.541251632603</c:v>
                </c:pt>
                <c:pt idx="58">
                  <c:v>35354.283649225399</c:v>
                </c:pt>
                <c:pt idx="59">
                  <c:v>36050.325488075803</c:v>
                </c:pt>
                <c:pt idx="60">
                  <c:v>37244.7747821667</c:v>
                </c:pt>
                <c:pt idx="61">
                  <c:v>36085.255448789503</c:v>
                </c:pt>
                <c:pt idx="62">
                  <c:v>43868.269008083502</c:v>
                </c:pt>
                <c:pt idx="63">
                  <c:v>40387.342651385203</c:v>
                </c:pt>
                <c:pt idx="64">
                  <c:v>41748.280822214001</c:v>
                </c:pt>
                <c:pt idx="65">
                  <c:v>42165.941897577199</c:v>
                </c:pt>
                <c:pt idx="66">
                  <c:v>44422.457677535298</c:v>
                </c:pt>
                <c:pt idx="67">
                  <c:v>42753.466607600101</c:v>
                </c:pt>
                <c:pt idx="68">
                  <c:v>42517.752842692396</c:v>
                </c:pt>
                <c:pt idx="69">
                  <c:v>43244.497158471597</c:v>
                </c:pt>
                <c:pt idx="70">
                  <c:v>43921.972835220498</c:v>
                </c:pt>
                <c:pt idx="71">
                  <c:v>45774.985444477803</c:v>
                </c:pt>
                <c:pt idx="72">
                  <c:v>44282.771007656898</c:v>
                </c:pt>
                <c:pt idx="73">
                  <c:v>48292.597801774697</c:v>
                </c:pt>
              </c:numCache>
            </c:numRef>
          </c:val>
          <c:smooth val="0"/>
          <c:extLst>
            <c:ext xmlns:c16="http://schemas.microsoft.com/office/drawing/2014/chart" uri="{C3380CC4-5D6E-409C-BE32-E72D297353CC}">
              <c16:uniqueId val="{00000000-1869-426F-B700-EA948960AEF4}"/>
            </c:ext>
          </c:extLst>
        </c:ser>
        <c:ser>
          <c:idx val="0"/>
          <c:order val="1"/>
          <c:tx>
            <c:strRef>
              <c:f>datos!$R$4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datos!$R$5:$R$78</c:f>
              <c:numCache>
                <c:formatCode>#,##0.0</c:formatCode>
                <c:ptCount val="74"/>
                <c:pt idx="0">
                  <c:v>31892.520417368421</c:v>
                </c:pt>
                <c:pt idx="1">
                  <c:v>31643.781723432759</c:v>
                </c:pt>
                <c:pt idx="2">
                  <c:v>31476.143830629204</c:v>
                </c:pt>
                <c:pt idx="3">
                  <c:v>31433.565119194707</c:v>
                </c:pt>
                <c:pt idx="4">
                  <c:v>31516.245521703204</c:v>
                </c:pt>
                <c:pt idx="5">
                  <c:v>31667.445173408607</c:v>
                </c:pt>
                <c:pt idx="6">
                  <c:v>31867.81974358661</c:v>
                </c:pt>
                <c:pt idx="7">
                  <c:v>32118.268439959957</c:v>
                </c:pt>
                <c:pt idx="8">
                  <c:v>32407.855508038218</c:v>
                </c:pt>
                <c:pt idx="9">
                  <c:v>32726.645530177295</c:v>
                </c:pt>
                <c:pt idx="10">
                  <c:v>33054.42186218124</c:v>
                </c:pt>
                <c:pt idx="11">
                  <c:v>33356.428046508823</c:v>
                </c:pt>
                <c:pt idx="12">
                  <c:v>33637.71733824104</c:v>
                </c:pt>
                <c:pt idx="13">
                  <c:v>33890.327427003198</c:v>
                </c:pt>
                <c:pt idx="14">
                  <c:v>34118.239342530003</c:v>
                </c:pt>
                <c:pt idx="15">
                  <c:v>34329.954750973913</c:v>
                </c:pt>
                <c:pt idx="16">
                  <c:v>34546.722095679463</c:v>
                </c:pt>
                <c:pt idx="17">
                  <c:v>34787.256200851611</c:v>
                </c:pt>
                <c:pt idx="18">
                  <c:v>35064.892473176587</c:v>
                </c:pt>
                <c:pt idx="19">
                  <c:v>35366.271304338072</c:v>
                </c:pt>
                <c:pt idx="20">
                  <c:v>35671.552806860971</c:v>
                </c:pt>
                <c:pt idx="21">
                  <c:v>36013.008279845562</c:v>
                </c:pt>
                <c:pt idx="22">
                  <c:v>36398.159478053218</c:v>
                </c:pt>
                <c:pt idx="23">
                  <c:v>36823.643709663804</c:v>
                </c:pt>
                <c:pt idx="24">
                  <c:v>37270.832749333269</c:v>
                </c:pt>
                <c:pt idx="25">
                  <c:v>37727.363797939841</c:v>
                </c:pt>
                <c:pt idx="26">
                  <c:v>38173.021488871891</c:v>
                </c:pt>
                <c:pt idx="27">
                  <c:v>38561.572862198613</c:v>
                </c:pt>
                <c:pt idx="28">
                  <c:v>38873.35410324439</c:v>
                </c:pt>
                <c:pt idx="29">
                  <c:v>39119.218366657515</c:v>
                </c:pt>
                <c:pt idx="30">
                  <c:v>39284.295252656848</c:v>
                </c:pt>
                <c:pt idx="31">
                  <c:v>39337.331980031726</c:v>
                </c:pt>
                <c:pt idx="32">
                  <c:v>39293.503358977228</c:v>
                </c:pt>
                <c:pt idx="33">
                  <c:v>39127.637753042618</c:v>
                </c:pt>
                <c:pt idx="34">
                  <c:v>38880.693264254362</c:v>
                </c:pt>
                <c:pt idx="35">
                  <c:v>38661.42929416673</c:v>
                </c:pt>
                <c:pt idx="36">
                  <c:v>38519.543536066558</c:v>
                </c:pt>
                <c:pt idx="37">
                  <c:v>38481.793348436229</c:v>
                </c:pt>
                <c:pt idx="38">
                  <c:v>38546.799722468561</c:v>
                </c:pt>
                <c:pt idx="39">
                  <c:v>38652.664005343358</c:v>
                </c:pt>
                <c:pt idx="40">
                  <c:v>38706.934592929021</c:v>
                </c:pt>
                <c:pt idx="41">
                  <c:v>38632.374083310177</c:v>
                </c:pt>
                <c:pt idx="42">
                  <c:v>38385.774406717552</c:v>
                </c:pt>
                <c:pt idx="43">
                  <c:v>38013.839315823774</c:v>
                </c:pt>
                <c:pt idx="44">
                  <c:v>37600.513420952564</c:v>
                </c:pt>
                <c:pt idx="45">
                  <c:v>37208.868639098662</c:v>
                </c:pt>
                <c:pt idx="46">
                  <c:v>36830.678944321735</c:v>
                </c:pt>
                <c:pt idx="47">
                  <c:v>36422.166108764082</c:v>
                </c:pt>
                <c:pt idx="48">
                  <c:v>35968.776414959422</c:v>
                </c:pt>
                <c:pt idx="49">
                  <c:v>35495.190759543133</c:v>
                </c:pt>
                <c:pt idx="50">
                  <c:v>35082.52605202925</c:v>
                </c:pt>
                <c:pt idx="51">
                  <c:v>27650.457128312668</c:v>
                </c:pt>
                <c:pt idx="52">
                  <c:v>27811.339901687454</c:v>
                </c:pt>
                <c:pt idx="53">
                  <c:v>28414.106838390915</c:v>
                </c:pt>
                <c:pt idx="54">
                  <c:v>29452.304270983906</c:v>
                </c:pt>
                <c:pt idx="55">
                  <c:v>30797.293149624915</c:v>
                </c:pt>
                <c:pt idx="56">
                  <c:v>32249.233018480896</c:v>
                </c:pt>
                <c:pt idx="57">
                  <c:v>33660.760500434451</c:v>
                </c:pt>
                <c:pt idx="58">
                  <c:v>34969.932323255045</c:v>
                </c:pt>
                <c:pt idx="59">
                  <c:v>36170.72409082525</c:v>
                </c:pt>
                <c:pt idx="60">
                  <c:v>37304.344906962622</c:v>
                </c:pt>
                <c:pt idx="61">
                  <c:v>38427.904529496569</c:v>
                </c:pt>
                <c:pt idx="62">
                  <c:v>39551.873623632804</c:v>
                </c:pt>
                <c:pt idx="63">
                  <c:v>40606.826652192976</c:v>
                </c:pt>
                <c:pt idx="64">
                  <c:v>41485.010395886282</c:v>
                </c:pt>
                <c:pt idx="65">
                  <c:v>42103.045524474626</c:v>
                </c:pt>
                <c:pt idx="66">
                  <c:v>42482.881954277924</c:v>
                </c:pt>
                <c:pt idx="67">
                  <c:v>42752.762209370405</c:v>
                </c:pt>
                <c:pt idx="68">
                  <c:v>43047.437256640093</c:v>
                </c:pt>
                <c:pt idx="69">
                  <c:v>43526.620459275451</c:v>
                </c:pt>
                <c:pt idx="70">
                  <c:v>44260.524711402613</c:v>
                </c:pt>
                <c:pt idx="71">
                  <c:v>45229.06577856408</c:v>
                </c:pt>
                <c:pt idx="72">
                  <c:v>46330.159606703179</c:v>
                </c:pt>
                <c:pt idx="73">
                  <c:v>47422.898273852625</c:v>
                </c:pt>
              </c:numCache>
            </c:numRef>
          </c:val>
          <c:smooth val="0"/>
          <c:extLst>
            <c:ext xmlns:c16="http://schemas.microsoft.com/office/drawing/2014/chart" uri="{C3380CC4-5D6E-409C-BE32-E72D297353CC}">
              <c16:uniqueId val="{00000001-1869-426F-B700-EA948960AEF4}"/>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50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58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9525" cap="flat">
              <a:solidFill>
                <a:schemeClr val="bg1">
                  <a:lumMod val="6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datos!$S$5:$S$78</c:f>
              <c:numCache>
                <c:formatCode>#,##0.0</c:formatCode>
                <c:ptCount val="74"/>
                <c:pt idx="0">
                  <c:v>2201.1440851326101</c:v>
                </c:pt>
                <c:pt idx="1">
                  <c:v>1999.8452770163599</c:v>
                </c:pt>
                <c:pt idx="2">
                  <c:v>2103.3009261586999</c:v>
                </c:pt>
                <c:pt idx="3">
                  <c:v>2431.6405504004601</c:v>
                </c:pt>
                <c:pt idx="4">
                  <c:v>2574.62608467984</c:v>
                </c:pt>
                <c:pt idx="5">
                  <c:v>2559.2930768992601</c:v>
                </c:pt>
                <c:pt idx="6">
                  <c:v>2999.5947463011998</c:v>
                </c:pt>
                <c:pt idx="7">
                  <c:v>2559.9624094546398</c:v>
                </c:pt>
                <c:pt idx="8">
                  <c:v>2964.4839095935699</c:v>
                </c:pt>
                <c:pt idx="9">
                  <c:v>2911.2410890165802</c:v>
                </c:pt>
                <c:pt idx="10">
                  <c:v>2891.42542129925</c:v>
                </c:pt>
                <c:pt idx="11">
                  <c:v>3237.7099604699101</c:v>
                </c:pt>
                <c:pt idx="12">
                  <c:v>3362.8497604578101</c:v>
                </c:pt>
                <c:pt idx="13">
                  <c:v>3390.7363367613498</c:v>
                </c:pt>
                <c:pt idx="14">
                  <c:v>3327.0945293038999</c:v>
                </c:pt>
                <c:pt idx="15">
                  <c:v>3182.59708352196</c:v>
                </c:pt>
                <c:pt idx="16">
                  <c:v>3017.0632489223099</c:v>
                </c:pt>
                <c:pt idx="17">
                  <c:v>3078.59232637683</c:v>
                </c:pt>
                <c:pt idx="18">
                  <c:v>3154.1134782612899</c:v>
                </c:pt>
                <c:pt idx="19">
                  <c:v>3757.77440192001</c:v>
                </c:pt>
                <c:pt idx="20">
                  <c:v>3647.7911154378698</c:v>
                </c:pt>
                <c:pt idx="21">
                  <c:v>3831.75032501437</c:v>
                </c:pt>
                <c:pt idx="22">
                  <c:v>3983.2315415151002</c:v>
                </c:pt>
                <c:pt idx="23">
                  <c:v>4308.7225969115898</c:v>
                </c:pt>
                <c:pt idx="24">
                  <c:v>3669.2566925431902</c:v>
                </c:pt>
                <c:pt idx="25">
                  <c:v>4338.2827718404696</c:v>
                </c:pt>
                <c:pt idx="26">
                  <c:v>4576.7351539746996</c:v>
                </c:pt>
                <c:pt idx="27">
                  <c:v>4332.2902115819797</c:v>
                </c:pt>
                <c:pt idx="28">
                  <c:v>4537.4485883276502</c:v>
                </c:pt>
                <c:pt idx="29">
                  <c:v>4929.1660439194802</c:v>
                </c:pt>
                <c:pt idx="30">
                  <c:v>4756.0072517081699</c:v>
                </c:pt>
                <c:pt idx="31">
                  <c:v>4622.3470752805997</c:v>
                </c:pt>
                <c:pt idx="32">
                  <c:v>4529.6289471274804</c:v>
                </c:pt>
                <c:pt idx="33">
                  <c:v>4640.1287932775704</c:v>
                </c:pt>
                <c:pt idx="34">
                  <c:v>4829.1645461587505</c:v>
                </c:pt>
                <c:pt idx="35">
                  <c:v>3992.8219457649402</c:v>
                </c:pt>
                <c:pt idx="36">
                  <c:v>3879.72383136494</c:v>
                </c:pt>
                <c:pt idx="37">
                  <c:v>3866.5559163046701</c:v>
                </c:pt>
                <c:pt idx="38">
                  <c:v>4305.4240012377304</c:v>
                </c:pt>
                <c:pt idx="39">
                  <c:v>4495.3277991840196</c:v>
                </c:pt>
                <c:pt idx="40">
                  <c:v>4621.0825739572902</c:v>
                </c:pt>
                <c:pt idx="41">
                  <c:v>4222.33223511711</c:v>
                </c:pt>
                <c:pt idx="42">
                  <c:v>3797.2088342122101</c:v>
                </c:pt>
                <c:pt idx="43">
                  <c:v>3743.8467440049599</c:v>
                </c:pt>
                <c:pt idx="44">
                  <c:v>3556.3219024940299</c:v>
                </c:pt>
                <c:pt idx="45">
                  <c:v>3621.4868266850299</c:v>
                </c:pt>
                <c:pt idx="46">
                  <c:v>3712.2037152377602</c:v>
                </c:pt>
                <c:pt idx="47">
                  <c:v>3467.1308487126598</c:v>
                </c:pt>
                <c:pt idx="48">
                  <c:v>3832.3786897580299</c:v>
                </c:pt>
                <c:pt idx="49">
                  <c:v>3571.67356399032</c:v>
                </c:pt>
                <c:pt idx="50">
                  <c:v>3289.7567125865598</c:v>
                </c:pt>
                <c:pt idx="51">
                  <c:v>2140.93575174322</c:v>
                </c:pt>
                <c:pt idx="52">
                  <c:v>1546.1413926759201</c:v>
                </c:pt>
                <c:pt idx="53">
                  <c:v>1743.0948662974299</c:v>
                </c:pt>
                <c:pt idx="54">
                  <c:v>2125.8400688265001</c:v>
                </c:pt>
                <c:pt idx="55">
                  <c:v>2416.0612052543302</c:v>
                </c:pt>
                <c:pt idx="56">
                  <c:v>2478.3815537769001</c:v>
                </c:pt>
                <c:pt idx="57">
                  <c:v>2552.3854574646398</c:v>
                </c:pt>
                <c:pt idx="58">
                  <c:v>2643.5851477455699</c:v>
                </c:pt>
                <c:pt idx="59">
                  <c:v>2902.5597105574898</c:v>
                </c:pt>
                <c:pt idx="60">
                  <c:v>3009.9131787572601</c:v>
                </c:pt>
                <c:pt idx="61">
                  <c:v>3107.2298857743299</c:v>
                </c:pt>
                <c:pt idx="62">
                  <c:v>6343.1783249178698</c:v>
                </c:pt>
                <c:pt idx="63">
                  <c:v>3782.0241959718201</c:v>
                </c:pt>
                <c:pt idx="64">
                  <c:v>4365.6045663712903</c:v>
                </c:pt>
                <c:pt idx="65">
                  <c:v>4535.8736759516396</c:v>
                </c:pt>
                <c:pt idx="66">
                  <c:v>4896.4482206221401</c:v>
                </c:pt>
                <c:pt idx="67">
                  <c:v>4903.37074400861</c:v>
                </c:pt>
                <c:pt idx="68">
                  <c:v>4544.5759558297405</c:v>
                </c:pt>
                <c:pt idx="69">
                  <c:v>4658.4147853451504</c:v>
                </c:pt>
                <c:pt idx="70">
                  <c:v>4523.9341997278998</c:v>
                </c:pt>
                <c:pt idx="71">
                  <c:v>4792.3111182109797</c:v>
                </c:pt>
                <c:pt idx="72">
                  <c:v>4649.8471485247801</c:v>
                </c:pt>
                <c:pt idx="73">
                  <c:v>4564.09101088235</c:v>
                </c:pt>
              </c:numCache>
            </c:numRef>
          </c:val>
          <c:smooth val="0"/>
          <c:extLst>
            <c:ext xmlns:c16="http://schemas.microsoft.com/office/drawing/2014/chart" uri="{C3380CC4-5D6E-409C-BE32-E72D297353CC}">
              <c16:uniqueId val="{00000000-F10E-4B58-9A88-2985A349F876}"/>
            </c:ext>
          </c:extLst>
        </c:ser>
        <c:ser>
          <c:idx val="0"/>
          <c:order val="1"/>
          <c:tx>
            <c:strRef>
              <c:f>datos!$T$4</c:f>
              <c:strCache>
                <c:ptCount val="1"/>
                <c:pt idx="0">
                  <c:v>Serie de Tendencia-Ciclo</c:v>
                </c:pt>
              </c:strCache>
            </c:strRef>
          </c:tx>
          <c:spPr>
            <a:ln w="12700">
              <a:solidFill>
                <a:schemeClr val="tx2">
                  <a:lumMod val="75000"/>
                </a:schemeClr>
              </a:solidFill>
              <a:prstDash val="solid"/>
            </a:ln>
            <a:effectLst/>
          </c:spPr>
          <c:marker>
            <c:symbol val="none"/>
          </c:marker>
          <c:cat>
            <c:multiLvlStrRef>
              <c:f>datos!$A$5:$B$78</c:f>
              <c:multiLvlStrCache>
                <c:ptCount val="7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lvl>
                <c:lvl>
                  <c:pt idx="0">
                    <c:v>2016</c:v>
                  </c:pt>
                  <c:pt idx="12">
                    <c:v>2017</c:v>
                  </c:pt>
                  <c:pt idx="24">
                    <c:v>2018</c:v>
                  </c:pt>
                  <c:pt idx="36">
                    <c:v>2019</c:v>
                  </c:pt>
                  <c:pt idx="48">
                    <c:v>2020</c:v>
                  </c:pt>
                  <c:pt idx="60">
                    <c:v>2021</c:v>
                  </c:pt>
                  <c:pt idx="72">
                    <c:v>2022</c:v>
                  </c:pt>
                </c:lvl>
              </c:multiLvlStrCache>
            </c:multiLvlStrRef>
          </c:cat>
          <c:val>
            <c:numRef>
              <c:f>datos!$T$5:$T$78</c:f>
              <c:numCache>
                <c:formatCode>#,##0.0</c:formatCode>
                <c:ptCount val="74"/>
                <c:pt idx="0">
                  <c:v>2273.4910822108823</c:v>
                </c:pt>
                <c:pt idx="1">
                  <c:v>2261.1624259024029</c:v>
                </c:pt>
                <c:pt idx="2">
                  <c:v>2298.5812174748639</c:v>
                </c:pt>
                <c:pt idx="3">
                  <c:v>2375.219835458206</c:v>
                </c:pt>
                <c:pt idx="4">
                  <c:v>2477.8064307088539</c:v>
                </c:pt>
                <c:pt idx="5">
                  <c:v>2578.574463609224</c:v>
                </c:pt>
                <c:pt idx="6">
                  <c:v>2664.2908056022952</c:v>
                </c:pt>
                <c:pt idx="7">
                  <c:v>2739.7139986892548</c:v>
                </c:pt>
                <c:pt idx="8">
                  <c:v>2826.1717789357599</c:v>
                </c:pt>
                <c:pt idx="9">
                  <c:v>2937.3732689599301</c:v>
                </c:pt>
                <c:pt idx="10">
                  <c:v>3068.1872396705203</c:v>
                </c:pt>
                <c:pt idx="11">
                  <c:v>3190.6650255873401</c:v>
                </c:pt>
                <c:pt idx="12">
                  <c:v>3273.44050013571</c:v>
                </c:pt>
                <c:pt idx="13">
                  <c:v>3295.7375320416704</c:v>
                </c:pt>
                <c:pt idx="14">
                  <c:v>3257.84085308351</c:v>
                </c:pt>
                <c:pt idx="15">
                  <c:v>3190.8646954566402</c:v>
                </c:pt>
                <c:pt idx="16">
                  <c:v>3136.1163715033399</c:v>
                </c:pt>
                <c:pt idx="17">
                  <c:v>3138.5149167560203</c:v>
                </c:pt>
                <c:pt idx="18">
                  <c:v>3231.1683957346595</c:v>
                </c:pt>
                <c:pt idx="19">
                  <c:v>3398.1171799100202</c:v>
                </c:pt>
                <c:pt idx="20">
                  <c:v>3599.7601366208701</c:v>
                </c:pt>
                <c:pt idx="21">
                  <c:v>3803.9157419376697</c:v>
                </c:pt>
                <c:pt idx="22">
                  <c:v>3983.0903467503404</c:v>
                </c:pt>
                <c:pt idx="23">
                  <c:v>4121.9971599448099</c:v>
                </c:pt>
                <c:pt idx="24">
                  <c:v>4228.7607514901301</c:v>
                </c:pt>
                <c:pt idx="25">
                  <c:v>4322.6310372333301</c:v>
                </c:pt>
                <c:pt idx="26">
                  <c:v>4419.4473209981297</c:v>
                </c:pt>
                <c:pt idx="27">
                  <c:v>4514.6109865800299</c:v>
                </c:pt>
                <c:pt idx="28">
                  <c:v>4600.1414382497196</c:v>
                </c:pt>
                <c:pt idx="29">
                  <c:v>4668.7125222066497</c:v>
                </c:pt>
                <c:pt idx="30">
                  <c:v>4700.494277068</c:v>
                </c:pt>
                <c:pt idx="31">
                  <c:v>4676.4100698435395</c:v>
                </c:pt>
                <c:pt idx="32">
                  <c:v>4592.2699179403598</c:v>
                </c:pt>
                <c:pt idx="33">
                  <c:v>4451.7690589862204</c:v>
                </c:pt>
                <c:pt idx="34">
                  <c:v>4295.9299629253501</c:v>
                </c:pt>
                <c:pt idx="35">
                  <c:v>4183.3651722613204</c:v>
                </c:pt>
                <c:pt idx="36">
                  <c:v>4147.3090947785195</c:v>
                </c:pt>
                <c:pt idx="37">
                  <c:v>4179.3145236216897</c:v>
                </c:pt>
                <c:pt idx="38">
                  <c:v>4244.48327681302</c:v>
                </c:pt>
                <c:pt idx="39">
                  <c:v>4287.7618689206802</c:v>
                </c:pt>
                <c:pt idx="40">
                  <c:v>4257.4200647445696</c:v>
                </c:pt>
                <c:pt idx="41">
                  <c:v>4141.7008657098504</c:v>
                </c:pt>
                <c:pt idx="42">
                  <c:v>3969.0042022247198</c:v>
                </c:pt>
                <c:pt idx="43">
                  <c:v>3798.0584735005405</c:v>
                </c:pt>
                <c:pt idx="44">
                  <c:v>3683.2809419259897</c:v>
                </c:pt>
                <c:pt idx="45">
                  <c:v>3640.8299136853802</c:v>
                </c:pt>
                <c:pt idx="46">
                  <c:v>3635.9107529521598</c:v>
                </c:pt>
                <c:pt idx="47">
                  <c:v>3614.2716684368197</c:v>
                </c:pt>
                <c:pt idx="48">
                  <c:v>3529.0635379067198</c:v>
                </c:pt>
                <c:pt idx="49">
                  <c:v>3369.6939200859301</c:v>
                </c:pt>
                <c:pt idx="50">
                  <c:v>3166.8699484604799</c:v>
                </c:pt>
                <c:pt idx="51">
                  <c:v>2225.2512610732379</c:v>
                </c:pt>
                <c:pt idx="52">
                  <c:v>2108.094316467002</c:v>
                </c:pt>
                <c:pt idx="53">
                  <c:v>2072.6202356852536</c:v>
                </c:pt>
                <c:pt idx="54">
                  <c:v>2123.1840564769964</c:v>
                </c:pt>
                <c:pt idx="55">
                  <c:v>2243.5424478472651</c:v>
                </c:pt>
                <c:pt idx="56">
                  <c:v>2393.1880075600279</c:v>
                </c:pt>
                <c:pt idx="57">
                  <c:v>2543.1406561559852</c:v>
                </c:pt>
                <c:pt idx="58">
                  <c:v>2681.3380292275001</c:v>
                </c:pt>
                <c:pt idx="59">
                  <c:v>2823.1563921828401</c:v>
                </c:pt>
                <c:pt idx="60">
                  <c:v>2994.9392422158689</c:v>
                </c:pt>
                <c:pt idx="61">
                  <c:v>3226.1556943722403</c:v>
                </c:pt>
                <c:pt idx="62">
                  <c:v>3530.7902571188297</c:v>
                </c:pt>
                <c:pt idx="63">
                  <c:v>3883.41222156922</c:v>
                </c:pt>
                <c:pt idx="64">
                  <c:v>4232.91782365367</c:v>
                </c:pt>
                <c:pt idx="65">
                  <c:v>4516.9295081377095</c:v>
                </c:pt>
                <c:pt idx="66">
                  <c:v>4696.03069260954</c:v>
                </c:pt>
                <c:pt idx="67">
                  <c:v>4765.3624809715202</c:v>
                </c:pt>
                <c:pt idx="68">
                  <c:v>4754.2255605463197</c:v>
                </c:pt>
                <c:pt idx="69">
                  <c:v>4707.9988332782195</c:v>
                </c:pt>
                <c:pt idx="70">
                  <c:v>4667.9158695559499</c:v>
                </c:pt>
                <c:pt idx="71">
                  <c:v>4647.5467205933501</c:v>
                </c:pt>
                <c:pt idx="72">
                  <c:v>4640.0367112202803</c:v>
                </c:pt>
                <c:pt idx="73">
                  <c:v>4628.04964765353</c:v>
                </c:pt>
              </c:numCache>
            </c:numRef>
          </c:val>
          <c:smooth val="0"/>
          <c:extLst>
            <c:ext xmlns:c16="http://schemas.microsoft.com/office/drawing/2014/chart" uri="{C3380CC4-5D6E-409C-BE32-E72D297353CC}">
              <c16:uniqueId val="{00000001-F10E-4B58-9A88-2985A349F876}"/>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9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1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2533-B1E5-48BA-BFA7-58F30FBE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265</TotalTime>
  <Pages>10</Pages>
  <Words>1895</Words>
  <Characters>10425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96</cp:revision>
  <cp:lastPrinted>2021-05-24T14:02:00Z</cp:lastPrinted>
  <dcterms:created xsi:type="dcterms:W3CDTF">2022-02-24T18:48:00Z</dcterms:created>
  <dcterms:modified xsi:type="dcterms:W3CDTF">2022-03-26T00:43:00Z</dcterms:modified>
  <cp:category>ESTADÍSTICAS DE COMERCIO EXTERIOR</cp:category>
</cp:coreProperties>
</file>