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charts/chart7.xml" ContentType="application/vnd.openxmlformats-officedocument.drawingml.chart+xml"/>
  <Override PartName="/word/drawings/drawing7.xml" ContentType="application/vnd.openxmlformats-officedocument.drawingml.chartshapes+xml"/>
  <Override PartName="/word/charts/chart8.xml" ContentType="application/vnd.openxmlformats-officedocument.drawingml.chart+xml"/>
  <Override PartName="/word/drawings/drawing8.xml" ContentType="application/vnd.openxmlformats-officedocument.drawingml.chartshapes+xml"/>
  <Override PartName="/word/charts/chart9.xml" ContentType="application/vnd.openxmlformats-officedocument.drawingml.chart+xml"/>
  <Override PartName="/word/drawings/drawing9.xml" ContentType="application/vnd.openxmlformats-officedocument.drawingml.chartshapes+xml"/>
  <Override PartName="/word/charts/chart10.xml" ContentType="application/vnd.openxmlformats-officedocument.drawingml.chart+xml"/>
  <Override PartName="/word/drawings/drawing10.xml" ContentType="application/vnd.openxmlformats-officedocument.drawingml.chartshapes+xml"/>
  <Override PartName="/word/charts/chart11.xml" ContentType="application/vnd.openxmlformats-officedocument.drawingml.chart+xml"/>
  <Override PartName="/word/drawings/drawing11.xml" ContentType="application/vnd.openxmlformats-officedocument.drawingml.chartshapes+xml"/>
  <Override PartName="/word/charts/chart12.xml" ContentType="application/vnd.openxmlformats-officedocument.drawingml.chart+xml"/>
  <Override PartName="/word/drawings/drawing12.xml" ContentType="application/vnd.openxmlformats-officedocument.drawingml.chartshapes+xml"/>
  <Override PartName="/word/charts/chart13.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68326" w14:textId="77777777" w:rsidR="00890076" w:rsidRPr="00FC3C74" w:rsidRDefault="00890076" w:rsidP="00890076">
      <w:pPr>
        <w:pStyle w:val="Ttulo"/>
        <w:ind w:left="709" w:right="-234"/>
        <w:jc w:val="right"/>
        <w:rPr>
          <w:b w:val="0"/>
          <w:bCs/>
          <w:caps/>
          <w:sz w:val="16"/>
          <w:szCs w:val="16"/>
          <w:lang w:val="es-MX"/>
        </w:rPr>
      </w:pPr>
      <w:r>
        <w:rPr>
          <w:noProof/>
          <w:lang w:eastAsia="es-MX"/>
        </w:rPr>
        <mc:AlternateContent>
          <mc:Choice Requires="wps">
            <w:drawing>
              <wp:anchor distT="45720" distB="45720" distL="114300" distR="114300" simplePos="0" relativeHeight="251659264" behindDoc="0" locked="0" layoutInCell="1" allowOverlap="1" wp14:anchorId="4BBABC01" wp14:editId="55CB5126">
                <wp:simplePos x="0" y="0"/>
                <wp:positionH relativeFrom="column">
                  <wp:posOffset>3084479</wp:posOffset>
                </wp:positionH>
                <wp:positionV relativeFrom="paragraph">
                  <wp:posOffset>433</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2ABF3391" w14:textId="77777777" w:rsidR="00890076" w:rsidRPr="00776EFB" w:rsidRDefault="00890076" w:rsidP="00890076">
                            <w:pPr>
                              <w:jc w:val="right"/>
                              <w:rPr>
                                <w:rFonts w:ascii="Arial" w:hAnsi="Arial" w:cs="Arial"/>
                                <w:b/>
                                <w:color w:val="FFFFFF" w:themeColor="background1"/>
                                <w:shd w:val="clear" w:color="auto" w:fill="365F91" w:themeFill="accent1" w:themeFillShade="BF"/>
                                <w:lang w:val="pt-BR"/>
                              </w:rPr>
                            </w:pPr>
                            <w:r w:rsidRPr="00776EFB">
                              <w:rPr>
                                <w:rFonts w:ascii="Arial" w:hAnsi="Arial" w:cs="Arial"/>
                                <w:b/>
                                <w:color w:val="FFFFFF" w:themeColor="background1"/>
                                <w:shd w:val="clear" w:color="auto" w:fill="365F91" w:themeFill="accent1" w:themeFillShade="BF"/>
                                <w:lang w:val="pt-BR"/>
                              </w:rPr>
                              <w:t xml:space="preserve">Próxima </w:t>
                            </w:r>
                            <w:proofErr w:type="spellStart"/>
                            <w:r w:rsidRPr="00776EFB">
                              <w:rPr>
                                <w:rFonts w:ascii="Arial" w:hAnsi="Arial" w:cs="Arial"/>
                                <w:b/>
                                <w:color w:val="FFFFFF" w:themeColor="background1"/>
                                <w:shd w:val="clear" w:color="auto" w:fill="365F91" w:themeFill="accent1" w:themeFillShade="BF"/>
                                <w:lang w:val="pt-BR"/>
                              </w:rPr>
                              <w:t>publicación</w:t>
                            </w:r>
                            <w:proofErr w:type="spellEnd"/>
                            <w:r w:rsidRPr="00776EFB">
                              <w:rPr>
                                <w:rFonts w:ascii="Arial" w:hAnsi="Arial" w:cs="Arial"/>
                                <w:b/>
                                <w:color w:val="FFFFFF" w:themeColor="background1"/>
                                <w:shd w:val="clear" w:color="auto" w:fill="365F91" w:themeFill="accent1" w:themeFillShade="BF"/>
                                <w:lang w:val="pt-BR"/>
                              </w:rPr>
                              <w:t>:  2</w:t>
                            </w:r>
                            <w:r>
                              <w:rPr>
                                <w:rFonts w:ascii="Arial" w:hAnsi="Arial" w:cs="Arial"/>
                                <w:b/>
                                <w:color w:val="FFFFFF" w:themeColor="background1"/>
                                <w:shd w:val="clear" w:color="auto" w:fill="365F91" w:themeFill="accent1" w:themeFillShade="BF"/>
                                <w:lang w:val="pt-BR"/>
                              </w:rPr>
                              <w:t xml:space="preserve">3 </w:t>
                            </w:r>
                            <w:r w:rsidRPr="00776EFB">
                              <w:rPr>
                                <w:rFonts w:ascii="Arial" w:hAnsi="Arial" w:cs="Arial"/>
                                <w:b/>
                                <w:color w:val="FFFFFF" w:themeColor="background1"/>
                                <w:shd w:val="clear" w:color="auto" w:fill="365F91" w:themeFill="accent1" w:themeFillShade="BF"/>
                                <w:lang w:val="pt-BR"/>
                              </w:rPr>
                              <w:t xml:space="preserve">de </w:t>
                            </w:r>
                            <w:proofErr w:type="spellStart"/>
                            <w:r>
                              <w:rPr>
                                <w:rFonts w:ascii="Arial" w:hAnsi="Arial" w:cs="Arial"/>
                                <w:b/>
                                <w:color w:val="FFFFFF" w:themeColor="background1"/>
                                <w:shd w:val="clear" w:color="auto" w:fill="365F91" w:themeFill="accent1" w:themeFillShade="BF"/>
                                <w:lang w:val="pt-BR"/>
                              </w:rPr>
                              <w:t>diciembre</w:t>
                            </w:r>
                            <w:proofErr w:type="spellEnd"/>
                          </w:p>
                          <w:p w14:paraId="042A0737" w14:textId="77777777" w:rsidR="00890076" w:rsidRPr="003D4E37" w:rsidRDefault="00890076" w:rsidP="00890076">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BABC01"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2ABF3391" w14:textId="77777777" w:rsidR="00890076" w:rsidRPr="00776EFB" w:rsidRDefault="00890076" w:rsidP="00890076">
                      <w:pPr>
                        <w:jc w:val="right"/>
                        <w:rPr>
                          <w:rFonts w:ascii="Arial" w:hAnsi="Arial" w:cs="Arial"/>
                          <w:b/>
                          <w:color w:val="FFFFFF" w:themeColor="background1"/>
                          <w:shd w:val="clear" w:color="auto" w:fill="365F91" w:themeFill="accent1" w:themeFillShade="BF"/>
                          <w:lang w:val="pt-BR"/>
                        </w:rPr>
                      </w:pPr>
                      <w:r w:rsidRPr="00776EFB">
                        <w:rPr>
                          <w:rFonts w:ascii="Arial" w:hAnsi="Arial" w:cs="Arial"/>
                          <w:b/>
                          <w:color w:val="FFFFFF" w:themeColor="background1"/>
                          <w:shd w:val="clear" w:color="auto" w:fill="365F91" w:themeFill="accent1" w:themeFillShade="BF"/>
                          <w:lang w:val="pt-BR"/>
                        </w:rPr>
                        <w:t xml:space="preserve">Próxima </w:t>
                      </w:r>
                      <w:proofErr w:type="spellStart"/>
                      <w:r w:rsidRPr="00776EFB">
                        <w:rPr>
                          <w:rFonts w:ascii="Arial" w:hAnsi="Arial" w:cs="Arial"/>
                          <w:b/>
                          <w:color w:val="FFFFFF" w:themeColor="background1"/>
                          <w:shd w:val="clear" w:color="auto" w:fill="365F91" w:themeFill="accent1" w:themeFillShade="BF"/>
                          <w:lang w:val="pt-BR"/>
                        </w:rPr>
                        <w:t>publicación</w:t>
                      </w:r>
                      <w:proofErr w:type="spellEnd"/>
                      <w:r w:rsidRPr="00776EFB">
                        <w:rPr>
                          <w:rFonts w:ascii="Arial" w:hAnsi="Arial" w:cs="Arial"/>
                          <w:b/>
                          <w:color w:val="FFFFFF" w:themeColor="background1"/>
                          <w:shd w:val="clear" w:color="auto" w:fill="365F91" w:themeFill="accent1" w:themeFillShade="BF"/>
                          <w:lang w:val="pt-BR"/>
                        </w:rPr>
                        <w:t>:  2</w:t>
                      </w:r>
                      <w:r>
                        <w:rPr>
                          <w:rFonts w:ascii="Arial" w:hAnsi="Arial" w:cs="Arial"/>
                          <w:b/>
                          <w:color w:val="FFFFFF" w:themeColor="background1"/>
                          <w:shd w:val="clear" w:color="auto" w:fill="365F91" w:themeFill="accent1" w:themeFillShade="BF"/>
                          <w:lang w:val="pt-BR"/>
                        </w:rPr>
                        <w:t xml:space="preserve">3 </w:t>
                      </w:r>
                      <w:r w:rsidRPr="00776EFB">
                        <w:rPr>
                          <w:rFonts w:ascii="Arial" w:hAnsi="Arial" w:cs="Arial"/>
                          <w:b/>
                          <w:color w:val="FFFFFF" w:themeColor="background1"/>
                          <w:shd w:val="clear" w:color="auto" w:fill="365F91" w:themeFill="accent1" w:themeFillShade="BF"/>
                          <w:lang w:val="pt-BR"/>
                        </w:rPr>
                        <w:t xml:space="preserve">de </w:t>
                      </w:r>
                      <w:proofErr w:type="spellStart"/>
                      <w:r>
                        <w:rPr>
                          <w:rFonts w:ascii="Arial" w:hAnsi="Arial" w:cs="Arial"/>
                          <w:b/>
                          <w:color w:val="FFFFFF" w:themeColor="background1"/>
                          <w:shd w:val="clear" w:color="auto" w:fill="365F91" w:themeFill="accent1" w:themeFillShade="BF"/>
                          <w:lang w:val="pt-BR"/>
                        </w:rPr>
                        <w:t>diciembre</w:t>
                      </w:r>
                      <w:proofErr w:type="spellEnd"/>
                    </w:p>
                    <w:p w14:paraId="042A0737" w14:textId="77777777" w:rsidR="00890076" w:rsidRPr="003D4E37" w:rsidRDefault="00890076" w:rsidP="00890076">
                      <w:pPr>
                        <w:jc w:val="right"/>
                      </w:pPr>
                    </w:p>
                  </w:txbxContent>
                </v:textbox>
                <w10:wrap type="square"/>
              </v:shape>
            </w:pict>
          </mc:Fallback>
        </mc:AlternateContent>
      </w:r>
      <w:bookmarkStart w:id="0" w:name="_Hlk61875621"/>
    </w:p>
    <w:p w14:paraId="3081FE3B" w14:textId="77777777" w:rsidR="00890076" w:rsidRDefault="00890076" w:rsidP="00890076">
      <w:pPr>
        <w:jc w:val="center"/>
        <w:rPr>
          <w:b/>
          <w:bCs/>
          <w:caps/>
          <w:sz w:val="28"/>
          <w:szCs w:val="28"/>
        </w:rPr>
      </w:pPr>
    </w:p>
    <w:p w14:paraId="0602E478" w14:textId="77777777" w:rsidR="00890076" w:rsidRPr="00E04028" w:rsidRDefault="00890076" w:rsidP="00890076">
      <w:pPr>
        <w:pStyle w:val="Ttulo2"/>
        <w:keepNext w:val="0"/>
        <w:widowControl w:val="0"/>
        <w:spacing w:before="0"/>
        <w:jc w:val="center"/>
        <w:rPr>
          <w:b/>
          <w:szCs w:val="24"/>
        </w:rPr>
      </w:pPr>
    </w:p>
    <w:p w14:paraId="38038A90" w14:textId="309DB89B" w:rsidR="00890076" w:rsidRPr="00992D27" w:rsidRDefault="00890076" w:rsidP="00890076">
      <w:pPr>
        <w:pStyle w:val="Ttulo2"/>
        <w:keepNext w:val="0"/>
        <w:widowControl w:val="0"/>
        <w:spacing w:before="0"/>
        <w:jc w:val="center"/>
        <w:rPr>
          <w:b/>
          <w:szCs w:val="24"/>
        </w:rPr>
      </w:pPr>
      <w:bookmarkStart w:id="1" w:name="_GoBack"/>
      <w:bookmarkEnd w:id="1"/>
      <w:r w:rsidRPr="00992D27">
        <w:rPr>
          <w:b/>
          <w:szCs w:val="24"/>
        </w:rPr>
        <w:t>INFORMACIÓN OPORTUNA SOBRE LA</w:t>
      </w:r>
    </w:p>
    <w:p w14:paraId="7AE78E46" w14:textId="77777777" w:rsidR="00890076" w:rsidRPr="00992D27" w:rsidRDefault="00890076" w:rsidP="00890076">
      <w:pPr>
        <w:pStyle w:val="Ttulo2"/>
        <w:keepNext w:val="0"/>
        <w:widowControl w:val="0"/>
        <w:spacing w:before="0"/>
        <w:jc w:val="center"/>
        <w:rPr>
          <w:b/>
          <w:szCs w:val="24"/>
        </w:rPr>
      </w:pPr>
      <w:r w:rsidRPr="00992D27">
        <w:rPr>
          <w:b/>
          <w:szCs w:val="24"/>
        </w:rPr>
        <w:t xml:space="preserve">BALANZA COMERCIAL DE MERCANCÍAS DE MÉXICO </w:t>
      </w:r>
    </w:p>
    <w:p w14:paraId="204A1D13" w14:textId="77777777" w:rsidR="00890076" w:rsidRPr="00992D27" w:rsidRDefault="00890076" w:rsidP="00890076">
      <w:pPr>
        <w:pStyle w:val="Ttulo2"/>
        <w:keepNext w:val="0"/>
        <w:widowControl w:val="0"/>
        <w:spacing w:before="0"/>
        <w:jc w:val="center"/>
        <w:rPr>
          <w:b/>
          <w:szCs w:val="24"/>
        </w:rPr>
      </w:pPr>
      <w:r w:rsidRPr="00992D27">
        <w:rPr>
          <w:b/>
          <w:szCs w:val="24"/>
        </w:rPr>
        <w:t>OCTUBRE DE 2022</w:t>
      </w:r>
    </w:p>
    <w:p w14:paraId="564A2F4D" w14:textId="77777777" w:rsidR="00890076" w:rsidRPr="00277A1C" w:rsidRDefault="00890076" w:rsidP="00890076">
      <w:pPr>
        <w:pStyle w:val="bullet"/>
        <w:numPr>
          <w:ilvl w:val="0"/>
          <w:numId w:val="0"/>
        </w:numPr>
        <w:spacing w:before="240"/>
        <w:ind w:left="-142" w:right="-234"/>
        <w:rPr>
          <w:rFonts w:cs="Arial"/>
          <w:b w:val="0"/>
          <w:color w:val="auto"/>
          <w:sz w:val="24"/>
          <w:szCs w:val="24"/>
        </w:rPr>
      </w:pPr>
      <w:r w:rsidRPr="00277A1C">
        <w:rPr>
          <w:rFonts w:cs="Arial"/>
          <w:b w:val="0"/>
          <w:color w:val="auto"/>
          <w:sz w:val="24"/>
          <w:szCs w:val="24"/>
        </w:rPr>
        <w:t xml:space="preserve">La información oportuna de comercio exterior de octubre de 2022 registró un déficit comercial de 2 012 millones de dólares, saldo que se compara con el déficit de 2 799 millones de dólares en el mismo mes de 2021. </w:t>
      </w:r>
    </w:p>
    <w:p w14:paraId="77058F29" w14:textId="77777777" w:rsidR="00890076" w:rsidRPr="00277A1C" w:rsidRDefault="00890076" w:rsidP="00890076">
      <w:pPr>
        <w:pStyle w:val="bullet"/>
        <w:numPr>
          <w:ilvl w:val="0"/>
          <w:numId w:val="0"/>
        </w:numPr>
        <w:spacing w:before="240"/>
        <w:ind w:left="-142" w:right="-234"/>
        <w:rPr>
          <w:rFonts w:cs="Arial"/>
          <w:b w:val="0"/>
          <w:color w:val="auto"/>
          <w:sz w:val="24"/>
          <w:szCs w:val="24"/>
        </w:rPr>
      </w:pPr>
      <w:r w:rsidRPr="00277A1C">
        <w:rPr>
          <w:rFonts w:cs="Arial"/>
          <w:b w:val="0"/>
          <w:color w:val="auto"/>
          <w:sz w:val="24"/>
          <w:szCs w:val="24"/>
        </w:rPr>
        <w:t>En los primeros diez meses de 2022, la balanza comercial presentó un déficit de 27 309 millones de dólares.</w:t>
      </w:r>
      <w:r w:rsidRPr="00277A1C">
        <w:rPr>
          <w:rFonts w:cs="Arial"/>
          <w:b w:val="0"/>
          <w:color w:val="auto"/>
          <w:sz w:val="24"/>
          <w:szCs w:val="24"/>
          <w:vertAlign w:val="superscript"/>
        </w:rPr>
        <w:footnoteReference w:id="1"/>
      </w:r>
    </w:p>
    <w:p w14:paraId="2B521134" w14:textId="77777777" w:rsidR="00890076" w:rsidRPr="004C57B3" w:rsidRDefault="00890076" w:rsidP="00890076">
      <w:pPr>
        <w:pStyle w:val="bullet"/>
        <w:numPr>
          <w:ilvl w:val="0"/>
          <w:numId w:val="0"/>
        </w:numPr>
        <w:tabs>
          <w:tab w:val="left" w:pos="9356"/>
        </w:tabs>
        <w:spacing w:before="240"/>
        <w:ind w:left="-142" w:right="-234"/>
        <w:rPr>
          <w:rFonts w:cs="Arial"/>
          <w:b w:val="0"/>
          <w:color w:val="auto"/>
          <w:szCs w:val="22"/>
        </w:rPr>
      </w:pPr>
    </w:p>
    <w:p w14:paraId="066AD4BB" w14:textId="77777777" w:rsidR="00890076" w:rsidRPr="00D47671" w:rsidRDefault="00890076" w:rsidP="00890076">
      <w:pPr>
        <w:pStyle w:val="bullet"/>
        <w:numPr>
          <w:ilvl w:val="0"/>
          <w:numId w:val="0"/>
        </w:numPr>
        <w:tabs>
          <w:tab w:val="left" w:pos="8647"/>
          <w:tab w:val="left" w:pos="9072"/>
        </w:tabs>
        <w:spacing w:before="120"/>
        <w:ind w:left="-142" w:right="-234"/>
        <w:contextualSpacing/>
        <w:rPr>
          <w:rFonts w:ascii="Arial Negrita" w:hAnsi="Arial Negrita" w:cs="Arial"/>
          <w:smallCaps/>
          <w:color w:val="auto"/>
          <w:sz w:val="24"/>
          <w:szCs w:val="24"/>
        </w:rPr>
      </w:pPr>
      <w:r w:rsidRPr="00D47671">
        <w:rPr>
          <w:rFonts w:ascii="Arial Negrita" w:hAnsi="Arial Negrita" w:cs="Arial"/>
          <w:smallCaps/>
          <w:color w:val="auto"/>
          <w:sz w:val="24"/>
          <w:szCs w:val="24"/>
        </w:rPr>
        <w:t>Exportaciones</w:t>
      </w:r>
    </w:p>
    <w:p w14:paraId="4B6FBF6F" w14:textId="77777777" w:rsidR="00890076" w:rsidRPr="00277A1C" w:rsidRDefault="00890076" w:rsidP="00890076">
      <w:pPr>
        <w:pStyle w:val="bullet"/>
        <w:numPr>
          <w:ilvl w:val="0"/>
          <w:numId w:val="0"/>
        </w:numPr>
        <w:spacing w:before="240"/>
        <w:ind w:left="-142" w:right="-234"/>
        <w:rPr>
          <w:rFonts w:cs="Arial"/>
          <w:b w:val="0"/>
          <w:color w:val="auto"/>
          <w:sz w:val="24"/>
          <w:szCs w:val="24"/>
        </w:rPr>
      </w:pPr>
      <w:r w:rsidRPr="00277A1C">
        <w:rPr>
          <w:rFonts w:cs="Arial"/>
          <w:b w:val="0"/>
          <w:color w:val="auto"/>
          <w:sz w:val="24"/>
          <w:szCs w:val="24"/>
        </w:rPr>
        <w:t>En octubre de 2022, el valor de las exportaciones de mercancías alcanzó 49 275 millones de dólares, cifra integrada por 46 383 millones de dólares de exportaciones no petroleras y por 2 892 millones de dólares de petroleras. Así, las exportaciones totales reportaron un incremento anual de 17.7 %, resultado de avances de 18.5 % en las exportaciones no petroleras y de 6.9 % en las petroleras. Al interior de las exportaciones no petroleras, las dirigidas a Estados Unidos crecieron 19.1 % a tasa anual y las canalizadas al resto del mundo, 15.3 por ciento.</w:t>
      </w:r>
    </w:p>
    <w:p w14:paraId="190FD354" w14:textId="77777777" w:rsidR="00890076" w:rsidRPr="00277A1C" w:rsidRDefault="00890076" w:rsidP="00890076">
      <w:pPr>
        <w:pStyle w:val="bullet"/>
        <w:numPr>
          <w:ilvl w:val="0"/>
          <w:numId w:val="0"/>
        </w:numPr>
        <w:spacing w:before="240"/>
        <w:ind w:left="-142" w:right="-234"/>
        <w:rPr>
          <w:rFonts w:cs="Arial"/>
          <w:b w:val="0"/>
          <w:color w:val="auto"/>
          <w:sz w:val="24"/>
          <w:szCs w:val="24"/>
        </w:rPr>
      </w:pPr>
      <w:r w:rsidRPr="00277A1C">
        <w:rPr>
          <w:rFonts w:cs="Arial"/>
          <w:b w:val="0"/>
          <w:color w:val="auto"/>
          <w:sz w:val="24"/>
          <w:szCs w:val="24"/>
        </w:rPr>
        <w:t xml:space="preserve">En octubre de 2022 y con cifras desestacionalizadas, las exportaciones totales de mercancías mostraron una caída mensual de 4.17 %, reflejo de descensos de 3.69 % en las exportaciones no petroleras y de 11.09 % en las petroleras. </w:t>
      </w:r>
    </w:p>
    <w:p w14:paraId="0F2AF45E" w14:textId="77777777" w:rsidR="00890076" w:rsidRPr="00D47671" w:rsidRDefault="00890076" w:rsidP="00890076">
      <w:pPr>
        <w:pStyle w:val="bullet"/>
        <w:numPr>
          <w:ilvl w:val="0"/>
          <w:numId w:val="0"/>
        </w:numPr>
        <w:tabs>
          <w:tab w:val="left" w:pos="8505"/>
        </w:tabs>
        <w:spacing w:before="480" w:after="240" w:line="200" w:lineRule="atLeast"/>
        <w:ind w:left="-142" w:right="-234"/>
        <w:rPr>
          <w:rFonts w:ascii="Arial Negrita" w:hAnsi="Arial Negrita" w:cs="Arial"/>
          <w:smallCaps/>
          <w:color w:val="auto"/>
          <w:sz w:val="24"/>
          <w:szCs w:val="24"/>
        </w:rPr>
      </w:pPr>
      <w:r w:rsidRPr="00D47671">
        <w:rPr>
          <w:rFonts w:ascii="Arial Negrita" w:hAnsi="Arial Negrita" w:cs="Arial"/>
          <w:smallCaps/>
          <w:color w:val="auto"/>
          <w:sz w:val="24"/>
          <w:szCs w:val="24"/>
        </w:rPr>
        <w:t>Importaciones</w:t>
      </w:r>
    </w:p>
    <w:p w14:paraId="7DED6C1F" w14:textId="77777777" w:rsidR="00890076" w:rsidRPr="00277A1C" w:rsidRDefault="00890076" w:rsidP="00890076">
      <w:pPr>
        <w:pStyle w:val="bullet"/>
        <w:numPr>
          <w:ilvl w:val="0"/>
          <w:numId w:val="0"/>
        </w:numPr>
        <w:spacing w:before="240"/>
        <w:ind w:left="-142" w:right="-234"/>
        <w:rPr>
          <w:rFonts w:cs="Arial"/>
          <w:b w:val="0"/>
          <w:color w:val="auto"/>
          <w:sz w:val="24"/>
          <w:szCs w:val="24"/>
        </w:rPr>
      </w:pPr>
      <w:r w:rsidRPr="00277A1C">
        <w:rPr>
          <w:rFonts w:cs="Arial"/>
          <w:b w:val="0"/>
          <w:color w:val="auto"/>
          <w:sz w:val="24"/>
          <w:szCs w:val="24"/>
        </w:rPr>
        <w:t>El valor de las importaciones de mercancías fue de 51 287 millones de dólares, en octubre de 2022. El monto implicó un crecimiento anual de 14.8 %, producto de avances de 15 % en las importaciones no petroleras y de 13.5 % en las petroleras. Al considerar las importaciones por tipo de bien, se observaron alzas anuales de 14.3 % en las importaciones de bienes de consumo, de 14.3 % en las de bienes de uso intermedio y de 21.7 % en las de bienes de capital.</w:t>
      </w:r>
    </w:p>
    <w:p w14:paraId="1859E763" w14:textId="77777777" w:rsidR="00890076" w:rsidRPr="00833739" w:rsidRDefault="00890076" w:rsidP="00890076">
      <w:pPr>
        <w:pStyle w:val="bullet"/>
        <w:numPr>
          <w:ilvl w:val="0"/>
          <w:numId w:val="0"/>
        </w:numPr>
        <w:spacing w:before="240"/>
        <w:ind w:left="-142" w:right="-234"/>
        <w:rPr>
          <w:rFonts w:cs="Arial"/>
          <w:b w:val="0"/>
          <w:bCs/>
          <w:color w:val="auto"/>
          <w:sz w:val="24"/>
          <w:szCs w:val="24"/>
        </w:rPr>
      </w:pPr>
    </w:p>
    <w:p w14:paraId="4C0E79D6" w14:textId="77777777" w:rsidR="00890076" w:rsidRDefault="00890076" w:rsidP="00890076">
      <w:pPr>
        <w:pStyle w:val="bullet"/>
        <w:numPr>
          <w:ilvl w:val="0"/>
          <w:numId w:val="0"/>
        </w:numPr>
        <w:spacing w:before="240"/>
        <w:ind w:left="-142" w:right="-93"/>
        <w:rPr>
          <w:rFonts w:cs="Arial"/>
          <w:b w:val="0"/>
          <w:bCs/>
          <w:color w:val="auto"/>
          <w:sz w:val="24"/>
          <w:szCs w:val="24"/>
        </w:rPr>
      </w:pPr>
    </w:p>
    <w:p w14:paraId="6264DB69" w14:textId="77777777" w:rsidR="00890076" w:rsidRPr="00D47671" w:rsidRDefault="00890076" w:rsidP="00890076">
      <w:pPr>
        <w:pStyle w:val="bullet"/>
        <w:numPr>
          <w:ilvl w:val="0"/>
          <w:numId w:val="0"/>
        </w:numPr>
        <w:spacing w:before="240"/>
        <w:ind w:left="-142" w:right="-93"/>
        <w:rPr>
          <w:rFonts w:cs="Arial"/>
          <w:b w:val="0"/>
          <w:bCs/>
          <w:color w:val="auto"/>
          <w:sz w:val="24"/>
          <w:szCs w:val="24"/>
        </w:rPr>
      </w:pPr>
    </w:p>
    <w:p w14:paraId="52422EB9" w14:textId="77777777" w:rsidR="00890076" w:rsidRPr="00706946" w:rsidRDefault="00890076" w:rsidP="00890076">
      <w:pPr>
        <w:pStyle w:val="bullet"/>
        <w:numPr>
          <w:ilvl w:val="0"/>
          <w:numId w:val="0"/>
        </w:numPr>
        <w:spacing w:before="240"/>
        <w:ind w:right="49"/>
        <w:rPr>
          <w:rFonts w:cs="Arial"/>
          <w:b w:val="0"/>
          <w:color w:val="auto"/>
          <w:sz w:val="24"/>
          <w:szCs w:val="24"/>
        </w:rPr>
      </w:pPr>
      <w:r w:rsidRPr="00706946">
        <w:rPr>
          <w:rFonts w:cs="Arial"/>
          <w:b w:val="0"/>
          <w:bCs/>
          <w:color w:val="auto"/>
          <w:sz w:val="24"/>
          <w:szCs w:val="24"/>
        </w:rPr>
        <w:lastRenderedPageBreak/>
        <w:t>Con series ajustadas por estacionalidad</w:t>
      </w:r>
      <w:r w:rsidRPr="00706946">
        <w:rPr>
          <w:rFonts w:cs="Arial"/>
          <w:b w:val="0"/>
          <w:color w:val="auto"/>
          <w:sz w:val="24"/>
          <w:szCs w:val="24"/>
        </w:rPr>
        <w:t>, las importaciones totales mostraron una reducción mensual de 2.36 %, derivada de retrocesos de 0.11 % en las importaciones no petroleras y de 17.66 % en las petroleras. Por tipo de bien, se presentaron caídas mensuales de 12.16 % en las importaciones de bienes de consumo, de 0.98 % en las de bienes de uso intermedio y un incremento de 0.61 % en las importaciones de bienes de capital.</w:t>
      </w:r>
    </w:p>
    <w:p w14:paraId="50075868" w14:textId="77777777" w:rsidR="00890076" w:rsidRPr="00706946" w:rsidRDefault="00890076" w:rsidP="00890076">
      <w:pPr>
        <w:ind w:left="-142" w:right="-234"/>
        <w:rPr>
          <w:rFonts w:cs="Arial"/>
          <w:bCs/>
        </w:rPr>
      </w:pPr>
    </w:p>
    <w:p w14:paraId="44D76885" w14:textId="77777777" w:rsidR="00890076" w:rsidRPr="0081034A" w:rsidRDefault="00890076" w:rsidP="00890076">
      <w:pPr>
        <w:pStyle w:val="titulos"/>
        <w:spacing w:before="120" w:after="120"/>
        <w:jc w:val="center"/>
        <w:rPr>
          <w:rFonts w:cs="Arial"/>
          <w:b w:val="0"/>
          <w:smallCaps/>
          <w:sz w:val="22"/>
          <w:lang w:val="es-MX"/>
        </w:rPr>
      </w:pPr>
      <w:r w:rsidRPr="0081034A">
        <w:rPr>
          <w:b w:val="0"/>
          <w:i w:val="0"/>
          <w:u w:val="none"/>
        </w:rPr>
        <w:t>Cifras originales</w:t>
      </w:r>
    </w:p>
    <w:p w14:paraId="16D18EE2" w14:textId="77777777" w:rsidR="00890076" w:rsidRDefault="00890076" w:rsidP="00890076">
      <w:pPr>
        <w:pStyle w:val="p01"/>
        <w:keepNext/>
        <w:widowControl/>
        <w:spacing w:before="0"/>
        <w:jc w:val="center"/>
        <w:rPr>
          <w:rFonts w:ascii="Arial" w:hAnsi="Arial" w:cs="Arial"/>
          <w:b/>
          <w:smallCaps/>
          <w:color w:val="auto"/>
          <w:sz w:val="22"/>
          <w:lang w:val="es-MX"/>
        </w:rPr>
      </w:pPr>
      <w:r>
        <w:rPr>
          <w:rFonts w:ascii="Arial" w:hAnsi="Arial" w:cs="Arial"/>
          <w:b/>
          <w:smallCaps/>
          <w:color w:val="auto"/>
          <w:sz w:val="22"/>
          <w:lang w:val="es-MX"/>
        </w:rPr>
        <w:t>Balanza Comercial de Mercancías de México</w:t>
      </w:r>
    </w:p>
    <w:tbl>
      <w:tblPr>
        <w:tblW w:w="8057" w:type="dxa"/>
        <w:jc w:val="center"/>
        <w:tblCellMar>
          <w:left w:w="70" w:type="dxa"/>
          <w:right w:w="70" w:type="dxa"/>
        </w:tblCellMar>
        <w:tblLook w:val="04A0" w:firstRow="1" w:lastRow="0" w:firstColumn="1" w:lastColumn="0" w:noHBand="0" w:noVBand="1"/>
      </w:tblPr>
      <w:tblGrid>
        <w:gridCol w:w="238"/>
        <w:gridCol w:w="191"/>
        <w:gridCol w:w="190"/>
        <w:gridCol w:w="190"/>
        <w:gridCol w:w="2145"/>
        <w:gridCol w:w="1276"/>
        <w:gridCol w:w="1134"/>
        <w:gridCol w:w="1559"/>
        <w:gridCol w:w="1134"/>
      </w:tblGrid>
      <w:tr w:rsidR="00890076" w14:paraId="7ABCD88A" w14:textId="77777777" w:rsidTr="00ED3828">
        <w:trPr>
          <w:trHeight w:val="330"/>
          <w:jc w:val="center"/>
        </w:trPr>
        <w:tc>
          <w:tcPr>
            <w:tcW w:w="2954" w:type="dxa"/>
            <w:gridSpan w:val="5"/>
            <w:vMerge w:val="restart"/>
            <w:tcBorders>
              <w:top w:val="double" w:sz="6" w:space="0" w:color="auto"/>
              <w:left w:val="double" w:sz="6" w:space="0" w:color="auto"/>
              <w:bottom w:val="double" w:sz="6" w:space="0" w:color="000000"/>
              <w:right w:val="double" w:sz="6" w:space="0" w:color="000000"/>
            </w:tcBorders>
            <w:shd w:val="clear" w:color="auto" w:fill="C2D69B"/>
            <w:vAlign w:val="center"/>
            <w:hideMark/>
          </w:tcPr>
          <w:p w14:paraId="00634268" w14:textId="77777777" w:rsidR="00890076" w:rsidRDefault="00890076" w:rsidP="00ED3828">
            <w:pPr>
              <w:jc w:val="center"/>
              <w:rPr>
                <w:rFonts w:ascii="Arial" w:hAnsi="Arial" w:cs="Arial"/>
                <w:color w:val="000000"/>
                <w:sz w:val="18"/>
                <w:szCs w:val="18"/>
              </w:rPr>
            </w:pPr>
            <w:r>
              <w:rPr>
                <w:rFonts w:ascii="Arial" w:hAnsi="Arial" w:cs="Arial"/>
                <w:color w:val="000000"/>
                <w:sz w:val="18"/>
                <w:szCs w:val="18"/>
              </w:rPr>
              <w:t>Concepto</w:t>
            </w:r>
          </w:p>
        </w:tc>
        <w:tc>
          <w:tcPr>
            <w:tcW w:w="2410" w:type="dxa"/>
            <w:gridSpan w:val="2"/>
            <w:tcBorders>
              <w:top w:val="double" w:sz="6" w:space="0" w:color="auto"/>
              <w:left w:val="nil"/>
              <w:bottom w:val="double" w:sz="6" w:space="0" w:color="auto"/>
              <w:right w:val="double" w:sz="6" w:space="0" w:color="000000"/>
            </w:tcBorders>
            <w:shd w:val="clear" w:color="auto" w:fill="C2D69B"/>
            <w:vAlign w:val="center"/>
            <w:hideMark/>
          </w:tcPr>
          <w:p w14:paraId="7AF73C23" w14:textId="77777777" w:rsidR="00890076" w:rsidRDefault="00890076" w:rsidP="00ED3828">
            <w:pPr>
              <w:jc w:val="center"/>
              <w:rPr>
                <w:rFonts w:ascii="Arial" w:hAnsi="Arial" w:cs="Arial"/>
                <w:color w:val="000000"/>
                <w:sz w:val="18"/>
                <w:szCs w:val="18"/>
              </w:rPr>
            </w:pPr>
            <w:r>
              <w:rPr>
                <w:rFonts w:ascii="Arial" w:hAnsi="Arial" w:cs="Arial"/>
                <w:color w:val="000000"/>
                <w:sz w:val="18"/>
                <w:szCs w:val="18"/>
              </w:rPr>
              <w:t>Octubre*</w:t>
            </w:r>
          </w:p>
        </w:tc>
        <w:tc>
          <w:tcPr>
            <w:tcW w:w="2693" w:type="dxa"/>
            <w:gridSpan w:val="2"/>
            <w:tcBorders>
              <w:top w:val="double" w:sz="6" w:space="0" w:color="auto"/>
              <w:left w:val="nil"/>
              <w:bottom w:val="double" w:sz="6" w:space="0" w:color="auto"/>
              <w:right w:val="double" w:sz="6" w:space="0" w:color="000000"/>
            </w:tcBorders>
            <w:shd w:val="clear" w:color="auto" w:fill="C2D69B"/>
            <w:vAlign w:val="center"/>
            <w:hideMark/>
          </w:tcPr>
          <w:p w14:paraId="79CAF8EF" w14:textId="77777777" w:rsidR="00890076" w:rsidRDefault="00890076" w:rsidP="00ED3828">
            <w:pPr>
              <w:jc w:val="center"/>
              <w:rPr>
                <w:rFonts w:ascii="Arial" w:hAnsi="Arial" w:cs="Arial"/>
                <w:color w:val="000000"/>
                <w:sz w:val="18"/>
                <w:szCs w:val="18"/>
              </w:rPr>
            </w:pPr>
            <w:r>
              <w:rPr>
                <w:rFonts w:ascii="Arial" w:hAnsi="Arial" w:cs="Arial"/>
                <w:color w:val="000000"/>
                <w:sz w:val="18"/>
                <w:szCs w:val="18"/>
              </w:rPr>
              <w:t>Enero-Octubre*</w:t>
            </w:r>
          </w:p>
        </w:tc>
      </w:tr>
      <w:tr w:rsidR="00890076" w14:paraId="53707239" w14:textId="77777777" w:rsidTr="00ED3828">
        <w:trPr>
          <w:trHeight w:val="510"/>
          <w:jc w:val="center"/>
        </w:trPr>
        <w:tc>
          <w:tcPr>
            <w:tcW w:w="0" w:type="auto"/>
            <w:gridSpan w:val="5"/>
            <w:vMerge/>
            <w:tcBorders>
              <w:top w:val="double" w:sz="6" w:space="0" w:color="auto"/>
              <w:left w:val="double" w:sz="6" w:space="0" w:color="auto"/>
              <w:bottom w:val="double" w:sz="6" w:space="0" w:color="000000"/>
              <w:right w:val="double" w:sz="6" w:space="0" w:color="000000"/>
            </w:tcBorders>
            <w:vAlign w:val="center"/>
            <w:hideMark/>
          </w:tcPr>
          <w:p w14:paraId="39CC1FBE" w14:textId="77777777" w:rsidR="00890076" w:rsidRDefault="00890076" w:rsidP="00ED3828">
            <w:pPr>
              <w:rPr>
                <w:rFonts w:ascii="Arial" w:hAnsi="Arial" w:cs="Arial"/>
                <w:color w:val="000000"/>
                <w:sz w:val="18"/>
                <w:szCs w:val="18"/>
              </w:rPr>
            </w:pPr>
          </w:p>
        </w:tc>
        <w:tc>
          <w:tcPr>
            <w:tcW w:w="1276" w:type="dxa"/>
            <w:tcBorders>
              <w:top w:val="nil"/>
              <w:left w:val="nil"/>
              <w:bottom w:val="double" w:sz="6" w:space="0" w:color="000000"/>
              <w:right w:val="double" w:sz="6" w:space="0" w:color="000000"/>
            </w:tcBorders>
            <w:shd w:val="clear" w:color="auto" w:fill="C2D69B"/>
            <w:vAlign w:val="center"/>
            <w:hideMark/>
          </w:tcPr>
          <w:p w14:paraId="66EA8E5E" w14:textId="77777777" w:rsidR="00890076" w:rsidRDefault="00890076" w:rsidP="00ED3828">
            <w:pPr>
              <w:jc w:val="center"/>
              <w:rPr>
                <w:rFonts w:ascii="Arial" w:hAnsi="Arial" w:cs="Arial"/>
                <w:color w:val="000000"/>
                <w:sz w:val="18"/>
                <w:szCs w:val="18"/>
              </w:rPr>
            </w:pPr>
            <w:r>
              <w:rPr>
                <w:rFonts w:ascii="Arial" w:hAnsi="Arial" w:cs="Arial"/>
                <w:color w:val="000000"/>
                <w:sz w:val="18"/>
                <w:szCs w:val="18"/>
              </w:rPr>
              <w:t>Millones de dólares</w:t>
            </w:r>
          </w:p>
        </w:tc>
        <w:tc>
          <w:tcPr>
            <w:tcW w:w="1134" w:type="dxa"/>
            <w:tcBorders>
              <w:top w:val="nil"/>
              <w:left w:val="nil"/>
              <w:bottom w:val="double" w:sz="6" w:space="0" w:color="000000"/>
              <w:right w:val="double" w:sz="6" w:space="0" w:color="000000"/>
            </w:tcBorders>
            <w:shd w:val="clear" w:color="auto" w:fill="C2D69B"/>
            <w:vAlign w:val="center"/>
            <w:hideMark/>
          </w:tcPr>
          <w:p w14:paraId="4F649DE4" w14:textId="77777777" w:rsidR="00890076" w:rsidRDefault="00890076" w:rsidP="00ED3828">
            <w:pPr>
              <w:jc w:val="center"/>
              <w:rPr>
                <w:rFonts w:ascii="Arial" w:hAnsi="Arial" w:cs="Arial"/>
                <w:color w:val="000000"/>
                <w:sz w:val="18"/>
                <w:szCs w:val="18"/>
              </w:rPr>
            </w:pPr>
            <w:r>
              <w:rPr>
                <w:rFonts w:ascii="Arial" w:hAnsi="Arial" w:cs="Arial"/>
                <w:color w:val="000000"/>
                <w:sz w:val="18"/>
                <w:szCs w:val="18"/>
              </w:rPr>
              <w:t>Variación % anual</w:t>
            </w:r>
          </w:p>
        </w:tc>
        <w:tc>
          <w:tcPr>
            <w:tcW w:w="1559" w:type="dxa"/>
            <w:tcBorders>
              <w:top w:val="nil"/>
              <w:left w:val="nil"/>
              <w:bottom w:val="double" w:sz="6" w:space="0" w:color="000000"/>
              <w:right w:val="double" w:sz="6" w:space="0" w:color="000000"/>
            </w:tcBorders>
            <w:shd w:val="clear" w:color="auto" w:fill="C2D69B"/>
            <w:vAlign w:val="center"/>
            <w:hideMark/>
          </w:tcPr>
          <w:p w14:paraId="620A0353" w14:textId="77777777" w:rsidR="00890076" w:rsidRDefault="00890076" w:rsidP="00ED3828">
            <w:pPr>
              <w:jc w:val="center"/>
              <w:rPr>
                <w:rFonts w:ascii="Arial" w:hAnsi="Arial" w:cs="Arial"/>
                <w:color w:val="000000"/>
                <w:sz w:val="18"/>
                <w:szCs w:val="18"/>
              </w:rPr>
            </w:pPr>
            <w:r>
              <w:rPr>
                <w:rFonts w:ascii="Arial" w:hAnsi="Arial" w:cs="Arial"/>
                <w:color w:val="000000"/>
                <w:sz w:val="18"/>
                <w:szCs w:val="18"/>
              </w:rPr>
              <w:t>Millones de dólares</w:t>
            </w:r>
          </w:p>
        </w:tc>
        <w:tc>
          <w:tcPr>
            <w:tcW w:w="1134" w:type="dxa"/>
            <w:tcBorders>
              <w:top w:val="nil"/>
              <w:left w:val="nil"/>
              <w:bottom w:val="double" w:sz="6" w:space="0" w:color="000000"/>
              <w:right w:val="double" w:sz="6" w:space="0" w:color="auto"/>
            </w:tcBorders>
            <w:shd w:val="clear" w:color="auto" w:fill="C2D69B"/>
            <w:vAlign w:val="center"/>
            <w:hideMark/>
          </w:tcPr>
          <w:p w14:paraId="352E7CA4" w14:textId="77777777" w:rsidR="00890076" w:rsidRDefault="00890076" w:rsidP="00ED3828">
            <w:pPr>
              <w:jc w:val="center"/>
              <w:rPr>
                <w:rFonts w:ascii="Arial" w:hAnsi="Arial" w:cs="Arial"/>
                <w:color w:val="000000"/>
                <w:sz w:val="18"/>
                <w:szCs w:val="18"/>
              </w:rPr>
            </w:pPr>
            <w:r>
              <w:rPr>
                <w:rFonts w:ascii="Arial" w:hAnsi="Arial" w:cs="Arial"/>
                <w:color w:val="000000"/>
                <w:sz w:val="18"/>
                <w:szCs w:val="18"/>
              </w:rPr>
              <w:t>Variación % anual</w:t>
            </w:r>
          </w:p>
        </w:tc>
      </w:tr>
      <w:tr w:rsidR="00890076" w14:paraId="1A470F4F" w14:textId="77777777" w:rsidTr="00ED3828">
        <w:trPr>
          <w:trHeight w:val="315"/>
          <w:jc w:val="center"/>
        </w:trPr>
        <w:tc>
          <w:tcPr>
            <w:tcW w:w="238" w:type="dxa"/>
            <w:tcBorders>
              <w:top w:val="nil"/>
              <w:left w:val="double" w:sz="6" w:space="0" w:color="auto"/>
              <w:bottom w:val="nil"/>
              <w:right w:val="nil"/>
            </w:tcBorders>
            <w:shd w:val="clear" w:color="auto" w:fill="auto"/>
            <w:noWrap/>
            <w:vAlign w:val="center"/>
            <w:hideMark/>
          </w:tcPr>
          <w:p w14:paraId="1BDADBF6" w14:textId="77777777" w:rsidR="00890076" w:rsidRPr="00F9707F" w:rsidRDefault="00890076" w:rsidP="00ED3828">
            <w:pPr>
              <w:rPr>
                <w:rFonts w:ascii="Arial" w:hAnsi="Arial" w:cs="Arial"/>
                <w:color w:val="000000"/>
                <w:sz w:val="18"/>
                <w:szCs w:val="18"/>
              </w:rPr>
            </w:pPr>
            <w:r w:rsidRPr="00F9707F">
              <w:rPr>
                <w:rFonts w:ascii="Arial" w:hAnsi="Arial" w:cs="Arial"/>
                <w:color w:val="000000"/>
                <w:sz w:val="18"/>
                <w:szCs w:val="18"/>
              </w:rPr>
              <w:t> </w:t>
            </w:r>
          </w:p>
        </w:tc>
        <w:tc>
          <w:tcPr>
            <w:tcW w:w="2716" w:type="dxa"/>
            <w:gridSpan w:val="4"/>
            <w:tcBorders>
              <w:top w:val="nil"/>
              <w:left w:val="nil"/>
              <w:bottom w:val="nil"/>
              <w:right w:val="double" w:sz="6" w:space="0" w:color="000000"/>
            </w:tcBorders>
            <w:shd w:val="clear" w:color="auto" w:fill="auto"/>
            <w:noWrap/>
            <w:vAlign w:val="center"/>
            <w:hideMark/>
          </w:tcPr>
          <w:p w14:paraId="36352B62" w14:textId="77777777" w:rsidR="00890076" w:rsidRPr="00F9707F" w:rsidRDefault="00890076" w:rsidP="00ED3828">
            <w:pPr>
              <w:rPr>
                <w:rFonts w:ascii="Arial" w:hAnsi="Arial" w:cs="Arial"/>
                <w:b/>
                <w:bCs/>
                <w:color w:val="000000"/>
                <w:sz w:val="18"/>
                <w:szCs w:val="18"/>
                <w:u w:val="single"/>
              </w:rPr>
            </w:pPr>
            <w:r w:rsidRPr="00F9707F">
              <w:rPr>
                <w:rFonts w:ascii="Arial" w:hAnsi="Arial" w:cs="Arial"/>
                <w:b/>
                <w:bCs/>
                <w:color w:val="000000"/>
                <w:sz w:val="18"/>
                <w:szCs w:val="18"/>
                <w:u w:val="single"/>
              </w:rPr>
              <w:t>Exportaciones totales</w:t>
            </w:r>
          </w:p>
        </w:tc>
        <w:tc>
          <w:tcPr>
            <w:tcW w:w="1276" w:type="dxa"/>
            <w:shd w:val="clear" w:color="auto" w:fill="auto"/>
            <w:vAlign w:val="center"/>
            <w:hideMark/>
          </w:tcPr>
          <w:p w14:paraId="30CE1F3A" w14:textId="77777777" w:rsidR="00890076" w:rsidRPr="00F9707F" w:rsidRDefault="00890076" w:rsidP="00ED3828">
            <w:pPr>
              <w:tabs>
                <w:tab w:val="left" w:pos="1069"/>
              </w:tabs>
              <w:ind w:right="73"/>
              <w:jc w:val="right"/>
              <w:rPr>
                <w:rFonts w:ascii="Arial" w:hAnsi="Arial" w:cs="Arial"/>
                <w:b/>
                <w:bCs/>
                <w:color w:val="000000"/>
                <w:sz w:val="18"/>
                <w:szCs w:val="18"/>
                <w:u w:val="single"/>
              </w:rPr>
            </w:pPr>
            <w:r w:rsidRPr="00F9707F">
              <w:rPr>
                <w:rFonts w:ascii="Arial" w:hAnsi="Arial" w:cs="Arial"/>
                <w:b/>
                <w:bCs/>
                <w:color w:val="000000"/>
                <w:sz w:val="18"/>
                <w:szCs w:val="18"/>
                <w:u w:val="single"/>
              </w:rPr>
              <w:t>49 275.3</w:t>
            </w:r>
          </w:p>
        </w:tc>
        <w:tc>
          <w:tcPr>
            <w:tcW w:w="1134" w:type="dxa"/>
            <w:tcBorders>
              <w:top w:val="nil"/>
              <w:left w:val="nil"/>
              <w:bottom w:val="nil"/>
              <w:right w:val="double" w:sz="6" w:space="0" w:color="000000"/>
            </w:tcBorders>
            <w:shd w:val="clear" w:color="auto" w:fill="auto"/>
            <w:vAlign w:val="center"/>
            <w:hideMark/>
          </w:tcPr>
          <w:p w14:paraId="6E90B8A1" w14:textId="77777777" w:rsidR="00890076" w:rsidRPr="00F9707F" w:rsidRDefault="00890076" w:rsidP="00ED3828">
            <w:pPr>
              <w:ind w:right="170"/>
              <w:jc w:val="right"/>
              <w:rPr>
                <w:rFonts w:ascii="Arial" w:hAnsi="Arial" w:cs="Arial"/>
                <w:b/>
                <w:bCs/>
                <w:color w:val="000000"/>
                <w:sz w:val="18"/>
                <w:szCs w:val="18"/>
                <w:u w:val="single"/>
              </w:rPr>
            </w:pPr>
            <w:r w:rsidRPr="00F9707F">
              <w:rPr>
                <w:rFonts w:ascii="Arial" w:hAnsi="Arial" w:cs="Arial"/>
                <w:b/>
                <w:bCs/>
                <w:color w:val="000000"/>
                <w:sz w:val="18"/>
                <w:szCs w:val="18"/>
                <w:u w:val="single"/>
              </w:rPr>
              <w:t>17.7</w:t>
            </w:r>
          </w:p>
        </w:tc>
        <w:tc>
          <w:tcPr>
            <w:tcW w:w="1559" w:type="dxa"/>
            <w:shd w:val="clear" w:color="auto" w:fill="auto"/>
            <w:vAlign w:val="center"/>
            <w:hideMark/>
          </w:tcPr>
          <w:p w14:paraId="4107DA0C" w14:textId="77777777" w:rsidR="00890076" w:rsidRPr="00F9707F" w:rsidRDefault="00890076" w:rsidP="00ED3828">
            <w:pPr>
              <w:ind w:right="211"/>
              <w:jc w:val="right"/>
              <w:rPr>
                <w:rFonts w:ascii="Arial" w:hAnsi="Arial" w:cs="Arial"/>
                <w:b/>
                <w:bCs/>
                <w:color w:val="000000"/>
                <w:sz w:val="18"/>
                <w:szCs w:val="18"/>
                <w:u w:val="single"/>
              </w:rPr>
            </w:pPr>
            <w:r w:rsidRPr="00F9707F">
              <w:rPr>
                <w:rFonts w:ascii="Arial" w:hAnsi="Arial" w:cs="Arial"/>
                <w:b/>
                <w:bCs/>
                <w:color w:val="000000"/>
                <w:sz w:val="18"/>
                <w:szCs w:val="18"/>
                <w:u w:val="single"/>
              </w:rPr>
              <w:t>479 559.2</w:t>
            </w:r>
          </w:p>
        </w:tc>
        <w:tc>
          <w:tcPr>
            <w:tcW w:w="1134" w:type="dxa"/>
            <w:tcBorders>
              <w:top w:val="nil"/>
              <w:left w:val="nil"/>
              <w:bottom w:val="nil"/>
              <w:right w:val="double" w:sz="6" w:space="0" w:color="auto"/>
            </w:tcBorders>
            <w:shd w:val="clear" w:color="auto" w:fill="auto"/>
            <w:vAlign w:val="center"/>
            <w:hideMark/>
          </w:tcPr>
          <w:p w14:paraId="6544C504" w14:textId="77777777" w:rsidR="00890076" w:rsidRPr="00F9707F" w:rsidRDefault="00890076" w:rsidP="00ED3828">
            <w:pPr>
              <w:jc w:val="center"/>
              <w:rPr>
                <w:rFonts w:ascii="Arial" w:hAnsi="Arial" w:cs="Arial"/>
                <w:b/>
                <w:bCs/>
                <w:color w:val="000000"/>
                <w:sz w:val="18"/>
                <w:szCs w:val="18"/>
                <w:u w:val="single"/>
              </w:rPr>
            </w:pPr>
            <w:r w:rsidRPr="00F9707F">
              <w:rPr>
                <w:rFonts w:ascii="Arial" w:hAnsi="Arial" w:cs="Arial"/>
                <w:b/>
                <w:bCs/>
                <w:color w:val="000000"/>
                <w:sz w:val="18"/>
                <w:szCs w:val="18"/>
                <w:u w:val="single"/>
              </w:rPr>
              <w:t>19.5</w:t>
            </w:r>
          </w:p>
        </w:tc>
      </w:tr>
      <w:tr w:rsidR="00890076" w14:paraId="70BEB3DF" w14:textId="77777777" w:rsidTr="00ED3828">
        <w:trPr>
          <w:trHeight w:val="255"/>
          <w:jc w:val="center"/>
        </w:trPr>
        <w:tc>
          <w:tcPr>
            <w:tcW w:w="238" w:type="dxa"/>
            <w:tcBorders>
              <w:top w:val="nil"/>
              <w:left w:val="double" w:sz="6" w:space="0" w:color="auto"/>
              <w:bottom w:val="nil"/>
              <w:right w:val="nil"/>
            </w:tcBorders>
            <w:shd w:val="clear" w:color="auto" w:fill="auto"/>
            <w:vAlign w:val="center"/>
            <w:hideMark/>
          </w:tcPr>
          <w:p w14:paraId="33230FE8" w14:textId="77777777" w:rsidR="00890076" w:rsidRPr="00F9707F" w:rsidRDefault="00890076" w:rsidP="00ED3828">
            <w:pPr>
              <w:jc w:val="both"/>
              <w:rPr>
                <w:rFonts w:ascii="Arial" w:hAnsi="Arial" w:cs="Arial"/>
                <w:color w:val="000000"/>
                <w:sz w:val="18"/>
                <w:szCs w:val="18"/>
              </w:rPr>
            </w:pPr>
            <w:r w:rsidRPr="00F9707F">
              <w:rPr>
                <w:rFonts w:ascii="Arial" w:hAnsi="Arial" w:cs="Arial"/>
                <w:color w:val="000000"/>
                <w:sz w:val="18"/>
                <w:szCs w:val="18"/>
              </w:rPr>
              <w:t> </w:t>
            </w:r>
          </w:p>
        </w:tc>
        <w:tc>
          <w:tcPr>
            <w:tcW w:w="191" w:type="dxa"/>
            <w:shd w:val="clear" w:color="auto" w:fill="auto"/>
            <w:vAlign w:val="center"/>
            <w:hideMark/>
          </w:tcPr>
          <w:p w14:paraId="632618B0" w14:textId="77777777" w:rsidR="00890076" w:rsidRPr="00F9707F" w:rsidRDefault="00890076" w:rsidP="00ED3828">
            <w:pPr>
              <w:jc w:val="both"/>
              <w:rPr>
                <w:rFonts w:ascii="Arial" w:hAnsi="Arial" w:cs="Arial"/>
                <w:color w:val="000000"/>
                <w:sz w:val="18"/>
                <w:szCs w:val="18"/>
              </w:rPr>
            </w:pPr>
            <w:r w:rsidRPr="00F9707F">
              <w:rPr>
                <w:rFonts w:ascii="Arial" w:hAnsi="Arial" w:cs="Arial"/>
                <w:color w:val="000000"/>
                <w:sz w:val="18"/>
                <w:szCs w:val="18"/>
              </w:rPr>
              <w:t> </w:t>
            </w:r>
          </w:p>
        </w:tc>
        <w:tc>
          <w:tcPr>
            <w:tcW w:w="2525" w:type="dxa"/>
            <w:gridSpan w:val="3"/>
            <w:tcBorders>
              <w:top w:val="nil"/>
              <w:left w:val="nil"/>
              <w:bottom w:val="nil"/>
              <w:right w:val="double" w:sz="6" w:space="0" w:color="000000"/>
            </w:tcBorders>
            <w:shd w:val="clear" w:color="auto" w:fill="auto"/>
            <w:noWrap/>
            <w:vAlign w:val="center"/>
            <w:hideMark/>
          </w:tcPr>
          <w:p w14:paraId="478DF6DF" w14:textId="77777777" w:rsidR="00890076" w:rsidRPr="00F9707F" w:rsidRDefault="00890076" w:rsidP="00ED3828">
            <w:pPr>
              <w:jc w:val="both"/>
              <w:rPr>
                <w:rFonts w:ascii="Arial" w:hAnsi="Arial" w:cs="Arial"/>
                <w:color w:val="000000"/>
                <w:sz w:val="18"/>
                <w:szCs w:val="18"/>
              </w:rPr>
            </w:pPr>
            <w:r w:rsidRPr="00F9707F">
              <w:rPr>
                <w:rFonts w:ascii="Arial" w:hAnsi="Arial" w:cs="Arial"/>
                <w:color w:val="000000"/>
                <w:sz w:val="18"/>
                <w:szCs w:val="18"/>
              </w:rPr>
              <w:t>Petroleras</w:t>
            </w:r>
          </w:p>
        </w:tc>
        <w:tc>
          <w:tcPr>
            <w:tcW w:w="1276" w:type="dxa"/>
            <w:shd w:val="clear" w:color="auto" w:fill="auto"/>
            <w:vAlign w:val="center"/>
            <w:hideMark/>
          </w:tcPr>
          <w:p w14:paraId="2C44A82C" w14:textId="77777777" w:rsidR="00890076" w:rsidRPr="00F9707F" w:rsidRDefault="00890076" w:rsidP="00ED3828">
            <w:pPr>
              <w:tabs>
                <w:tab w:val="left" w:pos="1069"/>
              </w:tabs>
              <w:ind w:right="73"/>
              <w:jc w:val="right"/>
              <w:rPr>
                <w:rFonts w:ascii="Arial" w:hAnsi="Arial" w:cs="Arial"/>
                <w:color w:val="000000"/>
                <w:sz w:val="18"/>
                <w:szCs w:val="18"/>
              </w:rPr>
            </w:pPr>
            <w:r w:rsidRPr="00F9707F">
              <w:rPr>
                <w:rFonts w:ascii="Arial" w:hAnsi="Arial" w:cs="Arial"/>
                <w:bCs/>
                <w:color w:val="000000"/>
                <w:sz w:val="18"/>
                <w:szCs w:val="18"/>
              </w:rPr>
              <w:t>2 892.3</w:t>
            </w:r>
          </w:p>
        </w:tc>
        <w:tc>
          <w:tcPr>
            <w:tcW w:w="1134" w:type="dxa"/>
            <w:tcBorders>
              <w:top w:val="nil"/>
              <w:left w:val="nil"/>
              <w:bottom w:val="nil"/>
              <w:right w:val="double" w:sz="6" w:space="0" w:color="auto"/>
            </w:tcBorders>
            <w:shd w:val="clear" w:color="auto" w:fill="auto"/>
            <w:vAlign w:val="center"/>
            <w:hideMark/>
          </w:tcPr>
          <w:p w14:paraId="60F46DAF" w14:textId="77777777" w:rsidR="00890076" w:rsidRPr="00F9707F" w:rsidRDefault="00890076" w:rsidP="00ED3828">
            <w:pPr>
              <w:ind w:right="170"/>
              <w:jc w:val="right"/>
              <w:rPr>
                <w:rFonts w:ascii="Arial" w:hAnsi="Arial" w:cs="Arial"/>
                <w:color w:val="000000"/>
                <w:sz w:val="18"/>
                <w:szCs w:val="18"/>
              </w:rPr>
            </w:pPr>
            <w:r w:rsidRPr="00F9707F">
              <w:rPr>
                <w:rFonts w:ascii="Arial" w:hAnsi="Arial" w:cs="Arial"/>
                <w:bCs/>
                <w:color w:val="000000"/>
                <w:sz w:val="18"/>
                <w:szCs w:val="18"/>
              </w:rPr>
              <w:t>6.9</w:t>
            </w:r>
          </w:p>
        </w:tc>
        <w:tc>
          <w:tcPr>
            <w:tcW w:w="1559" w:type="dxa"/>
            <w:shd w:val="clear" w:color="auto" w:fill="auto"/>
            <w:vAlign w:val="center"/>
            <w:hideMark/>
          </w:tcPr>
          <w:p w14:paraId="1C20BA47" w14:textId="77777777" w:rsidR="00890076" w:rsidRPr="00F9707F" w:rsidRDefault="00890076" w:rsidP="00ED3828">
            <w:pPr>
              <w:ind w:right="211"/>
              <w:jc w:val="right"/>
              <w:rPr>
                <w:rFonts w:ascii="Arial" w:hAnsi="Arial" w:cs="Arial"/>
                <w:color w:val="000000"/>
                <w:sz w:val="18"/>
                <w:szCs w:val="18"/>
              </w:rPr>
            </w:pPr>
            <w:r w:rsidRPr="00F9707F">
              <w:rPr>
                <w:rFonts w:ascii="Arial" w:hAnsi="Arial" w:cs="Arial"/>
                <w:bCs/>
                <w:color w:val="000000"/>
                <w:sz w:val="18"/>
                <w:szCs w:val="18"/>
              </w:rPr>
              <w:t>33 891.2</w:t>
            </w:r>
          </w:p>
        </w:tc>
        <w:tc>
          <w:tcPr>
            <w:tcW w:w="1134" w:type="dxa"/>
            <w:tcBorders>
              <w:top w:val="nil"/>
              <w:left w:val="nil"/>
              <w:bottom w:val="nil"/>
              <w:right w:val="double" w:sz="6" w:space="0" w:color="auto"/>
            </w:tcBorders>
            <w:shd w:val="clear" w:color="auto" w:fill="auto"/>
            <w:vAlign w:val="center"/>
            <w:hideMark/>
          </w:tcPr>
          <w:p w14:paraId="2E96F841" w14:textId="77777777" w:rsidR="00890076" w:rsidRPr="00F9707F" w:rsidRDefault="00890076" w:rsidP="00ED3828">
            <w:pPr>
              <w:jc w:val="center"/>
              <w:rPr>
                <w:rFonts w:ascii="Arial" w:hAnsi="Arial" w:cs="Arial"/>
                <w:color w:val="000000"/>
                <w:sz w:val="18"/>
                <w:szCs w:val="18"/>
              </w:rPr>
            </w:pPr>
            <w:r w:rsidRPr="00F9707F">
              <w:rPr>
                <w:rFonts w:ascii="Arial" w:hAnsi="Arial" w:cs="Arial"/>
                <w:bCs/>
                <w:color w:val="000000"/>
                <w:sz w:val="18"/>
                <w:szCs w:val="18"/>
              </w:rPr>
              <w:t>43.3</w:t>
            </w:r>
          </w:p>
        </w:tc>
      </w:tr>
      <w:tr w:rsidR="00890076" w14:paraId="5DD2B29A" w14:textId="77777777" w:rsidTr="00ED3828">
        <w:trPr>
          <w:trHeight w:val="255"/>
          <w:jc w:val="center"/>
        </w:trPr>
        <w:tc>
          <w:tcPr>
            <w:tcW w:w="238" w:type="dxa"/>
            <w:tcBorders>
              <w:top w:val="nil"/>
              <w:left w:val="double" w:sz="6" w:space="0" w:color="auto"/>
              <w:bottom w:val="nil"/>
              <w:right w:val="nil"/>
            </w:tcBorders>
            <w:shd w:val="clear" w:color="auto" w:fill="auto"/>
            <w:vAlign w:val="center"/>
            <w:hideMark/>
          </w:tcPr>
          <w:p w14:paraId="5F075F2E" w14:textId="77777777" w:rsidR="00890076" w:rsidRPr="00F9707F" w:rsidRDefault="00890076" w:rsidP="00ED3828">
            <w:pPr>
              <w:jc w:val="both"/>
              <w:rPr>
                <w:rFonts w:ascii="Arial" w:hAnsi="Arial" w:cs="Arial"/>
                <w:color w:val="000000"/>
                <w:sz w:val="18"/>
                <w:szCs w:val="18"/>
              </w:rPr>
            </w:pPr>
            <w:r w:rsidRPr="00F9707F">
              <w:rPr>
                <w:rFonts w:ascii="Arial" w:hAnsi="Arial" w:cs="Arial"/>
                <w:color w:val="000000"/>
                <w:sz w:val="18"/>
                <w:szCs w:val="18"/>
              </w:rPr>
              <w:t> </w:t>
            </w:r>
          </w:p>
        </w:tc>
        <w:tc>
          <w:tcPr>
            <w:tcW w:w="191" w:type="dxa"/>
            <w:shd w:val="clear" w:color="auto" w:fill="auto"/>
            <w:vAlign w:val="center"/>
            <w:hideMark/>
          </w:tcPr>
          <w:p w14:paraId="38DB5A94" w14:textId="77777777" w:rsidR="00890076" w:rsidRPr="00F9707F" w:rsidRDefault="00890076" w:rsidP="00ED3828">
            <w:pPr>
              <w:jc w:val="both"/>
              <w:rPr>
                <w:rFonts w:ascii="Arial" w:hAnsi="Arial" w:cs="Arial"/>
                <w:color w:val="000000"/>
                <w:sz w:val="18"/>
                <w:szCs w:val="18"/>
              </w:rPr>
            </w:pPr>
            <w:r w:rsidRPr="00F9707F">
              <w:rPr>
                <w:rFonts w:ascii="Arial" w:hAnsi="Arial" w:cs="Arial"/>
                <w:color w:val="000000"/>
                <w:sz w:val="18"/>
                <w:szCs w:val="18"/>
              </w:rPr>
              <w:t> </w:t>
            </w:r>
          </w:p>
        </w:tc>
        <w:tc>
          <w:tcPr>
            <w:tcW w:w="2525" w:type="dxa"/>
            <w:gridSpan w:val="3"/>
            <w:tcBorders>
              <w:top w:val="nil"/>
              <w:left w:val="nil"/>
              <w:bottom w:val="nil"/>
              <w:right w:val="double" w:sz="6" w:space="0" w:color="000000"/>
            </w:tcBorders>
            <w:shd w:val="clear" w:color="auto" w:fill="auto"/>
            <w:noWrap/>
            <w:vAlign w:val="center"/>
            <w:hideMark/>
          </w:tcPr>
          <w:p w14:paraId="522EA4B3" w14:textId="77777777" w:rsidR="00890076" w:rsidRPr="00F9707F" w:rsidRDefault="00890076" w:rsidP="00ED3828">
            <w:pPr>
              <w:jc w:val="both"/>
              <w:rPr>
                <w:rFonts w:ascii="Arial" w:hAnsi="Arial" w:cs="Arial"/>
                <w:color w:val="000000"/>
                <w:sz w:val="18"/>
                <w:szCs w:val="18"/>
              </w:rPr>
            </w:pPr>
            <w:r w:rsidRPr="00F9707F">
              <w:rPr>
                <w:rFonts w:ascii="Arial" w:hAnsi="Arial" w:cs="Arial"/>
                <w:color w:val="000000"/>
                <w:sz w:val="18"/>
                <w:szCs w:val="18"/>
              </w:rPr>
              <w:t>No petroleras</w:t>
            </w:r>
          </w:p>
        </w:tc>
        <w:tc>
          <w:tcPr>
            <w:tcW w:w="1276" w:type="dxa"/>
            <w:shd w:val="clear" w:color="auto" w:fill="auto"/>
            <w:vAlign w:val="center"/>
            <w:hideMark/>
          </w:tcPr>
          <w:p w14:paraId="62714510" w14:textId="77777777" w:rsidR="00890076" w:rsidRPr="00F9707F" w:rsidRDefault="00890076" w:rsidP="00ED3828">
            <w:pPr>
              <w:tabs>
                <w:tab w:val="left" w:pos="1069"/>
              </w:tabs>
              <w:ind w:right="73"/>
              <w:jc w:val="right"/>
              <w:rPr>
                <w:rFonts w:ascii="Arial" w:hAnsi="Arial" w:cs="Arial"/>
                <w:color w:val="000000"/>
                <w:sz w:val="18"/>
                <w:szCs w:val="18"/>
              </w:rPr>
            </w:pPr>
            <w:r w:rsidRPr="00F9707F">
              <w:rPr>
                <w:rFonts w:ascii="Arial" w:hAnsi="Arial" w:cs="Arial"/>
                <w:bCs/>
                <w:color w:val="000000"/>
                <w:sz w:val="18"/>
                <w:szCs w:val="18"/>
              </w:rPr>
              <w:t>46 383.0</w:t>
            </w:r>
          </w:p>
        </w:tc>
        <w:tc>
          <w:tcPr>
            <w:tcW w:w="1134" w:type="dxa"/>
            <w:tcBorders>
              <w:top w:val="nil"/>
              <w:left w:val="nil"/>
              <w:bottom w:val="nil"/>
              <w:right w:val="double" w:sz="6" w:space="0" w:color="auto"/>
            </w:tcBorders>
            <w:shd w:val="clear" w:color="auto" w:fill="auto"/>
            <w:vAlign w:val="center"/>
            <w:hideMark/>
          </w:tcPr>
          <w:p w14:paraId="2E734F14" w14:textId="77777777" w:rsidR="00890076" w:rsidRPr="00F9707F" w:rsidRDefault="00890076" w:rsidP="00ED3828">
            <w:pPr>
              <w:ind w:right="170"/>
              <w:jc w:val="right"/>
              <w:rPr>
                <w:rFonts w:ascii="Arial" w:hAnsi="Arial" w:cs="Arial"/>
                <w:color w:val="000000"/>
                <w:sz w:val="18"/>
                <w:szCs w:val="18"/>
              </w:rPr>
            </w:pPr>
            <w:r w:rsidRPr="00F9707F">
              <w:rPr>
                <w:rFonts w:ascii="Arial" w:hAnsi="Arial" w:cs="Arial"/>
                <w:bCs/>
                <w:color w:val="000000"/>
                <w:sz w:val="18"/>
                <w:szCs w:val="18"/>
              </w:rPr>
              <w:t>18.5</w:t>
            </w:r>
          </w:p>
        </w:tc>
        <w:tc>
          <w:tcPr>
            <w:tcW w:w="1559" w:type="dxa"/>
            <w:shd w:val="clear" w:color="auto" w:fill="auto"/>
            <w:vAlign w:val="center"/>
            <w:hideMark/>
          </w:tcPr>
          <w:p w14:paraId="18AD8B0F" w14:textId="77777777" w:rsidR="00890076" w:rsidRPr="00F9707F" w:rsidRDefault="00890076" w:rsidP="00ED3828">
            <w:pPr>
              <w:ind w:right="211"/>
              <w:jc w:val="right"/>
              <w:rPr>
                <w:rFonts w:ascii="Arial" w:hAnsi="Arial" w:cs="Arial"/>
                <w:color w:val="000000"/>
                <w:sz w:val="18"/>
                <w:szCs w:val="18"/>
              </w:rPr>
            </w:pPr>
            <w:r w:rsidRPr="00F9707F">
              <w:rPr>
                <w:rFonts w:ascii="Arial" w:hAnsi="Arial" w:cs="Arial"/>
                <w:bCs/>
                <w:color w:val="000000"/>
                <w:sz w:val="18"/>
                <w:szCs w:val="18"/>
              </w:rPr>
              <w:t>445 668.0</w:t>
            </w:r>
          </w:p>
        </w:tc>
        <w:tc>
          <w:tcPr>
            <w:tcW w:w="1134" w:type="dxa"/>
            <w:tcBorders>
              <w:top w:val="nil"/>
              <w:left w:val="nil"/>
              <w:bottom w:val="nil"/>
              <w:right w:val="double" w:sz="6" w:space="0" w:color="auto"/>
            </w:tcBorders>
            <w:shd w:val="clear" w:color="auto" w:fill="auto"/>
            <w:vAlign w:val="center"/>
            <w:hideMark/>
          </w:tcPr>
          <w:p w14:paraId="54BC7B4A" w14:textId="77777777" w:rsidR="00890076" w:rsidRPr="00F9707F" w:rsidRDefault="00890076" w:rsidP="00ED3828">
            <w:pPr>
              <w:jc w:val="center"/>
              <w:rPr>
                <w:rFonts w:ascii="Arial" w:hAnsi="Arial" w:cs="Arial"/>
                <w:color w:val="000000"/>
                <w:sz w:val="18"/>
                <w:szCs w:val="18"/>
              </w:rPr>
            </w:pPr>
            <w:r w:rsidRPr="00F9707F">
              <w:rPr>
                <w:rFonts w:ascii="Arial" w:hAnsi="Arial" w:cs="Arial"/>
                <w:color w:val="000000"/>
                <w:sz w:val="18"/>
                <w:szCs w:val="18"/>
              </w:rPr>
              <w:t>18.0</w:t>
            </w:r>
          </w:p>
        </w:tc>
      </w:tr>
      <w:tr w:rsidR="00890076" w14:paraId="2CF131F8" w14:textId="77777777" w:rsidTr="00ED3828">
        <w:trPr>
          <w:trHeight w:val="255"/>
          <w:jc w:val="center"/>
        </w:trPr>
        <w:tc>
          <w:tcPr>
            <w:tcW w:w="238" w:type="dxa"/>
            <w:tcBorders>
              <w:top w:val="nil"/>
              <w:left w:val="double" w:sz="6" w:space="0" w:color="auto"/>
              <w:bottom w:val="nil"/>
              <w:right w:val="nil"/>
            </w:tcBorders>
            <w:shd w:val="clear" w:color="auto" w:fill="auto"/>
            <w:vAlign w:val="center"/>
            <w:hideMark/>
          </w:tcPr>
          <w:p w14:paraId="771AAD49" w14:textId="77777777" w:rsidR="00890076" w:rsidRPr="00F9707F" w:rsidRDefault="00890076" w:rsidP="00ED3828">
            <w:pPr>
              <w:rPr>
                <w:rFonts w:ascii="Arial" w:hAnsi="Arial" w:cs="Arial"/>
                <w:color w:val="000000"/>
                <w:sz w:val="18"/>
                <w:szCs w:val="18"/>
              </w:rPr>
            </w:pPr>
            <w:r w:rsidRPr="00F9707F">
              <w:rPr>
                <w:rFonts w:ascii="Arial" w:hAnsi="Arial" w:cs="Arial"/>
                <w:color w:val="000000"/>
                <w:sz w:val="18"/>
                <w:szCs w:val="18"/>
              </w:rPr>
              <w:t> </w:t>
            </w:r>
          </w:p>
        </w:tc>
        <w:tc>
          <w:tcPr>
            <w:tcW w:w="191" w:type="dxa"/>
            <w:shd w:val="clear" w:color="auto" w:fill="auto"/>
            <w:vAlign w:val="center"/>
            <w:hideMark/>
          </w:tcPr>
          <w:p w14:paraId="5576C693" w14:textId="77777777" w:rsidR="00890076" w:rsidRPr="00F9707F" w:rsidRDefault="00890076" w:rsidP="00ED3828">
            <w:pPr>
              <w:rPr>
                <w:rFonts w:ascii="Arial" w:hAnsi="Arial" w:cs="Arial"/>
                <w:color w:val="000000"/>
                <w:sz w:val="18"/>
                <w:szCs w:val="18"/>
              </w:rPr>
            </w:pPr>
            <w:r w:rsidRPr="00F9707F">
              <w:rPr>
                <w:rFonts w:ascii="Arial" w:hAnsi="Arial" w:cs="Arial"/>
                <w:color w:val="000000"/>
                <w:sz w:val="18"/>
                <w:szCs w:val="18"/>
              </w:rPr>
              <w:t> </w:t>
            </w:r>
          </w:p>
        </w:tc>
        <w:tc>
          <w:tcPr>
            <w:tcW w:w="190" w:type="dxa"/>
            <w:shd w:val="clear" w:color="auto" w:fill="auto"/>
            <w:noWrap/>
            <w:vAlign w:val="bottom"/>
            <w:hideMark/>
          </w:tcPr>
          <w:p w14:paraId="48ACD563" w14:textId="77777777" w:rsidR="00890076" w:rsidRPr="00F9707F" w:rsidRDefault="00890076" w:rsidP="00ED3828">
            <w:pPr>
              <w:rPr>
                <w:rFonts w:ascii="Calibri" w:hAnsi="Calibri" w:cs="Calibri"/>
                <w:color w:val="000000"/>
                <w:sz w:val="22"/>
                <w:szCs w:val="22"/>
              </w:rPr>
            </w:pPr>
            <w:r w:rsidRPr="00F9707F">
              <w:rPr>
                <w:rFonts w:ascii="Calibri" w:hAnsi="Calibri" w:cs="Calibri"/>
                <w:color w:val="000000"/>
                <w:sz w:val="22"/>
                <w:szCs w:val="22"/>
              </w:rPr>
              <w:t> </w:t>
            </w:r>
          </w:p>
        </w:tc>
        <w:tc>
          <w:tcPr>
            <w:tcW w:w="2335" w:type="dxa"/>
            <w:gridSpan w:val="2"/>
            <w:tcBorders>
              <w:top w:val="nil"/>
              <w:left w:val="nil"/>
              <w:bottom w:val="nil"/>
              <w:right w:val="double" w:sz="6" w:space="0" w:color="000000"/>
            </w:tcBorders>
            <w:shd w:val="clear" w:color="auto" w:fill="auto"/>
            <w:vAlign w:val="center"/>
            <w:hideMark/>
          </w:tcPr>
          <w:p w14:paraId="29830498" w14:textId="77777777" w:rsidR="00890076" w:rsidRPr="00F9707F" w:rsidRDefault="00890076" w:rsidP="00ED3828">
            <w:pPr>
              <w:rPr>
                <w:rFonts w:ascii="Arial" w:hAnsi="Arial" w:cs="Arial"/>
                <w:color w:val="000000"/>
                <w:sz w:val="18"/>
                <w:szCs w:val="18"/>
              </w:rPr>
            </w:pPr>
            <w:r w:rsidRPr="00F9707F">
              <w:rPr>
                <w:rFonts w:ascii="Arial" w:hAnsi="Arial" w:cs="Arial"/>
                <w:color w:val="000000"/>
                <w:sz w:val="18"/>
                <w:szCs w:val="18"/>
              </w:rPr>
              <w:t>Agropecuarias</w:t>
            </w:r>
          </w:p>
        </w:tc>
        <w:tc>
          <w:tcPr>
            <w:tcW w:w="1276" w:type="dxa"/>
            <w:shd w:val="clear" w:color="auto" w:fill="auto"/>
            <w:vAlign w:val="center"/>
            <w:hideMark/>
          </w:tcPr>
          <w:p w14:paraId="2253F597" w14:textId="77777777" w:rsidR="00890076" w:rsidRPr="00F9707F" w:rsidRDefault="00890076" w:rsidP="00ED3828">
            <w:pPr>
              <w:tabs>
                <w:tab w:val="left" w:pos="1069"/>
              </w:tabs>
              <w:ind w:right="73"/>
              <w:jc w:val="right"/>
              <w:rPr>
                <w:rFonts w:ascii="Arial" w:hAnsi="Arial" w:cs="Arial"/>
                <w:color w:val="000000"/>
                <w:sz w:val="18"/>
                <w:szCs w:val="18"/>
              </w:rPr>
            </w:pPr>
            <w:r w:rsidRPr="00F9707F">
              <w:rPr>
                <w:rFonts w:ascii="Arial" w:hAnsi="Arial" w:cs="Arial"/>
                <w:bCs/>
                <w:color w:val="000000"/>
                <w:sz w:val="18"/>
                <w:szCs w:val="18"/>
              </w:rPr>
              <w:t>1 499.0</w:t>
            </w:r>
          </w:p>
        </w:tc>
        <w:tc>
          <w:tcPr>
            <w:tcW w:w="1134" w:type="dxa"/>
            <w:tcBorders>
              <w:top w:val="nil"/>
              <w:left w:val="nil"/>
              <w:bottom w:val="nil"/>
              <w:right w:val="double" w:sz="6" w:space="0" w:color="auto"/>
            </w:tcBorders>
            <w:shd w:val="clear" w:color="auto" w:fill="auto"/>
            <w:vAlign w:val="center"/>
            <w:hideMark/>
          </w:tcPr>
          <w:p w14:paraId="0A016871" w14:textId="77777777" w:rsidR="00890076" w:rsidRPr="00F9707F" w:rsidRDefault="00890076" w:rsidP="00ED3828">
            <w:pPr>
              <w:ind w:right="170"/>
              <w:jc w:val="right"/>
              <w:rPr>
                <w:rFonts w:ascii="Arial" w:hAnsi="Arial" w:cs="Arial"/>
                <w:color w:val="000000"/>
                <w:sz w:val="18"/>
                <w:szCs w:val="18"/>
              </w:rPr>
            </w:pPr>
            <w:r w:rsidRPr="00F9707F">
              <w:rPr>
                <w:rFonts w:ascii="Arial" w:hAnsi="Arial" w:cs="Arial"/>
                <w:bCs/>
                <w:color w:val="000000"/>
                <w:sz w:val="18"/>
                <w:szCs w:val="18"/>
              </w:rPr>
              <w:t>3.2</w:t>
            </w:r>
          </w:p>
        </w:tc>
        <w:tc>
          <w:tcPr>
            <w:tcW w:w="1559" w:type="dxa"/>
            <w:shd w:val="clear" w:color="auto" w:fill="auto"/>
            <w:vAlign w:val="center"/>
            <w:hideMark/>
          </w:tcPr>
          <w:p w14:paraId="73106E92" w14:textId="77777777" w:rsidR="00890076" w:rsidRPr="00F9707F" w:rsidRDefault="00890076" w:rsidP="00ED3828">
            <w:pPr>
              <w:ind w:right="211"/>
              <w:jc w:val="right"/>
              <w:rPr>
                <w:rFonts w:ascii="Arial" w:hAnsi="Arial" w:cs="Arial"/>
                <w:color w:val="000000"/>
                <w:sz w:val="18"/>
                <w:szCs w:val="18"/>
              </w:rPr>
            </w:pPr>
            <w:r w:rsidRPr="00F9707F">
              <w:rPr>
                <w:rFonts w:ascii="Arial" w:hAnsi="Arial" w:cs="Arial"/>
                <w:bCs/>
                <w:color w:val="000000"/>
                <w:sz w:val="18"/>
                <w:szCs w:val="18"/>
              </w:rPr>
              <w:t>17 540.7</w:t>
            </w:r>
          </w:p>
        </w:tc>
        <w:tc>
          <w:tcPr>
            <w:tcW w:w="1134" w:type="dxa"/>
            <w:tcBorders>
              <w:top w:val="nil"/>
              <w:left w:val="nil"/>
              <w:bottom w:val="nil"/>
              <w:right w:val="double" w:sz="6" w:space="0" w:color="auto"/>
            </w:tcBorders>
            <w:shd w:val="clear" w:color="auto" w:fill="auto"/>
            <w:vAlign w:val="center"/>
            <w:hideMark/>
          </w:tcPr>
          <w:p w14:paraId="586EC7BB" w14:textId="77777777" w:rsidR="00890076" w:rsidRPr="00F9707F" w:rsidRDefault="00890076" w:rsidP="00ED3828">
            <w:pPr>
              <w:jc w:val="center"/>
              <w:rPr>
                <w:rFonts w:ascii="Arial" w:hAnsi="Arial" w:cs="Arial"/>
                <w:color w:val="000000"/>
                <w:sz w:val="18"/>
                <w:szCs w:val="18"/>
              </w:rPr>
            </w:pPr>
            <w:r w:rsidRPr="00F9707F">
              <w:rPr>
                <w:rFonts w:ascii="Arial" w:hAnsi="Arial" w:cs="Arial"/>
                <w:bCs/>
                <w:color w:val="000000"/>
                <w:sz w:val="18"/>
                <w:szCs w:val="18"/>
              </w:rPr>
              <w:t>8.7</w:t>
            </w:r>
          </w:p>
        </w:tc>
      </w:tr>
      <w:tr w:rsidR="00890076" w14:paraId="44B474FF" w14:textId="77777777" w:rsidTr="00ED3828">
        <w:trPr>
          <w:trHeight w:val="255"/>
          <w:jc w:val="center"/>
        </w:trPr>
        <w:tc>
          <w:tcPr>
            <w:tcW w:w="238" w:type="dxa"/>
            <w:tcBorders>
              <w:top w:val="nil"/>
              <w:left w:val="double" w:sz="6" w:space="0" w:color="auto"/>
              <w:bottom w:val="nil"/>
              <w:right w:val="nil"/>
            </w:tcBorders>
            <w:shd w:val="clear" w:color="auto" w:fill="auto"/>
            <w:vAlign w:val="center"/>
            <w:hideMark/>
          </w:tcPr>
          <w:p w14:paraId="3C16B330" w14:textId="77777777" w:rsidR="00890076" w:rsidRPr="00F9707F" w:rsidRDefault="00890076" w:rsidP="00ED3828">
            <w:pPr>
              <w:jc w:val="both"/>
              <w:rPr>
                <w:rFonts w:ascii="Arial" w:hAnsi="Arial" w:cs="Arial"/>
                <w:color w:val="000000"/>
                <w:sz w:val="18"/>
                <w:szCs w:val="18"/>
              </w:rPr>
            </w:pPr>
            <w:r w:rsidRPr="00F9707F">
              <w:rPr>
                <w:rFonts w:ascii="Arial" w:hAnsi="Arial" w:cs="Arial"/>
                <w:color w:val="000000"/>
                <w:sz w:val="18"/>
                <w:szCs w:val="18"/>
              </w:rPr>
              <w:t> </w:t>
            </w:r>
          </w:p>
        </w:tc>
        <w:tc>
          <w:tcPr>
            <w:tcW w:w="191" w:type="dxa"/>
            <w:shd w:val="clear" w:color="auto" w:fill="auto"/>
            <w:vAlign w:val="center"/>
            <w:hideMark/>
          </w:tcPr>
          <w:p w14:paraId="4DE505D7" w14:textId="77777777" w:rsidR="00890076" w:rsidRPr="00F9707F" w:rsidRDefault="00890076" w:rsidP="00ED3828">
            <w:pPr>
              <w:jc w:val="both"/>
              <w:rPr>
                <w:rFonts w:ascii="Arial" w:hAnsi="Arial" w:cs="Arial"/>
                <w:color w:val="000000"/>
                <w:sz w:val="18"/>
                <w:szCs w:val="18"/>
              </w:rPr>
            </w:pPr>
            <w:r w:rsidRPr="00F9707F">
              <w:rPr>
                <w:rFonts w:ascii="Arial" w:hAnsi="Arial" w:cs="Arial"/>
                <w:color w:val="000000"/>
                <w:sz w:val="18"/>
                <w:szCs w:val="18"/>
              </w:rPr>
              <w:t> </w:t>
            </w:r>
          </w:p>
        </w:tc>
        <w:tc>
          <w:tcPr>
            <w:tcW w:w="190" w:type="dxa"/>
            <w:shd w:val="clear" w:color="auto" w:fill="auto"/>
            <w:noWrap/>
            <w:vAlign w:val="bottom"/>
            <w:hideMark/>
          </w:tcPr>
          <w:p w14:paraId="661DD4EE" w14:textId="77777777" w:rsidR="00890076" w:rsidRPr="00F9707F" w:rsidRDefault="00890076" w:rsidP="00ED3828">
            <w:pPr>
              <w:rPr>
                <w:rFonts w:ascii="Calibri" w:hAnsi="Calibri" w:cs="Calibri"/>
                <w:color w:val="000000"/>
                <w:sz w:val="22"/>
                <w:szCs w:val="22"/>
              </w:rPr>
            </w:pPr>
            <w:r w:rsidRPr="00F9707F">
              <w:rPr>
                <w:rFonts w:ascii="Calibri" w:hAnsi="Calibri" w:cs="Calibri"/>
                <w:color w:val="000000"/>
                <w:sz w:val="22"/>
                <w:szCs w:val="22"/>
              </w:rPr>
              <w:t> </w:t>
            </w:r>
          </w:p>
        </w:tc>
        <w:tc>
          <w:tcPr>
            <w:tcW w:w="2335" w:type="dxa"/>
            <w:gridSpan w:val="2"/>
            <w:tcBorders>
              <w:top w:val="nil"/>
              <w:left w:val="nil"/>
              <w:bottom w:val="nil"/>
              <w:right w:val="double" w:sz="6" w:space="0" w:color="000000"/>
            </w:tcBorders>
            <w:shd w:val="clear" w:color="auto" w:fill="auto"/>
            <w:vAlign w:val="center"/>
            <w:hideMark/>
          </w:tcPr>
          <w:p w14:paraId="217EA7C6" w14:textId="77777777" w:rsidR="00890076" w:rsidRPr="00F9707F" w:rsidRDefault="00890076" w:rsidP="00ED3828">
            <w:pPr>
              <w:rPr>
                <w:rFonts w:ascii="Arial" w:hAnsi="Arial" w:cs="Arial"/>
                <w:color w:val="000000"/>
                <w:sz w:val="18"/>
                <w:szCs w:val="18"/>
              </w:rPr>
            </w:pPr>
            <w:r w:rsidRPr="00F9707F">
              <w:rPr>
                <w:rFonts w:ascii="Arial" w:hAnsi="Arial" w:cs="Arial"/>
                <w:color w:val="000000"/>
                <w:sz w:val="18"/>
                <w:szCs w:val="18"/>
              </w:rPr>
              <w:t>Extractivas</w:t>
            </w:r>
          </w:p>
        </w:tc>
        <w:tc>
          <w:tcPr>
            <w:tcW w:w="1276" w:type="dxa"/>
            <w:shd w:val="clear" w:color="auto" w:fill="auto"/>
            <w:vAlign w:val="center"/>
            <w:hideMark/>
          </w:tcPr>
          <w:p w14:paraId="12F70D55" w14:textId="77777777" w:rsidR="00890076" w:rsidRPr="00F9707F" w:rsidRDefault="00890076" w:rsidP="00ED3828">
            <w:pPr>
              <w:tabs>
                <w:tab w:val="left" w:pos="1069"/>
              </w:tabs>
              <w:ind w:right="73"/>
              <w:jc w:val="right"/>
              <w:rPr>
                <w:rFonts w:ascii="Arial" w:hAnsi="Arial" w:cs="Arial"/>
                <w:color w:val="000000"/>
                <w:sz w:val="18"/>
                <w:szCs w:val="18"/>
              </w:rPr>
            </w:pPr>
            <w:r w:rsidRPr="00F9707F">
              <w:rPr>
                <w:rFonts w:ascii="Arial" w:hAnsi="Arial" w:cs="Arial"/>
                <w:bCs/>
                <w:color w:val="000000"/>
                <w:sz w:val="18"/>
                <w:szCs w:val="18"/>
              </w:rPr>
              <w:t>812.7</w:t>
            </w:r>
          </w:p>
        </w:tc>
        <w:tc>
          <w:tcPr>
            <w:tcW w:w="1134" w:type="dxa"/>
            <w:tcBorders>
              <w:top w:val="nil"/>
              <w:left w:val="nil"/>
              <w:bottom w:val="nil"/>
              <w:right w:val="double" w:sz="6" w:space="0" w:color="auto"/>
            </w:tcBorders>
            <w:shd w:val="clear" w:color="auto" w:fill="auto"/>
            <w:vAlign w:val="center"/>
            <w:hideMark/>
          </w:tcPr>
          <w:p w14:paraId="2AC72469" w14:textId="77777777" w:rsidR="00890076" w:rsidRPr="00F9707F" w:rsidRDefault="00890076" w:rsidP="00ED3828">
            <w:pPr>
              <w:ind w:right="170"/>
              <w:jc w:val="right"/>
              <w:rPr>
                <w:rFonts w:ascii="Arial" w:hAnsi="Arial" w:cs="Arial"/>
                <w:color w:val="000000"/>
                <w:sz w:val="18"/>
                <w:szCs w:val="18"/>
              </w:rPr>
            </w:pPr>
            <w:r w:rsidRPr="00F9707F">
              <w:rPr>
                <w:rFonts w:ascii="Arial" w:hAnsi="Arial" w:cs="Arial"/>
                <w:bCs/>
                <w:color w:val="000000"/>
                <w:sz w:val="18"/>
                <w:szCs w:val="18"/>
              </w:rPr>
              <w:t>-12.3</w:t>
            </w:r>
          </w:p>
        </w:tc>
        <w:tc>
          <w:tcPr>
            <w:tcW w:w="1559" w:type="dxa"/>
            <w:shd w:val="clear" w:color="auto" w:fill="auto"/>
            <w:vAlign w:val="center"/>
            <w:hideMark/>
          </w:tcPr>
          <w:p w14:paraId="34CCA244" w14:textId="77777777" w:rsidR="00890076" w:rsidRPr="00F9707F" w:rsidRDefault="00890076" w:rsidP="00ED3828">
            <w:pPr>
              <w:ind w:right="211"/>
              <w:jc w:val="right"/>
              <w:rPr>
                <w:rFonts w:ascii="Arial" w:hAnsi="Arial" w:cs="Arial"/>
                <w:color w:val="000000"/>
                <w:sz w:val="18"/>
                <w:szCs w:val="18"/>
              </w:rPr>
            </w:pPr>
            <w:r w:rsidRPr="00F9707F">
              <w:rPr>
                <w:rFonts w:ascii="Arial" w:hAnsi="Arial" w:cs="Arial"/>
                <w:bCs/>
                <w:color w:val="000000"/>
                <w:sz w:val="18"/>
                <w:szCs w:val="18"/>
              </w:rPr>
              <w:t>7 488.4</w:t>
            </w:r>
          </w:p>
        </w:tc>
        <w:tc>
          <w:tcPr>
            <w:tcW w:w="1134" w:type="dxa"/>
            <w:tcBorders>
              <w:top w:val="nil"/>
              <w:left w:val="nil"/>
              <w:bottom w:val="nil"/>
              <w:right w:val="double" w:sz="6" w:space="0" w:color="auto"/>
            </w:tcBorders>
            <w:shd w:val="clear" w:color="auto" w:fill="auto"/>
            <w:vAlign w:val="center"/>
            <w:hideMark/>
          </w:tcPr>
          <w:p w14:paraId="2979E78A" w14:textId="77777777" w:rsidR="00890076" w:rsidRPr="00F9707F" w:rsidRDefault="00890076" w:rsidP="00ED3828">
            <w:pPr>
              <w:jc w:val="center"/>
              <w:rPr>
                <w:rFonts w:ascii="Arial" w:hAnsi="Arial" w:cs="Arial"/>
                <w:color w:val="000000"/>
                <w:sz w:val="18"/>
                <w:szCs w:val="18"/>
              </w:rPr>
            </w:pPr>
            <w:r w:rsidRPr="00F9707F">
              <w:rPr>
                <w:rFonts w:ascii="Arial" w:hAnsi="Arial" w:cs="Arial"/>
                <w:bCs/>
                <w:color w:val="000000"/>
                <w:sz w:val="18"/>
                <w:szCs w:val="18"/>
              </w:rPr>
              <w:t>-6.4</w:t>
            </w:r>
          </w:p>
        </w:tc>
      </w:tr>
      <w:tr w:rsidR="00890076" w14:paraId="2CEE639D" w14:textId="77777777" w:rsidTr="00ED3828">
        <w:trPr>
          <w:trHeight w:val="255"/>
          <w:jc w:val="center"/>
        </w:trPr>
        <w:tc>
          <w:tcPr>
            <w:tcW w:w="238" w:type="dxa"/>
            <w:tcBorders>
              <w:top w:val="nil"/>
              <w:left w:val="double" w:sz="6" w:space="0" w:color="auto"/>
              <w:bottom w:val="nil"/>
              <w:right w:val="nil"/>
            </w:tcBorders>
            <w:shd w:val="clear" w:color="auto" w:fill="auto"/>
            <w:vAlign w:val="center"/>
            <w:hideMark/>
          </w:tcPr>
          <w:p w14:paraId="59F928A3" w14:textId="77777777" w:rsidR="00890076" w:rsidRPr="00F9707F" w:rsidRDefault="00890076" w:rsidP="00ED3828">
            <w:pPr>
              <w:jc w:val="both"/>
              <w:rPr>
                <w:rFonts w:ascii="Arial" w:hAnsi="Arial" w:cs="Arial"/>
                <w:color w:val="000000"/>
                <w:sz w:val="18"/>
                <w:szCs w:val="18"/>
              </w:rPr>
            </w:pPr>
            <w:r w:rsidRPr="00F9707F">
              <w:rPr>
                <w:rFonts w:ascii="Arial" w:hAnsi="Arial" w:cs="Arial"/>
                <w:color w:val="000000"/>
                <w:sz w:val="18"/>
                <w:szCs w:val="18"/>
              </w:rPr>
              <w:t> </w:t>
            </w:r>
          </w:p>
        </w:tc>
        <w:tc>
          <w:tcPr>
            <w:tcW w:w="191" w:type="dxa"/>
            <w:shd w:val="clear" w:color="auto" w:fill="auto"/>
            <w:vAlign w:val="center"/>
            <w:hideMark/>
          </w:tcPr>
          <w:p w14:paraId="4698D26D" w14:textId="77777777" w:rsidR="00890076" w:rsidRPr="00F9707F" w:rsidRDefault="00890076" w:rsidP="00ED3828">
            <w:pPr>
              <w:jc w:val="both"/>
              <w:rPr>
                <w:rFonts w:ascii="Arial" w:hAnsi="Arial" w:cs="Arial"/>
                <w:color w:val="000000"/>
                <w:sz w:val="18"/>
                <w:szCs w:val="18"/>
              </w:rPr>
            </w:pPr>
            <w:r w:rsidRPr="00F9707F">
              <w:rPr>
                <w:rFonts w:ascii="Arial" w:hAnsi="Arial" w:cs="Arial"/>
                <w:color w:val="000000"/>
                <w:sz w:val="18"/>
                <w:szCs w:val="18"/>
              </w:rPr>
              <w:t> </w:t>
            </w:r>
          </w:p>
        </w:tc>
        <w:tc>
          <w:tcPr>
            <w:tcW w:w="190" w:type="dxa"/>
            <w:shd w:val="clear" w:color="auto" w:fill="auto"/>
            <w:noWrap/>
            <w:vAlign w:val="bottom"/>
            <w:hideMark/>
          </w:tcPr>
          <w:p w14:paraId="6FCD77EF" w14:textId="77777777" w:rsidR="00890076" w:rsidRPr="00F9707F" w:rsidRDefault="00890076" w:rsidP="00ED3828">
            <w:pPr>
              <w:rPr>
                <w:rFonts w:ascii="Calibri" w:hAnsi="Calibri" w:cs="Calibri"/>
                <w:color w:val="000000"/>
                <w:sz w:val="22"/>
                <w:szCs w:val="22"/>
              </w:rPr>
            </w:pPr>
            <w:r w:rsidRPr="00F9707F">
              <w:rPr>
                <w:rFonts w:ascii="Calibri" w:hAnsi="Calibri" w:cs="Calibri"/>
                <w:color w:val="000000"/>
                <w:sz w:val="22"/>
                <w:szCs w:val="22"/>
              </w:rPr>
              <w:t> </w:t>
            </w:r>
          </w:p>
        </w:tc>
        <w:tc>
          <w:tcPr>
            <w:tcW w:w="2335" w:type="dxa"/>
            <w:gridSpan w:val="2"/>
            <w:tcBorders>
              <w:top w:val="nil"/>
              <w:left w:val="nil"/>
              <w:bottom w:val="nil"/>
              <w:right w:val="double" w:sz="6" w:space="0" w:color="000000"/>
            </w:tcBorders>
            <w:shd w:val="clear" w:color="auto" w:fill="auto"/>
            <w:vAlign w:val="center"/>
            <w:hideMark/>
          </w:tcPr>
          <w:p w14:paraId="387F11F2" w14:textId="77777777" w:rsidR="00890076" w:rsidRPr="00F9707F" w:rsidRDefault="00890076" w:rsidP="00ED3828">
            <w:pPr>
              <w:jc w:val="both"/>
              <w:rPr>
                <w:rFonts w:ascii="Arial" w:hAnsi="Arial" w:cs="Arial"/>
                <w:color w:val="000000"/>
                <w:sz w:val="18"/>
                <w:szCs w:val="18"/>
              </w:rPr>
            </w:pPr>
            <w:r w:rsidRPr="00F9707F">
              <w:rPr>
                <w:rFonts w:ascii="Arial" w:hAnsi="Arial" w:cs="Arial"/>
                <w:color w:val="000000"/>
                <w:sz w:val="18"/>
                <w:szCs w:val="18"/>
              </w:rPr>
              <w:t>Manufactureras</w:t>
            </w:r>
          </w:p>
        </w:tc>
        <w:tc>
          <w:tcPr>
            <w:tcW w:w="1276" w:type="dxa"/>
            <w:shd w:val="clear" w:color="auto" w:fill="auto"/>
            <w:vAlign w:val="center"/>
            <w:hideMark/>
          </w:tcPr>
          <w:p w14:paraId="7DE05025" w14:textId="77777777" w:rsidR="00890076" w:rsidRPr="00F9707F" w:rsidRDefault="00890076" w:rsidP="00ED3828">
            <w:pPr>
              <w:tabs>
                <w:tab w:val="left" w:pos="1069"/>
              </w:tabs>
              <w:ind w:right="73"/>
              <w:jc w:val="right"/>
              <w:rPr>
                <w:rFonts w:ascii="Arial" w:hAnsi="Arial" w:cs="Arial"/>
                <w:color w:val="000000"/>
                <w:sz w:val="18"/>
                <w:szCs w:val="18"/>
              </w:rPr>
            </w:pPr>
            <w:r w:rsidRPr="00F9707F">
              <w:rPr>
                <w:rFonts w:ascii="Arial" w:hAnsi="Arial" w:cs="Arial"/>
                <w:bCs/>
                <w:color w:val="000000"/>
                <w:sz w:val="18"/>
                <w:szCs w:val="18"/>
              </w:rPr>
              <w:t>44 071.4</w:t>
            </w:r>
          </w:p>
        </w:tc>
        <w:tc>
          <w:tcPr>
            <w:tcW w:w="1134" w:type="dxa"/>
            <w:tcBorders>
              <w:top w:val="nil"/>
              <w:left w:val="nil"/>
              <w:bottom w:val="nil"/>
              <w:right w:val="double" w:sz="6" w:space="0" w:color="auto"/>
            </w:tcBorders>
            <w:shd w:val="clear" w:color="auto" w:fill="auto"/>
            <w:vAlign w:val="center"/>
            <w:hideMark/>
          </w:tcPr>
          <w:p w14:paraId="216F967A" w14:textId="77777777" w:rsidR="00890076" w:rsidRPr="00F9707F" w:rsidRDefault="00890076" w:rsidP="00ED3828">
            <w:pPr>
              <w:ind w:right="170"/>
              <w:jc w:val="right"/>
              <w:rPr>
                <w:rFonts w:ascii="Arial" w:hAnsi="Arial" w:cs="Arial"/>
                <w:color w:val="000000"/>
                <w:sz w:val="18"/>
                <w:szCs w:val="18"/>
              </w:rPr>
            </w:pPr>
            <w:r w:rsidRPr="00F9707F">
              <w:rPr>
                <w:rFonts w:ascii="Arial" w:hAnsi="Arial" w:cs="Arial"/>
                <w:bCs/>
                <w:color w:val="000000"/>
                <w:sz w:val="18"/>
                <w:szCs w:val="18"/>
              </w:rPr>
              <w:t>19.8</w:t>
            </w:r>
          </w:p>
        </w:tc>
        <w:tc>
          <w:tcPr>
            <w:tcW w:w="1559" w:type="dxa"/>
            <w:shd w:val="clear" w:color="auto" w:fill="auto"/>
            <w:vAlign w:val="center"/>
            <w:hideMark/>
          </w:tcPr>
          <w:p w14:paraId="50EC83B0" w14:textId="77777777" w:rsidR="00890076" w:rsidRPr="00F9707F" w:rsidRDefault="00890076" w:rsidP="00ED3828">
            <w:pPr>
              <w:ind w:right="211"/>
              <w:jc w:val="right"/>
              <w:rPr>
                <w:rFonts w:ascii="Arial" w:hAnsi="Arial" w:cs="Arial"/>
                <w:color w:val="000000"/>
                <w:sz w:val="18"/>
                <w:szCs w:val="18"/>
              </w:rPr>
            </w:pPr>
            <w:r w:rsidRPr="00F9707F">
              <w:rPr>
                <w:rFonts w:ascii="Arial" w:hAnsi="Arial" w:cs="Arial"/>
                <w:bCs/>
                <w:color w:val="000000"/>
                <w:sz w:val="18"/>
                <w:szCs w:val="18"/>
              </w:rPr>
              <w:t>420 638.9</w:t>
            </w:r>
          </w:p>
        </w:tc>
        <w:tc>
          <w:tcPr>
            <w:tcW w:w="1134" w:type="dxa"/>
            <w:tcBorders>
              <w:top w:val="nil"/>
              <w:left w:val="nil"/>
              <w:bottom w:val="nil"/>
              <w:right w:val="double" w:sz="6" w:space="0" w:color="auto"/>
            </w:tcBorders>
            <w:shd w:val="clear" w:color="auto" w:fill="auto"/>
            <w:vAlign w:val="center"/>
            <w:hideMark/>
          </w:tcPr>
          <w:p w14:paraId="1C84C7B6" w14:textId="77777777" w:rsidR="00890076" w:rsidRPr="00F9707F" w:rsidRDefault="00890076" w:rsidP="00ED3828">
            <w:pPr>
              <w:jc w:val="center"/>
              <w:rPr>
                <w:rFonts w:ascii="Arial" w:hAnsi="Arial" w:cs="Arial"/>
                <w:color w:val="000000"/>
                <w:sz w:val="18"/>
                <w:szCs w:val="18"/>
              </w:rPr>
            </w:pPr>
            <w:r w:rsidRPr="00F9707F">
              <w:rPr>
                <w:rFonts w:ascii="Arial" w:hAnsi="Arial" w:cs="Arial"/>
                <w:bCs/>
                <w:color w:val="000000"/>
                <w:sz w:val="18"/>
                <w:szCs w:val="18"/>
              </w:rPr>
              <w:t>19.0</w:t>
            </w:r>
          </w:p>
        </w:tc>
      </w:tr>
      <w:tr w:rsidR="00890076" w14:paraId="702819EF" w14:textId="77777777" w:rsidTr="00ED3828">
        <w:trPr>
          <w:trHeight w:val="255"/>
          <w:jc w:val="center"/>
        </w:trPr>
        <w:tc>
          <w:tcPr>
            <w:tcW w:w="238" w:type="dxa"/>
            <w:tcBorders>
              <w:top w:val="nil"/>
              <w:left w:val="double" w:sz="6" w:space="0" w:color="auto"/>
              <w:bottom w:val="nil"/>
              <w:right w:val="nil"/>
            </w:tcBorders>
            <w:shd w:val="clear" w:color="auto" w:fill="auto"/>
            <w:vAlign w:val="center"/>
            <w:hideMark/>
          </w:tcPr>
          <w:p w14:paraId="50705759" w14:textId="77777777" w:rsidR="00890076" w:rsidRPr="00F9707F" w:rsidRDefault="00890076" w:rsidP="00ED3828">
            <w:pPr>
              <w:jc w:val="both"/>
              <w:rPr>
                <w:rFonts w:ascii="Arial" w:hAnsi="Arial" w:cs="Arial"/>
                <w:color w:val="000000"/>
                <w:sz w:val="18"/>
                <w:szCs w:val="18"/>
              </w:rPr>
            </w:pPr>
            <w:r w:rsidRPr="00F9707F">
              <w:rPr>
                <w:rFonts w:ascii="Arial" w:hAnsi="Arial" w:cs="Arial"/>
                <w:color w:val="000000"/>
                <w:sz w:val="18"/>
                <w:szCs w:val="18"/>
              </w:rPr>
              <w:t> </w:t>
            </w:r>
          </w:p>
        </w:tc>
        <w:tc>
          <w:tcPr>
            <w:tcW w:w="191" w:type="dxa"/>
            <w:shd w:val="clear" w:color="auto" w:fill="auto"/>
            <w:vAlign w:val="center"/>
            <w:hideMark/>
          </w:tcPr>
          <w:p w14:paraId="00D3DEF5" w14:textId="77777777" w:rsidR="00890076" w:rsidRPr="00F9707F" w:rsidRDefault="00890076" w:rsidP="00ED3828">
            <w:pPr>
              <w:jc w:val="both"/>
              <w:rPr>
                <w:rFonts w:ascii="Arial" w:hAnsi="Arial" w:cs="Arial"/>
                <w:color w:val="000000"/>
                <w:sz w:val="18"/>
                <w:szCs w:val="18"/>
              </w:rPr>
            </w:pPr>
            <w:r w:rsidRPr="00F9707F">
              <w:rPr>
                <w:rFonts w:ascii="Arial" w:hAnsi="Arial" w:cs="Arial"/>
                <w:color w:val="000000"/>
                <w:sz w:val="18"/>
                <w:szCs w:val="18"/>
              </w:rPr>
              <w:t> </w:t>
            </w:r>
          </w:p>
        </w:tc>
        <w:tc>
          <w:tcPr>
            <w:tcW w:w="190" w:type="dxa"/>
            <w:shd w:val="clear" w:color="auto" w:fill="auto"/>
            <w:noWrap/>
            <w:vAlign w:val="bottom"/>
            <w:hideMark/>
          </w:tcPr>
          <w:p w14:paraId="5B1D0683" w14:textId="77777777" w:rsidR="00890076" w:rsidRPr="00F9707F" w:rsidRDefault="00890076" w:rsidP="00ED3828">
            <w:pPr>
              <w:rPr>
                <w:rFonts w:ascii="Calibri" w:hAnsi="Calibri" w:cs="Calibri"/>
                <w:color w:val="000000"/>
                <w:sz w:val="22"/>
                <w:szCs w:val="22"/>
              </w:rPr>
            </w:pPr>
            <w:r w:rsidRPr="00F9707F">
              <w:rPr>
                <w:rFonts w:ascii="Calibri" w:hAnsi="Calibri" w:cs="Calibri"/>
                <w:color w:val="000000"/>
                <w:sz w:val="22"/>
                <w:szCs w:val="22"/>
              </w:rPr>
              <w:t> </w:t>
            </w:r>
          </w:p>
        </w:tc>
        <w:tc>
          <w:tcPr>
            <w:tcW w:w="190" w:type="dxa"/>
            <w:shd w:val="clear" w:color="auto" w:fill="auto"/>
            <w:noWrap/>
            <w:vAlign w:val="bottom"/>
            <w:hideMark/>
          </w:tcPr>
          <w:p w14:paraId="038FC190" w14:textId="77777777" w:rsidR="00890076" w:rsidRPr="00F9707F" w:rsidRDefault="00890076" w:rsidP="00ED3828">
            <w:pPr>
              <w:rPr>
                <w:rFonts w:ascii="Calibri" w:hAnsi="Calibri" w:cs="Calibri"/>
                <w:color w:val="000000"/>
                <w:sz w:val="22"/>
                <w:szCs w:val="22"/>
              </w:rPr>
            </w:pPr>
            <w:r w:rsidRPr="00F9707F">
              <w:rPr>
                <w:rFonts w:ascii="Calibri" w:hAnsi="Calibri" w:cs="Calibri"/>
                <w:color w:val="000000"/>
                <w:sz w:val="22"/>
                <w:szCs w:val="22"/>
              </w:rPr>
              <w:t> </w:t>
            </w:r>
          </w:p>
        </w:tc>
        <w:tc>
          <w:tcPr>
            <w:tcW w:w="2145" w:type="dxa"/>
            <w:tcBorders>
              <w:top w:val="nil"/>
              <w:left w:val="nil"/>
              <w:bottom w:val="nil"/>
              <w:right w:val="double" w:sz="6" w:space="0" w:color="auto"/>
            </w:tcBorders>
            <w:shd w:val="clear" w:color="auto" w:fill="auto"/>
            <w:vAlign w:val="center"/>
            <w:hideMark/>
          </w:tcPr>
          <w:p w14:paraId="3D015474" w14:textId="77777777" w:rsidR="00890076" w:rsidRPr="00F9707F" w:rsidRDefault="00890076" w:rsidP="00ED3828">
            <w:pPr>
              <w:jc w:val="both"/>
              <w:rPr>
                <w:rFonts w:ascii="Arial" w:hAnsi="Arial" w:cs="Arial"/>
                <w:color w:val="000000"/>
                <w:sz w:val="18"/>
                <w:szCs w:val="18"/>
              </w:rPr>
            </w:pPr>
            <w:r w:rsidRPr="00F9707F">
              <w:rPr>
                <w:rFonts w:ascii="Arial" w:hAnsi="Arial" w:cs="Arial"/>
                <w:color w:val="000000"/>
                <w:sz w:val="18"/>
                <w:szCs w:val="18"/>
              </w:rPr>
              <w:t>Automotrices</w:t>
            </w:r>
          </w:p>
        </w:tc>
        <w:tc>
          <w:tcPr>
            <w:tcW w:w="1276" w:type="dxa"/>
            <w:shd w:val="clear" w:color="auto" w:fill="auto"/>
            <w:vAlign w:val="center"/>
            <w:hideMark/>
          </w:tcPr>
          <w:p w14:paraId="7711C73F" w14:textId="77777777" w:rsidR="00890076" w:rsidRPr="00F9707F" w:rsidRDefault="00890076" w:rsidP="00ED3828">
            <w:pPr>
              <w:tabs>
                <w:tab w:val="left" w:pos="1069"/>
              </w:tabs>
              <w:ind w:right="73"/>
              <w:jc w:val="right"/>
              <w:rPr>
                <w:rFonts w:ascii="Arial" w:hAnsi="Arial" w:cs="Arial"/>
                <w:bCs/>
                <w:color w:val="000000"/>
                <w:sz w:val="18"/>
                <w:szCs w:val="18"/>
              </w:rPr>
            </w:pPr>
            <w:r w:rsidRPr="00F9707F">
              <w:rPr>
                <w:rFonts w:ascii="Arial" w:hAnsi="Arial" w:cs="Arial"/>
                <w:bCs/>
                <w:color w:val="000000"/>
                <w:sz w:val="18"/>
                <w:szCs w:val="18"/>
              </w:rPr>
              <w:t>14 617.4</w:t>
            </w:r>
          </w:p>
        </w:tc>
        <w:tc>
          <w:tcPr>
            <w:tcW w:w="1134" w:type="dxa"/>
            <w:tcBorders>
              <w:top w:val="nil"/>
              <w:left w:val="nil"/>
              <w:bottom w:val="nil"/>
              <w:right w:val="double" w:sz="6" w:space="0" w:color="auto"/>
            </w:tcBorders>
            <w:shd w:val="clear" w:color="auto" w:fill="auto"/>
            <w:vAlign w:val="center"/>
            <w:hideMark/>
          </w:tcPr>
          <w:p w14:paraId="0015A551" w14:textId="77777777" w:rsidR="00890076" w:rsidRPr="00F9707F" w:rsidRDefault="00890076" w:rsidP="00ED3828">
            <w:pPr>
              <w:ind w:right="170"/>
              <w:jc w:val="right"/>
              <w:rPr>
                <w:rFonts w:ascii="Arial" w:hAnsi="Arial" w:cs="Arial"/>
                <w:bCs/>
                <w:color w:val="000000"/>
                <w:sz w:val="18"/>
                <w:szCs w:val="18"/>
              </w:rPr>
            </w:pPr>
            <w:r w:rsidRPr="00F9707F">
              <w:rPr>
                <w:rFonts w:ascii="Arial" w:hAnsi="Arial" w:cs="Arial"/>
                <w:bCs/>
                <w:color w:val="000000"/>
                <w:sz w:val="18"/>
                <w:szCs w:val="18"/>
              </w:rPr>
              <w:t>33.8</w:t>
            </w:r>
          </w:p>
        </w:tc>
        <w:tc>
          <w:tcPr>
            <w:tcW w:w="1559" w:type="dxa"/>
            <w:shd w:val="clear" w:color="auto" w:fill="auto"/>
            <w:vAlign w:val="center"/>
            <w:hideMark/>
          </w:tcPr>
          <w:p w14:paraId="5973B76B" w14:textId="77777777" w:rsidR="00890076" w:rsidRPr="00F9707F" w:rsidRDefault="00890076" w:rsidP="00ED3828">
            <w:pPr>
              <w:ind w:right="211"/>
              <w:jc w:val="right"/>
              <w:rPr>
                <w:rFonts w:ascii="Arial" w:hAnsi="Arial" w:cs="Arial"/>
                <w:bCs/>
                <w:color w:val="000000"/>
                <w:sz w:val="18"/>
                <w:szCs w:val="18"/>
              </w:rPr>
            </w:pPr>
            <w:r w:rsidRPr="00F9707F">
              <w:rPr>
                <w:rFonts w:ascii="Arial" w:hAnsi="Arial" w:cs="Arial"/>
                <w:bCs/>
                <w:color w:val="000000"/>
                <w:sz w:val="18"/>
                <w:szCs w:val="18"/>
              </w:rPr>
              <w:t>135 975.4</w:t>
            </w:r>
          </w:p>
        </w:tc>
        <w:tc>
          <w:tcPr>
            <w:tcW w:w="1134" w:type="dxa"/>
            <w:tcBorders>
              <w:top w:val="nil"/>
              <w:left w:val="nil"/>
              <w:bottom w:val="nil"/>
              <w:right w:val="double" w:sz="6" w:space="0" w:color="auto"/>
            </w:tcBorders>
            <w:shd w:val="clear" w:color="auto" w:fill="auto"/>
            <w:vAlign w:val="center"/>
            <w:hideMark/>
          </w:tcPr>
          <w:p w14:paraId="4750570B" w14:textId="77777777" w:rsidR="00890076" w:rsidRPr="00F9707F" w:rsidRDefault="00890076" w:rsidP="00ED3828">
            <w:pPr>
              <w:jc w:val="center"/>
              <w:rPr>
                <w:rFonts w:ascii="Arial" w:hAnsi="Arial" w:cs="Arial"/>
                <w:color w:val="000000"/>
                <w:sz w:val="18"/>
                <w:szCs w:val="18"/>
              </w:rPr>
            </w:pPr>
            <w:r w:rsidRPr="00F9707F">
              <w:rPr>
                <w:rFonts w:ascii="Arial" w:hAnsi="Arial" w:cs="Arial"/>
                <w:bCs/>
                <w:color w:val="000000"/>
                <w:sz w:val="18"/>
                <w:szCs w:val="18"/>
              </w:rPr>
              <w:t>19.7</w:t>
            </w:r>
          </w:p>
        </w:tc>
      </w:tr>
      <w:tr w:rsidR="00890076" w14:paraId="0E7DE1EB" w14:textId="77777777" w:rsidTr="00ED3828">
        <w:trPr>
          <w:trHeight w:val="255"/>
          <w:jc w:val="center"/>
        </w:trPr>
        <w:tc>
          <w:tcPr>
            <w:tcW w:w="238" w:type="dxa"/>
            <w:tcBorders>
              <w:top w:val="nil"/>
              <w:left w:val="double" w:sz="6" w:space="0" w:color="auto"/>
              <w:bottom w:val="nil"/>
              <w:right w:val="nil"/>
            </w:tcBorders>
            <w:shd w:val="clear" w:color="auto" w:fill="auto"/>
            <w:vAlign w:val="center"/>
            <w:hideMark/>
          </w:tcPr>
          <w:p w14:paraId="4D77D6F7" w14:textId="77777777" w:rsidR="00890076" w:rsidRPr="00F9707F" w:rsidRDefault="00890076" w:rsidP="00ED3828">
            <w:pPr>
              <w:jc w:val="both"/>
              <w:rPr>
                <w:rFonts w:ascii="Arial" w:hAnsi="Arial" w:cs="Arial"/>
                <w:color w:val="000000"/>
                <w:sz w:val="18"/>
                <w:szCs w:val="18"/>
              </w:rPr>
            </w:pPr>
            <w:r w:rsidRPr="00F9707F">
              <w:rPr>
                <w:rFonts w:ascii="Arial" w:hAnsi="Arial" w:cs="Arial"/>
                <w:color w:val="000000"/>
                <w:sz w:val="18"/>
                <w:szCs w:val="18"/>
              </w:rPr>
              <w:t> </w:t>
            </w:r>
          </w:p>
        </w:tc>
        <w:tc>
          <w:tcPr>
            <w:tcW w:w="191" w:type="dxa"/>
            <w:shd w:val="clear" w:color="auto" w:fill="auto"/>
            <w:vAlign w:val="center"/>
            <w:hideMark/>
          </w:tcPr>
          <w:p w14:paraId="097EA65D" w14:textId="77777777" w:rsidR="00890076" w:rsidRPr="00F9707F" w:rsidRDefault="00890076" w:rsidP="00ED3828">
            <w:pPr>
              <w:jc w:val="both"/>
              <w:rPr>
                <w:rFonts w:ascii="Arial" w:hAnsi="Arial" w:cs="Arial"/>
                <w:color w:val="000000"/>
                <w:sz w:val="18"/>
                <w:szCs w:val="18"/>
              </w:rPr>
            </w:pPr>
            <w:r w:rsidRPr="00F9707F">
              <w:rPr>
                <w:rFonts w:ascii="Arial" w:hAnsi="Arial" w:cs="Arial"/>
                <w:color w:val="000000"/>
                <w:sz w:val="18"/>
                <w:szCs w:val="18"/>
              </w:rPr>
              <w:t> </w:t>
            </w:r>
          </w:p>
        </w:tc>
        <w:tc>
          <w:tcPr>
            <w:tcW w:w="190" w:type="dxa"/>
            <w:shd w:val="clear" w:color="auto" w:fill="auto"/>
            <w:noWrap/>
            <w:vAlign w:val="bottom"/>
            <w:hideMark/>
          </w:tcPr>
          <w:p w14:paraId="5AC0EF16" w14:textId="77777777" w:rsidR="00890076" w:rsidRPr="00F9707F" w:rsidRDefault="00890076" w:rsidP="00ED3828">
            <w:pPr>
              <w:rPr>
                <w:rFonts w:ascii="Calibri" w:hAnsi="Calibri" w:cs="Calibri"/>
                <w:color w:val="000000"/>
                <w:sz w:val="22"/>
                <w:szCs w:val="22"/>
              </w:rPr>
            </w:pPr>
            <w:r w:rsidRPr="00F9707F">
              <w:rPr>
                <w:rFonts w:ascii="Calibri" w:hAnsi="Calibri" w:cs="Calibri"/>
                <w:color w:val="000000"/>
                <w:sz w:val="22"/>
                <w:szCs w:val="22"/>
              </w:rPr>
              <w:t> </w:t>
            </w:r>
          </w:p>
        </w:tc>
        <w:tc>
          <w:tcPr>
            <w:tcW w:w="190" w:type="dxa"/>
            <w:shd w:val="clear" w:color="auto" w:fill="auto"/>
            <w:noWrap/>
            <w:vAlign w:val="bottom"/>
            <w:hideMark/>
          </w:tcPr>
          <w:p w14:paraId="36A10CC3" w14:textId="77777777" w:rsidR="00890076" w:rsidRPr="00F9707F" w:rsidRDefault="00890076" w:rsidP="00ED3828">
            <w:pPr>
              <w:rPr>
                <w:rFonts w:ascii="Calibri" w:hAnsi="Calibri" w:cs="Calibri"/>
                <w:color w:val="000000"/>
                <w:sz w:val="22"/>
                <w:szCs w:val="22"/>
              </w:rPr>
            </w:pPr>
            <w:r w:rsidRPr="00F9707F">
              <w:rPr>
                <w:rFonts w:ascii="Calibri" w:hAnsi="Calibri" w:cs="Calibri"/>
                <w:color w:val="000000"/>
                <w:sz w:val="22"/>
                <w:szCs w:val="22"/>
              </w:rPr>
              <w:t> </w:t>
            </w:r>
          </w:p>
        </w:tc>
        <w:tc>
          <w:tcPr>
            <w:tcW w:w="2145" w:type="dxa"/>
            <w:tcBorders>
              <w:top w:val="nil"/>
              <w:left w:val="nil"/>
              <w:bottom w:val="nil"/>
              <w:right w:val="double" w:sz="6" w:space="0" w:color="auto"/>
            </w:tcBorders>
            <w:shd w:val="clear" w:color="auto" w:fill="auto"/>
            <w:vAlign w:val="center"/>
            <w:hideMark/>
          </w:tcPr>
          <w:p w14:paraId="5B7372A6" w14:textId="77777777" w:rsidR="00890076" w:rsidRPr="00F9707F" w:rsidRDefault="00890076" w:rsidP="00ED3828">
            <w:pPr>
              <w:jc w:val="both"/>
              <w:rPr>
                <w:rFonts w:ascii="Arial" w:hAnsi="Arial" w:cs="Arial"/>
                <w:color w:val="000000"/>
                <w:sz w:val="18"/>
                <w:szCs w:val="18"/>
              </w:rPr>
            </w:pPr>
            <w:r w:rsidRPr="00F9707F">
              <w:rPr>
                <w:rFonts w:ascii="Arial" w:hAnsi="Arial" w:cs="Arial"/>
                <w:color w:val="000000"/>
                <w:sz w:val="18"/>
                <w:szCs w:val="18"/>
              </w:rPr>
              <w:t>No automotrices</w:t>
            </w:r>
          </w:p>
        </w:tc>
        <w:tc>
          <w:tcPr>
            <w:tcW w:w="1276" w:type="dxa"/>
            <w:shd w:val="clear" w:color="auto" w:fill="auto"/>
            <w:vAlign w:val="center"/>
            <w:hideMark/>
          </w:tcPr>
          <w:p w14:paraId="77023407" w14:textId="77777777" w:rsidR="00890076" w:rsidRPr="00F9707F" w:rsidRDefault="00890076" w:rsidP="00ED3828">
            <w:pPr>
              <w:tabs>
                <w:tab w:val="left" w:pos="1069"/>
              </w:tabs>
              <w:ind w:right="73"/>
              <w:jc w:val="right"/>
              <w:rPr>
                <w:rFonts w:ascii="Arial" w:hAnsi="Arial" w:cs="Arial"/>
                <w:bCs/>
                <w:color w:val="000000"/>
                <w:sz w:val="18"/>
                <w:szCs w:val="18"/>
              </w:rPr>
            </w:pPr>
            <w:r w:rsidRPr="00F9707F">
              <w:rPr>
                <w:rFonts w:ascii="Arial" w:hAnsi="Arial" w:cs="Arial"/>
                <w:bCs/>
                <w:color w:val="000000"/>
                <w:sz w:val="18"/>
                <w:szCs w:val="18"/>
              </w:rPr>
              <w:t>29 454.0</w:t>
            </w:r>
          </w:p>
        </w:tc>
        <w:tc>
          <w:tcPr>
            <w:tcW w:w="1134" w:type="dxa"/>
            <w:tcBorders>
              <w:top w:val="nil"/>
              <w:left w:val="nil"/>
              <w:bottom w:val="nil"/>
              <w:right w:val="double" w:sz="6" w:space="0" w:color="auto"/>
            </w:tcBorders>
            <w:shd w:val="clear" w:color="auto" w:fill="auto"/>
            <w:vAlign w:val="center"/>
            <w:hideMark/>
          </w:tcPr>
          <w:p w14:paraId="2A92D5B3" w14:textId="77777777" w:rsidR="00890076" w:rsidRPr="00F9707F" w:rsidRDefault="00890076" w:rsidP="00ED3828">
            <w:pPr>
              <w:ind w:right="170"/>
              <w:jc w:val="right"/>
              <w:rPr>
                <w:rFonts w:ascii="Arial" w:hAnsi="Arial" w:cs="Arial"/>
                <w:bCs/>
                <w:color w:val="000000"/>
                <w:sz w:val="18"/>
                <w:szCs w:val="18"/>
              </w:rPr>
            </w:pPr>
            <w:r w:rsidRPr="00F9707F">
              <w:rPr>
                <w:rFonts w:ascii="Arial" w:hAnsi="Arial" w:cs="Arial"/>
                <w:bCs/>
                <w:color w:val="000000"/>
                <w:sz w:val="18"/>
                <w:szCs w:val="18"/>
              </w:rPr>
              <w:t>14.0</w:t>
            </w:r>
          </w:p>
        </w:tc>
        <w:tc>
          <w:tcPr>
            <w:tcW w:w="1559" w:type="dxa"/>
            <w:shd w:val="clear" w:color="auto" w:fill="auto"/>
            <w:vAlign w:val="center"/>
            <w:hideMark/>
          </w:tcPr>
          <w:p w14:paraId="5E1CEFE5" w14:textId="77777777" w:rsidR="00890076" w:rsidRPr="00F9707F" w:rsidRDefault="00890076" w:rsidP="00ED3828">
            <w:pPr>
              <w:ind w:right="211"/>
              <w:jc w:val="right"/>
              <w:rPr>
                <w:rFonts w:ascii="Arial" w:hAnsi="Arial" w:cs="Arial"/>
                <w:bCs/>
                <w:color w:val="000000"/>
                <w:sz w:val="18"/>
                <w:szCs w:val="18"/>
              </w:rPr>
            </w:pPr>
            <w:r w:rsidRPr="00F9707F">
              <w:rPr>
                <w:rFonts w:ascii="Arial" w:hAnsi="Arial" w:cs="Arial"/>
                <w:bCs/>
                <w:color w:val="000000"/>
                <w:sz w:val="18"/>
                <w:szCs w:val="18"/>
              </w:rPr>
              <w:t>284 663.5</w:t>
            </w:r>
          </w:p>
        </w:tc>
        <w:tc>
          <w:tcPr>
            <w:tcW w:w="1134" w:type="dxa"/>
            <w:tcBorders>
              <w:top w:val="nil"/>
              <w:left w:val="nil"/>
              <w:bottom w:val="nil"/>
              <w:right w:val="double" w:sz="6" w:space="0" w:color="auto"/>
            </w:tcBorders>
            <w:shd w:val="clear" w:color="auto" w:fill="auto"/>
            <w:vAlign w:val="center"/>
            <w:hideMark/>
          </w:tcPr>
          <w:p w14:paraId="172C030E" w14:textId="77777777" w:rsidR="00890076" w:rsidRPr="00F9707F" w:rsidRDefault="00890076" w:rsidP="00ED3828">
            <w:pPr>
              <w:jc w:val="center"/>
              <w:rPr>
                <w:rFonts w:ascii="Arial" w:hAnsi="Arial" w:cs="Arial"/>
                <w:color w:val="000000"/>
                <w:sz w:val="18"/>
                <w:szCs w:val="18"/>
              </w:rPr>
            </w:pPr>
            <w:r w:rsidRPr="00F9707F">
              <w:rPr>
                <w:rFonts w:ascii="Arial" w:hAnsi="Arial" w:cs="Arial"/>
                <w:bCs/>
                <w:color w:val="000000"/>
                <w:sz w:val="18"/>
                <w:szCs w:val="18"/>
              </w:rPr>
              <w:t>18.6</w:t>
            </w:r>
          </w:p>
        </w:tc>
      </w:tr>
      <w:tr w:rsidR="00890076" w14:paraId="366AD5CD" w14:textId="77777777" w:rsidTr="00ED3828">
        <w:trPr>
          <w:trHeight w:val="300"/>
          <w:jc w:val="center"/>
        </w:trPr>
        <w:tc>
          <w:tcPr>
            <w:tcW w:w="238" w:type="dxa"/>
            <w:tcBorders>
              <w:top w:val="nil"/>
              <w:left w:val="double" w:sz="6" w:space="0" w:color="auto"/>
              <w:bottom w:val="nil"/>
              <w:right w:val="nil"/>
            </w:tcBorders>
            <w:shd w:val="clear" w:color="auto" w:fill="auto"/>
            <w:noWrap/>
            <w:vAlign w:val="bottom"/>
            <w:hideMark/>
          </w:tcPr>
          <w:p w14:paraId="0E509FD5" w14:textId="77777777" w:rsidR="00890076" w:rsidRPr="00F9707F" w:rsidRDefault="00890076" w:rsidP="00ED3828">
            <w:pPr>
              <w:rPr>
                <w:rFonts w:ascii="Calibri" w:hAnsi="Calibri" w:cs="Calibri"/>
                <w:color w:val="000000"/>
                <w:sz w:val="22"/>
                <w:szCs w:val="22"/>
              </w:rPr>
            </w:pPr>
            <w:r w:rsidRPr="00F9707F">
              <w:rPr>
                <w:rFonts w:ascii="Calibri" w:hAnsi="Calibri" w:cs="Calibri"/>
                <w:color w:val="000000"/>
                <w:sz w:val="22"/>
                <w:szCs w:val="22"/>
              </w:rPr>
              <w:t> </w:t>
            </w:r>
          </w:p>
        </w:tc>
        <w:tc>
          <w:tcPr>
            <w:tcW w:w="2716" w:type="dxa"/>
            <w:gridSpan w:val="4"/>
            <w:tcBorders>
              <w:top w:val="nil"/>
              <w:left w:val="nil"/>
              <w:bottom w:val="nil"/>
              <w:right w:val="double" w:sz="6" w:space="0" w:color="000000"/>
            </w:tcBorders>
            <w:shd w:val="clear" w:color="auto" w:fill="auto"/>
            <w:noWrap/>
            <w:vAlign w:val="center"/>
            <w:hideMark/>
          </w:tcPr>
          <w:p w14:paraId="46106F57" w14:textId="77777777" w:rsidR="00890076" w:rsidRPr="00F9707F" w:rsidRDefault="00890076" w:rsidP="00ED3828">
            <w:pPr>
              <w:rPr>
                <w:rFonts w:ascii="Arial" w:hAnsi="Arial" w:cs="Arial"/>
                <w:b/>
                <w:bCs/>
                <w:color w:val="000000"/>
                <w:sz w:val="18"/>
                <w:szCs w:val="18"/>
                <w:u w:val="single"/>
              </w:rPr>
            </w:pPr>
            <w:r w:rsidRPr="00F9707F">
              <w:rPr>
                <w:rFonts w:ascii="Arial" w:hAnsi="Arial" w:cs="Arial"/>
                <w:b/>
                <w:bCs/>
                <w:color w:val="000000"/>
                <w:sz w:val="18"/>
                <w:szCs w:val="18"/>
                <w:u w:val="single"/>
              </w:rPr>
              <w:t xml:space="preserve">Importaciones totales </w:t>
            </w:r>
          </w:p>
        </w:tc>
        <w:tc>
          <w:tcPr>
            <w:tcW w:w="1276" w:type="dxa"/>
            <w:shd w:val="clear" w:color="auto" w:fill="auto"/>
            <w:vAlign w:val="center"/>
            <w:hideMark/>
          </w:tcPr>
          <w:p w14:paraId="7F8C48F3" w14:textId="77777777" w:rsidR="00890076" w:rsidRPr="00F9707F" w:rsidRDefault="00890076" w:rsidP="00ED3828">
            <w:pPr>
              <w:tabs>
                <w:tab w:val="left" w:pos="1069"/>
              </w:tabs>
              <w:ind w:right="73"/>
              <w:jc w:val="right"/>
              <w:rPr>
                <w:rFonts w:ascii="Arial" w:hAnsi="Arial" w:cs="Arial"/>
                <w:b/>
                <w:color w:val="000000"/>
                <w:sz w:val="18"/>
                <w:szCs w:val="18"/>
                <w:u w:val="single"/>
              </w:rPr>
            </w:pPr>
            <w:r w:rsidRPr="00F9707F">
              <w:rPr>
                <w:rFonts w:ascii="Arial" w:hAnsi="Arial" w:cs="Arial"/>
                <w:b/>
                <w:color w:val="000000"/>
                <w:sz w:val="18"/>
                <w:szCs w:val="18"/>
                <w:u w:val="single"/>
              </w:rPr>
              <w:t>51 287.2</w:t>
            </w:r>
          </w:p>
        </w:tc>
        <w:tc>
          <w:tcPr>
            <w:tcW w:w="1134" w:type="dxa"/>
            <w:tcBorders>
              <w:top w:val="nil"/>
              <w:left w:val="nil"/>
              <w:bottom w:val="nil"/>
              <w:right w:val="double" w:sz="6" w:space="0" w:color="000000"/>
            </w:tcBorders>
            <w:shd w:val="clear" w:color="auto" w:fill="auto"/>
            <w:vAlign w:val="center"/>
            <w:hideMark/>
          </w:tcPr>
          <w:p w14:paraId="43D78524" w14:textId="77777777" w:rsidR="00890076" w:rsidRPr="00F9707F" w:rsidRDefault="00890076" w:rsidP="00ED3828">
            <w:pPr>
              <w:ind w:right="170"/>
              <w:jc w:val="right"/>
              <w:rPr>
                <w:rFonts w:ascii="Arial" w:hAnsi="Arial" w:cs="Arial"/>
                <w:b/>
                <w:color w:val="000000"/>
                <w:sz w:val="18"/>
                <w:szCs w:val="18"/>
                <w:u w:val="single"/>
              </w:rPr>
            </w:pPr>
            <w:r w:rsidRPr="00F9707F">
              <w:rPr>
                <w:rFonts w:ascii="Arial" w:hAnsi="Arial" w:cs="Arial"/>
                <w:b/>
                <w:color w:val="000000"/>
                <w:sz w:val="18"/>
                <w:szCs w:val="18"/>
                <w:u w:val="single"/>
              </w:rPr>
              <w:t>14.8</w:t>
            </w:r>
          </w:p>
        </w:tc>
        <w:tc>
          <w:tcPr>
            <w:tcW w:w="1559" w:type="dxa"/>
            <w:shd w:val="clear" w:color="auto" w:fill="auto"/>
            <w:vAlign w:val="center"/>
            <w:hideMark/>
          </w:tcPr>
          <w:p w14:paraId="3E1BA173" w14:textId="77777777" w:rsidR="00890076" w:rsidRPr="00F9707F" w:rsidRDefault="00890076" w:rsidP="00ED3828">
            <w:pPr>
              <w:ind w:right="211"/>
              <w:jc w:val="right"/>
              <w:rPr>
                <w:rFonts w:ascii="Arial" w:hAnsi="Arial" w:cs="Arial"/>
                <w:b/>
                <w:color w:val="000000"/>
                <w:sz w:val="18"/>
                <w:szCs w:val="18"/>
                <w:u w:val="single"/>
              </w:rPr>
            </w:pPr>
            <w:r w:rsidRPr="00F9707F">
              <w:rPr>
                <w:rFonts w:ascii="Arial" w:hAnsi="Arial" w:cs="Arial"/>
                <w:b/>
                <w:color w:val="000000"/>
                <w:sz w:val="18"/>
                <w:szCs w:val="18"/>
                <w:u w:val="single"/>
              </w:rPr>
              <w:t>506 868.2</w:t>
            </w:r>
          </w:p>
        </w:tc>
        <w:tc>
          <w:tcPr>
            <w:tcW w:w="1134" w:type="dxa"/>
            <w:tcBorders>
              <w:top w:val="nil"/>
              <w:left w:val="nil"/>
              <w:bottom w:val="nil"/>
              <w:right w:val="double" w:sz="6" w:space="0" w:color="000000"/>
            </w:tcBorders>
            <w:shd w:val="clear" w:color="auto" w:fill="auto"/>
            <w:vAlign w:val="center"/>
            <w:hideMark/>
          </w:tcPr>
          <w:p w14:paraId="450D9DC8" w14:textId="77777777" w:rsidR="00890076" w:rsidRPr="00F9707F" w:rsidRDefault="00890076" w:rsidP="00ED3828">
            <w:pPr>
              <w:jc w:val="center"/>
              <w:rPr>
                <w:rFonts w:ascii="Arial" w:hAnsi="Arial" w:cs="Arial"/>
                <w:b/>
                <w:bCs/>
                <w:color w:val="000000"/>
                <w:sz w:val="18"/>
                <w:szCs w:val="18"/>
                <w:u w:val="single"/>
              </w:rPr>
            </w:pPr>
            <w:r w:rsidRPr="00F9707F">
              <w:rPr>
                <w:rFonts w:ascii="Arial" w:hAnsi="Arial" w:cs="Arial"/>
                <w:b/>
                <w:bCs/>
                <w:color w:val="000000"/>
                <w:sz w:val="18"/>
                <w:szCs w:val="18"/>
                <w:u w:val="single"/>
              </w:rPr>
              <w:t>22.8</w:t>
            </w:r>
          </w:p>
        </w:tc>
      </w:tr>
      <w:tr w:rsidR="00890076" w14:paraId="4504BEA9" w14:textId="77777777" w:rsidTr="00ED3828">
        <w:trPr>
          <w:trHeight w:val="255"/>
          <w:jc w:val="center"/>
        </w:trPr>
        <w:tc>
          <w:tcPr>
            <w:tcW w:w="238" w:type="dxa"/>
            <w:tcBorders>
              <w:top w:val="nil"/>
              <w:left w:val="double" w:sz="6" w:space="0" w:color="auto"/>
              <w:bottom w:val="nil"/>
              <w:right w:val="nil"/>
            </w:tcBorders>
            <w:shd w:val="clear" w:color="auto" w:fill="auto"/>
            <w:vAlign w:val="center"/>
            <w:hideMark/>
          </w:tcPr>
          <w:p w14:paraId="3B98F2A3" w14:textId="77777777" w:rsidR="00890076" w:rsidRPr="00F9707F" w:rsidRDefault="00890076" w:rsidP="00ED3828">
            <w:pPr>
              <w:jc w:val="both"/>
              <w:rPr>
                <w:rFonts w:ascii="Arial" w:hAnsi="Arial" w:cs="Arial"/>
                <w:color w:val="000000"/>
                <w:sz w:val="18"/>
                <w:szCs w:val="18"/>
              </w:rPr>
            </w:pPr>
            <w:r w:rsidRPr="00F9707F">
              <w:rPr>
                <w:rFonts w:ascii="Arial" w:hAnsi="Arial" w:cs="Arial"/>
                <w:color w:val="000000"/>
                <w:sz w:val="18"/>
                <w:szCs w:val="18"/>
              </w:rPr>
              <w:t> </w:t>
            </w:r>
          </w:p>
        </w:tc>
        <w:tc>
          <w:tcPr>
            <w:tcW w:w="191" w:type="dxa"/>
            <w:shd w:val="clear" w:color="auto" w:fill="auto"/>
            <w:vAlign w:val="center"/>
            <w:hideMark/>
          </w:tcPr>
          <w:p w14:paraId="75A136E5" w14:textId="77777777" w:rsidR="00890076" w:rsidRPr="00F9707F" w:rsidRDefault="00890076" w:rsidP="00ED3828">
            <w:pPr>
              <w:jc w:val="both"/>
              <w:rPr>
                <w:rFonts w:ascii="Arial" w:hAnsi="Arial" w:cs="Arial"/>
                <w:color w:val="000000"/>
                <w:sz w:val="18"/>
                <w:szCs w:val="18"/>
              </w:rPr>
            </w:pPr>
            <w:r w:rsidRPr="00F9707F">
              <w:rPr>
                <w:rFonts w:ascii="Arial" w:hAnsi="Arial" w:cs="Arial"/>
                <w:color w:val="000000"/>
                <w:sz w:val="18"/>
                <w:szCs w:val="18"/>
              </w:rPr>
              <w:t> </w:t>
            </w:r>
          </w:p>
        </w:tc>
        <w:tc>
          <w:tcPr>
            <w:tcW w:w="2525" w:type="dxa"/>
            <w:gridSpan w:val="3"/>
            <w:tcBorders>
              <w:top w:val="nil"/>
              <w:left w:val="nil"/>
              <w:bottom w:val="nil"/>
              <w:right w:val="double" w:sz="6" w:space="0" w:color="000000"/>
            </w:tcBorders>
            <w:shd w:val="clear" w:color="auto" w:fill="auto"/>
            <w:noWrap/>
            <w:vAlign w:val="center"/>
            <w:hideMark/>
          </w:tcPr>
          <w:p w14:paraId="44C3EDAC" w14:textId="77777777" w:rsidR="00890076" w:rsidRPr="00F9707F" w:rsidRDefault="00890076" w:rsidP="00ED3828">
            <w:pPr>
              <w:jc w:val="both"/>
              <w:rPr>
                <w:rFonts w:ascii="Arial" w:hAnsi="Arial" w:cs="Arial"/>
                <w:color w:val="000000"/>
                <w:sz w:val="18"/>
                <w:szCs w:val="18"/>
              </w:rPr>
            </w:pPr>
            <w:r w:rsidRPr="00F9707F">
              <w:rPr>
                <w:rFonts w:ascii="Arial" w:hAnsi="Arial" w:cs="Arial"/>
                <w:color w:val="000000"/>
                <w:sz w:val="18"/>
                <w:szCs w:val="18"/>
              </w:rPr>
              <w:t>Petroleras</w:t>
            </w:r>
          </w:p>
        </w:tc>
        <w:tc>
          <w:tcPr>
            <w:tcW w:w="1276" w:type="dxa"/>
            <w:shd w:val="clear" w:color="auto" w:fill="auto"/>
            <w:vAlign w:val="center"/>
            <w:hideMark/>
          </w:tcPr>
          <w:p w14:paraId="2B81AA57" w14:textId="77777777" w:rsidR="00890076" w:rsidRPr="00F9707F" w:rsidRDefault="00890076" w:rsidP="00ED3828">
            <w:pPr>
              <w:tabs>
                <w:tab w:val="left" w:pos="1069"/>
              </w:tabs>
              <w:ind w:right="73"/>
              <w:jc w:val="right"/>
              <w:rPr>
                <w:rFonts w:ascii="Arial" w:hAnsi="Arial" w:cs="Arial"/>
                <w:bCs/>
                <w:color w:val="000000"/>
                <w:sz w:val="18"/>
                <w:szCs w:val="18"/>
              </w:rPr>
            </w:pPr>
            <w:r w:rsidRPr="00F9707F">
              <w:rPr>
                <w:rFonts w:ascii="Arial" w:hAnsi="Arial" w:cs="Arial"/>
                <w:bCs/>
                <w:color w:val="000000"/>
                <w:sz w:val="18"/>
                <w:szCs w:val="18"/>
              </w:rPr>
              <w:t>5 310.2</w:t>
            </w:r>
          </w:p>
        </w:tc>
        <w:tc>
          <w:tcPr>
            <w:tcW w:w="1134" w:type="dxa"/>
            <w:tcBorders>
              <w:top w:val="nil"/>
              <w:left w:val="nil"/>
              <w:bottom w:val="nil"/>
              <w:right w:val="double" w:sz="6" w:space="0" w:color="auto"/>
            </w:tcBorders>
            <w:shd w:val="clear" w:color="auto" w:fill="auto"/>
            <w:vAlign w:val="center"/>
            <w:hideMark/>
          </w:tcPr>
          <w:p w14:paraId="287090B1" w14:textId="77777777" w:rsidR="00890076" w:rsidRPr="00F9707F" w:rsidRDefault="00890076" w:rsidP="00ED3828">
            <w:pPr>
              <w:ind w:right="170"/>
              <w:jc w:val="right"/>
              <w:rPr>
                <w:rFonts w:ascii="Arial" w:hAnsi="Arial" w:cs="Arial"/>
                <w:bCs/>
                <w:color w:val="000000"/>
                <w:sz w:val="18"/>
                <w:szCs w:val="18"/>
              </w:rPr>
            </w:pPr>
            <w:r w:rsidRPr="00F9707F">
              <w:rPr>
                <w:rFonts w:ascii="Arial" w:hAnsi="Arial" w:cs="Arial"/>
                <w:bCs/>
                <w:color w:val="000000"/>
                <w:sz w:val="18"/>
                <w:szCs w:val="18"/>
              </w:rPr>
              <w:t>13.5</w:t>
            </w:r>
          </w:p>
        </w:tc>
        <w:tc>
          <w:tcPr>
            <w:tcW w:w="1559" w:type="dxa"/>
            <w:shd w:val="clear" w:color="auto" w:fill="auto"/>
            <w:vAlign w:val="center"/>
            <w:hideMark/>
          </w:tcPr>
          <w:p w14:paraId="016B9BEA" w14:textId="77777777" w:rsidR="00890076" w:rsidRPr="00F9707F" w:rsidRDefault="00890076" w:rsidP="00ED3828">
            <w:pPr>
              <w:ind w:right="211"/>
              <w:jc w:val="right"/>
              <w:rPr>
                <w:rFonts w:ascii="Arial" w:hAnsi="Arial" w:cs="Arial"/>
                <w:bCs/>
                <w:color w:val="000000"/>
                <w:sz w:val="18"/>
                <w:szCs w:val="18"/>
              </w:rPr>
            </w:pPr>
            <w:r w:rsidRPr="00F9707F">
              <w:rPr>
                <w:rFonts w:ascii="Arial" w:hAnsi="Arial" w:cs="Arial"/>
                <w:bCs/>
                <w:color w:val="000000"/>
                <w:sz w:val="18"/>
                <w:szCs w:val="18"/>
              </w:rPr>
              <w:t>64 448.9</w:t>
            </w:r>
          </w:p>
        </w:tc>
        <w:tc>
          <w:tcPr>
            <w:tcW w:w="1134" w:type="dxa"/>
            <w:tcBorders>
              <w:top w:val="nil"/>
              <w:left w:val="nil"/>
              <w:bottom w:val="nil"/>
              <w:right w:val="double" w:sz="6" w:space="0" w:color="auto"/>
            </w:tcBorders>
            <w:shd w:val="clear" w:color="auto" w:fill="auto"/>
            <w:vAlign w:val="center"/>
            <w:hideMark/>
          </w:tcPr>
          <w:p w14:paraId="184909AC" w14:textId="77777777" w:rsidR="00890076" w:rsidRPr="00F9707F" w:rsidRDefault="00890076" w:rsidP="00ED3828">
            <w:pPr>
              <w:jc w:val="center"/>
              <w:rPr>
                <w:rFonts w:ascii="Arial" w:hAnsi="Arial" w:cs="Arial"/>
                <w:color w:val="000000"/>
                <w:sz w:val="18"/>
                <w:szCs w:val="18"/>
              </w:rPr>
            </w:pPr>
            <w:r w:rsidRPr="00F9707F">
              <w:rPr>
                <w:rFonts w:ascii="Arial" w:hAnsi="Arial" w:cs="Arial"/>
                <w:bCs/>
                <w:color w:val="000000"/>
                <w:sz w:val="18"/>
                <w:szCs w:val="18"/>
              </w:rPr>
              <w:t>46.6</w:t>
            </w:r>
          </w:p>
        </w:tc>
      </w:tr>
      <w:tr w:rsidR="00890076" w14:paraId="2794A5A4" w14:textId="77777777" w:rsidTr="00ED3828">
        <w:trPr>
          <w:trHeight w:val="255"/>
          <w:jc w:val="center"/>
        </w:trPr>
        <w:tc>
          <w:tcPr>
            <w:tcW w:w="238" w:type="dxa"/>
            <w:tcBorders>
              <w:top w:val="nil"/>
              <w:left w:val="double" w:sz="6" w:space="0" w:color="auto"/>
              <w:bottom w:val="nil"/>
              <w:right w:val="nil"/>
            </w:tcBorders>
            <w:shd w:val="clear" w:color="auto" w:fill="auto"/>
            <w:vAlign w:val="center"/>
            <w:hideMark/>
          </w:tcPr>
          <w:p w14:paraId="6213410E" w14:textId="77777777" w:rsidR="00890076" w:rsidRPr="00F9707F" w:rsidRDefault="00890076" w:rsidP="00ED3828">
            <w:pPr>
              <w:jc w:val="both"/>
              <w:rPr>
                <w:rFonts w:ascii="Arial" w:hAnsi="Arial" w:cs="Arial"/>
                <w:color w:val="000000"/>
                <w:sz w:val="18"/>
                <w:szCs w:val="18"/>
              </w:rPr>
            </w:pPr>
            <w:r w:rsidRPr="00F9707F">
              <w:rPr>
                <w:rFonts w:ascii="Arial" w:hAnsi="Arial" w:cs="Arial"/>
                <w:color w:val="000000"/>
                <w:sz w:val="18"/>
                <w:szCs w:val="18"/>
              </w:rPr>
              <w:t> </w:t>
            </w:r>
          </w:p>
        </w:tc>
        <w:tc>
          <w:tcPr>
            <w:tcW w:w="191" w:type="dxa"/>
            <w:shd w:val="clear" w:color="auto" w:fill="auto"/>
            <w:vAlign w:val="center"/>
            <w:hideMark/>
          </w:tcPr>
          <w:p w14:paraId="17B3AE93" w14:textId="77777777" w:rsidR="00890076" w:rsidRPr="00F9707F" w:rsidRDefault="00890076" w:rsidP="00ED3828">
            <w:pPr>
              <w:jc w:val="both"/>
              <w:rPr>
                <w:rFonts w:ascii="Arial" w:hAnsi="Arial" w:cs="Arial"/>
                <w:color w:val="000000"/>
                <w:sz w:val="18"/>
                <w:szCs w:val="18"/>
              </w:rPr>
            </w:pPr>
            <w:r w:rsidRPr="00F9707F">
              <w:rPr>
                <w:rFonts w:ascii="Arial" w:hAnsi="Arial" w:cs="Arial"/>
                <w:color w:val="000000"/>
                <w:sz w:val="18"/>
                <w:szCs w:val="18"/>
              </w:rPr>
              <w:t> </w:t>
            </w:r>
          </w:p>
        </w:tc>
        <w:tc>
          <w:tcPr>
            <w:tcW w:w="2525" w:type="dxa"/>
            <w:gridSpan w:val="3"/>
            <w:tcBorders>
              <w:top w:val="nil"/>
              <w:left w:val="nil"/>
              <w:bottom w:val="nil"/>
              <w:right w:val="double" w:sz="6" w:space="0" w:color="000000"/>
            </w:tcBorders>
            <w:shd w:val="clear" w:color="auto" w:fill="auto"/>
            <w:noWrap/>
            <w:vAlign w:val="center"/>
            <w:hideMark/>
          </w:tcPr>
          <w:p w14:paraId="633CF3E0" w14:textId="77777777" w:rsidR="00890076" w:rsidRPr="00F9707F" w:rsidRDefault="00890076" w:rsidP="00ED3828">
            <w:pPr>
              <w:jc w:val="both"/>
              <w:rPr>
                <w:rFonts w:ascii="Arial" w:hAnsi="Arial" w:cs="Arial"/>
                <w:color w:val="000000"/>
                <w:sz w:val="18"/>
                <w:szCs w:val="18"/>
              </w:rPr>
            </w:pPr>
            <w:r w:rsidRPr="00F9707F">
              <w:rPr>
                <w:rFonts w:ascii="Arial" w:hAnsi="Arial" w:cs="Arial"/>
                <w:color w:val="000000"/>
                <w:sz w:val="18"/>
                <w:szCs w:val="18"/>
              </w:rPr>
              <w:t>No petroleras</w:t>
            </w:r>
          </w:p>
        </w:tc>
        <w:tc>
          <w:tcPr>
            <w:tcW w:w="1276" w:type="dxa"/>
            <w:shd w:val="clear" w:color="auto" w:fill="auto"/>
            <w:vAlign w:val="center"/>
            <w:hideMark/>
          </w:tcPr>
          <w:p w14:paraId="3464B43D" w14:textId="77777777" w:rsidR="00890076" w:rsidRPr="00F9707F" w:rsidRDefault="00890076" w:rsidP="00ED3828">
            <w:pPr>
              <w:tabs>
                <w:tab w:val="left" w:pos="1069"/>
              </w:tabs>
              <w:ind w:right="73"/>
              <w:jc w:val="right"/>
              <w:rPr>
                <w:rFonts w:ascii="Arial" w:hAnsi="Arial" w:cs="Arial"/>
                <w:bCs/>
                <w:color w:val="000000"/>
                <w:sz w:val="18"/>
                <w:szCs w:val="18"/>
              </w:rPr>
            </w:pPr>
            <w:r w:rsidRPr="00F9707F">
              <w:rPr>
                <w:rFonts w:ascii="Arial" w:hAnsi="Arial" w:cs="Arial"/>
                <w:bCs/>
                <w:color w:val="000000"/>
                <w:sz w:val="18"/>
                <w:szCs w:val="18"/>
              </w:rPr>
              <w:t>45 976.9</w:t>
            </w:r>
          </w:p>
        </w:tc>
        <w:tc>
          <w:tcPr>
            <w:tcW w:w="1134" w:type="dxa"/>
            <w:tcBorders>
              <w:top w:val="nil"/>
              <w:left w:val="nil"/>
              <w:bottom w:val="nil"/>
              <w:right w:val="double" w:sz="6" w:space="0" w:color="auto"/>
            </w:tcBorders>
            <w:shd w:val="clear" w:color="auto" w:fill="auto"/>
            <w:vAlign w:val="center"/>
            <w:hideMark/>
          </w:tcPr>
          <w:p w14:paraId="1663562A" w14:textId="77777777" w:rsidR="00890076" w:rsidRPr="00F9707F" w:rsidRDefault="00890076" w:rsidP="00ED3828">
            <w:pPr>
              <w:ind w:right="170"/>
              <w:jc w:val="right"/>
              <w:rPr>
                <w:rFonts w:ascii="Arial" w:hAnsi="Arial" w:cs="Arial"/>
                <w:bCs/>
                <w:color w:val="000000"/>
                <w:sz w:val="18"/>
                <w:szCs w:val="18"/>
              </w:rPr>
            </w:pPr>
            <w:r w:rsidRPr="00F9707F">
              <w:rPr>
                <w:rFonts w:ascii="Arial" w:hAnsi="Arial" w:cs="Arial"/>
                <w:bCs/>
                <w:color w:val="000000"/>
                <w:sz w:val="18"/>
                <w:szCs w:val="18"/>
              </w:rPr>
              <w:t>15.0</w:t>
            </w:r>
          </w:p>
        </w:tc>
        <w:tc>
          <w:tcPr>
            <w:tcW w:w="1559" w:type="dxa"/>
            <w:shd w:val="clear" w:color="auto" w:fill="auto"/>
            <w:vAlign w:val="center"/>
            <w:hideMark/>
          </w:tcPr>
          <w:p w14:paraId="7BED401A" w14:textId="77777777" w:rsidR="00890076" w:rsidRPr="00F9707F" w:rsidRDefault="00890076" w:rsidP="00ED3828">
            <w:pPr>
              <w:ind w:right="211"/>
              <w:jc w:val="right"/>
              <w:rPr>
                <w:rFonts w:ascii="Arial" w:hAnsi="Arial" w:cs="Arial"/>
                <w:bCs/>
                <w:color w:val="000000"/>
                <w:sz w:val="18"/>
                <w:szCs w:val="18"/>
              </w:rPr>
            </w:pPr>
            <w:r w:rsidRPr="00F9707F">
              <w:rPr>
                <w:rFonts w:ascii="Arial" w:hAnsi="Arial" w:cs="Arial"/>
                <w:bCs/>
                <w:color w:val="000000"/>
                <w:sz w:val="18"/>
                <w:szCs w:val="18"/>
              </w:rPr>
              <w:t>442 419.2</w:t>
            </w:r>
          </w:p>
        </w:tc>
        <w:tc>
          <w:tcPr>
            <w:tcW w:w="1134" w:type="dxa"/>
            <w:tcBorders>
              <w:top w:val="nil"/>
              <w:left w:val="nil"/>
              <w:bottom w:val="nil"/>
              <w:right w:val="double" w:sz="6" w:space="0" w:color="auto"/>
            </w:tcBorders>
            <w:shd w:val="clear" w:color="auto" w:fill="auto"/>
            <w:vAlign w:val="center"/>
            <w:hideMark/>
          </w:tcPr>
          <w:p w14:paraId="57C12426" w14:textId="77777777" w:rsidR="00890076" w:rsidRPr="00F9707F" w:rsidRDefault="00890076" w:rsidP="00ED3828">
            <w:pPr>
              <w:jc w:val="center"/>
              <w:rPr>
                <w:rFonts w:ascii="Arial" w:hAnsi="Arial" w:cs="Arial"/>
                <w:color w:val="000000"/>
                <w:sz w:val="18"/>
                <w:szCs w:val="18"/>
              </w:rPr>
            </w:pPr>
            <w:r w:rsidRPr="00F9707F">
              <w:rPr>
                <w:rFonts w:ascii="Arial" w:hAnsi="Arial" w:cs="Arial"/>
                <w:bCs/>
                <w:color w:val="000000"/>
                <w:sz w:val="18"/>
                <w:szCs w:val="18"/>
              </w:rPr>
              <w:t>19.9</w:t>
            </w:r>
          </w:p>
        </w:tc>
      </w:tr>
      <w:tr w:rsidR="00890076" w14:paraId="519B3305" w14:textId="77777777" w:rsidTr="00ED3828">
        <w:trPr>
          <w:trHeight w:val="255"/>
          <w:jc w:val="center"/>
        </w:trPr>
        <w:tc>
          <w:tcPr>
            <w:tcW w:w="238" w:type="dxa"/>
            <w:tcBorders>
              <w:top w:val="nil"/>
              <w:left w:val="double" w:sz="6" w:space="0" w:color="auto"/>
              <w:bottom w:val="nil"/>
              <w:right w:val="nil"/>
            </w:tcBorders>
            <w:shd w:val="clear" w:color="auto" w:fill="auto"/>
            <w:vAlign w:val="center"/>
            <w:hideMark/>
          </w:tcPr>
          <w:p w14:paraId="0CA34445" w14:textId="77777777" w:rsidR="00890076" w:rsidRPr="00F9707F" w:rsidRDefault="00890076" w:rsidP="00ED3828">
            <w:pPr>
              <w:jc w:val="both"/>
              <w:rPr>
                <w:rFonts w:ascii="Arial" w:hAnsi="Arial" w:cs="Arial"/>
                <w:color w:val="000000"/>
                <w:sz w:val="18"/>
                <w:szCs w:val="18"/>
              </w:rPr>
            </w:pPr>
            <w:r w:rsidRPr="00F9707F">
              <w:rPr>
                <w:rFonts w:ascii="Arial" w:hAnsi="Arial" w:cs="Arial"/>
                <w:color w:val="000000"/>
                <w:sz w:val="18"/>
                <w:szCs w:val="18"/>
              </w:rPr>
              <w:t> </w:t>
            </w:r>
          </w:p>
        </w:tc>
        <w:tc>
          <w:tcPr>
            <w:tcW w:w="191" w:type="dxa"/>
            <w:shd w:val="clear" w:color="auto" w:fill="auto"/>
            <w:vAlign w:val="center"/>
            <w:hideMark/>
          </w:tcPr>
          <w:p w14:paraId="6E7ECDAD" w14:textId="77777777" w:rsidR="00890076" w:rsidRPr="00F9707F" w:rsidRDefault="00890076" w:rsidP="00ED3828">
            <w:pPr>
              <w:jc w:val="both"/>
              <w:rPr>
                <w:rFonts w:ascii="Arial" w:hAnsi="Arial" w:cs="Arial"/>
                <w:color w:val="000000"/>
                <w:sz w:val="18"/>
                <w:szCs w:val="18"/>
              </w:rPr>
            </w:pPr>
            <w:r w:rsidRPr="00F9707F">
              <w:rPr>
                <w:rFonts w:ascii="Arial" w:hAnsi="Arial" w:cs="Arial"/>
                <w:color w:val="000000"/>
                <w:sz w:val="18"/>
                <w:szCs w:val="18"/>
              </w:rPr>
              <w:t> </w:t>
            </w:r>
          </w:p>
        </w:tc>
        <w:tc>
          <w:tcPr>
            <w:tcW w:w="2525" w:type="dxa"/>
            <w:gridSpan w:val="3"/>
            <w:tcBorders>
              <w:top w:val="nil"/>
              <w:left w:val="nil"/>
              <w:bottom w:val="nil"/>
              <w:right w:val="double" w:sz="6" w:space="0" w:color="000000"/>
            </w:tcBorders>
            <w:shd w:val="clear" w:color="auto" w:fill="auto"/>
            <w:noWrap/>
            <w:vAlign w:val="center"/>
            <w:hideMark/>
          </w:tcPr>
          <w:p w14:paraId="11A5520C" w14:textId="77777777" w:rsidR="00890076" w:rsidRPr="00F9707F" w:rsidRDefault="00890076" w:rsidP="00ED3828">
            <w:pPr>
              <w:jc w:val="both"/>
              <w:rPr>
                <w:rFonts w:ascii="Arial" w:hAnsi="Arial" w:cs="Arial"/>
                <w:color w:val="000000"/>
                <w:sz w:val="18"/>
                <w:szCs w:val="18"/>
              </w:rPr>
            </w:pPr>
            <w:r w:rsidRPr="00F9707F">
              <w:rPr>
                <w:rFonts w:ascii="Arial" w:hAnsi="Arial" w:cs="Arial"/>
                <w:color w:val="000000"/>
                <w:sz w:val="18"/>
                <w:szCs w:val="18"/>
              </w:rPr>
              <w:t>Bienes de consumo</w:t>
            </w:r>
          </w:p>
        </w:tc>
        <w:tc>
          <w:tcPr>
            <w:tcW w:w="1276" w:type="dxa"/>
            <w:shd w:val="clear" w:color="auto" w:fill="auto"/>
            <w:vAlign w:val="center"/>
            <w:hideMark/>
          </w:tcPr>
          <w:p w14:paraId="0E4954EE" w14:textId="77777777" w:rsidR="00890076" w:rsidRPr="00F9707F" w:rsidRDefault="00890076" w:rsidP="00ED3828">
            <w:pPr>
              <w:tabs>
                <w:tab w:val="left" w:pos="1069"/>
              </w:tabs>
              <w:ind w:right="73"/>
              <w:jc w:val="right"/>
              <w:rPr>
                <w:rFonts w:ascii="Arial" w:hAnsi="Arial" w:cs="Arial"/>
                <w:bCs/>
                <w:color w:val="000000"/>
                <w:sz w:val="18"/>
                <w:szCs w:val="18"/>
              </w:rPr>
            </w:pPr>
            <w:r w:rsidRPr="00F9707F">
              <w:rPr>
                <w:rFonts w:ascii="Arial" w:hAnsi="Arial" w:cs="Arial"/>
                <w:bCs/>
                <w:color w:val="000000"/>
                <w:sz w:val="18"/>
                <w:szCs w:val="18"/>
              </w:rPr>
              <w:t>6 630.4</w:t>
            </w:r>
          </w:p>
        </w:tc>
        <w:tc>
          <w:tcPr>
            <w:tcW w:w="1134" w:type="dxa"/>
            <w:tcBorders>
              <w:top w:val="nil"/>
              <w:left w:val="nil"/>
              <w:bottom w:val="nil"/>
              <w:right w:val="double" w:sz="6" w:space="0" w:color="auto"/>
            </w:tcBorders>
            <w:shd w:val="clear" w:color="auto" w:fill="auto"/>
            <w:vAlign w:val="center"/>
            <w:hideMark/>
          </w:tcPr>
          <w:p w14:paraId="2E4BD546" w14:textId="77777777" w:rsidR="00890076" w:rsidRPr="00F9707F" w:rsidRDefault="00890076" w:rsidP="00ED3828">
            <w:pPr>
              <w:ind w:right="170"/>
              <w:jc w:val="right"/>
              <w:rPr>
                <w:rFonts w:ascii="Arial" w:hAnsi="Arial" w:cs="Arial"/>
                <w:bCs/>
                <w:color w:val="000000"/>
                <w:sz w:val="18"/>
                <w:szCs w:val="18"/>
              </w:rPr>
            </w:pPr>
            <w:r w:rsidRPr="00F9707F">
              <w:rPr>
                <w:rFonts w:ascii="Arial" w:hAnsi="Arial" w:cs="Arial"/>
                <w:bCs/>
                <w:color w:val="000000"/>
                <w:sz w:val="18"/>
                <w:szCs w:val="18"/>
              </w:rPr>
              <w:t>14.3</w:t>
            </w:r>
          </w:p>
        </w:tc>
        <w:tc>
          <w:tcPr>
            <w:tcW w:w="1559" w:type="dxa"/>
            <w:shd w:val="clear" w:color="auto" w:fill="auto"/>
            <w:vAlign w:val="center"/>
            <w:hideMark/>
          </w:tcPr>
          <w:p w14:paraId="2E41BBB8" w14:textId="77777777" w:rsidR="00890076" w:rsidRPr="00F9707F" w:rsidRDefault="00890076" w:rsidP="00ED3828">
            <w:pPr>
              <w:ind w:right="211"/>
              <w:jc w:val="right"/>
              <w:rPr>
                <w:rFonts w:ascii="Arial" w:hAnsi="Arial" w:cs="Arial"/>
                <w:bCs/>
                <w:color w:val="000000"/>
                <w:sz w:val="18"/>
                <w:szCs w:val="18"/>
              </w:rPr>
            </w:pPr>
            <w:r w:rsidRPr="00F9707F">
              <w:rPr>
                <w:rFonts w:ascii="Arial" w:hAnsi="Arial" w:cs="Arial"/>
                <w:bCs/>
                <w:color w:val="000000"/>
                <w:sz w:val="18"/>
                <w:szCs w:val="18"/>
              </w:rPr>
              <w:t>67 901.0</w:t>
            </w:r>
          </w:p>
        </w:tc>
        <w:tc>
          <w:tcPr>
            <w:tcW w:w="1134" w:type="dxa"/>
            <w:tcBorders>
              <w:top w:val="nil"/>
              <w:left w:val="nil"/>
              <w:bottom w:val="nil"/>
              <w:right w:val="double" w:sz="6" w:space="0" w:color="auto"/>
            </w:tcBorders>
            <w:shd w:val="clear" w:color="auto" w:fill="auto"/>
            <w:vAlign w:val="center"/>
            <w:hideMark/>
          </w:tcPr>
          <w:p w14:paraId="2ACB3ACA" w14:textId="77777777" w:rsidR="00890076" w:rsidRPr="00F9707F" w:rsidRDefault="00890076" w:rsidP="00ED3828">
            <w:pPr>
              <w:jc w:val="center"/>
              <w:rPr>
                <w:rFonts w:ascii="Arial" w:hAnsi="Arial" w:cs="Arial"/>
                <w:color w:val="000000"/>
                <w:sz w:val="18"/>
                <w:szCs w:val="18"/>
              </w:rPr>
            </w:pPr>
            <w:r w:rsidRPr="00F9707F">
              <w:rPr>
                <w:rFonts w:ascii="Arial" w:hAnsi="Arial" w:cs="Arial"/>
                <w:bCs/>
                <w:color w:val="000000"/>
                <w:sz w:val="18"/>
                <w:szCs w:val="18"/>
              </w:rPr>
              <w:t>36.1</w:t>
            </w:r>
          </w:p>
        </w:tc>
      </w:tr>
      <w:tr w:rsidR="00890076" w14:paraId="48860153" w14:textId="77777777" w:rsidTr="00ED3828">
        <w:trPr>
          <w:trHeight w:val="255"/>
          <w:jc w:val="center"/>
        </w:trPr>
        <w:tc>
          <w:tcPr>
            <w:tcW w:w="238" w:type="dxa"/>
            <w:tcBorders>
              <w:top w:val="nil"/>
              <w:left w:val="double" w:sz="6" w:space="0" w:color="auto"/>
              <w:bottom w:val="nil"/>
              <w:right w:val="nil"/>
            </w:tcBorders>
            <w:shd w:val="clear" w:color="auto" w:fill="auto"/>
            <w:vAlign w:val="center"/>
            <w:hideMark/>
          </w:tcPr>
          <w:p w14:paraId="4A012646" w14:textId="77777777" w:rsidR="00890076" w:rsidRPr="00F9707F" w:rsidRDefault="00890076" w:rsidP="00ED3828">
            <w:pPr>
              <w:jc w:val="both"/>
              <w:rPr>
                <w:rFonts w:ascii="Arial" w:hAnsi="Arial" w:cs="Arial"/>
                <w:color w:val="000000"/>
                <w:sz w:val="18"/>
                <w:szCs w:val="18"/>
              </w:rPr>
            </w:pPr>
            <w:r w:rsidRPr="00F9707F">
              <w:rPr>
                <w:rFonts w:ascii="Arial" w:hAnsi="Arial" w:cs="Arial"/>
                <w:color w:val="000000"/>
                <w:sz w:val="18"/>
                <w:szCs w:val="18"/>
              </w:rPr>
              <w:t> </w:t>
            </w:r>
          </w:p>
        </w:tc>
        <w:tc>
          <w:tcPr>
            <w:tcW w:w="191" w:type="dxa"/>
            <w:shd w:val="clear" w:color="auto" w:fill="auto"/>
            <w:vAlign w:val="center"/>
            <w:hideMark/>
          </w:tcPr>
          <w:p w14:paraId="29263501" w14:textId="77777777" w:rsidR="00890076" w:rsidRPr="00F9707F" w:rsidRDefault="00890076" w:rsidP="00ED3828">
            <w:pPr>
              <w:jc w:val="both"/>
              <w:rPr>
                <w:rFonts w:ascii="Arial" w:hAnsi="Arial" w:cs="Arial"/>
                <w:color w:val="000000"/>
                <w:sz w:val="18"/>
                <w:szCs w:val="18"/>
              </w:rPr>
            </w:pPr>
            <w:r w:rsidRPr="00F9707F">
              <w:rPr>
                <w:rFonts w:ascii="Arial" w:hAnsi="Arial" w:cs="Arial"/>
                <w:color w:val="000000"/>
                <w:sz w:val="18"/>
                <w:szCs w:val="18"/>
              </w:rPr>
              <w:t> </w:t>
            </w:r>
          </w:p>
        </w:tc>
        <w:tc>
          <w:tcPr>
            <w:tcW w:w="190" w:type="dxa"/>
            <w:shd w:val="clear" w:color="auto" w:fill="auto"/>
            <w:noWrap/>
            <w:vAlign w:val="bottom"/>
            <w:hideMark/>
          </w:tcPr>
          <w:p w14:paraId="39CC3E95" w14:textId="77777777" w:rsidR="00890076" w:rsidRPr="00F9707F" w:rsidRDefault="00890076" w:rsidP="00ED3828">
            <w:pPr>
              <w:rPr>
                <w:rFonts w:ascii="Calibri" w:hAnsi="Calibri" w:cs="Calibri"/>
                <w:color w:val="000000"/>
                <w:sz w:val="22"/>
                <w:szCs w:val="22"/>
              </w:rPr>
            </w:pPr>
            <w:r w:rsidRPr="00F9707F">
              <w:rPr>
                <w:rFonts w:ascii="Calibri" w:hAnsi="Calibri" w:cs="Calibri"/>
                <w:color w:val="000000"/>
                <w:sz w:val="22"/>
                <w:szCs w:val="22"/>
              </w:rPr>
              <w:t> </w:t>
            </w:r>
          </w:p>
        </w:tc>
        <w:tc>
          <w:tcPr>
            <w:tcW w:w="2335" w:type="dxa"/>
            <w:gridSpan w:val="2"/>
            <w:tcBorders>
              <w:top w:val="nil"/>
              <w:left w:val="nil"/>
              <w:bottom w:val="nil"/>
              <w:right w:val="double" w:sz="6" w:space="0" w:color="000000"/>
            </w:tcBorders>
            <w:shd w:val="clear" w:color="auto" w:fill="auto"/>
            <w:vAlign w:val="center"/>
            <w:hideMark/>
          </w:tcPr>
          <w:p w14:paraId="6B899E16" w14:textId="77777777" w:rsidR="00890076" w:rsidRPr="00F9707F" w:rsidRDefault="00890076" w:rsidP="00ED3828">
            <w:pPr>
              <w:jc w:val="both"/>
              <w:rPr>
                <w:rFonts w:ascii="Arial" w:hAnsi="Arial" w:cs="Arial"/>
                <w:color w:val="000000"/>
                <w:sz w:val="18"/>
                <w:szCs w:val="18"/>
              </w:rPr>
            </w:pPr>
            <w:r w:rsidRPr="00F9707F">
              <w:rPr>
                <w:rFonts w:ascii="Arial" w:hAnsi="Arial" w:cs="Arial"/>
                <w:color w:val="000000"/>
                <w:sz w:val="18"/>
                <w:szCs w:val="18"/>
              </w:rPr>
              <w:t>Petroleras</w:t>
            </w:r>
          </w:p>
        </w:tc>
        <w:tc>
          <w:tcPr>
            <w:tcW w:w="1276" w:type="dxa"/>
            <w:shd w:val="clear" w:color="auto" w:fill="auto"/>
            <w:vAlign w:val="center"/>
            <w:hideMark/>
          </w:tcPr>
          <w:p w14:paraId="1982A888" w14:textId="77777777" w:rsidR="00890076" w:rsidRPr="00F9707F" w:rsidRDefault="00890076" w:rsidP="00ED3828">
            <w:pPr>
              <w:tabs>
                <w:tab w:val="left" w:pos="1069"/>
              </w:tabs>
              <w:ind w:right="73"/>
              <w:jc w:val="right"/>
              <w:rPr>
                <w:rFonts w:ascii="Arial" w:hAnsi="Arial" w:cs="Arial"/>
                <w:bCs/>
                <w:color w:val="000000"/>
                <w:sz w:val="18"/>
                <w:szCs w:val="18"/>
              </w:rPr>
            </w:pPr>
            <w:r w:rsidRPr="00F9707F">
              <w:rPr>
                <w:rFonts w:ascii="Arial" w:hAnsi="Arial" w:cs="Arial"/>
                <w:bCs/>
                <w:color w:val="000000"/>
                <w:sz w:val="18"/>
                <w:szCs w:val="18"/>
              </w:rPr>
              <w:t>1 320.1</w:t>
            </w:r>
          </w:p>
        </w:tc>
        <w:tc>
          <w:tcPr>
            <w:tcW w:w="1134" w:type="dxa"/>
            <w:tcBorders>
              <w:top w:val="nil"/>
              <w:left w:val="nil"/>
              <w:bottom w:val="nil"/>
              <w:right w:val="double" w:sz="6" w:space="0" w:color="auto"/>
            </w:tcBorders>
            <w:shd w:val="clear" w:color="auto" w:fill="auto"/>
            <w:vAlign w:val="center"/>
            <w:hideMark/>
          </w:tcPr>
          <w:p w14:paraId="44882AAB" w14:textId="77777777" w:rsidR="00890076" w:rsidRPr="00F9707F" w:rsidRDefault="00890076" w:rsidP="00ED3828">
            <w:pPr>
              <w:ind w:right="170"/>
              <w:jc w:val="right"/>
              <w:rPr>
                <w:rFonts w:ascii="Arial" w:hAnsi="Arial" w:cs="Arial"/>
                <w:bCs/>
                <w:color w:val="000000"/>
                <w:sz w:val="18"/>
                <w:szCs w:val="18"/>
              </w:rPr>
            </w:pPr>
            <w:r w:rsidRPr="00F9707F">
              <w:rPr>
                <w:rFonts w:ascii="Arial" w:hAnsi="Arial" w:cs="Arial"/>
                <w:bCs/>
                <w:color w:val="000000"/>
                <w:sz w:val="18"/>
                <w:szCs w:val="18"/>
              </w:rPr>
              <w:t>-4.0</w:t>
            </w:r>
          </w:p>
        </w:tc>
        <w:tc>
          <w:tcPr>
            <w:tcW w:w="1559" w:type="dxa"/>
            <w:shd w:val="clear" w:color="auto" w:fill="auto"/>
            <w:vAlign w:val="center"/>
            <w:hideMark/>
          </w:tcPr>
          <w:p w14:paraId="36D9C3FA" w14:textId="77777777" w:rsidR="00890076" w:rsidRPr="00F9707F" w:rsidRDefault="00890076" w:rsidP="00ED3828">
            <w:pPr>
              <w:ind w:right="211"/>
              <w:jc w:val="right"/>
              <w:rPr>
                <w:rFonts w:ascii="Arial" w:hAnsi="Arial" w:cs="Arial"/>
                <w:bCs/>
                <w:color w:val="000000"/>
                <w:sz w:val="18"/>
                <w:szCs w:val="18"/>
              </w:rPr>
            </w:pPr>
            <w:r w:rsidRPr="00F9707F">
              <w:rPr>
                <w:rFonts w:ascii="Arial" w:hAnsi="Arial" w:cs="Arial"/>
                <w:bCs/>
                <w:color w:val="000000"/>
                <w:sz w:val="18"/>
                <w:szCs w:val="18"/>
              </w:rPr>
              <w:t>21 138.9</w:t>
            </w:r>
          </w:p>
        </w:tc>
        <w:tc>
          <w:tcPr>
            <w:tcW w:w="1134" w:type="dxa"/>
            <w:tcBorders>
              <w:top w:val="nil"/>
              <w:left w:val="nil"/>
              <w:bottom w:val="nil"/>
              <w:right w:val="double" w:sz="6" w:space="0" w:color="auto"/>
            </w:tcBorders>
            <w:shd w:val="clear" w:color="auto" w:fill="auto"/>
            <w:vAlign w:val="center"/>
            <w:hideMark/>
          </w:tcPr>
          <w:p w14:paraId="5B403033" w14:textId="77777777" w:rsidR="00890076" w:rsidRPr="00F9707F" w:rsidRDefault="00890076" w:rsidP="00ED3828">
            <w:pPr>
              <w:jc w:val="center"/>
              <w:rPr>
                <w:rFonts w:ascii="Arial" w:hAnsi="Arial" w:cs="Arial"/>
                <w:color w:val="000000"/>
                <w:sz w:val="18"/>
                <w:szCs w:val="18"/>
              </w:rPr>
            </w:pPr>
            <w:r w:rsidRPr="00F9707F">
              <w:rPr>
                <w:rFonts w:ascii="Arial" w:hAnsi="Arial" w:cs="Arial"/>
                <w:bCs/>
                <w:color w:val="000000"/>
                <w:sz w:val="18"/>
                <w:szCs w:val="18"/>
              </w:rPr>
              <w:t>65.4</w:t>
            </w:r>
          </w:p>
        </w:tc>
      </w:tr>
      <w:tr w:rsidR="00890076" w14:paraId="7FD17CB8" w14:textId="77777777" w:rsidTr="00ED3828">
        <w:trPr>
          <w:trHeight w:val="255"/>
          <w:jc w:val="center"/>
        </w:trPr>
        <w:tc>
          <w:tcPr>
            <w:tcW w:w="238" w:type="dxa"/>
            <w:tcBorders>
              <w:top w:val="nil"/>
              <w:left w:val="double" w:sz="6" w:space="0" w:color="auto"/>
              <w:bottom w:val="nil"/>
              <w:right w:val="nil"/>
            </w:tcBorders>
            <w:shd w:val="clear" w:color="auto" w:fill="auto"/>
            <w:vAlign w:val="center"/>
            <w:hideMark/>
          </w:tcPr>
          <w:p w14:paraId="57ED9D1A" w14:textId="77777777" w:rsidR="00890076" w:rsidRPr="00F9707F" w:rsidRDefault="00890076" w:rsidP="00ED3828">
            <w:pPr>
              <w:jc w:val="both"/>
              <w:rPr>
                <w:rFonts w:ascii="Arial" w:hAnsi="Arial" w:cs="Arial"/>
                <w:color w:val="000000"/>
                <w:sz w:val="18"/>
                <w:szCs w:val="18"/>
              </w:rPr>
            </w:pPr>
            <w:r w:rsidRPr="00F9707F">
              <w:rPr>
                <w:rFonts w:ascii="Arial" w:hAnsi="Arial" w:cs="Arial"/>
                <w:color w:val="000000"/>
                <w:sz w:val="18"/>
                <w:szCs w:val="18"/>
              </w:rPr>
              <w:t> </w:t>
            </w:r>
          </w:p>
        </w:tc>
        <w:tc>
          <w:tcPr>
            <w:tcW w:w="191" w:type="dxa"/>
            <w:shd w:val="clear" w:color="auto" w:fill="auto"/>
            <w:vAlign w:val="center"/>
            <w:hideMark/>
          </w:tcPr>
          <w:p w14:paraId="51B0C104" w14:textId="77777777" w:rsidR="00890076" w:rsidRPr="00F9707F" w:rsidRDefault="00890076" w:rsidP="00ED3828">
            <w:pPr>
              <w:jc w:val="both"/>
              <w:rPr>
                <w:rFonts w:ascii="Arial" w:hAnsi="Arial" w:cs="Arial"/>
                <w:color w:val="000000"/>
                <w:sz w:val="18"/>
                <w:szCs w:val="18"/>
              </w:rPr>
            </w:pPr>
            <w:r w:rsidRPr="00F9707F">
              <w:rPr>
                <w:rFonts w:ascii="Arial" w:hAnsi="Arial" w:cs="Arial"/>
                <w:color w:val="000000"/>
                <w:sz w:val="18"/>
                <w:szCs w:val="18"/>
              </w:rPr>
              <w:t> </w:t>
            </w:r>
          </w:p>
        </w:tc>
        <w:tc>
          <w:tcPr>
            <w:tcW w:w="190" w:type="dxa"/>
            <w:shd w:val="clear" w:color="auto" w:fill="auto"/>
            <w:noWrap/>
            <w:vAlign w:val="bottom"/>
            <w:hideMark/>
          </w:tcPr>
          <w:p w14:paraId="04E996BD" w14:textId="77777777" w:rsidR="00890076" w:rsidRPr="00F9707F" w:rsidRDefault="00890076" w:rsidP="00ED3828">
            <w:pPr>
              <w:rPr>
                <w:rFonts w:ascii="Calibri" w:hAnsi="Calibri" w:cs="Calibri"/>
                <w:color w:val="000000"/>
                <w:sz w:val="22"/>
                <w:szCs w:val="22"/>
              </w:rPr>
            </w:pPr>
            <w:r w:rsidRPr="00F9707F">
              <w:rPr>
                <w:rFonts w:ascii="Calibri" w:hAnsi="Calibri" w:cs="Calibri"/>
                <w:color w:val="000000"/>
                <w:sz w:val="22"/>
                <w:szCs w:val="22"/>
              </w:rPr>
              <w:t> </w:t>
            </w:r>
          </w:p>
        </w:tc>
        <w:tc>
          <w:tcPr>
            <w:tcW w:w="2335" w:type="dxa"/>
            <w:gridSpan w:val="2"/>
            <w:tcBorders>
              <w:top w:val="nil"/>
              <w:left w:val="nil"/>
              <w:bottom w:val="nil"/>
              <w:right w:val="double" w:sz="6" w:space="0" w:color="000000"/>
            </w:tcBorders>
            <w:shd w:val="clear" w:color="auto" w:fill="auto"/>
            <w:vAlign w:val="center"/>
            <w:hideMark/>
          </w:tcPr>
          <w:p w14:paraId="104893CD" w14:textId="77777777" w:rsidR="00890076" w:rsidRPr="00F9707F" w:rsidRDefault="00890076" w:rsidP="00ED3828">
            <w:pPr>
              <w:jc w:val="both"/>
              <w:rPr>
                <w:rFonts w:ascii="Arial" w:hAnsi="Arial" w:cs="Arial"/>
                <w:color w:val="000000"/>
                <w:sz w:val="18"/>
                <w:szCs w:val="18"/>
              </w:rPr>
            </w:pPr>
            <w:r w:rsidRPr="00F9707F">
              <w:rPr>
                <w:rFonts w:ascii="Arial" w:hAnsi="Arial" w:cs="Arial"/>
                <w:color w:val="000000"/>
                <w:sz w:val="18"/>
                <w:szCs w:val="18"/>
              </w:rPr>
              <w:t>No petroleras</w:t>
            </w:r>
          </w:p>
        </w:tc>
        <w:tc>
          <w:tcPr>
            <w:tcW w:w="1276" w:type="dxa"/>
            <w:shd w:val="clear" w:color="auto" w:fill="auto"/>
            <w:vAlign w:val="center"/>
            <w:hideMark/>
          </w:tcPr>
          <w:p w14:paraId="4B5AC95B" w14:textId="77777777" w:rsidR="00890076" w:rsidRPr="00F9707F" w:rsidRDefault="00890076" w:rsidP="00ED3828">
            <w:pPr>
              <w:tabs>
                <w:tab w:val="left" w:pos="1069"/>
              </w:tabs>
              <w:ind w:right="73"/>
              <w:jc w:val="right"/>
              <w:rPr>
                <w:rFonts w:ascii="Arial" w:hAnsi="Arial" w:cs="Arial"/>
                <w:bCs/>
                <w:color w:val="000000"/>
                <w:sz w:val="18"/>
                <w:szCs w:val="18"/>
              </w:rPr>
            </w:pPr>
            <w:r w:rsidRPr="00F9707F">
              <w:rPr>
                <w:rFonts w:ascii="Arial" w:hAnsi="Arial" w:cs="Arial"/>
                <w:bCs/>
                <w:color w:val="000000"/>
                <w:sz w:val="18"/>
                <w:szCs w:val="18"/>
              </w:rPr>
              <w:t>5 310.3</w:t>
            </w:r>
          </w:p>
        </w:tc>
        <w:tc>
          <w:tcPr>
            <w:tcW w:w="1134" w:type="dxa"/>
            <w:tcBorders>
              <w:top w:val="nil"/>
              <w:left w:val="nil"/>
              <w:bottom w:val="nil"/>
              <w:right w:val="double" w:sz="6" w:space="0" w:color="auto"/>
            </w:tcBorders>
            <w:shd w:val="clear" w:color="auto" w:fill="auto"/>
            <w:vAlign w:val="center"/>
            <w:hideMark/>
          </w:tcPr>
          <w:p w14:paraId="74EB9680" w14:textId="77777777" w:rsidR="00890076" w:rsidRPr="00F9707F" w:rsidRDefault="00890076" w:rsidP="00ED3828">
            <w:pPr>
              <w:ind w:right="170"/>
              <w:jc w:val="right"/>
              <w:rPr>
                <w:rFonts w:ascii="Arial" w:hAnsi="Arial" w:cs="Arial"/>
                <w:bCs/>
                <w:color w:val="000000"/>
                <w:sz w:val="18"/>
                <w:szCs w:val="18"/>
              </w:rPr>
            </w:pPr>
            <w:r w:rsidRPr="00F9707F">
              <w:rPr>
                <w:rFonts w:ascii="Arial" w:hAnsi="Arial" w:cs="Arial"/>
                <w:bCs/>
                <w:color w:val="000000"/>
                <w:sz w:val="18"/>
                <w:szCs w:val="18"/>
              </w:rPr>
              <w:t>20.0</w:t>
            </w:r>
          </w:p>
        </w:tc>
        <w:tc>
          <w:tcPr>
            <w:tcW w:w="1559" w:type="dxa"/>
            <w:shd w:val="clear" w:color="auto" w:fill="auto"/>
            <w:vAlign w:val="center"/>
            <w:hideMark/>
          </w:tcPr>
          <w:p w14:paraId="0CF9A2AA" w14:textId="77777777" w:rsidR="00890076" w:rsidRPr="00F9707F" w:rsidRDefault="00890076" w:rsidP="00ED3828">
            <w:pPr>
              <w:ind w:right="211"/>
              <w:jc w:val="right"/>
              <w:rPr>
                <w:rFonts w:ascii="Arial" w:hAnsi="Arial" w:cs="Arial"/>
                <w:bCs/>
                <w:color w:val="000000"/>
                <w:sz w:val="18"/>
                <w:szCs w:val="18"/>
              </w:rPr>
            </w:pPr>
            <w:r w:rsidRPr="00F9707F">
              <w:rPr>
                <w:rFonts w:ascii="Arial" w:hAnsi="Arial" w:cs="Arial"/>
                <w:bCs/>
                <w:color w:val="000000"/>
                <w:sz w:val="18"/>
                <w:szCs w:val="18"/>
              </w:rPr>
              <w:t>46 762.1</w:t>
            </w:r>
          </w:p>
        </w:tc>
        <w:tc>
          <w:tcPr>
            <w:tcW w:w="1134" w:type="dxa"/>
            <w:tcBorders>
              <w:top w:val="nil"/>
              <w:left w:val="nil"/>
              <w:bottom w:val="nil"/>
              <w:right w:val="double" w:sz="6" w:space="0" w:color="auto"/>
            </w:tcBorders>
            <w:shd w:val="clear" w:color="auto" w:fill="auto"/>
            <w:vAlign w:val="center"/>
            <w:hideMark/>
          </w:tcPr>
          <w:p w14:paraId="5FE21877" w14:textId="77777777" w:rsidR="00890076" w:rsidRPr="00F9707F" w:rsidRDefault="00890076" w:rsidP="00ED3828">
            <w:pPr>
              <w:jc w:val="center"/>
              <w:rPr>
                <w:rFonts w:ascii="Arial" w:hAnsi="Arial" w:cs="Arial"/>
                <w:color w:val="000000"/>
                <w:sz w:val="18"/>
                <w:szCs w:val="18"/>
              </w:rPr>
            </w:pPr>
            <w:r w:rsidRPr="00F9707F">
              <w:rPr>
                <w:rFonts w:ascii="Arial" w:hAnsi="Arial" w:cs="Arial"/>
                <w:bCs/>
                <w:color w:val="000000"/>
                <w:sz w:val="18"/>
                <w:szCs w:val="18"/>
              </w:rPr>
              <w:t>26.0</w:t>
            </w:r>
          </w:p>
        </w:tc>
      </w:tr>
      <w:tr w:rsidR="00890076" w14:paraId="023642AE" w14:textId="77777777" w:rsidTr="00ED3828">
        <w:trPr>
          <w:trHeight w:val="255"/>
          <w:jc w:val="center"/>
        </w:trPr>
        <w:tc>
          <w:tcPr>
            <w:tcW w:w="238" w:type="dxa"/>
            <w:tcBorders>
              <w:top w:val="nil"/>
              <w:left w:val="double" w:sz="6" w:space="0" w:color="auto"/>
              <w:bottom w:val="nil"/>
              <w:right w:val="nil"/>
            </w:tcBorders>
            <w:shd w:val="clear" w:color="auto" w:fill="auto"/>
            <w:vAlign w:val="center"/>
            <w:hideMark/>
          </w:tcPr>
          <w:p w14:paraId="22AAA9D6" w14:textId="77777777" w:rsidR="00890076" w:rsidRPr="00F9707F" w:rsidRDefault="00890076" w:rsidP="00ED3828">
            <w:pPr>
              <w:jc w:val="both"/>
              <w:rPr>
                <w:rFonts w:ascii="Arial" w:hAnsi="Arial" w:cs="Arial"/>
                <w:color w:val="000000"/>
                <w:sz w:val="18"/>
                <w:szCs w:val="18"/>
              </w:rPr>
            </w:pPr>
            <w:r w:rsidRPr="00F9707F">
              <w:rPr>
                <w:rFonts w:ascii="Arial" w:hAnsi="Arial" w:cs="Arial"/>
                <w:color w:val="000000"/>
                <w:sz w:val="18"/>
                <w:szCs w:val="18"/>
              </w:rPr>
              <w:t> </w:t>
            </w:r>
          </w:p>
        </w:tc>
        <w:tc>
          <w:tcPr>
            <w:tcW w:w="191" w:type="dxa"/>
            <w:shd w:val="clear" w:color="auto" w:fill="auto"/>
            <w:vAlign w:val="center"/>
            <w:hideMark/>
          </w:tcPr>
          <w:p w14:paraId="08424E7D" w14:textId="77777777" w:rsidR="00890076" w:rsidRPr="00F9707F" w:rsidRDefault="00890076" w:rsidP="00ED3828">
            <w:pPr>
              <w:jc w:val="both"/>
              <w:rPr>
                <w:rFonts w:ascii="Arial" w:hAnsi="Arial" w:cs="Arial"/>
                <w:color w:val="000000"/>
                <w:sz w:val="18"/>
                <w:szCs w:val="18"/>
              </w:rPr>
            </w:pPr>
            <w:r w:rsidRPr="00F9707F">
              <w:rPr>
                <w:rFonts w:ascii="Arial" w:hAnsi="Arial" w:cs="Arial"/>
                <w:color w:val="000000"/>
                <w:sz w:val="18"/>
                <w:szCs w:val="18"/>
              </w:rPr>
              <w:t> </w:t>
            </w:r>
          </w:p>
        </w:tc>
        <w:tc>
          <w:tcPr>
            <w:tcW w:w="2525" w:type="dxa"/>
            <w:gridSpan w:val="3"/>
            <w:tcBorders>
              <w:top w:val="nil"/>
              <w:left w:val="nil"/>
              <w:bottom w:val="nil"/>
              <w:right w:val="double" w:sz="6" w:space="0" w:color="000000"/>
            </w:tcBorders>
            <w:shd w:val="clear" w:color="auto" w:fill="auto"/>
            <w:noWrap/>
            <w:vAlign w:val="center"/>
            <w:hideMark/>
          </w:tcPr>
          <w:p w14:paraId="72C9B96B" w14:textId="77777777" w:rsidR="00890076" w:rsidRPr="00F9707F" w:rsidRDefault="00890076" w:rsidP="00ED3828">
            <w:pPr>
              <w:jc w:val="both"/>
              <w:rPr>
                <w:rFonts w:ascii="Arial" w:hAnsi="Arial" w:cs="Arial"/>
                <w:color w:val="000000"/>
                <w:sz w:val="18"/>
                <w:szCs w:val="18"/>
              </w:rPr>
            </w:pPr>
            <w:r w:rsidRPr="00F9707F">
              <w:rPr>
                <w:rFonts w:ascii="Arial" w:hAnsi="Arial" w:cs="Arial"/>
                <w:color w:val="000000"/>
                <w:sz w:val="18"/>
                <w:szCs w:val="18"/>
              </w:rPr>
              <w:t>Bienes intermedios</w:t>
            </w:r>
          </w:p>
        </w:tc>
        <w:tc>
          <w:tcPr>
            <w:tcW w:w="1276" w:type="dxa"/>
            <w:shd w:val="clear" w:color="auto" w:fill="auto"/>
            <w:vAlign w:val="center"/>
            <w:hideMark/>
          </w:tcPr>
          <w:p w14:paraId="3FDB3DED" w14:textId="77777777" w:rsidR="00890076" w:rsidRPr="00F9707F" w:rsidRDefault="00890076" w:rsidP="00ED3828">
            <w:pPr>
              <w:tabs>
                <w:tab w:val="left" w:pos="1069"/>
              </w:tabs>
              <w:ind w:right="73"/>
              <w:jc w:val="right"/>
              <w:rPr>
                <w:rFonts w:ascii="Arial" w:hAnsi="Arial" w:cs="Arial"/>
                <w:bCs/>
                <w:color w:val="000000"/>
                <w:sz w:val="18"/>
                <w:szCs w:val="18"/>
              </w:rPr>
            </w:pPr>
            <w:r w:rsidRPr="00F9707F">
              <w:rPr>
                <w:rFonts w:ascii="Arial" w:hAnsi="Arial" w:cs="Arial"/>
                <w:bCs/>
                <w:color w:val="000000"/>
                <w:sz w:val="18"/>
                <w:szCs w:val="18"/>
              </w:rPr>
              <w:t>40 352.1</w:t>
            </w:r>
          </w:p>
        </w:tc>
        <w:tc>
          <w:tcPr>
            <w:tcW w:w="1134" w:type="dxa"/>
            <w:tcBorders>
              <w:top w:val="nil"/>
              <w:left w:val="nil"/>
              <w:bottom w:val="nil"/>
              <w:right w:val="double" w:sz="6" w:space="0" w:color="auto"/>
            </w:tcBorders>
            <w:shd w:val="clear" w:color="auto" w:fill="auto"/>
            <w:vAlign w:val="center"/>
            <w:hideMark/>
          </w:tcPr>
          <w:p w14:paraId="58E370E8" w14:textId="77777777" w:rsidR="00890076" w:rsidRPr="00F9707F" w:rsidRDefault="00890076" w:rsidP="00ED3828">
            <w:pPr>
              <w:ind w:right="170"/>
              <w:jc w:val="right"/>
              <w:rPr>
                <w:rFonts w:ascii="Arial" w:hAnsi="Arial" w:cs="Arial"/>
                <w:bCs/>
                <w:color w:val="000000"/>
                <w:sz w:val="18"/>
                <w:szCs w:val="18"/>
              </w:rPr>
            </w:pPr>
            <w:r w:rsidRPr="00F9707F">
              <w:rPr>
                <w:rFonts w:ascii="Arial" w:hAnsi="Arial" w:cs="Arial"/>
                <w:bCs/>
                <w:color w:val="000000"/>
                <w:sz w:val="18"/>
                <w:szCs w:val="18"/>
              </w:rPr>
              <w:t>14.3</w:t>
            </w:r>
          </w:p>
        </w:tc>
        <w:tc>
          <w:tcPr>
            <w:tcW w:w="1559" w:type="dxa"/>
            <w:shd w:val="clear" w:color="auto" w:fill="auto"/>
            <w:vAlign w:val="center"/>
            <w:hideMark/>
          </w:tcPr>
          <w:p w14:paraId="286F5CE2" w14:textId="77777777" w:rsidR="00890076" w:rsidRPr="00F9707F" w:rsidRDefault="00890076" w:rsidP="00ED3828">
            <w:pPr>
              <w:ind w:right="211"/>
              <w:jc w:val="right"/>
              <w:rPr>
                <w:rFonts w:ascii="Arial" w:hAnsi="Arial" w:cs="Arial"/>
                <w:bCs/>
                <w:color w:val="000000"/>
                <w:sz w:val="18"/>
                <w:szCs w:val="18"/>
              </w:rPr>
            </w:pPr>
            <w:r w:rsidRPr="00F9707F">
              <w:rPr>
                <w:rFonts w:ascii="Arial" w:hAnsi="Arial" w:cs="Arial"/>
                <w:bCs/>
                <w:color w:val="000000"/>
                <w:sz w:val="18"/>
                <w:szCs w:val="18"/>
              </w:rPr>
              <w:t>399 685.6</w:t>
            </w:r>
          </w:p>
        </w:tc>
        <w:tc>
          <w:tcPr>
            <w:tcW w:w="1134" w:type="dxa"/>
            <w:tcBorders>
              <w:top w:val="nil"/>
              <w:left w:val="nil"/>
              <w:bottom w:val="nil"/>
              <w:right w:val="double" w:sz="6" w:space="0" w:color="auto"/>
            </w:tcBorders>
            <w:shd w:val="clear" w:color="auto" w:fill="auto"/>
            <w:vAlign w:val="center"/>
            <w:hideMark/>
          </w:tcPr>
          <w:p w14:paraId="534B1375" w14:textId="77777777" w:rsidR="00890076" w:rsidRPr="00F9707F" w:rsidRDefault="00890076" w:rsidP="00ED3828">
            <w:pPr>
              <w:jc w:val="center"/>
              <w:rPr>
                <w:rFonts w:ascii="Arial" w:hAnsi="Arial" w:cs="Arial"/>
                <w:color w:val="000000"/>
                <w:sz w:val="18"/>
                <w:szCs w:val="18"/>
              </w:rPr>
            </w:pPr>
            <w:r w:rsidRPr="00F9707F">
              <w:rPr>
                <w:rFonts w:ascii="Arial" w:hAnsi="Arial" w:cs="Arial"/>
                <w:bCs/>
                <w:color w:val="000000"/>
                <w:sz w:val="18"/>
                <w:szCs w:val="18"/>
              </w:rPr>
              <w:t>21.0</w:t>
            </w:r>
          </w:p>
        </w:tc>
      </w:tr>
      <w:tr w:rsidR="00890076" w14:paraId="5C817E0E" w14:textId="77777777" w:rsidTr="00ED3828">
        <w:trPr>
          <w:trHeight w:val="255"/>
          <w:jc w:val="center"/>
        </w:trPr>
        <w:tc>
          <w:tcPr>
            <w:tcW w:w="238" w:type="dxa"/>
            <w:tcBorders>
              <w:top w:val="nil"/>
              <w:left w:val="double" w:sz="6" w:space="0" w:color="auto"/>
              <w:bottom w:val="nil"/>
              <w:right w:val="nil"/>
            </w:tcBorders>
            <w:shd w:val="clear" w:color="auto" w:fill="auto"/>
            <w:vAlign w:val="center"/>
            <w:hideMark/>
          </w:tcPr>
          <w:p w14:paraId="76A8B226" w14:textId="77777777" w:rsidR="00890076" w:rsidRPr="00F9707F" w:rsidRDefault="00890076" w:rsidP="00ED3828">
            <w:pPr>
              <w:jc w:val="both"/>
              <w:rPr>
                <w:rFonts w:ascii="Arial" w:hAnsi="Arial" w:cs="Arial"/>
                <w:color w:val="000000"/>
                <w:sz w:val="18"/>
                <w:szCs w:val="18"/>
              </w:rPr>
            </w:pPr>
            <w:r w:rsidRPr="00F9707F">
              <w:rPr>
                <w:rFonts w:ascii="Arial" w:hAnsi="Arial" w:cs="Arial"/>
                <w:color w:val="000000"/>
                <w:sz w:val="18"/>
                <w:szCs w:val="18"/>
              </w:rPr>
              <w:t> </w:t>
            </w:r>
          </w:p>
        </w:tc>
        <w:tc>
          <w:tcPr>
            <w:tcW w:w="191" w:type="dxa"/>
            <w:shd w:val="clear" w:color="auto" w:fill="auto"/>
            <w:vAlign w:val="center"/>
            <w:hideMark/>
          </w:tcPr>
          <w:p w14:paraId="40C74AB4" w14:textId="77777777" w:rsidR="00890076" w:rsidRPr="00F9707F" w:rsidRDefault="00890076" w:rsidP="00ED3828">
            <w:pPr>
              <w:jc w:val="both"/>
              <w:rPr>
                <w:rFonts w:ascii="Arial" w:hAnsi="Arial" w:cs="Arial"/>
                <w:color w:val="000000"/>
                <w:sz w:val="18"/>
                <w:szCs w:val="18"/>
              </w:rPr>
            </w:pPr>
            <w:r w:rsidRPr="00F9707F">
              <w:rPr>
                <w:rFonts w:ascii="Arial" w:hAnsi="Arial" w:cs="Arial"/>
                <w:color w:val="000000"/>
                <w:sz w:val="18"/>
                <w:szCs w:val="18"/>
              </w:rPr>
              <w:t> </w:t>
            </w:r>
          </w:p>
        </w:tc>
        <w:tc>
          <w:tcPr>
            <w:tcW w:w="190" w:type="dxa"/>
            <w:shd w:val="clear" w:color="auto" w:fill="auto"/>
            <w:noWrap/>
            <w:vAlign w:val="bottom"/>
            <w:hideMark/>
          </w:tcPr>
          <w:p w14:paraId="38899F5A" w14:textId="77777777" w:rsidR="00890076" w:rsidRPr="00F9707F" w:rsidRDefault="00890076" w:rsidP="00ED3828">
            <w:pPr>
              <w:rPr>
                <w:rFonts w:ascii="Calibri" w:hAnsi="Calibri" w:cs="Calibri"/>
                <w:color w:val="000000"/>
                <w:sz w:val="22"/>
                <w:szCs w:val="22"/>
              </w:rPr>
            </w:pPr>
            <w:r w:rsidRPr="00F9707F">
              <w:rPr>
                <w:rFonts w:ascii="Calibri" w:hAnsi="Calibri" w:cs="Calibri"/>
                <w:color w:val="000000"/>
                <w:sz w:val="22"/>
                <w:szCs w:val="22"/>
              </w:rPr>
              <w:t> </w:t>
            </w:r>
          </w:p>
        </w:tc>
        <w:tc>
          <w:tcPr>
            <w:tcW w:w="2335" w:type="dxa"/>
            <w:gridSpan w:val="2"/>
            <w:tcBorders>
              <w:top w:val="nil"/>
              <w:left w:val="nil"/>
              <w:bottom w:val="nil"/>
              <w:right w:val="double" w:sz="6" w:space="0" w:color="000000"/>
            </w:tcBorders>
            <w:shd w:val="clear" w:color="auto" w:fill="auto"/>
            <w:vAlign w:val="center"/>
            <w:hideMark/>
          </w:tcPr>
          <w:p w14:paraId="12B30FDF" w14:textId="77777777" w:rsidR="00890076" w:rsidRPr="00F9707F" w:rsidRDefault="00890076" w:rsidP="00ED3828">
            <w:pPr>
              <w:jc w:val="both"/>
              <w:rPr>
                <w:rFonts w:ascii="Arial" w:hAnsi="Arial" w:cs="Arial"/>
                <w:color w:val="000000"/>
                <w:sz w:val="18"/>
                <w:szCs w:val="18"/>
              </w:rPr>
            </w:pPr>
            <w:r w:rsidRPr="00F9707F">
              <w:rPr>
                <w:rFonts w:ascii="Arial" w:hAnsi="Arial" w:cs="Arial"/>
                <w:color w:val="000000"/>
                <w:sz w:val="18"/>
                <w:szCs w:val="18"/>
              </w:rPr>
              <w:t>Petroleras</w:t>
            </w:r>
          </w:p>
        </w:tc>
        <w:tc>
          <w:tcPr>
            <w:tcW w:w="1276" w:type="dxa"/>
            <w:shd w:val="clear" w:color="auto" w:fill="auto"/>
            <w:vAlign w:val="center"/>
            <w:hideMark/>
          </w:tcPr>
          <w:p w14:paraId="7A749F1F" w14:textId="77777777" w:rsidR="00890076" w:rsidRPr="00F9707F" w:rsidRDefault="00890076" w:rsidP="00ED3828">
            <w:pPr>
              <w:tabs>
                <w:tab w:val="left" w:pos="1069"/>
              </w:tabs>
              <w:ind w:right="73"/>
              <w:jc w:val="right"/>
              <w:rPr>
                <w:rFonts w:ascii="Arial" w:hAnsi="Arial" w:cs="Arial"/>
                <w:bCs/>
                <w:color w:val="000000"/>
                <w:sz w:val="18"/>
                <w:szCs w:val="18"/>
              </w:rPr>
            </w:pPr>
            <w:r w:rsidRPr="00F9707F">
              <w:rPr>
                <w:rFonts w:ascii="Arial" w:hAnsi="Arial" w:cs="Arial"/>
                <w:bCs/>
                <w:color w:val="000000"/>
                <w:sz w:val="18"/>
                <w:szCs w:val="18"/>
              </w:rPr>
              <w:t>3 990.1</w:t>
            </w:r>
          </w:p>
        </w:tc>
        <w:tc>
          <w:tcPr>
            <w:tcW w:w="1134" w:type="dxa"/>
            <w:tcBorders>
              <w:top w:val="nil"/>
              <w:left w:val="nil"/>
              <w:bottom w:val="nil"/>
              <w:right w:val="double" w:sz="6" w:space="0" w:color="auto"/>
            </w:tcBorders>
            <w:shd w:val="clear" w:color="auto" w:fill="auto"/>
            <w:vAlign w:val="center"/>
            <w:hideMark/>
          </w:tcPr>
          <w:p w14:paraId="6709628B" w14:textId="77777777" w:rsidR="00890076" w:rsidRPr="00F9707F" w:rsidRDefault="00890076" w:rsidP="00ED3828">
            <w:pPr>
              <w:ind w:right="170"/>
              <w:jc w:val="right"/>
              <w:rPr>
                <w:rFonts w:ascii="Arial" w:hAnsi="Arial" w:cs="Arial"/>
                <w:bCs/>
                <w:color w:val="000000"/>
                <w:sz w:val="18"/>
                <w:szCs w:val="18"/>
              </w:rPr>
            </w:pPr>
            <w:r w:rsidRPr="00F9707F">
              <w:rPr>
                <w:rFonts w:ascii="Arial" w:hAnsi="Arial" w:cs="Arial"/>
                <w:bCs/>
                <w:color w:val="000000"/>
                <w:sz w:val="18"/>
                <w:szCs w:val="18"/>
              </w:rPr>
              <w:t>20.8</w:t>
            </w:r>
          </w:p>
        </w:tc>
        <w:tc>
          <w:tcPr>
            <w:tcW w:w="1559" w:type="dxa"/>
            <w:shd w:val="clear" w:color="auto" w:fill="auto"/>
            <w:vAlign w:val="center"/>
            <w:hideMark/>
          </w:tcPr>
          <w:p w14:paraId="6E16591E" w14:textId="77777777" w:rsidR="00890076" w:rsidRPr="00F9707F" w:rsidRDefault="00890076" w:rsidP="00ED3828">
            <w:pPr>
              <w:ind w:right="211"/>
              <w:jc w:val="right"/>
              <w:rPr>
                <w:rFonts w:ascii="Arial" w:hAnsi="Arial" w:cs="Arial"/>
                <w:bCs/>
                <w:color w:val="000000"/>
                <w:sz w:val="18"/>
                <w:szCs w:val="18"/>
              </w:rPr>
            </w:pPr>
            <w:r w:rsidRPr="00F9707F">
              <w:rPr>
                <w:rFonts w:ascii="Arial" w:hAnsi="Arial" w:cs="Arial"/>
                <w:bCs/>
                <w:color w:val="000000"/>
                <w:sz w:val="18"/>
                <w:szCs w:val="18"/>
              </w:rPr>
              <w:t>43 310.1</w:t>
            </w:r>
          </w:p>
        </w:tc>
        <w:tc>
          <w:tcPr>
            <w:tcW w:w="1134" w:type="dxa"/>
            <w:tcBorders>
              <w:top w:val="nil"/>
              <w:left w:val="nil"/>
              <w:bottom w:val="nil"/>
              <w:right w:val="double" w:sz="6" w:space="0" w:color="auto"/>
            </w:tcBorders>
            <w:shd w:val="clear" w:color="auto" w:fill="auto"/>
            <w:vAlign w:val="center"/>
            <w:hideMark/>
          </w:tcPr>
          <w:p w14:paraId="6A65BFF1" w14:textId="77777777" w:rsidR="00890076" w:rsidRPr="00F9707F" w:rsidRDefault="00890076" w:rsidP="00ED3828">
            <w:pPr>
              <w:jc w:val="center"/>
              <w:rPr>
                <w:rFonts w:ascii="Arial" w:hAnsi="Arial" w:cs="Arial"/>
                <w:color w:val="000000"/>
                <w:sz w:val="18"/>
                <w:szCs w:val="18"/>
              </w:rPr>
            </w:pPr>
            <w:r w:rsidRPr="00F9707F">
              <w:rPr>
                <w:rFonts w:ascii="Arial" w:hAnsi="Arial" w:cs="Arial"/>
                <w:bCs/>
                <w:color w:val="000000"/>
                <w:sz w:val="18"/>
                <w:szCs w:val="18"/>
              </w:rPr>
              <w:t>38.9</w:t>
            </w:r>
          </w:p>
        </w:tc>
      </w:tr>
      <w:tr w:rsidR="00890076" w14:paraId="4003C9F4" w14:textId="77777777" w:rsidTr="00ED3828">
        <w:trPr>
          <w:trHeight w:val="255"/>
          <w:jc w:val="center"/>
        </w:trPr>
        <w:tc>
          <w:tcPr>
            <w:tcW w:w="238" w:type="dxa"/>
            <w:tcBorders>
              <w:top w:val="nil"/>
              <w:left w:val="double" w:sz="6" w:space="0" w:color="auto"/>
              <w:bottom w:val="nil"/>
              <w:right w:val="nil"/>
            </w:tcBorders>
            <w:shd w:val="clear" w:color="auto" w:fill="auto"/>
            <w:vAlign w:val="center"/>
            <w:hideMark/>
          </w:tcPr>
          <w:p w14:paraId="6ECDC270" w14:textId="77777777" w:rsidR="00890076" w:rsidRPr="00F9707F" w:rsidRDefault="00890076" w:rsidP="00ED3828">
            <w:pPr>
              <w:jc w:val="both"/>
              <w:rPr>
                <w:rFonts w:ascii="Arial" w:hAnsi="Arial" w:cs="Arial"/>
                <w:color w:val="000000"/>
                <w:sz w:val="18"/>
                <w:szCs w:val="18"/>
              </w:rPr>
            </w:pPr>
            <w:r w:rsidRPr="00F9707F">
              <w:rPr>
                <w:rFonts w:ascii="Arial" w:hAnsi="Arial" w:cs="Arial"/>
                <w:color w:val="000000"/>
                <w:sz w:val="18"/>
                <w:szCs w:val="18"/>
              </w:rPr>
              <w:t> </w:t>
            </w:r>
          </w:p>
        </w:tc>
        <w:tc>
          <w:tcPr>
            <w:tcW w:w="191" w:type="dxa"/>
            <w:shd w:val="clear" w:color="auto" w:fill="auto"/>
            <w:vAlign w:val="center"/>
            <w:hideMark/>
          </w:tcPr>
          <w:p w14:paraId="66A93D58" w14:textId="77777777" w:rsidR="00890076" w:rsidRPr="00F9707F" w:rsidRDefault="00890076" w:rsidP="00ED3828">
            <w:pPr>
              <w:jc w:val="both"/>
              <w:rPr>
                <w:rFonts w:ascii="Arial" w:hAnsi="Arial" w:cs="Arial"/>
                <w:color w:val="000000"/>
                <w:sz w:val="18"/>
                <w:szCs w:val="18"/>
              </w:rPr>
            </w:pPr>
            <w:r w:rsidRPr="00F9707F">
              <w:rPr>
                <w:rFonts w:ascii="Arial" w:hAnsi="Arial" w:cs="Arial"/>
                <w:color w:val="000000"/>
                <w:sz w:val="18"/>
                <w:szCs w:val="18"/>
              </w:rPr>
              <w:t> </w:t>
            </w:r>
          </w:p>
        </w:tc>
        <w:tc>
          <w:tcPr>
            <w:tcW w:w="190" w:type="dxa"/>
            <w:shd w:val="clear" w:color="auto" w:fill="auto"/>
            <w:noWrap/>
            <w:vAlign w:val="bottom"/>
            <w:hideMark/>
          </w:tcPr>
          <w:p w14:paraId="05A34026" w14:textId="77777777" w:rsidR="00890076" w:rsidRPr="00F9707F" w:rsidRDefault="00890076" w:rsidP="00ED3828">
            <w:pPr>
              <w:rPr>
                <w:rFonts w:ascii="Calibri" w:hAnsi="Calibri" w:cs="Calibri"/>
                <w:color w:val="000000"/>
                <w:sz w:val="22"/>
                <w:szCs w:val="22"/>
              </w:rPr>
            </w:pPr>
            <w:r w:rsidRPr="00F9707F">
              <w:rPr>
                <w:rFonts w:ascii="Calibri" w:hAnsi="Calibri" w:cs="Calibri"/>
                <w:color w:val="000000"/>
                <w:sz w:val="22"/>
                <w:szCs w:val="22"/>
              </w:rPr>
              <w:t> </w:t>
            </w:r>
          </w:p>
        </w:tc>
        <w:tc>
          <w:tcPr>
            <w:tcW w:w="2335" w:type="dxa"/>
            <w:gridSpan w:val="2"/>
            <w:tcBorders>
              <w:top w:val="nil"/>
              <w:left w:val="nil"/>
              <w:bottom w:val="nil"/>
              <w:right w:val="double" w:sz="6" w:space="0" w:color="000000"/>
            </w:tcBorders>
            <w:shd w:val="clear" w:color="auto" w:fill="auto"/>
            <w:vAlign w:val="center"/>
            <w:hideMark/>
          </w:tcPr>
          <w:p w14:paraId="62E0A9D9" w14:textId="77777777" w:rsidR="00890076" w:rsidRPr="00F9707F" w:rsidRDefault="00890076" w:rsidP="00ED3828">
            <w:pPr>
              <w:jc w:val="both"/>
              <w:rPr>
                <w:rFonts w:ascii="Arial" w:hAnsi="Arial" w:cs="Arial"/>
                <w:color w:val="000000"/>
                <w:sz w:val="18"/>
                <w:szCs w:val="18"/>
              </w:rPr>
            </w:pPr>
            <w:r w:rsidRPr="00F9707F">
              <w:rPr>
                <w:rFonts w:ascii="Arial" w:hAnsi="Arial" w:cs="Arial"/>
                <w:color w:val="000000"/>
                <w:sz w:val="18"/>
                <w:szCs w:val="18"/>
              </w:rPr>
              <w:t>No petroleras</w:t>
            </w:r>
          </w:p>
        </w:tc>
        <w:tc>
          <w:tcPr>
            <w:tcW w:w="1276" w:type="dxa"/>
            <w:shd w:val="clear" w:color="auto" w:fill="auto"/>
            <w:vAlign w:val="center"/>
            <w:hideMark/>
          </w:tcPr>
          <w:p w14:paraId="5FE0E4F0" w14:textId="77777777" w:rsidR="00890076" w:rsidRPr="00F9707F" w:rsidRDefault="00890076" w:rsidP="00ED3828">
            <w:pPr>
              <w:tabs>
                <w:tab w:val="left" w:pos="1069"/>
              </w:tabs>
              <w:ind w:right="73"/>
              <w:jc w:val="right"/>
              <w:rPr>
                <w:rFonts w:ascii="Arial" w:hAnsi="Arial" w:cs="Arial"/>
                <w:color w:val="000000"/>
                <w:sz w:val="18"/>
                <w:szCs w:val="18"/>
              </w:rPr>
            </w:pPr>
            <w:r w:rsidRPr="00F9707F">
              <w:rPr>
                <w:rFonts w:ascii="Arial" w:hAnsi="Arial" w:cs="Arial"/>
                <w:bCs/>
                <w:color w:val="000000"/>
                <w:sz w:val="18"/>
                <w:szCs w:val="18"/>
              </w:rPr>
              <w:t>36 362.0</w:t>
            </w:r>
          </w:p>
        </w:tc>
        <w:tc>
          <w:tcPr>
            <w:tcW w:w="1134" w:type="dxa"/>
            <w:tcBorders>
              <w:top w:val="nil"/>
              <w:left w:val="nil"/>
              <w:bottom w:val="nil"/>
              <w:right w:val="double" w:sz="6" w:space="0" w:color="auto"/>
            </w:tcBorders>
            <w:shd w:val="clear" w:color="auto" w:fill="auto"/>
            <w:vAlign w:val="center"/>
            <w:hideMark/>
          </w:tcPr>
          <w:p w14:paraId="51BBB5BC" w14:textId="77777777" w:rsidR="00890076" w:rsidRPr="00F9707F" w:rsidRDefault="00890076" w:rsidP="00ED3828">
            <w:pPr>
              <w:ind w:right="170"/>
              <w:jc w:val="right"/>
              <w:rPr>
                <w:rFonts w:ascii="Arial" w:hAnsi="Arial" w:cs="Arial"/>
                <w:color w:val="000000"/>
                <w:sz w:val="18"/>
                <w:szCs w:val="18"/>
              </w:rPr>
            </w:pPr>
            <w:r w:rsidRPr="00F9707F">
              <w:rPr>
                <w:rFonts w:ascii="Arial" w:hAnsi="Arial" w:cs="Arial"/>
                <w:bCs/>
                <w:color w:val="000000"/>
                <w:sz w:val="18"/>
                <w:szCs w:val="18"/>
              </w:rPr>
              <w:t>13.6</w:t>
            </w:r>
          </w:p>
        </w:tc>
        <w:tc>
          <w:tcPr>
            <w:tcW w:w="1559" w:type="dxa"/>
            <w:shd w:val="clear" w:color="auto" w:fill="auto"/>
            <w:vAlign w:val="center"/>
            <w:hideMark/>
          </w:tcPr>
          <w:p w14:paraId="2937D260" w14:textId="77777777" w:rsidR="00890076" w:rsidRPr="00F9707F" w:rsidRDefault="00890076" w:rsidP="00ED3828">
            <w:pPr>
              <w:ind w:right="211"/>
              <w:jc w:val="right"/>
              <w:rPr>
                <w:rFonts w:ascii="Arial" w:hAnsi="Arial" w:cs="Arial"/>
                <w:color w:val="000000"/>
                <w:sz w:val="18"/>
                <w:szCs w:val="18"/>
              </w:rPr>
            </w:pPr>
            <w:r w:rsidRPr="00F9707F">
              <w:rPr>
                <w:rFonts w:ascii="Arial" w:hAnsi="Arial" w:cs="Arial"/>
                <w:bCs/>
                <w:color w:val="000000"/>
                <w:sz w:val="18"/>
                <w:szCs w:val="18"/>
              </w:rPr>
              <w:t>356 375.5</w:t>
            </w:r>
          </w:p>
        </w:tc>
        <w:tc>
          <w:tcPr>
            <w:tcW w:w="1134" w:type="dxa"/>
            <w:tcBorders>
              <w:top w:val="nil"/>
              <w:left w:val="nil"/>
              <w:bottom w:val="nil"/>
              <w:right w:val="double" w:sz="6" w:space="0" w:color="auto"/>
            </w:tcBorders>
            <w:shd w:val="clear" w:color="auto" w:fill="auto"/>
            <w:vAlign w:val="center"/>
            <w:hideMark/>
          </w:tcPr>
          <w:p w14:paraId="5D8E87FC" w14:textId="77777777" w:rsidR="00890076" w:rsidRPr="00F9707F" w:rsidRDefault="00890076" w:rsidP="00ED3828">
            <w:pPr>
              <w:jc w:val="center"/>
              <w:rPr>
                <w:rFonts w:ascii="Arial" w:hAnsi="Arial" w:cs="Arial"/>
                <w:color w:val="000000"/>
                <w:sz w:val="18"/>
                <w:szCs w:val="18"/>
              </w:rPr>
            </w:pPr>
            <w:r w:rsidRPr="00F9707F">
              <w:rPr>
                <w:rFonts w:ascii="Arial" w:hAnsi="Arial" w:cs="Arial"/>
                <w:bCs/>
                <w:color w:val="000000"/>
                <w:sz w:val="18"/>
                <w:szCs w:val="18"/>
              </w:rPr>
              <w:t>19.1</w:t>
            </w:r>
          </w:p>
        </w:tc>
      </w:tr>
      <w:tr w:rsidR="00890076" w14:paraId="271504EA" w14:textId="77777777" w:rsidTr="00ED3828">
        <w:trPr>
          <w:trHeight w:val="255"/>
          <w:jc w:val="center"/>
        </w:trPr>
        <w:tc>
          <w:tcPr>
            <w:tcW w:w="238" w:type="dxa"/>
            <w:tcBorders>
              <w:top w:val="nil"/>
              <w:left w:val="double" w:sz="6" w:space="0" w:color="auto"/>
              <w:bottom w:val="nil"/>
              <w:right w:val="nil"/>
            </w:tcBorders>
            <w:shd w:val="clear" w:color="auto" w:fill="auto"/>
            <w:vAlign w:val="center"/>
            <w:hideMark/>
          </w:tcPr>
          <w:p w14:paraId="6C6775B2" w14:textId="77777777" w:rsidR="00890076" w:rsidRPr="00F9707F" w:rsidRDefault="00890076" w:rsidP="00ED3828">
            <w:pPr>
              <w:jc w:val="both"/>
              <w:rPr>
                <w:rFonts w:ascii="Arial" w:hAnsi="Arial" w:cs="Arial"/>
                <w:color w:val="000000"/>
                <w:sz w:val="18"/>
                <w:szCs w:val="18"/>
              </w:rPr>
            </w:pPr>
            <w:r w:rsidRPr="00F9707F">
              <w:rPr>
                <w:rFonts w:ascii="Arial" w:hAnsi="Arial" w:cs="Arial"/>
                <w:color w:val="000000"/>
                <w:sz w:val="18"/>
                <w:szCs w:val="18"/>
              </w:rPr>
              <w:t> </w:t>
            </w:r>
          </w:p>
        </w:tc>
        <w:tc>
          <w:tcPr>
            <w:tcW w:w="191" w:type="dxa"/>
            <w:shd w:val="clear" w:color="auto" w:fill="auto"/>
            <w:vAlign w:val="center"/>
            <w:hideMark/>
          </w:tcPr>
          <w:p w14:paraId="581B289F" w14:textId="77777777" w:rsidR="00890076" w:rsidRPr="00F9707F" w:rsidRDefault="00890076" w:rsidP="00ED3828">
            <w:pPr>
              <w:jc w:val="both"/>
              <w:rPr>
                <w:rFonts w:ascii="Arial" w:hAnsi="Arial" w:cs="Arial"/>
                <w:color w:val="000000"/>
                <w:sz w:val="18"/>
                <w:szCs w:val="18"/>
              </w:rPr>
            </w:pPr>
            <w:r w:rsidRPr="00F9707F">
              <w:rPr>
                <w:rFonts w:ascii="Arial" w:hAnsi="Arial" w:cs="Arial"/>
                <w:color w:val="000000"/>
                <w:sz w:val="18"/>
                <w:szCs w:val="18"/>
              </w:rPr>
              <w:t> </w:t>
            </w:r>
          </w:p>
        </w:tc>
        <w:tc>
          <w:tcPr>
            <w:tcW w:w="2525" w:type="dxa"/>
            <w:gridSpan w:val="3"/>
            <w:tcBorders>
              <w:top w:val="nil"/>
              <w:left w:val="nil"/>
              <w:bottom w:val="nil"/>
              <w:right w:val="double" w:sz="6" w:space="0" w:color="000000"/>
            </w:tcBorders>
            <w:shd w:val="clear" w:color="auto" w:fill="auto"/>
            <w:noWrap/>
            <w:vAlign w:val="center"/>
            <w:hideMark/>
          </w:tcPr>
          <w:p w14:paraId="24F23873" w14:textId="77777777" w:rsidR="00890076" w:rsidRPr="00F9707F" w:rsidRDefault="00890076" w:rsidP="00ED3828">
            <w:pPr>
              <w:jc w:val="both"/>
              <w:rPr>
                <w:rFonts w:ascii="Arial" w:hAnsi="Arial" w:cs="Arial"/>
                <w:color w:val="000000"/>
                <w:sz w:val="18"/>
                <w:szCs w:val="18"/>
              </w:rPr>
            </w:pPr>
            <w:r w:rsidRPr="00F9707F">
              <w:rPr>
                <w:rFonts w:ascii="Arial" w:hAnsi="Arial" w:cs="Arial"/>
                <w:color w:val="000000"/>
                <w:sz w:val="18"/>
                <w:szCs w:val="18"/>
              </w:rPr>
              <w:t>Bienes de capital</w:t>
            </w:r>
          </w:p>
        </w:tc>
        <w:tc>
          <w:tcPr>
            <w:tcW w:w="1276" w:type="dxa"/>
            <w:shd w:val="clear" w:color="auto" w:fill="auto"/>
            <w:vAlign w:val="center"/>
            <w:hideMark/>
          </w:tcPr>
          <w:p w14:paraId="7B6C61B3" w14:textId="77777777" w:rsidR="00890076" w:rsidRPr="00F9707F" w:rsidRDefault="00890076" w:rsidP="00ED3828">
            <w:pPr>
              <w:tabs>
                <w:tab w:val="left" w:pos="1069"/>
              </w:tabs>
              <w:ind w:right="73"/>
              <w:jc w:val="right"/>
              <w:rPr>
                <w:rFonts w:ascii="Arial" w:hAnsi="Arial" w:cs="Arial"/>
                <w:color w:val="000000"/>
                <w:sz w:val="18"/>
                <w:szCs w:val="18"/>
              </w:rPr>
            </w:pPr>
            <w:r w:rsidRPr="00F9707F">
              <w:rPr>
                <w:rFonts w:ascii="Arial" w:hAnsi="Arial" w:cs="Arial"/>
                <w:bCs/>
                <w:color w:val="000000"/>
                <w:sz w:val="18"/>
                <w:szCs w:val="18"/>
              </w:rPr>
              <w:t>4 304.7</w:t>
            </w:r>
          </w:p>
        </w:tc>
        <w:tc>
          <w:tcPr>
            <w:tcW w:w="1134" w:type="dxa"/>
            <w:tcBorders>
              <w:top w:val="nil"/>
              <w:left w:val="nil"/>
              <w:bottom w:val="nil"/>
              <w:right w:val="double" w:sz="6" w:space="0" w:color="auto"/>
            </w:tcBorders>
            <w:shd w:val="clear" w:color="auto" w:fill="auto"/>
            <w:vAlign w:val="center"/>
            <w:hideMark/>
          </w:tcPr>
          <w:p w14:paraId="07ED0CA3" w14:textId="77777777" w:rsidR="00890076" w:rsidRPr="00F9707F" w:rsidRDefault="00890076" w:rsidP="00ED3828">
            <w:pPr>
              <w:ind w:right="170"/>
              <w:jc w:val="right"/>
              <w:rPr>
                <w:rFonts w:ascii="Arial" w:hAnsi="Arial" w:cs="Arial"/>
                <w:color w:val="000000"/>
                <w:sz w:val="18"/>
                <w:szCs w:val="18"/>
              </w:rPr>
            </w:pPr>
            <w:r w:rsidRPr="00F9707F">
              <w:rPr>
                <w:rFonts w:ascii="Arial" w:hAnsi="Arial" w:cs="Arial"/>
                <w:bCs/>
                <w:color w:val="000000"/>
                <w:sz w:val="18"/>
                <w:szCs w:val="18"/>
              </w:rPr>
              <w:t>21.7</w:t>
            </w:r>
          </w:p>
        </w:tc>
        <w:tc>
          <w:tcPr>
            <w:tcW w:w="1559" w:type="dxa"/>
            <w:shd w:val="clear" w:color="auto" w:fill="auto"/>
            <w:vAlign w:val="center"/>
            <w:hideMark/>
          </w:tcPr>
          <w:p w14:paraId="2C0A7F64" w14:textId="77777777" w:rsidR="00890076" w:rsidRPr="00F9707F" w:rsidRDefault="00890076" w:rsidP="00ED3828">
            <w:pPr>
              <w:ind w:right="211"/>
              <w:jc w:val="right"/>
              <w:rPr>
                <w:rFonts w:ascii="Arial" w:hAnsi="Arial" w:cs="Arial"/>
                <w:color w:val="000000"/>
                <w:sz w:val="18"/>
                <w:szCs w:val="18"/>
              </w:rPr>
            </w:pPr>
            <w:r w:rsidRPr="00F9707F">
              <w:rPr>
                <w:rFonts w:ascii="Arial" w:hAnsi="Arial" w:cs="Arial"/>
                <w:bCs/>
                <w:color w:val="000000"/>
                <w:sz w:val="18"/>
                <w:szCs w:val="18"/>
              </w:rPr>
              <w:t>39 281.6</w:t>
            </w:r>
          </w:p>
        </w:tc>
        <w:tc>
          <w:tcPr>
            <w:tcW w:w="1134" w:type="dxa"/>
            <w:tcBorders>
              <w:top w:val="nil"/>
              <w:left w:val="nil"/>
              <w:bottom w:val="nil"/>
              <w:right w:val="double" w:sz="6" w:space="0" w:color="auto"/>
            </w:tcBorders>
            <w:shd w:val="clear" w:color="auto" w:fill="auto"/>
            <w:vAlign w:val="center"/>
            <w:hideMark/>
          </w:tcPr>
          <w:p w14:paraId="29C5DF52" w14:textId="77777777" w:rsidR="00890076" w:rsidRPr="00F9707F" w:rsidRDefault="00890076" w:rsidP="00ED3828">
            <w:pPr>
              <w:jc w:val="center"/>
              <w:rPr>
                <w:rFonts w:ascii="Arial" w:hAnsi="Arial" w:cs="Arial"/>
                <w:color w:val="000000"/>
                <w:sz w:val="18"/>
                <w:szCs w:val="18"/>
              </w:rPr>
            </w:pPr>
            <w:r w:rsidRPr="00F9707F">
              <w:rPr>
                <w:rFonts w:ascii="Arial" w:hAnsi="Arial" w:cs="Arial"/>
                <w:bCs/>
                <w:color w:val="000000"/>
                <w:sz w:val="18"/>
                <w:szCs w:val="18"/>
              </w:rPr>
              <w:t>20.4</w:t>
            </w:r>
          </w:p>
        </w:tc>
      </w:tr>
      <w:tr w:rsidR="00890076" w14:paraId="442AE796" w14:textId="77777777" w:rsidTr="00ED3828">
        <w:trPr>
          <w:trHeight w:val="66"/>
          <w:jc w:val="center"/>
        </w:trPr>
        <w:tc>
          <w:tcPr>
            <w:tcW w:w="238" w:type="dxa"/>
            <w:tcBorders>
              <w:top w:val="nil"/>
              <w:left w:val="double" w:sz="6" w:space="0" w:color="auto"/>
              <w:bottom w:val="double" w:sz="6" w:space="0" w:color="auto"/>
              <w:right w:val="nil"/>
            </w:tcBorders>
            <w:shd w:val="clear" w:color="auto" w:fill="auto"/>
            <w:noWrap/>
            <w:hideMark/>
          </w:tcPr>
          <w:p w14:paraId="6C6A3A5B" w14:textId="77777777" w:rsidR="00890076" w:rsidRPr="00F9707F" w:rsidRDefault="00890076" w:rsidP="00ED3828">
            <w:pPr>
              <w:rPr>
                <w:rFonts w:ascii="Calibri" w:hAnsi="Calibri" w:cs="Calibri"/>
                <w:color w:val="000000"/>
                <w:sz w:val="22"/>
                <w:szCs w:val="22"/>
              </w:rPr>
            </w:pPr>
            <w:r w:rsidRPr="00F9707F">
              <w:rPr>
                <w:rFonts w:ascii="Calibri" w:hAnsi="Calibri" w:cs="Calibri"/>
                <w:color w:val="000000"/>
                <w:sz w:val="22"/>
                <w:szCs w:val="22"/>
              </w:rPr>
              <w:t> </w:t>
            </w:r>
          </w:p>
        </w:tc>
        <w:tc>
          <w:tcPr>
            <w:tcW w:w="2716" w:type="dxa"/>
            <w:gridSpan w:val="4"/>
            <w:tcBorders>
              <w:top w:val="nil"/>
              <w:left w:val="nil"/>
              <w:bottom w:val="double" w:sz="6" w:space="0" w:color="auto"/>
              <w:right w:val="double" w:sz="6" w:space="0" w:color="000000"/>
            </w:tcBorders>
            <w:shd w:val="clear" w:color="auto" w:fill="auto"/>
            <w:noWrap/>
            <w:vAlign w:val="center"/>
            <w:hideMark/>
          </w:tcPr>
          <w:p w14:paraId="424D9B7C" w14:textId="77777777" w:rsidR="00890076" w:rsidRPr="00F9707F" w:rsidRDefault="00890076" w:rsidP="00ED3828">
            <w:pPr>
              <w:rPr>
                <w:rFonts w:ascii="Arial" w:hAnsi="Arial" w:cs="Arial"/>
                <w:b/>
                <w:bCs/>
                <w:color w:val="000000"/>
                <w:sz w:val="18"/>
                <w:szCs w:val="18"/>
                <w:u w:val="single"/>
              </w:rPr>
            </w:pPr>
            <w:r w:rsidRPr="00F9707F">
              <w:rPr>
                <w:rFonts w:ascii="Arial" w:hAnsi="Arial" w:cs="Arial"/>
                <w:b/>
                <w:bCs/>
                <w:color w:val="000000"/>
                <w:sz w:val="18"/>
                <w:szCs w:val="18"/>
                <w:u w:val="single"/>
              </w:rPr>
              <w:t>Saldo de la balanza comercial</w:t>
            </w:r>
          </w:p>
        </w:tc>
        <w:tc>
          <w:tcPr>
            <w:tcW w:w="1276" w:type="dxa"/>
            <w:tcBorders>
              <w:top w:val="nil"/>
              <w:left w:val="nil"/>
              <w:bottom w:val="double" w:sz="6" w:space="0" w:color="auto"/>
              <w:right w:val="nil"/>
            </w:tcBorders>
            <w:shd w:val="clear" w:color="auto" w:fill="auto"/>
            <w:vAlign w:val="center"/>
            <w:hideMark/>
          </w:tcPr>
          <w:p w14:paraId="3652C993" w14:textId="77777777" w:rsidR="00890076" w:rsidRPr="00F9707F" w:rsidRDefault="00890076" w:rsidP="00ED3828">
            <w:pPr>
              <w:tabs>
                <w:tab w:val="left" w:pos="1069"/>
              </w:tabs>
              <w:ind w:right="73"/>
              <w:jc w:val="right"/>
              <w:rPr>
                <w:rFonts w:ascii="Arial" w:hAnsi="Arial" w:cs="Arial"/>
                <w:b/>
                <w:bCs/>
                <w:color w:val="000000"/>
                <w:sz w:val="18"/>
                <w:szCs w:val="18"/>
                <w:u w:val="single"/>
              </w:rPr>
            </w:pPr>
            <w:r w:rsidRPr="00F9707F">
              <w:rPr>
                <w:rFonts w:ascii="Arial" w:hAnsi="Arial" w:cs="Arial"/>
                <w:b/>
                <w:bCs/>
                <w:color w:val="000000"/>
                <w:sz w:val="18"/>
                <w:szCs w:val="18"/>
              </w:rPr>
              <w:t>-</w:t>
            </w:r>
            <w:r w:rsidRPr="00F9707F">
              <w:rPr>
                <w:rFonts w:ascii="Arial" w:hAnsi="Arial" w:cs="Arial"/>
                <w:b/>
                <w:bCs/>
                <w:color w:val="000000"/>
                <w:sz w:val="18"/>
                <w:szCs w:val="18"/>
                <w:u w:val="single"/>
              </w:rPr>
              <w:t>2 011.8</w:t>
            </w:r>
          </w:p>
        </w:tc>
        <w:tc>
          <w:tcPr>
            <w:tcW w:w="1134" w:type="dxa"/>
            <w:tcBorders>
              <w:top w:val="nil"/>
              <w:left w:val="nil"/>
              <w:bottom w:val="double" w:sz="6" w:space="0" w:color="auto"/>
              <w:right w:val="double" w:sz="6" w:space="0" w:color="000000"/>
            </w:tcBorders>
            <w:shd w:val="clear" w:color="auto" w:fill="auto"/>
            <w:vAlign w:val="center"/>
            <w:hideMark/>
          </w:tcPr>
          <w:p w14:paraId="210BEAF7" w14:textId="77777777" w:rsidR="00890076" w:rsidRPr="00F9707F" w:rsidRDefault="00890076" w:rsidP="00ED3828">
            <w:pPr>
              <w:ind w:right="170"/>
              <w:jc w:val="right"/>
              <w:rPr>
                <w:rFonts w:ascii="Arial" w:hAnsi="Arial" w:cs="Arial"/>
                <w:b/>
                <w:bCs/>
                <w:color w:val="000000"/>
                <w:sz w:val="18"/>
                <w:szCs w:val="18"/>
                <w:u w:val="single"/>
              </w:rPr>
            </w:pPr>
            <w:r w:rsidRPr="00F9707F">
              <w:rPr>
                <w:rFonts w:ascii="Arial" w:hAnsi="Arial" w:cs="Arial"/>
                <w:b/>
                <w:bCs/>
                <w:color w:val="000000"/>
                <w:sz w:val="18"/>
                <w:szCs w:val="18"/>
              </w:rPr>
              <w:t>-</w:t>
            </w:r>
            <w:r w:rsidRPr="00F9707F">
              <w:rPr>
                <w:rFonts w:ascii="Arial" w:hAnsi="Arial" w:cs="Arial"/>
                <w:b/>
                <w:bCs/>
                <w:color w:val="000000"/>
                <w:sz w:val="18"/>
                <w:szCs w:val="18"/>
                <w:u w:val="single"/>
              </w:rPr>
              <w:t>28.1</w:t>
            </w:r>
          </w:p>
        </w:tc>
        <w:tc>
          <w:tcPr>
            <w:tcW w:w="1559" w:type="dxa"/>
            <w:tcBorders>
              <w:top w:val="nil"/>
              <w:left w:val="nil"/>
              <w:bottom w:val="double" w:sz="6" w:space="0" w:color="auto"/>
              <w:right w:val="nil"/>
            </w:tcBorders>
            <w:shd w:val="clear" w:color="auto" w:fill="auto"/>
            <w:vAlign w:val="center"/>
            <w:hideMark/>
          </w:tcPr>
          <w:p w14:paraId="6141C20C" w14:textId="77777777" w:rsidR="00890076" w:rsidRPr="00F9707F" w:rsidRDefault="00890076" w:rsidP="00ED3828">
            <w:pPr>
              <w:ind w:right="211"/>
              <w:jc w:val="right"/>
              <w:rPr>
                <w:rFonts w:ascii="Arial" w:hAnsi="Arial" w:cs="Arial"/>
                <w:b/>
                <w:bCs/>
                <w:color w:val="000000"/>
                <w:sz w:val="18"/>
                <w:szCs w:val="18"/>
                <w:u w:val="single"/>
              </w:rPr>
            </w:pPr>
            <w:r w:rsidRPr="00F9707F">
              <w:rPr>
                <w:rFonts w:ascii="Arial" w:hAnsi="Arial" w:cs="Arial"/>
                <w:b/>
                <w:bCs/>
                <w:color w:val="000000"/>
                <w:sz w:val="18"/>
                <w:szCs w:val="18"/>
              </w:rPr>
              <w:t xml:space="preserve"> -</w:t>
            </w:r>
            <w:r w:rsidRPr="00F9707F">
              <w:rPr>
                <w:rFonts w:ascii="Arial" w:hAnsi="Arial" w:cs="Arial"/>
                <w:b/>
                <w:bCs/>
                <w:color w:val="000000"/>
                <w:sz w:val="18"/>
                <w:szCs w:val="18"/>
                <w:u w:val="single"/>
              </w:rPr>
              <w:t>27 309.0</w:t>
            </w:r>
          </w:p>
        </w:tc>
        <w:tc>
          <w:tcPr>
            <w:tcW w:w="1134" w:type="dxa"/>
            <w:tcBorders>
              <w:top w:val="nil"/>
              <w:left w:val="nil"/>
              <w:bottom w:val="double" w:sz="6" w:space="0" w:color="auto"/>
              <w:right w:val="double" w:sz="6" w:space="0" w:color="000000"/>
            </w:tcBorders>
            <w:shd w:val="clear" w:color="auto" w:fill="auto"/>
            <w:vAlign w:val="center"/>
            <w:hideMark/>
          </w:tcPr>
          <w:p w14:paraId="32BE28AB" w14:textId="77777777" w:rsidR="00890076" w:rsidRPr="00F9707F" w:rsidRDefault="00890076" w:rsidP="00ED3828">
            <w:pPr>
              <w:jc w:val="center"/>
              <w:rPr>
                <w:rFonts w:ascii="Arial" w:hAnsi="Arial" w:cs="Arial"/>
                <w:b/>
                <w:bCs/>
                <w:color w:val="000000"/>
                <w:sz w:val="18"/>
                <w:szCs w:val="18"/>
                <w:u w:val="single"/>
              </w:rPr>
            </w:pPr>
            <w:r w:rsidRPr="00F9707F">
              <w:rPr>
                <w:rFonts w:ascii="Arial" w:hAnsi="Arial" w:cs="Arial"/>
                <w:b/>
                <w:bCs/>
                <w:color w:val="000000"/>
                <w:sz w:val="18"/>
                <w:szCs w:val="18"/>
                <w:u w:val="single"/>
              </w:rPr>
              <w:t>137.6</w:t>
            </w:r>
          </w:p>
        </w:tc>
      </w:tr>
    </w:tbl>
    <w:p w14:paraId="3D033990" w14:textId="77777777" w:rsidR="00890076" w:rsidRDefault="00890076" w:rsidP="00890076">
      <w:pPr>
        <w:pStyle w:val="p01"/>
        <w:keepNext/>
        <w:widowControl/>
        <w:spacing w:before="0"/>
        <w:jc w:val="center"/>
        <w:rPr>
          <w:rFonts w:ascii="Arial" w:hAnsi="Arial" w:cs="Arial"/>
          <w:color w:val="auto"/>
          <w:sz w:val="16"/>
          <w:szCs w:val="16"/>
        </w:rPr>
      </w:pPr>
      <w:r>
        <w:rPr>
          <w:rFonts w:ascii="Arial" w:hAnsi="Arial" w:cs="Arial"/>
          <w:color w:val="auto"/>
          <w:sz w:val="16"/>
          <w:szCs w:val="16"/>
        </w:rPr>
        <w:t xml:space="preserve">Nota: </w:t>
      </w:r>
      <w:r w:rsidRPr="0073085B">
        <w:rPr>
          <w:rFonts w:ascii="Arial" w:hAnsi="Arial" w:cs="Arial"/>
          <w:color w:val="auto"/>
          <w:sz w:val="16"/>
          <w:szCs w:val="16"/>
        </w:rPr>
        <w:t>Debido al redondeo</w:t>
      </w:r>
      <w:r>
        <w:rPr>
          <w:rFonts w:ascii="Arial" w:hAnsi="Arial" w:cs="Arial"/>
          <w:color w:val="auto"/>
          <w:sz w:val="16"/>
          <w:szCs w:val="16"/>
        </w:rPr>
        <w:t xml:space="preserve"> de las cifras</w:t>
      </w:r>
      <w:r w:rsidRPr="0073085B">
        <w:rPr>
          <w:rFonts w:ascii="Arial" w:hAnsi="Arial" w:cs="Arial"/>
          <w:color w:val="auto"/>
          <w:sz w:val="16"/>
          <w:szCs w:val="16"/>
        </w:rPr>
        <w:t>, las sumas de los parciales</w:t>
      </w:r>
      <w:r>
        <w:rPr>
          <w:rFonts w:ascii="Arial" w:hAnsi="Arial" w:cs="Arial"/>
          <w:sz w:val="16"/>
          <w:szCs w:val="16"/>
        </w:rPr>
        <w:t xml:space="preserve"> </w:t>
      </w:r>
      <w:r w:rsidRPr="007A66E8">
        <w:rPr>
          <w:rFonts w:ascii="Arial" w:hAnsi="Arial" w:cs="Arial"/>
          <w:color w:val="auto"/>
          <w:sz w:val="16"/>
          <w:szCs w:val="16"/>
        </w:rPr>
        <w:t>pueden</w:t>
      </w:r>
      <w:r>
        <w:rPr>
          <w:rFonts w:ascii="Arial" w:hAnsi="Arial" w:cs="Arial"/>
          <w:color w:val="auto"/>
          <w:sz w:val="16"/>
          <w:szCs w:val="16"/>
        </w:rPr>
        <w:t xml:space="preserve"> </w:t>
      </w:r>
      <w:r w:rsidRPr="007A66E8">
        <w:rPr>
          <w:rFonts w:ascii="Arial" w:hAnsi="Arial" w:cs="Arial"/>
          <w:color w:val="auto"/>
          <w:sz w:val="16"/>
          <w:szCs w:val="16"/>
        </w:rPr>
        <w:t>no coincidir con los totales.</w:t>
      </w:r>
    </w:p>
    <w:p w14:paraId="3FC41B82" w14:textId="77777777" w:rsidR="00890076" w:rsidRDefault="00890076" w:rsidP="00547670">
      <w:pPr>
        <w:pStyle w:val="p0"/>
        <w:keepLines w:val="0"/>
        <w:spacing w:before="0"/>
        <w:ind w:left="1843" w:hanging="567"/>
        <w:jc w:val="left"/>
        <w:rPr>
          <w:rFonts w:ascii="Arial" w:hAnsi="Arial" w:cs="Arial"/>
          <w:color w:val="auto"/>
          <w:sz w:val="16"/>
          <w:szCs w:val="16"/>
        </w:rPr>
      </w:pPr>
      <w:r>
        <w:rPr>
          <w:rFonts w:ascii="Arial" w:hAnsi="Arial" w:cs="Arial"/>
          <w:color w:val="auto"/>
          <w:sz w:val="16"/>
          <w:szCs w:val="16"/>
        </w:rPr>
        <w:t xml:space="preserve">* </w:t>
      </w:r>
      <w:r w:rsidRPr="007A66E8">
        <w:rPr>
          <w:rFonts w:ascii="Arial" w:hAnsi="Arial" w:cs="Arial"/>
          <w:color w:val="auto"/>
          <w:sz w:val="16"/>
          <w:szCs w:val="16"/>
        </w:rPr>
        <w:t>Cifras oportunas</w:t>
      </w:r>
    </w:p>
    <w:p w14:paraId="61602E08" w14:textId="77777777" w:rsidR="00890076" w:rsidRDefault="00890076" w:rsidP="00890076">
      <w:pPr>
        <w:spacing w:before="240"/>
        <w:jc w:val="center"/>
        <w:rPr>
          <w:rFonts w:ascii="Arial" w:hAnsi="Arial" w:cs="Arial"/>
          <w:sz w:val="22"/>
          <w:szCs w:val="22"/>
        </w:rPr>
      </w:pPr>
    </w:p>
    <w:p w14:paraId="41D2C0A6" w14:textId="77777777" w:rsidR="00890076" w:rsidRPr="008919DF" w:rsidRDefault="00890076" w:rsidP="00890076">
      <w:pPr>
        <w:spacing w:before="240"/>
        <w:jc w:val="center"/>
        <w:rPr>
          <w:rFonts w:ascii="Arial" w:hAnsi="Arial" w:cs="Arial"/>
          <w:sz w:val="22"/>
          <w:szCs w:val="22"/>
        </w:rPr>
      </w:pPr>
      <w:r w:rsidRPr="008919DF">
        <w:rPr>
          <w:rFonts w:ascii="Arial" w:hAnsi="Arial" w:cs="Arial"/>
          <w:sz w:val="22"/>
          <w:szCs w:val="22"/>
        </w:rPr>
        <w:t xml:space="preserve">Para consultas de medios y periodistas, </w:t>
      </w:r>
      <w:r>
        <w:rPr>
          <w:rFonts w:ascii="Arial" w:hAnsi="Arial" w:cs="Arial"/>
          <w:sz w:val="22"/>
          <w:szCs w:val="22"/>
        </w:rPr>
        <w:t>escribir</w:t>
      </w:r>
      <w:r w:rsidRPr="008919DF">
        <w:rPr>
          <w:rFonts w:ascii="Arial" w:hAnsi="Arial" w:cs="Arial"/>
          <w:sz w:val="22"/>
          <w:szCs w:val="22"/>
        </w:rPr>
        <w:t xml:space="preserve"> a: </w:t>
      </w:r>
      <w:hyperlink r:id="rId8" w:history="1">
        <w:r w:rsidRPr="008919DF">
          <w:rPr>
            <w:rStyle w:val="Hipervnculo"/>
            <w:rFonts w:ascii="Arial" w:hAnsi="Arial" w:cs="Arial"/>
            <w:sz w:val="22"/>
            <w:szCs w:val="22"/>
          </w:rPr>
          <w:t>comunicacionsocial@inegi.org.mx</w:t>
        </w:r>
      </w:hyperlink>
    </w:p>
    <w:p w14:paraId="4D356EAE" w14:textId="77777777" w:rsidR="00890076" w:rsidRPr="008919DF" w:rsidRDefault="00890076" w:rsidP="00890076">
      <w:pPr>
        <w:pStyle w:val="NormalWeb"/>
        <w:spacing w:before="0" w:beforeAutospacing="0" w:after="0" w:afterAutospacing="0"/>
        <w:ind w:left="-426" w:right="-518"/>
        <w:contextualSpacing/>
        <w:jc w:val="center"/>
        <w:rPr>
          <w:rFonts w:ascii="Arial" w:hAnsi="Arial" w:cs="Arial"/>
          <w:sz w:val="22"/>
          <w:szCs w:val="22"/>
        </w:rPr>
      </w:pPr>
      <w:r w:rsidRPr="008919DF">
        <w:rPr>
          <w:rFonts w:ascii="Arial" w:hAnsi="Arial" w:cs="Arial"/>
          <w:sz w:val="22"/>
          <w:szCs w:val="22"/>
        </w:rPr>
        <w:t xml:space="preserve">o llamar al teléfono (55) 52-78-10-00, </w:t>
      </w:r>
      <w:proofErr w:type="spellStart"/>
      <w:r w:rsidRPr="008919DF">
        <w:rPr>
          <w:rFonts w:ascii="Arial" w:hAnsi="Arial" w:cs="Arial"/>
          <w:sz w:val="22"/>
          <w:szCs w:val="22"/>
        </w:rPr>
        <w:t>exts</w:t>
      </w:r>
      <w:proofErr w:type="spellEnd"/>
      <w:r w:rsidRPr="008919DF">
        <w:rPr>
          <w:rFonts w:ascii="Arial" w:hAnsi="Arial" w:cs="Arial"/>
          <w:sz w:val="22"/>
          <w:szCs w:val="22"/>
        </w:rPr>
        <w:t>. 1134, 1260 y 1241.</w:t>
      </w:r>
    </w:p>
    <w:p w14:paraId="15E3E2E7" w14:textId="77777777" w:rsidR="00890076" w:rsidRPr="00D43ABB" w:rsidRDefault="00890076" w:rsidP="00890076">
      <w:pPr>
        <w:pStyle w:val="NormalWeb"/>
        <w:spacing w:before="0" w:beforeAutospacing="0" w:after="0" w:afterAutospacing="0"/>
        <w:ind w:left="-426" w:right="-518"/>
        <w:contextualSpacing/>
        <w:jc w:val="center"/>
        <w:rPr>
          <w:rFonts w:ascii="Arial" w:hAnsi="Arial" w:cs="Arial"/>
          <w:sz w:val="16"/>
          <w:szCs w:val="16"/>
        </w:rPr>
      </w:pPr>
    </w:p>
    <w:p w14:paraId="62847BA7" w14:textId="77777777" w:rsidR="00890076" w:rsidRPr="008919DF" w:rsidRDefault="00890076" w:rsidP="00890076">
      <w:pPr>
        <w:pStyle w:val="NormalWeb"/>
        <w:spacing w:before="0" w:beforeAutospacing="0" w:after="0" w:afterAutospacing="0"/>
        <w:ind w:left="-426" w:right="-518"/>
        <w:contextualSpacing/>
        <w:jc w:val="center"/>
        <w:rPr>
          <w:rFonts w:ascii="Arial" w:hAnsi="Arial" w:cs="Arial"/>
          <w:sz w:val="22"/>
          <w:szCs w:val="22"/>
        </w:rPr>
      </w:pPr>
      <w:r w:rsidRPr="008919DF">
        <w:rPr>
          <w:rFonts w:ascii="Arial" w:hAnsi="Arial" w:cs="Arial"/>
          <w:sz w:val="22"/>
          <w:szCs w:val="22"/>
        </w:rPr>
        <w:t>Dirección de Atención a Medios / Dirección General Adjunta de Comunicación</w:t>
      </w:r>
    </w:p>
    <w:p w14:paraId="0F88974E" w14:textId="77777777" w:rsidR="00890076" w:rsidRPr="00B455B1" w:rsidRDefault="00890076" w:rsidP="00890076">
      <w:pPr>
        <w:pStyle w:val="NormalWeb"/>
        <w:spacing w:before="0" w:beforeAutospacing="0" w:after="0" w:afterAutospacing="0"/>
        <w:ind w:left="-426" w:right="-518"/>
        <w:contextualSpacing/>
        <w:jc w:val="center"/>
        <w:rPr>
          <w:rFonts w:ascii="Arial" w:hAnsi="Arial" w:cs="Arial"/>
          <w:sz w:val="12"/>
          <w:szCs w:val="12"/>
        </w:rPr>
      </w:pPr>
    </w:p>
    <w:p w14:paraId="06213274" w14:textId="77777777" w:rsidR="00890076" w:rsidRPr="00886C35" w:rsidRDefault="00890076" w:rsidP="00890076">
      <w:pPr>
        <w:spacing w:before="120"/>
        <w:ind w:left="-425" w:right="-516"/>
        <w:contextualSpacing/>
        <w:jc w:val="center"/>
        <w:rPr>
          <w:rFonts w:cs="Arial"/>
          <w:b/>
        </w:rPr>
      </w:pPr>
      <w:r w:rsidRPr="00FF1218">
        <w:rPr>
          <w:noProof/>
        </w:rPr>
        <w:drawing>
          <wp:inline distT="0" distB="0" distL="0" distR="0" wp14:anchorId="73F4F006" wp14:editId="16A9127D">
            <wp:extent cx="274320" cy="365760"/>
            <wp:effectExtent l="0" t="0" r="0" b="0"/>
            <wp:docPr id="2" name="Imagen 2"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rPr>
        <w:t xml:space="preserve"> </w:t>
      </w:r>
      <w:r w:rsidRPr="00FF1218">
        <w:rPr>
          <w:noProof/>
        </w:rPr>
        <w:drawing>
          <wp:inline distT="0" distB="0" distL="0" distR="0" wp14:anchorId="6F370612" wp14:editId="2CF0D760">
            <wp:extent cx="365760" cy="365760"/>
            <wp:effectExtent l="0" t="0" r="0" b="0"/>
            <wp:docPr id="5" name="Imagen 5"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rPr>
        <w:t xml:space="preserve"> </w:t>
      </w:r>
      <w:r w:rsidRPr="00FF1218">
        <w:rPr>
          <w:noProof/>
        </w:rPr>
        <w:drawing>
          <wp:inline distT="0" distB="0" distL="0" distR="0" wp14:anchorId="2E835B03" wp14:editId="00475377">
            <wp:extent cx="365760" cy="365760"/>
            <wp:effectExtent l="0" t="0" r="0" b="0"/>
            <wp:docPr id="17" name="Imagen 17"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rPr>
        <w:t xml:space="preserve"> </w:t>
      </w:r>
      <w:r w:rsidRPr="00FF1218">
        <w:rPr>
          <w:noProof/>
        </w:rPr>
        <w:drawing>
          <wp:inline distT="0" distB="0" distL="0" distR="0" wp14:anchorId="4B59B9BF" wp14:editId="4C37B319">
            <wp:extent cx="365760" cy="365760"/>
            <wp:effectExtent l="0" t="0" r="0" b="0"/>
            <wp:docPr id="18" name="Imagen 18"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rPr>
        <w:t xml:space="preserve">  </w:t>
      </w:r>
      <w:r w:rsidRPr="00FF1218">
        <w:rPr>
          <w:noProof/>
          <w:sz w:val="14"/>
          <w:szCs w:val="18"/>
        </w:rPr>
        <w:drawing>
          <wp:inline distT="0" distB="0" distL="0" distR="0" wp14:anchorId="0FDE9EBA" wp14:editId="6A7BF479">
            <wp:extent cx="2286000" cy="274320"/>
            <wp:effectExtent l="0" t="0" r="0" b="0"/>
            <wp:docPr id="33" name="Imagen 3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bookmarkEnd w:id="0"/>
    <w:p w14:paraId="42993893" w14:textId="77777777" w:rsidR="00890076" w:rsidRDefault="00890076" w:rsidP="00890076">
      <w:pPr>
        <w:ind w:left="-567"/>
        <w:jc w:val="center"/>
        <w:rPr>
          <w:noProof/>
        </w:rPr>
        <w:sectPr w:rsidR="00890076" w:rsidSect="001A626F">
          <w:headerReference w:type="default" r:id="rId19"/>
          <w:footerReference w:type="default" r:id="rId20"/>
          <w:pgSz w:w="12240" w:h="15840"/>
          <w:pgMar w:top="1418" w:right="1134" w:bottom="1276" w:left="1134" w:header="709" w:footer="709" w:gutter="0"/>
          <w:cols w:space="708"/>
          <w:docGrid w:linePitch="360"/>
        </w:sectPr>
      </w:pPr>
    </w:p>
    <w:p w14:paraId="0B1C2E3B" w14:textId="77777777" w:rsidR="00890076" w:rsidRPr="002A470D" w:rsidRDefault="00890076" w:rsidP="00890076">
      <w:pPr>
        <w:pStyle w:val="Profesin"/>
        <w:outlineLvl w:val="0"/>
        <w:rPr>
          <w:sz w:val="24"/>
          <w:szCs w:val="24"/>
          <w:lang w:val="es-MX"/>
        </w:rPr>
      </w:pPr>
      <w:r w:rsidRPr="002A470D">
        <w:rPr>
          <w:sz w:val="24"/>
          <w:szCs w:val="24"/>
          <w:lang w:val="es-MX"/>
        </w:rPr>
        <w:lastRenderedPageBreak/>
        <w:t>ANEXO</w:t>
      </w:r>
    </w:p>
    <w:p w14:paraId="53264435" w14:textId="77777777" w:rsidR="00890076" w:rsidRDefault="00890076" w:rsidP="00890076">
      <w:pPr>
        <w:pStyle w:val="Profesin"/>
        <w:spacing w:before="240"/>
        <w:outlineLvl w:val="0"/>
        <w:rPr>
          <w:b w:val="0"/>
          <w:i/>
          <w:szCs w:val="20"/>
        </w:rPr>
      </w:pPr>
      <w:r w:rsidRPr="002A470D">
        <w:rPr>
          <w:sz w:val="24"/>
          <w:szCs w:val="24"/>
          <w:lang w:val="es-MX"/>
        </w:rPr>
        <w:t>Nota técnica</w:t>
      </w:r>
    </w:p>
    <w:p w14:paraId="7E13769F" w14:textId="77777777" w:rsidR="00890076" w:rsidRDefault="00890076" w:rsidP="00890076">
      <w:pPr>
        <w:rPr>
          <w:rFonts w:ascii="Arial" w:hAnsi="Arial"/>
          <w:b/>
          <w:iCs/>
          <w:smallCaps/>
          <w:szCs w:val="20"/>
          <w:lang w:val="es-ES_tradnl" w:eastAsia="es-ES"/>
        </w:rPr>
      </w:pPr>
    </w:p>
    <w:p w14:paraId="46AC76B0" w14:textId="64E0A1D5" w:rsidR="00A02DDD" w:rsidRPr="00F00C8A" w:rsidRDefault="00A02DDD" w:rsidP="00A02DDD">
      <w:pPr>
        <w:pStyle w:val="titulos"/>
        <w:spacing w:after="120"/>
        <w:rPr>
          <w:i w:val="0"/>
          <w:iCs/>
          <w:smallCaps/>
          <w:u w:val="none"/>
        </w:rPr>
      </w:pPr>
      <w:r w:rsidRPr="00F00C8A">
        <w:rPr>
          <w:i w:val="0"/>
          <w:iCs/>
          <w:smallCaps/>
          <w:u w:val="none"/>
        </w:rPr>
        <w:t>Cifras originales</w:t>
      </w:r>
    </w:p>
    <w:p w14:paraId="0CB9ADE4" w14:textId="6D470484" w:rsidR="00757DAD" w:rsidRPr="00B97E50" w:rsidRDefault="00757DAD" w:rsidP="00E61A14">
      <w:pPr>
        <w:pStyle w:val="titulos"/>
        <w:spacing w:before="240" w:after="120" w:line="280" w:lineRule="exact"/>
        <w:rPr>
          <w:i w:val="0"/>
          <w:iCs/>
          <w:smallCaps/>
          <w:u w:val="none"/>
        </w:rPr>
      </w:pPr>
      <w:r w:rsidRPr="00B97E50">
        <w:rPr>
          <w:i w:val="0"/>
          <w:iCs/>
          <w:smallCaps/>
          <w:u w:val="none"/>
        </w:rPr>
        <w:t xml:space="preserve">Saldo de la </w:t>
      </w:r>
      <w:r w:rsidR="005D2A24" w:rsidRPr="00B97E50">
        <w:rPr>
          <w:i w:val="0"/>
          <w:iCs/>
          <w:smallCaps/>
          <w:u w:val="none"/>
        </w:rPr>
        <w:t>b</w:t>
      </w:r>
      <w:r w:rsidRPr="00B97E50">
        <w:rPr>
          <w:i w:val="0"/>
          <w:iCs/>
          <w:smallCaps/>
          <w:u w:val="none"/>
        </w:rPr>
        <w:t xml:space="preserve">alanza </w:t>
      </w:r>
      <w:r w:rsidR="005D2A24" w:rsidRPr="00B97E50">
        <w:rPr>
          <w:i w:val="0"/>
          <w:iCs/>
          <w:smallCaps/>
          <w:u w:val="none"/>
        </w:rPr>
        <w:t>c</w:t>
      </w:r>
      <w:r w:rsidRPr="00B97E50">
        <w:rPr>
          <w:i w:val="0"/>
          <w:iCs/>
          <w:smallCaps/>
          <w:u w:val="none"/>
        </w:rPr>
        <w:t>omercial</w:t>
      </w:r>
      <w:r w:rsidR="008E6995" w:rsidRPr="00B97E50">
        <w:rPr>
          <w:i w:val="0"/>
          <w:iCs/>
          <w:smallCaps/>
          <w:u w:val="none"/>
        </w:rPr>
        <w:t xml:space="preserve"> de </w:t>
      </w:r>
      <w:r w:rsidR="005D2A24" w:rsidRPr="00B97E50">
        <w:rPr>
          <w:i w:val="0"/>
          <w:iCs/>
          <w:smallCaps/>
          <w:u w:val="none"/>
        </w:rPr>
        <w:t>m</w:t>
      </w:r>
      <w:r w:rsidR="008759D4" w:rsidRPr="00B97E50">
        <w:rPr>
          <w:i w:val="0"/>
          <w:iCs/>
          <w:smallCaps/>
          <w:u w:val="none"/>
        </w:rPr>
        <w:t xml:space="preserve">ercancías </w:t>
      </w:r>
    </w:p>
    <w:p w14:paraId="4E2D2A21" w14:textId="041B126E" w:rsidR="007244AE" w:rsidRPr="00D43508" w:rsidRDefault="007244AE" w:rsidP="00AC4EB3">
      <w:pPr>
        <w:pStyle w:val="Textoindependiente21"/>
        <w:numPr>
          <w:ilvl w:val="12"/>
          <w:numId w:val="0"/>
        </w:numPr>
        <w:spacing w:before="240" w:after="120" w:line="280" w:lineRule="exact"/>
        <w:rPr>
          <w:spacing w:val="5"/>
          <w:sz w:val="24"/>
        </w:rPr>
      </w:pPr>
      <w:r w:rsidRPr="007244AE">
        <w:rPr>
          <w:spacing w:val="5"/>
          <w:sz w:val="24"/>
        </w:rPr>
        <w:t>La información oportuna de comercio exterior de octubre de 2022 indica un déficit comercial de 2</w:t>
      </w:r>
      <w:r w:rsidR="00BE5D51">
        <w:rPr>
          <w:spacing w:val="5"/>
          <w:sz w:val="24"/>
        </w:rPr>
        <w:t xml:space="preserve"> </w:t>
      </w:r>
      <w:r w:rsidRPr="007244AE">
        <w:rPr>
          <w:spacing w:val="5"/>
          <w:sz w:val="24"/>
        </w:rPr>
        <w:t xml:space="preserve">012 millones de dólares. Dicho saldo se compara con el déficit de 895 millones de dólares reportado en septiembre. La ampliación en el déficit comercial entre septiembre y octubre se originó de la combinación de una disminución en el superávit de la balanza de productos no petroleros </w:t>
      </w:r>
      <w:r w:rsidRPr="00C731F7">
        <w:rPr>
          <w:rFonts w:cs="Arial"/>
          <w:spacing w:val="5"/>
          <w:sz w:val="24"/>
        </w:rPr>
        <w:t>—</w:t>
      </w:r>
      <w:r w:rsidRPr="007244AE">
        <w:rPr>
          <w:spacing w:val="5"/>
          <w:sz w:val="24"/>
        </w:rPr>
        <w:t>que pasó de 2</w:t>
      </w:r>
      <w:r w:rsidR="00BE5D51">
        <w:rPr>
          <w:spacing w:val="5"/>
          <w:sz w:val="24"/>
        </w:rPr>
        <w:t xml:space="preserve"> </w:t>
      </w:r>
      <w:r w:rsidRPr="007244AE">
        <w:rPr>
          <w:spacing w:val="5"/>
          <w:sz w:val="24"/>
        </w:rPr>
        <w:t>708 millones de dólares en septiembre a 406 millones de dólares en octubre</w:t>
      </w:r>
      <w:r w:rsidRPr="00C731F7">
        <w:rPr>
          <w:rFonts w:cs="Arial"/>
          <w:spacing w:val="5"/>
          <w:sz w:val="24"/>
        </w:rPr>
        <w:t>—</w:t>
      </w:r>
      <w:r w:rsidRPr="007244AE">
        <w:rPr>
          <w:spacing w:val="5"/>
          <w:sz w:val="24"/>
        </w:rPr>
        <w:t xml:space="preserve"> y de un menor déficit de la balanza de productos petroleros </w:t>
      </w:r>
      <w:r w:rsidRPr="00C731F7">
        <w:rPr>
          <w:rFonts w:cs="Arial"/>
          <w:spacing w:val="5"/>
          <w:sz w:val="24"/>
        </w:rPr>
        <w:t>—</w:t>
      </w:r>
      <w:r w:rsidRPr="007244AE">
        <w:rPr>
          <w:spacing w:val="5"/>
          <w:sz w:val="24"/>
        </w:rPr>
        <w:t>que pasó de 3</w:t>
      </w:r>
      <w:r w:rsidR="00BE5D51">
        <w:rPr>
          <w:spacing w:val="5"/>
          <w:sz w:val="24"/>
        </w:rPr>
        <w:t xml:space="preserve"> </w:t>
      </w:r>
      <w:r w:rsidRPr="007244AE">
        <w:rPr>
          <w:spacing w:val="5"/>
          <w:sz w:val="24"/>
        </w:rPr>
        <w:t>603 millones de dólares a 2</w:t>
      </w:r>
      <w:r w:rsidR="00BE5D51">
        <w:rPr>
          <w:spacing w:val="5"/>
          <w:sz w:val="24"/>
        </w:rPr>
        <w:t> </w:t>
      </w:r>
      <w:r w:rsidRPr="007244AE">
        <w:rPr>
          <w:spacing w:val="5"/>
          <w:sz w:val="24"/>
        </w:rPr>
        <w:t>418 millones de dólares en esa misma comparación</w:t>
      </w:r>
      <w:r w:rsidRPr="00C731F7">
        <w:rPr>
          <w:rFonts w:cs="Arial"/>
          <w:spacing w:val="5"/>
          <w:sz w:val="24"/>
        </w:rPr>
        <w:t>—</w:t>
      </w:r>
      <w:r w:rsidR="00BE5D51">
        <w:rPr>
          <w:spacing w:val="5"/>
          <w:sz w:val="24"/>
        </w:rPr>
        <w:t>.</w:t>
      </w:r>
    </w:p>
    <w:p w14:paraId="14FB834F" w14:textId="79584C92" w:rsidR="00A65B39" w:rsidRPr="00D43BA2" w:rsidRDefault="00A65B39" w:rsidP="00AC4EB3">
      <w:pPr>
        <w:pStyle w:val="Textoindependiente21"/>
        <w:numPr>
          <w:ilvl w:val="12"/>
          <w:numId w:val="0"/>
        </w:numPr>
        <w:spacing w:before="240" w:after="120" w:line="280" w:lineRule="exact"/>
        <w:rPr>
          <w:spacing w:val="5"/>
          <w:sz w:val="24"/>
        </w:rPr>
      </w:pPr>
      <w:r w:rsidRPr="00F67BDE">
        <w:rPr>
          <w:spacing w:val="5"/>
          <w:sz w:val="24"/>
        </w:rPr>
        <w:t>En los primeros</w:t>
      </w:r>
      <w:r w:rsidR="00B85B0A">
        <w:rPr>
          <w:spacing w:val="5"/>
          <w:sz w:val="24"/>
        </w:rPr>
        <w:t xml:space="preserve"> </w:t>
      </w:r>
      <w:r w:rsidR="007244AE">
        <w:rPr>
          <w:spacing w:val="5"/>
          <w:sz w:val="24"/>
        </w:rPr>
        <w:t>diez</w:t>
      </w:r>
      <w:r w:rsidRPr="00F67BDE">
        <w:rPr>
          <w:spacing w:val="5"/>
          <w:sz w:val="24"/>
        </w:rPr>
        <w:t xml:space="preserve"> meses de </w:t>
      </w:r>
      <w:r w:rsidR="0051468A">
        <w:rPr>
          <w:spacing w:val="5"/>
          <w:sz w:val="24"/>
        </w:rPr>
        <w:t>2022</w:t>
      </w:r>
      <w:r w:rsidRPr="00F67BDE">
        <w:rPr>
          <w:spacing w:val="5"/>
          <w:sz w:val="24"/>
        </w:rPr>
        <w:t xml:space="preserve">, la balanza comercial presentó un </w:t>
      </w:r>
      <w:r w:rsidR="00ED4C02">
        <w:rPr>
          <w:spacing w:val="5"/>
          <w:sz w:val="24"/>
        </w:rPr>
        <w:t>déficit</w:t>
      </w:r>
      <w:r w:rsidRPr="00F67BDE">
        <w:rPr>
          <w:spacing w:val="5"/>
          <w:sz w:val="24"/>
        </w:rPr>
        <w:t xml:space="preserve"> de </w:t>
      </w:r>
      <w:r w:rsidR="007244AE">
        <w:rPr>
          <w:spacing w:val="5"/>
          <w:sz w:val="24"/>
        </w:rPr>
        <w:t>27 309</w:t>
      </w:r>
      <w:r w:rsidR="0051468A">
        <w:rPr>
          <w:spacing w:val="5"/>
          <w:sz w:val="24"/>
        </w:rPr>
        <w:t xml:space="preserve"> </w:t>
      </w:r>
      <w:r w:rsidRPr="00F67BDE">
        <w:rPr>
          <w:spacing w:val="5"/>
          <w:sz w:val="24"/>
        </w:rPr>
        <w:t>millones de dólares.</w:t>
      </w:r>
    </w:p>
    <w:p w14:paraId="0A4409F8" w14:textId="03E11FA4" w:rsidR="00A24EBC" w:rsidRDefault="00A24EBC" w:rsidP="000F56B3">
      <w:pPr>
        <w:pStyle w:val="p01"/>
        <w:keepNext/>
        <w:widowControl/>
        <w:spacing w:before="120"/>
        <w:ind w:right="-23"/>
        <w:jc w:val="center"/>
        <w:outlineLvl w:val="0"/>
        <w:rPr>
          <w:rFonts w:ascii="Arial" w:hAnsi="Arial" w:cs="Arial"/>
          <w:b/>
          <w:smallCaps/>
          <w:color w:val="auto"/>
          <w:sz w:val="22"/>
          <w:lang w:val="es-MX"/>
        </w:rPr>
      </w:pPr>
      <w:r w:rsidRPr="007A64AF">
        <w:rPr>
          <w:rFonts w:ascii="Arial" w:hAnsi="Arial" w:cs="Arial"/>
          <w:bCs/>
          <w:color w:val="auto"/>
          <w:sz w:val="20"/>
          <w:szCs w:val="18"/>
          <w:lang w:val="es-MX"/>
        </w:rPr>
        <w:t xml:space="preserve">Cuadro </w:t>
      </w:r>
      <w:r>
        <w:rPr>
          <w:rFonts w:ascii="Arial" w:hAnsi="Arial" w:cs="Arial"/>
          <w:bCs/>
          <w:color w:val="auto"/>
          <w:sz w:val="20"/>
          <w:szCs w:val="18"/>
          <w:lang w:val="es-MX"/>
        </w:rPr>
        <w:t>2</w:t>
      </w:r>
    </w:p>
    <w:p w14:paraId="19F678AF" w14:textId="2B0A3C25" w:rsidR="00C5486F" w:rsidRPr="00581D9B" w:rsidRDefault="00C5486F" w:rsidP="00A24EBC">
      <w:pPr>
        <w:pStyle w:val="p01"/>
        <w:keepNext/>
        <w:widowControl/>
        <w:spacing w:before="0"/>
        <w:ind w:right="-23"/>
        <w:jc w:val="center"/>
        <w:outlineLvl w:val="0"/>
        <w:rPr>
          <w:rFonts w:ascii="Arial" w:hAnsi="Arial" w:cs="Arial"/>
          <w:b/>
          <w:smallCaps/>
          <w:color w:val="auto"/>
          <w:sz w:val="22"/>
          <w:lang w:val="es-MX"/>
        </w:rPr>
      </w:pPr>
      <w:r w:rsidRPr="00581D9B">
        <w:rPr>
          <w:rFonts w:ascii="Arial" w:hAnsi="Arial" w:cs="Arial"/>
          <w:b/>
          <w:smallCaps/>
          <w:color w:val="auto"/>
          <w:sz w:val="22"/>
          <w:lang w:val="es-MX"/>
        </w:rPr>
        <w:t>Bal</w:t>
      </w:r>
      <w:r>
        <w:rPr>
          <w:rFonts w:ascii="Arial" w:hAnsi="Arial" w:cs="Arial"/>
          <w:b/>
          <w:smallCaps/>
          <w:color w:val="auto"/>
          <w:sz w:val="22"/>
          <w:lang w:val="es-MX"/>
        </w:rPr>
        <w:t xml:space="preserve">anza </w:t>
      </w:r>
      <w:r w:rsidR="00E72BC9">
        <w:rPr>
          <w:rFonts w:ascii="Arial" w:hAnsi="Arial" w:cs="Arial"/>
          <w:b/>
          <w:smallCaps/>
          <w:color w:val="auto"/>
          <w:sz w:val="22"/>
          <w:lang w:val="es-MX"/>
        </w:rPr>
        <w:t>C</w:t>
      </w:r>
      <w:r w:rsidRPr="00581D9B">
        <w:rPr>
          <w:rFonts w:ascii="Arial" w:hAnsi="Arial" w:cs="Arial"/>
          <w:b/>
          <w:smallCaps/>
          <w:color w:val="auto"/>
          <w:sz w:val="22"/>
          <w:lang w:val="es-MX"/>
        </w:rPr>
        <w:t>omercial</w:t>
      </w:r>
      <w:r>
        <w:rPr>
          <w:rFonts w:ascii="Arial" w:hAnsi="Arial" w:cs="Arial"/>
          <w:b/>
          <w:smallCaps/>
          <w:color w:val="auto"/>
          <w:sz w:val="22"/>
          <w:lang w:val="es-MX"/>
        </w:rPr>
        <w:t xml:space="preserve"> de </w:t>
      </w:r>
      <w:r w:rsidR="00E72BC9">
        <w:rPr>
          <w:rFonts w:ascii="Arial" w:hAnsi="Arial" w:cs="Arial"/>
          <w:b/>
          <w:smallCaps/>
          <w:color w:val="auto"/>
          <w:sz w:val="22"/>
          <w:lang w:val="es-MX"/>
        </w:rPr>
        <w:t>M</w:t>
      </w:r>
      <w:r>
        <w:rPr>
          <w:rFonts w:ascii="Arial" w:hAnsi="Arial" w:cs="Arial"/>
          <w:b/>
          <w:smallCaps/>
          <w:color w:val="auto"/>
          <w:sz w:val="22"/>
          <w:lang w:val="es-MX"/>
        </w:rPr>
        <w:t>ercancías de México</w:t>
      </w:r>
    </w:p>
    <w:p w14:paraId="1F80867A" w14:textId="695C6957" w:rsidR="00C5486F" w:rsidRPr="007A64AF" w:rsidRDefault="00C5486F" w:rsidP="00C5486F">
      <w:pPr>
        <w:pStyle w:val="p0"/>
        <w:keepNext/>
        <w:widowControl/>
        <w:spacing w:before="0"/>
        <w:ind w:right="-23"/>
        <w:jc w:val="center"/>
        <w:rPr>
          <w:color w:val="000000" w:themeColor="text1"/>
          <w:spacing w:val="3"/>
          <w:sz w:val="16"/>
          <w:szCs w:val="16"/>
        </w:rPr>
      </w:pPr>
      <w:r w:rsidRPr="007A64AF">
        <w:rPr>
          <w:rFonts w:ascii="Arial" w:hAnsi="Arial" w:cs="Arial"/>
          <w:color w:val="auto"/>
          <w:sz w:val="18"/>
          <w:szCs w:val="18"/>
          <w:lang w:val="es-MX"/>
        </w:rPr>
        <w:t>Millones de dólares</w:t>
      </w:r>
    </w:p>
    <w:tbl>
      <w:tblPr>
        <w:tblW w:w="5187" w:type="pct"/>
        <w:jc w:val="center"/>
        <w:tblBorders>
          <w:top w:val="double" w:sz="4" w:space="0" w:color="auto"/>
          <w:left w:val="double" w:sz="4" w:space="0" w:color="auto"/>
          <w:bottom w:val="double" w:sz="4" w:space="0" w:color="auto"/>
          <w:right w:val="double" w:sz="4" w:space="0" w:color="auto"/>
        </w:tblBorders>
        <w:tblLayout w:type="fixed"/>
        <w:tblCellMar>
          <w:left w:w="0" w:type="dxa"/>
          <w:right w:w="0" w:type="dxa"/>
        </w:tblCellMar>
        <w:tblLook w:val="01E0" w:firstRow="1" w:lastRow="1" w:firstColumn="1" w:lastColumn="1" w:noHBand="0" w:noVBand="0"/>
      </w:tblPr>
      <w:tblGrid>
        <w:gridCol w:w="2681"/>
        <w:gridCol w:w="1174"/>
        <w:gridCol w:w="1174"/>
        <w:gridCol w:w="1174"/>
        <w:gridCol w:w="1174"/>
        <w:gridCol w:w="1174"/>
        <w:gridCol w:w="1174"/>
      </w:tblGrid>
      <w:tr w:rsidR="00154341" w:rsidRPr="00843651" w14:paraId="0479A544" w14:textId="1196E87B" w:rsidTr="006059F5">
        <w:trPr>
          <w:trHeight w:val="293"/>
          <w:jc w:val="center"/>
        </w:trPr>
        <w:tc>
          <w:tcPr>
            <w:tcW w:w="2681" w:type="dxa"/>
            <w:vMerge w:val="restart"/>
            <w:tcBorders>
              <w:top w:val="double" w:sz="4" w:space="0" w:color="000000" w:themeColor="text1"/>
              <w:left w:val="double" w:sz="4" w:space="0" w:color="000000" w:themeColor="text1"/>
              <w:right w:val="double" w:sz="4" w:space="0" w:color="000000" w:themeColor="text1"/>
            </w:tcBorders>
            <w:shd w:val="clear" w:color="auto" w:fill="D6E3BC" w:themeFill="accent3" w:themeFillTint="66"/>
            <w:vAlign w:val="center"/>
          </w:tcPr>
          <w:p w14:paraId="20B3B2F1" w14:textId="77777777" w:rsidR="00154341" w:rsidRPr="00B97765" w:rsidRDefault="00154341" w:rsidP="004F6856">
            <w:pPr>
              <w:keepNext/>
              <w:keepLines/>
              <w:jc w:val="center"/>
              <w:rPr>
                <w:rFonts w:ascii="Arial" w:hAnsi="Arial" w:cs="Arial"/>
                <w:sz w:val="18"/>
                <w:szCs w:val="18"/>
              </w:rPr>
            </w:pPr>
            <w:r w:rsidRPr="00B97765">
              <w:rPr>
                <w:rFonts w:ascii="Arial" w:hAnsi="Arial" w:cs="Arial"/>
                <w:sz w:val="18"/>
                <w:szCs w:val="18"/>
              </w:rPr>
              <w:t>Concepto</w:t>
            </w:r>
            <w:r w:rsidRPr="00B97765">
              <w:rPr>
                <w:rFonts w:ascii="Arial" w:hAnsi="Arial" w:cs="Arial"/>
                <w:sz w:val="18"/>
                <w:szCs w:val="18"/>
              </w:rPr>
              <w:br w:type="page"/>
            </w:r>
            <w:r w:rsidRPr="00B97765">
              <w:rPr>
                <w:rFonts w:ascii="Arial" w:hAnsi="Arial" w:cs="Arial"/>
                <w:sz w:val="18"/>
                <w:szCs w:val="18"/>
              </w:rPr>
              <w:br w:type="page"/>
            </w:r>
          </w:p>
        </w:tc>
        <w:tc>
          <w:tcPr>
            <w:tcW w:w="1174" w:type="dxa"/>
            <w:vMerge w:val="restart"/>
            <w:tcBorders>
              <w:top w:val="double" w:sz="4" w:space="0" w:color="000000" w:themeColor="text1"/>
              <w:left w:val="double" w:sz="4" w:space="0" w:color="000000" w:themeColor="text1"/>
              <w:right w:val="double" w:sz="4" w:space="0" w:color="000000" w:themeColor="text1"/>
            </w:tcBorders>
            <w:shd w:val="clear" w:color="auto" w:fill="D6E3BC" w:themeFill="accent3" w:themeFillTint="66"/>
            <w:vAlign w:val="center"/>
          </w:tcPr>
          <w:p w14:paraId="6002F0B4" w14:textId="56A3FA99" w:rsidR="00154341" w:rsidRDefault="00154341" w:rsidP="00C466A5">
            <w:pPr>
              <w:keepNext/>
              <w:keepLines/>
              <w:jc w:val="center"/>
              <w:rPr>
                <w:rFonts w:ascii="Arial" w:hAnsi="Arial" w:cs="Arial"/>
                <w:sz w:val="18"/>
                <w:szCs w:val="18"/>
              </w:rPr>
            </w:pPr>
            <w:r>
              <w:rPr>
                <w:rFonts w:ascii="Arial" w:hAnsi="Arial" w:cs="Arial"/>
                <w:sz w:val="18"/>
                <w:szCs w:val="18"/>
              </w:rPr>
              <w:t>2020</w:t>
            </w:r>
          </w:p>
        </w:tc>
        <w:tc>
          <w:tcPr>
            <w:tcW w:w="1174" w:type="dxa"/>
            <w:vMerge w:val="restart"/>
            <w:tcBorders>
              <w:top w:val="double" w:sz="4" w:space="0" w:color="000000" w:themeColor="text1"/>
              <w:left w:val="double" w:sz="4" w:space="0" w:color="000000" w:themeColor="text1"/>
              <w:right w:val="double" w:sz="4" w:space="0" w:color="000000" w:themeColor="text1"/>
            </w:tcBorders>
            <w:shd w:val="clear" w:color="auto" w:fill="D6E3BC" w:themeFill="accent3" w:themeFillTint="66"/>
            <w:vAlign w:val="center"/>
          </w:tcPr>
          <w:p w14:paraId="32B34E0B" w14:textId="6F3E3363" w:rsidR="00154341" w:rsidRDefault="00154341" w:rsidP="00533175">
            <w:pPr>
              <w:keepNext/>
              <w:keepLines/>
              <w:jc w:val="center"/>
              <w:rPr>
                <w:rFonts w:ascii="Arial" w:hAnsi="Arial" w:cs="Arial"/>
                <w:sz w:val="18"/>
                <w:szCs w:val="18"/>
              </w:rPr>
            </w:pPr>
            <w:r>
              <w:rPr>
                <w:rFonts w:ascii="Arial" w:hAnsi="Arial" w:cs="Arial"/>
                <w:sz w:val="18"/>
                <w:szCs w:val="18"/>
              </w:rPr>
              <w:t>2021</w:t>
            </w:r>
          </w:p>
        </w:tc>
        <w:tc>
          <w:tcPr>
            <w:tcW w:w="4696"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vAlign w:val="center"/>
          </w:tcPr>
          <w:p w14:paraId="656161C4" w14:textId="607FC70F" w:rsidR="00154341" w:rsidRDefault="00154341" w:rsidP="00485BCD">
            <w:pPr>
              <w:keepNext/>
              <w:keepLines/>
              <w:jc w:val="center"/>
              <w:rPr>
                <w:rFonts w:ascii="Arial" w:hAnsi="Arial" w:cs="Arial"/>
                <w:sz w:val="18"/>
                <w:szCs w:val="18"/>
              </w:rPr>
            </w:pPr>
            <w:r>
              <w:rPr>
                <w:rFonts w:ascii="Arial" w:hAnsi="Arial" w:cs="Arial"/>
                <w:sz w:val="18"/>
                <w:szCs w:val="18"/>
              </w:rPr>
              <w:t>2022</w:t>
            </w:r>
          </w:p>
        </w:tc>
      </w:tr>
      <w:tr w:rsidR="00114481" w:rsidRPr="00843651" w14:paraId="58C77F26" w14:textId="63F0870D" w:rsidTr="00E605D2">
        <w:trPr>
          <w:trHeight w:val="265"/>
          <w:jc w:val="center"/>
        </w:trPr>
        <w:tc>
          <w:tcPr>
            <w:tcW w:w="2681" w:type="dxa"/>
            <w:vMerge/>
            <w:tcBorders>
              <w:left w:val="double" w:sz="4" w:space="0" w:color="000000" w:themeColor="text1"/>
              <w:bottom w:val="double" w:sz="4" w:space="0" w:color="000000" w:themeColor="text1"/>
              <w:right w:val="double" w:sz="4" w:space="0" w:color="000000" w:themeColor="text1"/>
            </w:tcBorders>
            <w:shd w:val="clear" w:color="auto" w:fill="D6E3BC" w:themeFill="accent3" w:themeFillTint="66"/>
          </w:tcPr>
          <w:p w14:paraId="49C5D986" w14:textId="77777777" w:rsidR="00114481" w:rsidRPr="00843651" w:rsidRDefault="00114481" w:rsidP="00114481">
            <w:pPr>
              <w:keepNext/>
              <w:keepLines/>
              <w:spacing w:before="60" w:after="60"/>
              <w:jc w:val="both"/>
              <w:rPr>
                <w:rFonts w:ascii="Arial" w:hAnsi="Arial" w:cs="Arial"/>
                <w:sz w:val="16"/>
                <w:szCs w:val="16"/>
              </w:rPr>
            </w:pPr>
          </w:p>
        </w:tc>
        <w:tc>
          <w:tcPr>
            <w:tcW w:w="1174" w:type="dxa"/>
            <w:vMerge/>
            <w:tcBorders>
              <w:left w:val="double" w:sz="4" w:space="0" w:color="000000" w:themeColor="text1"/>
              <w:bottom w:val="double" w:sz="4" w:space="0" w:color="000000" w:themeColor="text1"/>
              <w:right w:val="double" w:sz="4" w:space="0" w:color="000000" w:themeColor="text1"/>
            </w:tcBorders>
            <w:shd w:val="clear" w:color="auto" w:fill="D6E3BC" w:themeFill="accent3" w:themeFillTint="66"/>
          </w:tcPr>
          <w:p w14:paraId="71CA8142" w14:textId="209D55CD" w:rsidR="00114481" w:rsidRDefault="00114481" w:rsidP="00114481">
            <w:pPr>
              <w:keepNext/>
              <w:keepLines/>
              <w:spacing w:before="40" w:after="40"/>
              <w:ind w:left="-100" w:right="-51"/>
              <w:jc w:val="center"/>
              <w:rPr>
                <w:rFonts w:ascii="Arial" w:hAnsi="Arial" w:cs="Arial"/>
                <w:sz w:val="18"/>
                <w:szCs w:val="18"/>
              </w:rPr>
            </w:pPr>
          </w:p>
        </w:tc>
        <w:tc>
          <w:tcPr>
            <w:tcW w:w="1174" w:type="dxa"/>
            <w:vMerge/>
            <w:tcBorders>
              <w:left w:val="double" w:sz="4" w:space="0" w:color="000000" w:themeColor="text1"/>
              <w:bottom w:val="double" w:sz="4" w:space="0" w:color="000000" w:themeColor="text1"/>
              <w:right w:val="double" w:sz="4" w:space="0" w:color="000000" w:themeColor="text1"/>
            </w:tcBorders>
            <w:shd w:val="clear" w:color="auto" w:fill="D6E3BC" w:themeFill="accent3" w:themeFillTint="66"/>
          </w:tcPr>
          <w:p w14:paraId="6C7F413D" w14:textId="22D919E5" w:rsidR="00114481" w:rsidRDefault="00114481" w:rsidP="00114481">
            <w:pPr>
              <w:keepNext/>
              <w:keepLines/>
              <w:spacing w:before="40" w:after="40"/>
              <w:ind w:left="-100" w:right="-51"/>
              <w:jc w:val="center"/>
              <w:rPr>
                <w:rFonts w:ascii="Arial" w:hAnsi="Arial" w:cs="Arial"/>
                <w:sz w:val="18"/>
                <w:szCs w:val="18"/>
              </w:rPr>
            </w:pPr>
          </w:p>
        </w:tc>
        <w:tc>
          <w:tcPr>
            <w:tcW w:w="1174" w:type="dxa"/>
            <w:tcBorders>
              <w:top w:val="double" w:sz="4" w:space="0" w:color="000000" w:themeColor="text1"/>
              <w:left w:val="double" w:sz="4" w:space="0" w:color="000000" w:themeColor="text1"/>
              <w:bottom w:val="double" w:sz="4" w:space="0" w:color="000000" w:themeColor="text1"/>
              <w:right w:val="double" w:sz="4" w:space="0" w:color="0F243E" w:themeColor="text2" w:themeShade="80"/>
            </w:tcBorders>
            <w:shd w:val="clear" w:color="auto" w:fill="D6E3BC" w:themeFill="accent3" w:themeFillTint="66"/>
          </w:tcPr>
          <w:p w14:paraId="01A915E9" w14:textId="2716D566" w:rsidR="00114481" w:rsidRDefault="00114481" w:rsidP="00114481">
            <w:pPr>
              <w:keepNext/>
              <w:keepLines/>
              <w:spacing w:before="40" w:after="40"/>
              <w:ind w:left="-100" w:right="-51"/>
              <w:jc w:val="center"/>
              <w:rPr>
                <w:rFonts w:ascii="Arial" w:hAnsi="Arial" w:cs="Arial"/>
                <w:sz w:val="18"/>
                <w:szCs w:val="18"/>
              </w:rPr>
            </w:pPr>
            <w:r>
              <w:rPr>
                <w:rFonts w:ascii="Arial" w:hAnsi="Arial" w:cs="Arial"/>
                <w:sz w:val="18"/>
                <w:szCs w:val="18"/>
              </w:rPr>
              <w:t>Ago.</w:t>
            </w:r>
          </w:p>
        </w:tc>
        <w:tc>
          <w:tcPr>
            <w:tcW w:w="1174" w:type="dxa"/>
            <w:tcBorders>
              <w:top w:val="double" w:sz="4" w:space="0" w:color="000000" w:themeColor="text1"/>
              <w:left w:val="double" w:sz="4" w:space="0" w:color="0F243E" w:themeColor="text2" w:themeShade="80"/>
              <w:bottom w:val="double" w:sz="4" w:space="0" w:color="000000" w:themeColor="text1"/>
              <w:right w:val="double" w:sz="4" w:space="0" w:color="0F243E" w:themeColor="text2" w:themeShade="80"/>
            </w:tcBorders>
            <w:shd w:val="clear" w:color="auto" w:fill="D6E3BC" w:themeFill="accent3" w:themeFillTint="66"/>
          </w:tcPr>
          <w:p w14:paraId="68F6A291" w14:textId="6971C1F0" w:rsidR="00114481" w:rsidRDefault="00114481" w:rsidP="00114481">
            <w:pPr>
              <w:keepNext/>
              <w:keepLines/>
              <w:spacing w:before="40" w:after="40"/>
              <w:ind w:left="-100" w:right="-51"/>
              <w:jc w:val="center"/>
              <w:rPr>
                <w:rFonts w:ascii="Arial" w:hAnsi="Arial" w:cs="Arial"/>
                <w:sz w:val="18"/>
                <w:szCs w:val="18"/>
              </w:rPr>
            </w:pPr>
            <w:r>
              <w:rPr>
                <w:rFonts w:ascii="Arial" w:hAnsi="Arial" w:cs="Arial"/>
                <w:sz w:val="18"/>
                <w:szCs w:val="18"/>
              </w:rPr>
              <w:t>Sep.</w:t>
            </w:r>
          </w:p>
        </w:tc>
        <w:tc>
          <w:tcPr>
            <w:tcW w:w="1174" w:type="dxa"/>
            <w:tcBorders>
              <w:top w:val="double" w:sz="4" w:space="0" w:color="000000" w:themeColor="text1"/>
              <w:left w:val="double" w:sz="4" w:space="0" w:color="0F243E" w:themeColor="text2" w:themeShade="80"/>
              <w:bottom w:val="double" w:sz="4" w:space="0" w:color="000000" w:themeColor="text1"/>
              <w:right w:val="double" w:sz="4" w:space="0" w:color="0F243E" w:themeColor="text2" w:themeShade="80"/>
            </w:tcBorders>
            <w:shd w:val="clear" w:color="auto" w:fill="D6E3BC" w:themeFill="accent3" w:themeFillTint="66"/>
          </w:tcPr>
          <w:p w14:paraId="4B844982" w14:textId="056477C5" w:rsidR="00114481" w:rsidRDefault="00114481" w:rsidP="00114481">
            <w:pPr>
              <w:keepNext/>
              <w:keepLines/>
              <w:spacing w:before="40" w:after="40"/>
              <w:ind w:left="-100" w:right="-51"/>
              <w:jc w:val="center"/>
              <w:rPr>
                <w:rFonts w:ascii="Arial" w:hAnsi="Arial" w:cs="Arial"/>
                <w:sz w:val="18"/>
                <w:szCs w:val="18"/>
              </w:rPr>
            </w:pPr>
            <w:r>
              <w:rPr>
                <w:rFonts w:ascii="Arial" w:hAnsi="Arial" w:cs="Arial"/>
                <w:sz w:val="18"/>
                <w:szCs w:val="18"/>
              </w:rPr>
              <w:t>Oct.*</w:t>
            </w:r>
          </w:p>
        </w:tc>
        <w:tc>
          <w:tcPr>
            <w:tcW w:w="1174" w:type="dxa"/>
            <w:tcBorders>
              <w:top w:val="double" w:sz="4" w:space="0" w:color="000000" w:themeColor="text1"/>
              <w:left w:val="double" w:sz="4" w:space="0" w:color="0F243E" w:themeColor="text2" w:themeShade="80"/>
              <w:bottom w:val="double" w:sz="4" w:space="0" w:color="000000" w:themeColor="text1"/>
              <w:right w:val="double" w:sz="4" w:space="0" w:color="000000" w:themeColor="text1"/>
            </w:tcBorders>
            <w:shd w:val="clear" w:color="auto" w:fill="D6E3BC" w:themeFill="accent3" w:themeFillTint="66"/>
          </w:tcPr>
          <w:p w14:paraId="1D79D850" w14:textId="2FBF60DA" w:rsidR="00114481" w:rsidRDefault="00114481" w:rsidP="00114481">
            <w:pPr>
              <w:keepNext/>
              <w:keepLines/>
              <w:spacing w:before="40" w:after="40"/>
              <w:ind w:left="-100" w:right="-51"/>
              <w:jc w:val="center"/>
              <w:rPr>
                <w:rFonts w:ascii="Arial" w:hAnsi="Arial" w:cs="Arial"/>
                <w:sz w:val="18"/>
                <w:szCs w:val="18"/>
              </w:rPr>
            </w:pPr>
            <w:r>
              <w:rPr>
                <w:rFonts w:ascii="Arial" w:hAnsi="Arial" w:cs="Arial"/>
                <w:sz w:val="18"/>
                <w:szCs w:val="18"/>
              </w:rPr>
              <w:t>Ene.-Oct.*</w:t>
            </w:r>
          </w:p>
        </w:tc>
      </w:tr>
      <w:tr w:rsidR="00114481" w:rsidRPr="00843651" w14:paraId="603106D5" w14:textId="666C3FB0" w:rsidTr="00E605D2">
        <w:trPr>
          <w:jc w:val="center"/>
        </w:trPr>
        <w:tc>
          <w:tcPr>
            <w:tcW w:w="2681" w:type="dxa"/>
            <w:tcBorders>
              <w:top w:val="double" w:sz="4" w:space="0" w:color="000000" w:themeColor="text1"/>
              <w:left w:val="double" w:sz="4" w:space="0" w:color="000000" w:themeColor="text1"/>
              <w:bottom w:val="nil"/>
              <w:right w:val="double" w:sz="4" w:space="0" w:color="000000" w:themeColor="text1"/>
            </w:tcBorders>
            <w:vAlign w:val="center"/>
          </w:tcPr>
          <w:p w14:paraId="7865B2E9" w14:textId="4B585D49" w:rsidR="00114481" w:rsidRPr="00843651" w:rsidRDefault="00114481" w:rsidP="00114481">
            <w:pPr>
              <w:keepNext/>
              <w:keepLines/>
              <w:spacing w:before="40" w:after="40"/>
              <w:ind w:left="183"/>
              <w:jc w:val="both"/>
              <w:rPr>
                <w:rFonts w:ascii="Arial" w:hAnsi="Arial" w:cs="Arial"/>
                <w:b/>
                <w:spacing w:val="-6"/>
                <w:sz w:val="18"/>
                <w:szCs w:val="18"/>
              </w:rPr>
            </w:pPr>
            <w:r w:rsidRPr="00843651">
              <w:rPr>
                <w:rFonts w:ascii="Arial" w:hAnsi="Arial" w:cs="Arial"/>
                <w:b/>
                <w:spacing w:val="-6"/>
                <w:sz w:val="18"/>
                <w:szCs w:val="18"/>
              </w:rPr>
              <w:t xml:space="preserve">Exportaciones </w:t>
            </w:r>
            <w:r>
              <w:rPr>
                <w:rFonts w:ascii="Arial" w:hAnsi="Arial" w:cs="Arial"/>
                <w:b/>
                <w:spacing w:val="-6"/>
                <w:sz w:val="18"/>
                <w:szCs w:val="18"/>
              </w:rPr>
              <w:t>t</w:t>
            </w:r>
            <w:r w:rsidRPr="00843651">
              <w:rPr>
                <w:rFonts w:ascii="Arial" w:hAnsi="Arial" w:cs="Arial"/>
                <w:b/>
                <w:spacing w:val="-6"/>
                <w:sz w:val="18"/>
                <w:szCs w:val="18"/>
              </w:rPr>
              <w:t>otales</w:t>
            </w:r>
          </w:p>
        </w:tc>
        <w:tc>
          <w:tcPr>
            <w:tcW w:w="1174" w:type="dxa"/>
            <w:tcBorders>
              <w:top w:val="double" w:sz="4" w:space="0" w:color="000000" w:themeColor="text1"/>
              <w:left w:val="double" w:sz="4" w:space="0" w:color="000000" w:themeColor="text1"/>
              <w:bottom w:val="nil"/>
              <w:right w:val="nil"/>
            </w:tcBorders>
            <w:vAlign w:val="center"/>
          </w:tcPr>
          <w:p w14:paraId="0A9A4854" w14:textId="2E272C6F" w:rsidR="00114481" w:rsidRPr="00F02BA8" w:rsidRDefault="00114481" w:rsidP="00114481">
            <w:pPr>
              <w:keepNext/>
              <w:keepLines/>
              <w:tabs>
                <w:tab w:val="decimal" w:pos="586"/>
              </w:tabs>
              <w:rPr>
                <w:rFonts w:ascii="Arial" w:hAnsi="Arial" w:cs="Arial"/>
                <w:b/>
                <w:bCs/>
                <w:sz w:val="18"/>
                <w:szCs w:val="18"/>
              </w:rPr>
            </w:pPr>
            <w:r w:rsidRPr="00F02BA8">
              <w:rPr>
                <w:rFonts w:ascii="Arial" w:hAnsi="Arial" w:cs="Arial"/>
                <w:b/>
                <w:bCs/>
                <w:sz w:val="18"/>
                <w:szCs w:val="18"/>
              </w:rPr>
              <w:t>417</w:t>
            </w:r>
            <w:r>
              <w:rPr>
                <w:rFonts w:ascii="Arial" w:hAnsi="Arial" w:cs="Arial"/>
                <w:b/>
                <w:bCs/>
                <w:sz w:val="18"/>
                <w:szCs w:val="18"/>
              </w:rPr>
              <w:t xml:space="preserve"> </w:t>
            </w:r>
            <w:r w:rsidRPr="00F02BA8">
              <w:rPr>
                <w:rFonts w:ascii="Arial" w:hAnsi="Arial" w:cs="Arial"/>
                <w:b/>
                <w:bCs/>
                <w:sz w:val="18"/>
                <w:szCs w:val="18"/>
              </w:rPr>
              <w:t>171</w:t>
            </w:r>
          </w:p>
        </w:tc>
        <w:tc>
          <w:tcPr>
            <w:tcW w:w="1174" w:type="dxa"/>
            <w:tcBorders>
              <w:top w:val="double" w:sz="4" w:space="0" w:color="000000" w:themeColor="text1"/>
              <w:left w:val="nil"/>
              <w:bottom w:val="nil"/>
              <w:right w:val="double" w:sz="4" w:space="0" w:color="000000" w:themeColor="text1"/>
            </w:tcBorders>
            <w:vAlign w:val="center"/>
          </w:tcPr>
          <w:p w14:paraId="293D6F85" w14:textId="43DD17AA" w:rsidR="00114481" w:rsidRPr="00F02BA8" w:rsidRDefault="00114481" w:rsidP="00114481">
            <w:pPr>
              <w:keepNext/>
              <w:keepLines/>
              <w:tabs>
                <w:tab w:val="decimal" w:pos="637"/>
              </w:tabs>
              <w:rPr>
                <w:rFonts w:ascii="Arial" w:hAnsi="Arial" w:cs="Arial"/>
                <w:b/>
                <w:bCs/>
                <w:sz w:val="18"/>
                <w:szCs w:val="18"/>
              </w:rPr>
            </w:pPr>
            <w:r w:rsidRPr="00F02BA8">
              <w:rPr>
                <w:rFonts w:ascii="Arial" w:hAnsi="Arial" w:cs="Arial"/>
                <w:b/>
                <w:bCs/>
                <w:sz w:val="18"/>
                <w:szCs w:val="18"/>
              </w:rPr>
              <w:t>494</w:t>
            </w:r>
            <w:r>
              <w:rPr>
                <w:rFonts w:ascii="Arial" w:hAnsi="Arial" w:cs="Arial"/>
                <w:b/>
                <w:bCs/>
                <w:sz w:val="18"/>
                <w:szCs w:val="18"/>
              </w:rPr>
              <w:t xml:space="preserve"> </w:t>
            </w:r>
            <w:r w:rsidRPr="00F02BA8">
              <w:rPr>
                <w:rFonts w:ascii="Arial" w:hAnsi="Arial" w:cs="Arial"/>
                <w:b/>
                <w:bCs/>
                <w:sz w:val="18"/>
                <w:szCs w:val="18"/>
              </w:rPr>
              <w:t>765</w:t>
            </w:r>
          </w:p>
        </w:tc>
        <w:tc>
          <w:tcPr>
            <w:tcW w:w="1174" w:type="dxa"/>
            <w:tcBorders>
              <w:top w:val="double" w:sz="4" w:space="0" w:color="000000" w:themeColor="text1"/>
              <w:left w:val="double" w:sz="4" w:space="0" w:color="000000" w:themeColor="text1"/>
              <w:bottom w:val="nil"/>
              <w:right w:val="nil"/>
            </w:tcBorders>
            <w:vAlign w:val="center"/>
          </w:tcPr>
          <w:p w14:paraId="5B730A28" w14:textId="4241A389" w:rsidR="00114481" w:rsidRPr="00F02BA8" w:rsidRDefault="00114481" w:rsidP="00114481">
            <w:pPr>
              <w:keepNext/>
              <w:keepLines/>
              <w:tabs>
                <w:tab w:val="decimal" w:pos="631"/>
              </w:tabs>
              <w:rPr>
                <w:rFonts w:ascii="Arial" w:hAnsi="Arial" w:cs="Arial"/>
                <w:b/>
                <w:bCs/>
                <w:sz w:val="18"/>
                <w:szCs w:val="18"/>
              </w:rPr>
            </w:pPr>
            <w:r>
              <w:rPr>
                <w:rFonts w:ascii="Arial" w:hAnsi="Arial" w:cs="Arial"/>
                <w:b/>
                <w:bCs/>
                <w:sz w:val="18"/>
                <w:szCs w:val="18"/>
              </w:rPr>
              <w:t>50 670</w:t>
            </w:r>
          </w:p>
        </w:tc>
        <w:tc>
          <w:tcPr>
            <w:tcW w:w="1174" w:type="dxa"/>
            <w:tcBorders>
              <w:top w:val="double" w:sz="4" w:space="0" w:color="000000" w:themeColor="text1"/>
              <w:left w:val="nil"/>
              <w:bottom w:val="nil"/>
              <w:right w:val="nil"/>
            </w:tcBorders>
            <w:vAlign w:val="center"/>
          </w:tcPr>
          <w:p w14:paraId="34EC16BC" w14:textId="7F658E8D" w:rsidR="00114481" w:rsidRPr="00F02BA8" w:rsidRDefault="00114481" w:rsidP="00114481">
            <w:pPr>
              <w:keepNext/>
              <w:keepLines/>
              <w:tabs>
                <w:tab w:val="decimal" w:pos="529"/>
              </w:tabs>
              <w:rPr>
                <w:rFonts w:ascii="Arial" w:hAnsi="Arial" w:cs="Arial"/>
                <w:b/>
                <w:bCs/>
                <w:sz w:val="18"/>
                <w:szCs w:val="18"/>
              </w:rPr>
            </w:pPr>
            <w:r>
              <w:rPr>
                <w:rFonts w:ascii="Arial" w:hAnsi="Arial" w:cs="Arial"/>
                <w:b/>
                <w:bCs/>
                <w:sz w:val="18"/>
                <w:szCs w:val="18"/>
              </w:rPr>
              <w:t>52 338</w:t>
            </w:r>
          </w:p>
        </w:tc>
        <w:tc>
          <w:tcPr>
            <w:tcW w:w="1174" w:type="dxa"/>
            <w:tcBorders>
              <w:top w:val="double" w:sz="4" w:space="0" w:color="000000" w:themeColor="text1"/>
              <w:left w:val="nil"/>
              <w:bottom w:val="nil"/>
              <w:right w:val="nil"/>
            </w:tcBorders>
            <w:vAlign w:val="center"/>
          </w:tcPr>
          <w:p w14:paraId="302B58F5" w14:textId="17FB8D2B" w:rsidR="00114481" w:rsidRPr="00AE5270" w:rsidRDefault="00CC63B4" w:rsidP="00114481">
            <w:pPr>
              <w:keepNext/>
              <w:keepLines/>
              <w:ind w:right="201"/>
              <w:jc w:val="right"/>
              <w:rPr>
                <w:rFonts w:ascii="Arial" w:hAnsi="Arial" w:cs="Arial"/>
                <w:b/>
                <w:bCs/>
                <w:sz w:val="18"/>
                <w:szCs w:val="18"/>
              </w:rPr>
            </w:pPr>
            <w:r>
              <w:rPr>
                <w:rFonts w:ascii="Arial" w:hAnsi="Arial" w:cs="Arial"/>
                <w:b/>
                <w:bCs/>
                <w:sz w:val="18"/>
                <w:szCs w:val="18"/>
              </w:rPr>
              <w:t>49 275</w:t>
            </w:r>
          </w:p>
        </w:tc>
        <w:tc>
          <w:tcPr>
            <w:tcW w:w="1174" w:type="dxa"/>
            <w:tcBorders>
              <w:top w:val="double" w:sz="4" w:space="0" w:color="000000" w:themeColor="text1"/>
              <w:left w:val="nil"/>
              <w:bottom w:val="nil"/>
              <w:right w:val="double" w:sz="4" w:space="0" w:color="000000" w:themeColor="text1"/>
            </w:tcBorders>
            <w:vAlign w:val="center"/>
          </w:tcPr>
          <w:p w14:paraId="61D43FD7" w14:textId="6C8F7BC1" w:rsidR="00114481" w:rsidRPr="00AE5270" w:rsidRDefault="00CC63B4" w:rsidP="00114481">
            <w:pPr>
              <w:keepNext/>
              <w:keepLines/>
              <w:ind w:right="170"/>
              <w:jc w:val="right"/>
              <w:rPr>
                <w:rFonts w:ascii="Arial" w:hAnsi="Arial" w:cs="Arial"/>
                <w:b/>
                <w:bCs/>
                <w:sz w:val="18"/>
                <w:szCs w:val="18"/>
              </w:rPr>
            </w:pPr>
            <w:r>
              <w:rPr>
                <w:rFonts w:ascii="Arial" w:hAnsi="Arial" w:cs="Arial"/>
                <w:b/>
                <w:bCs/>
                <w:sz w:val="18"/>
                <w:szCs w:val="18"/>
              </w:rPr>
              <w:t>479 559</w:t>
            </w:r>
          </w:p>
        </w:tc>
      </w:tr>
      <w:tr w:rsidR="00114481" w:rsidRPr="00843651" w14:paraId="62973728" w14:textId="26A21371" w:rsidTr="00E605D2">
        <w:trPr>
          <w:jc w:val="center"/>
        </w:trPr>
        <w:tc>
          <w:tcPr>
            <w:tcW w:w="2681" w:type="dxa"/>
            <w:tcBorders>
              <w:top w:val="nil"/>
              <w:left w:val="double" w:sz="4" w:space="0" w:color="000000" w:themeColor="text1"/>
              <w:bottom w:val="nil"/>
              <w:right w:val="double" w:sz="4" w:space="0" w:color="000000" w:themeColor="text1"/>
            </w:tcBorders>
            <w:vAlign w:val="center"/>
          </w:tcPr>
          <w:p w14:paraId="53DFFFBB" w14:textId="77777777" w:rsidR="00114481" w:rsidRPr="00843651" w:rsidRDefault="00114481" w:rsidP="00114481">
            <w:pPr>
              <w:keepNext/>
              <w:keepLines/>
              <w:spacing w:before="40" w:after="40"/>
              <w:ind w:left="393"/>
              <w:jc w:val="both"/>
              <w:rPr>
                <w:rFonts w:ascii="Arial" w:hAnsi="Arial" w:cs="Arial"/>
                <w:sz w:val="18"/>
                <w:szCs w:val="18"/>
              </w:rPr>
            </w:pPr>
            <w:r w:rsidRPr="00843651">
              <w:rPr>
                <w:rFonts w:ascii="Arial" w:hAnsi="Arial" w:cs="Arial"/>
                <w:sz w:val="18"/>
                <w:szCs w:val="18"/>
              </w:rPr>
              <w:t>Petroleras</w:t>
            </w:r>
          </w:p>
        </w:tc>
        <w:tc>
          <w:tcPr>
            <w:tcW w:w="1174" w:type="dxa"/>
            <w:tcBorders>
              <w:top w:val="nil"/>
              <w:left w:val="double" w:sz="4" w:space="0" w:color="000000" w:themeColor="text1"/>
              <w:bottom w:val="nil"/>
              <w:right w:val="nil"/>
            </w:tcBorders>
            <w:vAlign w:val="center"/>
          </w:tcPr>
          <w:p w14:paraId="2D810D8F" w14:textId="4EF091A4" w:rsidR="00114481" w:rsidRPr="00F02BA8" w:rsidRDefault="00114481" w:rsidP="00114481">
            <w:pPr>
              <w:keepNext/>
              <w:keepLines/>
              <w:tabs>
                <w:tab w:val="decimal" w:pos="586"/>
              </w:tabs>
              <w:rPr>
                <w:rFonts w:ascii="Arial" w:hAnsi="Arial" w:cs="Arial"/>
                <w:bCs/>
                <w:sz w:val="18"/>
                <w:szCs w:val="18"/>
              </w:rPr>
            </w:pPr>
            <w:r w:rsidRPr="00F02BA8">
              <w:rPr>
                <w:rFonts w:ascii="Arial" w:hAnsi="Arial" w:cs="Arial"/>
                <w:sz w:val="18"/>
                <w:szCs w:val="18"/>
              </w:rPr>
              <w:t>17</w:t>
            </w:r>
            <w:r>
              <w:rPr>
                <w:rFonts w:ascii="Arial" w:hAnsi="Arial" w:cs="Arial"/>
                <w:sz w:val="18"/>
                <w:szCs w:val="18"/>
              </w:rPr>
              <w:t xml:space="preserve"> </w:t>
            </w:r>
            <w:r w:rsidRPr="00F02BA8">
              <w:rPr>
                <w:rFonts w:ascii="Arial" w:hAnsi="Arial" w:cs="Arial"/>
                <w:sz w:val="18"/>
                <w:szCs w:val="18"/>
              </w:rPr>
              <w:t>655</w:t>
            </w:r>
          </w:p>
        </w:tc>
        <w:tc>
          <w:tcPr>
            <w:tcW w:w="1174" w:type="dxa"/>
            <w:tcBorders>
              <w:top w:val="nil"/>
              <w:left w:val="nil"/>
              <w:bottom w:val="nil"/>
              <w:right w:val="double" w:sz="4" w:space="0" w:color="000000" w:themeColor="text1"/>
            </w:tcBorders>
            <w:vAlign w:val="center"/>
          </w:tcPr>
          <w:p w14:paraId="3D12E539" w14:textId="2C776A33" w:rsidR="00114481" w:rsidRPr="00F02BA8" w:rsidRDefault="00114481" w:rsidP="00114481">
            <w:pPr>
              <w:keepNext/>
              <w:keepLines/>
              <w:tabs>
                <w:tab w:val="decimal" w:pos="637"/>
              </w:tabs>
              <w:rPr>
                <w:rFonts w:ascii="Arial" w:hAnsi="Arial" w:cs="Arial"/>
                <w:bCs/>
                <w:sz w:val="18"/>
                <w:szCs w:val="18"/>
              </w:rPr>
            </w:pPr>
            <w:r w:rsidRPr="00F02BA8">
              <w:rPr>
                <w:rFonts w:ascii="Arial" w:hAnsi="Arial" w:cs="Arial"/>
                <w:sz w:val="18"/>
                <w:szCs w:val="18"/>
              </w:rPr>
              <w:t>29</w:t>
            </w:r>
            <w:r>
              <w:rPr>
                <w:rFonts w:ascii="Arial" w:hAnsi="Arial" w:cs="Arial"/>
                <w:sz w:val="18"/>
                <w:szCs w:val="18"/>
              </w:rPr>
              <w:t xml:space="preserve"> </w:t>
            </w:r>
            <w:r w:rsidRPr="00F02BA8">
              <w:rPr>
                <w:rFonts w:ascii="Arial" w:hAnsi="Arial" w:cs="Arial"/>
                <w:sz w:val="18"/>
                <w:szCs w:val="18"/>
              </w:rPr>
              <w:t>217</w:t>
            </w:r>
          </w:p>
        </w:tc>
        <w:tc>
          <w:tcPr>
            <w:tcW w:w="1174" w:type="dxa"/>
            <w:tcBorders>
              <w:top w:val="nil"/>
              <w:left w:val="double" w:sz="4" w:space="0" w:color="000000" w:themeColor="text1"/>
              <w:bottom w:val="nil"/>
              <w:right w:val="nil"/>
            </w:tcBorders>
            <w:vAlign w:val="center"/>
          </w:tcPr>
          <w:p w14:paraId="6FC3B427" w14:textId="7A631DAF" w:rsidR="00114481" w:rsidRPr="00F02BA8" w:rsidRDefault="00114481" w:rsidP="00114481">
            <w:pPr>
              <w:keepNext/>
              <w:keepLines/>
              <w:tabs>
                <w:tab w:val="decimal" w:pos="631"/>
              </w:tabs>
              <w:rPr>
                <w:rFonts w:ascii="Arial" w:hAnsi="Arial" w:cs="Arial"/>
                <w:bCs/>
                <w:sz w:val="18"/>
                <w:szCs w:val="18"/>
              </w:rPr>
            </w:pPr>
            <w:r>
              <w:rPr>
                <w:rFonts w:ascii="Arial" w:hAnsi="Arial" w:cs="Arial"/>
                <w:sz w:val="18"/>
                <w:szCs w:val="18"/>
              </w:rPr>
              <w:t>3 215</w:t>
            </w:r>
          </w:p>
        </w:tc>
        <w:tc>
          <w:tcPr>
            <w:tcW w:w="1174" w:type="dxa"/>
            <w:tcBorders>
              <w:top w:val="nil"/>
              <w:left w:val="nil"/>
              <w:bottom w:val="nil"/>
              <w:right w:val="nil"/>
            </w:tcBorders>
            <w:vAlign w:val="center"/>
          </w:tcPr>
          <w:p w14:paraId="18F0A283" w14:textId="33DB89DE" w:rsidR="00114481" w:rsidRPr="00F02BA8" w:rsidRDefault="00114481" w:rsidP="00114481">
            <w:pPr>
              <w:keepNext/>
              <w:keepLines/>
              <w:tabs>
                <w:tab w:val="decimal" w:pos="529"/>
              </w:tabs>
              <w:rPr>
                <w:rFonts w:ascii="Arial" w:hAnsi="Arial" w:cs="Arial"/>
                <w:sz w:val="18"/>
                <w:szCs w:val="18"/>
              </w:rPr>
            </w:pPr>
            <w:r>
              <w:rPr>
                <w:rFonts w:ascii="Arial" w:hAnsi="Arial" w:cs="Arial"/>
                <w:sz w:val="18"/>
                <w:szCs w:val="18"/>
              </w:rPr>
              <w:t>3 261</w:t>
            </w:r>
          </w:p>
        </w:tc>
        <w:tc>
          <w:tcPr>
            <w:tcW w:w="1174" w:type="dxa"/>
            <w:tcBorders>
              <w:top w:val="nil"/>
              <w:left w:val="nil"/>
              <w:bottom w:val="nil"/>
              <w:right w:val="nil"/>
            </w:tcBorders>
            <w:vAlign w:val="center"/>
          </w:tcPr>
          <w:p w14:paraId="516939D2" w14:textId="092E50BD" w:rsidR="00114481" w:rsidRPr="00AE5270" w:rsidRDefault="00CC63B4" w:rsidP="00114481">
            <w:pPr>
              <w:keepNext/>
              <w:keepLines/>
              <w:ind w:right="201"/>
              <w:jc w:val="right"/>
              <w:rPr>
                <w:rFonts w:ascii="Arial" w:hAnsi="Arial" w:cs="Arial"/>
                <w:sz w:val="18"/>
                <w:szCs w:val="18"/>
              </w:rPr>
            </w:pPr>
            <w:r>
              <w:rPr>
                <w:rFonts w:ascii="Arial" w:hAnsi="Arial" w:cs="Arial"/>
                <w:sz w:val="18"/>
                <w:szCs w:val="18"/>
              </w:rPr>
              <w:t>2 892</w:t>
            </w:r>
          </w:p>
        </w:tc>
        <w:tc>
          <w:tcPr>
            <w:tcW w:w="1174" w:type="dxa"/>
            <w:tcBorders>
              <w:top w:val="nil"/>
              <w:left w:val="nil"/>
              <w:bottom w:val="nil"/>
              <w:right w:val="double" w:sz="4" w:space="0" w:color="000000" w:themeColor="text1"/>
            </w:tcBorders>
            <w:vAlign w:val="center"/>
          </w:tcPr>
          <w:p w14:paraId="32D0A4F4" w14:textId="7AF78758" w:rsidR="00114481" w:rsidRPr="00AE5270" w:rsidRDefault="00CC63B4" w:rsidP="00114481">
            <w:pPr>
              <w:keepNext/>
              <w:keepLines/>
              <w:ind w:right="170"/>
              <w:jc w:val="right"/>
              <w:rPr>
                <w:rFonts w:ascii="Arial" w:hAnsi="Arial" w:cs="Arial"/>
                <w:sz w:val="18"/>
                <w:szCs w:val="18"/>
              </w:rPr>
            </w:pPr>
            <w:r>
              <w:rPr>
                <w:rFonts w:ascii="Arial" w:hAnsi="Arial" w:cs="Arial"/>
                <w:sz w:val="18"/>
                <w:szCs w:val="18"/>
              </w:rPr>
              <w:t>33 891</w:t>
            </w:r>
          </w:p>
        </w:tc>
      </w:tr>
      <w:tr w:rsidR="00114481" w:rsidRPr="00843651" w14:paraId="31EFA848" w14:textId="0954E263" w:rsidTr="00E605D2">
        <w:trPr>
          <w:jc w:val="center"/>
        </w:trPr>
        <w:tc>
          <w:tcPr>
            <w:tcW w:w="2681" w:type="dxa"/>
            <w:tcBorders>
              <w:top w:val="nil"/>
              <w:left w:val="double" w:sz="4" w:space="0" w:color="000000" w:themeColor="text1"/>
              <w:bottom w:val="nil"/>
              <w:right w:val="double" w:sz="4" w:space="0" w:color="000000" w:themeColor="text1"/>
            </w:tcBorders>
            <w:vAlign w:val="center"/>
          </w:tcPr>
          <w:p w14:paraId="5E2BE2E1" w14:textId="1AA2FABE" w:rsidR="00114481" w:rsidRPr="00843651" w:rsidRDefault="00114481" w:rsidP="00114481">
            <w:pPr>
              <w:keepNext/>
              <w:keepLines/>
              <w:spacing w:before="40" w:after="40"/>
              <w:ind w:left="393"/>
              <w:jc w:val="both"/>
              <w:rPr>
                <w:rFonts w:ascii="Arial" w:hAnsi="Arial" w:cs="Arial"/>
                <w:sz w:val="18"/>
                <w:szCs w:val="18"/>
              </w:rPr>
            </w:pPr>
            <w:r w:rsidRPr="00843651">
              <w:rPr>
                <w:rFonts w:ascii="Arial" w:hAnsi="Arial" w:cs="Arial"/>
                <w:sz w:val="18"/>
                <w:szCs w:val="18"/>
              </w:rPr>
              <w:t xml:space="preserve">No </w:t>
            </w:r>
            <w:r>
              <w:rPr>
                <w:rFonts w:ascii="Arial" w:hAnsi="Arial" w:cs="Arial"/>
                <w:sz w:val="18"/>
                <w:szCs w:val="18"/>
              </w:rPr>
              <w:t>p</w:t>
            </w:r>
            <w:r w:rsidRPr="00843651">
              <w:rPr>
                <w:rFonts w:ascii="Arial" w:hAnsi="Arial" w:cs="Arial"/>
                <w:sz w:val="18"/>
                <w:szCs w:val="18"/>
              </w:rPr>
              <w:t>etroleras</w:t>
            </w:r>
          </w:p>
        </w:tc>
        <w:tc>
          <w:tcPr>
            <w:tcW w:w="1174" w:type="dxa"/>
            <w:tcBorders>
              <w:top w:val="nil"/>
              <w:left w:val="double" w:sz="4" w:space="0" w:color="000000" w:themeColor="text1"/>
              <w:bottom w:val="nil"/>
              <w:right w:val="nil"/>
            </w:tcBorders>
            <w:vAlign w:val="center"/>
          </w:tcPr>
          <w:p w14:paraId="402C6E6E" w14:textId="49E0D768" w:rsidR="00114481" w:rsidRPr="00F02BA8" w:rsidRDefault="00114481" w:rsidP="00114481">
            <w:pPr>
              <w:keepNext/>
              <w:keepLines/>
              <w:tabs>
                <w:tab w:val="decimal" w:pos="586"/>
              </w:tabs>
              <w:rPr>
                <w:rFonts w:ascii="Arial" w:hAnsi="Arial" w:cs="Arial"/>
                <w:bCs/>
                <w:sz w:val="18"/>
                <w:szCs w:val="18"/>
              </w:rPr>
            </w:pPr>
            <w:r w:rsidRPr="00F02BA8">
              <w:rPr>
                <w:rFonts w:ascii="Arial" w:hAnsi="Arial" w:cs="Arial"/>
                <w:sz w:val="18"/>
                <w:szCs w:val="18"/>
              </w:rPr>
              <w:t>399</w:t>
            </w:r>
            <w:r>
              <w:rPr>
                <w:rFonts w:ascii="Arial" w:hAnsi="Arial" w:cs="Arial"/>
                <w:sz w:val="18"/>
                <w:szCs w:val="18"/>
              </w:rPr>
              <w:t xml:space="preserve"> </w:t>
            </w:r>
            <w:r w:rsidRPr="00F02BA8">
              <w:rPr>
                <w:rFonts w:ascii="Arial" w:hAnsi="Arial" w:cs="Arial"/>
                <w:sz w:val="18"/>
                <w:szCs w:val="18"/>
              </w:rPr>
              <w:t>515</w:t>
            </w:r>
          </w:p>
        </w:tc>
        <w:tc>
          <w:tcPr>
            <w:tcW w:w="1174" w:type="dxa"/>
            <w:tcBorders>
              <w:top w:val="nil"/>
              <w:left w:val="nil"/>
              <w:bottom w:val="nil"/>
              <w:right w:val="double" w:sz="4" w:space="0" w:color="000000" w:themeColor="text1"/>
            </w:tcBorders>
            <w:vAlign w:val="center"/>
          </w:tcPr>
          <w:p w14:paraId="0F6A8197" w14:textId="7C31FFD7" w:rsidR="00114481" w:rsidRPr="00F02BA8" w:rsidRDefault="00114481" w:rsidP="00114481">
            <w:pPr>
              <w:keepNext/>
              <w:keepLines/>
              <w:tabs>
                <w:tab w:val="decimal" w:pos="637"/>
              </w:tabs>
              <w:rPr>
                <w:rFonts w:ascii="Arial" w:hAnsi="Arial" w:cs="Arial"/>
                <w:bCs/>
                <w:sz w:val="18"/>
                <w:szCs w:val="18"/>
              </w:rPr>
            </w:pPr>
            <w:r w:rsidRPr="00F02BA8">
              <w:rPr>
                <w:rFonts w:ascii="Arial" w:hAnsi="Arial" w:cs="Arial"/>
                <w:sz w:val="18"/>
                <w:szCs w:val="18"/>
              </w:rPr>
              <w:t>465</w:t>
            </w:r>
            <w:r>
              <w:rPr>
                <w:rFonts w:ascii="Arial" w:hAnsi="Arial" w:cs="Arial"/>
                <w:sz w:val="18"/>
                <w:szCs w:val="18"/>
              </w:rPr>
              <w:t xml:space="preserve"> </w:t>
            </w:r>
            <w:r w:rsidRPr="00F02BA8">
              <w:rPr>
                <w:rFonts w:ascii="Arial" w:hAnsi="Arial" w:cs="Arial"/>
                <w:sz w:val="18"/>
                <w:szCs w:val="18"/>
              </w:rPr>
              <w:t>548</w:t>
            </w:r>
          </w:p>
        </w:tc>
        <w:tc>
          <w:tcPr>
            <w:tcW w:w="1174" w:type="dxa"/>
            <w:tcBorders>
              <w:top w:val="nil"/>
              <w:left w:val="double" w:sz="4" w:space="0" w:color="000000" w:themeColor="text1"/>
              <w:bottom w:val="nil"/>
              <w:right w:val="nil"/>
            </w:tcBorders>
            <w:vAlign w:val="center"/>
          </w:tcPr>
          <w:p w14:paraId="458CFA76" w14:textId="5276CB02" w:rsidR="00114481" w:rsidRPr="00F02BA8" w:rsidRDefault="00114481" w:rsidP="00114481">
            <w:pPr>
              <w:keepNext/>
              <w:keepLines/>
              <w:tabs>
                <w:tab w:val="decimal" w:pos="631"/>
              </w:tabs>
              <w:rPr>
                <w:rFonts w:ascii="Arial" w:hAnsi="Arial" w:cs="Arial"/>
                <w:bCs/>
                <w:sz w:val="18"/>
                <w:szCs w:val="18"/>
              </w:rPr>
            </w:pPr>
            <w:r>
              <w:rPr>
                <w:rFonts w:ascii="Arial" w:hAnsi="Arial" w:cs="Arial"/>
                <w:sz w:val="18"/>
                <w:szCs w:val="18"/>
              </w:rPr>
              <w:t>47 455</w:t>
            </w:r>
          </w:p>
        </w:tc>
        <w:tc>
          <w:tcPr>
            <w:tcW w:w="1174" w:type="dxa"/>
            <w:tcBorders>
              <w:top w:val="nil"/>
              <w:left w:val="nil"/>
              <w:bottom w:val="nil"/>
              <w:right w:val="nil"/>
            </w:tcBorders>
            <w:vAlign w:val="center"/>
          </w:tcPr>
          <w:p w14:paraId="03FA3C80" w14:textId="4C8C0802" w:rsidR="00114481" w:rsidRPr="00F02BA8" w:rsidRDefault="00114481" w:rsidP="00114481">
            <w:pPr>
              <w:keepNext/>
              <w:keepLines/>
              <w:tabs>
                <w:tab w:val="decimal" w:pos="529"/>
              </w:tabs>
              <w:rPr>
                <w:rFonts w:ascii="Arial" w:hAnsi="Arial" w:cs="Arial"/>
                <w:sz w:val="18"/>
                <w:szCs w:val="18"/>
              </w:rPr>
            </w:pPr>
            <w:r>
              <w:rPr>
                <w:rFonts w:ascii="Arial" w:hAnsi="Arial" w:cs="Arial"/>
                <w:sz w:val="18"/>
                <w:szCs w:val="18"/>
              </w:rPr>
              <w:t>49 077</w:t>
            </w:r>
          </w:p>
        </w:tc>
        <w:tc>
          <w:tcPr>
            <w:tcW w:w="1174" w:type="dxa"/>
            <w:tcBorders>
              <w:top w:val="nil"/>
              <w:left w:val="nil"/>
              <w:bottom w:val="nil"/>
              <w:right w:val="nil"/>
            </w:tcBorders>
            <w:vAlign w:val="center"/>
          </w:tcPr>
          <w:p w14:paraId="3240952F" w14:textId="6552ACC8" w:rsidR="00114481" w:rsidRPr="00AE5270" w:rsidRDefault="00CC63B4" w:rsidP="00114481">
            <w:pPr>
              <w:keepNext/>
              <w:keepLines/>
              <w:ind w:right="201"/>
              <w:jc w:val="right"/>
              <w:rPr>
                <w:rFonts w:ascii="Arial" w:hAnsi="Arial" w:cs="Arial"/>
                <w:sz w:val="18"/>
                <w:szCs w:val="18"/>
              </w:rPr>
            </w:pPr>
            <w:r>
              <w:rPr>
                <w:rFonts w:ascii="Arial" w:hAnsi="Arial" w:cs="Arial"/>
                <w:sz w:val="18"/>
                <w:szCs w:val="18"/>
              </w:rPr>
              <w:t>46 383</w:t>
            </w:r>
          </w:p>
        </w:tc>
        <w:tc>
          <w:tcPr>
            <w:tcW w:w="1174" w:type="dxa"/>
            <w:tcBorders>
              <w:top w:val="nil"/>
              <w:left w:val="nil"/>
              <w:bottom w:val="nil"/>
              <w:right w:val="double" w:sz="4" w:space="0" w:color="000000" w:themeColor="text1"/>
            </w:tcBorders>
            <w:vAlign w:val="center"/>
          </w:tcPr>
          <w:p w14:paraId="187D96DB" w14:textId="52568011" w:rsidR="00114481" w:rsidRPr="00AE5270" w:rsidRDefault="00CC63B4" w:rsidP="00114481">
            <w:pPr>
              <w:keepNext/>
              <w:keepLines/>
              <w:ind w:right="170"/>
              <w:jc w:val="right"/>
              <w:rPr>
                <w:rFonts w:ascii="Arial" w:hAnsi="Arial" w:cs="Arial"/>
                <w:sz w:val="18"/>
                <w:szCs w:val="18"/>
              </w:rPr>
            </w:pPr>
            <w:r>
              <w:rPr>
                <w:rFonts w:ascii="Arial" w:hAnsi="Arial" w:cs="Arial"/>
                <w:sz w:val="18"/>
                <w:szCs w:val="18"/>
              </w:rPr>
              <w:t>445 668</w:t>
            </w:r>
          </w:p>
        </w:tc>
      </w:tr>
      <w:tr w:rsidR="00114481" w:rsidRPr="00843651" w14:paraId="16E7E605" w14:textId="25110D74" w:rsidTr="00E605D2">
        <w:trPr>
          <w:trHeight w:val="214"/>
          <w:jc w:val="center"/>
        </w:trPr>
        <w:tc>
          <w:tcPr>
            <w:tcW w:w="2681" w:type="dxa"/>
            <w:tcBorders>
              <w:top w:val="nil"/>
              <w:left w:val="double" w:sz="4" w:space="0" w:color="000000" w:themeColor="text1"/>
              <w:bottom w:val="nil"/>
              <w:right w:val="double" w:sz="4" w:space="0" w:color="000000" w:themeColor="text1"/>
            </w:tcBorders>
            <w:vAlign w:val="center"/>
          </w:tcPr>
          <w:p w14:paraId="5217AB52" w14:textId="40E7D790" w:rsidR="00114481" w:rsidRPr="00843651" w:rsidRDefault="00114481" w:rsidP="00114481">
            <w:pPr>
              <w:keepNext/>
              <w:keepLines/>
              <w:spacing w:before="40" w:after="40"/>
              <w:ind w:left="183"/>
              <w:jc w:val="both"/>
              <w:rPr>
                <w:rFonts w:ascii="Arial" w:hAnsi="Arial" w:cs="Arial"/>
                <w:b/>
                <w:sz w:val="18"/>
                <w:szCs w:val="18"/>
              </w:rPr>
            </w:pPr>
            <w:r w:rsidRPr="00843651">
              <w:rPr>
                <w:rFonts w:ascii="Arial" w:hAnsi="Arial" w:cs="Arial"/>
                <w:b/>
                <w:spacing w:val="-6"/>
                <w:sz w:val="18"/>
                <w:szCs w:val="18"/>
              </w:rPr>
              <w:t xml:space="preserve">Importaciones </w:t>
            </w:r>
            <w:r>
              <w:rPr>
                <w:rFonts w:ascii="Arial" w:hAnsi="Arial" w:cs="Arial"/>
                <w:b/>
                <w:spacing w:val="-6"/>
                <w:sz w:val="18"/>
                <w:szCs w:val="18"/>
              </w:rPr>
              <w:t>t</w:t>
            </w:r>
            <w:r w:rsidRPr="00843651">
              <w:rPr>
                <w:rFonts w:ascii="Arial" w:hAnsi="Arial" w:cs="Arial"/>
                <w:b/>
                <w:spacing w:val="-6"/>
                <w:sz w:val="18"/>
                <w:szCs w:val="18"/>
              </w:rPr>
              <w:t>otales</w:t>
            </w:r>
          </w:p>
        </w:tc>
        <w:tc>
          <w:tcPr>
            <w:tcW w:w="1174" w:type="dxa"/>
            <w:tcBorders>
              <w:top w:val="nil"/>
              <w:left w:val="double" w:sz="4" w:space="0" w:color="000000" w:themeColor="text1"/>
              <w:bottom w:val="nil"/>
              <w:right w:val="nil"/>
            </w:tcBorders>
            <w:vAlign w:val="center"/>
          </w:tcPr>
          <w:p w14:paraId="0880FDC2" w14:textId="164DC667" w:rsidR="00114481" w:rsidRPr="00F02BA8" w:rsidRDefault="00114481" w:rsidP="00114481">
            <w:pPr>
              <w:keepNext/>
              <w:keepLines/>
              <w:tabs>
                <w:tab w:val="decimal" w:pos="586"/>
              </w:tabs>
              <w:rPr>
                <w:rFonts w:ascii="Arial" w:hAnsi="Arial" w:cs="Arial"/>
                <w:b/>
                <w:bCs/>
                <w:sz w:val="18"/>
                <w:szCs w:val="18"/>
              </w:rPr>
            </w:pPr>
            <w:r w:rsidRPr="00F02BA8">
              <w:rPr>
                <w:rFonts w:ascii="Arial" w:hAnsi="Arial" w:cs="Arial"/>
                <w:b/>
                <w:bCs/>
                <w:sz w:val="18"/>
                <w:szCs w:val="18"/>
              </w:rPr>
              <w:t>382</w:t>
            </w:r>
            <w:r>
              <w:rPr>
                <w:rFonts w:ascii="Arial" w:hAnsi="Arial" w:cs="Arial"/>
                <w:b/>
                <w:bCs/>
                <w:sz w:val="18"/>
                <w:szCs w:val="18"/>
              </w:rPr>
              <w:t xml:space="preserve"> </w:t>
            </w:r>
            <w:r w:rsidRPr="00F02BA8">
              <w:rPr>
                <w:rFonts w:ascii="Arial" w:hAnsi="Arial" w:cs="Arial"/>
                <w:b/>
                <w:bCs/>
                <w:sz w:val="18"/>
                <w:szCs w:val="18"/>
              </w:rPr>
              <w:t>986</w:t>
            </w:r>
          </w:p>
        </w:tc>
        <w:tc>
          <w:tcPr>
            <w:tcW w:w="1174" w:type="dxa"/>
            <w:tcBorders>
              <w:top w:val="nil"/>
              <w:left w:val="nil"/>
              <w:bottom w:val="nil"/>
              <w:right w:val="double" w:sz="4" w:space="0" w:color="000000" w:themeColor="text1"/>
            </w:tcBorders>
            <w:vAlign w:val="center"/>
          </w:tcPr>
          <w:p w14:paraId="5A4F19EB" w14:textId="2530C8BA" w:rsidR="00114481" w:rsidRPr="00F02BA8" w:rsidRDefault="00114481" w:rsidP="00114481">
            <w:pPr>
              <w:keepNext/>
              <w:keepLines/>
              <w:tabs>
                <w:tab w:val="decimal" w:pos="637"/>
              </w:tabs>
              <w:rPr>
                <w:rFonts w:ascii="Arial" w:hAnsi="Arial" w:cs="Arial"/>
                <w:b/>
                <w:bCs/>
                <w:sz w:val="18"/>
                <w:szCs w:val="18"/>
              </w:rPr>
            </w:pPr>
            <w:r w:rsidRPr="00F02BA8">
              <w:rPr>
                <w:rFonts w:ascii="Arial" w:hAnsi="Arial" w:cs="Arial"/>
                <w:b/>
                <w:bCs/>
                <w:sz w:val="18"/>
                <w:szCs w:val="18"/>
              </w:rPr>
              <w:t>505</w:t>
            </w:r>
            <w:r>
              <w:rPr>
                <w:rFonts w:ascii="Arial" w:hAnsi="Arial" w:cs="Arial"/>
                <w:b/>
                <w:bCs/>
                <w:sz w:val="18"/>
                <w:szCs w:val="18"/>
              </w:rPr>
              <w:t xml:space="preserve"> </w:t>
            </w:r>
            <w:r w:rsidRPr="00F02BA8">
              <w:rPr>
                <w:rFonts w:ascii="Arial" w:hAnsi="Arial" w:cs="Arial"/>
                <w:b/>
                <w:bCs/>
                <w:sz w:val="18"/>
                <w:szCs w:val="18"/>
              </w:rPr>
              <w:t>703</w:t>
            </w:r>
          </w:p>
        </w:tc>
        <w:tc>
          <w:tcPr>
            <w:tcW w:w="1174" w:type="dxa"/>
            <w:tcBorders>
              <w:top w:val="nil"/>
              <w:left w:val="double" w:sz="4" w:space="0" w:color="000000" w:themeColor="text1"/>
              <w:bottom w:val="nil"/>
              <w:right w:val="nil"/>
            </w:tcBorders>
            <w:vAlign w:val="center"/>
          </w:tcPr>
          <w:p w14:paraId="36552509" w14:textId="57EBB0E3" w:rsidR="00114481" w:rsidRPr="00F02BA8" w:rsidRDefault="00114481" w:rsidP="00114481">
            <w:pPr>
              <w:keepNext/>
              <w:keepLines/>
              <w:tabs>
                <w:tab w:val="decimal" w:pos="631"/>
              </w:tabs>
              <w:rPr>
                <w:rFonts w:ascii="Arial" w:hAnsi="Arial" w:cs="Arial"/>
                <w:b/>
                <w:bCs/>
                <w:sz w:val="18"/>
                <w:szCs w:val="18"/>
              </w:rPr>
            </w:pPr>
            <w:r>
              <w:rPr>
                <w:rFonts w:ascii="Arial" w:hAnsi="Arial" w:cs="Arial"/>
                <w:b/>
                <w:bCs/>
                <w:sz w:val="18"/>
                <w:szCs w:val="18"/>
              </w:rPr>
              <w:t>56 168</w:t>
            </w:r>
          </w:p>
        </w:tc>
        <w:tc>
          <w:tcPr>
            <w:tcW w:w="1174" w:type="dxa"/>
            <w:tcBorders>
              <w:top w:val="nil"/>
              <w:left w:val="nil"/>
              <w:bottom w:val="nil"/>
              <w:right w:val="nil"/>
            </w:tcBorders>
            <w:vAlign w:val="center"/>
          </w:tcPr>
          <w:p w14:paraId="27A242C2" w14:textId="4BDC17CE" w:rsidR="00114481" w:rsidRPr="00F02BA8" w:rsidRDefault="00114481" w:rsidP="00114481">
            <w:pPr>
              <w:keepNext/>
              <w:keepLines/>
              <w:tabs>
                <w:tab w:val="decimal" w:pos="529"/>
              </w:tabs>
              <w:rPr>
                <w:rFonts w:ascii="Arial" w:hAnsi="Arial" w:cs="Arial"/>
                <w:b/>
                <w:bCs/>
                <w:sz w:val="18"/>
                <w:szCs w:val="18"/>
              </w:rPr>
            </w:pPr>
            <w:r>
              <w:rPr>
                <w:rFonts w:ascii="Arial" w:hAnsi="Arial" w:cs="Arial"/>
                <w:b/>
                <w:bCs/>
                <w:sz w:val="18"/>
                <w:szCs w:val="18"/>
              </w:rPr>
              <w:t>53 233</w:t>
            </w:r>
          </w:p>
        </w:tc>
        <w:tc>
          <w:tcPr>
            <w:tcW w:w="1174" w:type="dxa"/>
            <w:tcBorders>
              <w:top w:val="nil"/>
              <w:left w:val="nil"/>
              <w:bottom w:val="nil"/>
              <w:right w:val="nil"/>
            </w:tcBorders>
            <w:vAlign w:val="center"/>
          </w:tcPr>
          <w:p w14:paraId="31F7DF31" w14:textId="75C83A9E" w:rsidR="00114481" w:rsidRPr="00AE5270" w:rsidRDefault="00CC63B4" w:rsidP="00114481">
            <w:pPr>
              <w:keepNext/>
              <w:keepLines/>
              <w:ind w:right="201"/>
              <w:jc w:val="right"/>
              <w:rPr>
                <w:rFonts w:ascii="Arial" w:hAnsi="Arial" w:cs="Arial"/>
                <w:b/>
                <w:bCs/>
                <w:sz w:val="18"/>
                <w:szCs w:val="18"/>
              </w:rPr>
            </w:pPr>
            <w:r>
              <w:rPr>
                <w:rFonts w:ascii="Arial" w:hAnsi="Arial" w:cs="Arial"/>
                <w:b/>
                <w:bCs/>
                <w:sz w:val="18"/>
                <w:szCs w:val="18"/>
              </w:rPr>
              <w:t>51 287</w:t>
            </w:r>
          </w:p>
        </w:tc>
        <w:tc>
          <w:tcPr>
            <w:tcW w:w="1174" w:type="dxa"/>
            <w:tcBorders>
              <w:top w:val="nil"/>
              <w:left w:val="nil"/>
              <w:bottom w:val="nil"/>
              <w:right w:val="double" w:sz="4" w:space="0" w:color="000000" w:themeColor="text1"/>
            </w:tcBorders>
            <w:vAlign w:val="center"/>
          </w:tcPr>
          <w:p w14:paraId="1A3DCFF8" w14:textId="7BD96BF6" w:rsidR="00114481" w:rsidRPr="00AE5270" w:rsidRDefault="00CC63B4" w:rsidP="00114481">
            <w:pPr>
              <w:keepNext/>
              <w:keepLines/>
              <w:ind w:right="170"/>
              <w:jc w:val="right"/>
              <w:rPr>
                <w:rFonts w:ascii="Arial" w:hAnsi="Arial" w:cs="Arial"/>
                <w:b/>
                <w:bCs/>
                <w:sz w:val="18"/>
                <w:szCs w:val="18"/>
              </w:rPr>
            </w:pPr>
            <w:r>
              <w:rPr>
                <w:rFonts w:ascii="Arial" w:hAnsi="Arial" w:cs="Arial"/>
                <w:b/>
                <w:bCs/>
                <w:sz w:val="18"/>
                <w:szCs w:val="18"/>
              </w:rPr>
              <w:t>506 868</w:t>
            </w:r>
          </w:p>
        </w:tc>
      </w:tr>
      <w:tr w:rsidR="00114481" w:rsidRPr="00843651" w14:paraId="7FEC5E2C" w14:textId="506012BE" w:rsidTr="00E605D2">
        <w:trPr>
          <w:jc w:val="center"/>
        </w:trPr>
        <w:tc>
          <w:tcPr>
            <w:tcW w:w="2681" w:type="dxa"/>
            <w:tcBorders>
              <w:top w:val="nil"/>
              <w:left w:val="double" w:sz="4" w:space="0" w:color="000000" w:themeColor="text1"/>
              <w:bottom w:val="nil"/>
              <w:right w:val="double" w:sz="4" w:space="0" w:color="000000" w:themeColor="text1"/>
            </w:tcBorders>
            <w:vAlign w:val="center"/>
          </w:tcPr>
          <w:p w14:paraId="5970039D" w14:textId="77777777" w:rsidR="00114481" w:rsidRPr="00843651" w:rsidRDefault="00114481" w:rsidP="00114481">
            <w:pPr>
              <w:keepNext/>
              <w:keepLines/>
              <w:spacing w:before="40" w:after="40"/>
              <w:ind w:left="393"/>
              <w:jc w:val="both"/>
              <w:rPr>
                <w:rFonts w:ascii="Arial" w:hAnsi="Arial" w:cs="Arial"/>
                <w:sz w:val="18"/>
                <w:szCs w:val="18"/>
              </w:rPr>
            </w:pPr>
            <w:r w:rsidRPr="00843651">
              <w:rPr>
                <w:rFonts w:ascii="Arial" w:hAnsi="Arial" w:cs="Arial"/>
                <w:sz w:val="18"/>
                <w:szCs w:val="18"/>
              </w:rPr>
              <w:t>Petroleras</w:t>
            </w:r>
          </w:p>
        </w:tc>
        <w:tc>
          <w:tcPr>
            <w:tcW w:w="1174" w:type="dxa"/>
            <w:tcBorders>
              <w:top w:val="nil"/>
              <w:left w:val="double" w:sz="4" w:space="0" w:color="000000" w:themeColor="text1"/>
              <w:bottom w:val="nil"/>
              <w:right w:val="nil"/>
            </w:tcBorders>
            <w:vAlign w:val="center"/>
          </w:tcPr>
          <w:p w14:paraId="116E905B" w14:textId="4A6FAA54" w:rsidR="00114481" w:rsidRPr="00F02BA8" w:rsidRDefault="00114481" w:rsidP="00114481">
            <w:pPr>
              <w:keepNext/>
              <w:keepLines/>
              <w:tabs>
                <w:tab w:val="decimal" w:pos="586"/>
              </w:tabs>
              <w:rPr>
                <w:rFonts w:ascii="Arial" w:hAnsi="Arial" w:cs="Arial"/>
                <w:bCs/>
                <w:sz w:val="18"/>
                <w:szCs w:val="18"/>
              </w:rPr>
            </w:pPr>
            <w:r w:rsidRPr="00F02BA8">
              <w:rPr>
                <w:rFonts w:ascii="Arial" w:hAnsi="Arial" w:cs="Arial"/>
                <w:sz w:val="18"/>
                <w:szCs w:val="18"/>
              </w:rPr>
              <w:t>31</w:t>
            </w:r>
            <w:r>
              <w:rPr>
                <w:rFonts w:ascii="Arial" w:hAnsi="Arial" w:cs="Arial"/>
                <w:sz w:val="18"/>
                <w:szCs w:val="18"/>
              </w:rPr>
              <w:t xml:space="preserve"> </w:t>
            </w:r>
            <w:r w:rsidRPr="00F02BA8">
              <w:rPr>
                <w:rFonts w:ascii="Arial" w:hAnsi="Arial" w:cs="Arial"/>
                <w:sz w:val="18"/>
                <w:szCs w:val="18"/>
              </w:rPr>
              <w:t>408</w:t>
            </w:r>
          </w:p>
        </w:tc>
        <w:tc>
          <w:tcPr>
            <w:tcW w:w="1174" w:type="dxa"/>
            <w:tcBorders>
              <w:top w:val="nil"/>
              <w:left w:val="nil"/>
              <w:bottom w:val="nil"/>
              <w:right w:val="double" w:sz="4" w:space="0" w:color="000000" w:themeColor="text1"/>
            </w:tcBorders>
            <w:vAlign w:val="center"/>
          </w:tcPr>
          <w:p w14:paraId="1B5C558A" w14:textId="5B915784" w:rsidR="00114481" w:rsidRPr="00F02BA8" w:rsidRDefault="00114481" w:rsidP="00114481">
            <w:pPr>
              <w:keepNext/>
              <w:keepLines/>
              <w:tabs>
                <w:tab w:val="decimal" w:pos="637"/>
              </w:tabs>
              <w:rPr>
                <w:rFonts w:ascii="Arial" w:hAnsi="Arial" w:cs="Arial"/>
                <w:bCs/>
                <w:sz w:val="18"/>
                <w:szCs w:val="18"/>
              </w:rPr>
            </w:pPr>
            <w:r w:rsidRPr="00F02BA8">
              <w:rPr>
                <w:rFonts w:ascii="Arial" w:hAnsi="Arial" w:cs="Arial"/>
                <w:sz w:val="18"/>
                <w:szCs w:val="18"/>
              </w:rPr>
              <w:t>53</w:t>
            </w:r>
            <w:r>
              <w:rPr>
                <w:rFonts w:ascii="Arial" w:hAnsi="Arial" w:cs="Arial"/>
                <w:sz w:val="18"/>
                <w:szCs w:val="18"/>
              </w:rPr>
              <w:t xml:space="preserve"> </w:t>
            </w:r>
            <w:r w:rsidRPr="00F02BA8">
              <w:rPr>
                <w:rFonts w:ascii="Arial" w:hAnsi="Arial" w:cs="Arial"/>
                <w:sz w:val="18"/>
                <w:szCs w:val="18"/>
              </w:rPr>
              <w:t>851</w:t>
            </w:r>
          </w:p>
        </w:tc>
        <w:tc>
          <w:tcPr>
            <w:tcW w:w="1174" w:type="dxa"/>
            <w:tcBorders>
              <w:top w:val="nil"/>
              <w:left w:val="double" w:sz="4" w:space="0" w:color="000000" w:themeColor="text1"/>
              <w:bottom w:val="nil"/>
              <w:right w:val="nil"/>
            </w:tcBorders>
            <w:vAlign w:val="center"/>
          </w:tcPr>
          <w:p w14:paraId="297E08CA" w14:textId="2E83359D" w:rsidR="00114481" w:rsidRPr="00F02BA8" w:rsidRDefault="00114481" w:rsidP="00114481">
            <w:pPr>
              <w:keepNext/>
              <w:keepLines/>
              <w:tabs>
                <w:tab w:val="decimal" w:pos="631"/>
              </w:tabs>
              <w:rPr>
                <w:rFonts w:ascii="Arial" w:hAnsi="Arial" w:cs="Arial"/>
                <w:bCs/>
                <w:sz w:val="18"/>
                <w:szCs w:val="18"/>
              </w:rPr>
            </w:pPr>
            <w:r>
              <w:rPr>
                <w:rFonts w:ascii="Arial" w:hAnsi="Arial" w:cs="Arial"/>
                <w:sz w:val="18"/>
                <w:szCs w:val="18"/>
              </w:rPr>
              <w:t>7 585</w:t>
            </w:r>
          </w:p>
        </w:tc>
        <w:tc>
          <w:tcPr>
            <w:tcW w:w="1174" w:type="dxa"/>
            <w:tcBorders>
              <w:top w:val="nil"/>
              <w:left w:val="nil"/>
              <w:bottom w:val="nil"/>
              <w:right w:val="nil"/>
            </w:tcBorders>
            <w:vAlign w:val="center"/>
          </w:tcPr>
          <w:p w14:paraId="404A5D5C" w14:textId="4A804EEB" w:rsidR="00114481" w:rsidRPr="00F02BA8" w:rsidRDefault="00114481" w:rsidP="00114481">
            <w:pPr>
              <w:keepNext/>
              <w:keepLines/>
              <w:tabs>
                <w:tab w:val="decimal" w:pos="529"/>
              </w:tabs>
              <w:rPr>
                <w:rFonts w:ascii="Arial" w:hAnsi="Arial" w:cs="Arial"/>
                <w:sz w:val="18"/>
                <w:szCs w:val="18"/>
              </w:rPr>
            </w:pPr>
            <w:r>
              <w:rPr>
                <w:rFonts w:ascii="Arial" w:hAnsi="Arial" w:cs="Arial"/>
                <w:sz w:val="18"/>
                <w:szCs w:val="18"/>
              </w:rPr>
              <w:t>6 865</w:t>
            </w:r>
          </w:p>
        </w:tc>
        <w:tc>
          <w:tcPr>
            <w:tcW w:w="1174" w:type="dxa"/>
            <w:tcBorders>
              <w:top w:val="nil"/>
              <w:left w:val="nil"/>
              <w:bottom w:val="nil"/>
              <w:right w:val="nil"/>
            </w:tcBorders>
            <w:vAlign w:val="center"/>
          </w:tcPr>
          <w:p w14:paraId="0A6D2700" w14:textId="10047FEC" w:rsidR="00114481" w:rsidRPr="00AE5270" w:rsidRDefault="00CC63B4" w:rsidP="00114481">
            <w:pPr>
              <w:keepNext/>
              <w:keepLines/>
              <w:ind w:right="201"/>
              <w:jc w:val="right"/>
              <w:rPr>
                <w:rFonts w:ascii="Arial" w:hAnsi="Arial" w:cs="Arial"/>
                <w:sz w:val="18"/>
                <w:szCs w:val="18"/>
              </w:rPr>
            </w:pPr>
            <w:r>
              <w:rPr>
                <w:rFonts w:ascii="Arial" w:hAnsi="Arial" w:cs="Arial"/>
                <w:sz w:val="18"/>
                <w:szCs w:val="18"/>
              </w:rPr>
              <w:t>5 310</w:t>
            </w:r>
          </w:p>
        </w:tc>
        <w:tc>
          <w:tcPr>
            <w:tcW w:w="1174" w:type="dxa"/>
            <w:tcBorders>
              <w:top w:val="nil"/>
              <w:left w:val="nil"/>
              <w:bottom w:val="nil"/>
              <w:right w:val="double" w:sz="4" w:space="0" w:color="000000" w:themeColor="text1"/>
            </w:tcBorders>
            <w:vAlign w:val="center"/>
          </w:tcPr>
          <w:p w14:paraId="10BBDEF7" w14:textId="46EE6BAB" w:rsidR="00114481" w:rsidRPr="00AE5270" w:rsidRDefault="00CC63B4" w:rsidP="00114481">
            <w:pPr>
              <w:keepNext/>
              <w:keepLines/>
              <w:ind w:right="170"/>
              <w:jc w:val="right"/>
              <w:rPr>
                <w:rFonts w:ascii="Arial" w:hAnsi="Arial" w:cs="Arial"/>
                <w:sz w:val="18"/>
                <w:szCs w:val="18"/>
              </w:rPr>
            </w:pPr>
            <w:r>
              <w:rPr>
                <w:rFonts w:ascii="Arial" w:hAnsi="Arial" w:cs="Arial"/>
                <w:sz w:val="18"/>
                <w:szCs w:val="18"/>
              </w:rPr>
              <w:t>64 449</w:t>
            </w:r>
          </w:p>
        </w:tc>
      </w:tr>
      <w:tr w:rsidR="00114481" w:rsidRPr="00843651" w14:paraId="3FDD1FE5" w14:textId="12655857" w:rsidTr="00E605D2">
        <w:trPr>
          <w:jc w:val="center"/>
        </w:trPr>
        <w:tc>
          <w:tcPr>
            <w:tcW w:w="2681" w:type="dxa"/>
            <w:tcBorders>
              <w:top w:val="nil"/>
              <w:left w:val="double" w:sz="4" w:space="0" w:color="000000" w:themeColor="text1"/>
              <w:bottom w:val="nil"/>
              <w:right w:val="double" w:sz="4" w:space="0" w:color="000000" w:themeColor="text1"/>
            </w:tcBorders>
            <w:vAlign w:val="center"/>
          </w:tcPr>
          <w:p w14:paraId="29E5B054" w14:textId="57678EB5" w:rsidR="00114481" w:rsidRPr="00843651" w:rsidRDefault="00114481" w:rsidP="00114481">
            <w:pPr>
              <w:keepNext/>
              <w:keepLines/>
              <w:spacing w:before="40" w:after="40"/>
              <w:ind w:left="393"/>
              <w:jc w:val="both"/>
              <w:rPr>
                <w:rFonts w:ascii="Arial" w:hAnsi="Arial" w:cs="Arial"/>
                <w:sz w:val="18"/>
                <w:szCs w:val="18"/>
              </w:rPr>
            </w:pPr>
            <w:r w:rsidRPr="00843651">
              <w:rPr>
                <w:rFonts w:ascii="Arial" w:hAnsi="Arial" w:cs="Arial"/>
                <w:sz w:val="18"/>
                <w:szCs w:val="18"/>
              </w:rPr>
              <w:t xml:space="preserve">No </w:t>
            </w:r>
            <w:r>
              <w:rPr>
                <w:rFonts w:ascii="Arial" w:hAnsi="Arial" w:cs="Arial"/>
                <w:sz w:val="18"/>
                <w:szCs w:val="18"/>
              </w:rPr>
              <w:t>p</w:t>
            </w:r>
            <w:r w:rsidRPr="00843651">
              <w:rPr>
                <w:rFonts w:ascii="Arial" w:hAnsi="Arial" w:cs="Arial"/>
                <w:sz w:val="18"/>
                <w:szCs w:val="18"/>
              </w:rPr>
              <w:t>etroleras</w:t>
            </w:r>
          </w:p>
        </w:tc>
        <w:tc>
          <w:tcPr>
            <w:tcW w:w="1174" w:type="dxa"/>
            <w:tcBorders>
              <w:top w:val="nil"/>
              <w:left w:val="double" w:sz="4" w:space="0" w:color="000000" w:themeColor="text1"/>
              <w:bottom w:val="nil"/>
              <w:right w:val="nil"/>
            </w:tcBorders>
            <w:vAlign w:val="center"/>
          </w:tcPr>
          <w:p w14:paraId="203650F6" w14:textId="71912574" w:rsidR="00114481" w:rsidRPr="00F02BA8" w:rsidRDefault="00114481" w:rsidP="00114481">
            <w:pPr>
              <w:keepNext/>
              <w:keepLines/>
              <w:tabs>
                <w:tab w:val="decimal" w:pos="586"/>
              </w:tabs>
              <w:rPr>
                <w:rFonts w:ascii="Arial" w:hAnsi="Arial" w:cs="Arial"/>
                <w:bCs/>
                <w:sz w:val="18"/>
                <w:szCs w:val="18"/>
              </w:rPr>
            </w:pPr>
            <w:r w:rsidRPr="00F02BA8">
              <w:rPr>
                <w:rFonts w:ascii="Arial" w:hAnsi="Arial" w:cs="Arial"/>
                <w:sz w:val="18"/>
                <w:szCs w:val="18"/>
              </w:rPr>
              <w:t>351</w:t>
            </w:r>
            <w:r>
              <w:rPr>
                <w:rFonts w:ascii="Arial" w:hAnsi="Arial" w:cs="Arial"/>
                <w:sz w:val="18"/>
                <w:szCs w:val="18"/>
              </w:rPr>
              <w:t xml:space="preserve"> </w:t>
            </w:r>
            <w:r w:rsidRPr="00F02BA8">
              <w:rPr>
                <w:rFonts w:ascii="Arial" w:hAnsi="Arial" w:cs="Arial"/>
                <w:sz w:val="18"/>
                <w:szCs w:val="18"/>
              </w:rPr>
              <w:t>578</w:t>
            </w:r>
          </w:p>
        </w:tc>
        <w:tc>
          <w:tcPr>
            <w:tcW w:w="1174" w:type="dxa"/>
            <w:tcBorders>
              <w:top w:val="nil"/>
              <w:left w:val="nil"/>
              <w:bottom w:val="nil"/>
              <w:right w:val="double" w:sz="4" w:space="0" w:color="000000" w:themeColor="text1"/>
            </w:tcBorders>
            <w:vAlign w:val="center"/>
          </w:tcPr>
          <w:p w14:paraId="6B435023" w14:textId="71D75BE2" w:rsidR="00114481" w:rsidRPr="00F02BA8" w:rsidRDefault="00114481" w:rsidP="00114481">
            <w:pPr>
              <w:keepNext/>
              <w:keepLines/>
              <w:tabs>
                <w:tab w:val="decimal" w:pos="637"/>
              </w:tabs>
              <w:rPr>
                <w:rFonts w:ascii="Arial" w:hAnsi="Arial" w:cs="Arial"/>
                <w:bCs/>
                <w:sz w:val="18"/>
                <w:szCs w:val="18"/>
              </w:rPr>
            </w:pPr>
            <w:r w:rsidRPr="00F02BA8">
              <w:rPr>
                <w:rFonts w:ascii="Arial" w:hAnsi="Arial" w:cs="Arial"/>
                <w:sz w:val="18"/>
                <w:szCs w:val="18"/>
              </w:rPr>
              <w:t>451</w:t>
            </w:r>
            <w:r>
              <w:rPr>
                <w:rFonts w:ascii="Arial" w:hAnsi="Arial" w:cs="Arial"/>
                <w:sz w:val="18"/>
                <w:szCs w:val="18"/>
              </w:rPr>
              <w:t xml:space="preserve"> </w:t>
            </w:r>
            <w:r w:rsidRPr="00F02BA8">
              <w:rPr>
                <w:rFonts w:ascii="Arial" w:hAnsi="Arial" w:cs="Arial"/>
                <w:sz w:val="18"/>
                <w:szCs w:val="18"/>
              </w:rPr>
              <w:t>852</w:t>
            </w:r>
          </w:p>
        </w:tc>
        <w:tc>
          <w:tcPr>
            <w:tcW w:w="1174" w:type="dxa"/>
            <w:tcBorders>
              <w:top w:val="nil"/>
              <w:left w:val="double" w:sz="4" w:space="0" w:color="000000" w:themeColor="text1"/>
              <w:bottom w:val="nil"/>
              <w:right w:val="nil"/>
            </w:tcBorders>
            <w:vAlign w:val="center"/>
          </w:tcPr>
          <w:p w14:paraId="72D22574" w14:textId="0A5E3D88" w:rsidR="00114481" w:rsidRPr="00F02BA8" w:rsidRDefault="00114481" w:rsidP="00114481">
            <w:pPr>
              <w:keepNext/>
              <w:keepLines/>
              <w:tabs>
                <w:tab w:val="decimal" w:pos="631"/>
              </w:tabs>
              <w:rPr>
                <w:rFonts w:ascii="Arial" w:hAnsi="Arial" w:cs="Arial"/>
                <w:bCs/>
                <w:sz w:val="18"/>
                <w:szCs w:val="18"/>
              </w:rPr>
            </w:pPr>
            <w:r>
              <w:rPr>
                <w:rFonts w:ascii="Arial" w:hAnsi="Arial" w:cs="Arial"/>
                <w:sz w:val="18"/>
                <w:szCs w:val="18"/>
              </w:rPr>
              <w:t>48 584</w:t>
            </w:r>
          </w:p>
        </w:tc>
        <w:tc>
          <w:tcPr>
            <w:tcW w:w="1174" w:type="dxa"/>
            <w:tcBorders>
              <w:top w:val="nil"/>
              <w:left w:val="nil"/>
              <w:bottom w:val="nil"/>
              <w:right w:val="nil"/>
            </w:tcBorders>
            <w:vAlign w:val="center"/>
          </w:tcPr>
          <w:p w14:paraId="10664E79" w14:textId="19AA9358" w:rsidR="00114481" w:rsidRPr="00F02BA8" w:rsidRDefault="00114481" w:rsidP="00114481">
            <w:pPr>
              <w:keepNext/>
              <w:keepLines/>
              <w:tabs>
                <w:tab w:val="decimal" w:pos="529"/>
              </w:tabs>
              <w:rPr>
                <w:rFonts w:ascii="Arial" w:hAnsi="Arial" w:cs="Arial"/>
                <w:sz w:val="18"/>
                <w:szCs w:val="18"/>
              </w:rPr>
            </w:pPr>
            <w:r>
              <w:rPr>
                <w:rFonts w:ascii="Arial" w:hAnsi="Arial" w:cs="Arial"/>
                <w:sz w:val="18"/>
                <w:szCs w:val="18"/>
              </w:rPr>
              <w:t xml:space="preserve">46 369 </w:t>
            </w:r>
          </w:p>
        </w:tc>
        <w:tc>
          <w:tcPr>
            <w:tcW w:w="1174" w:type="dxa"/>
            <w:tcBorders>
              <w:top w:val="nil"/>
              <w:left w:val="nil"/>
              <w:bottom w:val="nil"/>
              <w:right w:val="nil"/>
            </w:tcBorders>
            <w:vAlign w:val="center"/>
          </w:tcPr>
          <w:p w14:paraId="2E0C542B" w14:textId="77792B90" w:rsidR="00114481" w:rsidRPr="00AE5270" w:rsidRDefault="00CC63B4" w:rsidP="00114481">
            <w:pPr>
              <w:keepNext/>
              <w:keepLines/>
              <w:ind w:right="201"/>
              <w:jc w:val="right"/>
              <w:rPr>
                <w:rFonts w:ascii="Arial" w:hAnsi="Arial" w:cs="Arial"/>
                <w:sz w:val="18"/>
                <w:szCs w:val="18"/>
              </w:rPr>
            </w:pPr>
            <w:r>
              <w:rPr>
                <w:rFonts w:ascii="Arial" w:hAnsi="Arial" w:cs="Arial"/>
                <w:sz w:val="18"/>
                <w:szCs w:val="18"/>
              </w:rPr>
              <w:t>45 977</w:t>
            </w:r>
            <w:r w:rsidR="00114481">
              <w:rPr>
                <w:rFonts w:ascii="Arial" w:hAnsi="Arial" w:cs="Arial"/>
                <w:sz w:val="18"/>
                <w:szCs w:val="18"/>
              </w:rPr>
              <w:t xml:space="preserve"> </w:t>
            </w:r>
          </w:p>
        </w:tc>
        <w:tc>
          <w:tcPr>
            <w:tcW w:w="1174" w:type="dxa"/>
            <w:tcBorders>
              <w:top w:val="nil"/>
              <w:left w:val="nil"/>
              <w:bottom w:val="nil"/>
              <w:right w:val="double" w:sz="4" w:space="0" w:color="000000" w:themeColor="text1"/>
            </w:tcBorders>
            <w:vAlign w:val="center"/>
          </w:tcPr>
          <w:p w14:paraId="54FAB455" w14:textId="19DDD9AA" w:rsidR="00114481" w:rsidRPr="00AE5270" w:rsidRDefault="00CC63B4" w:rsidP="00114481">
            <w:pPr>
              <w:keepNext/>
              <w:keepLines/>
              <w:ind w:right="170"/>
              <w:jc w:val="right"/>
              <w:rPr>
                <w:rFonts w:ascii="Arial" w:hAnsi="Arial" w:cs="Arial"/>
                <w:sz w:val="18"/>
                <w:szCs w:val="18"/>
              </w:rPr>
            </w:pPr>
            <w:r>
              <w:rPr>
                <w:rFonts w:ascii="Arial" w:hAnsi="Arial" w:cs="Arial"/>
                <w:sz w:val="18"/>
                <w:szCs w:val="18"/>
              </w:rPr>
              <w:t>442 419</w:t>
            </w:r>
          </w:p>
        </w:tc>
      </w:tr>
      <w:tr w:rsidR="00114481" w:rsidRPr="00843651" w14:paraId="79A375E0" w14:textId="30E4F998" w:rsidTr="00E605D2">
        <w:trPr>
          <w:jc w:val="center"/>
        </w:trPr>
        <w:tc>
          <w:tcPr>
            <w:tcW w:w="2681" w:type="dxa"/>
            <w:tcBorders>
              <w:top w:val="nil"/>
              <w:left w:val="double" w:sz="4" w:space="0" w:color="000000" w:themeColor="text1"/>
              <w:bottom w:val="nil"/>
              <w:right w:val="double" w:sz="4" w:space="0" w:color="000000" w:themeColor="text1"/>
            </w:tcBorders>
            <w:vAlign w:val="center"/>
          </w:tcPr>
          <w:p w14:paraId="211D66EA" w14:textId="3AD551C1" w:rsidR="00114481" w:rsidRPr="00843651" w:rsidRDefault="00114481" w:rsidP="00114481">
            <w:pPr>
              <w:keepNext/>
              <w:keepLines/>
              <w:spacing w:before="40" w:after="40"/>
              <w:ind w:left="183"/>
              <w:jc w:val="both"/>
              <w:rPr>
                <w:rFonts w:ascii="Arial" w:hAnsi="Arial" w:cs="Arial"/>
                <w:b/>
                <w:sz w:val="18"/>
                <w:szCs w:val="18"/>
              </w:rPr>
            </w:pPr>
            <w:r w:rsidRPr="00843651">
              <w:rPr>
                <w:rFonts w:ascii="Arial" w:hAnsi="Arial" w:cs="Arial"/>
                <w:b/>
                <w:sz w:val="18"/>
                <w:szCs w:val="18"/>
              </w:rPr>
              <w:t xml:space="preserve">Balanza </w:t>
            </w:r>
            <w:r>
              <w:rPr>
                <w:rFonts w:ascii="Arial" w:hAnsi="Arial" w:cs="Arial"/>
                <w:b/>
                <w:sz w:val="18"/>
                <w:szCs w:val="18"/>
              </w:rPr>
              <w:t>c</w:t>
            </w:r>
            <w:r w:rsidRPr="00843651">
              <w:rPr>
                <w:rFonts w:ascii="Arial" w:hAnsi="Arial" w:cs="Arial"/>
                <w:b/>
                <w:sz w:val="18"/>
                <w:szCs w:val="18"/>
              </w:rPr>
              <w:t xml:space="preserve">omercial </w:t>
            </w:r>
            <w:r>
              <w:rPr>
                <w:rFonts w:ascii="Arial" w:hAnsi="Arial" w:cs="Arial"/>
                <w:b/>
                <w:sz w:val="18"/>
                <w:szCs w:val="18"/>
              </w:rPr>
              <w:t>t</w:t>
            </w:r>
            <w:r w:rsidRPr="00843651">
              <w:rPr>
                <w:rFonts w:ascii="Arial" w:hAnsi="Arial" w:cs="Arial"/>
                <w:b/>
                <w:sz w:val="18"/>
                <w:szCs w:val="18"/>
              </w:rPr>
              <w:t>otal</w:t>
            </w:r>
          </w:p>
        </w:tc>
        <w:tc>
          <w:tcPr>
            <w:tcW w:w="1174" w:type="dxa"/>
            <w:tcBorders>
              <w:top w:val="nil"/>
              <w:left w:val="double" w:sz="4" w:space="0" w:color="000000" w:themeColor="text1"/>
              <w:bottom w:val="nil"/>
              <w:right w:val="nil"/>
            </w:tcBorders>
            <w:vAlign w:val="center"/>
          </w:tcPr>
          <w:p w14:paraId="50FCDE7F" w14:textId="638404E8" w:rsidR="00114481" w:rsidRPr="00F02BA8" w:rsidRDefault="00114481" w:rsidP="00114481">
            <w:pPr>
              <w:keepNext/>
              <w:keepLines/>
              <w:tabs>
                <w:tab w:val="decimal" w:pos="586"/>
              </w:tabs>
              <w:rPr>
                <w:rFonts w:ascii="Arial" w:hAnsi="Arial" w:cs="Arial"/>
                <w:b/>
                <w:bCs/>
                <w:sz w:val="18"/>
                <w:szCs w:val="18"/>
              </w:rPr>
            </w:pPr>
            <w:r w:rsidRPr="00F02BA8">
              <w:rPr>
                <w:rFonts w:ascii="Arial" w:hAnsi="Arial" w:cs="Arial"/>
                <w:b/>
                <w:bCs/>
                <w:sz w:val="18"/>
                <w:szCs w:val="18"/>
              </w:rPr>
              <w:t>34</w:t>
            </w:r>
            <w:r>
              <w:rPr>
                <w:rFonts w:ascii="Arial" w:hAnsi="Arial" w:cs="Arial"/>
                <w:b/>
                <w:bCs/>
                <w:sz w:val="18"/>
                <w:szCs w:val="18"/>
              </w:rPr>
              <w:t xml:space="preserve"> </w:t>
            </w:r>
            <w:r w:rsidRPr="00F02BA8">
              <w:rPr>
                <w:rFonts w:ascii="Arial" w:hAnsi="Arial" w:cs="Arial"/>
                <w:b/>
                <w:bCs/>
                <w:sz w:val="18"/>
                <w:szCs w:val="18"/>
              </w:rPr>
              <w:t>185</w:t>
            </w:r>
          </w:p>
        </w:tc>
        <w:tc>
          <w:tcPr>
            <w:tcW w:w="1174" w:type="dxa"/>
            <w:tcBorders>
              <w:top w:val="nil"/>
              <w:left w:val="nil"/>
              <w:bottom w:val="nil"/>
              <w:right w:val="double" w:sz="4" w:space="0" w:color="000000" w:themeColor="text1"/>
            </w:tcBorders>
            <w:vAlign w:val="center"/>
          </w:tcPr>
          <w:p w14:paraId="17F9A660" w14:textId="6DECF3BF" w:rsidR="00114481" w:rsidRPr="00F02BA8" w:rsidRDefault="00114481" w:rsidP="00114481">
            <w:pPr>
              <w:keepNext/>
              <w:keepLines/>
              <w:tabs>
                <w:tab w:val="decimal" w:pos="637"/>
              </w:tabs>
              <w:rPr>
                <w:rFonts w:ascii="Arial" w:hAnsi="Arial" w:cs="Arial"/>
                <w:b/>
                <w:bCs/>
                <w:sz w:val="18"/>
                <w:szCs w:val="18"/>
              </w:rPr>
            </w:pPr>
            <w:r w:rsidRPr="00F02BA8">
              <w:rPr>
                <w:rFonts w:ascii="Arial" w:hAnsi="Arial" w:cs="Arial"/>
                <w:b/>
                <w:bCs/>
                <w:sz w:val="18"/>
                <w:szCs w:val="18"/>
              </w:rPr>
              <w:t>-10</w:t>
            </w:r>
            <w:r>
              <w:rPr>
                <w:rFonts w:ascii="Arial" w:hAnsi="Arial" w:cs="Arial"/>
                <w:b/>
                <w:bCs/>
                <w:sz w:val="18"/>
                <w:szCs w:val="18"/>
              </w:rPr>
              <w:t xml:space="preserve"> </w:t>
            </w:r>
            <w:r w:rsidRPr="00F02BA8">
              <w:rPr>
                <w:rFonts w:ascii="Arial" w:hAnsi="Arial" w:cs="Arial"/>
                <w:b/>
                <w:bCs/>
                <w:sz w:val="18"/>
                <w:szCs w:val="18"/>
              </w:rPr>
              <w:t>939</w:t>
            </w:r>
          </w:p>
        </w:tc>
        <w:tc>
          <w:tcPr>
            <w:tcW w:w="1174" w:type="dxa"/>
            <w:tcBorders>
              <w:top w:val="nil"/>
              <w:left w:val="double" w:sz="4" w:space="0" w:color="000000" w:themeColor="text1"/>
              <w:bottom w:val="nil"/>
              <w:right w:val="nil"/>
            </w:tcBorders>
            <w:vAlign w:val="center"/>
          </w:tcPr>
          <w:p w14:paraId="5C6A8676" w14:textId="10692989" w:rsidR="00114481" w:rsidRPr="00F02BA8" w:rsidRDefault="00114481" w:rsidP="00114481">
            <w:pPr>
              <w:keepNext/>
              <w:keepLines/>
              <w:tabs>
                <w:tab w:val="decimal" w:pos="612"/>
              </w:tabs>
              <w:rPr>
                <w:rFonts w:ascii="Arial" w:hAnsi="Arial" w:cs="Arial"/>
                <w:b/>
                <w:sz w:val="18"/>
                <w:szCs w:val="18"/>
              </w:rPr>
            </w:pPr>
            <w:r w:rsidRPr="00AE5270">
              <w:rPr>
                <w:rFonts w:ascii="Arial" w:hAnsi="Arial" w:cs="Arial"/>
                <w:b/>
                <w:bCs/>
                <w:sz w:val="18"/>
                <w:szCs w:val="18"/>
              </w:rPr>
              <w:t>-</w:t>
            </w:r>
            <w:r>
              <w:rPr>
                <w:rFonts w:ascii="Arial" w:hAnsi="Arial" w:cs="Arial"/>
                <w:b/>
                <w:bCs/>
                <w:sz w:val="18"/>
                <w:szCs w:val="18"/>
              </w:rPr>
              <w:t>5 498</w:t>
            </w:r>
          </w:p>
        </w:tc>
        <w:tc>
          <w:tcPr>
            <w:tcW w:w="1174" w:type="dxa"/>
            <w:tcBorders>
              <w:top w:val="nil"/>
              <w:left w:val="nil"/>
              <w:bottom w:val="nil"/>
              <w:right w:val="nil"/>
            </w:tcBorders>
            <w:vAlign w:val="center"/>
          </w:tcPr>
          <w:p w14:paraId="5F707E20" w14:textId="0079314E" w:rsidR="00114481" w:rsidRPr="00F02BA8" w:rsidRDefault="00114481" w:rsidP="00CC63B4">
            <w:pPr>
              <w:keepNext/>
              <w:keepLines/>
              <w:tabs>
                <w:tab w:val="decimal" w:pos="863"/>
              </w:tabs>
              <w:rPr>
                <w:rFonts w:ascii="Arial" w:hAnsi="Arial" w:cs="Arial"/>
                <w:b/>
                <w:bCs/>
                <w:sz w:val="18"/>
                <w:szCs w:val="18"/>
              </w:rPr>
            </w:pPr>
            <w:r w:rsidRPr="00AE5270">
              <w:rPr>
                <w:rFonts w:ascii="Arial" w:hAnsi="Arial" w:cs="Arial"/>
                <w:b/>
                <w:bCs/>
                <w:sz w:val="18"/>
                <w:szCs w:val="18"/>
              </w:rPr>
              <w:t>-</w:t>
            </w:r>
            <w:r>
              <w:rPr>
                <w:rFonts w:ascii="Arial" w:hAnsi="Arial" w:cs="Arial"/>
                <w:b/>
                <w:bCs/>
                <w:sz w:val="18"/>
                <w:szCs w:val="18"/>
              </w:rPr>
              <w:t>895</w:t>
            </w:r>
          </w:p>
        </w:tc>
        <w:tc>
          <w:tcPr>
            <w:tcW w:w="1174" w:type="dxa"/>
            <w:tcBorders>
              <w:top w:val="nil"/>
              <w:left w:val="nil"/>
              <w:bottom w:val="nil"/>
              <w:right w:val="nil"/>
            </w:tcBorders>
            <w:vAlign w:val="center"/>
          </w:tcPr>
          <w:p w14:paraId="3A7F045A" w14:textId="2F715C21" w:rsidR="00114481" w:rsidRPr="00AE5270" w:rsidRDefault="00114481" w:rsidP="00114481">
            <w:pPr>
              <w:keepNext/>
              <w:keepLines/>
              <w:ind w:right="201"/>
              <w:jc w:val="right"/>
              <w:rPr>
                <w:rFonts w:ascii="Arial" w:hAnsi="Arial" w:cs="Arial"/>
                <w:b/>
                <w:bCs/>
                <w:sz w:val="18"/>
                <w:szCs w:val="18"/>
              </w:rPr>
            </w:pPr>
            <w:r w:rsidRPr="00AE5270">
              <w:rPr>
                <w:rFonts w:ascii="Arial" w:hAnsi="Arial" w:cs="Arial"/>
                <w:b/>
                <w:bCs/>
                <w:sz w:val="18"/>
                <w:szCs w:val="18"/>
              </w:rPr>
              <w:t>-</w:t>
            </w:r>
            <w:r w:rsidR="00CC63B4">
              <w:rPr>
                <w:rFonts w:ascii="Arial" w:hAnsi="Arial" w:cs="Arial"/>
                <w:b/>
                <w:bCs/>
                <w:sz w:val="18"/>
                <w:szCs w:val="18"/>
              </w:rPr>
              <w:t>2 012</w:t>
            </w:r>
          </w:p>
        </w:tc>
        <w:tc>
          <w:tcPr>
            <w:tcW w:w="1174" w:type="dxa"/>
            <w:tcBorders>
              <w:top w:val="nil"/>
              <w:left w:val="nil"/>
              <w:bottom w:val="nil"/>
              <w:right w:val="double" w:sz="4" w:space="0" w:color="000000" w:themeColor="text1"/>
            </w:tcBorders>
            <w:vAlign w:val="center"/>
          </w:tcPr>
          <w:p w14:paraId="5B481874" w14:textId="598F37CA" w:rsidR="00114481" w:rsidRPr="00AE5270" w:rsidRDefault="00114481" w:rsidP="00114481">
            <w:pPr>
              <w:keepNext/>
              <w:keepLines/>
              <w:ind w:right="170"/>
              <w:jc w:val="right"/>
              <w:rPr>
                <w:rFonts w:ascii="Arial" w:hAnsi="Arial" w:cs="Arial"/>
                <w:b/>
                <w:bCs/>
                <w:sz w:val="18"/>
                <w:szCs w:val="18"/>
              </w:rPr>
            </w:pPr>
            <w:r w:rsidRPr="00AE5270">
              <w:rPr>
                <w:rFonts w:ascii="Arial" w:hAnsi="Arial" w:cs="Arial"/>
                <w:b/>
                <w:bCs/>
                <w:sz w:val="18"/>
                <w:szCs w:val="18"/>
              </w:rPr>
              <w:t>-</w:t>
            </w:r>
            <w:r>
              <w:rPr>
                <w:rFonts w:ascii="Arial" w:hAnsi="Arial" w:cs="Arial"/>
                <w:b/>
                <w:bCs/>
                <w:sz w:val="18"/>
                <w:szCs w:val="18"/>
              </w:rPr>
              <w:t>2</w:t>
            </w:r>
            <w:r w:rsidR="00CC63B4">
              <w:rPr>
                <w:rFonts w:ascii="Arial" w:hAnsi="Arial" w:cs="Arial"/>
                <w:b/>
                <w:bCs/>
                <w:sz w:val="18"/>
                <w:szCs w:val="18"/>
              </w:rPr>
              <w:t>7</w:t>
            </w:r>
            <w:r>
              <w:rPr>
                <w:rFonts w:ascii="Arial" w:hAnsi="Arial" w:cs="Arial"/>
                <w:b/>
                <w:bCs/>
                <w:sz w:val="18"/>
                <w:szCs w:val="18"/>
              </w:rPr>
              <w:t xml:space="preserve"> </w:t>
            </w:r>
            <w:r w:rsidR="00CC63B4">
              <w:rPr>
                <w:rFonts w:ascii="Arial" w:hAnsi="Arial" w:cs="Arial"/>
                <w:b/>
                <w:bCs/>
                <w:sz w:val="18"/>
                <w:szCs w:val="18"/>
              </w:rPr>
              <w:t>309</w:t>
            </w:r>
          </w:p>
        </w:tc>
      </w:tr>
      <w:tr w:rsidR="00114481" w:rsidRPr="00843651" w14:paraId="4B624851" w14:textId="77DF0AFB" w:rsidTr="00E605D2">
        <w:trPr>
          <w:jc w:val="center"/>
        </w:trPr>
        <w:tc>
          <w:tcPr>
            <w:tcW w:w="2681" w:type="dxa"/>
            <w:tcBorders>
              <w:top w:val="nil"/>
              <w:left w:val="double" w:sz="4" w:space="0" w:color="000000" w:themeColor="text1"/>
              <w:bottom w:val="nil"/>
              <w:right w:val="double" w:sz="4" w:space="0" w:color="000000" w:themeColor="text1"/>
            </w:tcBorders>
            <w:vAlign w:val="center"/>
          </w:tcPr>
          <w:p w14:paraId="0EEE13EE" w14:textId="77777777" w:rsidR="00114481" w:rsidRPr="00843651" w:rsidRDefault="00114481" w:rsidP="00114481">
            <w:pPr>
              <w:keepNext/>
              <w:keepLines/>
              <w:spacing w:before="40" w:after="40"/>
              <w:ind w:left="393"/>
              <w:jc w:val="both"/>
              <w:rPr>
                <w:rFonts w:ascii="Arial" w:hAnsi="Arial" w:cs="Arial"/>
                <w:sz w:val="18"/>
                <w:szCs w:val="18"/>
              </w:rPr>
            </w:pPr>
            <w:r w:rsidRPr="00843651">
              <w:rPr>
                <w:rFonts w:ascii="Arial" w:hAnsi="Arial" w:cs="Arial"/>
                <w:sz w:val="18"/>
                <w:szCs w:val="18"/>
              </w:rPr>
              <w:t>Petrolera</w:t>
            </w:r>
          </w:p>
        </w:tc>
        <w:tc>
          <w:tcPr>
            <w:tcW w:w="1174" w:type="dxa"/>
            <w:tcBorders>
              <w:top w:val="nil"/>
              <w:left w:val="double" w:sz="4" w:space="0" w:color="000000" w:themeColor="text1"/>
              <w:bottom w:val="nil"/>
              <w:right w:val="nil"/>
            </w:tcBorders>
            <w:vAlign w:val="center"/>
          </w:tcPr>
          <w:p w14:paraId="08F74609" w14:textId="30F21426" w:rsidR="00114481" w:rsidRPr="00F02BA8" w:rsidRDefault="00114481" w:rsidP="00114481">
            <w:pPr>
              <w:keepNext/>
              <w:keepLines/>
              <w:tabs>
                <w:tab w:val="decimal" w:pos="586"/>
              </w:tabs>
              <w:rPr>
                <w:rFonts w:ascii="Arial" w:hAnsi="Arial" w:cs="Arial"/>
                <w:bCs/>
                <w:sz w:val="18"/>
                <w:szCs w:val="18"/>
              </w:rPr>
            </w:pPr>
            <w:r w:rsidRPr="00F02BA8">
              <w:rPr>
                <w:rFonts w:ascii="Arial" w:hAnsi="Arial" w:cs="Arial"/>
                <w:sz w:val="18"/>
                <w:szCs w:val="18"/>
              </w:rPr>
              <w:t>-13</w:t>
            </w:r>
            <w:r>
              <w:rPr>
                <w:rFonts w:ascii="Arial" w:hAnsi="Arial" w:cs="Arial"/>
                <w:sz w:val="18"/>
                <w:szCs w:val="18"/>
              </w:rPr>
              <w:t xml:space="preserve"> </w:t>
            </w:r>
            <w:r w:rsidRPr="00F02BA8">
              <w:rPr>
                <w:rFonts w:ascii="Arial" w:hAnsi="Arial" w:cs="Arial"/>
                <w:sz w:val="18"/>
                <w:szCs w:val="18"/>
              </w:rPr>
              <w:t>753</w:t>
            </w:r>
          </w:p>
        </w:tc>
        <w:tc>
          <w:tcPr>
            <w:tcW w:w="1174" w:type="dxa"/>
            <w:tcBorders>
              <w:top w:val="nil"/>
              <w:left w:val="nil"/>
              <w:bottom w:val="nil"/>
              <w:right w:val="double" w:sz="4" w:space="0" w:color="000000" w:themeColor="text1"/>
            </w:tcBorders>
            <w:vAlign w:val="center"/>
          </w:tcPr>
          <w:p w14:paraId="57D163B4" w14:textId="364FCFF6" w:rsidR="00114481" w:rsidRPr="00F02BA8" w:rsidRDefault="00114481" w:rsidP="00114481">
            <w:pPr>
              <w:keepNext/>
              <w:keepLines/>
              <w:tabs>
                <w:tab w:val="decimal" w:pos="637"/>
              </w:tabs>
              <w:rPr>
                <w:rFonts w:ascii="Arial" w:hAnsi="Arial" w:cs="Arial"/>
                <w:bCs/>
                <w:sz w:val="18"/>
                <w:szCs w:val="18"/>
              </w:rPr>
            </w:pPr>
            <w:r w:rsidRPr="00F02BA8">
              <w:rPr>
                <w:rFonts w:ascii="Arial" w:hAnsi="Arial" w:cs="Arial"/>
                <w:sz w:val="18"/>
                <w:szCs w:val="18"/>
              </w:rPr>
              <w:t>-24</w:t>
            </w:r>
            <w:r>
              <w:rPr>
                <w:rFonts w:ascii="Arial" w:hAnsi="Arial" w:cs="Arial"/>
                <w:sz w:val="18"/>
                <w:szCs w:val="18"/>
              </w:rPr>
              <w:t xml:space="preserve"> </w:t>
            </w:r>
            <w:r w:rsidRPr="00F02BA8">
              <w:rPr>
                <w:rFonts w:ascii="Arial" w:hAnsi="Arial" w:cs="Arial"/>
                <w:sz w:val="18"/>
                <w:szCs w:val="18"/>
              </w:rPr>
              <w:t>635</w:t>
            </w:r>
          </w:p>
        </w:tc>
        <w:tc>
          <w:tcPr>
            <w:tcW w:w="1174" w:type="dxa"/>
            <w:tcBorders>
              <w:top w:val="nil"/>
              <w:left w:val="double" w:sz="4" w:space="0" w:color="000000" w:themeColor="text1"/>
              <w:bottom w:val="nil"/>
              <w:right w:val="nil"/>
            </w:tcBorders>
            <w:vAlign w:val="center"/>
          </w:tcPr>
          <w:p w14:paraId="2B4B8E94" w14:textId="7A675DB7" w:rsidR="00114481" w:rsidRPr="00F02BA8" w:rsidRDefault="00114481" w:rsidP="00114481">
            <w:pPr>
              <w:keepNext/>
              <w:keepLines/>
              <w:tabs>
                <w:tab w:val="decimal" w:pos="631"/>
              </w:tabs>
              <w:rPr>
                <w:rFonts w:ascii="Arial" w:hAnsi="Arial" w:cs="Arial"/>
                <w:bCs/>
                <w:sz w:val="18"/>
                <w:szCs w:val="18"/>
              </w:rPr>
            </w:pPr>
            <w:r w:rsidRPr="00AE5270">
              <w:rPr>
                <w:rFonts w:ascii="Arial" w:hAnsi="Arial" w:cs="Arial"/>
                <w:sz w:val="18"/>
                <w:szCs w:val="18"/>
              </w:rPr>
              <w:t>-</w:t>
            </w:r>
            <w:r>
              <w:rPr>
                <w:rFonts w:ascii="Arial" w:hAnsi="Arial" w:cs="Arial"/>
                <w:sz w:val="18"/>
                <w:szCs w:val="18"/>
              </w:rPr>
              <w:t>4 370</w:t>
            </w:r>
          </w:p>
        </w:tc>
        <w:tc>
          <w:tcPr>
            <w:tcW w:w="1174" w:type="dxa"/>
            <w:tcBorders>
              <w:top w:val="nil"/>
              <w:left w:val="nil"/>
              <w:bottom w:val="nil"/>
              <w:right w:val="nil"/>
            </w:tcBorders>
            <w:vAlign w:val="center"/>
          </w:tcPr>
          <w:p w14:paraId="16EADE63" w14:textId="4337145C" w:rsidR="00114481" w:rsidRPr="00F02BA8" w:rsidRDefault="00114481" w:rsidP="00114481">
            <w:pPr>
              <w:keepNext/>
              <w:keepLines/>
              <w:tabs>
                <w:tab w:val="decimal" w:pos="529"/>
              </w:tabs>
              <w:rPr>
                <w:rFonts w:ascii="Arial" w:hAnsi="Arial" w:cs="Arial"/>
                <w:sz w:val="18"/>
                <w:szCs w:val="18"/>
              </w:rPr>
            </w:pPr>
            <w:r w:rsidRPr="00AE5270">
              <w:rPr>
                <w:rFonts w:ascii="Arial" w:hAnsi="Arial" w:cs="Arial"/>
                <w:sz w:val="18"/>
                <w:szCs w:val="18"/>
              </w:rPr>
              <w:t>-</w:t>
            </w:r>
            <w:r>
              <w:rPr>
                <w:rFonts w:ascii="Arial" w:hAnsi="Arial" w:cs="Arial"/>
                <w:sz w:val="18"/>
                <w:szCs w:val="18"/>
              </w:rPr>
              <w:t>3 603</w:t>
            </w:r>
          </w:p>
        </w:tc>
        <w:tc>
          <w:tcPr>
            <w:tcW w:w="1174" w:type="dxa"/>
            <w:tcBorders>
              <w:top w:val="nil"/>
              <w:left w:val="nil"/>
              <w:bottom w:val="nil"/>
              <w:right w:val="nil"/>
            </w:tcBorders>
            <w:vAlign w:val="center"/>
          </w:tcPr>
          <w:p w14:paraId="0BDFBE8C" w14:textId="05341F67" w:rsidR="00114481" w:rsidRPr="00AE5270" w:rsidRDefault="00114481" w:rsidP="00114481">
            <w:pPr>
              <w:keepNext/>
              <w:keepLines/>
              <w:ind w:right="201"/>
              <w:jc w:val="right"/>
              <w:rPr>
                <w:rFonts w:ascii="Arial" w:hAnsi="Arial" w:cs="Arial"/>
                <w:sz w:val="18"/>
                <w:szCs w:val="18"/>
              </w:rPr>
            </w:pPr>
            <w:r w:rsidRPr="00AE5270">
              <w:rPr>
                <w:rFonts w:ascii="Arial" w:hAnsi="Arial" w:cs="Arial"/>
                <w:sz w:val="18"/>
                <w:szCs w:val="18"/>
              </w:rPr>
              <w:t>-</w:t>
            </w:r>
            <w:r w:rsidR="00CC63B4">
              <w:rPr>
                <w:rFonts w:ascii="Arial" w:hAnsi="Arial" w:cs="Arial"/>
                <w:sz w:val="18"/>
                <w:szCs w:val="18"/>
              </w:rPr>
              <w:t>2 418</w:t>
            </w:r>
          </w:p>
        </w:tc>
        <w:tc>
          <w:tcPr>
            <w:tcW w:w="1174" w:type="dxa"/>
            <w:tcBorders>
              <w:top w:val="nil"/>
              <w:left w:val="nil"/>
              <w:bottom w:val="nil"/>
              <w:right w:val="double" w:sz="4" w:space="0" w:color="000000" w:themeColor="text1"/>
            </w:tcBorders>
            <w:vAlign w:val="center"/>
          </w:tcPr>
          <w:p w14:paraId="42B52E27" w14:textId="05173450" w:rsidR="00114481" w:rsidRPr="00AE5270" w:rsidRDefault="00114481" w:rsidP="00114481">
            <w:pPr>
              <w:keepNext/>
              <w:keepLines/>
              <w:ind w:right="170"/>
              <w:jc w:val="right"/>
              <w:rPr>
                <w:rFonts w:ascii="Arial" w:hAnsi="Arial" w:cs="Arial"/>
                <w:sz w:val="18"/>
                <w:szCs w:val="18"/>
              </w:rPr>
            </w:pPr>
            <w:r w:rsidRPr="00AE5270">
              <w:rPr>
                <w:rFonts w:ascii="Arial" w:hAnsi="Arial" w:cs="Arial"/>
                <w:sz w:val="18"/>
                <w:szCs w:val="18"/>
              </w:rPr>
              <w:t>-</w:t>
            </w:r>
            <w:r w:rsidR="00CC63B4">
              <w:rPr>
                <w:rFonts w:ascii="Arial" w:hAnsi="Arial" w:cs="Arial"/>
                <w:sz w:val="18"/>
                <w:szCs w:val="18"/>
              </w:rPr>
              <w:t>30 558</w:t>
            </w:r>
          </w:p>
        </w:tc>
      </w:tr>
      <w:tr w:rsidR="00114481" w:rsidRPr="00843651" w14:paraId="7494F75E" w14:textId="3BB86875" w:rsidTr="00E605D2">
        <w:trPr>
          <w:jc w:val="center"/>
        </w:trPr>
        <w:tc>
          <w:tcPr>
            <w:tcW w:w="2681" w:type="dxa"/>
            <w:tcBorders>
              <w:top w:val="nil"/>
              <w:left w:val="double" w:sz="4" w:space="0" w:color="000000" w:themeColor="text1"/>
              <w:bottom w:val="double" w:sz="4" w:space="0" w:color="000000" w:themeColor="text1"/>
              <w:right w:val="double" w:sz="4" w:space="0" w:color="000000" w:themeColor="text1"/>
            </w:tcBorders>
            <w:vAlign w:val="center"/>
          </w:tcPr>
          <w:p w14:paraId="147D28CA" w14:textId="4AB762DF" w:rsidR="00114481" w:rsidRPr="00843651" w:rsidRDefault="00114481" w:rsidP="00114481">
            <w:pPr>
              <w:keepNext/>
              <w:keepLines/>
              <w:spacing w:before="40" w:after="40"/>
              <w:ind w:left="393"/>
              <w:jc w:val="both"/>
              <w:rPr>
                <w:rFonts w:ascii="Arial" w:hAnsi="Arial" w:cs="Arial"/>
                <w:sz w:val="18"/>
                <w:szCs w:val="18"/>
              </w:rPr>
            </w:pPr>
            <w:r w:rsidRPr="00843651">
              <w:rPr>
                <w:rFonts w:ascii="Arial" w:hAnsi="Arial" w:cs="Arial"/>
                <w:sz w:val="18"/>
                <w:szCs w:val="18"/>
              </w:rPr>
              <w:t xml:space="preserve">No </w:t>
            </w:r>
            <w:r>
              <w:rPr>
                <w:rFonts w:ascii="Arial" w:hAnsi="Arial" w:cs="Arial"/>
                <w:sz w:val="18"/>
                <w:szCs w:val="18"/>
              </w:rPr>
              <w:t>p</w:t>
            </w:r>
            <w:r w:rsidRPr="00843651">
              <w:rPr>
                <w:rFonts w:ascii="Arial" w:hAnsi="Arial" w:cs="Arial"/>
                <w:sz w:val="18"/>
                <w:szCs w:val="18"/>
              </w:rPr>
              <w:t>etrolera</w:t>
            </w:r>
          </w:p>
        </w:tc>
        <w:tc>
          <w:tcPr>
            <w:tcW w:w="1174" w:type="dxa"/>
            <w:tcBorders>
              <w:top w:val="nil"/>
              <w:left w:val="double" w:sz="4" w:space="0" w:color="000000" w:themeColor="text1"/>
              <w:bottom w:val="double" w:sz="4" w:space="0" w:color="000000" w:themeColor="text1"/>
              <w:right w:val="nil"/>
            </w:tcBorders>
            <w:vAlign w:val="center"/>
          </w:tcPr>
          <w:p w14:paraId="03CACF76" w14:textId="3FF2F14F" w:rsidR="00114481" w:rsidRPr="00F02BA8" w:rsidRDefault="00114481" w:rsidP="00114481">
            <w:pPr>
              <w:keepNext/>
              <w:keepLines/>
              <w:tabs>
                <w:tab w:val="decimal" w:pos="586"/>
              </w:tabs>
              <w:rPr>
                <w:rFonts w:ascii="Arial" w:hAnsi="Arial" w:cs="Arial"/>
                <w:bCs/>
                <w:sz w:val="18"/>
                <w:szCs w:val="18"/>
              </w:rPr>
            </w:pPr>
            <w:r w:rsidRPr="00F02BA8">
              <w:rPr>
                <w:rFonts w:ascii="Arial" w:hAnsi="Arial" w:cs="Arial"/>
                <w:sz w:val="18"/>
                <w:szCs w:val="18"/>
              </w:rPr>
              <w:t>47</w:t>
            </w:r>
            <w:r>
              <w:rPr>
                <w:rFonts w:ascii="Arial" w:hAnsi="Arial" w:cs="Arial"/>
                <w:sz w:val="18"/>
                <w:szCs w:val="18"/>
              </w:rPr>
              <w:t xml:space="preserve"> </w:t>
            </w:r>
            <w:r w:rsidRPr="00F02BA8">
              <w:rPr>
                <w:rFonts w:ascii="Arial" w:hAnsi="Arial" w:cs="Arial"/>
                <w:sz w:val="18"/>
                <w:szCs w:val="18"/>
              </w:rPr>
              <w:t>938</w:t>
            </w:r>
          </w:p>
        </w:tc>
        <w:tc>
          <w:tcPr>
            <w:tcW w:w="1174" w:type="dxa"/>
            <w:tcBorders>
              <w:top w:val="nil"/>
              <w:left w:val="nil"/>
              <w:bottom w:val="double" w:sz="4" w:space="0" w:color="000000" w:themeColor="text1"/>
              <w:right w:val="double" w:sz="4" w:space="0" w:color="000000" w:themeColor="text1"/>
            </w:tcBorders>
            <w:vAlign w:val="center"/>
          </w:tcPr>
          <w:p w14:paraId="1F93AD90" w14:textId="2EE9E7A9" w:rsidR="00114481" w:rsidRPr="00F02BA8" w:rsidRDefault="00114481" w:rsidP="00114481">
            <w:pPr>
              <w:keepNext/>
              <w:keepLines/>
              <w:tabs>
                <w:tab w:val="decimal" w:pos="637"/>
              </w:tabs>
              <w:rPr>
                <w:rFonts w:ascii="Arial" w:hAnsi="Arial" w:cs="Arial"/>
                <w:bCs/>
                <w:sz w:val="18"/>
                <w:szCs w:val="18"/>
              </w:rPr>
            </w:pPr>
            <w:r w:rsidRPr="00F02BA8">
              <w:rPr>
                <w:rFonts w:ascii="Arial" w:hAnsi="Arial" w:cs="Arial"/>
                <w:sz w:val="18"/>
                <w:szCs w:val="18"/>
              </w:rPr>
              <w:t>13</w:t>
            </w:r>
            <w:r>
              <w:rPr>
                <w:rFonts w:ascii="Arial" w:hAnsi="Arial" w:cs="Arial"/>
                <w:sz w:val="18"/>
                <w:szCs w:val="18"/>
              </w:rPr>
              <w:t xml:space="preserve"> </w:t>
            </w:r>
            <w:r w:rsidRPr="00F02BA8">
              <w:rPr>
                <w:rFonts w:ascii="Arial" w:hAnsi="Arial" w:cs="Arial"/>
                <w:sz w:val="18"/>
                <w:szCs w:val="18"/>
              </w:rPr>
              <w:t>696</w:t>
            </w:r>
          </w:p>
        </w:tc>
        <w:tc>
          <w:tcPr>
            <w:tcW w:w="1174" w:type="dxa"/>
            <w:tcBorders>
              <w:top w:val="nil"/>
              <w:left w:val="double" w:sz="4" w:space="0" w:color="000000" w:themeColor="text1"/>
              <w:bottom w:val="double" w:sz="4" w:space="0" w:color="000000" w:themeColor="text1"/>
              <w:right w:val="nil"/>
            </w:tcBorders>
            <w:vAlign w:val="center"/>
          </w:tcPr>
          <w:p w14:paraId="5F52B489" w14:textId="415B0525" w:rsidR="00114481" w:rsidRPr="00F02BA8" w:rsidRDefault="00114481" w:rsidP="00114481">
            <w:pPr>
              <w:keepNext/>
              <w:keepLines/>
              <w:tabs>
                <w:tab w:val="decimal" w:pos="615"/>
              </w:tabs>
              <w:rPr>
                <w:rFonts w:ascii="Arial" w:hAnsi="Arial" w:cs="Arial"/>
                <w:bCs/>
                <w:sz w:val="18"/>
                <w:szCs w:val="18"/>
              </w:rPr>
            </w:pPr>
            <w:r w:rsidRPr="00AE5270">
              <w:rPr>
                <w:rFonts w:ascii="Arial" w:hAnsi="Arial" w:cs="Arial"/>
                <w:sz w:val="18"/>
                <w:szCs w:val="18"/>
              </w:rPr>
              <w:t>-1</w:t>
            </w:r>
            <w:r>
              <w:rPr>
                <w:rFonts w:ascii="Arial" w:hAnsi="Arial" w:cs="Arial"/>
                <w:sz w:val="18"/>
                <w:szCs w:val="18"/>
              </w:rPr>
              <w:t xml:space="preserve"> 129</w:t>
            </w:r>
          </w:p>
        </w:tc>
        <w:tc>
          <w:tcPr>
            <w:tcW w:w="1174" w:type="dxa"/>
            <w:tcBorders>
              <w:top w:val="nil"/>
              <w:left w:val="nil"/>
              <w:bottom w:val="double" w:sz="4" w:space="0" w:color="000000" w:themeColor="text1"/>
              <w:right w:val="nil"/>
            </w:tcBorders>
            <w:vAlign w:val="center"/>
          </w:tcPr>
          <w:p w14:paraId="7F763324" w14:textId="6A0618A9" w:rsidR="00114481" w:rsidRPr="00F02BA8" w:rsidRDefault="00114481" w:rsidP="00114481">
            <w:pPr>
              <w:keepNext/>
              <w:keepLines/>
              <w:tabs>
                <w:tab w:val="decimal" w:pos="529"/>
              </w:tabs>
              <w:rPr>
                <w:rFonts w:ascii="Arial" w:hAnsi="Arial" w:cs="Arial"/>
                <w:sz w:val="18"/>
                <w:szCs w:val="18"/>
              </w:rPr>
            </w:pPr>
            <w:r>
              <w:rPr>
                <w:rFonts w:ascii="Arial" w:hAnsi="Arial" w:cs="Arial"/>
                <w:sz w:val="18"/>
                <w:szCs w:val="18"/>
              </w:rPr>
              <w:t>2 708</w:t>
            </w:r>
          </w:p>
        </w:tc>
        <w:tc>
          <w:tcPr>
            <w:tcW w:w="1174" w:type="dxa"/>
            <w:tcBorders>
              <w:top w:val="nil"/>
              <w:left w:val="nil"/>
              <w:bottom w:val="double" w:sz="4" w:space="0" w:color="000000" w:themeColor="text1"/>
              <w:right w:val="nil"/>
            </w:tcBorders>
            <w:vAlign w:val="center"/>
          </w:tcPr>
          <w:p w14:paraId="3D5DB369" w14:textId="0E3C6379" w:rsidR="00114481" w:rsidRPr="00AE5270" w:rsidRDefault="00CC63B4" w:rsidP="00114481">
            <w:pPr>
              <w:keepNext/>
              <w:keepLines/>
              <w:ind w:right="201"/>
              <w:jc w:val="right"/>
              <w:rPr>
                <w:rFonts w:ascii="Arial" w:hAnsi="Arial" w:cs="Arial"/>
                <w:sz w:val="18"/>
                <w:szCs w:val="18"/>
              </w:rPr>
            </w:pPr>
            <w:r>
              <w:rPr>
                <w:rFonts w:ascii="Arial" w:hAnsi="Arial" w:cs="Arial"/>
                <w:sz w:val="18"/>
                <w:szCs w:val="18"/>
              </w:rPr>
              <w:t>406</w:t>
            </w:r>
          </w:p>
        </w:tc>
        <w:tc>
          <w:tcPr>
            <w:tcW w:w="1174" w:type="dxa"/>
            <w:tcBorders>
              <w:top w:val="nil"/>
              <w:left w:val="nil"/>
              <w:bottom w:val="double" w:sz="4" w:space="0" w:color="000000" w:themeColor="text1"/>
              <w:right w:val="double" w:sz="4" w:space="0" w:color="000000" w:themeColor="text1"/>
            </w:tcBorders>
            <w:vAlign w:val="center"/>
          </w:tcPr>
          <w:p w14:paraId="2C8C25A0" w14:textId="5E41D0CB" w:rsidR="00114481" w:rsidRPr="00AE5270" w:rsidRDefault="00CC63B4" w:rsidP="00114481">
            <w:pPr>
              <w:keepNext/>
              <w:keepLines/>
              <w:ind w:right="170"/>
              <w:jc w:val="right"/>
              <w:rPr>
                <w:rFonts w:ascii="Arial" w:hAnsi="Arial" w:cs="Arial"/>
                <w:sz w:val="18"/>
                <w:szCs w:val="18"/>
              </w:rPr>
            </w:pPr>
            <w:r>
              <w:rPr>
                <w:rFonts w:ascii="Arial" w:hAnsi="Arial" w:cs="Arial"/>
                <w:sz w:val="18"/>
                <w:szCs w:val="18"/>
              </w:rPr>
              <w:t>3 249</w:t>
            </w:r>
          </w:p>
        </w:tc>
      </w:tr>
    </w:tbl>
    <w:p w14:paraId="5CBFDA3D" w14:textId="77777777" w:rsidR="00306964" w:rsidRPr="00EA4078" w:rsidRDefault="00C5486F" w:rsidP="00DC071A">
      <w:pPr>
        <w:pStyle w:val="Textoindependiente211"/>
        <w:numPr>
          <w:ilvl w:val="12"/>
          <w:numId w:val="0"/>
        </w:numPr>
        <w:spacing w:after="0"/>
        <w:rPr>
          <w:rFonts w:cs="Arial"/>
          <w:color w:val="000000" w:themeColor="text1"/>
          <w:sz w:val="16"/>
          <w:szCs w:val="16"/>
        </w:rPr>
      </w:pPr>
      <w:r w:rsidRPr="00EA4078">
        <w:rPr>
          <w:rFonts w:cs="Arial"/>
          <w:color w:val="000000" w:themeColor="text1"/>
          <w:sz w:val="16"/>
          <w:szCs w:val="16"/>
        </w:rPr>
        <w:t>* Cifras oportunas</w:t>
      </w:r>
    </w:p>
    <w:p w14:paraId="4CBE0818" w14:textId="77777777" w:rsidR="000334F7" w:rsidRDefault="000334F7" w:rsidP="001F12C3">
      <w:pPr>
        <w:pStyle w:val="titulos"/>
        <w:spacing w:before="240" w:after="120" w:line="280" w:lineRule="exact"/>
        <w:ind w:left="567"/>
        <w:rPr>
          <w:i w:val="0"/>
          <w:iCs/>
          <w:u w:val="none"/>
        </w:rPr>
      </w:pPr>
    </w:p>
    <w:p w14:paraId="6512DDE8" w14:textId="77777777" w:rsidR="000334F7" w:rsidRDefault="000334F7" w:rsidP="001F12C3">
      <w:pPr>
        <w:pStyle w:val="titulos"/>
        <w:spacing w:before="240" w:after="120" w:line="280" w:lineRule="exact"/>
        <w:ind w:left="567"/>
        <w:rPr>
          <w:i w:val="0"/>
          <w:iCs/>
          <w:u w:val="none"/>
        </w:rPr>
      </w:pPr>
    </w:p>
    <w:p w14:paraId="39E6F522" w14:textId="77777777" w:rsidR="000334F7" w:rsidRDefault="000334F7" w:rsidP="001F12C3">
      <w:pPr>
        <w:pStyle w:val="titulos"/>
        <w:spacing w:before="240" w:after="120" w:line="280" w:lineRule="exact"/>
        <w:ind w:left="567"/>
        <w:rPr>
          <w:i w:val="0"/>
          <w:iCs/>
          <w:u w:val="none"/>
        </w:rPr>
      </w:pPr>
    </w:p>
    <w:p w14:paraId="5B04FB47" w14:textId="77777777" w:rsidR="000334F7" w:rsidRDefault="000334F7" w:rsidP="001F12C3">
      <w:pPr>
        <w:pStyle w:val="titulos"/>
        <w:spacing w:before="240" w:after="120" w:line="280" w:lineRule="exact"/>
        <w:ind w:left="567"/>
        <w:rPr>
          <w:i w:val="0"/>
          <w:iCs/>
          <w:u w:val="none"/>
        </w:rPr>
      </w:pPr>
    </w:p>
    <w:p w14:paraId="07D61AA2" w14:textId="6C56DA63" w:rsidR="00757DAD" w:rsidRPr="00541A63" w:rsidRDefault="00757DAD" w:rsidP="001F12C3">
      <w:pPr>
        <w:pStyle w:val="titulos"/>
        <w:spacing w:before="240" w:after="120" w:line="280" w:lineRule="exact"/>
        <w:ind w:left="567"/>
        <w:rPr>
          <w:i w:val="0"/>
          <w:iCs/>
          <w:u w:val="none"/>
        </w:rPr>
      </w:pPr>
      <w:r w:rsidRPr="00541A63">
        <w:rPr>
          <w:i w:val="0"/>
          <w:iCs/>
          <w:u w:val="none"/>
        </w:rPr>
        <w:lastRenderedPageBreak/>
        <w:t xml:space="preserve">Exportaciones </w:t>
      </w:r>
      <w:r w:rsidR="001F12C3" w:rsidRPr="00541A63">
        <w:rPr>
          <w:i w:val="0"/>
          <w:iCs/>
          <w:u w:val="none"/>
        </w:rPr>
        <w:t>t</w:t>
      </w:r>
      <w:r w:rsidRPr="00541A63">
        <w:rPr>
          <w:i w:val="0"/>
          <w:iCs/>
          <w:u w:val="none"/>
        </w:rPr>
        <w:t>otales</w:t>
      </w:r>
      <w:r w:rsidR="00197E84" w:rsidRPr="00541A63">
        <w:rPr>
          <w:i w:val="0"/>
          <w:iCs/>
          <w:u w:val="none"/>
        </w:rPr>
        <w:t xml:space="preserve"> de </w:t>
      </w:r>
      <w:r w:rsidR="001F12C3" w:rsidRPr="00541A63">
        <w:rPr>
          <w:i w:val="0"/>
          <w:iCs/>
          <w:u w:val="none"/>
        </w:rPr>
        <w:t>m</w:t>
      </w:r>
      <w:r w:rsidR="00197E84" w:rsidRPr="00541A63">
        <w:rPr>
          <w:i w:val="0"/>
          <w:iCs/>
          <w:u w:val="none"/>
        </w:rPr>
        <w:t>ercancías</w:t>
      </w:r>
    </w:p>
    <w:p w14:paraId="6089B7A2" w14:textId="6E3DA50A" w:rsidR="0028153F" w:rsidRPr="00D95393" w:rsidRDefault="0028153F" w:rsidP="005851DD">
      <w:pPr>
        <w:pStyle w:val="Textoindependiente21"/>
        <w:numPr>
          <w:ilvl w:val="12"/>
          <w:numId w:val="0"/>
        </w:numPr>
        <w:spacing w:before="240" w:after="120" w:line="280" w:lineRule="exact"/>
        <w:rPr>
          <w:spacing w:val="5"/>
          <w:sz w:val="24"/>
        </w:rPr>
      </w:pPr>
      <w:r>
        <w:rPr>
          <w:spacing w:val="5"/>
          <w:sz w:val="24"/>
        </w:rPr>
        <w:t>E</w:t>
      </w:r>
      <w:r w:rsidRPr="0028153F">
        <w:rPr>
          <w:spacing w:val="5"/>
          <w:sz w:val="24"/>
        </w:rPr>
        <w:t>n octubre de 2022</w:t>
      </w:r>
      <w:r>
        <w:rPr>
          <w:spacing w:val="5"/>
          <w:sz w:val="24"/>
        </w:rPr>
        <w:t>, e</w:t>
      </w:r>
      <w:r w:rsidRPr="0028153F">
        <w:rPr>
          <w:spacing w:val="5"/>
          <w:sz w:val="24"/>
        </w:rPr>
        <w:t>l valor de las exportaciones de mercancías fue de 49</w:t>
      </w:r>
      <w:r>
        <w:rPr>
          <w:spacing w:val="5"/>
          <w:sz w:val="24"/>
        </w:rPr>
        <w:t xml:space="preserve"> </w:t>
      </w:r>
      <w:r w:rsidRPr="0028153F">
        <w:rPr>
          <w:spacing w:val="5"/>
          <w:sz w:val="24"/>
        </w:rPr>
        <w:t>275 millones de dólares, monto superior en 17.7</w:t>
      </w:r>
      <w:r>
        <w:rPr>
          <w:spacing w:val="5"/>
          <w:sz w:val="24"/>
        </w:rPr>
        <w:t xml:space="preserve"> </w:t>
      </w:r>
      <w:r w:rsidRPr="0028153F">
        <w:rPr>
          <w:spacing w:val="5"/>
          <w:sz w:val="24"/>
        </w:rPr>
        <w:t xml:space="preserve">% al del mismo mes de 2021. Dicha tasa </w:t>
      </w:r>
      <w:r w:rsidR="0026616A">
        <w:rPr>
          <w:spacing w:val="5"/>
          <w:sz w:val="24"/>
        </w:rPr>
        <w:t xml:space="preserve">resultó </w:t>
      </w:r>
      <w:r w:rsidRPr="0028153F">
        <w:rPr>
          <w:spacing w:val="5"/>
          <w:sz w:val="24"/>
        </w:rPr>
        <w:t xml:space="preserve">de </w:t>
      </w:r>
      <w:r>
        <w:rPr>
          <w:spacing w:val="5"/>
          <w:sz w:val="24"/>
        </w:rPr>
        <w:t>alzas</w:t>
      </w:r>
      <w:r w:rsidRPr="0028153F">
        <w:rPr>
          <w:spacing w:val="5"/>
          <w:sz w:val="24"/>
        </w:rPr>
        <w:t xml:space="preserve"> de 18.5</w:t>
      </w:r>
      <w:r>
        <w:rPr>
          <w:spacing w:val="5"/>
          <w:sz w:val="24"/>
        </w:rPr>
        <w:t xml:space="preserve"> </w:t>
      </w:r>
      <w:r w:rsidRPr="0028153F">
        <w:rPr>
          <w:spacing w:val="5"/>
          <w:sz w:val="24"/>
        </w:rPr>
        <w:t>% en las exportaciones no petroleras y de 6.9</w:t>
      </w:r>
      <w:r>
        <w:rPr>
          <w:spacing w:val="5"/>
          <w:sz w:val="24"/>
        </w:rPr>
        <w:t xml:space="preserve"> </w:t>
      </w:r>
      <w:r w:rsidRPr="0028153F">
        <w:rPr>
          <w:spacing w:val="5"/>
          <w:sz w:val="24"/>
        </w:rPr>
        <w:t>% en las petroleras. Al interior de las exportaciones no petroleras, las dirigidas a Estados Unidos avanzaron 19.1</w:t>
      </w:r>
      <w:r>
        <w:rPr>
          <w:spacing w:val="5"/>
          <w:sz w:val="24"/>
        </w:rPr>
        <w:t xml:space="preserve"> </w:t>
      </w:r>
      <w:r w:rsidRPr="0028153F">
        <w:rPr>
          <w:spacing w:val="5"/>
          <w:sz w:val="24"/>
        </w:rPr>
        <w:t>% a tasa anual</w:t>
      </w:r>
      <w:r>
        <w:rPr>
          <w:spacing w:val="5"/>
          <w:sz w:val="24"/>
        </w:rPr>
        <w:t xml:space="preserve"> y</w:t>
      </w:r>
      <w:r w:rsidRPr="0028153F">
        <w:rPr>
          <w:spacing w:val="5"/>
          <w:sz w:val="24"/>
        </w:rPr>
        <w:t xml:space="preserve"> las canalizadas al resto del mundo</w:t>
      </w:r>
      <w:r w:rsidR="0026616A">
        <w:rPr>
          <w:spacing w:val="5"/>
          <w:sz w:val="24"/>
        </w:rPr>
        <w:t>,</w:t>
      </w:r>
      <w:r w:rsidRPr="0028153F">
        <w:rPr>
          <w:spacing w:val="5"/>
          <w:sz w:val="24"/>
        </w:rPr>
        <w:t xml:space="preserve"> 15.3</w:t>
      </w:r>
      <w:r w:rsidR="00A9158C">
        <w:rPr>
          <w:spacing w:val="5"/>
          <w:sz w:val="24"/>
        </w:rPr>
        <w:t> </w:t>
      </w:r>
      <w:r>
        <w:rPr>
          <w:spacing w:val="5"/>
          <w:sz w:val="24"/>
        </w:rPr>
        <w:t>por</w:t>
      </w:r>
      <w:r w:rsidR="00A9158C">
        <w:rPr>
          <w:spacing w:val="5"/>
          <w:sz w:val="24"/>
        </w:rPr>
        <w:t> </w:t>
      </w:r>
      <w:r>
        <w:rPr>
          <w:spacing w:val="5"/>
          <w:sz w:val="24"/>
        </w:rPr>
        <w:t>ciento</w:t>
      </w:r>
      <w:r w:rsidRPr="0028153F">
        <w:rPr>
          <w:spacing w:val="5"/>
          <w:sz w:val="24"/>
        </w:rPr>
        <w:t>.</w:t>
      </w:r>
    </w:p>
    <w:p w14:paraId="1BD1015C" w14:textId="22AFDE46" w:rsidR="00912F70" w:rsidRDefault="00912F70" w:rsidP="005851DD">
      <w:pPr>
        <w:pStyle w:val="Textoindependiente21"/>
        <w:numPr>
          <w:ilvl w:val="12"/>
          <w:numId w:val="0"/>
        </w:numPr>
        <w:spacing w:before="240" w:after="0"/>
        <w:jc w:val="center"/>
        <w:rPr>
          <w:rFonts w:cs="Arial"/>
          <w:b/>
          <w:smallCaps/>
          <w:lang w:val="es-MX"/>
        </w:rPr>
      </w:pPr>
      <w:r w:rsidRPr="007A64AF">
        <w:rPr>
          <w:rFonts w:cs="Arial"/>
          <w:bCs/>
          <w:sz w:val="20"/>
          <w:szCs w:val="18"/>
          <w:lang w:val="es-MX"/>
        </w:rPr>
        <w:t xml:space="preserve">Cuadro </w:t>
      </w:r>
      <w:r>
        <w:rPr>
          <w:rFonts w:cs="Arial"/>
          <w:bCs/>
          <w:sz w:val="20"/>
          <w:szCs w:val="18"/>
          <w:lang w:val="es-MX"/>
        </w:rPr>
        <w:t>3</w:t>
      </w:r>
    </w:p>
    <w:p w14:paraId="2D785C6E" w14:textId="0ED1A5C4" w:rsidR="00AF1CF5" w:rsidRPr="001F12C3" w:rsidRDefault="00AF1CF5" w:rsidP="005851DD">
      <w:pPr>
        <w:pStyle w:val="p01"/>
        <w:keepLines w:val="0"/>
        <w:widowControl/>
        <w:spacing w:before="0"/>
        <w:ind w:right="-23"/>
        <w:jc w:val="center"/>
        <w:outlineLvl w:val="0"/>
        <w:rPr>
          <w:rFonts w:ascii="Arial" w:hAnsi="Arial" w:cs="Arial"/>
          <w:b/>
          <w:smallCaps/>
          <w:color w:val="auto"/>
          <w:sz w:val="22"/>
          <w:lang w:val="es-MX"/>
        </w:rPr>
      </w:pPr>
      <w:r w:rsidRPr="001F12C3">
        <w:rPr>
          <w:rFonts w:ascii="Arial" w:hAnsi="Arial" w:cs="Arial"/>
          <w:b/>
          <w:smallCaps/>
          <w:color w:val="auto"/>
          <w:sz w:val="22"/>
          <w:lang w:val="es-MX"/>
        </w:rPr>
        <w:t xml:space="preserve">Exportaciones no petroleras a distintos mercados </w:t>
      </w:r>
    </w:p>
    <w:tbl>
      <w:tblPr>
        <w:tblW w:w="4415" w:type="pct"/>
        <w:jc w:val="center"/>
        <w:tblBorders>
          <w:top w:val="single" w:sz="8" w:space="0" w:color="000080"/>
          <w:bottom w:val="single" w:sz="8" w:space="0" w:color="000080"/>
        </w:tblBorders>
        <w:tblLayout w:type="fixed"/>
        <w:tblCellMar>
          <w:left w:w="0" w:type="dxa"/>
          <w:right w:w="0" w:type="dxa"/>
        </w:tblCellMar>
        <w:tblLook w:val="01E0" w:firstRow="1" w:lastRow="1" w:firstColumn="1" w:lastColumn="1" w:noHBand="0" w:noVBand="0"/>
      </w:tblPr>
      <w:tblGrid>
        <w:gridCol w:w="2169"/>
        <w:gridCol w:w="1205"/>
        <w:gridCol w:w="887"/>
        <w:gridCol w:w="990"/>
        <w:gridCol w:w="990"/>
        <w:gridCol w:w="1026"/>
        <w:gridCol w:w="1010"/>
      </w:tblGrid>
      <w:tr w:rsidR="00A642D4" w:rsidRPr="00075546" w14:paraId="54876B84" w14:textId="6F8ECFEC" w:rsidTr="00E36909">
        <w:trPr>
          <w:trHeight w:val="374"/>
          <w:jc w:val="center"/>
        </w:trPr>
        <w:tc>
          <w:tcPr>
            <w:tcW w:w="1310" w:type="pct"/>
            <w:vMerge w:val="restart"/>
            <w:tcBorders>
              <w:top w:val="double" w:sz="4" w:space="0" w:color="auto"/>
              <w:left w:val="double" w:sz="4" w:space="0" w:color="auto"/>
              <w:right w:val="double" w:sz="4" w:space="0" w:color="000000" w:themeColor="text1"/>
            </w:tcBorders>
            <w:shd w:val="clear" w:color="auto" w:fill="D6E3BC" w:themeFill="accent3" w:themeFillTint="66"/>
            <w:vAlign w:val="center"/>
          </w:tcPr>
          <w:p w14:paraId="7D7EAC38" w14:textId="77777777" w:rsidR="00A642D4" w:rsidRPr="00231C06" w:rsidRDefault="00A642D4" w:rsidP="004F6856">
            <w:pPr>
              <w:keepNext/>
              <w:keepLines/>
              <w:widowControl w:val="0"/>
              <w:jc w:val="center"/>
              <w:rPr>
                <w:rFonts w:ascii="Arial" w:hAnsi="Arial" w:cs="Arial"/>
                <w:snapToGrid w:val="0"/>
                <w:sz w:val="18"/>
                <w:szCs w:val="18"/>
                <w:lang w:eastAsia="en-US"/>
              </w:rPr>
            </w:pPr>
            <w:r w:rsidRPr="00231C06">
              <w:rPr>
                <w:rFonts w:ascii="Arial" w:hAnsi="Arial" w:cs="Arial"/>
                <w:snapToGrid w:val="0"/>
                <w:sz w:val="18"/>
                <w:szCs w:val="18"/>
                <w:lang w:eastAsia="en-US"/>
              </w:rPr>
              <w:t>Concepto</w:t>
            </w:r>
          </w:p>
        </w:tc>
        <w:tc>
          <w:tcPr>
            <w:tcW w:w="728" w:type="pct"/>
            <w:vMerge w:val="restart"/>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vAlign w:val="center"/>
          </w:tcPr>
          <w:p w14:paraId="7D2AEF77" w14:textId="2D176125" w:rsidR="00A642D4" w:rsidRPr="00231C06" w:rsidRDefault="00A642D4" w:rsidP="00E36909">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 xml:space="preserve">Participación </w:t>
            </w:r>
            <w:r w:rsidR="000D597B">
              <w:rPr>
                <w:rFonts w:cs="Arial"/>
                <w:color w:val="000000"/>
                <w:sz w:val="18"/>
                <w:szCs w:val="18"/>
                <w:lang w:val="es-ES"/>
              </w:rPr>
              <w:t>porcentual</w:t>
            </w:r>
            <w:r w:rsidR="00E36909">
              <w:rPr>
                <w:rFonts w:cs="Arial"/>
                <w:color w:val="000000"/>
                <w:sz w:val="18"/>
                <w:szCs w:val="18"/>
                <w:lang w:val="es-ES"/>
              </w:rPr>
              <w:br/>
            </w:r>
            <w:r>
              <w:rPr>
                <w:rFonts w:cs="Arial"/>
                <w:color w:val="000000"/>
                <w:sz w:val="18"/>
                <w:szCs w:val="18"/>
              </w:rPr>
              <w:t>Ene</w:t>
            </w:r>
            <w:r w:rsidR="00B3605F">
              <w:rPr>
                <w:rFonts w:cs="Arial"/>
                <w:color w:val="000000"/>
                <w:sz w:val="18"/>
                <w:szCs w:val="18"/>
              </w:rPr>
              <w:t>.</w:t>
            </w:r>
            <w:r>
              <w:rPr>
                <w:rFonts w:cs="Arial"/>
                <w:color w:val="000000"/>
                <w:sz w:val="18"/>
                <w:szCs w:val="18"/>
              </w:rPr>
              <w:t>-</w:t>
            </w:r>
            <w:r w:rsidR="00114481">
              <w:rPr>
                <w:rFonts w:cs="Arial"/>
                <w:color w:val="000000"/>
                <w:sz w:val="18"/>
                <w:szCs w:val="18"/>
              </w:rPr>
              <w:t>Oct</w:t>
            </w:r>
            <w:r>
              <w:rPr>
                <w:rFonts w:cs="Arial"/>
                <w:color w:val="000000"/>
                <w:sz w:val="18"/>
                <w:szCs w:val="18"/>
              </w:rPr>
              <w:t>.*</w:t>
            </w:r>
            <w:r w:rsidR="00E36909">
              <w:rPr>
                <w:rFonts w:cs="Arial"/>
                <w:color w:val="000000"/>
                <w:sz w:val="18"/>
                <w:szCs w:val="18"/>
              </w:rPr>
              <w:br/>
            </w:r>
            <w:r>
              <w:rPr>
                <w:rFonts w:cs="Arial"/>
                <w:color w:val="000000"/>
                <w:sz w:val="18"/>
                <w:szCs w:val="18"/>
              </w:rPr>
              <w:t>2022</w:t>
            </w:r>
          </w:p>
        </w:tc>
        <w:tc>
          <w:tcPr>
            <w:tcW w:w="2962" w:type="pct"/>
            <w:gridSpan w:val="5"/>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vAlign w:val="center"/>
          </w:tcPr>
          <w:p w14:paraId="54CB86E5" w14:textId="29045C57" w:rsidR="00A642D4" w:rsidRDefault="00A642D4" w:rsidP="00A642D4">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Variación porcentual</w:t>
            </w:r>
            <w:r w:rsidR="0083561E">
              <w:rPr>
                <w:rFonts w:cs="Arial"/>
                <w:color w:val="000000"/>
                <w:sz w:val="18"/>
                <w:szCs w:val="18"/>
                <w:lang w:val="es-ES"/>
              </w:rPr>
              <w:t xml:space="preserve"> anual</w:t>
            </w:r>
          </w:p>
        </w:tc>
      </w:tr>
      <w:tr w:rsidR="00A642D4" w:rsidRPr="00075546" w14:paraId="139BB901" w14:textId="1F02EA44" w:rsidTr="00E36909">
        <w:trPr>
          <w:trHeight w:val="253"/>
          <w:jc w:val="center"/>
        </w:trPr>
        <w:tc>
          <w:tcPr>
            <w:tcW w:w="1310" w:type="pct"/>
            <w:vMerge/>
            <w:tcBorders>
              <w:left w:val="double" w:sz="4" w:space="0" w:color="auto"/>
              <w:right w:val="double" w:sz="4" w:space="0" w:color="000000" w:themeColor="text1"/>
            </w:tcBorders>
            <w:shd w:val="clear" w:color="auto" w:fill="D6E3BC" w:themeFill="accent3" w:themeFillTint="66"/>
            <w:vAlign w:val="center"/>
          </w:tcPr>
          <w:p w14:paraId="6A3490F9" w14:textId="77777777" w:rsidR="00A642D4" w:rsidRPr="00231C06" w:rsidRDefault="00A642D4" w:rsidP="004F6856">
            <w:pPr>
              <w:keepNext/>
              <w:keepLines/>
              <w:widowControl w:val="0"/>
              <w:spacing w:before="60" w:after="60"/>
              <w:jc w:val="center"/>
              <w:rPr>
                <w:rFonts w:ascii="Arial" w:hAnsi="Arial" w:cs="Arial"/>
                <w:snapToGrid w:val="0"/>
                <w:sz w:val="18"/>
                <w:szCs w:val="18"/>
                <w:lang w:eastAsia="en-US"/>
              </w:rPr>
            </w:pPr>
          </w:p>
        </w:tc>
        <w:tc>
          <w:tcPr>
            <w:tcW w:w="728" w:type="pct"/>
            <w:vMerge/>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vAlign w:val="center"/>
          </w:tcPr>
          <w:p w14:paraId="7DAAA17B" w14:textId="77777777" w:rsidR="00A642D4" w:rsidRPr="00231C06" w:rsidRDefault="00A642D4" w:rsidP="004F6856">
            <w:pPr>
              <w:pStyle w:val="Textoindependiente21"/>
              <w:keepNext/>
              <w:keepLines/>
              <w:widowControl w:val="0"/>
              <w:numPr>
                <w:ilvl w:val="12"/>
                <w:numId w:val="0"/>
              </w:numPr>
              <w:spacing w:before="40" w:after="40"/>
              <w:ind w:left="-109" w:right="-106"/>
              <w:jc w:val="center"/>
              <w:rPr>
                <w:rFonts w:cs="Arial"/>
                <w:color w:val="000000"/>
                <w:sz w:val="18"/>
                <w:szCs w:val="18"/>
                <w:lang w:val="es-ES"/>
              </w:rPr>
            </w:pPr>
          </w:p>
        </w:tc>
        <w:tc>
          <w:tcPr>
            <w:tcW w:w="536" w:type="pct"/>
            <w:vMerge w:val="restart"/>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vAlign w:val="center"/>
          </w:tcPr>
          <w:p w14:paraId="5CD038D6" w14:textId="5F741E1E" w:rsidR="00A642D4" w:rsidRDefault="00A642D4" w:rsidP="00A642D4">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2021</w:t>
            </w:r>
          </w:p>
        </w:tc>
        <w:tc>
          <w:tcPr>
            <w:tcW w:w="2426" w:type="pct"/>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vAlign w:val="center"/>
          </w:tcPr>
          <w:p w14:paraId="4DE1FBD5" w14:textId="10D94DA4" w:rsidR="00A642D4" w:rsidRDefault="00A642D4" w:rsidP="004F6856">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2022</w:t>
            </w:r>
          </w:p>
        </w:tc>
      </w:tr>
      <w:tr w:rsidR="00114481" w:rsidRPr="00075546" w14:paraId="55E911BE" w14:textId="7186FF01" w:rsidTr="00E36909">
        <w:trPr>
          <w:trHeight w:val="110"/>
          <w:jc w:val="center"/>
        </w:trPr>
        <w:tc>
          <w:tcPr>
            <w:tcW w:w="1310" w:type="pct"/>
            <w:vMerge/>
            <w:tcBorders>
              <w:left w:val="double" w:sz="4" w:space="0" w:color="auto"/>
              <w:bottom w:val="double" w:sz="4" w:space="0" w:color="000000" w:themeColor="text1"/>
              <w:right w:val="double" w:sz="4" w:space="0" w:color="000000" w:themeColor="text1"/>
            </w:tcBorders>
            <w:shd w:val="clear" w:color="auto" w:fill="D6E3BC" w:themeFill="accent3" w:themeFillTint="66"/>
            <w:vAlign w:val="center"/>
          </w:tcPr>
          <w:p w14:paraId="5815229E" w14:textId="77777777" w:rsidR="00114481" w:rsidRPr="00231C06" w:rsidRDefault="00114481" w:rsidP="00114481">
            <w:pPr>
              <w:pStyle w:val="Textoindependiente21"/>
              <w:keepNext/>
              <w:keepLines/>
              <w:widowControl w:val="0"/>
              <w:numPr>
                <w:ilvl w:val="12"/>
                <w:numId w:val="0"/>
              </w:numPr>
              <w:spacing w:before="120" w:after="120"/>
              <w:jc w:val="center"/>
              <w:rPr>
                <w:rFonts w:cs="Arial"/>
                <w:color w:val="000000"/>
                <w:sz w:val="18"/>
                <w:szCs w:val="18"/>
                <w:lang w:val="es-ES"/>
              </w:rPr>
            </w:pPr>
          </w:p>
        </w:tc>
        <w:tc>
          <w:tcPr>
            <w:tcW w:w="728" w:type="pct"/>
            <w:vMerge/>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vAlign w:val="center"/>
          </w:tcPr>
          <w:p w14:paraId="3DDDFDA3" w14:textId="77777777" w:rsidR="00114481" w:rsidRPr="00231C06" w:rsidRDefault="00114481" w:rsidP="00114481">
            <w:pPr>
              <w:pStyle w:val="Textoindependiente21"/>
              <w:keepNext/>
              <w:keepLines/>
              <w:widowControl w:val="0"/>
              <w:numPr>
                <w:ilvl w:val="12"/>
                <w:numId w:val="0"/>
              </w:numPr>
              <w:spacing w:before="40" w:after="40"/>
              <w:ind w:left="-109" w:right="-106"/>
              <w:jc w:val="center"/>
              <w:rPr>
                <w:rFonts w:cs="Arial"/>
                <w:color w:val="000000"/>
                <w:sz w:val="18"/>
                <w:szCs w:val="18"/>
                <w:lang w:val="es-ES"/>
              </w:rPr>
            </w:pPr>
          </w:p>
        </w:tc>
        <w:tc>
          <w:tcPr>
            <w:tcW w:w="536" w:type="pct"/>
            <w:vMerge/>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tcPr>
          <w:p w14:paraId="36579559" w14:textId="17F2F4AA" w:rsidR="00114481" w:rsidRDefault="00114481" w:rsidP="00114481">
            <w:pPr>
              <w:keepNext/>
              <w:keepLines/>
              <w:widowControl w:val="0"/>
              <w:spacing w:before="40" w:after="40"/>
              <w:ind w:left="-98" w:right="-94"/>
              <w:jc w:val="center"/>
              <w:rPr>
                <w:rFonts w:ascii="Arial" w:hAnsi="Arial" w:cs="Arial"/>
                <w:color w:val="000000"/>
                <w:sz w:val="18"/>
                <w:szCs w:val="18"/>
              </w:rPr>
            </w:pPr>
          </w:p>
        </w:tc>
        <w:tc>
          <w:tcPr>
            <w:tcW w:w="598" w:type="pct"/>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tcPr>
          <w:p w14:paraId="49B3F101" w14:textId="2EDC1285" w:rsidR="00114481" w:rsidRDefault="00114481" w:rsidP="00114481">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Ago.</w:t>
            </w:r>
          </w:p>
        </w:tc>
        <w:tc>
          <w:tcPr>
            <w:tcW w:w="598" w:type="pct"/>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tcPr>
          <w:p w14:paraId="59095404" w14:textId="52ACF560" w:rsidR="00114481" w:rsidRDefault="00114481" w:rsidP="00114481">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Sep.</w:t>
            </w:r>
          </w:p>
        </w:tc>
        <w:tc>
          <w:tcPr>
            <w:tcW w:w="620" w:type="pct"/>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tcPr>
          <w:p w14:paraId="0A94853F" w14:textId="67D72EAE" w:rsidR="00114481" w:rsidRDefault="00114481" w:rsidP="00114481">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Oct.*</w:t>
            </w:r>
          </w:p>
        </w:tc>
        <w:tc>
          <w:tcPr>
            <w:tcW w:w="610" w:type="pct"/>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tcPr>
          <w:p w14:paraId="62F1C764" w14:textId="4BB2B0E2" w:rsidR="00114481" w:rsidRDefault="00114481" w:rsidP="00114481">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Ene.-Oct.*</w:t>
            </w:r>
          </w:p>
        </w:tc>
      </w:tr>
      <w:tr w:rsidR="00114481" w:rsidRPr="00075546" w14:paraId="2C6730F8" w14:textId="707B353F" w:rsidTr="00E36909">
        <w:trPr>
          <w:jc w:val="center"/>
        </w:trPr>
        <w:tc>
          <w:tcPr>
            <w:tcW w:w="1310" w:type="pct"/>
            <w:tcBorders>
              <w:top w:val="double" w:sz="4" w:space="0" w:color="000000" w:themeColor="text1"/>
              <w:left w:val="double" w:sz="4" w:space="0" w:color="auto"/>
              <w:bottom w:val="nil"/>
              <w:right w:val="double" w:sz="4" w:space="0" w:color="000000" w:themeColor="text1"/>
            </w:tcBorders>
            <w:vAlign w:val="center"/>
          </w:tcPr>
          <w:p w14:paraId="695A7C44" w14:textId="77777777" w:rsidR="00114481" w:rsidRPr="00231C06" w:rsidRDefault="00114481" w:rsidP="00114481">
            <w:pPr>
              <w:pStyle w:val="Textoindependiente21"/>
              <w:keepNext/>
              <w:keepLines/>
              <w:widowControl w:val="0"/>
              <w:numPr>
                <w:ilvl w:val="12"/>
                <w:numId w:val="0"/>
              </w:numPr>
              <w:spacing w:before="20" w:after="0"/>
              <w:ind w:left="113" w:right="-57"/>
              <w:rPr>
                <w:rFonts w:cs="Arial"/>
                <w:b/>
                <w:sz w:val="18"/>
                <w:szCs w:val="18"/>
                <w:lang w:val="es-ES"/>
              </w:rPr>
            </w:pPr>
            <w:r w:rsidRPr="00231C06">
              <w:rPr>
                <w:rFonts w:cs="Arial"/>
                <w:b/>
                <w:sz w:val="18"/>
                <w:szCs w:val="18"/>
                <w:lang w:val="es-ES"/>
              </w:rPr>
              <w:t>Total</w:t>
            </w:r>
          </w:p>
        </w:tc>
        <w:tc>
          <w:tcPr>
            <w:tcW w:w="728" w:type="pct"/>
            <w:tcBorders>
              <w:top w:val="double" w:sz="4" w:space="0" w:color="000000" w:themeColor="text1"/>
              <w:left w:val="double" w:sz="4" w:space="0" w:color="000000" w:themeColor="text1"/>
              <w:bottom w:val="nil"/>
              <w:right w:val="double" w:sz="4" w:space="0" w:color="000000" w:themeColor="text1"/>
            </w:tcBorders>
            <w:vAlign w:val="center"/>
          </w:tcPr>
          <w:p w14:paraId="4F5E192A" w14:textId="4EE044C1" w:rsidR="00114481" w:rsidRPr="002500FF" w:rsidRDefault="00114481" w:rsidP="00114481">
            <w:pPr>
              <w:tabs>
                <w:tab w:val="decimal" w:pos="560"/>
              </w:tabs>
              <w:rPr>
                <w:rFonts w:ascii="Arial" w:hAnsi="Arial" w:cs="Arial"/>
                <w:b/>
                <w:sz w:val="18"/>
                <w:szCs w:val="18"/>
              </w:rPr>
            </w:pPr>
            <w:r w:rsidRPr="002500FF">
              <w:rPr>
                <w:rFonts w:ascii="Arial" w:hAnsi="Arial" w:cs="Arial"/>
                <w:b/>
                <w:bCs/>
                <w:sz w:val="18"/>
                <w:szCs w:val="18"/>
              </w:rPr>
              <w:t>100.00</w:t>
            </w:r>
          </w:p>
        </w:tc>
        <w:tc>
          <w:tcPr>
            <w:tcW w:w="536" w:type="pct"/>
            <w:tcBorders>
              <w:top w:val="double" w:sz="4" w:space="0" w:color="000000" w:themeColor="text1"/>
              <w:left w:val="double" w:sz="4" w:space="0" w:color="000000" w:themeColor="text1"/>
              <w:bottom w:val="nil"/>
              <w:right w:val="double" w:sz="4" w:space="0" w:color="000000" w:themeColor="text1"/>
            </w:tcBorders>
            <w:vAlign w:val="center"/>
          </w:tcPr>
          <w:p w14:paraId="4E141518" w14:textId="10581FD8" w:rsidR="00114481" w:rsidRPr="008F35A1" w:rsidRDefault="00114481" w:rsidP="00114481">
            <w:pPr>
              <w:tabs>
                <w:tab w:val="decimal" w:pos="506"/>
              </w:tabs>
              <w:rPr>
                <w:rFonts w:ascii="Arial" w:hAnsi="Arial" w:cs="Arial"/>
                <w:b/>
                <w:bCs/>
                <w:sz w:val="18"/>
                <w:szCs w:val="18"/>
              </w:rPr>
            </w:pPr>
            <w:r w:rsidRPr="008F35A1">
              <w:rPr>
                <w:rFonts w:ascii="Arial" w:hAnsi="Arial" w:cs="Arial"/>
                <w:b/>
                <w:bCs/>
                <w:sz w:val="18"/>
                <w:szCs w:val="18"/>
              </w:rPr>
              <w:t>16.5</w:t>
            </w:r>
          </w:p>
        </w:tc>
        <w:tc>
          <w:tcPr>
            <w:tcW w:w="598" w:type="pct"/>
            <w:tcBorders>
              <w:top w:val="double" w:sz="4" w:space="0" w:color="000000" w:themeColor="text1"/>
              <w:left w:val="double" w:sz="4" w:space="0" w:color="000000" w:themeColor="text1"/>
              <w:bottom w:val="nil"/>
              <w:right w:val="nil"/>
            </w:tcBorders>
            <w:vAlign w:val="center"/>
          </w:tcPr>
          <w:p w14:paraId="65671A04" w14:textId="5797CE40" w:rsidR="00114481" w:rsidRPr="008F35A1" w:rsidRDefault="00114481" w:rsidP="00114481">
            <w:pPr>
              <w:tabs>
                <w:tab w:val="decimal" w:pos="534"/>
              </w:tabs>
              <w:rPr>
                <w:rFonts w:ascii="Arial" w:hAnsi="Arial" w:cs="Arial"/>
                <w:b/>
                <w:bCs/>
                <w:sz w:val="18"/>
                <w:szCs w:val="18"/>
              </w:rPr>
            </w:pPr>
            <w:r>
              <w:rPr>
                <w:rFonts w:ascii="Arial" w:hAnsi="Arial" w:cs="Arial"/>
                <w:b/>
                <w:bCs/>
                <w:sz w:val="18"/>
                <w:szCs w:val="18"/>
              </w:rPr>
              <w:t>25.6</w:t>
            </w:r>
          </w:p>
        </w:tc>
        <w:tc>
          <w:tcPr>
            <w:tcW w:w="598" w:type="pct"/>
            <w:tcBorders>
              <w:top w:val="double" w:sz="4" w:space="0" w:color="000000" w:themeColor="text1"/>
              <w:left w:val="nil"/>
              <w:bottom w:val="nil"/>
              <w:right w:val="nil"/>
            </w:tcBorders>
            <w:vAlign w:val="center"/>
          </w:tcPr>
          <w:p w14:paraId="737A0D90" w14:textId="55774A2B" w:rsidR="00114481" w:rsidRPr="008F35A1" w:rsidRDefault="00114481" w:rsidP="00114481">
            <w:pPr>
              <w:tabs>
                <w:tab w:val="decimal" w:pos="512"/>
              </w:tabs>
              <w:rPr>
                <w:rFonts w:ascii="Arial" w:hAnsi="Arial" w:cs="Arial"/>
                <w:b/>
                <w:bCs/>
                <w:sz w:val="18"/>
                <w:szCs w:val="18"/>
              </w:rPr>
            </w:pPr>
            <w:r>
              <w:rPr>
                <w:rFonts w:ascii="Arial" w:hAnsi="Arial" w:cs="Arial"/>
                <w:b/>
                <w:bCs/>
                <w:sz w:val="18"/>
                <w:szCs w:val="18"/>
              </w:rPr>
              <w:t>25.0</w:t>
            </w:r>
          </w:p>
        </w:tc>
        <w:tc>
          <w:tcPr>
            <w:tcW w:w="620" w:type="pct"/>
            <w:tcBorders>
              <w:top w:val="double" w:sz="4" w:space="0" w:color="000000" w:themeColor="text1"/>
              <w:left w:val="nil"/>
              <w:bottom w:val="nil"/>
              <w:right w:val="nil"/>
            </w:tcBorders>
            <w:vAlign w:val="center"/>
          </w:tcPr>
          <w:p w14:paraId="6DF763AD" w14:textId="4648CB46" w:rsidR="00114481" w:rsidRPr="002500FF" w:rsidRDefault="000D548C" w:rsidP="00114481">
            <w:pPr>
              <w:tabs>
                <w:tab w:val="decimal" w:pos="553"/>
              </w:tabs>
              <w:rPr>
                <w:rFonts w:ascii="Arial" w:hAnsi="Arial" w:cs="Arial"/>
                <w:b/>
                <w:bCs/>
                <w:sz w:val="18"/>
                <w:szCs w:val="18"/>
              </w:rPr>
            </w:pPr>
            <w:r>
              <w:rPr>
                <w:rFonts w:ascii="Arial" w:hAnsi="Arial" w:cs="Arial"/>
                <w:b/>
                <w:bCs/>
                <w:sz w:val="18"/>
                <w:szCs w:val="18"/>
              </w:rPr>
              <w:t>18.5</w:t>
            </w:r>
          </w:p>
        </w:tc>
        <w:tc>
          <w:tcPr>
            <w:tcW w:w="610" w:type="pct"/>
            <w:tcBorders>
              <w:top w:val="double" w:sz="4" w:space="0" w:color="000000" w:themeColor="text1"/>
              <w:left w:val="nil"/>
              <w:bottom w:val="nil"/>
              <w:right w:val="double" w:sz="4" w:space="0" w:color="auto"/>
            </w:tcBorders>
            <w:vAlign w:val="center"/>
          </w:tcPr>
          <w:p w14:paraId="41B69DA2" w14:textId="0015A233" w:rsidR="00114481" w:rsidRPr="002500FF" w:rsidRDefault="000D548C" w:rsidP="00114481">
            <w:pPr>
              <w:tabs>
                <w:tab w:val="decimal" w:pos="471"/>
              </w:tabs>
              <w:rPr>
                <w:rFonts w:ascii="Arial" w:hAnsi="Arial" w:cs="Arial"/>
                <w:b/>
                <w:bCs/>
                <w:sz w:val="18"/>
                <w:szCs w:val="18"/>
              </w:rPr>
            </w:pPr>
            <w:r>
              <w:rPr>
                <w:rFonts w:ascii="Arial" w:hAnsi="Arial" w:cs="Arial"/>
                <w:b/>
                <w:bCs/>
                <w:sz w:val="18"/>
                <w:szCs w:val="18"/>
              </w:rPr>
              <w:t>18.0</w:t>
            </w:r>
          </w:p>
        </w:tc>
      </w:tr>
      <w:tr w:rsidR="00114481" w:rsidRPr="00075546" w14:paraId="3571A734" w14:textId="15CA317C" w:rsidTr="00E36909">
        <w:trPr>
          <w:jc w:val="center"/>
        </w:trPr>
        <w:tc>
          <w:tcPr>
            <w:tcW w:w="1310" w:type="pct"/>
            <w:tcBorders>
              <w:top w:val="nil"/>
              <w:left w:val="double" w:sz="4" w:space="0" w:color="auto"/>
              <w:bottom w:val="nil"/>
              <w:right w:val="double" w:sz="4" w:space="0" w:color="000000" w:themeColor="text1"/>
            </w:tcBorders>
            <w:vAlign w:val="center"/>
          </w:tcPr>
          <w:p w14:paraId="0DCE640D" w14:textId="77777777" w:rsidR="00114481" w:rsidRPr="00231C06" w:rsidRDefault="00114481" w:rsidP="00114481">
            <w:pPr>
              <w:pStyle w:val="Textoindependiente21"/>
              <w:keepNext/>
              <w:keepLines/>
              <w:widowControl w:val="0"/>
              <w:numPr>
                <w:ilvl w:val="12"/>
                <w:numId w:val="0"/>
              </w:numPr>
              <w:spacing w:before="20" w:after="0"/>
              <w:ind w:left="170" w:right="-79" w:firstLine="11"/>
              <w:rPr>
                <w:rFonts w:cs="Arial"/>
                <w:b/>
                <w:sz w:val="18"/>
                <w:szCs w:val="18"/>
                <w:lang w:val="es-ES"/>
              </w:rPr>
            </w:pPr>
            <w:r w:rsidRPr="00231C06">
              <w:rPr>
                <w:rFonts w:cs="Arial"/>
                <w:b/>
                <w:sz w:val="18"/>
                <w:szCs w:val="18"/>
                <w:lang w:val="es-ES"/>
              </w:rPr>
              <w:t>Estados Unidos</w:t>
            </w:r>
          </w:p>
        </w:tc>
        <w:tc>
          <w:tcPr>
            <w:tcW w:w="728" w:type="pct"/>
            <w:tcBorders>
              <w:top w:val="nil"/>
              <w:left w:val="double" w:sz="4" w:space="0" w:color="000000" w:themeColor="text1"/>
              <w:bottom w:val="nil"/>
              <w:right w:val="double" w:sz="4" w:space="0" w:color="000000" w:themeColor="text1"/>
            </w:tcBorders>
            <w:vAlign w:val="center"/>
          </w:tcPr>
          <w:p w14:paraId="41E104EA" w14:textId="635C1B59" w:rsidR="00114481" w:rsidRPr="002500FF" w:rsidRDefault="00114481" w:rsidP="00114481">
            <w:pPr>
              <w:tabs>
                <w:tab w:val="decimal" w:pos="560"/>
              </w:tabs>
              <w:rPr>
                <w:rFonts w:ascii="Arial" w:hAnsi="Arial" w:cs="Arial"/>
                <w:b/>
                <w:bCs/>
                <w:sz w:val="18"/>
                <w:szCs w:val="18"/>
              </w:rPr>
            </w:pPr>
            <w:r w:rsidRPr="002500FF">
              <w:rPr>
                <w:rFonts w:ascii="Arial" w:hAnsi="Arial" w:cs="Arial"/>
                <w:b/>
                <w:bCs/>
                <w:sz w:val="18"/>
                <w:szCs w:val="18"/>
              </w:rPr>
              <w:t>82.</w:t>
            </w:r>
            <w:r w:rsidR="000D548C">
              <w:rPr>
                <w:rFonts w:ascii="Arial" w:hAnsi="Arial" w:cs="Arial"/>
                <w:b/>
                <w:bCs/>
                <w:sz w:val="18"/>
                <w:szCs w:val="18"/>
              </w:rPr>
              <w:t>62</w:t>
            </w:r>
          </w:p>
        </w:tc>
        <w:tc>
          <w:tcPr>
            <w:tcW w:w="536" w:type="pct"/>
            <w:tcBorders>
              <w:top w:val="nil"/>
              <w:left w:val="double" w:sz="4" w:space="0" w:color="000000" w:themeColor="text1"/>
              <w:bottom w:val="nil"/>
              <w:right w:val="double" w:sz="4" w:space="0" w:color="000000" w:themeColor="text1"/>
            </w:tcBorders>
            <w:vAlign w:val="center"/>
          </w:tcPr>
          <w:p w14:paraId="4963652D" w14:textId="2E5DAE48" w:rsidR="00114481" w:rsidRPr="008F35A1" w:rsidRDefault="00114481" w:rsidP="00114481">
            <w:pPr>
              <w:tabs>
                <w:tab w:val="decimal" w:pos="506"/>
              </w:tabs>
              <w:rPr>
                <w:rFonts w:ascii="Arial" w:hAnsi="Arial" w:cs="Arial"/>
                <w:b/>
                <w:bCs/>
                <w:sz w:val="18"/>
                <w:szCs w:val="18"/>
              </w:rPr>
            </w:pPr>
            <w:r w:rsidRPr="008F35A1">
              <w:rPr>
                <w:rFonts w:ascii="Arial" w:hAnsi="Arial" w:cs="Arial"/>
                <w:b/>
                <w:bCs/>
                <w:sz w:val="18"/>
                <w:szCs w:val="18"/>
              </w:rPr>
              <w:t>16.2</w:t>
            </w:r>
          </w:p>
        </w:tc>
        <w:tc>
          <w:tcPr>
            <w:tcW w:w="598" w:type="pct"/>
            <w:tcBorders>
              <w:top w:val="nil"/>
              <w:left w:val="double" w:sz="4" w:space="0" w:color="000000" w:themeColor="text1"/>
              <w:bottom w:val="nil"/>
              <w:right w:val="nil"/>
            </w:tcBorders>
            <w:vAlign w:val="center"/>
          </w:tcPr>
          <w:p w14:paraId="10D058CF" w14:textId="32B5C0B6" w:rsidR="00114481" w:rsidRPr="008F35A1" w:rsidRDefault="00114481" w:rsidP="00114481">
            <w:pPr>
              <w:tabs>
                <w:tab w:val="decimal" w:pos="534"/>
              </w:tabs>
              <w:rPr>
                <w:rFonts w:ascii="Arial" w:hAnsi="Arial" w:cs="Arial"/>
                <w:b/>
                <w:bCs/>
                <w:sz w:val="18"/>
                <w:szCs w:val="18"/>
              </w:rPr>
            </w:pPr>
            <w:r>
              <w:rPr>
                <w:rFonts w:ascii="Arial" w:hAnsi="Arial" w:cs="Arial"/>
                <w:b/>
                <w:bCs/>
                <w:sz w:val="18"/>
                <w:szCs w:val="18"/>
              </w:rPr>
              <w:t>27.6</w:t>
            </w:r>
          </w:p>
        </w:tc>
        <w:tc>
          <w:tcPr>
            <w:tcW w:w="598" w:type="pct"/>
            <w:tcBorders>
              <w:top w:val="nil"/>
              <w:left w:val="nil"/>
              <w:bottom w:val="nil"/>
              <w:right w:val="nil"/>
            </w:tcBorders>
            <w:vAlign w:val="center"/>
          </w:tcPr>
          <w:p w14:paraId="052D49B7" w14:textId="292975D6" w:rsidR="00114481" w:rsidRPr="008F35A1" w:rsidRDefault="00114481" w:rsidP="00114481">
            <w:pPr>
              <w:tabs>
                <w:tab w:val="decimal" w:pos="512"/>
              </w:tabs>
              <w:rPr>
                <w:rFonts w:ascii="Arial" w:hAnsi="Arial" w:cs="Arial"/>
                <w:b/>
                <w:bCs/>
                <w:sz w:val="18"/>
                <w:szCs w:val="18"/>
              </w:rPr>
            </w:pPr>
            <w:r>
              <w:rPr>
                <w:rFonts w:ascii="Arial" w:hAnsi="Arial" w:cs="Arial"/>
                <w:b/>
                <w:bCs/>
                <w:sz w:val="18"/>
                <w:szCs w:val="18"/>
              </w:rPr>
              <w:t>25.2</w:t>
            </w:r>
          </w:p>
        </w:tc>
        <w:tc>
          <w:tcPr>
            <w:tcW w:w="620" w:type="pct"/>
            <w:tcBorders>
              <w:top w:val="nil"/>
              <w:left w:val="nil"/>
              <w:bottom w:val="nil"/>
              <w:right w:val="nil"/>
            </w:tcBorders>
            <w:vAlign w:val="center"/>
          </w:tcPr>
          <w:p w14:paraId="1461BEC1" w14:textId="6E74B752" w:rsidR="00114481" w:rsidRPr="002500FF" w:rsidRDefault="000D548C" w:rsidP="00114481">
            <w:pPr>
              <w:tabs>
                <w:tab w:val="decimal" w:pos="553"/>
              </w:tabs>
              <w:rPr>
                <w:rFonts w:ascii="Arial" w:hAnsi="Arial" w:cs="Arial"/>
                <w:b/>
                <w:bCs/>
                <w:sz w:val="18"/>
                <w:szCs w:val="18"/>
              </w:rPr>
            </w:pPr>
            <w:r>
              <w:rPr>
                <w:rFonts w:ascii="Arial" w:hAnsi="Arial" w:cs="Arial"/>
                <w:b/>
                <w:bCs/>
                <w:sz w:val="18"/>
                <w:szCs w:val="18"/>
              </w:rPr>
              <w:t>19.1</w:t>
            </w:r>
          </w:p>
        </w:tc>
        <w:tc>
          <w:tcPr>
            <w:tcW w:w="610" w:type="pct"/>
            <w:tcBorders>
              <w:top w:val="nil"/>
              <w:left w:val="nil"/>
              <w:bottom w:val="nil"/>
              <w:right w:val="double" w:sz="4" w:space="0" w:color="auto"/>
            </w:tcBorders>
            <w:vAlign w:val="center"/>
          </w:tcPr>
          <w:p w14:paraId="08D92F87" w14:textId="07E47DA1" w:rsidR="00114481" w:rsidRPr="002500FF" w:rsidRDefault="00114481" w:rsidP="00114481">
            <w:pPr>
              <w:tabs>
                <w:tab w:val="decimal" w:pos="471"/>
              </w:tabs>
              <w:rPr>
                <w:rFonts w:ascii="Arial" w:hAnsi="Arial" w:cs="Arial"/>
                <w:b/>
                <w:bCs/>
                <w:sz w:val="18"/>
                <w:szCs w:val="18"/>
              </w:rPr>
            </w:pPr>
            <w:r>
              <w:rPr>
                <w:rFonts w:ascii="Arial" w:hAnsi="Arial" w:cs="Arial"/>
                <w:b/>
                <w:bCs/>
                <w:sz w:val="18"/>
                <w:szCs w:val="18"/>
              </w:rPr>
              <w:t>19.2</w:t>
            </w:r>
          </w:p>
        </w:tc>
      </w:tr>
      <w:tr w:rsidR="00114481" w:rsidRPr="00075546" w14:paraId="5D502775" w14:textId="0F00FA7B" w:rsidTr="00E36909">
        <w:trPr>
          <w:jc w:val="center"/>
        </w:trPr>
        <w:tc>
          <w:tcPr>
            <w:tcW w:w="1310" w:type="pct"/>
            <w:tcBorders>
              <w:top w:val="nil"/>
              <w:left w:val="double" w:sz="4" w:space="0" w:color="auto"/>
              <w:bottom w:val="nil"/>
              <w:right w:val="double" w:sz="4" w:space="0" w:color="000000" w:themeColor="text1"/>
            </w:tcBorders>
            <w:vAlign w:val="center"/>
          </w:tcPr>
          <w:p w14:paraId="642858CB" w14:textId="77777777" w:rsidR="00114481" w:rsidRPr="00231C06" w:rsidRDefault="00114481" w:rsidP="00114481">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Automotriz</w:t>
            </w:r>
          </w:p>
        </w:tc>
        <w:tc>
          <w:tcPr>
            <w:tcW w:w="728" w:type="pct"/>
            <w:tcBorders>
              <w:top w:val="nil"/>
              <w:left w:val="double" w:sz="4" w:space="0" w:color="000000" w:themeColor="text1"/>
              <w:bottom w:val="nil"/>
              <w:right w:val="double" w:sz="4" w:space="0" w:color="000000" w:themeColor="text1"/>
            </w:tcBorders>
            <w:vAlign w:val="center"/>
          </w:tcPr>
          <w:p w14:paraId="7AE35AF4" w14:textId="624408C2" w:rsidR="00114481" w:rsidRPr="002500FF" w:rsidRDefault="00114481" w:rsidP="00114481">
            <w:pPr>
              <w:tabs>
                <w:tab w:val="decimal" w:pos="560"/>
              </w:tabs>
              <w:rPr>
                <w:rFonts w:ascii="Arial" w:hAnsi="Arial" w:cs="Arial"/>
                <w:sz w:val="18"/>
                <w:szCs w:val="18"/>
              </w:rPr>
            </w:pPr>
            <w:r>
              <w:rPr>
                <w:rFonts w:ascii="Arial" w:hAnsi="Arial" w:cs="Arial"/>
                <w:sz w:val="18"/>
                <w:szCs w:val="18"/>
              </w:rPr>
              <w:t>25.</w:t>
            </w:r>
            <w:r w:rsidR="000D548C">
              <w:rPr>
                <w:rFonts w:ascii="Arial" w:hAnsi="Arial" w:cs="Arial"/>
                <w:sz w:val="18"/>
                <w:szCs w:val="18"/>
              </w:rPr>
              <w:t>37</w:t>
            </w:r>
          </w:p>
        </w:tc>
        <w:tc>
          <w:tcPr>
            <w:tcW w:w="536" w:type="pct"/>
            <w:tcBorders>
              <w:top w:val="nil"/>
              <w:left w:val="double" w:sz="4" w:space="0" w:color="000000" w:themeColor="text1"/>
              <w:bottom w:val="nil"/>
              <w:right w:val="double" w:sz="4" w:space="0" w:color="000000" w:themeColor="text1"/>
            </w:tcBorders>
            <w:vAlign w:val="center"/>
          </w:tcPr>
          <w:p w14:paraId="723A6C74" w14:textId="5341D3E2" w:rsidR="00114481" w:rsidRPr="008F35A1" w:rsidRDefault="00114481" w:rsidP="00114481">
            <w:pPr>
              <w:tabs>
                <w:tab w:val="decimal" w:pos="506"/>
              </w:tabs>
              <w:rPr>
                <w:rFonts w:ascii="Arial" w:hAnsi="Arial" w:cs="Arial"/>
                <w:sz w:val="18"/>
                <w:szCs w:val="18"/>
              </w:rPr>
            </w:pPr>
            <w:r w:rsidRPr="008F35A1">
              <w:rPr>
                <w:rFonts w:ascii="Arial" w:hAnsi="Arial" w:cs="Arial"/>
                <w:sz w:val="18"/>
                <w:szCs w:val="18"/>
              </w:rPr>
              <w:t>13.7</w:t>
            </w:r>
          </w:p>
        </w:tc>
        <w:tc>
          <w:tcPr>
            <w:tcW w:w="598" w:type="pct"/>
            <w:tcBorders>
              <w:top w:val="nil"/>
              <w:left w:val="double" w:sz="4" w:space="0" w:color="000000" w:themeColor="text1"/>
              <w:bottom w:val="nil"/>
              <w:right w:val="nil"/>
            </w:tcBorders>
            <w:vAlign w:val="center"/>
          </w:tcPr>
          <w:p w14:paraId="245B8938" w14:textId="5D4FF849" w:rsidR="00114481" w:rsidRPr="008F35A1" w:rsidRDefault="00114481" w:rsidP="00114481">
            <w:pPr>
              <w:tabs>
                <w:tab w:val="decimal" w:pos="534"/>
              </w:tabs>
              <w:rPr>
                <w:rFonts w:ascii="Arial" w:hAnsi="Arial" w:cs="Arial"/>
                <w:sz w:val="18"/>
                <w:szCs w:val="18"/>
              </w:rPr>
            </w:pPr>
            <w:r>
              <w:rPr>
                <w:rFonts w:ascii="Arial" w:hAnsi="Arial" w:cs="Arial"/>
                <w:sz w:val="18"/>
                <w:szCs w:val="18"/>
              </w:rPr>
              <w:t>43.7</w:t>
            </w:r>
          </w:p>
        </w:tc>
        <w:tc>
          <w:tcPr>
            <w:tcW w:w="598" w:type="pct"/>
            <w:tcBorders>
              <w:top w:val="nil"/>
              <w:left w:val="nil"/>
              <w:bottom w:val="nil"/>
              <w:right w:val="nil"/>
            </w:tcBorders>
            <w:vAlign w:val="center"/>
          </w:tcPr>
          <w:p w14:paraId="465F9E7E" w14:textId="5276FFC1" w:rsidR="00114481" w:rsidRPr="008F35A1" w:rsidRDefault="00114481" w:rsidP="00114481">
            <w:pPr>
              <w:tabs>
                <w:tab w:val="decimal" w:pos="512"/>
              </w:tabs>
              <w:rPr>
                <w:rFonts w:ascii="Arial" w:hAnsi="Arial" w:cs="Arial"/>
                <w:sz w:val="18"/>
                <w:szCs w:val="18"/>
              </w:rPr>
            </w:pPr>
            <w:r>
              <w:rPr>
                <w:rFonts w:ascii="Arial" w:hAnsi="Arial" w:cs="Arial"/>
                <w:sz w:val="18"/>
                <w:szCs w:val="18"/>
              </w:rPr>
              <w:t>36.4</w:t>
            </w:r>
          </w:p>
        </w:tc>
        <w:tc>
          <w:tcPr>
            <w:tcW w:w="620" w:type="pct"/>
            <w:tcBorders>
              <w:top w:val="nil"/>
              <w:left w:val="nil"/>
              <w:bottom w:val="nil"/>
              <w:right w:val="nil"/>
            </w:tcBorders>
            <w:vAlign w:val="center"/>
          </w:tcPr>
          <w:p w14:paraId="12AF85BB" w14:textId="188DDB6B" w:rsidR="00114481" w:rsidRPr="002500FF" w:rsidRDefault="000D548C" w:rsidP="00114481">
            <w:pPr>
              <w:tabs>
                <w:tab w:val="decimal" w:pos="553"/>
              </w:tabs>
              <w:rPr>
                <w:rFonts w:ascii="Arial" w:hAnsi="Arial" w:cs="Arial"/>
                <w:sz w:val="18"/>
                <w:szCs w:val="18"/>
              </w:rPr>
            </w:pPr>
            <w:r>
              <w:rPr>
                <w:rFonts w:ascii="Arial" w:hAnsi="Arial" w:cs="Arial"/>
                <w:sz w:val="18"/>
                <w:szCs w:val="18"/>
              </w:rPr>
              <w:t>31.5</w:t>
            </w:r>
          </w:p>
        </w:tc>
        <w:tc>
          <w:tcPr>
            <w:tcW w:w="610" w:type="pct"/>
            <w:tcBorders>
              <w:top w:val="nil"/>
              <w:left w:val="nil"/>
              <w:bottom w:val="nil"/>
              <w:right w:val="double" w:sz="4" w:space="0" w:color="auto"/>
            </w:tcBorders>
            <w:vAlign w:val="center"/>
          </w:tcPr>
          <w:p w14:paraId="3395E925" w14:textId="5541C466" w:rsidR="00114481" w:rsidRPr="002500FF" w:rsidRDefault="000D548C" w:rsidP="00114481">
            <w:pPr>
              <w:tabs>
                <w:tab w:val="decimal" w:pos="471"/>
              </w:tabs>
              <w:rPr>
                <w:rFonts w:ascii="Arial" w:hAnsi="Arial" w:cs="Arial"/>
                <w:sz w:val="18"/>
                <w:szCs w:val="18"/>
              </w:rPr>
            </w:pPr>
            <w:r>
              <w:rPr>
                <w:rFonts w:ascii="Arial" w:hAnsi="Arial" w:cs="Arial"/>
                <w:sz w:val="18"/>
                <w:szCs w:val="18"/>
              </w:rPr>
              <w:t>19.2</w:t>
            </w:r>
          </w:p>
        </w:tc>
      </w:tr>
      <w:tr w:rsidR="00114481" w:rsidRPr="00075546" w14:paraId="514B537E" w14:textId="191E0D94" w:rsidTr="00E36909">
        <w:trPr>
          <w:jc w:val="center"/>
        </w:trPr>
        <w:tc>
          <w:tcPr>
            <w:tcW w:w="1310" w:type="pct"/>
            <w:tcBorders>
              <w:top w:val="nil"/>
              <w:left w:val="double" w:sz="4" w:space="0" w:color="auto"/>
              <w:bottom w:val="nil"/>
              <w:right w:val="double" w:sz="4" w:space="0" w:color="000000" w:themeColor="text1"/>
            </w:tcBorders>
            <w:vAlign w:val="center"/>
          </w:tcPr>
          <w:p w14:paraId="67068B9E" w14:textId="77777777" w:rsidR="00114481" w:rsidRPr="00231C06" w:rsidRDefault="00114481" w:rsidP="00114481">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Otras</w:t>
            </w:r>
          </w:p>
        </w:tc>
        <w:tc>
          <w:tcPr>
            <w:tcW w:w="728" w:type="pct"/>
            <w:tcBorders>
              <w:top w:val="nil"/>
              <w:left w:val="double" w:sz="4" w:space="0" w:color="000000" w:themeColor="text1"/>
              <w:bottom w:val="nil"/>
              <w:right w:val="double" w:sz="4" w:space="0" w:color="000000" w:themeColor="text1"/>
            </w:tcBorders>
            <w:vAlign w:val="center"/>
          </w:tcPr>
          <w:p w14:paraId="01271D9F" w14:textId="3B54185E" w:rsidR="00114481" w:rsidRPr="002500FF" w:rsidRDefault="00114481" w:rsidP="00114481">
            <w:pPr>
              <w:tabs>
                <w:tab w:val="decimal" w:pos="560"/>
              </w:tabs>
              <w:rPr>
                <w:rFonts w:ascii="Arial" w:hAnsi="Arial" w:cs="Arial"/>
                <w:bCs/>
                <w:sz w:val="18"/>
                <w:szCs w:val="18"/>
              </w:rPr>
            </w:pPr>
            <w:r w:rsidRPr="002500FF">
              <w:rPr>
                <w:rFonts w:ascii="Arial" w:hAnsi="Arial" w:cs="Arial"/>
                <w:sz w:val="18"/>
                <w:szCs w:val="18"/>
              </w:rPr>
              <w:t>57.</w:t>
            </w:r>
            <w:r w:rsidR="000D548C">
              <w:rPr>
                <w:rFonts w:ascii="Arial" w:hAnsi="Arial" w:cs="Arial"/>
                <w:sz w:val="18"/>
                <w:szCs w:val="18"/>
              </w:rPr>
              <w:t>25</w:t>
            </w:r>
          </w:p>
        </w:tc>
        <w:tc>
          <w:tcPr>
            <w:tcW w:w="536" w:type="pct"/>
            <w:tcBorders>
              <w:top w:val="nil"/>
              <w:left w:val="double" w:sz="4" w:space="0" w:color="000000" w:themeColor="text1"/>
              <w:bottom w:val="nil"/>
              <w:right w:val="double" w:sz="4" w:space="0" w:color="000000" w:themeColor="text1"/>
            </w:tcBorders>
            <w:vAlign w:val="center"/>
          </w:tcPr>
          <w:p w14:paraId="789138D6" w14:textId="50A08003" w:rsidR="00114481" w:rsidRPr="008F35A1" w:rsidRDefault="00114481" w:rsidP="00114481">
            <w:pPr>
              <w:tabs>
                <w:tab w:val="decimal" w:pos="506"/>
              </w:tabs>
              <w:rPr>
                <w:rFonts w:ascii="Arial" w:hAnsi="Arial" w:cs="Arial"/>
                <w:sz w:val="18"/>
                <w:szCs w:val="18"/>
              </w:rPr>
            </w:pPr>
            <w:r w:rsidRPr="008F35A1">
              <w:rPr>
                <w:rFonts w:ascii="Arial" w:hAnsi="Arial" w:cs="Arial"/>
                <w:sz w:val="18"/>
                <w:szCs w:val="18"/>
              </w:rPr>
              <w:t>17.4</w:t>
            </w:r>
          </w:p>
        </w:tc>
        <w:tc>
          <w:tcPr>
            <w:tcW w:w="598" w:type="pct"/>
            <w:tcBorders>
              <w:top w:val="nil"/>
              <w:left w:val="double" w:sz="4" w:space="0" w:color="000000" w:themeColor="text1"/>
              <w:bottom w:val="nil"/>
              <w:right w:val="nil"/>
            </w:tcBorders>
            <w:vAlign w:val="center"/>
          </w:tcPr>
          <w:p w14:paraId="6D9EAF4A" w14:textId="08D138DB" w:rsidR="00114481" w:rsidRPr="008F35A1" w:rsidRDefault="00114481" w:rsidP="00114481">
            <w:pPr>
              <w:tabs>
                <w:tab w:val="decimal" w:pos="534"/>
              </w:tabs>
              <w:rPr>
                <w:rFonts w:ascii="Arial" w:hAnsi="Arial" w:cs="Arial"/>
                <w:sz w:val="18"/>
                <w:szCs w:val="18"/>
              </w:rPr>
            </w:pPr>
            <w:r>
              <w:rPr>
                <w:rFonts w:ascii="Arial" w:hAnsi="Arial" w:cs="Arial"/>
                <w:sz w:val="18"/>
                <w:szCs w:val="18"/>
              </w:rPr>
              <w:t>21.1</w:t>
            </w:r>
          </w:p>
        </w:tc>
        <w:tc>
          <w:tcPr>
            <w:tcW w:w="598" w:type="pct"/>
            <w:tcBorders>
              <w:top w:val="nil"/>
              <w:left w:val="nil"/>
              <w:bottom w:val="nil"/>
              <w:right w:val="nil"/>
            </w:tcBorders>
            <w:vAlign w:val="center"/>
          </w:tcPr>
          <w:p w14:paraId="763E5B8E" w14:textId="69BE33BD" w:rsidR="00114481" w:rsidRPr="008F35A1" w:rsidRDefault="00114481" w:rsidP="00114481">
            <w:pPr>
              <w:tabs>
                <w:tab w:val="decimal" w:pos="512"/>
              </w:tabs>
              <w:rPr>
                <w:rFonts w:ascii="Arial" w:hAnsi="Arial" w:cs="Arial"/>
                <w:sz w:val="18"/>
                <w:szCs w:val="18"/>
              </w:rPr>
            </w:pPr>
            <w:r>
              <w:rPr>
                <w:rFonts w:ascii="Arial" w:hAnsi="Arial" w:cs="Arial"/>
                <w:sz w:val="18"/>
                <w:szCs w:val="18"/>
              </w:rPr>
              <w:t>20.6</w:t>
            </w:r>
          </w:p>
        </w:tc>
        <w:tc>
          <w:tcPr>
            <w:tcW w:w="620" w:type="pct"/>
            <w:tcBorders>
              <w:top w:val="nil"/>
              <w:left w:val="nil"/>
              <w:bottom w:val="nil"/>
              <w:right w:val="nil"/>
            </w:tcBorders>
            <w:vAlign w:val="center"/>
          </w:tcPr>
          <w:p w14:paraId="7F4D1C19" w14:textId="4320FBD5" w:rsidR="00114481" w:rsidRPr="002500FF" w:rsidRDefault="000D548C" w:rsidP="00114481">
            <w:pPr>
              <w:tabs>
                <w:tab w:val="decimal" w:pos="553"/>
              </w:tabs>
              <w:rPr>
                <w:rFonts w:ascii="Arial" w:hAnsi="Arial" w:cs="Arial"/>
                <w:sz w:val="18"/>
                <w:szCs w:val="18"/>
              </w:rPr>
            </w:pPr>
            <w:r>
              <w:rPr>
                <w:rFonts w:ascii="Arial" w:hAnsi="Arial" w:cs="Arial"/>
                <w:sz w:val="18"/>
                <w:szCs w:val="18"/>
              </w:rPr>
              <w:t>14.0</w:t>
            </w:r>
          </w:p>
        </w:tc>
        <w:tc>
          <w:tcPr>
            <w:tcW w:w="610" w:type="pct"/>
            <w:tcBorders>
              <w:top w:val="nil"/>
              <w:left w:val="nil"/>
              <w:bottom w:val="nil"/>
              <w:right w:val="double" w:sz="4" w:space="0" w:color="auto"/>
            </w:tcBorders>
            <w:vAlign w:val="center"/>
          </w:tcPr>
          <w:p w14:paraId="30FBB824" w14:textId="5F765692" w:rsidR="00114481" w:rsidRPr="002500FF" w:rsidRDefault="00114481" w:rsidP="00114481">
            <w:pPr>
              <w:tabs>
                <w:tab w:val="decimal" w:pos="471"/>
              </w:tabs>
              <w:rPr>
                <w:rFonts w:ascii="Arial" w:hAnsi="Arial" w:cs="Arial"/>
                <w:sz w:val="18"/>
                <w:szCs w:val="18"/>
              </w:rPr>
            </w:pPr>
            <w:r w:rsidRPr="002500FF">
              <w:rPr>
                <w:rFonts w:ascii="Arial" w:hAnsi="Arial" w:cs="Arial"/>
                <w:sz w:val="18"/>
                <w:szCs w:val="18"/>
              </w:rPr>
              <w:t>19.</w:t>
            </w:r>
            <w:r w:rsidR="000D548C">
              <w:rPr>
                <w:rFonts w:ascii="Arial" w:hAnsi="Arial" w:cs="Arial"/>
                <w:sz w:val="18"/>
                <w:szCs w:val="18"/>
              </w:rPr>
              <w:t>1</w:t>
            </w:r>
          </w:p>
        </w:tc>
      </w:tr>
      <w:tr w:rsidR="00114481" w:rsidRPr="00075546" w14:paraId="5CF8F748" w14:textId="43D3FA98" w:rsidTr="00E36909">
        <w:trPr>
          <w:jc w:val="center"/>
        </w:trPr>
        <w:tc>
          <w:tcPr>
            <w:tcW w:w="1310" w:type="pct"/>
            <w:tcBorders>
              <w:top w:val="nil"/>
              <w:left w:val="double" w:sz="4" w:space="0" w:color="auto"/>
              <w:bottom w:val="nil"/>
              <w:right w:val="double" w:sz="4" w:space="0" w:color="000000" w:themeColor="text1"/>
            </w:tcBorders>
            <w:vAlign w:val="center"/>
          </w:tcPr>
          <w:p w14:paraId="51CEDAD2" w14:textId="77777777" w:rsidR="00114481" w:rsidRPr="00231C06" w:rsidRDefault="00114481" w:rsidP="00114481">
            <w:pPr>
              <w:pStyle w:val="Textoindependiente21"/>
              <w:keepNext/>
              <w:keepLines/>
              <w:widowControl w:val="0"/>
              <w:numPr>
                <w:ilvl w:val="12"/>
                <w:numId w:val="0"/>
              </w:numPr>
              <w:spacing w:before="20" w:after="0"/>
              <w:ind w:left="170" w:right="-79" w:firstLine="11"/>
              <w:rPr>
                <w:rFonts w:cs="Arial"/>
                <w:b/>
                <w:sz w:val="18"/>
                <w:szCs w:val="18"/>
                <w:lang w:val="es-ES"/>
              </w:rPr>
            </w:pPr>
            <w:r w:rsidRPr="00231C06">
              <w:rPr>
                <w:rFonts w:cs="Arial"/>
                <w:b/>
                <w:sz w:val="18"/>
                <w:szCs w:val="18"/>
                <w:lang w:val="es-ES"/>
              </w:rPr>
              <w:t>Resto del Mundo</w:t>
            </w:r>
          </w:p>
        </w:tc>
        <w:tc>
          <w:tcPr>
            <w:tcW w:w="728" w:type="pct"/>
            <w:tcBorders>
              <w:top w:val="nil"/>
              <w:left w:val="double" w:sz="4" w:space="0" w:color="000000" w:themeColor="text1"/>
              <w:bottom w:val="nil"/>
              <w:right w:val="double" w:sz="4" w:space="0" w:color="000000" w:themeColor="text1"/>
            </w:tcBorders>
            <w:vAlign w:val="center"/>
          </w:tcPr>
          <w:p w14:paraId="07AD8029" w14:textId="4926C03A" w:rsidR="00114481" w:rsidRPr="002500FF" w:rsidRDefault="00114481" w:rsidP="00114481">
            <w:pPr>
              <w:tabs>
                <w:tab w:val="decimal" w:pos="560"/>
              </w:tabs>
              <w:rPr>
                <w:rFonts w:ascii="Arial" w:hAnsi="Arial" w:cs="Arial"/>
                <w:b/>
                <w:bCs/>
                <w:sz w:val="18"/>
                <w:szCs w:val="18"/>
              </w:rPr>
            </w:pPr>
            <w:r w:rsidRPr="002500FF">
              <w:rPr>
                <w:rFonts w:ascii="Arial" w:hAnsi="Arial" w:cs="Arial"/>
                <w:b/>
                <w:bCs/>
                <w:sz w:val="18"/>
                <w:szCs w:val="18"/>
              </w:rPr>
              <w:t>17.</w:t>
            </w:r>
            <w:r w:rsidR="000D548C">
              <w:rPr>
                <w:rFonts w:ascii="Arial" w:hAnsi="Arial" w:cs="Arial"/>
                <w:b/>
                <w:bCs/>
                <w:sz w:val="18"/>
                <w:szCs w:val="18"/>
              </w:rPr>
              <w:t>38</w:t>
            </w:r>
          </w:p>
        </w:tc>
        <w:tc>
          <w:tcPr>
            <w:tcW w:w="536" w:type="pct"/>
            <w:tcBorders>
              <w:top w:val="nil"/>
              <w:left w:val="double" w:sz="4" w:space="0" w:color="000000" w:themeColor="text1"/>
              <w:bottom w:val="nil"/>
              <w:right w:val="double" w:sz="4" w:space="0" w:color="000000" w:themeColor="text1"/>
            </w:tcBorders>
            <w:vAlign w:val="center"/>
          </w:tcPr>
          <w:p w14:paraId="0279DE16" w14:textId="36F3BF90" w:rsidR="00114481" w:rsidRPr="008F35A1" w:rsidRDefault="00114481" w:rsidP="00114481">
            <w:pPr>
              <w:tabs>
                <w:tab w:val="decimal" w:pos="506"/>
              </w:tabs>
              <w:rPr>
                <w:rFonts w:ascii="Arial" w:hAnsi="Arial" w:cs="Arial"/>
                <w:b/>
                <w:bCs/>
                <w:sz w:val="18"/>
                <w:szCs w:val="18"/>
              </w:rPr>
            </w:pPr>
            <w:r w:rsidRPr="008F35A1">
              <w:rPr>
                <w:rFonts w:ascii="Arial" w:hAnsi="Arial" w:cs="Arial"/>
                <w:b/>
                <w:bCs/>
                <w:sz w:val="18"/>
                <w:szCs w:val="18"/>
              </w:rPr>
              <w:t>17.9</w:t>
            </w:r>
          </w:p>
        </w:tc>
        <w:tc>
          <w:tcPr>
            <w:tcW w:w="598" w:type="pct"/>
            <w:tcBorders>
              <w:top w:val="nil"/>
              <w:left w:val="double" w:sz="4" w:space="0" w:color="000000" w:themeColor="text1"/>
              <w:bottom w:val="nil"/>
              <w:right w:val="nil"/>
            </w:tcBorders>
            <w:vAlign w:val="center"/>
          </w:tcPr>
          <w:p w14:paraId="4F444854" w14:textId="15FB9745" w:rsidR="00114481" w:rsidRPr="008F35A1" w:rsidRDefault="00114481" w:rsidP="00114481">
            <w:pPr>
              <w:tabs>
                <w:tab w:val="decimal" w:pos="534"/>
              </w:tabs>
              <w:rPr>
                <w:rFonts w:ascii="Arial" w:hAnsi="Arial" w:cs="Arial"/>
                <w:b/>
                <w:bCs/>
                <w:sz w:val="18"/>
                <w:szCs w:val="18"/>
              </w:rPr>
            </w:pPr>
            <w:r>
              <w:rPr>
                <w:rFonts w:ascii="Arial" w:hAnsi="Arial" w:cs="Arial"/>
                <w:b/>
                <w:bCs/>
                <w:sz w:val="18"/>
                <w:szCs w:val="18"/>
              </w:rPr>
              <w:t>17.0</w:t>
            </w:r>
          </w:p>
        </w:tc>
        <w:tc>
          <w:tcPr>
            <w:tcW w:w="598" w:type="pct"/>
            <w:tcBorders>
              <w:top w:val="nil"/>
              <w:left w:val="nil"/>
              <w:bottom w:val="nil"/>
              <w:right w:val="nil"/>
            </w:tcBorders>
            <w:vAlign w:val="center"/>
          </w:tcPr>
          <w:p w14:paraId="1849A984" w14:textId="06B6460B" w:rsidR="00114481" w:rsidRPr="008F35A1" w:rsidRDefault="00114481" w:rsidP="00114481">
            <w:pPr>
              <w:tabs>
                <w:tab w:val="decimal" w:pos="512"/>
              </w:tabs>
              <w:rPr>
                <w:rFonts w:ascii="Arial" w:hAnsi="Arial" w:cs="Arial"/>
                <w:b/>
                <w:bCs/>
                <w:sz w:val="18"/>
                <w:szCs w:val="18"/>
              </w:rPr>
            </w:pPr>
            <w:r>
              <w:rPr>
                <w:rFonts w:ascii="Arial" w:hAnsi="Arial" w:cs="Arial"/>
                <w:b/>
                <w:bCs/>
                <w:sz w:val="18"/>
                <w:szCs w:val="18"/>
              </w:rPr>
              <w:t>23.8</w:t>
            </w:r>
          </w:p>
        </w:tc>
        <w:tc>
          <w:tcPr>
            <w:tcW w:w="620" w:type="pct"/>
            <w:tcBorders>
              <w:top w:val="nil"/>
              <w:left w:val="nil"/>
              <w:bottom w:val="nil"/>
              <w:right w:val="nil"/>
            </w:tcBorders>
            <w:vAlign w:val="center"/>
          </w:tcPr>
          <w:p w14:paraId="32DD9456" w14:textId="6CBD7DBD" w:rsidR="00114481" w:rsidRPr="002500FF" w:rsidRDefault="000D548C" w:rsidP="00114481">
            <w:pPr>
              <w:tabs>
                <w:tab w:val="decimal" w:pos="553"/>
              </w:tabs>
              <w:rPr>
                <w:rFonts w:ascii="Arial" w:hAnsi="Arial" w:cs="Arial"/>
                <w:b/>
                <w:bCs/>
                <w:sz w:val="18"/>
                <w:szCs w:val="18"/>
              </w:rPr>
            </w:pPr>
            <w:r>
              <w:rPr>
                <w:rFonts w:ascii="Arial" w:hAnsi="Arial" w:cs="Arial"/>
                <w:b/>
                <w:bCs/>
                <w:sz w:val="18"/>
                <w:szCs w:val="18"/>
              </w:rPr>
              <w:t>15.3</w:t>
            </w:r>
          </w:p>
        </w:tc>
        <w:tc>
          <w:tcPr>
            <w:tcW w:w="610" w:type="pct"/>
            <w:tcBorders>
              <w:top w:val="nil"/>
              <w:left w:val="nil"/>
              <w:bottom w:val="nil"/>
              <w:right w:val="double" w:sz="4" w:space="0" w:color="auto"/>
            </w:tcBorders>
            <w:vAlign w:val="center"/>
          </w:tcPr>
          <w:p w14:paraId="364177EE" w14:textId="1EC34861" w:rsidR="00114481" w:rsidRPr="002500FF" w:rsidRDefault="00114481" w:rsidP="00114481">
            <w:pPr>
              <w:tabs>
                <w:tab w:val="decimal" w:pos="471"/>
              </w:tabs>
              <w:rPr>
                <w:rFonts w:ascii="Arial" w:hAnsi="Arial" w:cs="Arial"/>
                <w:b/>
                <w:bCs/>
                <w:sz w:val="18"/>
                <w:szCs w:val="18"/>
              </w:rPr>
            </w:pPr>
            <w:r>
              <w:rPr>
                <w:rFonts w:ascii="Arial" w:hAnsi="Arial" w:cs="Arial"/>
                <w:b/>
                <w:bCs/>
                <w:sz w:val="18"/>
                <w:szCs w:val="18"/>
              </w:rPr>
              <w:t>12.</w:t>
            </w:r>
            <w:r w:rsidR="000D548C">
              <w:rPr>
                <w:rFonts w:ascii="Arial" w:hAnsi="Arial" w:cs="Arial"/>
                <w:b/>
                <w:bCs/>
                <w:sz w:val="18"/>
                <w:szCs w:val="18"/>
              </w:rPr>
              <w:t>6</w:t>
            </w:r>
          </w:p>
        </w:tc>
      </w:tr>
      <w:tr w:rsidR="00114481" w:rsidRPr="00075546" w14:paraId="46A4E156" w14:textId="08A2AFB8" w:rsidTr="00E36909">
        <w:trPr>
          <w:jc w:val="center"/>
        </w:trPr>
        <w:tc>
          <w:tcPr>
            <w:tcW w:w="1310" w:type="pct"/>
            <w:tcBorders>
              <w:top w:val="nil"/>
              <w:left w:val="double" w:sz="4" w:space="0" w:color="auto"/>
              <w:bottom w:val="nil"/>
              <w:right w:val="double" w:sz="4" w:space="0" w:color="000000" w:themeColor="text1"/>
            </w:tcBorders>
            <w:vAlign w:val="center"/>
          </w:tcPr>
          <w:p w14:paraId="56337D31" w14:textId="77777777" w:rsidR="00114481" w:rsidRPr="00231C06" w:rsidRDefault="00114481" w:rsidP="00114481">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Automotriz</w:t>
            </w:r>
          </w:p>
        </w:tc>
        <w:tc>
          <w:tcPr>
            <w:tcW w:w="728" w:type="pct"/>
            <w:tcBorders>
              <w:top w:val="nil"/>
              <w:left w:val="double" w:sz="4" w:space="0" w:color="000000" w:themeColor="text1"/>
              <w:bottom w:val="nil"/>
              <w:right w:val="double" w:sz="4" w:space="0" w:color="000000" w:themeColor="text1"/>
            </w:tcBorders>
            <w:vAlign w:val="center"/>
          </w:tcPr>
          <w:p w14:paraId="10569A32" w14:textId="727D1DDA" w:rsidR="00114481" w:rsidRPr="002500FF" w:rsidRDefault="00114481" w:rsidP="00114481">
            <w:pPr>
              <w:tabs>
                <w:tab w:val="decimal" w:pos="560"/>
              </w:tabs>
              <w:rPr>
                <w:rFonts w:ascii="Arial" w:hAnsi="Arial" w:cs="Arial"/>
                <w:sz w:val="18"/>
                <w:szCs w:val="18"/>
              </w:rPr>
            </w:pPr>
            <w:r w:rsidRPr="002500FF">
              <w:rPr>
                <w:rFonts w:ascii="Arial" w:hAnsi="Arial" w:cs="Arial"/>
                <w:sz w:val="18"/>
                <w:szCs w:val="18"/>
              </w:rPr>
              <w:t>5.</w:t>
            </w:r>
            <w:r>
              <w:rPr>
                <w:rFonts w:ascii="Arial" w:hAnsi="Arial" w:cs="Arial"/>
                <w:sz w:val="18"/>
                <w:szCs w:val="18"/>
              </w:rPr>
              <w:t>1</w:t>
            </w:r>
            <w:r w:rsidR="000D548C">
              <w:rPr>
                <w:rFonts w:ascii="Arial" w:hAnsi="Arial" w:cs="Arial"/>
                <w:sz w:val="18"/>
                <w:szCs w:val="18"/>
              </w:rPr>
              <w:t>4</w:t>
            </w:r>
          </w:p>
        </w:tc>
        <w:tc>
          <w:tcPr>
            <w:tcW w:w="536" w:type="pct"/>
            <w:tcBorders>
              <w:top w:val="nil"/>
              <w:left w:val="double" w:sz="4" w:space="0" w:color="000000" w:themeColor="text1"/>
              <w:bottom w:val="nil"/>
              <w:right w:val="double" w:sz="4" w:space="0" w:color="000000" w:themeColor="text1"/>
            </w:tcBorders>
            <w:vAlign w:val="center"/>
          </w:tcPr>
          <w:p w14:paraId="2DFB7E60" w14:textId="2ADFB2C7" w:rsidR="00114481" w:rsidRPr="008F35A1" w:rsidRDefault="00114481" w:rsidP="00114481">
            <w:pPr>
              <w:tabs>
                <w:tab w:val="decimal" w:pos="506"/>
              </w:tabs>
              <w:rPr>
                <w:rFonts w:ascii="Arial" w:hAnsi="Arial" w:cs="Arial"/>
                <w:sz w:val="18"/>
                <w:szCs w:val="18"/>
              </w:rPr>
            </w:pPr>
            <w:r w:rsidRPr="008F35A1">
              <w:rPr>
                <w:rFonts w:ascii="Arial" w:hAnsi="Arial" w:cs="Arial"/>
                <w:sz w:val="18"/>
                <w:szCs w:val="18"/>
              </w:rPr>
              <w:t>14.1</w:t>
            </w:r>
          </w:p>
        </w:tc>
        <w:tc>
          <w:tcPr>
            <w:tcW w:w="598" w:type="pct"/>
            <w:tcBorders>
              <w:top w:val="nil"/>
              <w:left w:val="double" w:sz="4" w:space="0" w:color="000000" w:themeColor="text1"/>
              <w:bottom w:val="nil"/>
              <w:right w:val="nil"/>
            </w:tcBorders>
            <w:vAlign w:val="center"/>
          </w:tcPr>
          <w:p w14:paraId="18D0A051" w14:textId="235027DF" w:rsidR="00114481" w:rsidRPr="008F35A1" w:rsidRDefault="00114481" w:rsidP="00114481">
            <w:pPr>
              <w:tabs>
                <w:tab w:val="decimal" w:pos="534"/>
              </w:tabs>
              <w:rPr>
                <w:rFonts w:ascii="Arial" w:hAnsi="Arial" w:cs="Arial"/>
                <w:sz w:val="18"/>
                <w:szCs w:val="18"/>
              </w:rPr>
            </w:pPr>
            <w:r>
              <w:rPr>
                <w:rFonts w:ascii="Arial" w:hAnsi="Arial" w:cs="Arial"/>
                <w:sz w:val="18"/>
                <w:szCs w:val="18"/>
              </w:rPr>
              <w:t>36.7</w:t>
            </w:r>
          </w:p>
        </w:tc>
        <w:tc>
          <w:tcPr>
            <w:tcW w:w="598" w:type="pct"/>
            <w:tcBorders>
              <w:top w:val="nil"/>
              <w:left w:val="nil"/>
              <w:bottom w:val="nil"/>
              <w:right w:val="nil"/>
            </w:tcBorders>
            <w:vAlign w:val="center"/>
          </w:tcPr>
          <w:p w14:paraId="242BFD65" w14:textId="5386CCA6" w:rsidR="00114481" w:rsidRPr="008F35A1" w:rsidRDefault="00114481" w:rsidP="00114481">
            <w:pPr>
              <w:tabs>
                <w:tab w:val="decimal" w:pos="512"/>
              </w:tabs>
              <w:rPr>
                <w:rFonts w:ascii="Arial" w:hAnsi="Arial" w:cs="Arial"/>
                <w:sz w:val="18"/>
                <w:szCs w:val="18"/>
              </w:rPr>
            </w:pPr>
            <w:r>
              <w:rPr>
                <w:rFonts w:ascii="Arial" w:hAnsi="Arial" w:cs="Arial"/>
                <w:sz w:val="18"/>
                <w:szCs w:val="18"/>
              </w:rPr>
              <w:t>78.1</w:t>
            </w:r>
          </w:p>
        </w:tc>
        <w:tc>
          <w:tcPr>
            <w:tcW w:w="620" w:type="pct"/>
            <w:tcBorders>
              <w:top w:val="nil"/>
              <w:left w:val="nil"/>
              <w:bottom w:val="nil"/>
              <w:right w:val="nil"/>
            </w:tcBorders>
            <w:vAlign w:val="center"/>
          </w:tcPr>
          <w:p w14:paraId="346A9A32" w14:textId="7D73BC36" w:rsidR="00114481" w:rsidRPr="002500FF" w:rsidRDefault="000D548C" w:rsidP="00114481">
            <w:pPr>
              <w:tabs>
                <w:tab w:val="decimal" w:pos="553"/>
              </w:tabs>
              <w:rPr>
                <w:rFonts w:ascii="Arial" w:hAnsi="Arial" w:cs="Arial"/>
                <w:sz w:val="18"/>
                <w:szCs w:val="18"/>
              </w:rPr>
            </w:pPr>
            <w:r>
              <w:rPr>
                <w:rFonts w:ascii="Arial" w:hAnsi="Arial" w:cs="Arial"/>
                <w:sz w:val="18"/>
                <w:szCs w:val="18"/>
              </w:rPr>
              <w:t>47.7</w:t>
            </w:r>
          </w:p>
        </w:tc>
        <w:tc>
          <w:tcPr>
            <w:tcW w:w="610" w:type="pct"/>
            <w:tcBorders>
              <w:top w:val="nil"/>
              <w:left w:val="nil"/>
              <w:bottom w:val="nil"/>
              <w:right w:val="double" w:sz="4" w:space="0" w:color="auto"/>
            </w:tcBorders>
            <w:vAlign w:val="center"/>
          </w:tcPr>
          <w:p w14:paraId="643BD98B" w14:textId="4CF12A55" w:rsidR="00114481" w:rsidRPr="002500FF" w:rsidRDefault="000D548C" w:rsidP="00114481">
            <w:pPr>
              <w:tabs>
                <w:tab w:val="decimal" w:pos="471"/>
              </w:tabs>
              <w:rPr>
                <w:rFonts w:ascii="Arial" w:hAnsi="Arial" w:cs="Arial"/>
                <w:sz w:val="18"/>
                <w:szCs w:val="18"/>
              </w:rPr>
            </w:pPr>
            <w:r>
              <w:rPr>
                <w:rFonts w:ascii="Arial" w:hAnsi="Arial" w:cs="Arial"/>
                <w:sz w:val="18"/>
                <w:szCs w:val="18"/>
              </w:rPr>
              <w:t>21.9</w:t>
            </w:r>
          </w:p>
        </w:tc>
      </w:tr>
      <w:tr w:rsidR="00114481" w:rsidRPr="00075546" w14:paraId="6D5F9A46" w14:textId="67159012" w:rsidTr="00E36909">
        <w:trPr>
          <w:jc w:val="center"/>
        </w:trPr>
        <w:tc>
          <w:tcPr>
            <w:tcW w:w="1310" w:type="pct"/>
            <w:tcBorders>
              <w:top w:val="nil"/>
              <w:left w:val="double" w:sz="4" w:space="0" w:color="auto"/>
              <w:bottom w:val="double" w:sz="4" w:space="0" w:color="auto"/>
              <w:right w:val="double" w:sz="4" w:space="0" w:color="000000" w:themeColor="text1"/>
            </w:tcBorders>
            <w:vAlign w:val="center"/>
          </w:tcPr>
          <w:p w14:paraId="3E656B52" w14:textId="77777777" w:rsidR="00114481" w:rsidRPr="00231C06" w:rsidRDefault="00114481" w:rsidP="00114481">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Otras</w:t>
            </w:r>
          </w:p>
        </w:tc>
        <w:tc>
          <w:tcPr>
            <w:tcW w:w="728" w:type="pct"/>
            <w:tcBorders>
              <w:top w:val="nil"/>
              <w:left w:val="double" w:sz="4" w:space="0" w:color="000000" w:themeColor="text1"/>
              <w:bottom w:val="double" w:sz="4" w:space="0" w:color="000000" w:themeColor="text1"/>
              <w:right w:val="double" w:sz="4" w:space="0" w:color="000000" w:themeColor="text1"/>
            </w:tcBorders>
            <w:vAlign w:val="center"/>
          </w:tcPr>
          <w:p w14:paraId="53D302C7" w14:textId="27E23CFE" w:rsidR="00114481" w:rsidRPr="002500FF" w:rsidRDefault="00114481" w:rsidP="00114481">
            <w:pPr>
              <w:tabs>
                <w:tab w:val="decimal" w:pos="560"/>
              </w:tabs>
              <w:rPr>
                <w:rFonts w:ascii="Arial" w:hAnsi="Arial" w:cs="Arial"/>
                <w:bCs/>
                <w:sz w:val="18"/>
                <w:szCs w:val="18"/>
              </w:rPr>
            </w:pPr>
            <w:r w:rsidRPr="002500FF">
              <w:rPr>
                <w:rFonts w:ascii="Arial" w:hAnsi="Arial" w:cs="Arial"/>
                <w:sz w:val="18"/>
                <w:szCs w:val="18"/>
              </w:rPr>
              <w:t>12.</w:t>
            </w:r>
            <w:r>
              <w:rPr>
                <w:rFonts w:ascii="Arial" w:hAnsi="Arial" w:cs="Arial"/>
                <w:sz w:val="18"/>
                <w:szCs w:val="18"/>
              </w:rPr>
              <w:t>2</w:t>
            </w:r>
            <w:r w:rsidR="000D548C">
              <w:rPr>
                <w:rFonts w:ascii="Arial" w:hAnsi="Arial" w:cs="Arial"/>
                <w:sz w:val="18"/>
                <w:szCs w:val="18"/>
              </w:rPr>
              <w:t>4</w:t>
            </w:r>
          </w:p>
        </w:tc>
        <w:tc>
          <w:tcPr>
            <w:tcW w:w="536" w:type="pct"/>
            <w:tcBorders>
              <w:top w:val="nil"/>
              <w:left w:val="double" w:sz="4" w:space="0" w:color="000000" w:themeColor="text1"/>
              <w:bottom w:val="double" w:sz="4" w:space="0" w:color="auto"/>
              <w:right w:val="double" w:sz="4" w:space="0" w:color="000000" w:themeColor="text1"/>
            </w:tcBorders>
            <w:vAlign w:val="center"/>
          </w:tcPr>
          <w:p w14:paraId="3F89E9E1" w14:textId="68811D90" w:rsidR="00114481" w:rsidRPr="008F35A1" w:rsidRDefault="00114481" w:rsidP="00114481">
            <w:pPr>
              <w:tabs>
                <w:tab w:val="decimal" w:pos="506"/>
              </w:tabs>
              <w:rPr>
                <w:rFonts w:ascii="Arial" w:hAnsi="Arial" w:cs="Arial"/>
                <w:sz w:val="18"/>
                <w:szCs w:val="18"/>
              </w:rPr>
            </w:pPr>
            <w:r w:rsidRPr="008F35A1">
              <w:rPr>
                <w:rFonts w:ascii="Arial" w:hAnsi="Arial" w:cs="Arial"/>
                <w:sz w:val="18"/>
                <w:szCs w:val="18"/>
              </w:rPr>
              <w:t>19.3</w:t>
            </w:r>
          </w:p>
        </w:tc>
        <w:tc>
          <w:tcPr>
            <w:tcW w:w="598" w:type="pct"/>
            <w:tcBorders>
              <w:top w:val="nil"/>
              <w:left w:val="double" w:sz="4" w:space="0" w:color="000000" w:themeColor="text1"/>
              <w:bottom w:val="double" w:sz="4" w:space="0" w:color="auto"/>
              <w:right w:val="nil"/>
            </w:tcBorders>
            <w:vAlign w:val="center"/>
          </w:tcPr>
          <w:p w14:paraId="08C960D9" w14:textId="61927B8E" w:rsidR="00114481" w:rsidRPr="008F35A1" w:rsidRDefault="00114481" w:rsidP="00114481">
            <w:pPr>
              <w:tabs>
                <w:tab w:val="decimal" w:pos="534"/>
              </w:tabs>
              <w:rPr>
                <w:rFonts w:ascii="Arial" w:hAnsi="Arial" w:cs="Arial"/>
                <w:sz w:val="18"/>
                <w:szCs w:val="18"/>
              </w:rPr>
            </w:pPr>
            <w:r>
              <w:rPr>
                <w:rFonts w:ascii="Arial" w:hAnsi="Arial" w:cs="Arial"/>
                <w:sz w:val="18"/>
                <w:szCs w:val="18"/>
              </w:rPr>
              <w:t>9.5</w:t>
            </w:r>
          </w:p>
        </w:tc>
        <w:tc>
          <w:tcPr>
            <w:tcW w:w="598" w:type="pct"/>
            <w:tcBorders>
              <w:top w:val="nil"/>
              <w:left w:val="nil"/>
              <w:bottom w:val="double" w:sz="4" w:space="0" w:color="auto"/>
              <w:right w:val="nil"/>
            </w:tcBorders>
            <w:vAlign w:val="center"/>
          </w:tcPr>
          <w:p w14:paraId="28DE25DF" w14:textId="11B8838B" w:rsidR="00114481" w:rsidRPr="008F35A1" w:rsidRDefault="00114481" w:rsidP="00114481">
            <w:pPr>
              <w:tabs>
                <w:tab w:val="decimal" w:pos="512"/>
              </w:tabs>
              <w:rPr>
                <w:rFonts w:ascii="Arial" w:hAnsi="Arial" w:cs="Arial"/>
                <w:sz w:val="18"/>
                <w:szCs w:val="18"/>
              </w:rPr>
            </w:pPr>
            <w:r>
              <w:rPr>
                <w:rFonts w:ascii="Arial" w:hAnsi="Arial" w:cs="Arial"/>
                <w:sz w:val="18"/>
                <w:szCs w:val="18"/>
              </w:rPr>
              <w:t>6.3</w:t>
            </w:r>
          </w:p>
        </w:tc>
        <w:tc>
          <w:tcPr>
            <w:tcW w:w="620" w:type="pct"/>
            <w:tcBorders>
              <w:top w:val="nil"/>
              <w:left w:val="nil"/>
              <w:bottom w:val="double" w:sz="4" w:space="0" w:color="auto"/>
              <w:right w:val="nil"/>
            </w:tcBorders>
            <w:vAlign w:val="center"/>
          </w:tcPr>
          <w:p w14:paraId="34D23D79" w14:textId="4F6452A8" w:rsidR="00114481" w:rsidRPr="002500FF" w:rsidRDefault="000D548C" w:rsidP="00114481">
            <w:pPr>
              <w:tabs>
                <w:tab w:val="decimal" w:pos="553"/>
              </w:tabs>
              <w:rPr>
                <w:rFonts w:ascii="Arial" w:hAnsi="Arial" w:cs="Arial"/>
                <w:sz w:val="18"/>
                <w:szCs w:val="18"/>
              </w:rPr>
            </w:pPr>
            <w:r>
              <w:rPr>
                <w:rFonts w:ascii="Arial" w:hAnsi="Arial" w:cs="Arial"/>
                <w:sz w:val="18"/>
                <w:szCs w:val="18"/>
              </w:rPr>
              <w:t>5.9</w:t>
            </w:r>
          </w:p>
        </w:tc>
        <w:tc>
          <w:tcPr>
            <w:tcW w:w="610" w:type="pct"/>
            <w:tcBorders>
              <w:top w:val="nil"/>
              <w:left w:val="nil"/>
              <w:bottom w:val="double" w:sz="4" w:space="0" w:color="auto"/>
              <w:right w:val="double" w:sz="4" w:space="0" w:color="auto"/>
            </w:tcBorders>
            <w:vAlign w:val="center"/>
          </w:tcPr>
          <w:p w14:paraId="4144F5EE" w14:textId="0DA915C7" w:rsidR="00114481" w:rsidRPr="002500FF" w:rsidRDefault="00114481" w:rsidP="00114481">
            <w:pPr>
              <w:tabs>
                <w:tab w:val="decimal" w:pos="471"/>
              </w:tabs>
              <w:rPr>
                <w:rFonts w:ascii="Arial" w:hAnsi="Arial" w:cs="Arial"/>
                <w:sz w:val="18"/>
                <w:szCs w:val="18"/>
              </w:rPr>
            </w:pPr>
            <w:r>
              <w:rPr>
                <w:rFonts w:ascii="Arial" w:hAnsi="Arial" w:cs="Arial"/>
                <w:sz w:val="18"/>
                <w:szCs w:val="18"/>
              </w:rPr>
              <w:t>9.</w:t>
            </w:r>
            <w:r w:rsidR="000D548C">
              <w:rPr>
                <w:rFonts w:ascii="Arial" w:hAnsi="Arial" w:cs="Arial"/>
                <w:sz w:val="18"/>
                <w:szCs w:val="18"/>
              </w:rPr>
              <w:t>2</w:t>
            </w:r>
          </w:p>
        </w:tc>
      </w:tr>
    </w:tbl>
    <w:p w14:paraId="5ABB28B5" w14:textId="024A0925" w:rsidR="00F82911" w:rsidRPr="00EA4078" w:rsidRDefault="00AF1CF5" w:rsidP="00825F98">
      <w:pPr>
        <w:pStyle w:val="titulos"/>
        <w:widowControl/>
        <w:spacing w:before="0"/>
        <w:ind w:left="675"/>
        <w:rPr>
          <w:rFonts w:cs="Arial"/>
          <w:b w:val="0"/>
          <w:i w:val="0"/>
          <w:color w:val="000000" w:themeColor="text1"/>
          <w:sz w:val="16"/>
          <w:szCs w:val="16"/>
          <w:u w:val="none"/>
          <w:lang w:val="es-MX"/>
        </w:rPr>
      </w:pPr>
      <w:r w:rsidRPr="00EA4078">
        <w:rPr>
          <w:rFonts w:cs="Arial"/>
          <w:b w:val="0"/>
          <w:i w:val="0"/>
          <w:color w:val="000000" w:themeColor="text1"/>
          <w:sz w:val="16"/>
          <w:szCs w:val="16"/>
          <w:u w:val="none"/>
          <w:lang w:val="es-MX"/>
        </w:rPr>
        <w:t>* Cifras oportunas</w:t>
      </w:r>
    </w:p>
    <w:p w14:paraId="046E6265" w14:textId="54C2ABAF" w:rsidR="00757DAD" w:rsidRPr="00565E53" w:rsidRDefault="00904A4E" w:rsidP="000334F7">
      <w:pPr>
        <w:pStyle w:val="titulos"/>
        <w:spacing w:before="480" w:after="120" w:line="280" w:lineRule="exact"/>
        <w:ind w:left="851"/>
        <w:rPr>
          <w:i w:val="0"/>
          <w:iCs/>
          <w:u w:val="none"/>
        </w:rPr>
      </w:pPr>
      <w:r w:rsidRPr="00565E53">
        <w:rPr>
          <w:i w:val="0"/>
          <w:iCs/>
          <w:u w:val="none"/>
        </w:rPr>
        <w:t>Export</w:t>
      </w:r>
      <w:r w:rsidR="00757DAD" w:rsidRPr="00565E53">
        <w:rPr>
          <w:i w:val="0"/>
          <w:iCs/>
          <w:u w:val="none"/>
        </w:rPr>
        <w:t xml:space="preserve">aciones por </w:t>
      </w:r>
      <w:r w:rsidR="005D2A24" w:rsidRPr="00565E53">
        <w:rPr>
          <w:i w:val="0"/>
          <w:iCs/>
          <w:u w:val="none"/>
        </w:rPr>
        <w:t>t</w:t>
      </w:r>
      <w:r w:rsidR="00757DAD" w:rsidRPr="00565E53">
        <w:rPr>
          <w:i w:val="0"/>
          <w:iCs/>
          <w:u w:val="none"/>
        </w:rPr>
        <w:t xml:space="preserve">ipo de </w:t>
      </w:r>
      <w:r w:rsidR="005D2A24" w:rsidRPr="00565E53">
        <w:rPr>
          <w:i w:val="0"/>
          <w:iCs/>
          <w:u w:val="none"/>
        </w:rPr>
        <w:t>m</w:t>
      </w:r>
      <w:r w:rsidR="00757DAD" w:rsidRPr="00565E53">
        <w:rPr>
          <w:i w:val="0"/>
          <w:iCs/>
          <w:u w:val="none"/>
        </w:rPr>
        <w:t>ercancía</w:t>
      </w:r>
    </w:p>
    <w:p w14:paraId="4F82ED72" w14:textId="1D63C705" w:rsidR="0020513C" w:rsidRDefault="000F60D4" w:rsidP="002500FF">
      <w:pPr>
        <w:pStyle w:val="Textoindependiente211"/>
        <w:numPr>
          <w:ilvl w:val="12"/>
          <w:numId w:val="0"/>
        </w:numPr>
        <w:spacing w:before="240" w:after="120" w:line="280" w:lineRule="exact"/>
        <w:rPr>
          <w:rFonts w:cs="Arial"/>
          <w:sz w:val="24"/>
          <w:szCs w:val="24"/>
        </w:rPr>
      </w:pPr>
      <w:r>
        <w:rPr>
          <w:rFonts w:cs="Arial"/>
          <w:sz w:val="24"/>
          <w:szCs w:val="24"/>
        </w:rPr>
        <w:t xml:space="preserve">En </w:t>
      </w:r>
      <w:r w:rsidR="00A9158C">
        <w:rPr>
          <w:rFonts w:cs="Arial"/>
          <w:sz w:val="24"/>
          <w:szCs w:val="24"/>
        </w:rPr>
        <w:t xml:space="preserve">el </w:t>
      </w:r>
      <w:r>
        <w:rPr>
          <w:rFonts w:cs="Arial"/>
          <w:sz w:val="24"/>
          <w:szCs w:val="24"/>
        </w:rPr>
        <w:t>décimo mes</w:t>
      </w:r>
      <w:r w:rsidRPr="000F60D4">
        <w:rPr>
          <w:rFonts w:cs="Arial"/>
          <w:sz w:val="24"/>
          <w:szCs w:val="24"/>
        </w:rPr>
        <w:t xml:space="preserve"> de 2022</w:t>
      </w:r>
      <w:r>
        <w:rPr>
          <w:rFonts w:cs="Arial"/>
          <w:sz w:val="24"/>
          <w:szCs w:val="24"/>
        </w:rPr>
        <w:t>, l</w:t>
      </w:r>
      <w:r w:rsidRPr="000F60D4">
        <w:rPr>
          <w:rFonts w:cs="Arial"/>
          <w:sz w:val="24"/>
          <w:szCs w:val="24"/>
        </w:rPr>
        <w:t>as exportaciones de productos manufacturados ascendieron a</w:t>
      </w:r>
      <w:r>
        <w:rPr>
          <w:rFonts w:cs="Arial"/>
          <w:sz w:val="24"/>
          <w:szCs w:val="24"/>
        </w:rPr>
        <w:t> </w:t>
      </w:r>
      <w:r w:rsidRPr="000F60D4">
        <w:rPr>
          <w:rFonts w:cs="Arial"/>
          <w:sz w:val="24"/>
          <w:szCs w:val="24"/>
        </w:rPr>
        <w:t>44</w:t>
      </w:r>
      <w:r>
        <w:rPr>
          <w:rFonts w:cs="Arial"/>
          <w:sz w:val="24"/>
          <w:szCs w:val="24"/>
        </w:rPr>
        <w:t xml:space="preserve"> </w:t>
      </w:r>
      <w:r w:rsidRPr="000F60D4">
        <w:rPr>
          <w:rFonts w:cs="Arial"/>
          <w:sz w:val="24"/>
          <w:szCs w:val="24"/>
        </w:rPr>
        <w:t>071 millones de dólares, lo que representó un alza anual de 19.8</w:t>
      </w:r>
      <w:r>
        <w:rPr>
          <w:rFonts w:cs="Arial"/>
          <w:sz w:val="24"/>
          <w:szCs w:val="24"/>
        </w:rPr>
        <w:t xml:space="preserve"> por ciento</w:t>
      </w:r>
      <w:r w:rsidRPr="000F60D4">
        <w:rPr>
          <w:rFonts w:cs="Arial"/>
          <w:sz w:val="24"/>
          <w:szCs w:val="24"/>
        </w:rPr>
        <w:t>. Los crecimientos más importantes se observaron en las exportaciones de productos automotrices (33.8</w:t>
      </w:r>
      <w:r w:rsidR="002E557C">
        <w:rPr>
          <w:rFonts w:cs="Arial"/>
          <w:sz w:val="24"/>
          <w:szCs w:val="24"/>
        </w:rPr>
        <w:t xml:space="preserve"> </w:t>
      </w:r>
      <w:r w:rsidRPr="000F60D4">
        <w:rPr>
          <w:rFonts w:cs="Arial"/>
          <w:sz w:val="24"/>
          <w:szCs w:val="24"/>
        </w:rPr>
        <w:t>%), de maquinaria y equipo especial para industrias diversas</w:t>
      </w:r>
      <w:r w:rsidR="002E557C">
        <w:rPr>
          <w:rFonts w:cs="Arial"/>
          <w:sz w:val="24"/>
          <w:szCs w:val="24"/>
        </w:rPr>
        <w:t> </w:t>
      </w:r>
      <w:r w:rsidRPr="000F60D4">
        <w:rPr>
          <w:rFonts w:cs="Arial"/>
          <w:sz w:val="24"/>
          <w:szCs w:val="24"/>
        </w:rPr>
        <w:t>(22.9</w:t>
      </w:r>
      <w:r w:rsidR="002E557C">
        <w:rPr>
          <w:rFonts w:cs="Arial"/>
          <w:sz w:val="24"/>
          <w:szCs w:val="24"/>
        </w:rPr>
        <w:t> </w:t>
      </w:r>
      <w:r w:rsidRPr="000F60D4">
        <w:rPr>
          <w:rFonts w:cs="Arial"/>
          <w:sz w:val="24"/>
          <w:szCs w:val="24"/>
        </w:rPr>
        <w:t>%), de equipos y aparatos eléctricos y electrónicos (16.8</w:t>
      </w:r>
      <w:r w:rsidR="002E557C">
        <w:rPr>
          <w:rFonts w:cs="Arial"/>
          <w:sz w:val="24"/>
          <w:szCs w:val="24"/>
        </w:rPr>
        <w:t xml:space="preserve"> </w:t>
      </w:r>
      <w:r w:rsidRPr="000F60D4">
        <w:rPr>
          <w:rFonts w:cs="Arial"/>
          <w:sz w:val="24"/>
          <w:szCs w:val="24"/>
        </w:rPr>
        <w:t>%) y de equipo profesional y científico (11.7</w:t>
      </w:r>
      <w:r w:rsidR="002E557C">
        <w:rPr>
          <w:rFonts w:cs="Arial"/>
          <w:sz w:val="24"/>
          <w:szCs w:val="24"/>
        </w:rPr>
        <w:t xml:space="preserve"> </w:t>
      </w:r>
      <w:r w:rsidRPr="000F60D4">
        <w:rPr>
          <w:rFonts w:cs="Arial"/>
          <w:sz w:val="24"/>
          <w:szCs w:val="24"/>
        </w:rPr>
        <w:t>%). A su vez, el aumento anual de las exportaciones de productos automotrices fue reflejo de incrementos de 31.5</w:t>
      </w:r>
      <w:r w:rsidR="002E557C">
        <w:rPr>
          <w:rFonts w:cs="Arial"/>
          <w:sz w:val="24"/>
          <w:szCs w:val="24"/>
        </w:rPr>
        <w:t xml:space="preserve"> </w:t>
      </w:r>
      <w:r w:rsidRPr="000F60D4">
        <w:rPr>
          <w:rFonts w:cs="Arial"/>
          <w:sz w:val="24"/>
          <w:szCs w:val="24"/>
        </w:rPr>
        <w:t>% en las ventas canalizadas a Estados Unidos y de 47.7</w:t>
      </w:r>
      <w:r w:rsidR="002E557C">
        <w:rPr>
          <w:rFonts w:cs="Arial"/>
          <w:sz w:val="24"/>
          <w:szCs w:val="24"/>
        </w:rPr>
        <w:t xml:space="preserve"> </w:t>
      </w:r>
      <w:r w:rsidRPr="000F60D4">
        <w:rPr>
          <w:rFonts w:cs="Arial"/>
          <w:sz w:val="24"/>
          <w:szCs w:val="24"/>
        </w:rPr>
        <w:t>% en las dirigidas a otros mercados.</w:t>
      </w:r>
    </w:p>
    <w:p w14:paraId="5B987050" w14:textId="77777777" w:rsidR="000334F7" w:rsidRDefault="000334F7" w:rsidP="00C053CB">
      <w:pPr>
        <w:pStyle w:val="Textoindependiente211"/>
        <w:numPr>
          <w:ilvl w:val="12"/>
          <w:numId w:val="0"/>
        </w:numPr>
        <w:spacing w:before="240" w:after="120" w:line="280" w:lineRule="exact"/>
        <w:rPr>
          <w:rFonts w:cs="Arial"/>
          <w:sz w:val="24"/>
          <w:szCs w:val="24"/>
        </w:rPr>
      </w:pPr>
    </w:p>
    <w:p w14:paraId="27D4E38A" w14:textId="77777777" w:rsidR="000334F7" w:rsidRDefault="000334F7" w:rsidP="00C053CB">
      <w:pPr>
        <w:pStyle w:val="Textoindependiente211"/>
        <w:numPr>
          <w:ilvl w:val="12"/>
          <w:numId w:val="0"/>
        </w:numPr>
        <w:spacing w:before="240" w:after="120" w:line="280" w:lineRule="exact"/>
        <w:rPr>
          <w:rFonts w:cs="Arial"/>
          <w:sz w:val="24"/>
          <w:szCs w:val="24"/>
        </w:rPr>
      </w:pPr>
    </w:p>
    <w:p w14:paraId="3EC003CA" w14:textId="77777777" w:rsidR="000334F7" w:rsidRDefault="000334F7" w:rsidP="00C053CB">
      <w:pPr>
        <w:pStyle w:val="Textoindependiente211"/>
        <w:numPr>
          <w:ilvl w:val="12"/>
          <w:numId w:val="0"/>
        </w:numPr>
        <w:spacing w:before="240" w:after="120" w:line="280" w:lineRule="exact"/>
        <w:rPr>
          <w:rFonts w:cs="Arial"/>
          <w:sz w:val="24"/>
          <w:szCs w:val="24"/>
        </w:rPr>
      </w:pPr>
    </w:p>
    <w:p w14:paraId="22227399" w14:textId="77777777" w:rsidR="000334F7" w:rsidRDefault="000334F7" w:rsidP="00C053CB">
      <w:pPr>
        <w:pStyle w:val="Textoindependiente211"/>
        <w:numPr>
          <w:ilvl w:val="12"/>
          <w:numId w:val="0"/>
        </w:numPr>
        <w:spacing w:before="240" w:after="120" w:line="280" w:lineRule="exact"/>
        <w:rPr>
          <w:rFonts w:cs="Arial"/>
          <w:sz w:val="24"/>
          <w:szCs w:val="24"/>
        </w:rPr>
      </w:pPr>
    </w:p>
    <w:p w14:paraId="279F9BF1" w14:textId="675E279C" w:rsidR="00013609" w:rsidRDefault="00F47E3D" w:rsidP="00C053CB">
      <w:pPr>
        <w:pStyle w:val="Textoindependiente211"/>
        <w:numPr>
          <w:ilvl w:val="12"/>
          <w:numId w:val="0"/>
        </w:numPr>
        <w:spacing w:before="240" w:after="120" w:line="280" w:lineRule="exact"/>
        <w:rPr>
          <w:rFonts w:cs="Arial"/>
          <w:sz w:val="24"/>
          <w:szCs w:val="24"/>
        </w:rPr>
      </w:pPr>
      <w:r w:rsidRPr="00F47E3D">
        <w:rPr>
          <w:rFonts w:cs="Arial"/>
          <w:sz w:val="24"/>
          <w:szCs w:val="24"/>
        </w:rPr>
        <w:lastRenderedPageBreak/>
        <w:t>En octubre de 2022, el valor de las exportaciones petroleras fue de 2</w:t>
      </w:r>
      <w:r w:rsidR="00BE5D51">
        <w:rPr>
          <w:rFonts w:cs="Arial"/>
          <w:sz w:val="24"/>
          <w:szCs w:val="24"/>
        </w:rPr>
        <w:t xml:space="preserve"> </w:t>
      </w:r>
      <w:r w:rsidRPr="00F47E3D">
        <w:rPr>
          <w:rFonts w:cs="Arial"/>
          <w:sz w:val="24"/>
          <w:szCs w:val="24"/>
        </w:rPr>
        <w:t>892 millones de dólares. Este monto se integró por 2</w:t>
      </w:r>
      <w:r>
        <w:rPr>
          <w:rFonts w:cs="Arial"/>
          <w:sz w:val="24"/>
          <w:szCs w:val="24"/>
        </w:rPr>
        <w:t xml:space="preserve"> </w:t>
      </w:r>
      <w:r w:rsidRPr="00F47E3D">
        <w:rPr>
          <w:rFonts w:cs="Arial"/>
          <w:sz w:val="24"/>
          <w:szCs w:val="24"/>
        </w:rPr>
        <w:t>486 millones de dólares de ventas de petróleo crudo</w:t>
      </w:r>
      <w:r w:rsidRPr="00434221">
        <w:rPr>
          <w:sz w:val="24"/>
          <w:szCs w:val="22"/>
          <w:vertAlign w:val="superscript"/>
        </w:rPr>
        <w:footnoteReference w:id="2"/>
      </w:r>
      <w:r w:rsidRPr="00F47E3D">
        <w:rPr>
          <w:rFonts w:cs="Arial"/>
          <w:sz w:val="24"/>
          <w:szCs w:val="24"/>
        </w:rPr>
        <w:t xml:space="preserve"> y por</w:t>
      </w:r>
      <w:r>
        <w:rPr>
          <w:rFonts w:cs="Arial"/>
          <w:sz w:val="24"/>
          <w:szCs w:val="24"/>
        </w:rPr>
        <w:t xml:space="preserve"> </w:t>
      </w:r>
      <w:r w:rsidRPr="00F47E3D">
        <w:rPr>
          <w:rFonts w:cs="Arial"/>
          <w:sz w:val="24"/>
          <w:szCs w:val="24"/>
        </w:rPr>
        <w:t xml:space="preserve">406 millones de dólares de exportaciones de otros productos petroleros. En ese mes, el precio promedio de la mezcla mexicana de crudo de exportación se situó en 81.28 dólares por barril, cifra menor en 1.10 dólares </w:t>
      </w:r>
      <w:r w:rsidR="00752425">
        <w:rPr>
          <w:rFonts w:cs="Arial"/>
          <w:sz w:val="24"/>
          <w:szCs w:val="24"/>
        </w:rPr>
        <w:t xml:space="preserve">con </w:t>
      </w:r>
      <w:r w:rsidRPr="00F47E3D">
        <w:rPr>
          <w:rFonts w:cs="Arial"/>
          <w:sz w:val="24"/>
          <w:szCs w:val="24"/>
        </w:rPr>
        <w:t xml:space="preserve">respecto </w:t>
      </w:r>
      <w:r w:rsidR="00752425">
        <w:rPr>
          <w:rFonts w:cs="Arial"/>
          <w:sz w:val="24"/>
          <w:szCs w:val="24"/>
        </w:rPr>
        <w:t>a</w:t>
      </w:r>
      <w:r w:rsidRPr="00F47E3D">
        <w:rPr>
          <w:rFonts w:cs="Arial"/>
          <w:sz w:val="24"/>
          <w:szCs w:val="24"/>
        </w:rPr>
        <w:t>l mes previo, pero superior en 9.12 dólares a la de octubre de 2021. En cuanto al volumen de crudo exportado,</w:t>
      </w:r>
      <w:r w:rsidR="0026616A">
        <w:rPr>
          <w:rFonts w:cs="Arial"/>
          <w:sz w:val="24"/>
          <w:szCs w:val="24"/>
        </w:rPr>
        <w:t xml:space="preserve"> en el mes de referencia,</w:t>
      </w:r>
      <w:r w:rsidRPr="00F47E3D">
        <w:rPr>
          <w:rFonts w:cs="Arial"/>
          <w:sz w:val="24"/>
          <w:szCs w:val="24"/>
        </w:rPr>
        <w:t xml:space="preserve"> </w:t>
      </w:r>
      <w:r w:rsidR="0026616A">
        <w:rPr>
          <w:rFonts w:cs="Arial"/>
          <w:sz w:val="24"/>
          <w:szCs w:val="24"/>
        </w:rPr>
        <w:t xml:space="preserve">este </w:t>
      </w:r>
      <w:r w:rsidRPr="00F47E3D">
        <w:rPr>
          <w:rFonts w:cs="Arial"/>
          <w:sz w:val="24"/>
          <w:szCs w:val="24"/>
        </w:rPr>
        <w:t>se ubicó en 0.987 millones de barriles diarios, nivel inferior al de 1.040 millones de barriles diarios de septiembre, aunque mayor al de 0.935 millones de barriles diarios de octubre de 2021.</w:t>
      </w:r>
    </w:p>
    <w:p w14:paraId="2FB9339C" w14:textId="5C756575" w:rsidR="00D86231" w:rsidRDefault="0026616A" w:rsidP="00C053CB">
      <w:pPr>
        <w:pStyle w:val="Textoindependiente211"/>
        <w:numPr>
          <w:ilvl w:val="12"/>
          <w:numId w:val="0"/>
        </w:numPr>
        <w:spacing w:before="240" w:after="120" w:line="280" w:lineRule="exact"/>
        <w:rPr>
          <w:rFonts w:cs="Arial"/>
          <w:sz w:val="24"/>
          <w:szCs w:val="24"/>
        </w:rPr>
      </w:pPr>
      <w:r>
        <w:rPr>
          <w:rFonts w:cs="Arial"/>
          <w:sz w:val="24"/>
          <w:szCs w:val="24"/>
        </w:rPr>
        <w:t xml:space="preserve">En el décimo mes de 2022, el </w:t>
      </w:r>
      <w:r w:rsidR="008F0E67" w:rsidRPr="0035457A">
        <w:rPr>
          <w:rFonts w:cs="Arial"/>
          <w:sz w:val="24"/>
          <w:szCs w:val="24"/>
        </w:rPr>
        <w:t>valor de las exportaciones agropecuarias y pesqueras fue de 1</w:t>
      </w:r>
      <w:r w:rsidR="0035457A">
        <w:rPr>
          <w:rFonts w:cs="Arial"/>
          <w:sz w:val="24"/>
          <w:szCs w:val="24"/>
        </w:rPr>
        <w:t xml:space="preserve"> </w:t>
      </w:r>
      <w:r w:rsidR="008F0E67" w:rsidRPr="0035457A">
        <w:rPr>
          <w:rFonts w:cs="Arial"/>
          <w:sz w:val="24"/>
          <w:szCs w:val="24"/>
        </w:rPr>
        <w:t>499 millones de dólares, monto que implicó un avance anual de 3.2</w:t>
      </w:r>
      <w:r w:rsidR="0035457A">
        <w:rPr>
          <w:rFonts w:cs="Arial"/>
          <w:sz w:val="24"/>
          <w:szCs w:val="24"/>
        </w:rPr>
        <w:t xml:space="preserve"> por ciento</w:t>
      </w:r>
      <w:r w:rsidR="008F0E67" w:rsidRPr="0035457A">
        <w:rPr>
          <w:rFonts w:cs="Arial"/>
          <w:sz w:val="24"/>
          <w:szCs w:val="24"/>
        </w:rPr>
        <w:t xml:space="preserve">. Las </w:t>
      </w:r>
      <w:r w:rsidR="0035457A">
        <w:rPr>
          <w:rFonts w:cs="Arial"/>
          <w:sz w:val="24"/>
          <w:szCs w:val="24"/>
        </w:rPr>
        <w:t>alzas</w:t>
      </w:r>
      <w:r w:rsidR="008F0E67" w:rsidRPr="0035457A">
        <w:rPr>
          <w:rFonts w:cs="Arial"/>
          <w:sz w:val="24"/>
          <w:szCs w:val="24"/>
        </w:rPr>
        <w:t xml:space="preserve"> más importantes se registraron en las exportaciones de café crudo en grano (117.5</w:t>
      </w:r>
      <w:r w:rsidR="0035457A">
        <w:rPr>
          <w:rFonts w:cs="Arial"/>
          <w:sz w:val="24"/>
          <w:szCs w:val="24"/>
        </w:rPr>
        <w:t> </w:t>
      </w:r>
      <w:r w:rsidR="008F0E67" w:rsidRPr="0035457A">
        <w:rPr>
          <w:rFonts w:cs="Arial"/>
          <w:sz w:val="24"/>
          <w:szCs w:val="24"/>
        </w:rPr>
        <w:t>%), de camarón congelado (44.6</w:t>
      </w:r>
      <w:r w:rsidR="0035457A">
        <w:rPr>
          <w:rFonts w:cs="Arial"/>
          <w:sz w:val="24"/>
          <w:szCs w:val="24"/>
        </w:rPr>
        <w:t xml:space="preserve"> </w:t>
      </w:r>
      <w:r w:rsidR="008F0E67" w:rsidRPr="0035457A">
        <w:rPr>
          <w:rFonts w:cs="Arial"/>
          <w:sz w:val="24"/>
          <w:szCs w:val="24"/>
        </w:rPr>
        <w:t>%), de legumbres y hortalizas frescas (29.8</w:t>
      </w:r>
      <w:r w:rsidR="0035457A">
        <w:rPr>
          <w:rFonts w:cs="Arial"/>
          <w:sz w:val="24"/>
          <w:szCs w:val="24"/>
        </w:rPr>
        <w:t xml:space="preserve"> </w:t>
      </w:r>
      <w:r w:rsidR="008F0E67" w:rsidRPr="0035457A">
        <w:rPr>
          <w:rFonts w:cs="Arial"/>
          <w:sz w:val="24"/>
          <w:szCs w:val="24"/>
        </w:rPr>
        <w:t>%) y de jitomate (12.5</w:t>
      </w:r>
      <w:r w:rsidR="0035457A">
        <w:rPr>
          <w:rFonts w:cs="Arial"/>
          <w:sz w:val="24"/>
          <w:szCs w:val="24"/>
        </w:rPr>
        <w:t xml:space="preserve"> </w:t>
      </w:r>
      <w:r w:rsidR="008F0E67" w:rsidRPr="0035457A">
        <w:rPr>
          <w:rFonts w:cs="Arial"/>
          <w:sz w:val="24"/>
          <w:szCs w:val="24"/>
        </w:rPr>
        <w:t xml:space="preserve">%). En contraste, las </w:t>
      </w:r>
      <w:r w:rsidR="0035457A">
        <w:rPr>
          <w:rFonts w:cs="Arial"/>
          <w:sz w:val="24"/>
          <w:szCs w:val="24"/>
        </w:rPr>
        <w:t>reducciones</w:t>
      </w:r>
      <w:r w:rsidR="008F0E67" w:rsidRPr="0035457A">
        <w:rPr>
          <w:rFonts w:cs="Arial"/>
          <w:sz w:val="24"/>
          <w:szCs w:val="24"/>
        </w:rPr>
        <w:t xml:space="preserve"> anuales más relevantes se presentaron en las exportaciones de aguacate (31.3</w:t>
      </w:r>
      <w:r w:rsidR="0035457A">
        <w:rPr>
          <w:rFonts w:cs="Arial"/>
          <w:sz w:val="24"/>
          <w:szCs w:val="24"/>
        </w:rPr>
        <w:t xml:space="preserve"> </w:t>
      </w:r>
      <w:r w:rsidR="008F0E67" w:rsidRPr="0035457A">
        <w:rPr>
          <w:rFonts w:cs="Arial"/>
          <w:sz w:val="24"/>
          <w:szCs w:val="24"/>
        </w:rPr>
        <w:t>%) y de pimiento (12.7</w:t>
      </w:r>
      <w:r w:rsidR="0035457A">
        <w:rPr>
          <w:rFonts w:cs="Arial"/>
          <w:sz w:val="24"/>
          <w:szCs w:val="24"/>
        </w:rPr>
        <w:t xml:space="preserve"> </w:t>
      </w:r>
      <w:r w:rsidR="008F0E67" w:rsidRPr="0035457A">
        <w:rPr>
          <w:rFonts w:cs="Arial"/>
          <w:sz w:val="24"/>
          <w:szCs w:val="24"/>
        </w:rPr>
        <w:t xml:space="preserve">%). </w:t>
      </w:r>
      <w:r w:rsidR="001365A4">
        <w:rPr>
          <w:rFonts w:cs="Arial"/>
          <w:sz w:val="24"/>
          <w:szCs w:val="24"/>
        </w:rPr>
        <w:t>L</w:t>
      </w:r>
      <w:r w:rsidR="00EE0750" w:rsidRPr="00F153AC">
        <w:rPr>
          <w:rFonts w:cs="Arial"/>
          <w:sz w:val="24"/>
          <w:szCs w:val="24"/>
        </w:rPr>
        <w:t>as exportaciones extractivas</w:t>
      </w:r>
      <w:r w:rsidR="000A0490">
        <w:rPr>
          <w:rFonts w:cs="Arial"/>
          <w:sz w:val="24"/>
          <w:szCs w:val="24"/>
        </w:rPr>
        <w:t xml:space="preserve"> </w:t>
      </w:r>
      <w:r w:rsidR="003235DA">
        <w:rPr>
          <w:rFonts w:cs="Arial"/>
          <w:sz w:val="24"/>
          <w:szCs w:val="24"/>
        </w:rPr>
        <w:t>se</w:t>
      </w:r>
      <w:r w:rsidR="00EE0750" w:rsidRPr="00F153AC">
        <w:rPr>
          <w:rFonts w:cs="Arial"/>
          <w:sz w:val="24"/>
          <w:szCs w:val="24"/>
        </w:rPr>
        <w:t xml:space="preserve"> ubicaron en </w:t>
      </w:r>
      <w:r w:rsidR="008F0E67">
        <w:rPr>
          <w:rFonts w:cs="Arial"/>
          <w:sz w:val="24"/>
          <w:szCs w:val="24"/>
        </w:rPr>
        <w:t>813</w:t>
      </w:r>
      <w:r w:rsidR="00431322">
        <w:rPr>
          <w:rFonts w:cs="Arial"/>
          <w:sz w:val="24"/>
          <w:szCs w:val="24"/>
        </w:rPr>
        <w:t xml:space="preserve"> </w:t>
      </w:r>
      <w:r w:rsidR="00EE0750" w:rsidRPr="00F153AC">
        <w:rPr>
          <w:rFonts w:cs="Arial"/>
          <w:sz w:val="24"/>
          <w:szCs w:val="24"/>
        </w:rPr>
        <w:t>millones de dólares</w:t>
      </w:r>
      <w:r w:rsidR="00891A7A">
        <w:rPr>
          <w:rFonts w:cs="Arial"/>
          <w:sz w:val="24"/>
          <w:szCs w:val="24"/>
        </w:rPr>
        <w:t>,</w:t>
      </w:r>
      <w:r w:rsidR="00EE0750" w:rsidRPr="00F153AC">
        <w:rPr>
          <w:rFonts w:cs="Arial"/>
          <w:sz w:val="24"/>
          <w:szCs w:val="24"/>
        </w:rPr>
        <w:t xml:space="preserve"> con un</w:t>
      </w:r>
      <w:r w:rsidR="00E16926" w:rsidRPr="00F153AC">
        <w:rPr>
          <w:rFonts w:cs="Arial"/>
          <w:sz w:val="24"/>
          <w:szCs w:val="24"/>
        </w:rPr>
        <w:t xml:space="preserve"> </w:t>
      </w:r>
      <w:r w:rsidR="008F0E67">
        <w:rPr>
          <w:rFonts w:cs="Arial"/>
          <w:sz w:val="24"/>
          <w:szCs w:val="24"/>
        </w:rPr>
        <w:t>descenso</w:t>
      </w:r>
      <w:r w:rsidR="003235DA" w:rsidRPr="00F153AC">
        <w:rPr>
          <w:rFonts w:cs="Arial"/>
          <w:sz w:val="24"/>
          <w:szCs w:val="24"/>
        </w:rPr>
        <w:t xml:space="preserve"> </w:t>
      </w:r>
      <w:r w:rsidR="00EE0750" w:rsidRPr="00F153AC">
        <w:rPr>
          <w:rFonts w:cs="Arial"/>
          <w:sz w:val="24"/>
          <w:szCs w:val="24"/>
        </w:rPr>
        <w:t xml:space="preserve">anual de </w:t>
      </w:r>
      <w:r w:rsidR="008F0E67">
        <w:rPr>
          <w:rFonts w:cs="Arial"/>
          <w:sz w:val="24"/>
          <w:szCs w:val="24"/>
        </w:rPr>
        <w:t>12.3</w:t>
      </w:r>
      <w:r w:rsidR="006C1D13">
        <w:rPr>
          <w:rFonts w:cs="Arial"/>
          <w:sz w:val="24"/>
          <w:szCs w:val="24"/>
        </w:rPr>
        <w:t xml:space="preserve"> </w:t>
      </w:r>
      <w:r w:rsidR="0079303F">
        <w:rPr>
          <w:rFonts w:cs="Arial"/>
          <w:sz w:val="24"/>
          <w:szCs w:val="24"/>
        </w:rPr>
        <w:t>por ciento</w:t>
      </w:r>
      <w:r w:rsidR="00EE0750" w:rsidRPr="00F153AC">
        <w:rPr>
          <w:rFonts w:cs="Arial"/>
          <w:sz w:val="24"/>
          <w:szCs w:val="24"/>
        </w:rPr>
        <w:t>.</w:t>
      </w:r>
    </w:p>
    <w:p w14:paraId="79E21A0A" w14:textId="0769C120" w:rsidR="00C053CB" w:rsidRPr="00C053CB" w:rsidRDefault="00600AF1" w:rsidP="00E1371C">
      <w:pPr>
        <w:pStyle w:val="Textoindependiente211"/>
        <w:numPr>
          <w:ilvl w:val="12"/>
          <w:numId w:val="0"/>
        </w:numPr>
        <w:spacing w:before="240" w:after="120" w:line="280" w:lineRule="exact"/>
        <w:rPr>
          <w:rFonts w:cs="Arial"/>
          <w:sz w:val="24"/>
          <w:szCs w:val="24"/>
        </w:rPr>
      </w:pPr>
      <w:r w:rsidRPr="00600AF1">
        <w:rPr>
          <w:rFonts w:cs="Arial"/>
          <w:sz w:val="24"/>
          <w:szCs w:val="24"/>
        </w:rPr>
        <w:t>En el periodo enero-octubre de 2022, el valor de las exportaciones totales sumó</w:t>
      </w:r>
      <w:r w:rsidRPr="00600AF1">
        <w:rPr>
          <w:rFonts w:cs="Arial"/>
          <w:sz w:val="24"/>
          <w:szCs w:val="24"/>
        </w:rPr>
        <w:br/>
        <w:t>479</w:t>
      </w:r>
      <w:r w:rsidR="0017453F">
        <w:rPr>
          <w:rFonts w:cs="Arial"/>
          <w:sz w:val="24"/>
          <w:szCs w:val="24"/>
        </w:rPr>
        <w:t xml:space="preserve"> </w:t>
      </w:r>
      <w:r w:rsidRPr="00600AF1">
        <w:rPr>
          <w:rFonts w:cs="Arial"/>
          <w:sz w:val="24"/>
          <w:szCs w:val="24"/>
        </w:rPr>
        <w:t>559 millones de dólares</w:t>
      </w:r>
      <w:r w:rsidR="00A9158C">
        <w:rPr>
          <w:rFonts w:cs="Arial"/>
          <w:sz w:val="24"/>
          <w:szCs w:val="24"/>
        </w:rPr>
        <w:t xml:space="preserve"> y un</w:t>
      </w:r>
      <w:r w:rsidRPr="00600AF1">
        <w:rPr>
          <w:rFonts w:cs="Arial"/>
          <w:sz w:val="24"/>
          <w:szCs w:val="24"/>
        </w:rPr>
        <w:t xml:space="preserve"> crecimiento anual de 19.5</w:t>
      </w:r>
      <w:r w:rsidR="004F03B7">
        <w:rPr>
          <w:rFonts w:cs="Arial"/>
          <w:sz w:val="24"/>
          <w:szCs w:val="24"/>
        </w:rPr>
        <w:t xml:space="preserve"> por ciento</w:t>
      </w:r>
      <w:r w:rsidRPr="00600AF1">
        <w:rPr>
          <w:rFonts w:cs="Arial"/>
          <w:sz w:val="24"/>
          <w:szCs w:val="24"/>
        </w:rPr>
        <w:t>. Dicha tasa se derivó de alzas de 18</w:t>
      </w:r>
      <w:r w:rsidR="004F03B7">
        <w:rPr>
          <w:rFonts w:cs="Arial"/>
          <w:sz w:val="24"/>
          <w:szCs w:val="24"/>
        </w:rPr>
        <w:t xml:space="preserve"> </w:t>
      </w:r>
      <w:r w:rsidRPr="00600AF1">
        <w:rPr>
          <w:rFonts w:cs="Arial"/>
          <w:sz w:val="24"/>
          <w:szCs w:val="24"/>
        </w:rPr>
        <w:t>% en las exportaciones no petroleras y de 43.3</w:t>
      </w:r>
      <w:r w:rsidR="004F03B7">
        <w:rPr>
          <w:rFonts w:cs="Arial"/>
          <w:sz w:val="24"/>
          <w:szCs w:val="24"/>
        </w:rPr>
        <w:t xml:space="preserve"> </w:t>
      </w:r>
      <w:r w:rsidRPr="00600AF1">
        <w:rPr>
          <w:rFonts w:cs="Arial"/>
          <w:sz w:val="24"/>
          <w:szCs w:val="24"/>
        </w:rPr>
        <w:t>% en las petroleras.</w:t>
      </w:r>
    </w:p>
    <w:p w14:paraId="35EB48C3" w14:textId="2157F168" w:rsidR="00757DAD" w:rsidRPr="001341F0" w:rsidRDefault="00757DAD" w:rsidP="00C053CB">
      <w:pPr>
        <w:pStyle w:val="titulos"/>
        <w:spacing w:before="240" w:after="120" w:line="280" w:lineRule="exact"/>
        <w:ind w:left="851"/>
        <w:rPr>
          <w:i w:val="0"/>
          <w:iCs/>
          <w:u w:val="none"/>
        </w:rPr>
      </w:pPr>
      <w:r w:rsidRPr="001341F0">
        <w:rPr>
          <w:i w:val="0"/>
          <w:iCs/>
          <w:u w:val="none"/>
        </w:rPr>
        <w:t xml:space="preserve">Estructura de las </w:t>
      </w:r>
      <w:r w:rsidR="001F12C3" w:rsidRPr="001341F0">
        <w:rPr>
          <w:i w:val="0"/>
          <w:iCs/>
          <w:u w:val="none"/>
        </w:rPr>
        <w:t>e</w:t>
      </w:r>
      <w:r w:rsidRPr="001341F0">
        <w:rPr>
          <w:i w:val="0"/>
          <w:iCs/>
          <w:u w:val="none"/>
        </w:rPr>
        <w:t>xportaciones</w:t>
      </w:r>
    </w:p>
    <w:p w14:paraId="398F42D1" w14:textId="5E768D5C" w:rsidR="00762DD3" w:rsidRPr="00E1371C" w:rsidRDefault="004F03B7" w:rsidP="00E1371C">
      <w:pPr>
        <w:pStyle w:val="Textoindependiente211"/>
        <w:numPr>
          <w:ilvl w:val="12"/>
          <w:numId w:val="0"/>
        </w:numPr>
        <w:spacing w:before="240" w:after="120" w:line="280" w:lineRule="exact"/>
        <w:rPr>
          <w:rFonts w:cs="Arial"/>
          <w:sz w:val="24"/>
          <w:szCs w:val="24"/>
        </w:rPr>
      </w:pPr>
      <w:r w:rsidRPr="004F03B7">
        <w:rPr>
          <w:rFonts w:cs="Arial"/>
          <w:sz w:val="24"/>
          <w:szCs w:val="24"/>
        </w:rPr>
        <w:t>La estructura del valor de las exportaciones de mercancías durante los primeros diez meses de 2022 fue la siguiente: bienes manufacturados, 87.7</w:t>
      </w:r>
      <w:r>
        <w:rPr>
          <w:rFonts w:cs="Arial"/>
          <w:sz w:val="24"/>
          <w:szCs w:val="24"/>
        </w:rPr>
        <w:t xml:space="preserve"> </w:t>
      </w:r>
      <w:r w:rsidRPr="004F03B7">
        <w:rPr>
          <w:rFonts w:cs="Arial"/>
          <w:sz w:val="24"/>
          <w:szCs w:val="24"/>
        </w:rPr>
        <w:t>%; productos petroleros, 7.1</w:t>
      </w:r>
      <w:r>
        <w:rPr>
          <w:rFonts w:cs="Arial"/>
          <w:sz w:val="24"/>
          <w:szCs w:val="24"/>
        </w:rPr>
        <w:t xml:space="preserve"> </w:t>
      </w:r>
      <w:r w:rsidRPr="004F03B7">
        <w:rPr>
          <w:rFonts w:cs="Arial"/>
          <w:sz w:val="24"/>
          <w:szCs w:val="24"/>
        </w:rPr>
        <w:t>%; bienes agropecuarios, 3.7</w:t>
      </w:r>
      <w:r>
        <w:rPr>
          <w:rFonts w:cs="Arial"/>
          <w:sz w:val="24"/>
          <w:szCs w:val="24"/>
        </w:rPr>
        <w:t xml:space="preserve"> </w:t>
      </w:r>
      <w:r w:rsidRPr="004F03B7">
        <w:rPr>
          <w:rFonts w:cs="Arial"/>
          <w:sz w:val="24"/>
          <w:szCs w:val="24"/>
        </w:rPr>
        <w:t>% y productos extractivos no petroleros, 1.5</w:t>
      </w:r>
      <w:r>
        <w:rPr>
          <w:rFonts w:cs="Arial"/>
          <w:sz w:val="24"/>
          <w:szCs w:val="24"/>
        </w:rPr>
        <w:t xml:space="preserve"> </w:t>
      </w:r>
      <w:r w:rsidR="001853BD">
        <w:rPr>
          <w:rFonts w:cs="Arial"/>
          <w:sz w:val="24"/>
          <w:szCs w:val="24"/>
        </w:rPr>
        <w:t>por ciento</w:t>
      </w:r>
      <w:r w:rsidR="001853BD" w:rsidRPr="001853BD">
        <w:rPr>
          <w:rFonts w:cs="Arial"/>
          <w:sz w:val="24"/>
          <w:szCs w:val="24"/>
        </w:rPr>
        <w:t>.</w:t>
      </w:r>
    </w:p>
    <w:p w14:paraId="3835004A" w14:textId="77777777" w:rsidR="00C053CB" w:rsidRDefault="00C053CB">
      <w:pPr>
        <w:rPr>
          <w:rFonts w:ascii="Arial" w:hAnsi="Arial"/>
          <w:b/>
          <w:i/>
          <w:szCs w:val="20"/>
          <w:lang w:val="es-ES_tradnl" w:eastAsia="es-ES"/>
        </w:rPr>
      </w:pPr>
      <w:r>
        <w:br w:type="page"/>
      </w:r>
    </w:p>
    <w:p w14:paraId="7A38744B" w14:textId="69A9F550" w:rsidR="00757DAD" w:rsidRPr="00F00C8A" w:rsidRDefault="00757DAD" w:rsidP="001F12C3">
      <w:pPr>
        <w:pStyle w:val="titulos"/>
        <w:spacing w:before="240" w:after="120" w:line="280" w:lineRule="exact"/>
        <w:ind w:left="567"/>
        <w:rPr>
          <w:i w:val="0"/>
          <w:iCs/>
          <w:u w:val="none"/>
        </w:rPr>
      </w:pPr>
      <w:r w:rsidRPr="00F00C8A">
        <w:rPr>
          <w:i w:val="0"/>
          <w:iCs/>
          <w:u w:val="none"/>
        </w:rPr>
        <w:lastRenderedPageBreak/>
        <w:t xml:space="preserve">Importaciones </w:t>
      </w:r>
      <w:r w:rsidR="001F12C3" w:rsidRPr="00F00C8A">
        <w:rPr>
          <w:i w:val="0"/>
          <w:iCs/>
          <w:u w:val="none"/>
        </w:rPr>
        <w:t>t</w:t>
      </w:r>
      <w:r w:rsidRPr="00F00C8A">
        <w:rPr>
          <w:i w:val="0"/>
          <w:iCs/>
          <w:u w:val="none"/>
        </w:rPr>
        <w:t>otales</w:t>
      </w:r>
      <w:r w:rsidR="00B971CF" w:rsidRPr="00F00C8A">
        <w:rPr>
          <w:i w:val="0"/>
          <w:iCs/>
          <w:u w:val="none"/>
        </w:rPr>
        <w:t xml:space="preserve"> de </w:t>
      </w:r>
      <w:r w:rsidR="001F12C3" w:rsidRPr="00F00C8A">
        <w:rPr>
          <w:i w:val="0"/>
          <w:iCs/>
          <w:u w:val="none"/>
        </w:rPr>
        <w:t>m</w:t>
      </w:r>
      <w:r w:rsidR="00B971CF" w:rsidRPr="00F00C8A">
        <w:rPr>
          <w:i w:val="0"/>
          <w:iCs/>
          <w:u w:val="none"/>
        </w:rPr>
        <w:t>ercancías</w:t>
      </w:r>
    </w:p>
    <w:p w14:paraId="758775DB" w14:textId="1D743C4A" w:rsidR="00CC347E" w:rsidRDefault="00CC347E" w:rsidP="00C3346C">
      <w:pPr>
        <w:pStyle w:val="Textoindependiente211"/>
        <w:numPr>
          <w:ilvl w:val="12"/>
          <w:numId w:val="0"/>
        </w:numPr>
        <w:spacing w:before="240" w:after="0" w:line="280" w:lineRule="exact"/>
        <w:rPr>
          <w:sz w:val="24"/>
          <w:szCs w:val="24"/>
          <w:lang w:val="es-ES"/>
        </w:rPr>
      </w:pPr>
      <w:r>
        <w:rPr>
          <w:sz w:val="24"/>
          <w:szCs w:val="24"/>
          <w:lang w:val="es-ES"/>
        </w:rPr>
        <w:t>E</w:t>
      </w:r>
      <w:r w:rsidRPr="00CC347E">
        <w:rPr>
          <w:sz w:val="24"/>
          <w:szCs w:val="24"/>
          <w:lang w:val="es-ES"/>
        </w:rPr>
        <w:t>n octubre de 2022</w:t>
      </w:r>
      <w:r>
        <w:rPr>
          <w:sz w:val="24"/>
          <w:szCs w:val="24"/>
          <w:lang w:val="es-ES"/>
        </w:rPr>
        <w:t>, e</w:t>
      </w:r>
      <w:r w:rsidRPr="00CC347E">
        <w:rPr>
          <w:sz w:val="24"/>
          <w:szCs w:val="24"/>
          <w:lang w:val="es-ES"/>
        </w:rPr>
        <w:t>l valor de las importaciones de mercancías fue de 51</w:t>
      </w:r>
      <w:r w:rsidR="0017453F">
        <w:rPr>
          <w:sz w:val="24"/>
          <w:szCs w:val="24"/>
          <w:lang w:val="es-ES"/>
        </w:rPr>
        <w:t xml:space="preserve"> </w:t>
      </w:r>
      <w:r w:rsidRPr="00CC347E">
        <w:rPr>
          <w:sz w:val="24"/>
          <w:szCs w:val="24"/>
          <w:lang w:val="es-ES"/>
        </w:rPr>
        <w:t>287 millones de dólares</w:t>
      </w:r>
      <w:r w:rsidR="00A9158C">
        <w:rPr>
          <w:sz w:val="24"/>
          <w:szCs w:val="24"/>
          <w:lang w:val="es-ES"/>
        </w:rPr>
        <w:t xml:space="preserve"> y un</w:t>
      </w:r>
      <w:r w:rsidRPr="00CC347E">
        <w:rPr>
          <w:sz w:val="24"/>
          <w:szCs w:val="24"/>
          <w:lang w:val="es-ES"/>
        </w:rPr>
        <w:t xml:space="preserve"> aumento anual de 14.8 </w:t>
      </w:r>
      <w:r>
        <w:rPr>
          <w:sz w:val="24"/>
          <w:szCs w:val="24"/>
          <w:lang w:val="es-ES"/>
        </w:rPr>
        <w:t>por ciento.</w:t>
      </w:r>
    </w:p>
    <w:p w14:paraId="6036EC00" w14:textId="589256A3" w:rsidR="00757DAD" w:rsidRPr="00F00C8A" w:rsidRDefault="00757DAD" w:rsidP="001F12C3">
      <w:pPr>
        <w:pStyle w:val="titulos"/>
        <w:spacing w:before="240" w:after="120" w:line="280" w:lineRule="exact"/>
        <w:ind w:left="851"/>
        <w:rPr>
          <w:i w:val="0"/>
          <w:iCs/>
          <w:u w:val="none"/>
        </w:rPr>
      </w:pPr>
      <w:r w:rsidRPr="00F00C8A">
        <w:rPr>
          <w:i w:val="0"/>
          <w:iCs/>
          <w:u w:val="none"/>
        </w:rPr>
        <w:t xml:space="preserve">Importaciones por </w:t>
      </w:r>
      <w:r w:rsidR="005D2A24" w:rsidRPr="00F00C8A">
        <w:rPr>
          <w:i w:val="0"/>
          <w:iCs/>
          <w:u w:val="none"/>
        </w:rPr>
        <w:t>t</w:t>
      </w:r>
      <w:r w:rsidRPr="00F00C8A">
        <w:rPr>
          <w:i w:val="0"/>
          <w:iCs/>
          <w:u w:val="none"/>
        </w:rPr>
        <w:t xml:space="preserve">ipo de </w:t>
      </w:r>
      <w:r w:rsidR="005D2A24" w:rsidRPr="00F00C8A">
        <w:rPr>
          <w:i w:val="0"/>
          <w:iCs/>
          <w:u w:val="none"/>
        </w:rPr>
        <w:t>b</w:t>
      </w:r>
      <w:r w:rsidRPr="00F00C8A">
        <w:rPr>
          <w:i w:val="0"/>
          <w:iCs/>
          <w:u w:val="none"/>
        </w:rPr>
        <w:t>ien</w:t>
      </w:r>
    </w:p>
    <w:p w14:paraId="3EAE0783" w14:textId="30A2BDB4" w:rsidR="0017453F" w:rsidRDefault="0017453F" w:rsidP="00BB7E96">
      <w:pPr>
        <w:pStyle w:val="Textoindependiente211"/>
        <w:numPr>
          <w:ilvl w:val="12"/>
          <w:numId w:val="0"/>
        </w:numPr>
        <w:spacing w:before="240" w:after="0" w:line="280" w:lineRule="exact"/>
        <w:rPr>
          <w:sz w:val="24"/>
          <w:szCs w:val="24"/>
          <w:lang w:val="es-ES"/>
        </w:rPr>
      </w:pPr>
      <w:r w:rsidRPr="0017453F">
        <w:rPr>
          <w:sz w:val="24"/>
          <w:szCs w:val="24"/>
          <w:lang w:val="es-ES"/>
        </w:rPr>
        <w:t>Las importaciones de bienes de consumo fueron de 6</w:t>
      </w:r>
      <w:r w:rsidR="00BE5D51">
        <w:rPr>
          <w:sz w:val="24"/>
          <w:szCs w:val="24"/>
          <w:lang w:val="es-ES"/>
        </w:rPr>
        <w:t xml:space="preserve"> </w:t>
      </w:r>
      <w:r w:rsidRPr="0017453F">
        <w:rPr>
          <w:sz w:val="24"/>
          <w:szCs w:val="24"/>
          <w:lang w:val="es-ES"/>
        </w:rPr>
        <w:t xml:space="preserve">630 millones de dólares, cifra que se tradujo en </w:t>
      </w:r>
      <w:r>
        <w:rPr>
          <w:sz w:val="24"/>
          <w:szCs w:val="24"/>
          <w:lang w:val="es-ES"/>
        </w:rPr>
        <w:t>un avance</w:t>
      </w:r>
      <w:r w:rsidRPr="0017453F">
        <w:rPr>
          <w:sz w:val="24"/>
          <w:szCs w:val="24"/>
          <w:lang w:val="es-ES"/>
        </w:rPr>
        <w:t xml:space="preserve"> anual de 14.3</w:t>
      </w:r>
      <w:r>
        <w:rPr>
          <w:sz w:val="24"/>
          <w:szCs w:val="24"/>
          <w:lang w:val="es-ES"/>
        </w:rPr>
        <w:t xml:space="preserve"> por ciento</w:t>
      </w:r>
      <w:r w:rsidRPr="0017453F">
        <w:rPr>
          <w:sz w:val="24"/>
          <w:szCs w:val="24"/>
          <w:lang w:val="es-ES"/>
        </w:rPr>
        <w:t>. Dicha tasa fue resultado neto de un incremento de 20</w:t>
      </w:r>
      <w:r>
        <w:rPr>
          <w:sz w:val="24"/>
          <w:szCs w:val="24"/>
          <w:lang w:val="es-ES"/>
        </w:rPr>
        <w:t xml:space="preserve"> </w:t>
      </w:r>
      <w:r w:rsidRPr="0017453F">
        <w:rPr>
          <w:sz w:val="24"/>
          <w:szCs w:val="24"/>
          <w:lang w:val="es-ES"/>
        </w:rPr>
        <w:t>% en las importaciones de bienes de consumo no petroleros y de una reducción de 4</w:t>
      </w:r>
      <w:r>
        <w:rPr>
          <w:sz w:val="24"/>
          <w:szCs w:val="24"/>
          <w:lang w:val="es-ES"/>
        </w:rPr>
        <w:t xml:space="preserve"> </w:t>
      </w:r>
      <w:r w:rsidRPr="0017453F">
        <w:rPr>
          <w:sz w:val="24"/>
          <w:szCs w:val="24"/>
          <w:lang w:val="es-ES"/>
        </w:rPr>
        <w:t xml:space="preserve">% en las de bienes de consumo petroleros (gasolina y gas butano y propano). </w:t>
      </w:r>
    </w:p>
    <w:p w14:paraId="65D92C36" w14:textId="77777777" w:rsidR="0017453F" w:rsidRDefault="0017453F" w:rsidP="00BB7E96">
      <w:pPr>
        <w:pStyle w:val="Textoindependiente211"/>
        <w:numPr>
          <w:ilvl w:val="12"/>
          <w:numId w:val="0"/>
        </w:numPr>
        <w:spacing w:before="240" w:after="0" w:line="280" w:lineRule="exact"/>
        <w:rPr>
          <w:sz w:val="24"/>
          <w:szCs w:val="24"/>
          <w:lang w:val="es-ES"/>
        </w:rPr>
      </w:pPr>
      <w:r>
        <w:rPr>
          <w:sz w:val="24"/>
          <w:szCs w:val="24"/>
          <w:lang w:val="es-ES"/>
        </w:rPr>
        <w:t>E</w:t>
      </w:r>
      <w:r w:rsidRPr="0017453F">
        <w:rPr>
          <w:sz w:val="24"/>
          <w:szCs w:val="24"/>
          <w:lang w:val="es-ES"/>
        </w:rPr>
        <w:t>n octubre de 2022</w:t>
      </w:r>
      <w:r>
        <w:rPr>
          <w:sz w:val="24"/>
          <w:szCs w:val="24"/>
          <w:lang w:val="es-ES"/>
        </w:rPr>
        <w:t>,</w:t>
      </w:r>
      <w:r w:rsidRPr="0017453F">
        <w:rPr>
          <w:sz w:val="24"/>
          <w:szCs w:val="24"/>
          <w:lang w:val="es-ES"/>
        </w:rPr>
        <w:t xml:space="preserve"> se importaron bienes de uso intermedio por un valor de 40</w:t>
      </w:r>
      <w:r>
        <w:rPr>
          <w:sz w:val="24"/>
          <w:szCs w:val="24"/>
          <w:lang w:val="es-ES"/>
        </w:rPr>
        <w:t xml:space="preserve"> </w:t>
      </w:r>
      <w:r w:rsidRPr="0017453F">
        <w:rPr>
          <w:sz w:val="24"/>
          <w:szCs w:val="24"/>
          <w:lang w:val="es-ES"/>
        </w:rPr>
        <w:t>352 millones de dólares, nivel superior en 14.3</w:t>
      </w:r>
      <w:r>
        <w:rPr>
          <w:sz w:val="24"/>
          <w:szCs w:val="24"/>
          <w:lang w:val="es-ES"/>
        </w:rPr>
        <w:t xml:space="preserve"> </w:t>
      </w:r>
      <w:r w:rsidRPr="0017453F">
        <w:rPr>
          <w:sz w:val="24"/>
          <w:szCs w:val="24"/>
          <w:lang w:val="es-ES"/>
        </w:rPr>
        <w:t>% al reportado en octubre de 2021. A su vez, esta cifra se originó de crecimientos de 13.6</w:t>
      </w:r>
      <w:r>
        <w:rPr>
          <w:sz w:val="24"/>
          <w:szCs w:val="24"/>
          <w:lang w:val="es-ES"/>
        </w:rPr>
        <w:t xml:space="preserve"> </w:t>
      </w:r>
      <w:r w:rsidRPr="0017453F">
        <w:rPr>
          <w:sz w:val="24"/>
          <w:szCs w:val="24"/>
          <w:lang w:val="es-ES"/>
        </w:rPr>
        <w:t>% en las importaciones de productos de uso intermedio no petroleros y de 20.8</w:t>
      </w:r>
      <w:r>
        <w:rPr>
          <w:sz w:val="24"/>
          <w:szCs w:val="24"/>
          <w:lang w:val="es-ES"/>
        </w:rPr>
        <w:t xml:space="preserve"> </w:t>
      </w:r>
      <w:r w:rsidRPr="0017453F">
        <w:rPr>
          <w:sz w:val="24"/>
          <w:szCs w:val="24"/>
          <w:lang w:val="es-ES"/>
        </w:rPr>
        <w:t>% en las de bienes de uso intermedio petroleros.</w:t>
      </w:r>
    </w:p>
    <w:p w14:paraId="66AEDC29" w14:textId="5E84EE7C" w:rsidR="0017453F" w:rsidRPr="00BB7E96" w:rsidRDefault="0017453F" w:rsidP="00BB7E96">
      <w:pPr>
        <w:pStyle w:val="Textoindependiente211"/>
        <w:numPr>
          <w:ilvl w:val="12"/>
          <w:numId w:val="0"/>
        </w:numPr>
        <w:spacing w:before="240" w:after="0" w:line="280" w:lineRule="exact"/>
        <w:rPr>
          <w:sz w:val="24"/>
          <w:szCs w:val="24"/>
          <w:lang w:val="es-ES"/>
        </w:rPr>
      </w:pPr>
      <w:r w:rsidRPr="0017453F">
        <w:rPr>
          <w:sz w:val="24"/>
          <w:szCs w:val="24"/>
          <w:lang w:val="es-ES"/>
        </w:rPr>
        <w:t xml:space="preserve">En </w:t>
      </w:r>
      <w:r w:rsidR="00A97EC0">
        <w:rPr>
          <w:sz w:val="24"/>
          <w:szCs w:val="24"/>
          <w:lang w:val="es-ES"/>
        </w:rPr>
        <w:t xml:space="preserve">el mes de referencia, y en </w:t>
      </w:r>
      <w:r w:rsidRPr="0017453F">
        <w:rPr>
          <w:sz w:val="24"/>
          <w:szCs w:val="24"/>
          <w:lang w:val="es-ES"/>
        </w:rPr>
        <w:t>lo que corresponde a las importaciones de bienes de capital, estas alcanzaron 4</w:t>
      </w:r>
      <w:r>
        <w:rPr>
          <w:sz w:val="24"/>
          <w:szCs w:val="24"/>
          <w:lang w:val="es-ES"/>
        </w:rPr>
        <w:t xml:space="preserve"> </w:t>
      </w:r>
      <w:r w:rsidRPr="0017453F">
        <w:rPr>
          <w:sz w:val="24"/>
          <w:szCs w:val="24"/>
          <w:lang w:val="es-ES"/>
        </w:rPr>
        <w:t>305 millones de dólares</w:t>
      </w:r>
      <w:r w:rsidR="00A97EC0">
        <w:rPr>
          <w:sz w:val="24"/>
          <w:szCs w:val="24"/>
          <w:lang w:val="es-ES"/>
        </w:rPr>
        <w:t>:</w:t>
      </w:r>
      <w:r w:rsidRPr="0017453F">
        <w:rPr>
          <w:sz w:val="24"/>
          <w:szCs w:val="24"/>
          <w:lang w:val="es-ES"/>
        </w:rPr>
        <w:t xml:space="preserve"> un alza anual de 21.7</w:t>
      </w:r>
      <w:r w:rsidR="00CB0D0C">
        <w:rPr>
          <w:sz w:val="24"/>
          <w:szCs w:val="24"/>
          <w:lang w:val="es-ES"/>
        </w:rPr>
        <w:t xml:space="preserve"> por ciento</w:t>
      </w:r>
      <w:r w:rsidR="00F00C8A" w:rsidRPr="00F00C8A">
        <w:rPr>
          <w:sz w:val="24"/>
          <w:szCs w:val="24"/>
          <w:lang w:val="es-ES"/>
        </w:rPr>
        <w:t>.</w:t>
      </w:r>
      <w:r w:rsidR="00A97EC0">
        <w:rPr>
          <w:sz w:val="24"/>
          <w:szCs w:val="24"/>
          <w:lang w:val="es-ES"/>
        </w:rPr>
        <w:t xml:space="preserve"> </w:t>
      </w:r>
      <w:r w:rsidRPr="0017453F">
        <w:rPr>
          <w:sz w:val="24"/>
          <w:szCs w:val="24"/>
          <w:lang w:val="es-ES"/>
        </w:rPr>
        <w:t>El valor acumulado de las importaciones totales en los primeros diez meses de 2022 fue de</w:t>
      </w:r>
      <w:r w:rsidR="00A97EC0">
        <w:rPr>
          <w:sz w:val="24"/>
          <w:szCs w:val="24"/>
          <w:lang w:val="es-ES"/>
        </w:rPr>
        <w:t xml:space="preserve">      </w:t>
      </w:r>
      <w:r w:rsidRPr="0017453F">
        <w:rPr>
          <w:sz w:val="24"/>
          <w:szCs w:val="24"/>
          <w:lang w:val="es-ES"/>
        </w:rPr>
        <w:t xml:space="preserve"> 506</w:t>
      </w:r>
      <w:r>
        <w:rPr>
          <w:sz w:val="24"/>
          <w:szCs w:val="24"/>
          <w:lang w:val="es-ES"/>
        </w:rPr>
        <w:t xml:space="preserve"> </w:t>
      </w:r>
      <w:r w:rsidRPr="0017453F">
        <w:rPr>
          <w:sz w:val="24"/>
          <w:szCs w:val="24"/>
          <w:lang w:val="es-ES"/>
        </w:rPr>
        <w:t>868 millones de dólares, monto mayor en 22.8</w:t>
      </w:r>
      <w:r>
        <w:rPr>
          <w:sz w:val="24"/>
          <w:szCs w:val="24"/>
          <w:lang w:val="es-ES"/>
        </w:rPr>
        <w:t xml:space="preserve"> </w:t>
      </w:r>
      <w:r w:rsidRPr="0017453F">
        <w:rPr>
          <w:sz w:val="24"/>
          <w:szCs w:val="24"/>
          <w:lang w:val="es-ES"/>
        </w:rPr>
        <w:t xml:space="preserve">% al observado en igual lapso de 2021. A su interior, las importaciones no petroleras avanzaron </w:t>
      </w:r>
      <w:r w:rsidR="00A9158C" w:rsidRPr="0017453F">
        <w:rPr>
          <w:sz w:val="24"/>
          <w:szCs w:val="24"/>
          <w:lang w:val="es-ES"/>
        </w:rPr>
        <w:t>19.9</w:t>
      </w:r>
      <w:r w:rsidR="00A9158C">
        <w:rPr>
          <w:sz w:val="24"/>
          <w:szCs w:val="24"/>
          <w:lang w:val="es-ES"/>
        </w:rPr>
        <w:t> </w:t>
      </w:r>
      <w:r w:rsidR="00A9158C" w:rsidRPr="0017453F">
        <w:rPr>
          <w:sz w:val="24"/>
          <w:szCs w:val="24"/>
          <w:lang w:val="es-ES"/>
        </w:rPr>
        <w:t>%</w:t>
      </w:r>
      <w:r w:rsidR="00A9158C">
        <w:rPr>
          <w:sz w:val="24"/>
          <w:szCs w:val="24"/>
          <w:lang w:val="es-ES"/>
        </w:rPr>
        <w:t xml:space="preserve"> </w:t>
      </w:r>
      <w:r w:rsidRPr="0017453F">
        <w:rPr>
          <w:sz w:val="24"/>
          <w:szCs w:val="24"/>
          <w:lang w:val="es-ES"/>
        </w:rPr>
        <w:t xml:space="preserve">a tasa anual </w:t>
      </w:r>
      <w:r>
        <w:rPr>
          <w:sz w:val="24"/>
          <w:szCs w:val="24"/>
          <w:lang w:val="es-ES"/>
        </w:rPr>
        <w:t xml:space="preserve">y </w:t>
      </w:r>
      <w:r w:rsidRPr="0017453F">
        <w:rPr>
          <w:sz w:val="24"/>
          <w:szCs w:val="24"/>
          <w:lang w:val="es-ES"/>
        </w:rPr>
        <w:t>las petroleras</w:t>
      </w:r>
      <w:r w:rsidR="00A9158C">
        <w:rPr>
          <w:sz w:val="24"/>
          <w:szCs w:val="24"/>
          <w:lang w:val="es-ES"/>
        </w:rPr>
        <w:t>,</w:t>
      </w:r>
      <w:r w:rsidRPr="0017453F">
        <w:rPr>
          <w:sz w:val="24"/>
          <w:szCs w:val="24"/>
          <w:lang w:val="es-ES"/>
        </w:rPr>
        <w:t xml:space="preserve"> 46.6</w:t>
      </w:r>
      <w:r>
        <w:rPr>
          <w:sz w:val="24"/>
          <w:szCs w:val="24"/>
          <w:lang w:val="es-ES"/>
        </w:rPr>
        <w:t xml:space="preserve"> por ciento</w:t>
      </w:r>
      <w:r w:rsidRPr="0017453F">
        <w:rPr>
          <w:sz w:val="24"/>
          <w:szCs w:val="24"/>
          <w:lang w:val="es-ES"/>
        </w:rPr>
        <w:t>.</w:t>
      </w:r>
    </w:p>
    <w:p w14:paraId="620BB2B7" w14:textId="584BEB7C" w:rsidR="00757DAD" w:rsidRPr="00F00C8A" w:rsidRDefault="00757DAD" w:rsidP="001F12C3">
      <w:pPr>
        <w:pStyle w:val="titulos"/>
        <w:spacing w:before="240" w:after="120" w:line="280" w:lineRule="exact"/>
        <w:ind w:left="851"/>
        <w:rPr>
          <w:i w:val="0"/>
          <w:iCs/>
          <w:u w:val="none"/>
        </w:rPr>
      </w:pPr>
      <w:r w:rsidRPr="00F00C8A">
        <w:rPr>
          <w:i w:val="0"/>
          <w:iCs/>
          <w:u w:val="none"/>
        </w:rPr>
        <w:t>Estructura de l</w:t>
      </w:r>
      <w:r w:rsidR="002C6E44" w:rsidRPr="00F00C8A">
        <w:rPr>
          <w:i w:val="0"/>
          <w:iCs/>
          <w:u w:val="none"/>
        </w:rPr>
        <w:t>a</w:t>
      </w:r>
      <w:r w:rsidRPr="00F00C8A">
        <w:rPr>
          <w:i w:val="0"/>
          <w:iCs/>
          <w:u w:val="none"/>
        </w:rPr>
        <w:t xml:space="preserve">s </w:t>
      </w:r>
      <w:r w:rsidR="005D2A24" w:rsidRPr="00F00C8A">
        <w:rPr>
          <w:i w:val="0"/>
          <w:iCs/>
          <w:u w:val="none"/>
        </w:rPr>
        <w:t>i</w:t>
      </w:r>
      <w:r w:rsidRPr="00F00C8A">
        <w:rPr>
          <w:i w:val="0"/>
          <w:iCs/>
          <w:u w:val="none"/>
        </w:rPr>
        <w:t>mportaciones</w:t>
      </w:r>
    </w:p>
    <w:p w14:paraId="3E191D1A" w14:textId="2546D018" w:rsidR="00C3346C" w:rsidRPr="007B230F" w:rsidRDefault="0017453F" w:rsidP="00C053CB">
      <w:pPr>
        <w:pStyle w:val="Textoindependiente211"/>
        <w:numPr>
          <w:ilvl w:val="12"/>
          <w:numId w:val="0"/>
        </w:numPr>
        <w:spacing w:before="240" w:after="0" w:line="280" w:lineRule="exact"/>
        <w:rPr>
          <w:sz w:val="24"/>
          <w:szCs w:val="24"/>
          <w:lang w:val="es-ES"/>
        </w:rPr>
      </w:pPr>
      <w:r w:rsidRPr="0017453F">
        <w:rPr>
          <w:sz w:val="24"/>
          <w:szCs w:val="24"/>
          <w:lang w:val="es-ES"/>
        </w:rPr>
        <w:t>La estructura del valor de las importaciones en el periodo enero-octubre de 2022 fue la siguiente: bienes de uso intermedio, 78.9</w:t>
      </w:r>
      <w:r>
        <w:rPr>
          <w:sz w:val="24"/>
          <w:szCs w:val="24"/>
          <w:lang w:val="es-ES"/>
        </w:rPr>
        <w:t xml:space="preserve"> </w:t>
      </w:r>
      <w:r w:rsidRPr="0017453F">
        <w:rPr>
          <w:sz w:val="24"/>
          <w:szCs w:val="24"/>
          <w:lang w:val="es-ES"/>
        </w:rPr>
        <w:t>%; bienes de consumo, 13.4</w:t>
      </w:r>
      <w:r>
        <w:rPr>
          <w:sz w:val="24"/>
          <w:szCs w:val="24"/>
          <w:lang w:val="es-ES"/>
        </w:rPr>
        <w:t xml:space="preserve"> </w:t>
      </w:r>
      <w:r w:rsidRPr="0017453F">
        <w:rPr>
          <w:sz w:val="24"/>
          <w:szCs w:val="24"/>
          <w:lang w:val="es-ES"/>
        </w:rPr>
        <w:t>% y bienes de capital, 7.7</w:t>
      </w:r>
      <w:r>
        <w:rPr>
          <w:sz w:val="24"/>
          <w:szCs w:val="24"/>
          <w:lang w:val="es-ES"/>
        </w:rPr>
        <w:t xml:space="preserve"> </w:t>
      </w:r>
      <w:r w:rsidR="00BB7E96">
        <w:rPr>
          <w:sz w:val="24"/>
          <w:szCs w:val="24"/>
          <w:lang w:val="es-ES"/>
        </w:rPr>
        <w:t>por ciento</w:t>
      </w:r>
      <w:r w:rsidR="00BB7E96" w:rsidRPr="00BB7E96">
        <w:rPr>
          <w:sz w:val="24"/>
          <w:szCs w:val="24"/>
          <w:lang w:val="es-ES"/>
        </w:rPr>
        <w:t>.</w:t>
      </w:r>
    </w:p>
    <w:p w14:paraId="4F3ABB2C" w14:textId="77777777" w:rsidR="000334F7" w:rsidRDefault="000334F7" w:rsidP="00FE2CC2">
      <w:pPr>
        <w:pStyle w:val="titulos"/>
        <w:rPr>
          <w:i w:val="0"/>
          <w:iCs/>
          <w:smallCaps/>
          <w:u w:val="none"/>
        </w:rPr>
      </w:pPr>
    </w:p>
    <w:p w14:paraId="6D3F0D04" w14:textId="77777777" w:rsidR="000334F7" w:rsidRDefault="000334F7" w:rsidP="00FE2CC2">
      <w:pPr>
        <w:pStyle w:val="titulos"/>
        <w:rPr>
          <w:i w:val="0"/>
          <w:iCs/>
          <w:smallCaps/>
          <w:u w:val="none"/>
        </w:rPr>
      </w:pPr>
    </w:p>
    <w:p w14:paraId="77F57F39" w14:textId="77777777" w:rsidR="000334F7" w:rsidRDefault="000334F7" w:rsidP="00FE2CC2">
      <w:pPr>
        <w:pStyle w:val="titulos"/>
        <w:rPr>
          <w:i w:val="0"/>
          <w:iCs/>
          <w:smallCaps/>
          <w:u w:val="none"/>
        </w:rPr>
      </w:pPr>
    </w:p>
    <w:p w14:paraId="53A3B9BC" w14:textId="77777777" w:rsidR="000334F7" w:rsidRDefault="000334F7" w:rsidP="00FE2CC2">
      <w:pPr>
        <w:pStyle w:val="titulos"/>
        <w:rPr>
          <w:i w:val="0"/>
          <w:iCs/>
          <w:smallCaps/>
          <w:u w:val="none"/>
        </w:rPr>
      </w:pPr>
    </w:p>
    <w:p w14:paraId="2166263E" w14:textId="77777777" w:rsidR="000334F7" w:rsidRDefault="000334F7" w:rsidP="00FE2CC2">
      <w:pPr>
        <w:pStyle w:val="titulos"/>
        <w:rPr>
          <w:i w:val="0"/>
          <w:iCs/>
          <w:smallCaps/>
          <w:u w:val="none"/>
        </w:rPr>
      </w:pPr>
    </w:p>
    <w:p w14:paraId="36EB208A" w14:textId="77777777" w:rsidR="000334F7" w:rsidRDefault="000334F7" w:rsidP="00FE2CC2">
      <w:pPr>
        <w:pStyle w:val="titulos"/>
        <w:rPr>
          <w:i w:val="0"/>
          <w:iCs/>
          <w:smallCaps/>
          <w:u w:val="none"/>
        </w:rPr>
      </w:pPr>
    </w:p>
    <w:p w14:paraId="61DC273F" w14:textId="66D5E626" w:rsidR="00743646" w:rsidRPr="00F00C8A" w:rsidRDefault="00900594" w:rsidP="00FE2CC2">
      <w:pPr>
        <w:pStyle w:val="titulos"/>
        <w:rPr>
          <w:i w:val="0"/>
          <w:iCs/>
          <w:smallCaps/>
          <w:u w:val="none"/>
        </w:rPr>
      </w:pPr>
      <w:r w:rsidRPr="00F00C8A">
        <w:rPr>
          <w:i w:val="0"/>
          <w:iCs/>
          <w:smallCaps/>
          <w:u w:val="none"/>
        </w:rPr>
        <w:lastRenderedPageBreak/>
        <w:t xml:space="preserve">Cifras </w:t>
      </w:r>
      <w:r w:rsidR="002C126C" w:rsidRPr="00F00C8A">
        <w:rPr>
          <w:i w:val="0"/>
          <w:iCs/>
          <w:smallCaps/>
          <w:u w:val="none"/>
        </w:rPr>
        <w:t>desestacionalizadas</w:t>
      </w:r>
    </w:p>
    <w:p w14:paraId="7B6F440C" w14:textId="38106CC1" w:rsidR="000F1FF6" w:rsidRDefault="00A97EC0" w:rsidP="002105E2">
      <w:pPr>
        <w:pStyle w:val="Textoindependiente211"/>
        <w:numPr>
          <w:ilvl w:val="12"/>
          <w:numId w:val="0"/>
        </w:numPr>
        <w:spacing w:before="240" w:after="0" w:line="280" w:lineRule="exact"/>
        <w:rPr>
          <w:sz w:val="24"/>
          <w:szCs w:val="24"/>
          <w:lang w:val="es-ES"/>
        </w:rPr>
      </w:pPr>
      <w:r>
        <w:rPr>
          <w:sz w:val="24"/>
          <w:szCs w:val="24"/>
          <w:lang w:val="es-ES"/>
        </w:rPr>
        <w:t xml:space="preserve">En octubre de 2022, con </w:t>
      </w:r>
      <w:r w:rsidR="000F1FF6" w:rsidRPr="000F1FF6">
        <w:rPr>
          <w:sz w:val="24"/>
          <w:szCs w:val="24"/>
          <w:lang w:val="es-ES"/>
        </w:rPr>
        <w:t xml:space="preserve">cifras desestacionalizadas, la balanza comercial registró un déficit de 986 millones de dólares, mientras que en septiembre el déficit fue de 55 millones de dólares. El incremento del déficit entre septiembre y octubre se derivó de la combinación de un menor superávit de la balanza de productos no petroleros </w:t>
      </w:r>
      <w:r w:rsidR="000F1FF6">
        <w:rPr>
          <w:sz w:val="24"/>
          <w:szCs w:val="24"/>
          <w:lang w:val="es-ES"/>
        </w:rPr>
        <w:t>—</w:t>
      </w:r>
      <w:r w:rsidR="000F1FF6" w:rsidRPr="000F1FF6">
        <w:rPr>
          <w:sz w:val="24"/>
          <w:szCs w:val="24"/>
          <w:lang w:val="es-ES"/>
        </w:rPr>
        <w:t>que pasó de 3</w:t>
      </w:r>
      <w:r w:rsidR="000F1FF6">
        <w:rPr>
          <w:sz w:val="24"/>
          <w:szCs w:val="24"/>
          <w:lang w:val="es-ES"/>
        </w:rPr>
        <w:t xml:space="preserve"> </w:t>
      </w:r>
      <w:r w:rsidR="000F1FF6" w:rsidRPr="000F1FF6">
        <w:rPr>
          <w:sz w:val="24"/>
          <w:szCs w:val="24"/>
          <w:lang w:val="es-ES"/>
        </w:rPr>
        <w:t>218 millones de dólares en septiembre a 1</w:t>
      </w:r>
      <w:r w:rsidR="000F1FF6">
        <w:rPr>
          <w:sz w:val="24"/>
          <w:szCs w:val="24"/>
          <w:lang w:val="es-ES"/>
        </w:rPr>
        <w:t xml:space="preserve"> </w:t>
      </w:r>
      <w:r w:rsidR="000F1FF6" w:rsidRPr="000F1FF6">
        <w:rPr>
          <w:sz w:val="24"/>
          <w:szCs w:val="24"/>
          <w:lang w:val="es-ES"/>
        </w:rPr>
        <w:t>489 millones de dólares en octubre</w:t>
      </w:r>
      <w:r w:rsidR="000F1FF6">
        <w:rPr>
          <w:sz w:val="24"/>
          <w:szCs w:val="24"/>
          <w:lang w:val="es-ES"/>
        </w:rPr>
        <w:t>—</w:t>
      </w:r>
      <w:r w:rsidR="000F1FF6" w:rsidRPr="000F1FF6">
        <w:rPr>
          <w:sz w:val="24"/>
          <w:szCs w:val="24"/>
          <w:lang w:val="es-ES"/>
        </w:rPr>
        <w:t xml:space="preserve"> y de una reducción del déficit de la balanza de productos petroleros </w:t>
      </w:r>
      <w:r w:rsidR="000F1FF6">
        <w:rPr>
          <w:sz w:val="24"/>
          <w:szCs w:val="24"/>
          <w:lang w:val="es-ES"/>
        </w:rPr>
        <w:t>—</w:t>
      </w:r>
      <w:r w:rsidR="000F1FF6" w:rsidRPr="000F1FF6">
        <w:rPr>
          <w:sz w:val="24"/>
          <w:szCs w:val="24"/>
          <w:lang w:val="es-ES"/>
        </w:rPr>
        <w:t>que pasó de 3</w:t>
      </w:r>
      <w:r w:rsidR="000F1FF6">
        <w:rPr>
          <w:sz w:val="24"/>
          <w:szCs w:val="24"/>
          <w:lang w:val="es-ES"/>
        </w:rPr>
        <w:t xml:space="preserve"> </w:t>
      </w:r>
      <w:r w:rsidR="000F1FF6" w:rsidRPr="000F1FF6">
        <w:rPr>
          <w:sz w:val="24"/>
          <w:szCs w:val="24"/>
          <w:lang w:val="es-ES"/>
        </w:rPr>
        <w:t>273 millones de dólares a 2</w:t>
      </w:r>
      <w:r w:rsidR="000F1FF6">
        <w:rPr>
          <w:sz w:val="24"/>
          <w:szCs w:val="24"/>
          <w:lang w:val="es-ES"/>
        </w:rPr>
        <w:t xml:space="preserve"> </w:t>
      </w:r>
      <w:r w:rsidR="000F1FF6" w:rsidRPr="000F1FF6">
        <w:rPr>
          <w:sz w:val="24"/>
          <w:szCs w:val="24"/>
          <w:lang w:val="es-ES"/>
        </w:rPr>
        <w:t>475 millones de dólares en esa misma comparación</w:t>
      </w:r>
      <w:r w:rsidR="000F1FF6">
        <w:rPr>
          <w:sz w:val="24"/>
          <w:szCs w:val="24"/>
          <w:lang w:val="es-ES"/>
        </w:rPr>
        <w:t>—</w:t>
      </w:r>
      <w:r w:rsidR="000F1FF6" w:rsidRPr="000F1FF6">
        <w:rPr>
          <w:sz w:val="24"/>
          <w:szCs w:val="24"/>
          <w:lang w:val="es-ES"/>
        </w:rPr>
        <w:t>.</w:t>
      </w:r>
    </w:p>
    <w:p w14:paraId="6E85E739" w14:textId="77777777" w:rsidR="000334F7" w:rsidRDefault="000334F7" w:rsidP="000334F7">
      <w:pPr>
        <w:rPr>
          <w:bCs/>
          <w:sz w:val="20"/>
          <w:szCs w:val="18"/>
          <w:lang w:val="es-ES"/>
        </w:rPr>
      </w:pPr>
      <w:bookmarkStart w:id="2" w:name="_Hlk43973138"/>
    </w:p>
    <w:p w14:paraId="41D92C5D" w14:textId="2339768E" w:rsidR="00900594" w:rsidRPr="000334F7" w:rsidRDefault="00900594" w:rsidP="000334F7">
      <w:pPr>
        <w:jc w:val="center"/>
        <w:rPr>
          <w:rFonts w:ascii="Arial" w:hAnsi="Arial" w:cs="Arial"/>
          <w:bCs/>
          <w:sz w:val="20"/>
          <w:szCs w:val="18"/>
          <w:lang w:val="es-ES"/>
        </w:rPr>
      </w:pPr>
      <w:r w:rsidRPr="000334F7">
        <w:rPr>
          <w:rFonts w:ascii="Arial" w:hAnsi="Arial" w:cs="Arial"/>
          <w:bCs/>
          <w:sz w:val="20"/>
          <w:szCs w:val="18"/>
          <w:lang w:val="es-ES"/>
        </w:rPr>
        <w:t>Gráfica 1</w:t>
      </w:r>
    </w:p>
    <w:p w14:paraId="3E2475B8" w14:textId="351CAD30" w:rsidR="002305FE" w:rsidRDefault="002305FE" w:rsidP="002C0404">
      <w:pPr>
        <w:pStyle w:val="Textoindependiente217"/>
        <w:numPr>
          <w:ilvl w:val="12"/>
          <w:numId w:val="0"/>
        </w:numPr>
        <w:spacing w:after="0" w:line="280" w:lineRule="exact"/>
        <w:jc w:val="center"/>
        <w:rPr>
          <w:b/>
          <w:smallCaps/>
          <w:lang w:val="es-ES"/>
        </w:rPr>
      </w:pPr>
      <w:r w:rsidRPr="002C126C">
        <w:rPr>
          <w:b/>
          <w:smallCaps/>
          <w:lang w:val="es-ES"/>
        </w:rPr>
        <w:t xml:space="preserve">Saldo de la </w:t>
      </w:r>
      <w:r w:rsidR="002C126C">
        <w:rPr>
          <w:b/>
          <w:smallCaps/>
          <w:lang w:val="es-ES"/>
        </w:rPr>
        <w:t>b</w:t>
      </w:r>
      <w:r w:rsidRPr="002C126C">
        <w:rPr>
          <w:b/>
          <w:smallCaps/>
          <w:lang w:val="es-ES"/>
        </w:rPr>
        <w:t xml:space="preserve">alanza </w:t>
      </w:r>
      <w:r w:rsidR="002C126C">
        <w:rPr>
          <w:b/>
          <w:smallCaps/>
          <w:lang w:val="es-ES"/>
        </w:rPr>
        <w:t>c</w:t>
      </w:r>
      <w:r w:rsidRPr="002C126C">
        <w:rPr>
          <w:b/>
          <w:smallCaps/>
          <w:lang w:val="es-ES"/>
        </w:rPr>
        <w:t>omercial</w:t>
      </w:r>
      <w:r w:rsidR="004A7E82" w:rsidRPr="002C126C">
        <w:rPr>
          <w:b/>
          <w:smallCaps/>
          <w:lang w:val="es-ES"/>
        </w:rPr>
        <w:t xml:space="preserve"> de </w:t>
      </w:r>
      <w:r w:rsidR="002C126C">
        <w:rPr>
          <w:b/>
          <w:smallCaps/>
          <w:lang w:val="es-ES"/>
        </w:rPr>
        <w:t>m</w:t>
      </w:r>
      <w:r w:rsidR="004A7E82" w:rsidRPr="002C126C">
        <w:rPr>
          <w:b/>
          <w:smallCaps/>
          <w:lang w:val="es-ES"/>
        </w:rPr>
        <w:t>ercancías</w:t>
      </w:r>
      <w:r w:rsidR="005B46A4" w:rsidRPr="002C126C">
        <w:rPr>
          <w:b/>
          <w:smallCaps/>
          <w:lang w:val="es-ES"/>
        </w:rPr>
        <w:t xml:space="preserve"> de México</w:t>
      </w:r>
    </w:p>
    <w:p w14:paraId="282CE75A" w14:textId="32501402" w:rsidR="00460395" w:rsidRPr="002C126C" w:rsidRDefault="00460395" w:rsidP="002C0404">
      <w:pPr>
        <w:pStyle w:val="Textoindependiente217"/>
        <w:numPr>
          <w:ilvl w:val="12"/>
          <w:numId w:val="0"/>
        </w:numPr>
        <w:spacing w:after="0" w:line="280" w:lineRule="exact"/>
        <w:jc w:val="center"/>
        <w:rPr>
          <w:b/>
          <w:smallCaps/>
          <w:lang w:val="es-ES"/>
        </w:rPr>
      </w:pPr>
      <w:r>
        <w:rPr>
          <w:b/>
          <w:smallCaps/>
          <w:lang w:val="es-ES"/>
        </w:rPr>
        <w:t xml:space="preserve">serie </w:t>
      </w:r>
      <w:r w:rsidR="007C3D6A">
        <w:rPr>
          <w:b/>
          <w:smallCaps/>
          <w:lang w:val="es-ES"/>
        </w:rPr>
        <w:t>d</w:t>
      </w:r>
      <w:r>
        <w:rPr>
          <w:b/>
          <w:smallCaps/>
          <w:lang w:val="es-ES"/>
        </w:rPr>
        <w:t>esestacionalizada</w:t>
      </w:r>
    </w:p>
    <w:p w14:paraId="773B7720" w14:textId="41D1946E" w:rsidR="002305FE" w:rsidRPr="00437F85" w:rsidRDefault="00A92A39" w:rsidP="002C0404">
      <w:pPr>
        <w:pStyle w:val="Textoindependiente217"/>
        <w:numPr>
          <w:ilvl w:val="12"/>
          <w:numId w:val="0"/>
        </w:numPr>
        <w:spacing w:after="0" w:line="260" w:lineRule="exact"/>
        <w:jc w:val="center"/>
        <w:rPr>
          <w:sz w:val="20"/>
          <w:lang w:val="es-ES"/>
        </w:rPr>
      </w:pPr>
      <w:r w:rsidRPr="00A92A39">
        <w:rPr>
          <w:sz w:val="18"/>
          <w:lang w:val="es-ES"/>
        </w:rPr>
        <w:t>Millones de dólares</w:t>
      </w:r>
    </w:p>
    <w:p w14:paraId="606DDA7D" w14:textId="7ABAE82E" w:rsidR="00E573F9" w:rsidRDefault="009B6E58" w:rsidP="002C0404">
      <w:pPr>
        <w:pStyle w:val="Textoindependiente217"/>
        <w:widowControl w:val="0"/>
        <w:numPr>
          <w:ilvl w:val="12"/>
          <w:numId w:val="0"/>
        </w:numPr>
        <w:spacing w:after="0"/>
        <w:ind w:hanging="11"/>
        <w:jc w:val="center"/>
        <w:rPr>
          <w:sz w:val="18"/>
          <w:szCs w:val="18"/>
          <w:lang w:val="es-ES"/>
        </w:rPr>
      </w:pPr>
      <w:r>
        <w:rPr>
          <w:noProof/>
        </w:rPr>
        <w:drawing>
          <wp:inline distT="0" distB="0" distL="0" distR="0" wp14:anchorId="6F6A38F9" wp14:editId="04CF0A24">
            <wp:extent cx="5220000" cy="3420000"/>
            <wp:effectExtent l="0" t="0" r="19050" b="9525"/>
            <wp:docPr id="1" name="Gráfico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59DCF54" w14:textId="73187FCF" w:rsidR="002C0404" w:rsidRPr="003D49CC" w:rsidRDefault="002C0404" w:rsidP="00825F98">
      <w:pPr>
        <w:pStyle w:val="Textoindependiente217"/>
        <w:widowControl w:val="0"/>
        <w:numPr>
          <w:ilvl w:val="12"/>
          <w:numId w:val="0"/>
        </w:numPr>
        <w:spacing w:after="0"/>
        <w:ind w:left="644" w:hanging="11"/>
        <w:jc w:val="left"/>
        <w:rPr>
          <w:sz w:val="16"/>
          <w:szCs w:val="16"/>
          <w:lang w:val="es-ES"/>
        </w:rPr>
      </w:pPr>
      <w:r w:rsidRPr="003D49CC">
        <w:rPr>
          <w:sz w:val="16"/>
          <w:szCs w:val="16"/>
          <w:lang w:val="es-ES"/>
        </w:rPr>
        <w:t>* Cifras oportunas</w:t>
      </w:r>
    </w:p>
    <w:p w14:paraId="1989683B" w14:textId="57CBDE77" w:rsidR="00151413" w:rsidRPr="00151413" w:rsidRDefault="00A97EC0" w:rsidP="002105E2">
      <w:pPr>
        <w:pStyle w:val="Textoindependiente211"/>
        <w:numPr>
          <w:ilvl w:val="12"/>
          <w:numId w:val="0"/>
        </w:numPr>
        <w:spacing w:before="240" w:after="0" w:line="280" w:lineRule="exact"/>
        <w:rPr>
          <w:sz w:val="24"/>
          <w:szCs w:val="24"/>
          <w:lang w:val="es-ES"/>
        </w:rPr>
      </w:pPr>
      <w:r>
        <w:rPr>
          <w:sz w:val="24"/>
          <w:szCs w:val="24"/>
          <w:lang w:val="es-ES"/>
        </w:rPr>
        <w:t xml:space="preserve">Las </w:t>
      </w:r>
      <w:r w:rsidR="00786102" w:rsidRPr="00786102">
        <w:rPr>
          <w:sz w:val="24"/>
          <w:szCs w:val="24"/>
          <w:lang w:val="es-ES"/>
        </w:rPr>
        <w:t xml:space="preserve">exportaciones totales </w:t>
      </w:r>
      <w:r w:rsidR="00786102">
        <w:rPr>
          <w:sz w:val="24"/>
          <w:szCs w:val="24"/>
          <w:lang w:val="es-ES"/>
        </w:rPr>
        <w:t>mostraron</w:t>
      </w:r>
      <w:r w:rsidR="00786102" w:rsidRPr="00786102">
        <w:rPr>
          <w:sz w:val="24"/>
          <w:szCs w:val="24"/>
          <w:lang w:val="es-ES"/>
        </w:rPr>
        <w:t xml:space="preserve"> un descenso mensual de 4.17</w:t>
      </w:r>
      <w:r w:rsidR="00786102">
        <w:rPr>
          <w:sz w:val="24"/>
          <w:szCs w:val="24"/>
          <w:lang w:val="es-ES"/>
        </w:rPr>
        <w:t xml:space="preserve"> </w:t>
      </w:r>
      <w:r w:rsidR="00786102" w:rsidRPr="00786102">
        <w:rPr>
          <w:sz w:val="24"/>
          <w:szCs w:val="24"/>
          <w:lang w:val="es-ES"/>
        </w:rPr>
        <w:t>%</w:t>
      </w:r>
      <w:r>
        <w:rPr>
          <w:sz w:val="24"/>
          <w:szCs w:val="24"/>
          <w:lang w:val="es-ES"/>
        </w:rPr>
        <w:t xml:space="preserve"> en octubre de 2022 y con cifras desestacionalizadas. Lo anterior fue</w:t>
      </w:r>
      <w:r w:rsidR="00786102" w:rsidRPr="00786102">
        <w:rPr>
          <w:sz w:val="24"/>
          <w:szCs w:val="24"/>
          <w:lang w:val="es-ES"/>
        </w:rPr>
        <w:t xml:space="preserve"> reflejo de </w:t>
      </w:r>
      <w:r w:rsidR="00786102">
        <w:rPr>
          <w:sz w:val="24"/>
          <w:szCs w:val="24"/>
          <w:lang w:val="es-ES"/>
        </w:rPr>
        <w:t>caídas</w:t>
      </w:r>
      <w:r w:rsidR="00786102" w:rsidRPr="00786102">
        <w:rPr>
          <w:sz w:val="24"/>
          <w:szCs w:val="24"/>
          <w:lang w:val="es-ES"/>
        </w:rPr>
        <w:t xml:space="preserve"> de 3.69</w:t>
      </w:r>
      <w:r w:rsidR="00786102">
        <w:rPr>
          <w:sz w:val="24"/>
          <w:szCs w:val="24"/>
          <w:lang w:val="es-ES"/>
        </w:rPr>
        <w:t xml:space="preserve"> </w:t>
      </w:r>
      <w:r w:rsidR="00786102" w:rsidRPr="00786102">
        <w:rPr>
          <w:sz w:val="24"/>
          <w:szCs w:val="24"/>
          <w:lang w:val="es-ES"/>
        </w:rPr>
        <w:t>% en las exportaciones no petroleras y de 11.09</w:t>
      </w:r>
      <w:r w:rsidR="00786102">
        <w:rPr>
          <w:sz w:val="24"/>
          <w:szCs w:val="24"/>
          <w:lang w:val="es-ES"/>
        </w:rPr>
        <w:t xml:space="preserve"> </w:t>
      </w:r>
      <w:r w:rsidR="00786102" w:rsidRPr="00786102">
        <w:rPr>
          <w:sz w:val="24"/>
          <w:szCs w:val="24"/>
          <w:lang w:val="es-ES"/>
        </w:rPr>
        <w:t>% en las petroleras. Al interior de las exportaciones no petroleras, las manufactureras presentaron una caída mensual de 4.27</w:t>
      </w:r>
      <w:r w:rsidR="00786102">
        <w:rPr>
          <w:sz w:val="24"/>
          <w:szCs w:val="24"/>
          <w:lang w:val="es-ES"/>
        </w:rPr>
        <w:t xml:space="preserve"> por ciento</w:t>
      </w:r>
      <w:r w:rsidR="00786102" w:rsidRPr="00786102">
        <w:rPr>
          <w:sz w:val="24"/>
          <w:szCs w:val="24"/>
          <w:lang w:val="es-ES"/>
        </w:rPr>
        <w:t>. A su vez, dicha tasa fue resultado de retrocesos de 2.91</w:t>
      </w:r>
      <w:r w:rsidR="00786102">
        <w:rPr>
          <w:sz w:val="24"/>
          <w:szCs w:val="24"/>
          <w:lang w:val="es-ES"/>
        </w:rPr>
        <w:t xml:space="preserve"> </w:t>
      </w:r>
      <w:r w:rsidR="00786102" w:rsidRPr="00786102">
        <w:rPr>
          <w:sz w:val="24"/>
          <w:szCs w:val="24"/>
          <w:lang w:val="es-ES"/>
        </w:rPr>
        <w:t>% en las exportaciones automotrices y de 4.96</w:t>
      </w:r>
      <w:r w:rsidR="00786102">
        <w:rPr>
          <w:sz w:val="24"/>
          <w:szCs w:val="24"/>
          <w:lang w:val="es-ES"/>
        </w:rPr>
        <w:t> </w:t>
      </w:r>
      <w:r w:rsidR="00786102" w:rsidRPr="00786102">
        <w:rPr>
          <w:sz w:val="24"/>
          <w:szCs w:val="24"/>
          <w:lang w:val="es-ES"/>
        </w:rPr>
        <w:t>% en las manufactureras no automotrices.</w:t>
      </w:r>
    </w:p>
    <w:p w14:paraId="0D183639" w14:textId="1496CDD8" w:rsidR="00C053CB" w:rsidRDefault="00C053CB">
      <w:pPr>
        <w:rPr>
          <w:rFonts w:ascii="Arial" w:hAnsi="Arial"/>
          <w:lang w:val="es-ES" w:eastAsia="es-ES"/>
        </w:rPr>
      </w:pPr>
      <w:r w:rsidRPr="004D2E4F">
        <w:rPr>
          <w:rFonts w:ascii="Arial" w:hAnsi="Arial"/>
          <w:lang w:val="es-ES" w:eastAsia="es-ES"/>
        </w:rPr>
        <w:br w:type="page"/>
      </w:r>
    </w:p>
    <w:p w14:paraId="247076E7" w14:textId="0E9C19CD" w:rsidR="000E6765" w:rsidRPr="00900594" w:rsidRDefault="00900594" w:rsidP="00900594">
      <w:pPr>
        <w:pStyle w:val="Textoindependiente217"/>
        <w:numPr>
          <w:ilvl w:val="12"/>
          <w:numId w:val="0"/>
        </w:numPr>
        <w:spacing w:before="240" w:after="0" w:line="280" w:lineRule="exact"/>
        <w:jc w:val="center"/>
        <w:rPr>
          <w:sz w:val="20"/>
          <w:lang w:val="es-ES"/>
        </w:rPr>
      </w:pPr>
      <w:r w:rsidRPr="00900594">
        <w:rPr>
          <w:bCs/>
          <w:sz w:val="20"/>
          <w:szCs w:val="18"/>
          <w:lang w:val="es-ES"/>
        </w:rPr>
        <w:lastRenderedPageBreak/>
        <w:t>Gráfica 2</w:t>
      </w:r>
    </w:p>
    <w:p w14:paraId="748E6B0C" w14:textId="08F78B7D" w:rsidR="0065085B" w:rsidRPr="002C126C" w:rsidRDefault="0065085B" w:rsidP="002C126C">
      <w:pPr>
        <w:pStyle w:val="Textoindependiente217"/>
        <w:numPr>
          <w:ilvl w:val="12"/>
          <w:numId w:val="0"/>
        </w:numPr>
        <w:spacing w:after="0" w:line="260" w:lineRule="exact"/>
        <w:jc w:val="center"/>
        <w:rPr>
          <w:b/>
          <w:smallCaps/>
          <w:lang w:val="es-ES"/>
        </w:rPr>
      </w:pPr>
      <w:r w:rsidRPr="002C126C">
        <w:rPr>
          <w:b/>
          <w:smallCaps/>
          <w:lang w:val="es-ES"/>
        </w:rPr>
        <w:t xml:space="preserve">Exportaciones de </w:t>
      </w:r>
      <w:r w:rsidR="002C126C" w:rsidRPr="002C126C">
        <w:rPr>
          <w:b/>
          <w:smallCaps/>
          <w:lang w:val="es-ES"/>
        </w:rPr>
        <w:t>m</w:t>
      </w:r>
      <w:r w:rsidRPr="002C126C">
        <w:rPr>
          <w:b/>
          <w:smallCaps/>
          <w:lang w:val="es-ES"/>
        </w:rPr>
        <w:t xml:space="preserve">ercancías </w:t>
      </w:r>
    </w:p>
    <w:p w14:paraId="1FDDA229" w14:textId="77777777" w:rsidR="0065085B" w:rsidRPr="00A92A39" w:rsidRDefault="0065085B" w:rsidP="002C126C">
      <w:pPr>
        <w:pStyle w:val="Textoindependiente217"/>
        <w:numPr>
          <w:ilvl w:val="12"/>
          <w:numId w:val="0"/>
        </w:numPr>
        <w:spacing w:after="0" w:line="260" w:lineRule="exact"/>
        <w:jc w:val="center"/>
        <w:rPr>
          <w:sz w:val="20"/>
          <w:lang w:val="es-ES"/>
        </w:rPr>
      </w:pPr>
      <w:r w:rsidRPr="00A92A39">
        <w:rPr>
          <w:sz w:val="18"/>
          <w:lang w:val="es-ES"/>
        </w:rPr>
        <w:t>Millones de dólares</w:t>
      </w:r>
    </w:p>
    <w:tbl>
      <w:tblPr>
        <w:tblStyle w:val="Tablaconcuadrcula"/>
        <w:tblW w:w="95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725"/>
        <w:gridCol w:w="4785"/>
      </w:tblGrid>
      <w:tr w:rsidR="0065085B" w:rsidRPr="00260163" w14:paraId="5D304927" w14:textId="77777777" w:rsidTr="009B6E58">
        <w:trPr>
          <w:jc w:val="center"/>
        </w:trPr>
        <w:tc>
          <w:tcPr>
            <w:tcW w:w="4725" w:type="dxa"/>
            <w:shd w:val="clear" w:color="auto" w:fill="auto"/>
          </w:tcPr>
          <w:p w14:paraId="14A2D42A" w14:textId="40131D59" w:rsidR="0065085B" w:rsidRPr="00260163" w:rsidRDefault="009B6E58" w:rsidP="00016BFA">
            <w:pPr>
              <w:pStyle w:val="Textoindependiente217"/>
              <w:widowControl w:val="0"/>
              <w:numPr>
                <w:ilvl w:val="12"/>
                <w:numId w:val="0"/>
              </w:numPr>
              <w:spacing w:before="120" w:after="0"/>
              <w:jc w:val="center"/>
            </w:pPr>
            <w:r>
              <w:rPr>
                <w:noProof/>
              </w:rPr>
              <w:drawing>
                <wp:inline distT="0" distB="0" distL="0" distR="0" wp14:anchorId="3859C22A" wp14:editId="667A8F23">
                  <wp:extent cx="2815694" cy="2097957"/>
                  <wp:effectExtent l="0" t="0" r="3810" b="17145"/>
                  <wp:docPr id="3" name="Gráfico 3">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c>
          <w:tcPr>
            <w:tcW w:w="4785" w:type="dxa"/>
          </w:tcPr>
          <w:p w14:paraId="45B21DDC" w14:textId="181F3C14" w:rsidR="0065085B" w:rsidRPr="00260163" w:rsidRDefault="009B6E58" w:rsidP="00016BFA">
            <w:pPr>
              <w:pStyle w:val="Textoindependiente217"/>
              <w:widowControl w:val="0"/>
              <w:numPr>
                <w:ilvl w:val="12"/>
                <w:numId w:val="0"/>
              </w:numPr>
              <w:spacing w:before="120" w:after="0"/>
              <w:jc w:val="center"/>
            </w:pPr>
            <w:r>
              <w:rPr>
                <w:noProof/>
              </w:rPr>
              <w:drawing>
                <wp:inline distT="0" distB="0" distL="0" distR="0" wp14:anchorId="0150942D" wp14:editId="0B512BB6">
                  <wp:extent cx="2815694" cy="2097957"/>
                  <wp:effectExtent l="0" t="0" r="3810" b="17145"/>
                  <wp:docPr id="4" name="Gráfico 4">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r w:rsidR="0065085B" w:rsidRPr="00260163" w14:paraId="5AB2B9C2" w14:textId="77777777" w:rsidTr="009B6E58">
        <w:trPr>
          <w:jc w:val="center"/>
        </w:trPr>
        <w:tc>
          <w:tcPr>
            <w:tcW w:w="4725" w:type="dxa"/>
          </w:tcPr>
          <w:p w14:paraId="20733AE8" w14:textId="3541EBFA" w:rsidR="0065085B" w:rsidRPr="00260163" w:rsidRDefault="009B6E58" w:rsidP="00016BFA">
            <w:pPr>
              <w:pStyle w:val="Textoindependiente217"/>
              <w:widowControl w:val="0"/>
              <w:numPr>
                <w:ilvl w:val="12"/>
                <w:numId w:val="0"/>
              </w:numPr>
              <w:spacing w:before="120" w:after="0"/>
              <w:jc w:val="center"/>
            </w:pPr>
            <w:r>
              <w:rPr>
                <w:noProof/>
              </w:rPr>
              <w:drawing>
                <wp:inline distT="0" distB="0" distL="0" distR="0" wp14:anchorId="3D069A15" wp14:editId="4151DD50">
                  <wp:extent cx="2814659" cy="2097957"/>
                  <wp:effectExtent l="0" t="0" r="5080" b="17145"/>
                  <wp:docPr id="6" name="Gráfico 6">
                    <a:extLst xmlns:a="http://schemas.openxmlformats.org/drawingml/2006/main">
                      <a:ext uri="{FF2B5EF4-FFF2-40B4-BE49-F238E27FC236}">
                        <a16:creationId xmlns:a16="http://schemas.microsoft.com/office/drawing/2014/main" id="{00000000-0008-0000-03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c>
          <w:tcPr>
            <w:tcW w:w="4785" w:type="dxa"/>
          </w:tcPr>
          <w:p w14:paraId="7FA792AB" w14:textId="78A671C5" w:rsidR="0065085B" w:rsidRPr="00260163" w:rsidRDefault="009B6E58" w:rsidP="00016BFA">
            <w:pPr>
              <w:pStyle w:val="Textoindependiente217"/>
              <w:widowControl w:val="0"/>
              <w:numPr>
                <w:ilvl w:val="12"/>
                <w:numId w:val="0"/>
              </w:numPr>
              <w:spacing w:before="120" w:after="0"/>
              <w:jc w:val="center"/>
            </w:pPr>
            <w:r>
              <w:rPr>
                <w:noProof/>
              </w:rPr>
              <w:drawing>
                <wp:inline distT="0" distB="0" distL="0" distR="0" wp14:anchorId="24679E03" wp14:editId="36258DEA">
                  <wp:extent cx="2815694" cy="2097957"/>
                  <wp:effectExtent l="0" t="0" r="3810" b="17145"/>
                  <wp:docPr id="7" name="Gráfico 7">
                    <a:extLst xmlns:a="http://schemas.openxmlformats.org/drawingml/2006/main">
                      <a:ext uri="{FF2B5EF4-FFF2-40B4-BE49-F238E27FC236}">
                        <a16:creationId xmlns:a16="http://schemas.microsoft.com/office/drawing/2014/main" id="{00000000-0008-0000-03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65085B" w14:paraId="2A2D45F1" w14:textId="77777777" w:rsidTr="009B6E58">
        <w:trPr>
          <w:jc w:val="center"/>
        </w:trPr>
        <w:tc>
          <w:tcPr>
            <w:tcW w:w="4725" w:type="dxa"/>
          </w:tcPr>
          <w:p w14:paraId="0CD35AE3" w14:textId="238E8501" w:rsidR="0065085B" w:rsidRPr="003B5309" w:rsidRDefault="009B6E58" w:rsidP="00016BFA">
            <w:pPr>
              <w:pStyle w:val="Textoindependiente217"/>
              <w:widowControl w:val="0"/>
              <w:numPr>
                <w:ilvl w:val="12"/>
                <w:numId w:val="0"/>
              </w:numPr>
              <w:spacing w:before="120" w:after="0"/>
              <w:jc w:val="center"/>
            </w:pPr>
            <w:r>
              <w:rPr>
                <w:noProof/>
              </w:rPr>
              <w:drawing>
                <wp:inline distT="0" distB="0" distL="0" distR="0" wp14:anchorId="2D914D15" wp14:editId="3A46F0AD">
                  <wp:extent cx="2815694" cy="2097957"/>
                  <wp:effectExtent l="0" t="0" r="3810" b="17145"/>
                  <wp:docPr id="8" name="Gráfico 8">
                    <a:extLst xmlns:a="http://schemas.openxmlformats.org/drawingml/2006/main">
                      <a:ext uri="{FF2B5EF4-FFF2-40B4-BE49-F238E27FC236}">
                        <a16:creationId xmlns:a16="http://schemas.microsoft.com/office/drawing/2014/main" id="{00000000-0008-0000-03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c>
          <w:tcPr>
            <w:tcW w:w="4785" w:type="dxa"/>
          </w:tcPr>
          <w:p w14:paraId="23525FAD" w14:textId="0B08B345" w:rsidR="0065085B" w:rsidRDefault="009B6E58" w:rsidP="00016BFA">
            <w:pPr>
              <w:pStyle w:val="Textoindependiente217"/>
              <w:widowControl w:val="0"/>
              <w:numPr>
                <w:ilvl w:val="12"/>
                <w:numId w:val="0"/>
              </w:numPr>
              <w:spacing w:before="120" w:after="0"/>
              <w:jc w:val="center"/>
            </w:pPr>
            <w:r>
              <w:rPr>
                <w:noProof/>
              </w:rPr>
              <w:drawing>
                <wp:inline distT="0" distB="0" distL="0" distR="0" wp14:anchorId="67D21EBA" wp14:editId="02F1BC69">
                  <wp:extent cx="2815694" cy="2097958"/>
                  <wp:effectExtent l="0" t="0" r="3810" b="17145"/>
                  <wp:docPr id="9" name="Gráfico 9">
                    <a:extLst xmlns:a="http://schemas.openxmlformats.org/drawingml/2006/main">
                      <a:ext uri="{FF2B5EF4-FFF2-40B4-BE49-F238E27FC236}">
                        <a16:creationId xmlns:a16="http://schemas.microsoft.com/office/drawing/2014/main" id="{00000000-0008-0000-03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bl>
    <w:p w14:paraId="01F06A1B" w14:textId="6DF231F9" w:rsidR="002C126C" w:rsidRPr="003D49CC" w:rsidRDefault="003B5309" w:rsidP="00F55D33">
      <w:pPr>
        <w:pStyle w:val="Textoindependiente211"/>
        <w:numPr>
          <w:ilvl w:val="12"/>
          <w:numId w:val="0"/>
        </w:numPr>
        <w:spacing w:after="0"/>
        <w:ind w:left="182"/>
        <w:rPr>
          <w:sz w:val="16"/>
          <w:szCs w:val="16"/>
        </w:rPr>
      </w:pPr>
      <w:r w:rsidRPr="003D49CC">
        <w:rPr>
          <w:sz w:val="16"/>
          <w:szCs w:val="16"/>
        </w:rPr>
        <w:t>*  Cifras oportunas</w:t>
      </w:r>
    </w:p>
    <w:p w14:paraId="2EA04AC6" w14:textId="77777777" w:rsidR="00140111" w:rsidRDefault="00140111">
      <w:pPr>
        <w:rPr>
          <w:rFonts w:ascii="Arial" w:hAnsi="Arial"/>
          <w:lang w:val="es-ES" w:eastAsia="es-ES"/>
        </w:rPr>
      </w:pPr>
      <w:r>
        <w:rPr>
          <w:lang w:val="es-ES"/>
        </w:rPr>
        <w:br w:type="page"/>
      </w:r>
    </w:p>
    <w:p w14:paraId="0188CD1B" w14:textId="7501CB81" w:rsidR="004C7D88" w:rsidRPr="00B35685" w:rsidRDefault="00A51F51" w:rsidP="0091542A">
      <w:pPr>
        <w:pStyle w:val="Textoindependiente211"/>
        <w:numPr>
          <w:ilvl w:val="12"/>
          <w:numId w:val="0"/>
        </w:numPr>
        <w:spacing w:before="240" w:after="0" w:line="280" w:lineRule="exact"/>
        <w:rPr>
          <w:sz w:val="24"/>
          <w:szCs w:val="24"/>
          <w:lang w:val="es-ES"/>
        </w:rPr>
      </w:pPr>
      <w:r w:rsidRPr="00A51F51">
        <w:rPr>
          <w:sz w:val="24"/>
          <w:szCs w:val="24"/>
          <w:lang w:val="es-ES"/>
        </w:rPr>
        <w:lastRenderedPageBreak/>
        <w:t>En octubre de 2022, las importaciones totales de mercancías mostraron una disminución mensual desestacionalizada de 2.36</w:t>
      </w:r>
      <w:r>
        <w:rPr>
          <w:sz w:val="24"/>
          <w:szCs w:val="24"/>
          <w:lang w:val="es-ES"/>
        </w:rPr>
        <w:t xml:space="preserve"> por ciento</w:t>
      </w:r>
      <w:r w:rsidRPr="00A51F51">
        <w:rPr>
          <w:sz w:val="24"/>
          <w:szCs w:val="24"/>
          <w:lang w:val="es-ES"/>
        </w:rPr>
        <w:t>. Esta cifra se originó de descensos de 0.11</w:t>
      </w:r>
      <w:r>
        <w:rPr>
          <w:sz w:val="24"/>
          <w:szCs w:val="24"/>
          <w:lang w:val="es-ES"/>
        </w:rPr>
        <w:t xml:space="preserve"> </w:t>
      </w:r>
      <w:r w:rsidRPr="00A51F51">
        <w:rPr>
          <w:sz w:val="24"/>
          <w:szCs w:val="24"/>
          <w:lang w:val="es-ES"/>
        </w:rPr>
        <w:t>% en las importaciones no petroleras y de 17.66</w:t>
      </w:r>
      <w:r>
        <w:rPr>
          <w:sz w:val="24"/>
          <w:szCs w:val="24"/>
          <w:lang w:val="es-ES"/>
        </w:rPr>
        <w:t xml:space="preserve"> </w:t>
      </w:r>
      <w:r w:rsidRPr="00A51F51">
        <w:rPr>
          <w:sz w:val="24"/>
          <w:szCs w:val="24"/>
          <w:lang w:val="es-ES"/>
        </w:rPr>
        <w:t>% en las petroleras. Por tipo de bien, se observaron reducciones mensuales de 12.16</w:t>
      </w:r>
      <w:r>
        <w:rPr>
          <w:sz w:val="24"/>
          <w:szCs w:val="24"/>
          <w:lang w:val="es-ES"/>
        </w:rPr>
        <w:t xml:space="preserve"> </w:t>
      </w:r>
      <w:r w:rsidRPr="00A51F51">
        <w:rPr>
          <w:sz w:val="24"/>
          <w:szCs w:val="24"/>
          <w:lang w:val="es-ES"/>
        </w:rPr>
        <w:t>% en las importaciones de bienes de consumo (retroceso de 2.15</w:t>
      </w:r>
      <w:r>
        <w:rPr>
          <w:sz w:val="24"/>
          <w:szCs w:val="24"/>
          <w:lang w:val="es-ES"/>
        </w:rPr>
        <w:t xml:space="preserve"> </w:t>
      </w:r>
      <w:r w:rsidRPr="00A51F51">
        <w:rPr>
          <w:sz w:val="24"/>
          <w:szCs w:val="24"/>
          <w:lang w:val="es-ES"/>
        </w:rPr>
        <w:t>% en las de bienes de consumo no petroleros)</w:t>
      </w:r>
      <w:r w:rsidR="00A9158C">
        <w:rPr>
          <w:sz w:val="24"/>
          <w:szCs w:val="24"/>
          <w:lang w:val="es-ES"/>
        </w:rPr>
        <w:t>,</w:t>
      </w:r>
      <w:r w:rsidRPr="00A51F51">
        <w:rPr>
          <w:sz w:val="24"/>
          <w:szCs w:val="24"/>
          <w:lang w:val="es-ES"/>
        </w:rPr>
        <w:t xml:space="preserve"> de 0.98</w:t>
      </w:r>
      <w:r>
        <w:rPr>
          <w:sz w:val="24"/>
          <w:szCs w:val="24"/>
          <w:lang w:val="es-ES"/>
        </w:rPr>
        <w:t> </w:t>
      </w:r>
      <w:r w:rsidRPr="00A51F51">
        <w:rPr>
          <w:sz w:val="24"/>
          <w:szCs w:val="24"/>
          <w:lang w:val="es-ES"/>
        </w:rPr>
        <w:t>% en las de bienes de uso intermedio (</w:t>
      </w:r>
      <w:r w:rsidR="00A9158C">
        <w:rPr>
          <w:sz w:val="24"/>
          <w:szCs w:val="24"/>
          <w:lang w:val="es-ES"/>
        </w:rPr>
        <w:t>alza</w:t>
      </w:r>
      <w:r w:rsidRPr="00A51F51">
        <w:rPr>
          <w:sz w:val="24"/>
          <w:szCs w:val="24"/>
          <w:lang w:val="es-ES"/>
        </w:rPr>
        <w:t xml:space="preserve"> de 0.09</w:t>
      </w:r>
      <w:r>
        <w:rPr>
          <w:sz w:val="24"/>
          <w:szCs w:val="24"/>
          <w:lang w:val="es-ES"/>
        </w:rPr>
        <w:t xml:space="preserve"> </w:t>
      </w:r>
      <w:r w:rsidRPr="00A51F51">
        <w:rPr>
          <w:sz w:val="24"/>
          <w:szCs w:val="24"/>
          <w:lang w:val="es-ES"/>
        </w:rPr>
        <w:t xml:space="preserve">% en las de bienes de uso intermedio no petroleros) </w:t>
      </w:r>
      <w:r>
        <w:rPr>
          <w:sz w:val="24"/>
          <w:szCs w:val="24"/>
          <w:lang w:val="es-ES"/>
        </w:rPr>
        <w:t>y</w:t>
      </w:r>
      <w:r w:rsidRPr="00A51F51">
        <w:rPr>
          <w:sz w:val="24"/>
          <w:szCs w:val="24"/>
          <w:lang w:val="es-ES"/>
        </w:rPr>
        <w:t xml:space="preserve"> un incremento de 0.61</w:t>
      </w:r>
      <w:r>
        <w:rPr>
          <w:sz w:val="24"/>
          <w:szCs w:val="24"/>
          <w:lang w:val="es-ES"/>
        </w:rPr>
        <w:t xml:space="preserve"> </w:t>
      </w:r>
      <w:r w:rsidRPr="00A51F51">
        <w:rPr>
          <w:sz w:val="24"/>
          <w:szCs w:val="24"/>
          <w:lang w:val="es-ES"/>
        </w:rPr>
        <w:t>% en las importaciones de bienes de capital.</w:t>
      </w:r>
    </w:p>
    <w:p w14:paraId="01B8BE06" w14:textId="07388EE9" w:rsidR="00900594" w:rsidRDefault="00900594" w:rsidP="00A3628A">
      <w:pPr>
        <w:pStyle w:val="Textoindependiente217"/>
        <w:keepNext/>
        <w:numPr>
          <w:ilvl w:val="12"/>
          <w:numId w:val="0"/>
        </w:numPr>
        <w:spacing w:before="240" w:after="0"/>
        <w:ind w:left="295"/>
        <w:jc w:val="center"/>
        <w:rPr>
          <w:b/>
          <w:lang w:val="es-ES"/>
        </w:rPr>
      </w:pPr>
      <w:r w:rsidRPr="00900594">
        <w:rPr>
          <w:bCs/>
          <w:sz w:val="20"/>
          <w:szCs w:val="18"/>
          <w:lang w:val="es-ES"/>
        </w:rPr>
        <w:t xml:space="preserve">Gráfica </w:t>
      </w:r>
      <w:r>
        <w:rPr>
          <w:bCs/>
          <w:sz w:val="20"/>
          <w:szCs w:val="18"/>
          <w:lang w:val="es-ES"/>
        </w:rPr>
        <w:t>3</w:t>
      </w:r>
    </w:p>
    <w:p w14:paraId="40DB10EE" w14:textId="5782AC45" w:rsidR="0065085B" w:rsidRPr="002C126C" w:rsidRDefault="0065085B" w:rsidP="00900594">
      <w:pPr>
        <w:pStyle w:val="Textoindependiente217"/>
        <w:keepNext/>
        <w:numPr>
          <w:ilvl w:val="12"/>
          <w:numId w:val="0"/>
        </w:numPr>
        <w:spacing w:after="0"/>
        <w:ind w:left="295"/>
        <w:jc w:val="center"/>
        <w:rPr>
          <w:b/>
          <w:smallCaps/>
          <w:lang w:val="es-ES"/>
        </w:rPr>
      </w:pPr>
      <w:r w:rsidRPr="002C126C">
        <w:rPr>
          <w:b/>
          <w:smallCaps/>
          <w:lang w:val="es-ES"/>
        </w:rPr>
        <w:t xml:space="preserve">Importaciones de </w:t>
      </w:r>
      <w:r w:rsidR="002C126C">
        <w:rPr>
          <w:b/>
          <w:smallCaps/>
          <w:lang w:val="es-ES"/>
        </w:rPr>
        <w:t>m</w:t>
      </w:r>
      <w:r w:rsidRPr="002C126C">
        <w:rPr>
          <w:b/>
          <w:smallCaps/>
          <w:lang w:val="es-ES"/>
        </w:rPr>
        <w:t>ercancías</w:t>
      </w:r>
    </w:p>
    <w:p w14:paraId="46EBF676" w14:textId="77777777" w:rsidR="0065085B" w:rsidRPr="008C11AD" w:rsidRDefault="0065085B" w:rsidP="0065085B">
      <w:pPr>
        <w:pStyle w:val="Textoindependiente217"/>
        <w:numPr>
          <w:ilvl w:val="12"/>
          <w:numId w:val="0"/>
        </w:numPr>
        <w:spacing w:after="0" w:line="260" w:lineRule="exact"/>
        <w:ind w:left="284"/>
        <w:jc w:val="center"/>
        <w:rPr>
          <w:sz w:val="20"/>
          <w:lang w:val="es-ES"/>
        </w:rPr>
      </w:pPr>
      <w:r w:rsidRPr="00A92A39">
        <w:rPr>
          <w:sz w:val="18"/>
          <w:lang w:val="es-ES"/>
        </w:rPr>
        <w:t>Millones de dólares</w:t>
      </w:r>
    </w:p>
    <w:tbl>
      <w:tblPr>
        <w:tblStyle w:val="Tablaconcuadrcula"/>
        <w:tblW w:w="93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690"/>
        <w:gridCol w:w="4682"/>
      </w:tblGrid>
      <w:tr w:rsidR="0065085B" w:rsidRPr="00CE6AE4" w14:paraId="6174D7C2" w14:textId="77777777" w:rsidTr="009B6E58">
        <w:trPr>
          <w:jc w:val="center"/>
        </w:trPr>
        <w:tc>
          <w:tcPr>
            <w:tcW w:w="4690" w:type="dxa"/>
          </w:tcPr>
          <w:p w14:paraId="655AF491" w14:textId="7D516EA1" w:rsidR="0065085B" w:rsidRPr="00CE6AE4" w:rsidRDefault="009B6E58" w:rsidP="00D7592F">
            <w:pPr>
              <w:pStyle w:val="Textoindependiente217"/>
              <w:widowControl w:val="0"/>
              <w:numPr>
                <w:ilvl w:val="12"/>
                <w:numId w:val="0"/>
              </w:numPr>
              <w:spacing w:before="120" w:after="0"/>
              <w:jc w:val="center"/>
            </w:pPr>
            <w:r>
              <w:rPr>
                <w:noProof/>
              </w:rPr>
              <w:drawing>
                <wp:inline distT="0" distB="0" distL="0" distR="0" wp14:anchorId="380E14BE" wp14:editId="0F3E996A">
                  <wp:extent cx="2818800" cy="2144316"/>
                  <wp:effectExtent l="0" t="0" r="635" b="8890"/>
                  <wp:docPr id="10" name="Gráfico 10">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4682" w:type="dxa"/>
            <w:shd w:val="clear" w:color="auto" w:fill="auto"/>
          </w:tcPr>
          <w:p w14:paraId="6D65477F" w14:textId="1C9F95F6" w:rsidR="0065085B" w:rsidRPr="00CE6AE4" w:rsidRDefault="009B6E58" w:rsidP="00D7592F">
            <w:pPr>
              <w:pStyle w:val="Textoindependiente217"/>
              <w:widowControl w:val="0"/>
              <w:numPr>
                <w:ilvl w:val="12"/>
                <w:numId w:val="0"/>
              </w:numPr>
              <w:spacing w:before="120" w:after="0"/>
              <w:jc w:val="center"/>
            </w:pPr>
            <w:r>
              <w:rPr>
                <w:noProof/>
              </w:rPr>
              <w:drawing>
                <wp:inline distT="0" distB="0" distL="0" distR="0" wp14:anchorId="3148C4F3" wp14:editId="4FB87C29">
                  <wp:extent cx="2818800" cy="2144316"/>
                  <wp:effectExtent l="0" t="0" r="635" b="8890"/>
                  <wp:docPr id="11" name="Gráfico 11">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65085B" w:rsidRPr="00CE6AE4" w14:paraId="6669A40B" w14:textId="77777777" w:rsidTr="009B6E58">
        <w:trPr>
          <w:jc w:val="center"/>
        </w:trPr>
        <w:tc>
          <w:tcPr>
            <w:tcW w:w="4690" w:type="dxa"/>
          </w:tcPr>
          <w:p w14:paraId="5A861ACC" w14:textId="6F7A36F2" w:rsidR="0065085B" w:rsidRPr="00CE6AE4" w:rsidRDefault="009B6E58" w:rsidP="00825F98">
            <w:pPr>
              <w:pStyle w:val="Textoindependiente217"/>
              <w:widowControl w:val="0"/>
              <w:numPr>
                <w:ilvl w:val="12"/>
                <w:numId w:val="0"/>
              </w:numPr>
              <w:spacing w:before="120" w:after="0"/>
              <w:jc w:val="center"/>
            </w:pPr>
            <w:r>
              <w:rPr>
                <w:noProof/>
              </w:rPr>
              <w:drawing>
                <wp:inline distT="0" distB="0" distL="0" distR="0" wp14:anchorId="3E9AC904" wp14:editId="531E75E5">
                  <wp:extent cx="2818800" cy="2144316"/>
                  <wp:effectExtent l="0" t="0" r="635" b="8890"/>
                  <wp:docPr id="12" name="Gráfico 12">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4682" w:type="dxa"/>
          </w:tcPr>
          <w:p w14:paraId="65BEDE79" w14:textId="775C51B4" w:rsidR="0065085B" w:rsidRPr="00CE6AE4" w:rsidRDefault="009B6E58" w:rsidP="00D7592F">
            <w:pPr>
              <w:pStyle w:val="Textoindependiente217"/>
              <w:widowControl w:val="0"/>
              <w:numPr>
                <w:ilvl w:val="12"/>
                <w:numId w:val="0"/>
              </w:numPr>
              <w:spacing w:before="120" w:after="60"/>
              <w:jc w:val="center"/>
            </w:pPr>
            <w:r>
              <w:rPr>
                <w:noProof/>
              </w:rPr>
              <w:drawing>
                <wp:inline distT="0" distB="0" distL="0" distR="0" wp14:anchorId="2BB751D7" wp14:editId="32CB6ADD">
                  <wp:extent cx="2818800" cy="2144316"/>
                  <wp:effectExtent l="0" t="0" r="635" b="8890"/>
                  <wp:docPr id="13" name="Gráfico 13">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r w:rsidR="0065085B" w14:paraId="4306972F" w14:textId="77777777" w:rsidTr="009B6E58">
        <w:trPr>
          <w:trHeight w:hRule="exact" w:val="3459"/>
          <w:jc w:val="center"/>
        </w:trPr>
        <w:tc>
          <w:tcPr>
            <w:tcW w:w="4690" w:type="dxa"/>
          </w:tcPr>
          <w:p w14:paraId="5AAC9AC4" w14:textId="02E78E69" w:rsidR="0065085B" w:rsidRPr="00CE6AE4" w:rsidRDefault="009B6E58" w:rsidP="00D4290F">
            <w:pPr>
              <w:pStyle w:val="Textoindependiente217"/>
              <w:widowControl w:val="0"/>
              <w:numPr>
                <w:ilvl w:val="12"/>
                <w:numId w:val="0"/>
              </w:numPr>
              <w:spacing w:after="0"/>
              <w:jc w:val="center"/>
              <w:rPr>
                <w:sz w:val="18"/>
                <w:szCs w:val="16"/>
              </w:rPr>
            </w:pPr>
            <w:r>
              <w:rPr>
                <w:noProof/>
              </w:rPr>
              <w:lastRenderedPageBreak/>
              <w:drawing>
                <wp:inline distT="0" distB="0" distL="0" distR="0" wp14:anchorId="084EFFEE" wp14:editId="59BD0043">
                  <wp:extent cx="2818800" cy="2144317"/>
                  <wp:effectExtent l="0" t="0" r="635" b="8890"/>
                  <wp:docPr id="14" name="Gráfico 14">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c>
          <w:tcPr>
            <w:tcW w:w="4682" w:type="dxa"/>
          </w:tcPr>
          <w:p w14:paraId="2ABA2ABE" w14:textId="0AD9FC7B" w:rsidR="0065085B" w:rsidRDefault="009B6E58" w:rsidP="00D4290F">
            <w:pPr>
              <w:pStyle w:val="Textoindependiente217"/>
              <w:widowControl w:val="0"/>
              <w:numPr>
                <w:ilvl w:val="12"/>
                <w:numId w:val="0"/>
              </w:numPr>
              <w:spacing w:after="0"/>
              <w:jc w:val="center"/>
            </w:pPr>
            <w:r>
              <w:rPr>
                <w:noProof/>
              </w:rPr>
              <w:drawing>
                <wp:inline distT="0" distB="0" distL="0" distR="0" wp14:anchorId="67B7B5F3" wp14:editId="0DCC1F1F">
                  <wp:extent cx="2818800" cy="2148165"/>
                  <wp:effectExtent l="0" t="0" r="635" b="5080"/>
                  <wp:docPr id="15" name="Gráfico 15">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bl>
    <w:bookmarkEnd w:id="2"/>
    <w:p w14:paraId="21E72DA5" w14:textId="1E944F74" w:rsidR="00DC78AA" w:rsidRPr="003D49CC" w:rsidRDefault="00DC78AA" w:rsidP="00306964">
      <w:pPr>
        <w:pStyle w:val="rollo"/>
        <w:keepLines w:val="0"/>
        <w:spacing w:before="0"/>
        <w:ind w:left="284"/>
        <w:rPr>
          <w:sz w:val="16"/>
          <w:szCs w:val="16"/>
        </w:rPr>
      </w:pPr>
      <w:r w:rsidRPr="003D49CC">
        <w:rPr>
          <w:sz w:val="16"/>
          <w:szCs w:val="16"/>
        </w:rPr>
        <w:t>* Cifras oportunas</w:t>
      </w:r>
    </w:p>
    <w:p w14:paraId="6897FDD5" w14:textId="5857B571" w:rsidR="005219B3" w:rsidRDefault="00383E44" w:rsidP="005E40A5">
      <w:pPr>
        <w:pStyle w:val="rollo"/>
        <w:keepLines w:val="0"/>
        <w:spacing w:before="360" w:line="280" w:lineRule="exact"/>
        <w:rPr>
          <w:rFonts w:cs="Arial"/>
          <w:spacing w:val="3"/>
          <w:szCs w:val="22"/>
          <w:lang w:val="es-ES"/>
        </w:rPr>
      </w:pPr>
      <w:r w:rsidRPr="002C06F8">
        <w:rPr>
          <w:rFonts w:cs="Arial"/>
          <w:spacing w:val="3"/>
          <w:szCs w:val="22"/>
          <w:lang w:val="es-ES"/>
        </w:rPr>
        <w:t xml:space="preserve">La información oportuna de comercio exterior que se presenta en este </w:t>
      </w:r>
      <w:r>
        <w:rPr>
          <w:rFonts w:cs="Arial"/>
          <w:spacing w:val="3"/>
          <w:szCs w:val="22"/>
          <w:lang w:val="es-ES"/>
        </w:rPr>
        <w:t>documento</w:t>
      </w:r>
      <w:r w:rsidR="00F0075F">
        <w:rPr>
          <w:rFonts w:cs="Arial"/>
          <w:spacing w:val="3"/>
          <w:szCs w:val="22"/>
          <w:lang w:val="es-ES"/>
        </w:rPr>
        <w:t xml:space="preserve"> la elabora el </w:t>
      </w:r>
      <w:r>
        <w:rPr>
          <w:rFonts w:cs="Arial"/>
          <w:spacing w:val="3"/>
          <w:szCs w:val="22"/>
          <w:lang w:val="es-ES"/>
        </w:rPr>
        <w:t>S</w:t>
      </w:r>
      <w:r w:rsidR="00F0075F">
        <w:rPr>
          <w:rFonts w:cs="Arial"/>
          <w:spacing w:val="3"/>
          <w:szCs w:val="22"/>
          <w:lang w:val="es-ES"/>
        </w:rPr>
        <w:t>istema de Administración Tributaria (S</w:t>
      </w:r>
      <w:r>
        <w:rPr>
          <w:rFonts w:cs="Arial"/>
          <w:spacing w:val="3"/>
          <w:szCs w:val="22"/>
          <w:lang w:val="es-ES"/>
        </w:rPr>
        <w:t>AT</w:t>
      </w:r>
      <w:r w:rsidR="00F0075F">
        <w:rPr>
          <w:rFonts w:cs="Arial"/>
          <w:spacing w:val="3"/>
          <w:szCs w:val="22"/>
          <w:lang w:val="es-ES"/>
        </w:rPr>
        <w:t>)</w:t>
      </w:r>
      <w:r>
        <w:rPr>
          <w:rFonts w:cs="Arial"/>
          <w:spacing w:val="3"/>
          <w:szCs w:val="22"/>
          <w:lang w:val="es-ES"/>
        </w:rPr>
        <w:t xml:space="preserve">, </w:t>
      </w:r>
      <w:r w:rsidR="00F0075F">
        <w:rPr>
          <w:rFonts w:cs="Arial"/>
          <w:spacing w:val="3"/>
          <w:szCs w:val="22"/>
          <w:lang w:val="es-ES"/>
        </w:rPr>
        <w:t xml:space="preserve">la </w:t>
      </w:r>
      <w:r>
        <w:rPr>
          <w:rFonts w:cs="Arial"/>
          <w:spacing w:val="3"/>
          <w:szCs w:val="22"/>
          <w:lang w:val="es-ES"/>
        </w:rPr>
        <w:t>S</w:t>
      </w:r>
      <w:r w:rsidR="00F0075F">
        <w:rPr>
          <w:rFonts w:cs="Arial"/>
          <w:spacing w:val="3"/>
          <w:szCs w:val="22"/>
          <w:lang w:val="es-ES"/>
        </w:rPr>
        <w:t xml:space="preserve">ecretaría de </w:t>
      </w:r>
      <w:r>
        <w:rPr>
          <w:rFonts w:cs="Arial"/>
          <w:spacing w:val="3"/>
          <w:szCs w:val="22"/>
          <w:lang w:val="es-ES"/>
        </w:rPr>
        <w:t>E</w:t>
      </w:r>
      <w:r w:rsidR="00F0075F">
        <w:rPr>
          <w:rFonts w:cs="Arial"/>
          <w:spacing w:val="3"/>
          <w:szCs w:val="22"/>
          <w:lang w:val="es-ES"/>
        </w:rPr>
        <w:t>conomía (SE)</w:t>
      </w:r>
      <w:r>
        <w:rPr>
          <w:rFonts w:cs="Arial"/>
          <w:spacing w:val="3"/>
          <w:szCs w:val="22"/>
          <w:lang w:val="es-ES"/>
        </w:rPr>
        <w:t xml:space="preserve">, </w:t>
      </w:r>
      <w:r w:rsidR="00661AEB">
        <w:rPr>
          <w:rFonts w:cs="Arial"/>
          <w:spacing w:val="3"/>
          <w:szCs w:val="22"/>
          <w:lang w:val="es-ES"/>
        </w:rPr>
        <w:t xml:space="preserve">el </w:t>
      </w:r>
      <w:r w:rsidRPr="002C06F8">
        <w:rPr>
          <w:rFonts w:cs="Arial"/>
          <w:spacing w:val="3"/>
          <w:szCs w:val="22"/>
          <w:lang w:val="es-ES"/>
        </w:rPr>
        <w:t>Banco de México</w:t>
      </w:r>
      <w:r w:rsidR="00260078">
        <w:rPr>
          <w:rFonts w:cs="Arial"/>
          <w:spacing w:val="3"/>
          <w:szCs w:val="22"/>
          <w:lang w:val="es-ES"/>
        </w:rPr>
        <w:t xml:space="preserve"> </w:t>
      </w:r>
      <w:r w:rsidR="00F0075F">
        <w:rPr>
          <w:rFonts w:cs="Arial"/>
          <w:spacing w:val="3"/>
          <w:szCs w:val="22"/>
          <w:lang w:val="es-ES"/>
        </w:rPr>
        <w:t>y el Instituto Nacional de Estadística y Geografía</w:t>
      </w:r>
      <w:r w:rsidRPr="002C06F8">
        <w:rPr>
          <w:rFonts w:cs="Arial"/>
          <w:spacing w:val="3"/>
          <w:szCs w:val="22"/>
          <w:lang w:val="es-ES"/>
        </w:rPr>
        <w:t xml:space="preserve"> </w:t>
      </w:r>
      <w:r w:rsidR="00F0075F">
        <w:rPr>
          <w:rFonts w:cs="Arial"/>
          <w:spacing w:val="3"/>
          <w:szCs w:val="22"/>
          <w:lang w:val="es-ES"/>
        </w:rPr>
        <w:t>(</w:t>
      </w:r>
      <w:r w:rsidRPr="002C06F8">
        <w:rPr>
          <w:rFonts w:cs="Arial"/>
          <w:spacing w:val="3"/>
          <w:szCs w:val="22"/>
          <w:lang w:val="es-ES"/>
        </w:rPr>
        <w:t>INEGI</w:t>
      </w:r>
      <w:r w:rsidR="00F0075F">
        <w:rPr>
          <w:rFonts w:cs="Arial"/>
          <w:spacing w:val="3"/>
          <w:szCs w:val="22"/>
          <w:lang w:val="es-ES"/>
        </w:rPr>
        <w:t>)</w:t>
      </w:r>
      <w:r>
        <w:rPr>
          <w:rFonts w:cs="Arial"/>
          <w:spacing w:val="3"/>
          <w:szCs w:val="22"/>
          <w:lang w:val="es-ES"/>
        </w:rPr>
        <w:t xml:space="preserve">. Balanza Comercial de Mercancías de México. </w:t>
      </w:r>
      <w:r w:rsidRPr="008D1581">
        <w:rPr>
          <w:rFonts w:cs="Arial"/>
          <w:b/>
          <w:spacing w:val="3"/>
          <w:szCs w:val="22"/>
          <w:lang w:val="es-ES"/>
        </w:rPr>
        <w:t>SNIEG. Información de Interés Nacional</w:t>
      </w:r>
      <w:r>
        <w:rPr>
          <w:rFonts w:cs="Arial"/>
          <w:spacing w:val="3"/>
          <w:szCs w:val="22"/>
          <w:lang w:val="es-ES"/>
        </w:rPr>
        <w:t>.</w:t>
      </w:r>
    </w:p>
    <w:sectPr w:rsidR="005219B3" w:rsidSect="002C0404">
      <w:headerReference w:type="default" r:id="rId34"/>
      <w:footerReference w:type="default" r:id="rId35"/>
      <w:pgSz w:w="12240" w:h="15840" w:code="1"/>
      <w:pgMar w:top="2438" w:right="1418" w:bottom="1134" w:left="1418" w:header="567" w:footer="567" w:gutter="0"/>
      <w:paperSrc w:firs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443928" w14:textId="77777777" w:rsidR="009C2417" w:rsidRDefault="009C2417">
      <w:r>
        <w:separator/>
      </w:r>
    </w:p>
  </w:endnote>
  <w:endnote w:type="continuationSeparator" w:id="0">
    <w:p w14:paraId="5F955399" w14:textId="77777777" w:rsidR="009C2417" w:rsidRDefault="009C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rial Negrita">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D0946" w14:textId="77777777" w:rsidR="00890076" w:rsidRPr="006110F4" w:rsidRDefault="00890076" w:rsidP="001A626F">
    <w:pPr>
      <w:pStyle w:val="Piedepgina"/>
      <w:jc w:val="center"/>
      <w:rPr>
        <w:rFonts w:ascii="Arial" w:hAnsi="Arial" w:cs="Arial"/>
        <w:b/>
        <w:bCs/>
        <w:color w:val="002060"/>
        <w:sz w:val="20"/>
        <w:szCs w:val="20"/>
      </w:rPr>
    </w:pPr>
    <w:r w:rsidRPr="006110F4">
      <w:rPr>
        <w:rFonts w:ascii="Arial" w:hAnsi="Arial" w:cs="Arial"/>
        <w:b/>
        <w:bCs/>
        <w:color w:val="002060"/>
        <w:sz w:val="20"/>
        <w:szCs w:val="20"/>
      </w:rPr>
      <w:t>COMUNICACIÓN SOCIAL</w:t>
    </w:r>
  </w:p>
  <w:p w14:paraId="2C29A5F0" w14:textId="77777777" w:rsidR="00890076" w:rsidRPr="006110F4" w:rsidRDefault="00890076" w:rsidP="001A626F">
    <w:pPr>
      <w:pStyle w:val="Piedepgina"/>
      <w:jc w:val="center"/>
      <w:rPr>
        <w:rFonts w:ascii="Arial" w:hAnsi="Arial" w:cs="Arial"/>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48909" w14:textId="77777777" w:rsidR="002E498C" w:rsidRPr="0039354D" w:rsidRDefault="002E498C">
    <w:pPr>
      <w:pStyle w:val="Piedepgina"/>
      <w:jc w:val="center"/>
      <w:rPr>
        <w:rFonts w:ascii="Arial" w:hAnsi="Arial" w:cs="Arial"/>
        <w:color w:val="002060"/>
        <w:sz w:val="20"/>
        <w:szCs w:val="20"/>
      </w:rPr>
    </w:pPr>
    <w:r w:rsidRPr="0039354D">
      <w:rPr>
        <w:rFonts w:ascii="Arial" w:hAnsi="Arial" w:cs="Arial"/>
        <w:b/>
        <w:color w:val="002060"/>
        <w:sz w:val="20"/>
        <w:szCs w:val="2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5F5B1" w14:textId="77777777" w:rsidR="009C2417" w:rsidRDefault="009C2417">
      <w:r>
        <w:separator/>
      </w:r>
    </w:p>
  </w:footnote>
  <w:footnote w:type="continuationSeparator" w:id="0">
    <w:p w14:paraId="20154D5C" w14:textId="77777777" w:rsidR="009C2417" w:rsidRDefault="009C2417">
      <w:r>
        <w:continuationSeparator/>
      </w:r>
    </w:p>
  </w:footnote>
  <w:footnote w:id="1">
    <w:p w14:paraId="305EBAEC" w14:textId="77777777" w:rsidR="00890076" w:rsidRDefault="00890076" w:rsidP="00890076">
      <w:pPr>
        <w:pStyle w:val="Textonotapie"/>
        <w:ind w:left="170" w:right="-234" w:hanging="170"/>
        <w:jc w:val="both"/>
        <w:rPr>
          <w:rFonts w:ascii="Arial" w:hAnsi="Arial" w:cs="Arial"/>
          <w:sz w:val="16"/>
          <w:szCs w:val="16"/>
        </w:rPr>
      </w:pPr>
      <w:r w:rsidRPr="00A63EC4">
        <w:rPr>
          <w:rFonts w:ascii="Arial" w:hAnsi="Arial" w:cs="Arial"/>
          <w:sz w:val="18"/>
          <w:szCs w:val="18"/>
          <w:vertAlign w:val="superscript"/>
        </w:rPr>
        <w:footnoteRef/>
      </w:r>
      <w:r w:rsidRPr="00A63EC4">
        <w:rPr>
          <w:rFonts w:ascii="Arial" w:hAnsi="Arial" w:cs="Arial"/>
          <w:sz w:val="18"/>
          <w:szCs w:val="18"/>
          <w:vertAlign w:val="superscript"/>
        </w:rPr>
        <w:t xml:space="preserve"> </w:t>
      </w:r>
      <w:r>
        <w:rPr>
          <w:rFonts w:ascii="Arial" w:hAnsi="Arial" w:cs="Arial"/>
          <w:sz w:val="18"/>
          <w:szCs w:val="18"/>
          <w:vertAlign w:val="superscript"/>
        </w:rPr>
        <w:tab/>
      </w:r>
      <w:r w:rsidRPr="0039518A">
        <w:rPr>
          <w:rFonts w:ascii="Arial" w:hAnsi="Arial" w:cs="Arial"/>
          <w:sz w:val="16"/>
          <w:szCs w:val="16"/>
        </w:rPr>
        <w:t xml:space="preserve">La suma de los componentes que integran la estadística de la </w:t>
      </w:r>
      <w:r>
        <w:rPr>
          <w:rFonts w:ascii="Arial" w:hAnsi="Arial" w:cs="Arial"/>
          <w:sz w:val="16"/>
          <w:szCs w:val="16"/>
        </w:rPr>
        <w:t>B</w:t>
      </w:r>
      <w:r w:rsidRPr="0039518A">
        <w:rPr>
          <w:rFonts w:ascii="Arial" w:hAnsi="Arial" w:cs="Arial"/>
          <w:sz w:val="16"/>
          <w:szCs w:val="16"/>
        </w:rPr>
        <w:t xml:space="preserve">alanza </w:t>
      </w:r>
      <w:r>
        <w:rPr>
          <w:rFonts w:ascii="Arial" w:hAnsi="Arial" w:cs="Arial"/>
          <w:sz w:val="16"/>
          <w:szCs w:val="16"/>
        </w:rPr>
        <w:t>C</w:t>
      </w:r>
      <w:r w:rsidRPr="0039518A">
        <w:rPr>
          <w:rFonts w:ascii="Arial" w:hAnsi="Arial" w:cs="Arial"/>
          <w:sz w:val="16"/>
          <w:szCs w:val="16"/>
        </w:rPr>
        <w:t xml:space="preserve">omercial de </w:t>
      </w:r>
      <w:r>
        <w:rPr>
          <w:rFonts w:ascii="Arial" w:hAnsi="Arial" w:cs="Arial"/>
          <w:sz w:val="16"/>
          <w:szCs w:val="16"/>
        </w:rPr>
        <w:t>M</w:t>
      </w:r>
      <w:r w:rsidRPr="0039518A">
        <w:rPr>
          <w:rFonts w:ascii="Arial" w:hAnsi="Arial" w:cs="Arial"/>
          <w:sz w:val="16"/>
          <w:szCs w:val="16"/>
        </w:rPr>
        <w:t xml:space="preserve">ercancías de México que se presenta en este reporte puede no coincidir con los totales debido al redondeo de las cifras. </w:t>
      </w:r>
    </w:p>
    <w:p w14:paraId="3D35B7F7" w14:textId="77777777" w:rsidR="00890076" w:rsidRPr="00F931F6" w:rsidRDefault="00890076" w:rsidP="00890076">
      <w:pPr>
        <w:pStyle w:val="Textonotapie"/>
        <w:ind w:left="170" w:hanging="170"/>
        <w:jc w:val="both"/>
        <w:rPr>
          <w:rFonts w:ascii="Arial" w:hAnsi="Arial" w:cs="Arial"/>
          <w:sz w:val="16"/>
          <w:szCs w:val="16"/>
        </w:rPr>
      </w:pPr>
    </w:p>
  </w:footnote>
  <w:footnote w:id="2">
    <w:p w14:paraId="23A50E70" w14:textId="77777777" w:rsidR="00F47E3D" w:rsidRPr="00384AA7" w:rsidRDefault="00F47E3D" w:rsidP="00F47E3D">
      <w:pPr>
        <w:pStyle w:val="Textonotapie"/>
        <w:ind w:left="142" w:right="-1" w:hanging="142"/>
        <w:jc w:val="both"/>
        <w:rPr>
          <w:rStyle w:val="Refdenotaalpie"/>
          <w:rFonts w:ascii="Arial" w:hAnsi="Arial" w:cs="Arial"/>
          <w:sz w:val="14"/>
          <w:szCs w:val="14"/>
        </w:rPr>
      </w:pPr>
      <w:r w:rsidRPr="00B910AA">
        <w:rPr>
          <w:rStyle w:val="Refdenotaalpie"/>
          <w:rFonts w:ascii="Arial" w:hAnsi="Arial" w:cs="Arial"/>
          <w:sz w:val="18"/>
        </w:rPr>
        <w:footnoteRef/>
      </w:r>
      <w:r w:rsidRPr="00B910AA">
        <w:rPr>
          <w:rStyle w:val="Refdenotaalpie"/>
          <w:rFonts w:ascii="Arial" w:hAnsi="Arial" w:cs="Arial"/>
          <w:sz w:val="18"/>
        </w:rPr>
        <w:t xml:space="preserve"> </w:t>
      </w:r>
      <w:r>
        <w:rPr>
          <w:rFonts w:ascii="Arial" w:hAnsi="Arial" w:cs="Arial"/>
          <w:sz w:val="18"/>
        </w:rPr>
        <w:t xml:space="preserve"> </w:t>
      </w:r>
      <w:r w:rsidRPr="00A849F5">
        <w:rPr>
          <w:rStyle w:val="Refdenotaalpie"/>
          <w:rFonts w:ascii="Arial" w:hAnsi="Arial" w:cs="Arial"/>
          <w:sz w:val="16"/>
          <w:szCs w:val="16"/>
          <w:vertAlign w:val="baseline"/>
        </w:rPr>
        <w:t>Información proporcionada por PMI Comercio Internacional, S.</w:t>
      </w:r>
      <w:r>
        <w:rPr>
          <w:rFonts w:ascii="Arial" w:hAnsi="Arial" w:cs="Arial"/>
          <w:sz w:val="16"/>
          <w:szCs w:val="16"/>
        </w:rPr>
        <w:t xml:space="preserve"> </w:t>
      </w:r>
      <w:r w:rsidRPr="00A849F5">
        <w:rPr>
          <w:rStyle w:val="Refdenotaalpie"/>
          <w:rFonts w:ascii="Arial" w:hAnsi="Arial" w:cs="Arial"/>
          <w:sz w:val="16"/>
          <w:szCs w:val="16"/>
          <w:vertAlign w:val="baseline"/>
        </w:rPr>
        <w:t>A. de C.</w:t>
      </w:r>
      <w:r>
        <w:rPr>
          <w:rFonts w:ascii="Arial" w:hAnsi="Arial" w:cs="Arial"/>
          <w:sz w:val="16"/>
          <w:szCs w:val="16"/>
        </w:rPr>
        <w:t xml:space="preserve"> </w:t>
      </w:r>
      <w:r w:rsidRPr="00A849F5">
        <w:rPr>
          <w:rStyle w:val="Refdenotaalpie"/>
          <w:rFonts w:ascii="Arial" w:hAnsi="Arial" w:cs="Arial"/>
          <w:sz w:val="16"/>
          <w:szCs w:val="16"/>
          <w:vertAlign w:val="baseline"/>
        </w:rPr>
        <w:t>V., que corresponde a sus cifras operativas y está sujeta a revisiones posteriores</w:t>
      </w:r>
      <w:r w:rsidRPr="00384AA7">
        <w:rPr>
          <w:rStyle w:val="Refdenotaalpie"/>
          <w:rFonts w:ascii="Arial" w:hAnsi="Arial" w:cs="Arial"/>
          <w:sz w:val="14"/>
          <w:szCs w:val="14"/>
          <w:vertAlign w:val="baseli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F5C77" w14:textId="6C0D3D99" w:rsidR="00890076" w:rsidRPr="00776EFB" w:rsidRDefault="00890076" w:rsidP="001A626F">
    <w:pPr>
      <w:pStyle w:val="Encabezado"/>
      <w:ind w:left="-142" w:right="49" w:hanging="142"/>
      <w:jc w:val="right"/>
      <w:rPr>
        <w:rFonts w:ascii="Arial" w:hAnsi="Arial" w:cs="Arial"/>
        <w:b/>
        <w:color w:val="002060"/>
        <w:lang w:val="pt-BR"/>
      </w:rPr>
    </w:pPr>
    <w:r>
      <w:rPr>
        <w:noProof/>
        <w:lang w:eastAsia="es-MX"/>
      </w:rPr>
      <w:drawing>
        <wp:anchor distT="0" distB="0" distL="114300" distR="114300" simplePos="0" relativeHeight="251659264" behindDoc="0" locked="0" layoutInCell="1" allowOverlap="1" wp14:anchorId="3CD58BF2" wp14:editId="67669B1A">
          <wp:simplePos x="0" y="0"/>
          <wp:positionH relativeFrom="margin">
            <wp:posOffset>7364</wp:posOffset>
          </wp:positionH>
          <wp:positionV relativeFrom="margin">
            <wp:posOffset>-1092200</wp:posOffset>
          </wp:positionV>
          <wp:extent cx="828000" cy="828000"/>
          <wp:effectExtent l="0" t="0" r="0" b="0"/>
          <wp:wrapSquare wrapText="bothSides"/>
          <wp:docPr id="19" name="Imagen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776EFB">
      <w:rPr>
        <w:rFonts w:ascii="Arial" w:hAnsi="Arial" w:cs="Arial"/>
        <w:b/>
        <w:color w:val="002060"/>
      </w:rPr>
      <w:t xml:space="preserve">COMUNICADO DE PRENSA NÚM. </w:t>
    </w:r>
    <w:r w:rsidR="00FF55D5">
      <w:rPr>
        <w:rFonts w:ascii="Arial" w:hAnsi="Arial" w:cs="Arial"/>
        <w:b/>
        <w:color w:val="002060"/>
      </w:rPr>
      <w:t>706</w:t>
    </w:r>
    <w:r w:rsidRPr="00776EFB">
      <w:rPr>
        <w:rFonts w:ascii="Arial" w:hAnsi="Arial" w:cs="Arial"/>
        <w:b/>
        <w:color w:val="002060"/>
      </w:rPr>
      <w:t>/22</w:t>
    </w:r>
  </w:p>
  <w:p w14:paraId="23EB23FD" w14:textId="77777777" w:rsidR="00890076" w:rsidRPr="00776EFB" w:rsidRDefault="00890076" w:rsidP="001A626F">
    <w:pPr>
      <w:pStyle w:val="Encabezado"/>
      <w:ind w:left="-567" w:right="49"/>
      <w:jc w:val="right"/>
      <w:rPr>
        <w:rFonts w:ascii="Arial" w:hAnsi="Arial" w:cs="Arial"/>
        <w:b/>
        <w:color w:val="002060"/>
        <w:lang w:val="pt-BR"/>
      </w:rPr>
    </w:pPr>
    <w:r>
      <w:rPr>
        <w:rFonts w:ascii="Arial" w:hAnsi="Arial" w:cs="Arial"/>
        <w:b/>
        <w:color w:val="002060"/>
        <w:lang w:val="pt-BR"/>
      </w:rPr>
      <w:t>28</w:t>
    </w:r>
    <w:r w:rsidRPr="00776EFB">
      <w:rPr>
        <w:rFonts w:ascii="Arial" w:hAnsi="Arial" w:cs="Arial"/>
        <w:b/>
        <w:color w:val="002060"/>
        <w:lang w:val="pt-BR"/>
      </w:rPr>
      <w:t xml:space="preserve"> DE </w:t>
    </w:r>
    <w:r>
      <w:rPr>
        <w:rFonts w:ascii="Arial" w:hAnsi="Arial" w:cs="Arial"/>
        <w:b/>
        <w:color w:val="002060"/>
        <w:lang w:val="pt-BR"/>
      </w:rPr>
      <w:t xml:space="preserve">NOVIEMBRE </w:t>
    </w:r>
    <w:r w:rsidRPr="00776EFB">
      <w:rPr>
        <w:rFonts w:ascii="Arial" w:hAnsi="Arial" w:cs="Arial"/>
        <w:b/>
        <w:color w:val="002060"/>
        <w:lang w:val="pt-BR"/>
      </w:rPr>
      <w:t>DE 2022</w:t>
    </w:r>
  </w:p>
  <w:p w14:paraId="0ED063D3" w14:textId="77777777" w:rsidR="00890076" w:rsidRPr="00776EFB" w:rsidRDefault="00890076" w:rsidP="001A626F">
    <w:pPr>
      <w:pStyle w:val="Encabezado"/>
      <w:ind w:left="-567" w:right="49"/>
      <w:jc w:val="right"/>
      <w:rPr>
        <w:rFonts w:ascii="Arial" w:hAnsi="Arial" w:cs="Arial"/>
        <w:b/>
        <w:color w:val="002060"/>
      </w:rPr>
    </w:pPr>
    <w:r w:rsidRPr="00776EFB">
      <w:rPr>
        <w:rFonts w:ascii="Arial" w:hAnsi="Arial" w:cs="Arial"/>
        <w:b/>
        <w:color w:val="002060"/>
      </w:rPr>
      <w:t xml:space="preserve">PÁGINA </w:t>
    </w:r>
    <w:r w:rsidRPr="00776EFB">
      <w:rPr>
        <w:rFonts w:ascii="Arial" w:hAnsi="Arial" w:cs="Arial"/>
        <w:b/>
        <w:color w:val="002060"/>
      </w:rPr>
      <w:fldChar w:fldCharType="begin"/>
    </w:r>
    <w:r w:rsidRPr="00776EFB">
      <w:rPr>
        <w:rFonts w:ascii="Arial" w:hAnsi="Arial" w:cs="Arial"/>
        <w:b/>
        <w:color w:val="002060"/>
      </w:rPr>
      <w:instrText xml:space="preserve"> PAGE  \* Arabic </w:instrText>
    </w:r>
    <w:r w:rsidRPr="00776EFB">
      <w:rPr>
        <w:rFonts w:ascii="Arial" w:hAnsi="Arial" w:cs="Arial"/>
        <w:b/>
        <w:color w:val="002060"/>
      </w:rPr>
      <w:fldChar w:fldCharType="separate"/>
    </w:r>
    <w:r w:rsidRPr="00776EFB">
      <w:rPr>
        <w:rFonts w:ascii="Arial" w:hAnsi="Arial" w:cs="Arial"/>
        <w:b/>
        <w:noProof/>
        <w:color w:val="002060"/>
      </w:rPr>
      <w:t>1</w:t>
    </w:r>
    <w:r w:rsidRPr="00776EFB">
      <w:rPr>
        <w:rFonts w:ascii="Arial" w:hAnsi="Arial" w:cs="Arial"/>
        <w:b/>
        <w:color w:val="002060"/>
      </w:rPr>
      <w:fldChar w:fldCharType="end"/>
    </w:r>
    <w:r w:rsidRPr="00776EFB">
      <w:rPr>
        <w:rFonts w:ascii="Arial" w:hAnsi="Arial" w:cs="Arial"/>
        <w:b/>
        <w:color w:val="002060"/>
      </w:rPr>
      <w:t>/</w:t>
    </w:r>
    <w:r>
      <w:rPr>
        <w:rFonts w:ascii="Arial" w:hAnsi="Arial" w:cs="Arial"/>
        <w:b/>
        <w:color w:val="002060"/>
      </w:rPr>
      <w:t>10</w:t>
    </w:r>
  </w:p>
  <w:p w14:paraId="6B9250FE" w14:textId="77777777" w:rsidR="00890076" w:rsidRDefault="00890076" w:rsidP="001A626F">
    <w:pPr>
      <w:pStyle w:val="Encabezado"/>
      <w:ind w:right="49"/>
      <w:jc w:val="center"/>
    </w:pPr>
  </w:p>
  <w:p w14:paraId="673A1B14" w14:textId="77777777" w:rsidR="00890076" w:rsidRDefault="00890076"/>
  <w:p w14:paraId="3B2DC361" w14:textId="77777777" w:rsidR="00890076" w:rsidRDefault="008900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551FE" w14:textId="5B4F8038" w:rsidR="002E498C" w:rsidRDefault="002E498C" w:rsidP="00890076">
    <w:pPr>
      <w:pStyle w:val="Encabezado"/>
      <w:tabs>
        <w:tab w:val="clear" w:pos="4419"/>
        <w:tab w:val="clear" w:pos="8838"/>
        <w:tab w:val="left" w:pos="4877"/>
      </w:tabs>
      <w:jc w:val="center"/>
    </w:pPr>
    <w:r>
      <w:rPr>
        <w:noProof/>
        <w:lang w:val="es-MX" w:eastAsia="es-MX"/>
      </w:rPr>
      <w:drawing>
        <wp:inline distT="0" distB="0" distL="0" distR="0" wp14:anchorId="69E4CCC0" wp14:editId="600A0D3B">
          <wp:extent cx="828000" cy="828000"/>
          <wp:effectExtent l="0" t="0" r="0" b="0"/>
          <wp:docPr id="16" name="Imagen 16"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4C7652"/>
    <w:multiLevelType w:val="hybridMultilevel"/>
    <w:tmpl w:val="F36AB148"/>
    <w:lvl w:ilvl="0" w:tplc="6528213C">
      <w:start w:val="1"/>
      <w:numFmt w:val="lowerLetter"/>
      <w:pStyle w:val="Lista"/>
      <w:lvlText w:val="(%1)"/>
      <w:lvlJc w:val="left"/>
      <w:pPr>
        <w:tabs>
          <w:tab w:val="num" w:pos="1304"/>
        </w:tabs>
        <w:ind w:left="1304" w:hanging="397"/>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 w15:restartNumberingAfterBreak="0">
    <w:nsid w:val="3FDA5303"/>
    <w:multiLevelType w:val="hybridMultilevel"/>
    <w:tmpl w:val="EFC85FA2"/>
    <w:lvl w:ilvl="0" w:tplc="764A5A84">
      <w:start w:val="1"/>
      <w:numFmt w:val="decimal"/>
      <w:pStyle w:val="TtuloCuadro"/>
      <w:lvlText w:val="Cuadro %1"/>
      <w:lvlJc w:val="left"/>
      <w:pPr>
        <w:tabs>
          <w:tab w:val="num" w:pos="1418"/>
        </w:tabs>
        <w:ind w:left="1418" w:hanging="1418"/>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 w15:restartNumberingAfterBreak="0">
    <w:nsid w:val="51FB40AD"/>
    <w:multiLevelType w:val="singleLevel"/>
    <w:tmpl w:val="840EB14A"/>
    <w:lvl w:ilvl="0">
      <w:start w:val="1"/>
      <w:numFmt w:val="bullet"/>
      <w:pStyle w:val="bullet"/>
      <w:lvlText w:val=""/>
      <w:lvlJc w:val="left"/>
      <w:pPr>
        <w:tabs>
          <w:tab w:val="num" w:pos="2880"/>
        </w:tabs>
        <w:ind w:left="2880" w:hanging="360"/>
      </w:pPr>
      <w:rPr>
        <w:rFonts w:ascii="Symbol" w:hAnsi="Symbol" w:hint="default"/>
        <w:lang w:val="es-ES"/>
      </w:rPr>
    </w:lvl>
  </w:abstractNum>
  <w:abstractNum w:abstractNumId="3" w15:restartNumberingAfterBreak="0">
    <w:nsid w:val="64F5673E"/>
    <w:multiLevelType w:val="hybridMultilevel"/>
    <w:tmpl w:val="EED853D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2"/>
  </w:num>
  <w:num w:numId="5">
    <w:abstractNumId w:val="2"/>
  </w:num>
  <w:num w:numId="6">
    <w:abstractNumId w:val="2"/>
  </w:num>
  <w:num w:numId="7">
    <w:abstractNumId w:val="3"/>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pt-BR" w:vendorID="64" w:dllVersion="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FFE"/>
    <w:rsid w:val="00000094"/>
    <w:rsid w:val="000005B4"/>
    <w:rsid w:val="00000FA7"/>
    <w:rsid w:val="000010AF"/>
    <w:rsid w:val="000013B4"/>
    <w:rsid w:val="000013CD"/>
    <w:rsid w:val="000014BB"/>
    <w:rsid w:val="00002050"/>
    <w:rsid w:val="00002074"/>
    <w:rsid w:val="000023FC"/>
    <w:rsid w:val="000027FC"/>
    <w:rsid w:val="00002A24"/>
    <w:rsid w:val="00002A4C"/>
    <w:rsid w:val="0000312C"/>
    <w:rsid w:val="000034C2"/>
    <w:rsid w:val="00003626"/>
    <w:rsid w:val="00003E94"/>
    <w:rsid w:val="00003FCD"/>
    <w:rsid w:val="000041BF"/>
    <w:rsid w:val="00004235"/>
    <w:rsid w:val="000042AC"/>
    <w:rsid w:val="0000434D"/>
    <w:rsid w:val="0000442D"/>
    <w:rsid w:val="0000467B"/>
    <w:rsid w:val="00004763"/>
    <w:rsid w:val="000048BD"/>
    <w:rsid w:val="00004AE4"/>
    <w:rsid w:val="00004B8A"/>
    <w:rsid w:val="00004E17"/>
    <w:rsid w:val="00004E75"/>
    <w:rsid w:val="00005797"/>
    <w:rsid w:val="0000591C"/>
    <w:rsid w:val="00006364"/>
    <w:rsid w:val="00006401"/>
    <w:rsid w:val="000066AD"/>
    <w:rsid w:val="0000698D"/>
    <w:rsid w:val="00006B11"/>
    <w:rsid w:val="00006D6B"/>
    <w:rsid w:val="00007397"/>
    <w:rsid w:val="00007564"/>
    <w:rsid w:val="000079BE"/>
    <w:rsid w:val="00007C43"/>
    <w:rsid w:val="00010080"/>
    <w:rsid w:val="00010641"/>
    <w:rsid w:val="00010A33"/>
    <w:rsid w:val="00010AAA"/>
    <w:rsid w:val="00010D57"/>
    <w:rsid w:val="00011263"/>
    <w:rsid w:val="0001134F"/>
    <w:rsid w:val="000113D3"/>
    <w:rsid w:val="00011483"/>
    <w:rsid w:val="000119E3"/>
    <w:rsid w:val="00011B73"/>
    <w:rsid w:val="00012B92"/>
    <w:rsid w:val="00012F3D"/>
    <w:rsid w:val="00013163"/>
    <w:rsid w:val="000131E1"/>
    <w:rsid w:val="0001330B"/>
    <w:rsid w:val="00013609"/>
    <w:rsid w:val="00013834"/>
    <w:rsid w:val="00013E31"/>
    <w:rsid w:val="00014660"/>
    <w:rsid w:val="000148DD"/>
    <w:rsid w:val="00014B05"/>
    <w:rsid w:val="00014C53"/>
    <w:rsid w:val="00014D07"/>
    <w:rsid w:val="0001532E"/>
    <w:rsid w:val="00015C82"/>
    <w:rsid w:val="00016280"/>
    <w:rsid w:val="000162D9"/>
    <w:rsid w:val="00016319"/>
    <w:rsid w:val="00016372"/>
    <w:rsid w:val="000163D9"/>
    <w:rsid w:val="00016424"/>
    <w:rsid w:val="000164CA"/>
    <w:rsid w:val="00016518"/>
    <w:rsid w:val="00016868"/>
    <w:rsid w:val="00016B3A"/>
    <w:rsid w:val="00016B6B"/>
    <w:rsid w:val="00016BFA"/>
    <w:rsid w:val="00016C2D"/>
    <w:rsid w:val="00016CE2"/>
    <w:rsid w:val="00016DEA"/>
    <w:rsid w:val="00016E36"/>
    <w:rsid w:val="00017243"/>
    <w:rsid w:val="000173BF"/>
    <w:rsid w:val="000177CA"/>
    <w:rsid w:val="000178F8"/>
    <w:rsid w:val="00017DFC"/>
    <w:rsid w:val="00017EE4"/>
    <w:rsid w:val="000203B3"/>
    <w:rsid w:val="000209BA"/>
    <w:rsid w:val="000211EE"/>
    <w:rsid w:val="00021318"/>
    <w:rsid w:val="000216B1"/>
    <w:rsid w:val="0002180D"/>
    <w:rsid w:val="00021DFA"/>
    <w:rsid w:val="00021FB7"/>
    <w:rsid w:val="000222AE"/>
    <w:rsid w:val="0002296B"/>
    <w:rsid w:val="00023253"/>
    <w:rsid w:val="000233FE"/>
    <w:rsid w:val="00023690"/>
    <w:rsid w:val="0002369F"/>
    <w:rsid w:val="00023818"/>
    <w:rsid w:val="00023964"/>
    <w:rsid w:val="0002418D"/>
    <w:rsid w:val="000249C3"/>
    <w:rsid w:val="00024A8F"/>
    <w:rsid w:val="00024FE2"/>
    <w:rsid w:val="000258C4"/>
    <w:rsid w:val="000264A5"/>
    <w:rsid w:val="00026C01"/>
    <w:rsid w:val="000270C6"/>
    <w:rsid w:val="000270DF"/>
    <w:rsid w:val="00027456"/>
    <w:rsid w:val="000276D4"/>
    <w:rsid w:val="000302C4"/>
    <w:rsid w:val="00030A94"/>
    <w:rsid w:val="00030DD4"/>
    <w:rsid w:val="00030FDB"/>
    <w:rsid w:val="00031604"/>
    <w:rsid w:val="000316DC"/>
    <w:rsid w:val="0003190F"/>
    <w:rsid w:val="00031A28"/>
    <w:rsid w:val="00031AEA"/>
    <w:rsid w:val="00031BFF"/>
    <w:rsid w:val="00031CE2"/>
    <w:rsid w:val="00031D81"/>
    <w:rsid w:val="0003247F"/>
    <w:rsid w:val="0003266D"/>
    <w:rsid w:val="000327A6"/>
    <w:rsid w:val="00032D69"/>
    <w:rsid w:val="00032FDF"/>
    <w:rsid w:val="000330CC"/>
    <w:rsid w:val="00033408"/>
    <w:rsid w:val="00033471"/>
    <w:rsid w:val="000334F7"/>
    <w:rsid w:val="00033CA4"/>
    <w:rsid w:val="000343D4"/>
    <w:rsid w:val="00034647"/>
    <w:rsid w:val="000356F8"/>
    <w:rsid w:val="00035861"/>
    <w:rsid w:val="00035A95"/>
    <w:rsid w:val="00035B93"/>
    <w:rsid w:val="00035C48"/>
    <w:rsid w:val="00035EF1"/>
    <w:rsid w:val="00036173"/>
    <w:rsid w:val="000362F9"/>
    <w:rsid w:val="00036A5F"/>
    <w:rsid w:val="00036C87"/>
    <w:rsid w:val="00036F07"/>
    <w:rsid w:val="00037347"/>
    <w:rsid w:val="000374D4"/>
    <w:rsid w:val="000378BF"/>
    <w:rsid w:val="00037AA8"/>
    <w:rsid w:val="0004003B"/>
    <w:rsid w:val="0004066A"/>
    <w:rsid w:val="00040B91"/>
    <w:rsid w:val="00041175"/>
    <w:rsid w:val="00041779"/>
    <w:rsid w:val="00041E52"/>
    <w:rsid w:val="000425BC"/>
    <w:rsid w:val="0004269B"/>
    <w:rsid w:val="00042A77"/>
    <w:rsid w:val="00042C89"/>
    <w:rsid w:val="00042E96"/>
    <w:rsid w:val="00042EC6"/>
    <w:rsid w:val="00043002"/>
    <w:rsid w:val="00043349"/>
    <w:rsid w:val="0004360E"/>
    <w:rsid w:val="00043776"/>
    <w:rsid w:val="00044179"/>
    <w:rsid w:val="0004424B"/>
    <w:rsid w:val="00044426"/>
    <w:rsid w:val="00044C5A"/>
    <w:rsid w:val="000451C2"/>
    <w:rsid w:val="00045777"/>
    <w:rsid w:val="0004584C"/>
    <w:rsid w:val="00045ACA"/>
    <w:rsid w:val="00045DDF"/>
    <w:rsid w:val="00045F0C"/>
    <w:rsid w:val="000468EA"/>
    <w:rsid w:val="00046D97"/>
    <w:rsid w:val="00046F7F"/>
    <w:rsid w:val="00047360"/>
    <w:rsid w:val="00047C44"/>
    <w:rsid w:val="000505F7"/>
    <w:rsid w:val="00051396"/>
    <w:rsid w:val="00051828"/>
    <w:rsid w:val="00051882"/>
    <w:rsid w:val="00051D80"/>
    <w:rsid w:val="0005203F"/>
    <w:rsid w:val="00053556"/>
    <w:rsid w:val="000536FB"/>
    <w:rsid w:val="00053746"/>
    <w:rsid w:val="00053A9E"/>
    <w:rsid w:val="00053D1A"/>
    <w:rsid w:val="00053F5F"/>
    <w:rsid w:val="0005443C"/>
    <w:rsid w:val="0005452C"/>
    <w:rsid w:val="00054840"/>
    <w:rsid w:val="00054AAC"/>
    <w:rsid w:val="00054F15"/>
    <w:rsid w:val="000553C3"/>
    <w:rsid w:val="000553C8"/>
    <w:rsid w:val="00055421"/>
    <w:rsid w:val="00055545"/>
    <w:rsid w:val="00055D80"/>
    <w:rsid w:val="00055E58"/>
    <w:rsid w:val="00055FA3"/>
    <w:rsid w:val="00056BD2"/>
    <w:rsid w:val="00056D7B"/>
    <w:rsid w:val="00056F2C"/>
    <w:rsid w:val="00057154"/>
    <w:rsid w:val="00057404"/>
    <w:rsid w:val="000574E1"/>
    <w:rsid w:val="00057528"/>
    <w:rsid w:val="00057AE4"/>
    <w:rsid w:val="0006051F"/>
    <w:rsid w:val="00060792"/>
    <w:rsid w:val="00060793"/>
    <w:rsid w:val="00060831"/>
    <w:rsid w:val="000608A1"/>
    <w:rsid w:val="00061780"/>
    <w:rsid w:val="00061E72"/>
    <w:rsid w:val="00061F74"/>
    <w:rsid w:val="0006207F"/>
    <w:rsid w:val="000621F2"/>
    <w:rsid w:val="0006232C"/>
    <w:rsid w:val="00062B4D"/>
    <w:rsid w:val="00063098"/>
    <w:rsid w:val="000631D8"/>
    <w:rsid w:val="00063902"/>
    <w:rsid w:val="0006392C"/>
    <w:rsid w:val="00063D14"/>
    <w:rsid w:val="000641FD"/>
    <w:rsid w:val="00064814"/>
    <w:rsid w:val="00064960"/>
    <w:rsid w:val="00065649"/>
    <w:rsid w:val="00065A29"/>
    <w:rsid w:val="00065B7F"/>
    <w:rsid w:val="00065DFA"/>
    <w:rsid w:val="00066104"/>
    <w:rsid w:val="000661E0"/>
    <w:rsid w:val="0006644C"/>
    <w:rsid w:val="000669AA"/>
    <w:rsid w:val="00066D8B"/>
    <w:rsid w:val="000679B4"/>
    <w:rsid w:val="00067B9A"/>
    <w:rsid w:val="00067BBF"/>
    <w:rsid w:val="00067E52"/>
    <w:rsid w:val="00067F18"/>
    <w:rsid w:val="00070255"/>
    <w:rsid w:val="0007074C"/>
    <w:rsid w:val="00070897"/>
    <w:rsid w:val="000710C6"/>
    <w:rsid w:val="0007190D"/>
    <w:rsid w:val="0007195E"/>
    <w:rsid w:val="0007222E"/>
    <w:rsid w:val="0007241B"/>
    <w:rsid w:val="00072491"/>
    <w:rsid w:val="00072CE0"/>
    <w:rsid w:val="00072DFD"/>
    <w:rsid w:val="000732B7"/>
    <w:rsid w:val="00073502"/>
    <w:rsid w:val="0007372E"/>
    <w:rsid w:val="000739BD"/>
    <w:rsid w:val="00073B73"/>
    <w:rsid w:val="00073C3A"/>
    <w:rsid w:val="00073D63"/>
    <w:rsid w:val="00073DA5"/>
    <w:rsid w:val="000748FA"/>
    <w:rsid w:val="0007499D"/>
    <w:rsid w:val="00074C0A"/>
    <w:rsid w:val="00074F21"/>
    <w:rsid w:val="00075546"/>
    <w:rsid w:val="00075598"/>
    <w:rsid w:val="000759C7"/>
    <w:rsid w:val="00076321"/>
    <w:rsid w:val="00076772"/>
    <w:rsid w:val="000768A7"/>
    <w:rsid w:val="00076EB1"/>
    <w:rsid w:val="00077813"/>
    <w:rsid w:val="00077844"/>
    <w:rsid w:val="00080421"/>
    <w:rsid w:val="0008068B"/>
    <w:rsid w:val="00080720"/>
    <w:rsid w:val="000808BD"/>
    <w:rsid w:val="0008164E"/>
    <w:rsid w:val="0008177A"/>
    <w:rsid w:val="0008200B"/>
    <w:rsid w:val="0008208D"/>
    <w:rsid w:val="000825DA"/>
    <w:rsid w:val="000827E4"/>
    <w:rsid w:val="00082CE1"/>
    <w:rsid w:val="0008355D"/>
    <w:rsid w:val="0008379E"/>
    <w:rsid w:val="0008380F"/>
    <w:rsid w:val="00083ABD"/>
    <w:rsid w:val="00083AC5"/>
    <w:rsid w:val="00083BBC"/>
    <w:rsid w:val="00083BFC"/>
    <w:rsid w:val="00084470"/>
    <w:rsid w:val="000844EA"/>
    <w:rsid w:val="0008495C"/>
    <w:rsid w:val="000853C9"/>
    <w:rsid w:val="0008545D"/>
    <w:rsid w:val="000856B3"/>
    <w:rsid w:val="000856ED"/>
    <w:rsid w:val="00085D6C"/>
    <w:rsid w:val="00085D90"/>
    <w:rsid w:val="00085E14"/>
    <w:rsid w:val="00086103"/>
    <w:rsid w:val="000864B9"/>
    <w:rsid w:val="000869EE"/>
    <w:rsid w:val="00087442"/>
    <w:rsid w:val="0008754F"/>
    <w:rsid w:val="00087B1F"/>
    <w:rsid w:val="00087B78"/>
    <w:rsid w:val="00087EC0"/>
    <w:rsid w:val="00087F01"/>
    <w:rsid w:val="00087FA2"/>
    <w:rsid w:val="000903E7"/>
    <w:rsid w:val="00090D23"/>
    <w:rsid w:val="00091847"/>
    <w:rsid w:val="00091D22"/>
    <w:rsid w:val="00091EC0"/>
    <w:rsid w:val="000922C4"/>
    <w:rsid w:val="0009238D"/>
    <w:rsid w:val="0009288C"/>
    <w:rsid w:val="000929A1"/>
    <w:rsid w:val="000929AC"/>
    <w:rsid w:val="00092E7E"/>
    <w:rsid w:val="0009319E"/>
    <w:rsid w:val="000933D8"/>
    <w:rsid w:val="00093998"/>
    <w:rsid w:val="00094397"/>
    <w:rsid w:val="00094681"/>
    <w:rsid w:val="00094A66"/>
    <w:rsid w:val="00094E67"/>
    <w:rsid w:val="00095146"/>
    <w:rsid w:val="000952B2"/>
    <w:rsid w:val="000956C8"/>
    <w:rsid w:val="000957DF"/>
    <w:rsid w:val="000957FE"/>
    <w:rsid w:val="00095CBC"/>
    <w:rsid w:val="0009611B"/>
    <w:rsid w:val="00096953"/>
    <w:rsid w:val="00096A64"/>
    <w:rsid w:val="000970D5"/>
    <w:rsid w:val="0009719B"/>
    <w:rsid w:val="00097656"/>
    <w:rsid w:val="0009796C"/>
    <w:rsid w:val="00097BCD"/>
    <w:rsid w:val="000A0419"/>
    <w:rsid w:val="000A0490"/>
    <w:rsid w:val="000A06C1"/>
    <w:rsid w:val="000A0D5C"/>
    <w:rsid w:val="000A0FCF"/>
    <w:rsid w:val="000A163D"/>
    <w:rsid w:val="000A1877"/>
    <w:rsid w:val="000A1918"/>
    <w:rsid w:val="000A19FA"/>
    <w:rsid w:val="000A2304"/>
    <w:rsid w:val="000A2705"/>
    <w:rsid w:val="000A28D7"/>
    <w:rsid w:val="000A2934"/>
    <w:rsid w:val="000A29D3"/>
    <w:rsid w:val="000A2A16"/>
    <w:rsid w:val="000A2E8D"/>
    <w:rsid w:val="000A2F41"/>
    <w:rsid w:val="000A3626"/>
    <w:rsid w:val="000A36E9"/>
    <w:rsid w:val="000A3BEF"/>
    <w:rsid w:val="000A3C87"/>
    <w:rsid w:val="000A4541"/>
    <w:rsid w:val="000A473B"/>
    <w:rsid w:val="000A47DE"/>
    <w:rsid w:val="000A47F2"/>
    <w:rsid w:val="000A47F5"/>
    <w:rsid w:val="000A487B"/>
    <w:rsid w:val="000A4D75"/>
    <w:rsid w:val="000A4DA0"/>
    <w:rsid w:val="000A5275"/>
    <w:rsid w:val="000A5296"/>
    <w:rsid w:val="000A5C7C"/>
    <w:rsid w:val="000A5CD2"/>
    <w:rsid w:val="000A6259"/>
    <w:rsid w:val="000A65EE"/>
    <w:rsid w:val="000A6BC6"/>
    <w:rsid w:val="000A6BEF"/>
    <w:rsid w:val="000A7080"/>
    <w:rsid w:val="000A7898"/>
    <w:rsid w:val="000B00E1"/>
    <w:rsid w:val="000B036C"/>
    <w:rsid w:val="000B0611"/>
    <w:rsid w:val="000B0763"/>
    <w:rsid w:val="000B09AA"/>
    <w:rsid w:val="000B0E5A"/>
    <w:rsid w:val="000B1079"/>
    <w:rsid w:val="000B1412"/>
    <w:rsid w:val="000B1519"/>
    <w:rsid w:val="000B15E3"/>
    <w:rsid w:val="000B18DB"/>
    <w:rsid w:val="000B1EDB"/>
    <w:rsid w:val="000B271F"/>
    <w:rsid w:val="000B298B"/>
    <w:rsid w:val="000B2B3F"/>
    <w:rsid w:val="000B2DB5"/>
    <w:rsid w:val="000B3111"/>
    <w:rsid w:val="000B3294"/>
    <w:rsid w:val="000B3D66"/>
    <w:rsid w:val="000B3E21"/>
    <w:rsid w:val="000B3E99"/>
    <w:rsid w:val="000B3F13"/>
    <w:rsid w:val="000B4615"/>
    <w:rsid w:val="000B4895"/>
    <w:rsid w:val="000B4BCC"/>
    <w:rsid w:val="000B4C31"/>
    <w:rsid w:val="000B4CE5"/>
    <w:rsid w:val="000B5084"/>
    <w:rsid w:val="000B509F"/>
    <w:rsid w:val="000B51C1"/>
    <w:rsid w:val="000B552B"/>
    <w:rsid w:val="000B6128"/>
    <w:rsid w:val="000B62BA"/>
    <w:rsid w:val="000B6504"/>
    <w:rsid w:val="000B6C47"/>
    <w:rsid w:val="000B6CD2"/>
    <w:rsid w:val="000B6F15"/>
    <w:rsid w:val="000B77B6"/>
    <w:rsid w:val="000B7B1F"/>
    <w:rsid w:val="000B7D02"/>
    <w:rsid w:val="000C0442"/>
    <w:rsid w:val="000C05F2"/>
    <w:rsid w:val="000C0669"/>
    <w:rsid w:val="000C0954"/>
    <w:rsid w:val="000C12AD"/>
    <w:rsid w:val="000C1C21"/>
    <w:rsid w:val="000C1CFE"/>
    <w:rsid w:val="000C1D74"/>
    <w:rsid w:val="000C2538"/>
    <w:rsid w:val="000C2864"/>
    <w:rsid w:val="000C2B92"/>
    <w:rsid w:val="000C2BBC"/>
    <w:rsid w:val="000C2C83"/>
    <w:rsid w:val="000C2CF6"/>
    <w:rsid w:val="000C2ED4"/>
    <w:rsid w:val="000C34AD"/>
    <w:rsid w:val="000C36F0"/>
    <w:rsid w:val="000C3B8D"/>
    <w:rsid w:val="000C3C32"/>
    <w:rsid w:val="000C3E9F"/>
    <w:rsid w:val="000C40D0"/>
    <w:rsid w:val="000C4434"/>
    <w:rsid w:val="000C45BF"/>
    <w:rsid w:val="000C4B79"/>
    <w:rsid w:val="000C5214"/>
    <w:rsid w:val="000C5723"/>
    <w:rsid w:val="000C5737"/>
    <w:rsid w:val="000C5C55"/>
    <w:rsid w:val="000C5C9A"/>
    <w:rsid w:val="000C5E30"/>
    <w:rsid w:val="000C6117"/>
    <w:rsid w:val="000C62B4"/>
    <w:rsid w:val="000C64B0"/>
    <w:rsid w:val="000C6758"/>
    <w:rsid w:val="000C675E"/>
    <w:rsid w:val="000C6DD1"/>
    <w:rsid w:val="000C6E66"/>
    <w:rsid w:val="000C7353"/>
    <w:rsid w:val="000C7544"/>
    <w:rsid w:val="000C7612"/>
    <w:rsid w:val="000C76A1"/>
    <w:rsid w:val="000C7729"/>
    <w:rsid w:val="000C79C2"/>
    <w:rsid w:val="000C7B83"/>
    <w:rsid w:val="000C7D87"/>
    <w:rsid w:val="000C7FE1"/>
    <w:rsid w:val="000D01DD"/>
    <w:rsid w:val="000D046C"/>
    <w:rsid w:val="000D06A2"/>
    <w:rsid w:val="000D08A9"/>
    <w:rsid w:val="000D0B24"/>
    <w:rsid w:val="000D0C3C"/>
    <w:rsid w:val="000D0D1A"/>
    <w:rsid w:val="000D0D6F"/>
    <w:rsid w:val="000D0DE5"/>
    <w:rsid w:val="000D157C"/>
    <w:rsid w:val="000D2147"/>
    <w:rsid w:val="000D226D"/>
    <w:rsid w:val="000D234C"/>
    <w:rsid w:val="000D2358"/>
    <w:rsid w:val="000D2510"/>
    <w:rsid w:val="000D2982"/>
    <w:rsid w:val="000D2BDB"/>
    <w:rsid w:val="000D2CE2"/>
    <w:rsid w:val="000D2D12"/>
    <w:rsid w:val="000D3369"/>
    <w:rsid w:val="000D3432"/>
    <w:rsid w:val="000D379C"/>
    <w:rsid w:val="000D3EE1"/>
    <w:rsid w:val="000D3F24"/>
    <w:rsid w:val="000D4008"/>
    <w:rsid w:val="000D4726"/>
    <w:rsid w:val="000D4871"/>
    <w:rsid w:val="000D5012"/>
    <w:rsid w:val="000D502B"/>
    <w:rsid w:val="000D53C8"/>
    <w:rsid w:val="000D548C"/>
    <w:rsid w:val="000D54FC"/>
    <w:rsid w:val="000D553D"/>
    <w:rsid w:val="000D597B"/>
    <w:rsid w:val="000D5AC1"/>
    <w:rsid w:val="000D5DA0"/>
    <w:rsid w:val="000D5E36"/>
    <w:rsid w:val="000D5F6D"/>
    <w:rsid w:val="000D684F"/>
    <w:rsid w:val="000D698E"/>
    <w:rsid w:val="000D6AD6"/>
    <w:rsid w:val="000D73EE"/>
    <w:rsid w:val="000D75FB"/>
    <w:rsid w:val="000D796D"/>
    <w:rsid w:val="000D7C1B"/>
    <w:rsid w:val="000E036F"/>
    <w:rsid w:val="000E0537"/>
    <w:rsid w:val="000E0A03"/>
    <w:rsid w:val="000E0DFD"/>
    <w:rsid w:val="000E13C4"/>
    <w:rsid w:val="000E1403"/>
    <w:rsid w:val="000E154F"/>
    <w:rsid w:val="000E17A6"/>
    <w:rsid w:val="000E18A3"/>
    <w:rsid w:val="000E212B"/>
    <w:rsid w:val="000E2310"/>
    <w:rsid w:val="000E2390"/>
    <w:rsid w:val="000E24DE"/>
    <w:rsid w:val="000E2BE9"/>
    <w:rsid w:val="000E2D0D"/>
    <w:rsid w:val="000E30BF"/>
    <w:rsid w:val="000E315E"/>
    <w:rsid w:val="000E350C"/>
    <w:rsid w:val="000E37EC"/>
    <w:rsid w:val="000E3D1C"/>
    <w:rsid w:val="000E4385"/>
    <w:rsid w:val="000E456F"/>
    <w:rsid w:val="000E46ED"/>
    <w:rsid w:val="000E4894"/>
    <w:rsid w:val="000E4C69"/>
    <w:rsid w:val="000E4FF2"/>
    <w:rsid w:val="000E55D9"/>
    <w:rsid w:val="000E57F0"/>
    <w:rsid w:val="000E64E8"/>
    <w:rsid w:val="000E6765"/>
    <w:rsid w:val="000E6775"/>
    <w:rsid w:val="000E69CA"/>
    <w:rsid w:val="000E69DA"/>
    <w:rsid w:val="000E6BEC"/>
    <w:rsid w:val="000E6F96"/>
    <w:rsid w:val="000E6FFA"/>
    <w:rsid w:val="000E743D"/>
    <w:rsid w:val="000E75E3"/>
    <w:rsid w:val="000E770F"/>
    <w:rsid w:val="000E7779"/>
    <w:rsid w:val="000E7A51"/>
    <w:rsid w:val="000E7EDB"/>
    <w:rsid w:val="000E7F5E"/>
    <w:rsid w:val="000F03E1"/>
    <w:rsid w:val="000F064C"/>
    <w:rsid w:val="000F0820"/>
    <w:rsid w:val="000F08A0"/>
    <w:rsid w:val="000F0957"/>
    <w:rsid w:val="000F0B61"/>
    <w:rsid w:val="000F0C6D"/>
    <w:rsid w:val="000F0DED"/>
    <w:rsid w:val="000F1119"/>
    <w:rsid w:val="000F124C"/>
    <w:rsid w:val="000F15BB"/>
    <w:rsid w:val="000F196C"/>
    <w:rsid w:val="000F1B8F"/>
    <w:rsid w:val="000F1C4A"/>
    <w:rsid w:val="000F1FF6"/>
    <w:rsid w:val="000F2539"/>
    <w:rsid w:val="000F2665"/>
    <w:rsid w:val="000F2CC5"/>
    <w:rsid w:val="000F322D"/>
    <w:rsid w:val="000F32BC"/>
    <w:rsid w:val="000F376E"/>
    <w:rsid w:val="000F3958"/>
    <w:rsid w:val="000F398C"/>
    <w:rsid w:val="000F3C6B"/>
    <w:rsid w:val="000F3D5B"/>
    <w:rsid w:val="000F4038"/>
    <w:rsid w:val="000F407F"/>
    <w:rsid w:val="000F4AF5"/>
    <w:rsid w:val="000F4BD9"/>
    <w:rsid w:val="000F4F04"/>
    <w:rsid w:val="000F56B3"/>
    <w:rsid w:val="000F59BA"/>
    <w:rsid w:val="000F5AFB"/>
    <w:rsid w:val="000F5C16"/>
    <w:rsid w:val="000F60D4"/>
    <w:rsid w:val="000F686B"/>
    <w:rsid w:val="000F706B"/>
    <w:rsid w:val="000F71C7"/>
    <w:rsid w:val="000F722C"/>
    <w:rsid w:val="000F73C5"/>
    <w:rsid w:val="000F7411"/>
    <w:rsid w:val="000F7CDA"/>
    <w:rsid w:val="000F7DC8"/>
    <w:rsid w:val="000F7ED6"/>
    <w:rsid w:val="000F7EDF"/>
    <w:rsid w:val="000F7F63"/>
    <w:rsid w:val="0010016F"/>
    <w:rsid w:val="00100670"/>
    <w:rsid w:val="00100903"/>
    <w:rsid w:val="0010098D"/>
    <w:rsid w:val="00100D10"/>
    <w:rsid w:val="00100DD1"/>
    <w:rsid w:val="00101009"/>
    <w:rsid w:val="00101204"/>
    <w:rsid w:val="001013CB"/>
    <w:rsid w:val="00101445"/>
    <w:rsid w:val="0010172E"/>
    <w:rsid w:val="001019FE"/>
    <w:rsid w:val="00101CF2"/>
    <w:rsid w:val="00102025"/>
    <w:rsid w:val="00102090"/>
    <w:rsid w:val="001023AA"/>
    <w:rsid w:val="00102590"/>
    <w:rsid w:val="00103C40"/>
    <w:rsid w:val="00103DB4"/>
    <w:rsid w:val="00104469"/>
    <w:rsid w:val="001045FD"/>
    <w:rsid w:val="001046F8"/>
    <w:rsid w:val="001048F3"/>
    <w:rsid w:val="001049D5"/>
    <w:rsid w:val="00104DED"/>
    <w:rsid w:val="00104E22"/>
    <w:rsid w:val="0010508A"/>
    <w:rsid w:val="0010540C"/>
    <w:rsid w:val="00105A1E"/>
    <w:rsid w:val="00105D7A"/>
    <w:rsid w:val="0010610A"/>
    <w:rsid w:val="00106212"/>
    <w:rsid w:val="00106414"/>
    <w:rsid w:val="00106491"/>
    <w:rsid w:val="001064B0"/>
    <w:rsid w:val="001068D6"/>
    <w:rsid w:val="00106D45"/>
    <w:rsid w:val="00106E8E"/>
    <w:rsid w:val="001071C9"/>
    <w:rsid w:val="00107672"/>
    <w:rsid w:val="00107747"/>
    <w:rsid w:val="00107968"/>
    <w:rsid w:val="00107BA0"/>
    <w:rsid w:val="001104D9"/>
    <w:rsid w:val="00110609"/>
    <w:rsid w:val="001107E8"/>
    <w:rsid w:val="00110933"/>
    <w:rsid w:val="00110FF2"/>
    <w:rsid w:val="00111552"/>
    <w:rsid w:val="0011161D"/>
    <w:rsid w:val="00111880"/>
    <w:rsid w:val="001119A6"/>
    <w:rsid w:val="00111F97"/>
    <w:rsid w:val="00112145"/>
    <w:rsid w:val="00112220"/>
    <w:rsid w:val="00112257"/>
    <w:rsid w:val="00112BB3"/>
    <w:rsid w:val="00112C01"/>
    <w:rsid w:val="0011301F"/>
    <w:rsid w:val="001132D1"/>
    <w:rsid w:val="0011342C"/>
    <w:rsid w:val="00113B9A"/>
    <w:rsid w:val="00113C9F"/>
    <w:rsid w:val="001141A0"/>
    <w:rsid w:val="00114481"/>
    <w:rsid w:val="0011489E"/>
    <w:rsid w:val="00114ABD"/>
    <w:rsid w:val="00114BC5"/>
    <w:rsid w:val="00114C96"/>
    <w:rsid w:val="00114D09"/>
    <w:rsid w:val="00115050"/>
    <w:rsid w:val="001150D7"/>
    <w:rsid w:val="00115494"/>
    <w:rsid w:val="001154D6"/>
    <w:rsid w:val="001154DF"/>
    <w:rsid w:val="001157F6"/>
    <w:rsid w:val="00115ADC"/>
    <w:rsid w:val="00115B2E"/>
    <w:rsid w:val="00115D2B"/>
    <w:rsid w:val="00115E99"/>
    <w:rsid w:val="001167DE"/>
    <w:rsid w:val="00116B41"/>
    <w:rsid w:val="00116F43"/>
    <w:rsid w:val="00117A4C"/>
    <w:rsid w:val="00117C0E"/>
    <w:rsid w:val="00117C16"/>
    <w:rsid w:val="00117C7E"/>
    <w:rsid w:val="001206EC"/>
    <w:rsid w:val="00120CB8"/>
    <w:rsid w:val="00120D51"/>
    <w:rsid w:val="00120DE2"/>
    <w:rsid w:val="00121528"/>
    <w:rsid w:val="0012178C"/>
    <w:rsid w:val="001217FE"/>
    <w:rsid w:val="00121F50"/>
    <w:rsid w:val="00122098"/>
    <w:rsid w:val="0012210A"/>
    <w:rsid w:val="00122248"/>
    <w:rsid w:val="00122272"/>
    <w:rsid w:val="00122558"/>
    <w:rsid w:val="001226EE"/>
    <w:rsid w:val="001229AE"/>
    <w:rsid w:val="00122CDD"/>
    <w:rsid w:val="00122E0A"/>
    <w:rsid w:val="001230D0"/>
    <w:rsid w:val="001231F9"/>
    <w:rsid w:val="001234C9"/>
    <w:rsid w:val="00123546"/>
    <w:rsid w:val="00123958"/>
    <w:rsid w:val="00123C4E"/>
    <w:rsid w:val="00123D66"/>
    <w:rsid w:val="001242DB"/>
    <w:rsid w:val="0012437F"/>
    <w:rsid w:val="00124389"/>
    <w:rsid w:val="00124806"/>
    <w:rsid w:val="001248FB"/>
    <w:rsid w:val="00124CBE"/>
    <w:rsid w:val="00124F74"/>
    <w:rsid w:val="00125033"/>
    <w:rsid w:val="00125130"/>
    <w:rsid w:val="001259F4"/>
    <w:rsid w:val="00125FB4"/>
    <w:rsid w:val="0012625B"/>
    <w:rsid w:val="001264A7"/>
    <w:rsid w:val="001264BA"/>
    <w:rsid w:val="00126799"/>
    <w:rsid w:val="0012766E"/>
    <w:rsid w:val="0012797C"/>
    <w:rsid w:val="0013055B"/>
    <w:rsid w:val="00130610"/>
    <w:rsid w:val="00130EB5"/>
    <w:rsid w:val="00130FBA"/>
    <w:rsid w:val="001310F4"/>
    <w:rsid w:val="001318C3"/>
    <w:rsid w:val="00131C91"/>
    <w:rsid w:val="00131D53"/>
    <w:rsid w:val="00132139"/>
    <w:rsid w:val="00132288"/>
    <w:rsid w:val="00132350"/>
    <w:rsid w:val="0013262C"/>
    <w:rsid w:val="001327FF"/>
    <w:rsid w:val="00132D9B"/>
    <w:rsid w:val="00132F7E"/>
    <w:rsid w:val="00133103"/>
    <w:rsid w:val="0013366D"/>
    <w:rsid w:val="00133692"/>
    <w:rsid w:val="00133AE0"/>
    <w:rsid w:val="001341F0"/>
    <w:rsid w:val="0013440E"/>
    <w:rsid w:val="001347EF"/>
    <w:rsid w:val="00134A3D"/>
    <w:rsid w:val="00134AAF"/>
    <w:rsid w:val="00134B7D"/>
    <w:rsid w:val="00134BA6"/>
    <w:rsid w:val="001353FF"/>
    <w:rsid w:val="001356BC"/>
    <w:rsid w:val="0013607A"/>
    <w:rsid w:val="0013627B"/>
    <w:rsid w:val="001365A4"/>
    <w:rsid w:val="001369FF"/>
    <w:rsid w:val="00136AAE"/>
    <w:rsid w:val="00137042"/>
    <w:rsid w:val="00137152"/>
    <w:rsid w:val="00137580"/>
    <w:rsid w:val="001378AA"/>
    <w:rsid w:val="00137A0A"/>
    <w:rsid w:val="00137BDD"/>
    <w:rsid w:val="00137DF5"/>
    <w:rsid w:val="00137EBD"/>
    <w:rsid w:val="00140111"/>
    <w:rsid w:val="001407F6"/>
    <w:rsid w:val="00141168"/>
    <w:rsid w:val="00141244"/>
    <w:rsid w:val="00141557"/>
    <w:rsid w:val="001416CA"/>
    <w:rsid w:val="0014180F"/>
    <w:rsid w:val="001421EE"/>
    <w:rsid w:val="00142717"/>
    <w:rsid w:val="00142907"/>
    <w:rsid w:val="00142B3D"/>
    <w:rsid w:val="00142C2F"/>
    <w:rsid w:val="00142FA7"/>
    <w:rsid w:val="00142FF0"/>
    <w:rsid w:val="00143585"/>
    <w:rsid w:val="00143794"/>
    <w:rsid w:val="001439C6"/>
    <w:rsid w:val="00143A1D"/>
    <w:rsid w:val="00143CAF"/>
    <w:rsid w:val="001441A6"/>
    <w:rsid w:val="00144378"/>
    <w:rsid w:val="0014439B"/>
    <w:rsid w:val="00145694"/>
    <w:rsid w:val="00145A3E"/>
    <w:rsid w:val="00145B96"/>
    <w:rsid w:val="00145BC0"/>
    <w:rsid w:val="0014626C"/>
    <w:rsid w:val="001462D7"/>
    <w:rsid w:val="0014667F"/>
    <w:rsid w:val="00146711"/>
    <w:rsid w:val="00146810"/>
    <w:rsid w:val="00146934"/>
    <w:rsid w:val="00146CA9"/>
    <w:rsid w:val="001471D1"/>
    <w:rsid w:val="00147225"/>
    <w:rsid w:val="001473DF"/>
    <w:rsid w:val="00147506"/>
    <w:rsid w:val="001475A1"/>
    <w:rsid w:val="00147677"/>
    <w:rsid w:val="00147AD6"/>
    <w:rsid w:val="00147B9E"/>
    <w:rsid w:val="001500E3"/>
    <w:rsid w:val="0015056E"/>
    <w:rsid w:val="00150912"/>
    <w:rsid w:val="00150BBE"/>
    <w:rsid w:val="00150BE1"/>
    <w:rsid w:val="00150C8F"/>
    <w:rsid w:val="00151413"/>
    <w:rsid w:val="00151601"/>
    <w:rsid w:val="001518CC"/>
    <w:rsid w:val="00151FA8"/>
    <w:rsid w:val="001520AF"/>
    <w:rsid w:val="0015220B"/>
    <w:rsid w:val="00152294"/>
    <w:rsid w:val="00152363"/>
    <w:rsid w:val="00152491"/>
    <w:rsid w:val="00152931"/>
    <w:rsid w:val="001529C8"/>
    <w:rsid w:val="00152FA9"/>
    <w:rsid w:val="00153014"/>
    <w:rsid w:val="001532E7"/>
    <w:rsid w:val="00153311"/>
    <w:rsid w:val="00153379"/>
    <w:rsid w:val="001534CD"/>
    <w:rsid w:val="001538F2"/>
    <w:rsid w:val="00153C54"/>
    <w:rsid w:val="001541BD"/>
    <w:rsid w:val="00154341"/>
    <w:rsid w:val="00154981"/>
    <w:rsid w:val="00154D17"/>
    <w:rsid w:val="00154F76"/>
    <w:rsid w:val="001553B5"/>
    <w:rsid w:val="00155794"/>
    <w:rsid w:val="001559BA"/>
    <w:rsid w:val="00155B09"/>
    <w:rsid w:val="00155FCB"/>
    <w:rsid w:val="00156B7A"/>
    <w:rsid w:val="00156CEE"/>
    <w:rsid w:val="00156D55"/>
    <w:rsid w:val="00156D90"/>
    <w:rsid w:val="00156F1C"/>
    <w:rsid w:val="0015717B"/>
    <w:rsid w:val="001576A6"/>
    <w:rsid w:val="0015797E"/>
    <w:rsid w:val="00157EFE"/>
    <w:rsid w:val="00157F50"/>
    <w:rsid w:val="001600DF"/>
    <w:rsid w:val="00160386"/>
    <w:rsid w:val="0016063F"/>
    <w:rsid w:val="00160849"/>
    <w:rsid w:val="001612F1"/>
    <w:rsid w:val="00161A52"/>
    <w:rsid w:val="00161C5A"/>
    <w:rsid w:val="00161C74"/>
    <w:rsid w:val="00162100"/>
    <w:rsid w:val="00162394"/>
    <w:rsid w:val="001623E9"/>
    <w:rsid w:val="001629F1"/>
    <w:rsid w:val="00162D86"/>
    <w:rsid w:val="00163360"/>
    <w:rsid w:val="0016341D"/>
    <w:rsid w:val="00164459"/>
    <w:rsid w:val="001648AE"/>
    <w:rsid w:val="00165289"/>
    <w:rsid w:val="00165495"/>
    <w:rsid w:val="00165997"/>
    <w:rsid w:val="00165A7C"/>
    <w:rsid w:val="00165C4D"/>
    <w:rsid w:val="00165EF1"/>
    <w:rsid w:val="00166CBA"/>
    <w:rsid w:val="001670C1"/>
    <w:rsid w:val="001672F7"/>
    <w:rsid w:val="0016759D"/>
    <w:rsid w:val="00167BA8"/>
    <w:rsid w:val="00167D6D"/>
    <w:rsid w:val="001700C1"/>
    <w:rsid w:val="00170662"/>
    <w:rsid w:val="001706C7"/>
    <w:rsid w:val="00170BCB"/>
    <w:rsid w:val="00170FE6"/>
    <w:rsid w:val="00171085"/>
    <w:rsid w:val="00171472"/>
    <w:rsid w:val="00171557"/>
    <w:rsid w:val="00171FB5"/>
    <w:rsid w:val="001721AE"/>
    <w:rsid w:val="001721BE"/>
    <w:rsid w:val="00172F82"/>
    <w:rsid w:val="001732A4"/>
    <w:rsid w:val="001732FC"/>
    <w:rsid w:val="00173404"/>
    <w:rsid w:val="0017374F"/>
    <w:rsid w:val="0017378A"/>
    <w:rsid w:val="00173B1B"/>
    <w:rsid w:val="0017435A"/>
    <w:rsid w:val="001743FA"/>
    <w:rsid w:val="0017453F"/>
    <w:rsid w:val="00174932"/>
    <w:rsid w:val="00174A1F"/>
    <w:rsid w:val="00174B4C"/>
    <w:rsid w:val="00174BD3"/>
    <w:rsid w:val="00174C2D"/>
    <w:rsid w:val="00175009"/>
    <w:rsid w:val="001750E7"/>
    <w:rsid w:val="0017520D"/>
    <w:rsid w:val="001753C2"/>
    <w:rsid w:val="0017564D"/>
    <w:rsid w:val="001759E6"/>
    <w:rsid w:val="00175D90"/>
    <w:rsid w:val="00175EDA"/>
    <w:rsid w:val="00176263"/>
    <w:rsid w:val="00176309"/>
    <w:rsid w:val="001763CF"/>
    <w:rsid w:val="001768E2"/>
    <w:rsid w:val="001769D5"/>
    <w:rsid w:val="00176A31"/>
    <w:rsid w:val="00176AA4"/>
    <w:rsid w:val="00176B53"/>
    <w:rsid w:val="00176DF9"/>
    <w:rsid w:val="00177055"/>
    <w:rsid w:val="0017714E"/>
    <w:rsid w:val="001772E3"/>
    <w:rsid w:val="0017756E"/>
    <w:rsid w:val="00177BAD"/>
    <w:rsid w:val="00177F22"/>
    <w:rsid w:val="00180094"/>
    <w:rsid w:val="00180250"/>
    <w:rsid w:val="00180266"/>
    <w:rsid w:val="001808E9"/>
    <w:rsid w:val="00180AE6"/>
    <w:rsid w:val="00180C2C"/>
    <w:rsid w:val="00180DEE"/>
    <w:rsid w:val="00180E58"/>
    <w:rsid w:val="001813EB"/>
    <w:rsid w:val="00181819"/>
    <w:rsid w:val="00181E2C"/>
    <w:rsid w:val="00181EAB"/>
    <w:rsid w:val="0018264C"/>
    <w:rsid w:val="00182A8E"/>
    <w:rsid w:val="00182C0F"/>
    <w:rsid w:val="00183854"/>
    <w:rsid w:val="001839BE"/>
    <w:rsid w:val="00183DEE"/>
    <w:rsid w:val="001842EE"/>
    <w:rsid w:val="00184D6F"/>
    <w:rsid w:val="00184DF6"/>
    <w:rsid w:val="0018535C"/>
    <w:rsid w:val="001853BD"/>
    <w:rsid w:val="00185721"/>
    <w:rsid w:val="00185882"/>
    <w:rsid w:val="00185A23"/>
    <w:rsid w:val="00185F2A"/>
    <w:rsid w:val="001864C9"/>
    <w:rsid w:val="001866A5"/>
    <w:rsid w:val="00186A89"/>
    <w:rsid w:val="00186EC1"/>
    <w:rsid w:val="00186FEF"/>
    <w:rsid w:val="001873A9"/>
    <w:rsid w:val="00187539"/>
    <w:rsid w:val="001879AE"/>
    <w:rsid w:val="00187ED9"/>
    <w:rsid w:val="00190019"/>
    <w:rsid w:val="00190040"/>
    <w:rsid w:val="00190835"/>
    <w:rsid w:val="001908D3"/>
    <w:rsid w:val="00190D6F"/>
    <w:rsid w:val="00190EB6"/>
    <w:rsid w:val="0019135C"/>
    <w:rsid w:val="00191397"/>
    <w:rsid w:val="00191402"/>
    <w:rsid w:val="0019160A"/>
    <w:rsid w:val="001917B6"/>
    <w:rsid w:val="00191CFB"/>
    <w:rsid w:val="001921DE"/>
    <w:rsid w:val="00192A88"/>
    <w:rsid w:val="00192CD7"/>
    <w:rsid w:val="0019309B"/>
    <w:rsid w:val="00193476"/>
    <w:rsid w:val="001936C8"/>
    <w:rsid w:val="00193C46"/>
    <w:rsid w:val="00193C9D"/>
    <w:rsid w:val="00193F23"/>
    <w:rsid w:val="00193F76"/>
    <w:rsid w:val="00194852"/>
    <w:rsid w:val="00194879"/>
    <w:rsid w:val="00194943"/>
    <w:rsid w:val="00194989"/>
    <w:rsid w:val="00194B1F"/>
    <w:rsid w:val="00194E2D"/>
    <w:rsid w:val="00194FE3"/>
    <w:rsid w:val="00195511"/>
    <w:rsid w:val="00195756"/>
    <w:rsid w:val="00195767"/>
    <w:rsid w:val="00195F73"/>
    <w:rsid w:val="00196A44"/>
    <w:rsid w:val="00196E89"/>
    <w:rsid w:val="00196F5C"/>
    <w:rsid w:val="001971BA"/>
    <w:rsid w:val="001973F2"/>
    <w:rsid w:val="0019782F"/>
    <w:rsid w:val="00197CA1"/>
    <w:rsid w:val="00197D0B"/>
    <w:rsid w:val="00197E84"/>
    <w:rsid w:val="001A06F8"/>
    <w:rsid w:val="001A0857"/>
    <w:rsid w:val="001A0CDB"/>
    <w:rsid w:val="001A1699"/>
    <w:rsid w:val="001A19BC"/>
    <w:rsid w:val="001A19D5"/>
    <w:rsid w:val="001A1D6E"/>
    <w:rsid w:val="001A218C"/>
    <w:rsid w:val="001A2238"/>
    <w:rsid w:val="001A223A"/>
    <w:rsid w:val="001A2370"/>
    <w:rsid w:val="001A2411"/>
    <w:rsid w:val="001A24E8"/>
    <w:rsid w:val="001A2506"/>
    <w:rsid w:val="001A2906"/>
    <w:rsid w:val="001A2EBC"/>
    <w:rsid w:val="001A2FEE"/>
    <w:rsid w:val="001A36A8"/>
    <w:rsid w:val="001A3757"/>
    <w:rsid w:val="001A3A48"/>
    <w:rsid w:val="001A3F5D"/>
    <w:rsid w:val="001A4376"/>
    <w:rsid w:val="001A4D14"/>
    <w:rsid w:val="001A5B54"/>
    <w:rsid w:val="001A65D2"/>
    <w:rsid w:val="001A7281"/>
    <w:rsid w:val="001A7326"/>
    <w:rsid w:val="001A75D7"/>
    <w:rsid w:val="001A75E2"/>
    <w:rsid w:val="001A763D"/>
    <w:rsid w:val="001A7A69"/>
    <w:rsid w:val="001A7ADB"/>
    <w:rsid w:val="001A7D78"/>
    <w:rsid w:val="001B0492"/>
    <w:rsid w:val="001B0656"/>
    <w:rsid w:val="001B06DD"/>
    <w:rsid w:val="001B0922"/>
    <w:rsid w:val="001B0A80"/>
    <w:rsid w:val="001B1009"/>
    <w:rsid w:val="001B13C5"/>
    <w:rsid w:val="001B156A"/>
    <w:rsid w:val="001B16CE"/>
    <w:rsid w:val="001B1B72"/>
    <w:rsid w:val="001B1E67"/>
    <w:rsid w:val="001B1EC2"/>
    <w:rsid w:val="001B1FDC"/>
    <w:rsid w:val="001B2482"/>
    <w:rsid w:val="001B26FB"/>
    <w:rsid w:val="001B2B41"/>
    <w:rsid w:val="001B32DB"/>
    <w:rsid w:val="001B3386"/>
    <w:rsid w:val="001B3A08"/>
    <w:rsid w:val="001B3E8B"/>
    <w:rsid w:val="001B4526"/>
    <w:rsid w:val="001B4550"/>
    <w:rsid w:val="001B480F"/>
    <w:rsid w:val="001B49E3"/>
    <w:rsid w:val="001B4B1A"/>
    <w:rsid w:val="001B54CA"/>
    <w:rsid w:val="001B5BB1"/>
    <w:rsid w:val="001B61A9"/>
    <w:rsid w:val="001B638D"/>
    <w:rsid w:val="001B6434"/>
    <w:rsid w:val="001B657D"/>
    <w:rsid w:val="001B660A"/>
    <w:rsid w:val="001B6849"/>
    <w:rsid w:val="001B69D8"/>
    <w:rsid w:val="001B6B05"/>
    <w:rsid w:val="001B6ECA"/>
    <w:rsid w:val="001B7024"/>
    <w:rsid w:val="001B71FE"/>
    <w:rsid w:val="001B7216"/>
    <w:rsid w:val="001B7BB0"/>
    <w:rsid w:val="001B7BE0"/>
    <w:rsid w:val="001B7F9E"/>
    <w:rsid w:val="001C0284"/>
    <w:rsid w:val="001C07A1"/>
    <w:rsid w:val="001C0B00"/>
    <w:rsid w:val="001C0E96"/>
    <w:rsid w:val="001C10A3"/>
    <w:rsid w:val="001C12EF"/>
    <w:rsid w:val="001C1413"/>
    <w:rsid w:val="001C14FC"/>
    <w:rsid w:val="001C15EE"/>
    <w:rsid w:val="001C17A8"/>
    <w:rsid w:val="001C18B0"/>
    <w:rsid w:val="001C1953"/>
    <w:rsid w:val="001C1ED9"/>
    <w:rsid w:val="001C26A2"/>
    <w:rsid w:val="001C2BA2"/>
    <w:rsid w:val="001C2DFA"/>
    <w:rsid w:val="001C3070"/>
    <w:rsid w:val="001C30DA"/>
    <w:rsid w:val="001C30FD"/>
    <w:rsid w:val="001C3486"/>
    <w:rsid w:val="001C3629"/>
    <w:rsid w:val="001C385D"/>
    <w:rsid w:val="001C3CB4"/>
    <w:rsid w:val="001C4136"/>
    <w:rsid w:val="001C42DA"/>
    <w:rsid w:val="001C448A"/>
    <w:rsid w:val="001C4737"/>
    <w:rsid w:val="001C47A0"/>
    <w:rsid w:val="001C481D"/>
    <w:rsid w:val="001C49AD"/>
    <w:rsid w:val="001C4D18"/>
    <w:rsid w:val="001C4D8F"/>
    <w:rsid w:val="001C517F"/>
    <w:rsid w:val="001C5467"/>
    <w:rsid w:val="001C57F2"/>
    <w:rsid w:val="001C5A17"/>
    <w:rsid w:val="001C5B72"/>
    <w:rsid w:val="001C5B95"/>
    <w:rsid w:val="001C5CB4"/>
    <w:rsid w:val="001C5E76"/>
    <w:rsid w:val="001C61A3"/>
    <w:rsid w:val="001C68EE"/>
    <w:rsid w:val="001C6A0A"/>
    <w:rsid w:val="001C6D2A"/>
    <w:rsid w:val="001C6D85"/>
    <w:rsid w:val="001C751D"/>
    <w:rsid w:val="001C7836"/>
    <w:rsid w:val="001C7AB2"/>
    <w:rsid w:val="001C7D25"/>
    <w:rsid w:val="001C7DD4"/>
    <w:rsid w:val="001D02D8"/>
    <w:rsid w:val="001D0910"/>
    <w:rsid w:val="001D0E6E"/>
    <w:rsid w:val="001D10AB"/>
    <w:rsid w:val="001D12C6"/>
    <w:rsid w:val="001D1689"/>
    <w:rsid w:val="001D19A2"/>
    <w:rsid w:val="001D1B7B"/>
    <w:rsid w:val="001D1EEE"/>
    <w:rsid w:val="001D2180"/>
    <w:rsid w:val="001D23F0"/>
    <w:rsid w:val="001D28D9"/>
    <w:rsid w:val="001D2CA9"/>
    <w:rsid w:val="001D2F1B"/>
    <w:rsid w:val="001D3067"/>
    <w:rsid w:val="001D3292"/>
    <w:rsid w:val="001D3A39"/>
    <w:rsid w:val="001D3FD3"/>
    <w:rsid w:val="001D3FE1"/>
    <w:rsid w:val="001D405D"/>
    <w:rsid w:val="001D4342"/>
    <w:rsid w:val="001D4BCC"/>
    <w:rsid w:val="001D4DD1"/>
    <w:rsid w:val="001D4EB1"/>
    <w:rsid w:val="001D5032"/>
    <w:rsid w:val="001D5102"/>
    <w:rsid w:val="001D5B3A"/>
    <w:rsid w:val="001D5B4A"/>
    <w:rsid w:val="001D5F8E"/>
    <w:rsid w:val="001D6280"/>
    <w:rsid w:val="001D6926"/>
    <w:rsid w:val="001D6A4F"/>
    <w:rsid w:val="001D6CEF"/>
    <w:rsid w:val="001D6E4E"/>
    <w:rsid w:val="001D73FF"/>
    <w:rsid w:val="001D74F4"/>
    <w:rsid w:val="001D79DA"/>
    <w:rsid w:val="001D7DA6"/>
    <w:rsid w:val="001E0455"/>
    <w:rsid w:val="001E048D"/>
    <w:rsid w:val="001E09D2"/>
    <w:rsid w:val="001E0D9D"/>
    <w:rsid w:val="001E0DB6"/>
    <w:rsid w:val="001E0E24"/>
    <w:rsid w:val="001E12AA"/>
    <w:rsid w:val="001E13A8"/>
    <w:rsid w:val="001E1541"/>
    <w:rsid w:val="001E154B"/>
    <w:rsid w:val="001E1617"/>
    <w:rsid w:val="001E1D6D"/>
    <w:rsid w:val="001E2363"/>
    <w:rsid w:val="001E2879"/>
    <w:rsid w:val="001E2AAF"/>
    <w:rsid w:val="001E2BD4"/>
    <w:rsid w:val="001E3025"/>
    <w:rsid w:val="001E3370"/>
    <w:rsid w:val="001E3D79"/>
    <w:rsid w:val="001E4492"/>
    <w:rsid w:val="001E45B5"/>
    <w:rsid w:val="001E4726"/>
    <w:rsid w:val="001E47D3"/>
    <w:rsid w:val="001E4964"/>
    <w:rsid w:val="001E4BD9"/>
    <w:rsid w:val="001E5349"/>
    <w:rsid w:val="001E5AAD"/>
    <w:rsid w:val="001E5E90"/>
    <w:rsid w:val="001E5F75"/>
    <w:rsid w:val="001E6501"/>
    <w:rsid w:val="001E662C"/>
    <w:rsid w:val="001E6738"/>
    <w:rsid w:val="001E6BE9"/>
    <w:rsid w:val="001E6D2C"/>
    <w:rsid w:val="001E6EAF"/>
    <w:rsid w:val="001E6F21"/>
    <w:rsid w:val="001E70D5"/>
    <w:rsid w:val="001E7B9B"/>
    <w:rsid w:val="001E7C1C"/>
    <w:rsid w:val="001E7C31"/>
    <w:rsid w:val="001E7EFB"/>
    <w:rsid w:val="001F0244"/>
    <w:rsid w:val="001F0A46"/>
    <w:rsid w:val="001F0E61"/>
    <w:rsid w:val="001F11F4"/>
    <w:rsid w:val="001F12C3"/>
    <w:rsid w:val="001F1DCD"/>
    <w:rsid w:val="001F219F"/>
    <w:rsid w:val="001F21DC"/>
    <w:rsid w:val="001F23A2"/>
    <w:rsid w:val="001F23AA"/>
    <w:rsid w:val="001F269D"/>
    <w:rsid w:val="001F280A"/>
    <w:rsid w:val="001F2BC4"/>
    <w:rsid w:val="001F2BFD"/>
    <w:rsid w:val="001F309C"/>
    <w:rsid w:val="001F3263"/>
    <w:rsid w:val="001F357A"/>
    <w:rsid w:val="001F378A"/>
    <w:rsid w:val="001F3EA2"/>
    <w:rsid w:val="001F3F4D"/>
    <w:rsid w:val="001F46CC"/>
    <w:rsid w:val="001F4850"/>
    <w:rsid w:val="001F4A03"/>
    <w:rsid w:val="001F4A22"/>
    <w:rsid w:val="001F4B54"/>
    <w:rsid w:val="001F4C4E"/>
    <w:rsid w:val="001F4D72"/>
    <w:rsid w:val="001F4EE1"/>
    <w:rsid w:val="001F500F"/>
    <w:rsid w:val="001F54DF"/>
    <w:rsid w:val="001F56DA"/>
    <w:rsid w:val="001F589E"/>
    <w:rsid w:val="001F5C1E"/>
    <w:rsid w:val="001F6500"/>
    <w:rsid w:val="001F67E4"/>
    <w:rsid w:val="001F6F73"/>
    <w:rsid w:val="001F700C"/>
    <w:rsid w:val="001F757A"/>
    <w:rsid w:val="001F7672"/>
    <w:rsid w:val="001F7792"/>
    <w:rsid w:val="001F7867"/>
    <w:rsid w:val="001F7A4B"/>
    <w:rsid w:val="001F7CE1"/>
    <w:rsid w:val="001F7FD3"/>
    <w:rsid w:val="00200152"/>
    <w:rsid w:val="00200846"/>
    <w:rsid w:val="00200ADC"/>
    <w:rsid w:val="00200CA9"/>
    <w:rsid w:val="00200F89"/>
    <w:rsid w:val="0020108D"/>
    <w:rsid w:val="002013BA"/>
    <w:rsid w:val="002015F9"/>
    <w:rsid w:val="002017CA"/>
    <w:rsid w:val="00201A90"/>
    <w:rsid w:val="00201AC1"/>
    <w:rsid w:val="00201EFF"/>
    <w:rsid w:val="00201FC7"/>
    <w:rsid w:val="00202083"/>
    <w:rsid w:val="0020216E"/>
    <w:rsid w:val="0020228A"/>
    <w:rsid w:val="002035E2"/>
    <w:rsid w:val="00203655"/>
    <w:rsid w:val="002039B4"/>
    <w:rsid w:val="00204241"/>
    <w:rsid w:val="00204427"/>
    <w:rsid w:val="00204430"/>
    <w:rsid w:val="0020453B"/>
    <w:rsid w:val="0020471B"/>
    <w:rsid w:val="00204894"/>
    <w:rsid w:val="002048DB"/>
    <w:rsid w:val="002048EE"/>
    <w:rsid w:val="00204B2B"/>
    <w:rsid w:val="00204B54"/>
    <w:rsid w:val="0020513C"/>
    <w:rsid w:val="002058B4"/>
    <w:rsid w:val="00205F8E"/>
    <w:rsid w:val="00205FC1"/>
    <w:rsid w:val="002060A5"/>
    <w:rsid w:val="0020666A"/>
    <w:rsid w:val="002068D7"/>
    <w:rsid w:val="00206F96"/>
    <w:rsid w:val="00207149"/>
    <w:rsid w:val="00207364"/>
    <w:rsid w:val="0020760A"/>
    <w:rsid w:val="00207AF8"/>
    <w:rsid w:val="00207D1F"/>
    <w:rsid w:val="00207DEC"/>
    <w:rsid w:val="002105E2"/>
    <w:rsid w:val="00210799"/>
    <w:rsid w:val="00210D8B"/>
    <w:rsid w:val="0021108A"/>
    <w:rsid w:val="00211171"/>
    <w:rsid w:val="00211185"/>
    <w:rsid w:val="002112EA"/>
    <w:rsid w:val="002113D3"/>
    <w:rsid w:val="002116F4"/>
    <w:rsid w:val="00211B7F"/>
    <w:rsid w:val="00211C63"/>
    <w:rsid w:val="00212137"/>
    <w:rsid w:val="0021247B"/>
    <w:rsid w:val="00212596"/>
    <w:rsid w:val="002128AE"/>
    <w:rsid w:val="00212F12"/>
    <w:rsid w:val="00212F71"/>
    <w:rsid w:val="002132E8"/>
    <w:rsid w:val="002137F5"/>
    <w:rsid w:val="0021385A"/>
    <w:rsid w:val="0021398C"/>
    <w:rsid w:val="00213AD6"/>
    <w:rsid w:val="00213CE9"/>
    <w:rsid w:val="00213D44"/>
    <w:rsid w:val="00214170"/>
    <w:rsid w:val="00214A13"/>
    <w:rsid w:val="0021507F"/>
    <w:rsid w:val="002152FC"/>
    <w:rsid w:val="00215581"/>
    <w:rsid w:val="0021571B"/>
    <w:rsid w:val="002158F9"/>
    <w:rsid w:val="00215F94"/>
    <w:rsid w:val="00216220"/>
    <w:rsid w:val="002168F4"/>
    <w:rsid w:val="002169ED"/>
    <w:rsid w:val="00216BE4"/>
    <w:rsid w:val="00216C01"/>
    <w:rsid w:val="00216C72"/>
    <w:rsid w:val="00216CC2"/>
    <w:rsid w:val="002172BB"/>
    <w:rsid w:val="00217346"/>
    <w:rsid w:val="00217347"/>
    <w:rsid w:val="0021788C"/>
    <w:rsid w:val="00217C11"/>
    <w:rsid w:val="00217C7A"/>
    <w:rsid w:val="00217D1A"/>
    <w:rsid w:val="002200BE"/>
    <w:rsid w:val="00220369"/>
    <w:rsid w:val="0022067B"/>
    <w:rsid w:val="00220852"/>
    <w:rsid w:val="002208E1"/>
    <w:rsid w:val="00220968"/>
    <w:rsid w:val="00221030"/>
    <w:rsid w:val="002213A6"/>
    <w:rsid w:val="002213FD"/>
    <w:rsid w:val="00221457"/>
    <w:rsid w:val="00221512"/>
    <w:rsid w:val="00221524"/>
    <w:rsid w:val="002219C1"/>
    <w:rsid w:val="00221C5F"/>
    <w:rsid w:val="002224EF"/>
    <w:rsid w:val="00222687"/>
    <w:rsid w:val="002228DF"/>
    <w:rsid w:val="00222A0E"/>
    <w:rsid w:val="00222E5A"/>
    <w:rsid w:val="00222E9E"/>
    <w:rsid w:val="002235AF"/>
    <w:rsid w:val="00223671"/>
    <w:rsid w:val="00223A84"/>
    <w:rsid w:val="00223A8C"/>
    <w:rsid w:val="00223B18"/>
    <w:rsid w:val="00223B1F"/>
    <w:rsid w:val="00223CE7"/>
    <w:rsid w:val="002245DA"/>
    <w:rsid w:val="002249D1"/>
    <w:rsid w:val="00224F34"/>
    <w:rsid w:val="00224FE4"/>
    <w:rsid w:val="0022529A"/>
    <w:rsid w:val="00225489"/>
    <w:rsid w:val="002255A4"/>
    <w:rsid w:val="00225B2C"/>
    <w:rsid w:val="00225FCB"/>
    <w:rsid w:val="0022695B"/>
    <w:rsid w:val="00226BB0"/>
    <w:rsid w:val="00227F23"/>
    <w:rsid w:val="002305FE"/>
    <w:rsid w:val="002307D4"/>
    <w:rsid w:val="002309DE"/>
    <w:rsid w:val="00230C5A"/>
    <w:rsid w:val="00230FAA"/>
    <w:rsid w:val="00230FE8"/>
    <w:rsid w:val="00231794"/>
    <w:rsid w:val="00231BD0"/>
    <w:rsid w:val="00231C06"/>
    <w:rsid w:val="00231C75"/>
    <w:rsid w:val="00231E63"/>
    <w:rsid w:val="00232199"/>
    <w:rsid w:val="00232606"/>
    <w:rsid w:val="002326A7"/>
    <w:rsid w:val="002327FE"/>
    <w:rsid w:val="002329DD"/>
    <w:rsid w:val="00232CBA"/>
    <w:rsid w:val="00233062"/>
    <w:rsid w:val="002335DC"/>
    <w:rsid w:val="00233649"/>
    <w:rsid w:val="00233B10"/>
    <w:rsid w:val="00233EE4"/>
    <w:rsid w:val="00234543"/>
    <w:rsid w:val="002349E5"/>
    <w:rsid w:val="0023507B"/>
    <w:rsid w:val="00235203"/>
    <w:rsid w:val="002359C6"/>
    <w:rsid w:val="00235C0C"/>
    <w:rsid w:val="00235C88"/>
    <w:rsid w:val="00235F05"/>
    <w:rsid w:val="00235F97"/>
    <w:rsid w:val="00236071"/>
    <w:rsid w:val="0023609B"/>
    <w:rsid w:val="002363E4"/>
    <w:rsid w:val="00236B33"/>
    <w:rsid w:val="0023733D"/>
    <w:rsid w:val="002379E5"/>
    <w:rsid w:val="00237BCA"/>
    <w:rsid w:val="00240243"/>
    <w:rsid w:val="002402FD"/>
    <w:rsid w:val="00240370"/>
    <w:rsid w:val="002403AD"/>
    <w:rsid w:val="0024052B"/>
    <w:rsid w:val="002407EC"/>
    <w:rsid w:val="00240904"/>
    <w:rsid w:val="00240E6D"/>
    <w:rsid w:val="002415E4"/>
    <w:rsid w:val="00241BCC"/>
    <w:rsid w:val="00241CA2"/>
    <w:rsid w:val="002420FD"/>
    <w:rsid w:val="0024276B"/>
    <w:rsid w:val="0024287C"/>
    <w:rsid w:val="00242A02"/>
    <w:rsid w:val="00242B5B"/>
    <w:rsid w:val="00242B84"/>
    <w:rsid w:val="00242E2B"/>
    <w:rsid w:val="0024319B"/>
    <w:rsid w:val="002434BC"/>
    <w:rsid w:val="00243ABB"/>
    <w:rsid w:val="0024465E"/>
    <w:rsid w:val="00244A67"/>
    <w:rsid w:val="00245142"/>
    <w:rsid w:val="00245379"/>
    <w:rsid w:val="002458AB"/>
    <w:rsid w:val="00245E0B"/>
    <w:rsid w:val="00245F62"/>
    <w:rsid w:val="0024600E"/>
    <w:rsid w:val="0024699F"/>
    <w:rsid w:val="002469FC"/>
    <w:rsid w:val="00246A62"/>
    <w:rsid w:val="00246C3E"/>
    <w:rsid w:val="00246E0B"/>
    <w:rsid w:val="00246E1F"/>
    <w:rsid w:val="002471D2"/>
    <w:rsid w:val="002471F4"/>
    <w:rsid w:val="002472D9"/>
    <w:rsid w:val="002475C5"/>
    <w:rsid w:val="002477F8"/>
    <w:rsid w:val="00247A31"/>
    <w:rsid w:val="00247C08"/>
    <w:rsid w:val="00247E8E"/>
    <w:rsid w:val="00247F1F"/>
    <w:rsid w:val="002500FF"/>
    <w:rsid w:val="0025043E"/>
    <w:rsid w:val="00250697"/>
    <w:rsid w:val="0025086E"/>
    <w:rsid w:val="00251228"/>
    <w:rsid w:val="00251598"/>
    <w:rsid w:val="00251A2A"/>
    <w:rsid w:val="00251A81"/>
    <w:rsid w:val="00251AF4"/>
    <w:rsid w:val="00251D8D"/>
    <w:rsid w:val="002524F7"/>
    <w:rsid w:val="002525FC"/>
    <w:rsid w:val="002527AF"/>
    <w:rsid w:val="00252A7F"/>
    <w:rsid w:val="00252DE7"/>
    <w:rsid w:val="00252E66"/>
    <w:rsid w:val="002535CA"/>
    <w:rsid w:val="00254030"/>
    <w:rsid w:val="002540FB"/>
    <w:rsid w:val="0025411C"/>
    <w:rsid w:val="00254210"/>
    <w:rsid w:val="0025433A"/>
    <w:rsid w:val="002543B3"/>
    <w:rsid w:val="00254A6D"/>
    <w:rsid w:val="00254DF6"/>
    <w:rsid w:val="00254E29"/>
    <w:rsid w:val="0025503E"/>
    <w:rsid w:val="00255374"/>
    <w:rsid w:val="002554BE"/>
    <w:rsid w:val="002554E0"/>
    <w:rsid w:val="00255E1C"/>
    <w:rsid w:val="00255F13"/>
    <w:rsid w:val="00255FFE"/>
    <w:rsid w:val="00256622"/>
    <w:rsid w:val="002568CE"/>
    <w:rsid w:val="00256A16"/>
    <w:rsid w:val="00256E8D"/>
    <w:rsid w:val="00257031"/>
    <w:rsid w:val="00257064"/>
    <w:rsid w:val="002574DB"/>
    <w:rsid w:val="002578DA"/>
    <w:rsid w:val="00260078"/>
    <w:rsid w:val="00260163"/>
    <w:rsid w:val="002603C0"/>
    <w:rsid w:val="00260516"/>
    <w:rsid w:val="00260528"/>
    <w:rsid w:val="002609BE"/>
    <w:rsid w:val="002613E8"/>
    <w:rsid w:val="00261651"/>
    <w:rsid w:val="0026186B"/>
    <w:rsid w:val="00261A40"/>
    <w:rsid w:val="00261F83"/>
    <w:rsid w:val="002621D8"/>
    <w:rsid w:val="002627EA"/>
    <w:rsid w:val="00262A99"/>
    <w:rsid w:val="00262CB0"/>
    <w:rsid w:val="00262EB6"/>
    <w:rsid w:val="00262F0A"/>
    <w:rsid w:val="00263196"/>
    <w:rsid w:val="002636B0"/>
    <w:rsid w:val="00263BAC"/>
    <w:rsid w:val="00263D2E"/>
    <w:rsid w:val="00264235"/>
    <w:rsid w:val="0026423A"/>
    <w:rsid w:val="00264268"/>
    <w:rsid w:val="002645C1"/>
    <w:rsid w:val="002646EF"/>
    <w:rsid w:val="00264E48"/>
    <w:rsid w:val="00264FC9"/>
    <w:rsid w:val="00265389"/>
    <w:rsid w:val="0026556D"/>
    <w:rsid w:val="00265802"/>
    <w:rsid w:val="0026595B"/>
    <w:rsid w:val="00265BCA"/>
    <w:rsid w:val="0026616A"/>
    <w:rsid w:val="002662FD"/>
    <w:rsid w:val="00266BA9"/>
    <w:rsid w:val="0026703E"/>
    <w:rsid w:val="002674E6"/>
    <w:rsid w:val="00267584"/>
    <w:rsid w:val="00267587"/>
    <w:rsid w:val="0026779A"/>
    <w:rsid w:val="002679CB"/>
    <w:rsid w:val="00267BEF"/>
    <w:rsid w:val="002700CA"/>
    <w:rsid w:val="00270383"/>
    <w:rsid w:val="00270487"/>
    <w:rsid w:val="0027060C"/>
    <w:rsid w:val="002708EE"/>
    <w:rsid w:val="00270A61"/>
    <w:rsid w:val="00270C2D"/>
    <w:rsid w:val="00270D02"/>
    <w:rsid w:val="0027195B"/>
    <w:rsid w:val="00271E80"/>
    <w:rsid w:val="00271ECF"/>
    <w:rsid w:val="00272236"/>
    <w:rsid w:val="00272A37"/>
    <w:rsid w:val="00272CB1"/>
    <w:rsid w:val="00273B48"/>
    <w:rsid w:val="00273CBC"/>
    <w:rsid w:val="00274286"/>
    <w:rsid w:val="0027435C"/>
    <w:rsid w:val="0027438C"/>
    <w:rsid w:val="0027456A"/>
    <w:rsid w:val="002745C3"/>
    <w:rsid w:val="002747B7"/>
    <w:rsid w:val="002748AD"/>
    <w:rsid w:val="00274E2C"/>
    <w:rsid w:val="00274E36"/>
    <w:rsid w:val="00274E9F"/>
    <w:rsid w:val="00275415"/>
    <w:rsid w:val="00275707"/>
    <w:rsid w:val="00275783"/>
    <w:rsid w:val="00275870"/>
    <w:rsid w:val="0027587D"/>
    <w:rsid w:val="00275ED1"/>
    <w:rsid w:val="00276474"/>
    <w:rsid w:val="002767DE"/>
    <w:rsid w:val="00276CAB"/>
    <w:rsid w:val="00276DB2"/>
    <w:rsid w:val="00276EDB"/>
    <w:rsid w:val="00276FAC"/>
    <w:rsid w:val="0027753E"/>
    <w:rsid w:val="002777BE"/>
    <w:rsid w:val="00277A1C"/>
    <w:rsid w:val="00277BF6"/>
    <w:rsid w:val="00277E54"/>
    <w:rsid w:val="002801FD"/>
    <w:rsid w:val="002803AB"/>
    <w:rsid w:val="002809A8"/>
    <w:rsid w:val="00280CDE"/>
    <w:rsid w:val="00280E8B"/>
    <w:rsid w:val="0028129C"/>
    <w:rsid w:val="0028153F"/>
    <w:rsid w:val="002817B2"/>
    <w:rsid w:val="00281BB2"/>
    <w:rsid w:val="00281BDF"/>
    <w:rsid w:val="00281E55"/>
    <w:rsid w:val="00281F0D"/>
    <w:rsid w:val="00282014"/>
    <w:rsid w:val="00282043"/>
    <w:rsid w:val="00282113"/>
    <w:rsid w:val="00282218"/>
    <w:rsid w:val="00282299"/>
    <w:rsid w:val="00282305"/>
    <w:rsid w:val="00282318"/>
    <w:rsid w:val="00282AE5"/>
    <w:rsid w:val="00282CD9"/>
    <w:rsid w:val="00283394"/>
    <w:rsid w:val="00283932"/>
    <w:rsid w:val="00283959"/>
    <w:rsid w:val="00283CA0"/>
    <w:rsid w:val="00283EEB"/>
    <w:rsid w:val="002840D6"/>
    <w:rsid w:val="002843DE"/>
    <w:rsid w:val="00284562"/>
    <w:rsid w:val="00284B3E"/>
    <w:rsid w:val="00284B97"/>
    <w:rsid w:val="00284E41"/>
    <w:rsid w:val="00284E79"/>
    <w:rsid w:val="0028503C"/>
    <w:rsid w:val="002850DD"/>
    <w:rsid w:val="002851A9"/>
    <w:rsid w:val="002853DF"/>
    <w:rsid w:val="00285758"/>
    <w:rsid w:val="0028584D"/>
    <w:rsid w:val="00285ABE"/>
    <w:rsid w:val="00285CDE"/>
    <w:rsid w:val="00286A35"/>
    <w:rsid w:val="0028722C"/>
    <w:rsid w:val="0028763A"/>
    <w:rsid w:val="00287984"/>
    <w:rsid w:val="00287C7F"/>
    <w:rsid w:val="00287CE2"/>
    <w:rsid w:val="00287ED1"/>
    <w:rsid w:val="00290056"/>
    <w:rsid w:val="002902B1"/>
    <w:rsid w:val="002903AF"/>
    <w:rsid w:val="002908A6"/>
    <w:rsid w:val="00290900"/>
    <w:rsid w:val="00290A0C"/>
    <w:rsid w:val="00290BD6"/>
    <w:rsid w:val="00290C70"/>
    <w:rsid w:val="00290EB6"/>
    <w:rsid w:val="00290F9B"/>
    <w:rsid w:val="00290FDE"/>
    <w:rsid w:val="0029110A"/>
    <w:rsid w:val="00291178"/>
    <w:rsid w:val="002913B3"/>
    <w:rsid w:val="00291AF6"/>
    <w:rsid w:val="00291E51"/>
    <w:rsid w:val="00292062"/>
    <w:rsid w:val="00292CD6"/>
    <w:rsid w:val="00293673"/>
    <w:rsid w:val="002938EF"/>
    <w:rsid w:val="002939E2"/>
    <w:rsid w:val="00293ECB"/>
    <w:rsid w:val="002943FB"/>
    <w:rsid w:val="002946E7"/>
    <w:rsid w:val="00294758"/>
    <w:rsid w:val="00294D41"/>
    <w:rsid w:val="00294F63"/>
    <w:rsid w:val="00294F8F"/>
    <w:rsid w:val="00295267"/>
    <w:rsid w:val="002952D2"/>
    <w:rsid w:val="002959A5"/>
    <w:rsid w:val="00295DFC"/>
    <w:rsid w:val="002961C8"/>
    <w:rsid w:val="0029628F"/>
    <w:rsid w:val="002964EE"/>
    <w:rsid w:val="002966FD"/>
    <w:rsid w:val="00296E62"/>
    <w:rsid w:val="00297059"/>
    <w:rsid w:val="00297247"/>
    <w:rsid w:val="00297790"/>
    <w:rsid w:val="00297AA6"/>
    <w:rsid w:val="00297E93"/>
    <w:rsid w:val="002A125B"/>
    <w:rsid w:val="002A1263"/>
    <w:rsid w:val="002A1417"/>
    <w:rsid w:val="002A1704"/>
    <w:rsid w:val="002A18ED"/>
    <w:rsid w:val="002A1A7B"/>
    <w:rsid w:val="002A1AE1"/>
    <w:rsid w:val="002A1AFA"/>
    <w:rsid w:val="002A1C18"/>
    <w:rsid w:val="002A1CA9"/>
    <w:rsid w:val="002A2636"/>
    <w:rsid w:val="002A27EA"/>
    <w:rsid w:val="002A2D92"/>
    <w:rsid w:val="002A2E6E"/>
    <w:rsid w:val="002A31ED"/>
    <w:rsid w:val="002A33C8"/>
    <w:rsid w:val="002A397F"/>
    <w:rsid w:val="002A3E39"/>
    <w:rsid w:val="002A461D"/>
    <w:rsid w:val="002A478D"/>
    <w:rsid w:val="002A479D"/>
    <w:rsid w:val="002A49CB"/>
    <w:rsid w:val="002A4A93"/>
    <w:rsid w:val="002A4BB9"/>
    <w:rsid w:val="002A4FBE"/>
    <w:rsid w:val="002A5140"/>
    <w:rsid w:val="002A5205"/>
    <w:rsid w:val="002A5271"/>
    <w:rsid w:val="002A528F"/>
    <w:rsid w:val="002A52E5"/>
    <w:rsid w:val="002A54D1"/>
    <w:rsid w:val="002A57E2"/>
    <w:rsid w:val="002A5804"/>
    <w:rsid w:val="002A593F"/>
    <w:rsid w:val="002A5E5F"/>
    <w:rsid w:val="002A644A"/>
    <w:rsid w:val="002A65DB"/>
    <w:rsid w:val="002A691F"/>
    <w:rsid w:val="002A6EA0"/>
    <w:rsid w:val="002A7033"/>
    <w:rsid w:val="002A7299"/>
    <w:rsid w:val="002A7324"/>
    <w:rsid w:val="002A75C4"/>
    <w:rsid w:val="002A76CC"/>
    <w:rsid w:val="002A7874"/>
    <w:rsid w:val="002A7C96"/>
    <w:rsid w:val="002A7C9F"/>
    <w:rsid w:val="002A7E53"/>
    <w:rsid w:val="002B0D26"/>
    <w:rsid w:val="002B0E9A"/>
    <w:rsid w:val="002B16EA"/>
    <w:rsid w:val="002B20F1"/>
    <w:rsid w:val="002B25D1"/>
    <w:rsid w:val="002B33E1"/>
    <w:rsid w:val="002B3804"/>
    <w:rsid w:val="002B3DF7"/>
    <w:rsid w:val="002B3E42"/>
    <w:rsid w:val="002B3E69"/>
    <w:rsid w:val="002B40BD"/>
    <w:rsid w:val="002B43E7"/>
    <w:rsid w:val="002B4BEE"/>
    <w:rsid w:val="002B4D04"/>
    <w:rsid w:val="002B4F0E"/>
    <w:rsid w:val="002B5292"/>
    <w:rsid w:val="002B52A0"/>
    <w:rsid w:val="002B5352"/>
    <w:rsid w:val="002B53DA"/>
    <w:rsid w:val="002B53E6"/>
    <w:rsid w:val="002B589F"/>
    <w:rsid w:val="002B58F7"/>
    <w:rsid w:val="002B5A4F"/>
    <w:rsid w:val="002B5EF7"/>
    <w:rsid w:val="002B6446"/>
    <w:rsid w:val="002B67D7"/>
    <w:rsid w:val="002B6943"/>
    <w:rsid w:val="002B6BBD"/>
    <w:rsid w:val="002B6F55"/>
    <w:rsid w:val="002B707F"/>
    <w:rsid w:val="002B755B"/>
    <w:rsid w:val="002B7612"/>
    <w:rsid w:val="002B7710"/>
    <w:rsid w:val="002B7B1E"/>
    <w:rsid w:val="002B7C0D"/>
    <w:rsid w:val="002B7D61"/>
    <w:rsid w:val="002B7F1C"/>
    <w:rsid w:val="002B7FB4"/>
    <w:rsid w:val="002B7FC8"/>
    <w:rsid w:val="002C0404"/>
    <w:rsid w:val="002C06F8"/>
    <w:rsid w:val="002C0AAF"/>
    <w:rsid w:val="002C0CBC"/>
    <w:rsid w:val="002C0DD2"/>
    <w:rsid w:val="002C0F56"/>
    <w:rsid w:val="002C1194"/>
    <w:rsid w:val="002C126C"/>
    <w:rsid w:val="002C149F"/>
    <w:rsid w:val="002C14CC"/>
    <w:rsid w:val="002C15E2"/>
    <w:rsid w:val="002C1A89"/>
    <w:rsid w:val="002C1C3C"/>
    <w:rsid w:val="002C1DD5"/>
    <w:rsid w:val="002C21C2"/>
    <w:rsid w:val="002C2244"/>
    <w:rsid w:val="002C2566"/>
    <w:rsid w:val="002C2CD4"/>
    <w:rsid w:val="002C2FFB"/>
    <w:rsid w:val="002C32DB"/>
    <w:rsid w:val="002C350E"/>
    <w:rsid w:val="002C3AC9"/>
    <w:rsid w:val="002C3CD1"/>
    <w:rsid w:val="002C3F5C"/>
    <w:rsid w:val="002C4409"/>
    <w:rsid w:val="002C48C5"/>
    <w:rsid w:val="002C4B23"/>
    <w:rsid w:val="002C5144"/>
    <w:rsid w:val="002C52BD"/>
    <w:rsid w:val="002C5A22"/>
    <w:rsid w:val="002C668A"/>
    <w:rsid w:val="002C682A"/>
    <w:rsid w:val="002C6C98"/>
    <w:rsid w:val="002C6E44"/>
    <w:rsid w:val="002C76D8"/>
    <w:rsid w:val="002C7857"/>
    <w:rsid w:val="002D062B"/>
    <w:rsid w:val="002D07FD"/>
    <w:rsid w:val="002D0DB0"/>
    <w:rsid w:val="002D113E"/>
    <w:rsid w:val="002D1F32"/>
    <w:rsid w:val="002D2B82"/>
    <w:rsid w:val="002D2BD7"/>
    <w:rsid w:val="002D3005"/>
    <w:rsid w:val="002D3007"/>
    <w:rsid w:val="002D31E4"/>
    <w:rsid w:val="002D3263"/>
    <w:rsid w:val="002D336F"/>
    <w:rsid w:val="002D3DF7"/>
    <w:rsid w:val="002D4216"/>
    <w:rsid w:val="002D452C"/>
    <w:rsid w:val="002D4572"/>
    <w:rsid w:val="002D480C"/>
    <w:rsid w:val="002D48FD"/>
    <w:rsid w:val="002D4BA6"/>
    <w:rsid w:val="002D4F6B"/>
    <w:rsid w:val="002D52DA"/>
    <w:rsid w:val="002D544A"/>
    <w:rsid w:val="002D545B"/>
    <w:rsid w:val="002D5697"/>
    <w:rsid w:val="002D594A"/>
    <w:rsid w:val="002D5B91"/>
    <w:rsid w:val="002D5D99"/>
    <w:rsid w:val="002D5E91"/>
    <w:rsid w:val="002D5F3D"/>
    <w:rsid w:val="002D68F4"/>
    <w:rsid w:val="002D6967"/>
    <w:rsid w:val="002D7123"/>
    <w:rsid w:val="002D74A2"/>
    <w:rsid w:val="002D7502"/>
    <w:rsid w:val="002D7D5B"/>
    <w:rsid w:val="002D7F0C"/>
    <w:rsid w:val="002E0AA8"/>
    <w:rsid w:val="002E1960"/>
    <w:rsid w:val="002E19FE"/>
    <w:rsid w:val="002E25E6"/>
    <w:rsid w:val="002E2645"/>
    <w:rsid w:val="002E276A"/>
    <w:rsid w:val="002E28B8"/>
    <w:rsid w:val="002E2ABD"/>
    <w:rsid w:val="002E2EB9"/>
    <w:rsid w:val="002E3799"/>
    <w:rsid w:val="002E3A04"/>
    <w:rsid w:val="002E3C90"/>
    <w:rsid w:val="002E4044"/>
    <w:rsid w:val="002E4064"/>
    <w:rsid w:val="002E40DE"/>
    <w:rsid w:val="002E4575"/>
    <w:rsid w:val="002E4682"/>
    <w:rsid w:val="002E498C"/>
    <w:rsid w:val="002E49A4"/>
    <w:rsid w:val="002E4B72"/>
    <w:rsid w:val="002E4B7E"/>
    <w:rsid w:val="002E4D3B"/>
    <w:rsid w:val="002E557C"/>
    <w:rsid w:val="002E5934"/>
    <w:rsid w:val="002E5A83"/>
    <w:rsid w:val="002E5D85"/>
    <w:rsid w:val="002E6039"/>
    <w:rsid w:val="002E6055"/>
    <w:rsid w:val="002E630D"/>
    <w:rsid w:val="002E6696"/>
    <w:rsid w:val="002E67BA"/>
    <w:rsid w:val="002E69DF"/>
    <w:rsid w:val="002E6B33"/>
    <w:rsid w:val="002E6FB1"/>
    <w:rsid w:val="002E736D"/>
    <w:rsid w:val="002E7552"/>
    <w:rsid w:val="002E7685"/>
    <w:rsid w:val="002E7D04"/>
    <w:rsid w:val="002E7D0A"/>
    <w:rsid w:val="002F00D1"/>
    <w:rsid w:val="002F00F8"/>
    <w:rsid w:val="002F0167"/>
    <w:rsid w:val="002F02DF"/>
    <w:rsid w:val="002F05B2"/>
    <w:rsid w:val="002F0758"/>
    <w:rsid w:val="002F0DE8"/>
    <w:rsid w:val="002F0E82"/>
    <w:rsid w:val="002F0F03"/>
    <w:rsid w:val="002F0FCC"/>
    <w:rsid w:val="002F1153"/>
    <w:rsid w:val="002F186E"/>
    <w:rsid w:val="002F1A70"/>
    <w:rsid w:val="002F1B43"/>
    <w:rsid w:val="002F1C9A"/>
    <w:rsid w:val="002F1DD9"/>
    <w:rsid w:val="002F20C4"/>
    <w:rsid w:val="002F2150"/>
    <w:rsid w:val="002F22F6"/>
    <w:rsid w:val="002F2530"/>
    <w:rsid w:val="002F2721"/>
    <w:rsid w:val="002F27AC"/>
    <w:rsid w:val="002F27EC"/>
    <w:rsid w:val="002F28F1"/>
    <w:rsid w:val="002F2A0E"/>
    <w:rsid w:val="002F2C6C"/>
    <w:rsid w:val="002F3553"/>
    <w:rsid w:val="002F3807"/>
    <w:rsid w:val="002F3E49"/>
    <w:rsid w:val="002F4EBB"/>
    <w:rsid w:val="002F51BC"/>
    <w:rsid w:val="002F5454"/>
    <w:rsid w:val="002F5486"/>
    <w:rsid w:val="002F5D19"/>
    <w:rsid w:val="002F62C4"/>
    <w:rsid w:val="002F6768"/>
    <w:rsid w:val="002F6B24"/>
    <w:rsid w:val="002F6DCB"/>
    <w:rsid w:val="002F6DF3"/>
    <w:rsid w:val="002F733C"/>
    <w:rsid w:val="002F75BC"/>
    <w:rsid w:val="002F7D6C"/>
    <w:rsid w:val="002F7E9A"/>
    <w:rsid w:val="00300052"/>
    <w:rsid w:val="00300785"/>
    <w:rsid w:val="0030095A"/>
    <w:rsid w:val="00300C26"/>
    <w:rsid w:val="003015CE"/>
    <w:rsid w:val="00301688"/>
    <w:rsid w:val="0030231D"/>
    <w:rsid w:val="00302834"/>
    <w:rsid w:val="00302991"/>
    <w:rsid w:val="00302C37"/>
    <w:rsid w:val="00302C50"/>
    <w:rsid w:val="00302E65"/>
    <w:rsid w:val="00302F5E"/>
    <w:rsid w:val="003036A1"/>
    <w:rsid w:val="003036C1"/>
    <w:rsid w:val="00303EB8"/>
    <w:rsid w:val="003041DF"/>
    <w:rsid w:val="003046EF"/>
    <w:rsid w:val="003047D6"/>
    <w:rsid w:val="00304AF0"/>
    <w:rsid w:val="00304FC6"/>
    <w:rsid w:val="00305249"/>
    <w:rsid w:val="003052E3"/>
    <w:rsid w:val="00305390"/>
    <w:rsid w:val="003057E3"/>
    <w:rsid w:val="00305C43"/>
    <w:rsid w:val="00305F28"/>
    <w:rsid w:val="00306059"/>
    <w:rsid w:val="00306732"/>
    <w:rsid w:val="00306964"/>
    <w:rsid w:val="00306A7C"/>
    <w:rsid w:val="00306C78"/>
    <w:rsid w:val="00306E70"/>
    <w:rsid w:val="003076B0"/>
    <w:rsid w:val="00307714"/>
    <w:rsid w:val="00307973"/>
    <w:rsid w:val="00307A1D"/>
    <w:rsid w:val="00307D43"/>
    <w:rsid w:val="00307F56"/>
    <w:rsid w:val="00310897"/>
    <w:rsid w:val="00310AAE"/>
    <w:rsid w:val="00310FD1"/>
    <w:rsid w:val="00311111"/>
    <w:rsid w:val="003112AB"/>
    <w:rsid w:val="0031132A"/>
    <w:rsid w:val="0031192C"/>
    <w:rsid w:val="0031198F"/>
    <w:rsid w:val="00311BB7"/>
    <w:rsid w:val="00311C5B"/>
    <w:rsid w:val="00311E26"/>
    <w:rsid w:val="00312523"/>
    <w:rsid w:val="00313492"/>
    <w:rsid w:val="0031366F"/>
    <w:rsid w:val="00313ED6"/>
    <w:rsid w:val="00314289"/>
    <w:rsid w:val="00314A0B"/>
    <w:rsid w:val="00314C54"/>
    <w:rsid w:val="00314E85"/>
    <w:rsid w:val="0031528E"/>
    <w:rsid w:val="00315567"/>
    <w:rsid w:val="00315871"/>
    <w:rsid w:val="003158EF"/>
    <w:rsid w:val="0031599D"/>
    <w:rsid w:val="00315C20"/>
    <w:rsid w:val="003164F8"/>
    <w:rsid w:val="003165AE"/>
    <w:rsid w:val="00316633"/>
    <w:rsid w:val="003168FD"/>
    <w:rsid w:val="00316C47"/>
    <w:rsid w:val="00316CC9"/>
    <w:rsid w:val="003174CA"/>
    <w:rsid w:val="00317629"/>
    <w:rsid w:val="00317F28"/>
    <w:rsid w:val="00320018"/>
    <w:rsid w:val="00320605"/>
    <w:rsid w:val="0032088D"/>
    <w:rsid w:val="00320ED3"/>
    <w:rsid w:val="00320EF7"/>
    <w:rsid w:val="00320FFD"/>
    <w:rsid w:val="003211CF"/>
    <w:rsid w:val="00321791"/>
    <w:rsid w:val="003218D5"/>
    <w:rsid w:val="00321EFF"/>
    <w:rsid w:val="0032205D"/>
    <w:rsid w:val="00322076"/>
    <w:rsid w:val="0032292D"/>
    <w:rsid w:val="00322B11"/>
    <w:rsid w:val="00322CB6"/>
    <w:rsid w:val="003234D8"/>
    <w:rsid w:val="003235DA"/>
    <w:rsid w:val="0032367D"/>
    <w:rsid w:val="003236CC"/>
    <w:rsid w:val="00323AB3"/>
    <w:rsid w:val="00324167"/>
    <w:rsid w:val="003247CD"/>
    <w:rsid w:val="00324827"/>
    <w:rsid w:val="0032495E"/>
    <w:rsid w:val="00324B9F"/>
    <w:rsid w:val="003252B3"/>
    <w:rsid w:val="00325784"/>
    <w:rsid w:val="00325EF1"/>
    <w:rsid w:val="0032621E"/>
    <w:rsid w:val="0032631C"/>
    <w:rsid w:val="003263C8"/>
    <w:rsid w:val="0032679A"/>
    <w:rsid w:val="00326AFF"/>
    <w:rsid w:val="00326E17"/>
    <w:rsid w:val="00327570"/>
    <w:rsid w:val="00327B66"/>
    <w:rsid w:val="003305E3"/>
    <w:rsid w:val="003306CF"/>
    <w:rsid w:val="00330C1A"/>
    <w:rsid w:val="00330C87"/>
    <w:rsid w:val="00330F3E"/>
    <w:rsid w:val="003311C2"/>
    <w:rsid w:val="00331953"/>
    <w:rsid w:val="00332EF2"/>
    <w:rsid w:val="00333047"/>
    <w:rsid w:val="00333195"/>
    <w:rsid w:val="0033325C"/>
    <w:rsid w:val="0033383F"/>
    <w:rsid w:val="00333B1F"/>
    <w:rsid w:val="00333F29"/>
    <w:rsid w:val="00334197"/>
    <w:rsid w:val="003341A0"/>
    <w:rsid w:val="00334339"/>
    <w:rsid w:val="003344CE"/>
    <w:rsid w:val="0033458F"/>
    <w:rsid w:val="0033463B"/>
    <w:rsid w:val="003348CB"/>
    <w:rsid w:val="00334B2D"/>
    <w:rsid w:val="00334C45"/>
    <w:rsid w:val="003351C3"/>
    <w:rsid w:val="00335348"/>
    <w:rsid w:val="0033584A"/>
    <w:rsid w:val="00335875"/>
    <w:rsid w:val="00335B9F"/>
    <w:rsid w:val="00336018"/>
    <w:rsid w:val="00336218"/>
    <w:rsid w:val="003362C6"/>
    <w:rsid w:val="00336631"/>
    <w:rsid w:val="003368E4"/>
    <w:rsid w:val="00336B05"/>
    <w:rsid w:val="00336C7A"/>
    <w:rsid w:val="00336FCD"/>
    <w:rsid w:val="0033719F"/>
    <w:rsid w:val="003372E6"/>
    <w:rsid w:val="00337650"/>
    <w:rsid w:val="00337906"/>
    <w:rsid w:val="003400A6"/>
    <w:rsid w:val="0034017B"/>
    <w:rsid w:val="00340221"/>
    <w:rsid w:val="003406AC"/>
    <w:rsid w:val="0034121E"/>
    <w:rsid w:val="003412BE"/>
    <w:rsid w:val="00341BFE"/>
    <w:rsid w:val="0034202E"/>
    <w:rsid w:val="00342A3E"/>
    <w:rsid w:val="00342ACA"/>
    <w:rsid w:val="00342B4E"/>
    <w:rsid w:val="00342B57"/>
    <w:rsid w:val="00343103"/>
    <w:rsid w:val="0034331E"/>
    <w:rsid w:val="0034336C"/>
    <w:rsid w:val="0034343D"/>
    <w:rsid w:val="00343757"/>
    <w:rsid w:val="00343E90"/>
    <w:rsid w:val="00343FDD"/>
    <w:rsid w:val="0034448F"/>
    <w:rsid w:val="0034467D"/>
    <w:rsid w:val="0034499A"/>
    <w:rsid w:val="00344B82"/>
    <w:rsid w:val="00344E9A"/>
    <w:rsid w:val="00344FB6"/>
    <w:rsid w:val="0034565B"/>
    <w:rsid w:val="00345C59"/>
    <w:rsid w:val="00345F5F"/>
    <w:rsid w:val="00346180"/>
    <w:rsid w:val="00346C15"/>
    <w:rsid w:val="00346C4E"/>
    <w:rsid w:val="00347191"/>
    <w:rsid w:val="003478D5"/>
    <w:rsid w:val="00347EC7"/>
    <w:rsid w:val="003501EC"/>
    <w:rsid w:val="003504BA"/>
    <w:rsid w:val="003507FC"/>
    <w:rsid w:val="00350FDD"/>
    <w:rsid w:val="003513FC"/>
    <w:rsid w:val="00351661"/>
    <w:rsid w:val="00351764"/>
    <w:rsid w:val="00351889"/>
    <w:rsid w:val="00351CFE"/>
    <w:rsid w:val="00351D63"/>
    <w:rsid w:val="00351DFA"/>
    <w:rsid w:val="00352B79"/>
    <w:rsid w:val="00352C80"/>
    <w:rsid w:val="00352C98"/>
    <w:rsid w:val="003530B5"/>
    <w:rsid w:val="0035457A"/>
    <w:rsid w:val="0035494B"/>
    <w:rsid w:val="00354AF0"/>
    <w:rsid w:val="00354AF1"/>
    <w:rsid w:val="00354D19"/>
    <w:rsid w:val="00355346"/>
    <w:rsid w:val="0035576D"/>
    <w:rsid w:val="0035579C"/>
    <w:rsid w:val="00355AE7"/>
    <w:rsid w:val="00355C29"/>
    <w:rsid w:val="00355CF2"/>
    <w:rsid w:val="003569B4"/>
    <w:rsid w:val="00356F3F"/>
    <w:rsid w:val="003572D8"/>
    <w:rsid w:val="00360214"/>
    <w:rsid w:val="003604B7"/>
    <w:rsid w:val="003604E2"/>
    <w:rsid w:val="0036098D"/>
    <w:rsid w:val="00360A00"/>
    <w:rsid w:val="00360DAD"/>
    <w:rsid w:val="00361686"/>
    <w:rsid w:val="003616E9"/>
    <w:rsid w:val="00361C48"/>
    <w:rsid w:val="00361F9B"/>
    <w:rsid w:val="003621D0"/>
    <w:rsid w:val="00362529"/>
    <w:rsid w:val="00362A0B"/>
    <w:rsid w:val="00362B02"/>
    <w:rsid w:val="00362B1F"/>
    <w:rsid w:val="00362F2F"/>
    <w:rsid w:val="00362F72"/>
    <w:rsid w:val="003632B3"/>
    <w:rsid w:val="00363708"/>
    <w:rsid w:val="00363AA6"/>
    <w:rsid w:val="00363C63"/>
    <w:rsid w:val="00364789"/>
    <w:rsid w:val="00364A50"/>
    <w:rsid w:val="00364AC2"/>
    <w:rsid w:val="00364B05"/>
    <w:rsid w:val="00364BCC"/>
    <w:rsid w:val="00364DF5"/>
    <w:rsid w:val="00365052"/>
    <w:rsid w:val="003652E6"/>
    <w:rsid w:val="00365309"/>
    <w:rsid w:val="00365401"/>
    <w:rsid w:val="0036547C"/>
    <w:rsid w:val="003658E5"/>
    <w:rsid w:val="00366453"/>
    <w:rsid w:val="00366619"/>
    <w:rsid w:val="00366F63"/>
    <w:rsid w:val="003679FE"/>
    <w:rsid w:val="0037062E"/>
    <w:rsid w:val="003706EE"/>
    <w:rsid w:val="00370E3D"/>
    <w:rsid w:val="00370F0A"/>
    <w:rsid w:val="00371052"/>
    <w:rsid w:val="0037113B"/>
    <w:rsid w:val="003713A7"/>
    <w:rsid w:val="00371753"/>
    <w:rsid w:val="003717F7"/>
    <w:rsid w:val="00371DE5"/>
    <w:rsid w:val="00371EFF"/>
    <w:rsid w:val="003720C1"/>
    <w:rsid w:val="0037230C"/>
    <w:rsid w:val="003726D2"/>
    <w:rsid w:val="00372922"/>
    <w:rsid w:val="00372D1B"/>
    <w:rsid w:val="00372EC5"/>
    <w:rsid w:val="00373502"/>
    <w:rsid w:val="00373B24"/>
    <w:rsid w:val="0037429B"/>
    <w:rsid w:val="0037483C"/>
    <w:rsid w:val="003750C6"/>
    <w:rsid w:val="003754CB"/>
    <w:rsid w:val="00375544"/>
    <w:rsid w:val="003756D6"/>
    <w:rsid w:val="00375DF9"/>
    <w:rsid w:val="003761BA"/>
    <w:rsid w:val="0037650D"/>
    <w:rsid w:val="00376BD2"/>
    <w:rsid w:val="00377342"/>
    <w:rsid w:val="003773F9"/>
    <w:rsid w:val="0037771A"/>
    <w:rsid w:val="00377F07"/>
    <w:rsid w:val="00380205"/>
    <w:rsid w:val="003802AE"/>
    <w:rsid w:val="00380932"/>
    <w:rsid w:val="00380B6A"/>
    <w:rsid w:val="00380F4D"/>
    <w:rsid w:val="003810CF"/>
    <w:rsid w:val="003813B2"/>
    <w:rsid w:val="00381708"/>
    <w:rsid w:val="00382072"/>
    <w:rsid w:val="0038269A"/>
    <w:rsid w:val="003827DA"/>
    <w:rsid w:val="0038292C"/>
    <w:rsid w:val="00382B48"/>
    <w:rsid w:val="00382BFF"/>
    <w:rsid w:val="00382EC1"/>
    <w:rsid w:val="00382F9B"/>
    <w:rsid w:val="00383027"/>
    <w:rsid w:val="00383388"/>
    <w:rsid w:val="0038371D"/>
    <w:rsid w:val="0038371F"/>
    <w:rsid w:val="00383AF4"/>
    <w:rsid w:val="00383B52"/>
    <w:rsid w:val="00383E44"/>
    <w:rsid w:val="00383F69"/>
    <w:rsid w:val="003842E5"/>
    <w:rsid w:val="00384611"/>
    <w:rsid w:val="003846A0"/>
    <w:rsid w:val="00384744"/>
    <w:rsid w:val="00384AA7"/>
    <w:rsid w:val="00384EF8"/>
    <w:rsid w:val="003850B2"/>
    <w:rsid w:val="003855EA"/>
    <w:rsid w:val="00385E8D"/>
    <w:rsid w:val="003879F7"/>
    <w:rsid w:val="003879F9"/>
    <w:rsid w:val="00387A6B"/>
    <w:rsid w:val="00387C30"/>
    <w:rsid w:val="00387D17"/>
    <w:rsid w:val="00390077"/>
    <w:rsid w:val="0039030B"/>
    <w:rsid w:val="003903AA"/>
    <w:rsid w:val="003903FD"/>
    <w:rsid w:val="00390B21"/>
    <w:rsid w:val="00390CC3"/>
    <w:rsid w:val="00390F79"/>
    <w:rsid w:val="0039102D"/>
    <w:rsid w:val="0039119E"/>
    <w:rsid w:val="003916C6"/>
    <w:rsid w:val="00391AF0"/>
    <w:rsid w:val="00391BB4"/>
    <w:rsid w:val="00391BFB"/>
    <w:rsid w:val="00391F9F"/>
    <w:rsid w:val="0039241A"/>
    <w:rsid w:val="00392659"/>
    <w:rsid w:val="00392E95"/>
    <w:rsid w:val="0039324B"/>
    <w:rsid w:val="0039354D"/>
    <w:rsid w:val="003939E2"/>
    <w:rsid w:val="00393A1A"/>
    <w:rsid w:val="00394103"/>
    <w:rsid w:val="003941F7"/>
    <w:rsid w:val="00394A14"/>
    <w:rsid w:val="00394EB2"/>
    <w:rsid w:val="003950E8"/>
    <w:rsid w:val="0039518A"/>
    <w:rsid w:val="00395B6C"/>
    <w:rsid w:val="00396402"/>
    <w:rsid w:val="00396639"/>
    <w:rsid w:val="00396A85"/>
    <w:rsid w:val="00396CFA"/>
    <w:rsid w:val="00396FD3"/>
    <w:rsid w:val="00397088"/>
    <w:rsid w:val="003974F8"/>
    <w:rsid w:val="00397653"/>
    <w:rsid w:val="00397661"/>
    <w:rsid w:val="00397711"/>
    <w:rsid w:val="00397752"/>
    <w:rsid w:val="00397A09"/>
    <w:rsid w:val="003A0100"/>
    <w:rsid w:val="003A0113"/>
    <w:rsid w:val="003A036F"/>
    <w:rsid w:val="003A0EE1"/>
    <w:rsid w:val="003A1100"/>
    <w:rsid w:val="003A11DB"/>
    <w:rsid w:val="003A165A"/>
    <w:rsid w:val="003A174B"/>
    <w:rsid w:val="003A1BD1"/>
    <w:rsid w:val="003A1E24"/>
    <w:rsid w:val="003A1F32"/>
    <w:rsid w:val="003A2117"/>
    <w:rsid w:val="003A2162"/>
    <w:rsid w:val="003A2569"/>
    <w:rsid w:val="003A2850"/>
    <w:rsid w:val="003A317D"/>
    <w:rsid w:val="003A32FA"/>
    <w:rsid w:val="003A3533"/>
    <w:rsid w:val="003A355E"/>
    <w:rsid w:val="003A36A6"/>
    <w:rsid w:val="003A39FD"/>
    <w:rsid w:val="003A3A24"/>
    <w:rsid w:val="003A3AD4"/>
    <w:rsid w:val="003A3B22"/>
    <w:rsid w:val="003A3C02"/>
    <w:rsid w:val="003A3F67"/>
    <w:rsid w:val="003A44E3"/>
    <w:rsid w:val="003A46BD"/>
    <w:rsid w:val="003A4CE9"/>
    <w:rsid w:val="003A52CF"/>
    <w:rsid w:val="003A52E5"/>
    <w:rsid w:val="003A58C6"/>
    <w:rsid w:val="003A5D80"/>
    <w:rsid w:val="003A5E0D"/>
    <w:rsid w:val="003A5EB0"/>
    <w:rsid w:val="003A6068"/>
    <w:rsid w:val="003A62E7"/>
    <w:rsid w:val="003A6DE0"/>
    <w:rsid w:val="003A7603"/>
    <w:rsid w:val="003A7624"/>
    <w:rsid w:val="003A7B9F"/>
    <w:rsid w:val="003A7CBF"/>
    <w:rsid w:val="003A7DDD"/>
    <w:rsid w:val="003B0243"/>
    <w:rsid w:val="003B03FC"/>
    <w:rsid w:val="003B0D7E"/>
    <w:rsid w:val="003B0F54"/>
    <w:rsid w:val="003B14B5"/>
    <w:rsid w:val="003B1B3A"/>
    <w:rsid w:val="003B1C7A"/>
    <w:rsid w:val="003B1CAC"/>
    <w:rsid w:val="003B1D89"/>
    <w:rsid w:val="003B20CD"/>
    <w:rsid w:val="003B223E"/>
    <w:rsid w:val="003B257E"/>
    <w:rsid w:val="003B2633"/>
    <w:rsid w:val="003B2A10"/>
    <w:rsid w:val="003B2DF3"/>
    <w:rsid w:val="003B31AE"/>
    <w:rsid w:val="003B35D1"/>
    <w:rsid w:val="003B3778"/>
    <w:rsid w:val="003B37CB"/>
    <w:rsid w:val="003B3C8D"/>
    <w:rsid w:val="003B3DD5"/>
    <w:rsid w:val="003B421B"/>
    <w:rsid w:val="003B42BE"/>
    <w:rsid w:val="003B4B2A"/>
    <w:rsid w:val="003B4CE5"/>
    <w:rsid w:val="003B508A"/>
    <w:rsid w:val="003B5309"/>
    <w:rsid w:val="003B5635"/>
    <w:rsid w:val="003B5755"/>
    <w:rsid w:val="003B5AB3"/>
    <w:rsid w:val="003B5C2D"/>
    <w:rsid w:val="003B5C87"/>
    <w:rsid w:val="003B619F"/>
    <w:rsid w:val="003B6213"/>
    <w:rsid w:val="003B63C0"/>
    <w:rsid w:val="003B6935"/>
    <w:rsid w:val="003B6953"/>
    <w:rsid w:val="003B6B73"/>
    <w:rsid w:val="003B6C6C"/>
    <w:rsid w:val="003B6E7E"/>
    <w:rsid w:val="003B7433"/>
    <w:rsid w:val="003B75CA"/>
    <w:rsid w:val="003B75FE"/>
    <w:rsid w:val="003B763E"/>
    <w:rsid w:val="003B7EBD"/>
    <w:rsid w:val="003C042C"/>
    <w:rsid w:val="003C050C"/>
    <w:rsid w:val="003C096E"/>
    <w:rsid w:val="003C0B7F"/>
    <w:rsid w:val="003C0F76"/>
    <w:rsid w:val="003C115F"/>
    <w:rsid w:val="003C11EA"/>
    <w:rsid w:val="003C124B"/>
    <w:rsid w:val="003C15BC"/>
    <w:rsid w:val="003C1DB3"/>
    <w:rsid w:val="003C1E29"/>
    <w:rsid w:val="003C1EE0"/>
    <w:rsid w:val="003C203E"/>
    <w:rsid w:val="003C240C"/>
    <w:rsid w:val="003C247A"/>
    <w:rsid w:val="003C260F"/>
    <w:rsid w:val="003C27E0"/>
    <w:rsid w:val="003C298E"/>
    <w:rsid w:val="003C29F5"/>
    <w:rsid w:val="003C2F6E"/>
    <w:rsid w:val="003C3931"/>
    <w:rsid w:val="003C4153"/>
    <w:rsid w:val="003C415D"/>
    <w:rsid w:val="003C44C4"/>
    <w:rsid w:val="003C44D6"/>
    <w:rsid w:val="003C4603"/>
    <w:rsid w:val="003C4AD5"/>
    <w:rsid w:val="003C4F26"/>
    <w:rsid w:val="003C50C0"/>
    <w:rsid w:val="003C50E9"/>
    <w:rsid w:val="003C55BD"/>
    <w:rsid w:val="003C5653"/>
    <w:rsid w:val="003C566F"/>
    <w:rsid w:val="003C577B"/>
    <w:rsid w:val="003C622C"/>
    <w:rsid w:val="003C64C6"/>
    <w:rsid w:val="003C66BE"/>
    <w:rsid w:val="003C6884"/>
    <w:rsid w:val="003C6A94"/>
    <w:rsid w:val="003C6CA9"/>
    <w:rsid w:val="003C7948"/>
    <w:rsid w:val="003C7953"/>
    <w:rsid w:val="003D033F"/>
    <w:rsid w:val="003D0CD9"/>
    <w:rsid w:val="003D10CD"/>
    <w:rsid w:val="003D12C2"/>
    <w:rsid w:val="003D1340"/>
    <w:rsid w:val="003D1773"/>
    <w:rsid w:val="003D1A9B"/>
    <w:rsid w:val="003D1BAD"/>
    <w:rsid w:val="003D201E"/>
    <w:rsid w:val="003D21E9"/>
    <w:rsid w:val="003D23AB"/>
    <w:rsid w:val="003D2524"/>
    <w:rsid w:val="003D27AF"/>
    <w:rsid w:val="003D28C1"/>
    <w:rsid w:val="003D29A1"/>
    <w:rsid w:val="003D2E47"/>
    <w:rsid w:val="003D3018"/>
    <w:rsid w:val="003D316D"/>
    <w:rsid w:val="003D37B0"/>
    <w:rsid w:val="003D3837"/>
    <w:rsid w:val="003D49CC"/>
    <w:rsid w:val="003D4B8F"/>
    <w:rsid w:val="003D4BAE"/>
    <w:rsid w:val="003D4D64"/>
    <w:rsid w:val="003D537D"/>
    <w:rsid w:val="003D581F"/>
    <w:rsid w:val="003D5AEF"/>
    <w:rsid w:val="003D5D63"/>
    <w:rsid w:val="003D63B1"/>
    <w:rsid w:val="003D676B"/>
    <w:rsid w:val="003D6A01"/>
    <w:rsid w:val="003D6A4D"/>
    <w:rsid w:val="003D6DA3"/>
    <w:rsid w:val="003D7157"/>
    <w:rsid w:val="003D725A"/>
    <w:rsid w:val="003D7319"/>
    <w:rsid w:val="003D73F5"/>
    <w:rsid w:val="003D7418"/>
    <w:rsid w:val="003D74EB"/>
    <w:rsid w:val="003D786A"/>
    <w:rsid w:val="003D79DB"/>
    <w:rsid w:val="003D7B13"/>
    <w:rsid w:val="003D7B33"/>
    <w:rsid w:val="003D7D81"/>
    <w:rsid w:val="003E03FB"/>
    <w:rsid w:val="003E048C"/>
    <w:rsid w:val="003E0663"/>
    <w:rsid w:val="003E07DE"/>
    <w:rsid w:val="003E0C54"/>
    <w:rsid w:val="003E0E9A"/>
    <w:rsid w:val="003E1274"/>
    <w:rsid w:val="003E19BF"/>
    <w:rsid w:val="003E1A79"/>
    <w:rsid w:val="003E1C2F"/>
    <w:rsid w:val="003E1E0D"/>
    <w:rsid w:val="003E1F86"/>
    <w:rsid w:val="003E1FB3"/>
    <w:rsid w:val="003E2160"/>
    <w:rsid w:val="003E24B1"/>
    <w:rsid w:val="003E2DDC"/>
    <w:rsid w:val="003E2E0B"/>
    <w:rsid w:val="003E4677"/>
    <w:rsid w:val="003E4BC0"/>
    <w:rsid w:val="003E4E3F"/>
    <w:rsid w:val="003E4F14"/>
    <w:rsid w:val="003E50C2"/>
    <w:rsid w:val="003E50E6"/>
    <w:rsid w:val="003E51C2"/>
    <w:rsid w:val="003E5CEC"/>
    <w:rsid w:val="003E5DC2"/>
    <w:rsid w:val="003E5E03"/>
    <w:rsid w:val="003E6090"/>
    <w:rsid w:val="003E6094"/>
    <w:rsid w:val="003E6237"/>
    <w:rsid w:val="003E64AC"/>
    <w:rsid w:val="003E6EC7"/>
    <w:rsid w:val="003E6FB9"/>
    <w:rsid w:val="003E6FE6"/>
    <w:rsid w:val="003E7004"/>
    <w:rsid w:val="003E7294"/>
    <w:rsid w:val="003E7396"/>
    <w:rsid w:val="003E7548"/>
    <w:rsid w:val="003E7635"/>
    <w:rsid w:val="003E7A67"/>
    <w:rsid w:val="003E7B14"/>
    <w:rsid w:val="003E7B5B"/>
    <w:rsid w:val="003E7C36"/>
    <w:rsid w:val="003E7C7E"/>
    <w:rsid w:val="003E7D04"/>
    <w:rsid w:val="003E7D51"/>
    <w:rsid w:val="003F055B"/>
    <w:rsid w:val="003F0684"/>
    <w:rsid w:val="003F0984"/>
    <w:rsid w:val="003F1270"/>
    <w:rsid w:val="003F180A"/>
    <w:rsid w:val="003F1D6C"/>
    <w:rsid w:val="003F1D79"/>
    <w:rsid w:val="003F2041"/>
    <w:rsid w:val="003F20CC"/>
    <w:rsid w:val="003F2F70"/>
    <w:rsid w:val="003F2FA5"/>
    <w:rsid w:val="003F32F0"/>
    <w:rsid w:val="003F34B4"/>
    <w:rsid w:val="003F36A8"/>
    <w:rsid w:val="003F38B9"/>
    <w:rsid w:val="003F3DD7"/>
    <w:rsid w:val="003F44CF"/>
    <w:rsid w:val="003F477A"/>
    <w:rsid w:val="003F4999"/>
    <w:rsid w:val="003F4B58"/>
    <w:rsid w:val="003F4B5C"/>
    <w:rsid w:val="003F4E10"/>
    <w:rsid w:val="003F4FB0"/>
    <w:rsid w:val="003F5018"/>
    <w:rsid w:val="003F5019"/>
    <w:rsid w:val="003F528B"/>
    <w:rsid w:val="003F5308"/>
    <w:rsid w:val="003F57DC"/>
    <w:rsid w:val="003F58CC"/>
    <w:rsid w:val="003F5F2F"/>
    <w:rsid w:val="003F615E"/>
    <w:rsid w:val="003F665A"/>
    <w:rsid w:val="003F6ACC"/>
    <w:rsid w:val="003F6B21"/>
    <w:rsid w:val="003F6B29"/>
    <w:rsid w:val="003F72AE"/>
    <w:rsid w:val="003F7355"/>
    <w:rsid w:val="003F77DB"/>
    <w:rsid w:val="003F7834"/>
    <w:rsid w:val="003F78BC"/>
    <w:rsid w:val="003F796A"/>
    <w:rsid w:val="003F7CF3"/>
    <w:rsid w:val="003F7D4B"/>
    <w:rsid w:val="003F7DCB"/>
    <w:rsid w:val="004003F6"/>
    <w:rsid w:val="00400B3B"/>
    <w:rsid w:val="00400DB0"/>
    <w:rsid w:val="004010C4"/>
    <w:rsid w:val="0040125E"/>
    <w:rsid w:val="004015A7"/>
    <w:rsid w:val="00401759"/>
    <w:rsid w:val="004019DD"/>
    <w:rsid w:val="0040234C"/>
    <w:rsid w:val="00402B0F"/>
    <w:rsid w:val="00402E3F"/>
    <w:rsid w:val="00402F75"/>
    <w:rsid w:val="00403123"/>
    <w:rsid w:val="004038B1"/>
    <w:rsid w:val="00403C16"/>
    <w:rsid w:val="00403E03"/>
    <w:rsid w:val="0040432E"/>
    <w:rsid w:val="0040440C"/>
    <w:rsid w:val="004048FB"/>
    <w:rsid w:val="00404E34"/>
    <w:rsid w:val="004051BF"/>
    <w:rsid w:val="00405BE0"/>
    <w:rsid w:val="00405C4A"/>
    <w:rsid w:val="00405E1C"/>
    <w:rsid w:val="0040658F"/>
    <w:rsid w:val="0040667B"/>
    <w:rsid w:val="00407BBB"/>
    <w:rsid w:val="00407D3F"/>
    <w:rsid w:val="00407DDF"/>
    <w:rsid w:val="004103B5"/>
    <w:rsid w:val="004105D4"/>
    <w:rsid w:val="0041071A"/>
    <w:rsid w:val="004109B6"/>
    <w:rsid w:val="00410F02"/>
    <w:rsid w:val="00410F62"/>
    <w:rsid w:val="00411029"/>
    <w:rsid w:val="00411144"/>
    <w:rsid w:val="00411173"/>
    <w:rsid w:val="0041140F"/>
    <w:rsid w:val="004118DF"/>
    <w:rsid w:val="00411938"/>
    <w:rsid w:val="00411E62"/>
    <w:rsid w:val="0041242A"/>
    <w:rsid w:val="00412618"/>
    <w:rsid w:val="0041271D"/>
    <w:rsid w:val="00412871"/>
    <w:rsid w:val="00412D0A"/>
    <w:rsid w:val="0041302D"/>
    <w:rsid w:val="00413464"/>
    <w:rsid w:val="00413924"/>
    <w:rsid w:val="00413BEC"/>
    <w:rsid w:val="00414374"/>
    <w:rsid w:val="00414418"/>
    <w:rsid w:val="00414AC9"/>
    <w:rsid w:val="00414BCE"/>
    <w:rsid w:val="00414BDC"/>
    <w:rsid w:val="00414CC2"/>
    <w:rsid w:val="00414DBC"/>
    <w:rsid w:val="00415293"/>
    <w:rsid w:val="00415748"/>
    <w:rsid w:val="00415D13"/>
    <w:rsid w:val="00415E03"/>
    <w:rsid w:val="004162CA"/>
    <w:rsid w:val="00416351"/>
    <w:rsid w:val="00416889"/>
    <w:rsid w:val="00416DD3"/>
    <w:rsid w:val="004172A5"/>
    <w:rsid w:val="004172BD"/>
    <w:rsid w:val="00417832"/>
    <w:rsid w:val="0041790D"/>
    <w:rsid w:val="00417BDD"/>
    <w:rsid w:val="00417D96"/>
    <w:rsid w:val="0042007D"/>
    <w:rsid w:val="004203E4"/>
    <w:rsid w:val="00420871"/>
    <w:rsid w:val="00421468"/>
    <w:rsid w:val="004215EE"/>
    <w:rsid w:val="00421D1F"/>
    <w:rsid w:val="00421DFB"/>
    <w:rsid w:val="0042258B"/>
    <w:rsid w:val="00422639"/>
    <w:rsid w:val="00422680"/>
    <w:rsid w:val="00422AC9"/>
    <w:rsid w:val="00422E45"/>
    <w:rsid w:val="0042303D"/>
    <w:rsid w:val="0042304A"/>
    <w:rsid w:val="0042320B"/>
    <w:rsid w:val="004236BA"/>
    <w:rsid w:val="0042386D"/>
    <w:rsid w:val="00423B8E"/>
    <w:rsid w:val="00424628"/>
    <w:rsid w:val="0042472A"/>
    <w:rsid w:val="00424E0D"/>
    <w:rsid w:val="00425100"/>
    <w:rsid w:val="004251AC"/>
    <w:rsid w:val="00425444"/>
    <w:rsid w:val="00425645"/>
    <w:rsid w:val="00425DDC"/>
    <w:rsid w:val="00426254"/>
    <w:rsid w:val="0042680E"/>
    <w:rsid w:val="00426891"/>
    <w:rsid w:val="004268A6"/>
    <w:rsid w:val="00426DC4"/>
    <w:rsid w:val="00426E5A"/>
    <w:rsid w:val="00426F46"/>
    <w:rsid w:val="00426F6A"/>
    <w:rsid w:val="00427050"/>
    <w:rsid w:val="00427AAD"/>
    <w:rsid w:val="00427D3D"/>
    <w:rsid w:val="0043069F"/>
    <w:rsid w:val="00430D98"/>
    <w:rsid w:val="00430F22"/>
    <w:rsid w:val="004311AA"/>
    <w:rsid w:val="00431322"/>
    <w:rsid w:val="0043150F"/>
    <w:rsid w:val="0043165C"/>
    <w:rsid w:val="0043189A"/>
    <w:rsid w:val="00431C74"/>
    <w:rsid w:val="00431E3D"/>
    <w:rsid w:val="00431E9C"/>
    <w:rsid w:val="00432458"/>
    <w:rsid w:val="00432496"/>
    <w:rsid w:val="00432581"/>
    <w:rsid w:val="004325A1"/>
    <w:rsid w:val="004327CD"/>
    <w:rsid w:val="004327CE"/>
    <w:rsid w:val="00432D1C"/>
    <w:rsid w:val="00432F4E"/>
    <w:rsid w:val="004331EB"/>
    <w:rsid w:val="00433277"/>
    <w:rsid w:val="004332BA"/>
    <w:rsid w:val="00433A89"/>
    <w:rsid w:val="00433C61"/>
    <w:rsid w:val="00433CB1"/>
    <w:rsid w:val="00433CE8"/>
    <w:rsid w:val="00433FBD"/>
    <w:rsid w:val="00434221"/>
    <w:rsid w:val="00434396"/>
    <w:rsid w:val="00434477"/>
    <w:rsid w:val="00434753"/>
    <w:rsid w:val="00434913"/>
    <w:rsid w:val="00434A56"/>
    <w:rsid w:val="00434E6B"/>
    <w:rsid w:val="00434EDB"/>
    <w:rsid w:val="00435461"/>
    <w:rsid w:val="00435466"/>
    <w:rsid w:val="0043553E"/>
    <w:rsid w:val="004356EF"/>
    <w:rsid w:val="004357F4"/>
    <w:rsid w:val="00435BC7"/>
    <w:rsid w:val="00435DB7"/>
    <w:rsid w:val="00436079"/>
    <w:rsid w:val="00436122"/>
    <w:rsid w:val="00436173"/>
    <w:rsid w:val="00436369"/>
    <w:rsid w:val="004363B8"/>
    <w:rsid w:val="0043646D"/>
    <w:rsid w:val="0043653A"/>
    <w:rsid w:val="004365B1"/>
    <w:rsid w:val="0043690F"/>
    <w:rsid w:val="00436CFB"/>
    <w:rsid w:val="00436ED6"/>
    <w:rsid w:val="00436F4E"/>
    <w:rsid w:val="004372FB"/>
    <w:rsid w:val="004376AF"/>
    <w:rsid w:val="00437854"/>
    <w:rsid w:val="00437902"/>
    <w:rsid w:val="00437D75"/>
    <w:rsid w:val="00437F10"/>
    <w:rsid w:val="00437FCC"/>
    <w:rsid w:val="0044030C"/>
    <w:rsid w:val="0044088E"/>
    <w:rsid w:val="004409CB"/>
    <w:rsid w:val="00440AAF"/>
    <w:rsid w:val="00440C38"/>
    <w:rsid w:val="00440CF2"/>
    <w:rsid w:val="00440E25"/>
    <w:rsid w:val="00440EA0"/>
    <w:rsid w:val="004412DC"/>
    <w:rsid w:val="0044136C"/>
    <w:rsid w:val="00441887"/>
    <w:rsid w:val="00441AF9"/>
    <w:rsid w:val="00441D73"/>
    <w:rsid w:val="00441E30"/>
    <w:rsid w:val="00441F00"/>
    <w:rsid w:val="004421EC"/>
    <w:rsid w:val="00442829"/>
    <w:rsid w:val="004428D8"/>
    <w:rsid w:val="00442EF1"/>
    <w:rsid w:val="00442F4A"/>
    <w:rsid w:val="004430A1"/>
    <w:rsid w:val="004430C7"/>
    <w:rsid w:val="0044320F"/>
    <w:rsid w:val="00443655"/>
    <w:rsid w:val="00443E90"/>
    <w:rsid w:val="00444021"/>
    <w:rsid w:val="00444173"/>
    <w:rsid w:val="00444A38"/>
    <w:rsid w:val="00444A48"/>
    <w:rsid w:val="00444A85"/>
    <w:rsid w:val="00444E40"/>
    <w:rsid w:val="004450BA"/>
    <w:rsid w:val="0044568D"/>
    <w:rsid w:val="004457EB"/>
    <w:rsid w:val="00445D87"/>
    <w:rsid w:val="0044679F"/>
    <w:rsid w:val="004468B0"/>
    <w:rsid w:val="00446DE0"/>
    <w:rsid w:val="00446DEC"/>
    <w:rsid w:val="00446E1A"/>
    <w:rsid w:val="00446E25"/>
    <w:rsid w:val="0044702D"/>
    <w:rsid w:val="004471E8"/>
    <w:rsid w:val="0044799D"/>
    <w:rsid w:val="00447A19"/>
    <w:rsid w:val="00447EFA"/>
    <w:rsid w:val="00447F51"/>
    <w:rsid w:val="00450108"/>
    <w:rsid w:val="00450248"/>
    <w:rsid w:val="004502CF"/>
    <w:rsid w:val="00450946"/>
    <w:rsid w:val="00450A82"/>
    <w:rsid w:val="00450AFF"/>
    <w:rsid w:val="00450D48"/>
    <w:rsid w:val="00450EE4"/>
    <w:rsid w:val="00451354"/>
    <w:rsid w:val="004514E0"/>
    <w:rsid w:val="00452105"/>
    <w:rsid w:val="0045211C"/>
    <w:rsid w:val="004522A9"/>
    <w:rsid w:val="004527AC"/>
    <w:rsid w:val="00452E48"/>
    <w:rsid w:val="00452E6D"/>
    <w:rsid w:val="00452FBC"/>
    <w:rsid w:val="00453031"/>
    <w:rsid w:val="00453340"/>
    <w:rsid w:val="0045350F"/>
    <w:rsid w:val="00453622"/>
    <w:rsid w:val="00453CC5"/>
    <w:rsid w:val="00453FD3"/>
    <w:rsid w:val="004545CF"/>
    <w:rsid w:val="0045463C"/>
    <w:rsid w:val="00454704"/>
    <w:rsid w:val="00454849"/>
    <w:rsid w:val="00454AD4"/>
    <w:rsid w:val="00454EBB"/>
    <w:rsid w:val="00455466"/>
    <w:rsid w:val="004554B6"/>
    <w:rsid w:val="00455EC6"/>
    <w:rsid w:val="004562F7"/>
    <w:rsid w:val="004563DE"/>
    <w:rsid w:val="0045677D"/>
    <w:rsid w:val="0045684F"/>
    <w:rsid w:val="00456E0E"/>
    <w:rsid w:val="00457108"/>
    <w:rsid w:val="0045742C"/>
    <w:rsid w:val="0045788B"/>
    <w:rsid w:val="00460098"/>
    <w:rsid w:val="00460135"/>
    <w:rsid w:val="00460395"/>
    <w:rsid w:val="004609DA"/>
    <w:rsid w:val="00460E07"/>
    <w:rsid w:val="0046113D"/>
    <w:rsid w:val="004611D6"/>
    <w:rsid w:val="00461BCA"/>
    <w:rsid w:val="00462214"/>
    <w:rsid w:val="004622BD"/>
    <w:rsid w:val="004628ED"/>
    <w:rsid w:val="00462A7F"/>
    <w:rsid w:val="00462B45"/>
    <w:rsid w:val="00462D92"/>
    <w:rsid w:val="0046307A"/>
    <w:rsid w:val="004631EF"/>
    <w:rsid w:val="0046327F"/>
    <w:rsid w:val="00463828"/>
    <w:rsid w:val="00463B03"/>
    <w:rsid w:val="00463B71"/>
    <w:rsid w:val="00464384"/>
    <w:rsid w:val="0046468D"/>
    <w:rsid w:val="004647E0"/>
    <w:rsid w:val="00464FBB"/>
    <w:rsid w:val="0046519B"/>
    <w:rsid w:val="0046525B"/>
    <w:rsid w:val="00465500"/>
    <w:rsid w:val="004657AE"/>
    <w:rsid w:val="0046583B"/>
    <w:rsid w:val="0046598D"/>
    <w:rsid w:val="004660D6"/>
    <w:rsid w:val="004661E4"/>
    <w:rsid w:val="0046646E"/>
    <w:rsid w:val="004667E5"/>
    <w:rsid w:val="004668E8"/>
    <w:rsid w:val="004669D1"/>
    <w:rsid w:val="00466D46"/>
    <w:rsid w:val="00466FA7"/>
    <w:rsid w:val="004671A8"/>
    <w:rsid w:val="004671AA"/>
    <w:rsid w:val="00467218"/>
    <w:rsid w:val="0046725E"/>
    <w:rsid w:val="00467873"/>
    <w:rsid w:val="004706D1"/>
    <w:rsid w:val="00470A99"/>
    <w:rsid w:val="00470EBD"/>
    <w:rsid w:val="00471001"/>
    <w:rsid w:val="0047119C"/>
    <w:rsid w:val="004715F6"/>
    <w:rsid w:val="004718A6"/>
    <w:rsid w:val="00471B0B"/>
    <w:rsid w:val="00471D21"/>
    <w:rsid w:val="00471E97"/>
    <w:rsid w:val="004722BF"/>
    <w:rsid w:val="00472313"/>
    <w:rsid w:val="00472517"/>
    <w:rsid w:val="004726D4"/>
    <w:rsid w:val="004727E2"/>
    <w:rsid w:val="00472E51"/>
    <w:rsid w:val="00472EE0"/>
    <w:rsid w:val="00472F55"/>
    <w:rsid w:val="00472F75"/>
    <w:rsid w:val="00473004"/>
    <w:rsid w:val="004732FE"/>
    <w:rsid w:val="00473705"/>
    <w:rsid w:val="00473773"/>
    <w:rsid w:val="00473774"/>
    <w:rsid w:val="00473A47"/>
    <w:rsid w:val="00473CD5"/>
    <w:rsid w:val="0047438B"/>
    <w:rsid w:val="00474551"/>
    <w:rsid w:val="00474637"/>
    <w:rsid w:val="00474D7E"/>
    <w:rsid w:val="0047558E"/>
    <w:rsid w:val="00475758"/>
    <w:rsid w:val="00475DEE"/>
    <w:rsid w:val="00475EA8"/>
    <w:rsid w:val="00475F86"/>
    <w:rsid w:val="00476111"/>
    <w:rsid w:val="00476541"/>
    <w:rsid w:val="00476821"/>
    <w:rsid w:val="00476873"/>
    <w:rsid w:val="00477019"/>
    <w:rsid w:val="00477782"/>
    <w:rsid w:val="00477BA3"/>
    <w:rsid w:val="00477D89"/>
    <w:rsid w:val="00480298"/>
    <w:rsid w:val="0048038B"/>
    <w:rsid w:val="004806B5"/>
    <w:rsid w:val="00480EF3"/>
    <w:rsid w:val="00480FDD"/>
    <w:rsid w:val="00481054"/>
    <w:rsid w:val="0048105D"/>
    <w:rsid w:val="00481EBF"/>
    <w:rsid w:val="004822C4"/>
    <w:rsid w:val="004824C4"/>
    <w:rsid w:val="00482859"/>
    <w:rsid w:val="0048285C"/>
    <w:rsid w:val="00482A1F"/>
    <w:rsid w:val="00482AA6"/>
    <w:rsid w:val="00483266"/>
    <w:rsid w:val="0048353D"/>
    <w:rsid w:val="00483870"/>
    <w:rsid w:val="00483B40"/>
    <w:rsid w:val="00483C2C"/>
    <w:rsid w:val="00483D29"/>
    <w:rsid w:val="00483D41"/>
    <w:rsid w:val="00483FF2"/>
    <w:rsid w:val="00484118"/>
    <w:rsid w:val="00484331"/>
    <w:rsid w:val="0048496A"/>
    <w:rsid w:val="00484B17"/>
    <w:rsid w:val="00484D33"/>
    <w:rsid w:val="00484E0C"/>
    <w:rsid w:val="00484F4F"/>
    <w:rsid w:val="00484F91"/>
    <w:rsid w:val="00484FD3"/>
    <w:rsid w:val="0048540F"/>
    <w:rsid w:val="0048547D"/>
    <w:rsid w:val="004854DF"/>
    <w:rsid w:val="0048562A"/>
    <w:rsid w:val="004859F2"/>
    <w:rsid w:val="00485BCD"/>
    <w:rsid w:val="00485E47"/>
    <w:rsid w:val="00485FAC"/>
    <w:rsid w:val="00485FFD"/>
    <w:rsid w:val="004861C7"/>
    <w:rsid w:val="00486EE4"/>
    <w:rsid w:val="00486EF5"/>
    <w:rsid w:val="00486F74"/>
    <w:rsid w:val="004874D0"/>
    <w:rsid w:val="00487666"/>
    <w:rsid w:val="0048779B"/>
    <w:rsid w:val="0048788E"/>
    <w:rsid w:val="00487CA4"/>
    <w:rsid w:val="00487F57"/>
    <w:rsid w:val="004900FD"/>
    <w:rsid w:val="00490417"/>
    <w:rsid w:val="00490566"/>
    <w:rsid w:val="00490D35"/>
    <w:rsid w:val="00490DF7"/>
    <w:rsid w:val="00490FB4"/>
    <w:rsid w:val="004913F7"/>
    <w:rsid w:val="004914DC"/>
    <w:rsid w:val="0049152E"/>
    <w:rsid w:val="00491647"/>
    <w:rsid w:val="0049198F"/>
    <w:rsid w:val="00491A02"/>
    <w:rsid w:val="00491A74"/>
    <w:rsid w:val="00491C32"/>
    <w:rsid w:val="00491E3C"/>
    <w:rsid w:val="004920D3"/>
    <w:rsid w:val="004922FA"/>
    <w:rsid w:val="00492314"/>
    <w:rsid w:val="00492A91"/>
    <w:rsid w:val="00492F39"/>
    <w:rsid w:val="004930C3"/>
    <w:rsid w:val="0049327E"/>
    <w:rsid w:val="004937DA"/>
    <w:rsid w:val="00493DDB"/>
    <w:rsid w:val="00494356"/>
    <w:rsid w:val="00494E06"/>
    <w:rsid w:val="00495121"/>
    <w:rsid w:val="00495134"/>
    <w:rsid w:val="004951A8"/>
    <w:rsid w:val="00495824"/>
    <w:rsid w:val="00495944"/>
    <w:rsid w:val="00495966"/>
    <w:rsid w:val="00495A03"/>
    <w:rsid w:val="00495CCF"/>
    <w:rsid w:val="00495CE2"/>
    <w:rsid w:val="00495E4E"/>
    <w:rsid w:val="004960C8"/>
    <w:rsid w:val="004968E0"/>
    <w:rsid w:val="00496988"/>
    <w:rsid w:val="0049720A"/>
    <w:rsid w:val="00497750"/>
    <w:rsid w:val="00497792"/>
    <w:rsid w:val="00497B82"/>
    <w:rsid w:val="00497BD0"/>
    <w:rsid w:val="00497D0E"/>
    <w:rsid w:val="00497D77"/>
    <w:rsid w:val="004A0391"/>
    <w:rsid w:val="004A0598"/>
    <w:rsid w:val="004A1322"/>
    <w:rsid w:val="004A160B"/>
    <w:rsid w:val="004A1A52"/>
    <w:rsid w:val="004A1C49"/>
    <w:rsid w:val="004A1CB7"/>
    <w:rsid w:val="004A1D03"/>
    <w:rsid w:val="004A1D5C"/>
    <w:rsid w:val="004A1EC5"/>
    <w:rsid w:val="004A1FFC"/>
    <w:rsid w:val="004A2284"/>
    <w:rsid w:val="004A22B5"/>
    <w:rsid w:val="004A22F2"/>
    <w:rsid w:val="004A2C91"/>
    <w:rsid w:val="004A3216"/>
    <w:rsid w:val="004A362D"/>
    <w:rsid w:val="004A381E"/>
    <w:rsid w:val="004A38FE"/>
    <w:rsid w:val="004A4595"/>
    <w:rsid w:val="004A465A"/>
    <w:rsid w:val="004A4947"/>
    <w:rsid w:val="004A5284"/>
    <w:rsid w:val="004A5420"/>
    <w:rsid w:val="004A5734"/>
    <w:rsid w:val="004A6026"/>
    <w:rsid w:val="004A69D2"/>
    <w:rsid w:val="004A6A6B"/>
    <w:rsid w:val="004A6ABD"/>
    <w:rsid w:val="004A70DC"/>
    <w:rsid w:val="004A78D4"/>
    <w:rsid w:val="004A7B37"/>
    <w:rsid w:val="004A7E0A"/>
    <w:rsid w:val="004A7E2F"/>
    <w:rsid w:val="004A7E82"/>
    <w:rsid w:val="004B007B"/>
    <w:rsid w:val="004B0203"/>
    <w:rsid w:val="004B026B"/>
    <w:rsid w:val="004B05F7"/>
    <w:rsid w:val="004B0716"/>
    <w:rsid w:val="004B084F"/>
    <w:rsid w:val="004B093D"/>
    <w:rsid w:val="004B0E9D"/>
    <w:rsid w:val="004B1647"/>
    <w:rsid w:val="004B207F"/>
    <w:rsid w:val="004B2971"/>
    <w:rsid w:val="004B2BBF"/>
    <w:rsid w:val="004B2E71"/>
    <w:rsid w:val="004B2EAF"/>
    <w:rsid w:val="004B2FC1"/>
    <w:rsid w:val="004B31AA"/>
    <w:rsid w:val="004B3323"/>
    <w:rsid w:val="004B3A0F"/>
    <w:rsid w:val="004B4481"/>
    <w:rsid w:val="004B44E2"/>
    <w:rsid w:val="004B47DB"/>
    <w:rsid w:val="004B47F0"/>
    <w:rsid w:val="004B4C19"/>
    <w:rsid w:val="004B4C7D"/>
    <w:rsid w:val="004B4CE2"/>
    <w:rsid w:val="004B4D0A"/>
    <w:rsid w:val="004B4D59"/>
    <w:rsid w:val="004B4DC0"/>
    <w:rsid w:val="004B54FC"/>
    <w:rsid w:val="004B583A"/>
    <w:rsid w:val="004B5A91"/>
    <w:rsid w:val="004B60FB"/>
    <w:rsid w:val="004B6166"/>
    <w:rsid w:val="004B651D"/>
    <w:rsid w:val="004B6703"/>
    <w:rsid w:val="004B67F8"/>
    <w:rsid w:val="004B68CE"/>
    <w:rsid w:val="004B6972"/>
    <w:rsid w:val="004B6997"/>
    <w:rsid w:val="004B6AA9"/>
    <w:rsid w:val="004B6D6F"/>
    <w:rsid w:val="004B7334"/>
    <w:rsid w:val="004B7AF1"/>
    <w:rsid w:val="004C0741"/>
    <w:rsid w:val="004C0C3D"/>
    <w:rsid w:val="004C1504"/>
    <w:rsid w:val="004C166C"/>
    <w:rsid w:val="004C18D8"/>
    <w:rsid w:val="004C1A94"/>
    <w:rsid w:val="004C1C2A"/>
    <w:rsid w:val="004C1C5F"/>
    <w:rsid w:val="004C1E47"/>
    <w:rsid w:val="004C258C"/>
    <w:rsid w:val="004C25A2"/>
    <w:rsid w:val="004C33B0"/>
    <w:rsid w:val="004C4405"/>
    <w:rsid w:val="004C46CA"/>
    <w:rsid w:val="004C52AA"/>
    <w:rsid w:val="004C54BB"/>
    <w:rsid w:val="004C5AE9"/>
    <w:rsid w:val="004C5CEC"/>
    <w:rsid w:val="004C5FAA"/>
    <w:rsid w:val="004C69FD"/>
    <w:rsid w:val="004C6B56"/>
    <w:rsid w:val="004C6E34"/>
    <w:rsid w:val="004C7339"/>
    <w:rsid w:val="004C73E1"/>
    <w:rsid w:val="004C7528"/>
    <w:rsid w:val="004C760A"/>
    <w:rsid w:val="004C7A6D"/>
    <w:rsid w:val="004C7A7D"/>
    <w:rsid w:val="004C7B9E"/>
    <w:rsid w:val="004C7D88"/>
    <w:rsid w:val="004D050D"/>
    <w:rsid w:val="004D06EA"/>
    <w:rsid w:val="004D1909"/>
    <w:rsid w:val="004D1C5A"/>
    <w:rsid w:val="004D1F0E"/>
    <w:rsid w:val="004D22C9"/>
    <w:rsid w:val="004D26CD"/>
    <w:rsid w:val="004D2AEA"/>
    <w:rsid w:val="004D2DD2"/>
    <w:rsid w:val="004D2DF0"/>
    <w:rsid w:val="004D2E4F"/>
    <w:rsid w:val="004D2E8C"/>
    <w:rsid w:val="004D338F"/>
    <w:rsid w:val="004D3E3D"/>
    <w:rsid w:val="004D3F94"/>
    <w:rsid w:val="004D4760"/>
    <w:rsid w:val="004D4BB5"/>
    <w:rsid w:val="004D526B"/>
    <w:rsid w:val="004D544C"/>
    <w:rsid w:val="004D56E8"/>
    <w:rsid w:val="004D5CA7"/>
    <w:rsid w:val="004D5EE6"/>
    <w:rsid w:val="004D6AFA"/>
    <w:rsid w:val="004D7295"/>
    <w:rsid w:val="004D7411"/>
    <w:rsid w:val="004D7672"/>
    <w:rsid w:val="004D7ABA"/>
    <w:rsid w:val="004D7BED"/>
    <w:rsid w:val="004D7F7E"/>
    <w:rsid w:val="004E0F57"/>
    <w:rsid w:val="004E11C4"/>
    <w:rsid w:val="004E2106"/>
    <w:rsid w:val="004E2288"/>
    <w:rsid w:val="004E23CE"/>
    <w:rsid w:val="004E23D4"/>
    <w:rsid w:val="004E264C"/>
    <w:rsid w:val="004E296C"/>
    <w:rsid w:val="004E2B4C"/>
    <w:rsid w:val="004E2B69"/>
    <w:rsid w:val="004E2D97"/>
    <w:rsid w:val="004E30DC"/>
    <w:rsid w:val="004E31DE"/>
    <w:rsid w:val="004E32CC"/>
    <w:rsid w:val="004E3B67"/>
    <w:rsid w:val="004E3C5F"/>
    <w:rsid w:val="004E3CEF"/>
    <w:rsid w:val="004E3FA0"/>
    <w:rsid w:val="004E41CC"/>
    <w:rsid w:val="004E49C2"/>
    <w:rsid w:val="004E4C75"/>
    <w:rsid w:val="004E4CAC"/>
    <w:rsid w:val="004E4D25"/>
    <w:rsid w:val="004E528D"/>
    <w:rsid w:val="004E55F3"/>
    <w:rsid w:val="004E561F"/>
    <w:rsid w:val="004E5B0D"/>
    <w:rsid w:val="004E5C06"/>
    <w:rsid w:val="004E5C18"/>
    <w:rsid w:val="004E5C6C"/>
    <w:rsid w:val="004E5D30"/>
    <w:rsid w:val="004E5F49"/>
    <w:rsid w:val="004E698C"/>
    <w:rsid w:val="004E6B44"/>
    <w:rsid w:val="004E6C1F"/>
    <w:rsid w:val="004E6DA4"/>
    <w:rsid w:val="004E6E2A"/>
    <w:rsid w:val="004E747C"/>
    <w:rsid w:val="004E7850"/>
    <w:rsid w:val="004E7C94"/>
    <w:rsid w:val="004E7FED"/>
    <w:rsid w:val="004F01C6"/>
    <w:rsid w:val="004F03B7"/>
    <w:rsid w:val="004F1044"/>
    <w:rsid w:val="004F12B3"/>
    <w:rsid w:val="004F147E"/>
    <w:rsid w:val="004F174B"/>
    <w:rsid w:val="004F17BC"/>
    <w:rsid w:val="004F18F4"/>
    <w:rsid w:val="004F2C55"/>
    <w:rsid w:val="004F2C90"/>
    <w:rsid w:val="004F2CCD"/>
    <w:rsid w:val="004F3499"/>
    <w:rsid w:val="004F3791"/>
    <w:rsid w:val="004F3BE3"/>
    <w:rsid w:val="004F3D3D"/>
    <w:rsid w:val="004F3EEE"/>
    <w:rsid w:val="004F3F59"/>
    <w:rsid w:val="004F3FDE"/>
    <w:rsid w:val="004F41B6"/>
    <w:rsid w:val="004F47B6"/>
    <w:rsid w:val="004F47E3"/>
    <w:rsid w:val="004F489C"/>
    <w:rsid w:val="004F493A"/>
    <w:rsid w:val="004F4EA8"/>
    <w:rsid w:val="004F5028"/>
    <w:rsid w:val="004F5395"/>
    <w:rsid w:val="004F5701"/>
    <w:rsid w:val="004F583B"/>
    <w:rsid w:val="004F64F3"/>
    <w:rsid w:val="004F6533"/>
    <w:rsid w:val="004F6856"/>
    <w:rsid w:val="004F6A9F"/>
    <w:rsid w:val="004F6AA8"/>
    <w:rsid w:val="004F6D8A"/>
    <w:rsid w:val="004F6E23"/>
    <w:rsid w:val="004F7871"/>
    <w:rsid w:val="004F79AB"/>
    <w:rsid w:val="004F7D8A"/>
    <w:rsid w:val="004F7D9A"/>
    <w:rsid w:val="00500026"/>
    <w:rsid w:val="0050006A"/>
    <w:rsid w:val="00500428"/>
    <w:rsid w:val="00500525"/>
    <w:rsid w:val="005006D7"/>
    <w:rsid w:val="005007F6"/>
    <w:rsid w:val="00500C1A"/>
    <w:rsid w:val="00500F73"/>
    <w:rsid w:val="005010CA"/>
    <w:rsid w:val="0050157B"/>
    <w:rsid w:val="00501CA0"/>
    <w:rsid w:val="00501EC7"/>
    <w:rsid w:val="00502761"/>
    <w:rsid w:val="00502941"/>
    <w:rsid w:val="00502D03"/>
    <w:rsid w:val="00502EAC"/>
    <w:rsid w:val="005030E2"/>
    <w:rsid w:val="00503162"/>
    <w:rsid w:val="00503249"/>
    <w:rsid w:val="005035E1"/>
    <w:rsid w:val="00503CA5"/>
    <w:rsid w:val="00503CBC"/>
    <w:rsid w:val="00503D8A"/>
    <w:rsid w:val="005042B6"/>
    <w:rsid w:val="005046DF"/>
    <w:rsid w:val="00504D0A"/>
    <w:rsid w:val="00505223"/>
    <w:rsid w:val="00505365"/>
    <w:rsid w:val="00505447"/>
    <w:rsid w:val="005055C4"/>
    <w:rsid w:val="00505607"/>
    <w:rsid w:val="005056BE"/>
    <w:rsid w:val="00505914"/>
    <w:rsid w:val="00505A1F"/>
    <w:rsid w:val="00505D8E"/>
    <w:rsid w:val="0050620C"/>
    <w:rsid w:val="005063B9"/>
    <w:rsid w:val="005063FF"/>
    <w:rsid w:val="0050660F"/>
    <w:rsid w:val="0050673F"/>
    <w:rsid w:val="0050674D"/>
    <w:rsid w:val="00506D89"/>
    <w:rsid w:val="0050748A"/>
    <w:rsid w:val="00507761"/>
    <w:rsid w:val="00507DAA"/>
    <w:rsid w:val="00507FAA"/>
    <w:rsid w:val="00507FF9"/>
    <w:rsid w:val="00510011"/>
    <w:rsid w:val="0051001C"/>
    <w:rsid w:val="005102A8"/>
    <w:rsid w:val="005104A1"/>
    <w:rsid w:val="00510926"/>
    <w:rsid w:val="00511030"/>
    <w:rsid w:val="005111A3"/>
    <w:rsid w:val="005115BF"/>
    <w:rsid w:val="00511742"/>
    <w:rsid w:val="005117FD"/>
    <w:rsid w:val="00511A13"/>
    <w:rsid w:val="00511A95"/>
    <w:rsid w:val="00511C39"/>
    <w:rsid w:val="00511D63"/>
    <w:rsid w:val="00511F29"/>
    <w:rsid w:val="00511F8A"/>
    <w:rsid w:val="0051210C"/>
    <w:rsid w:val="0051215B"/>
    <w:rsid w:val="0051216E"/>
    <w:rsid w:val="0051246A"/>
    <w:rsid w:val="00513235"/>
    <w:rsid w:val="0051367D"/>
    <w:rsid w:val="005137A0"/>
    <w:rsid w:val="005137E7"/>
    <w:rsid w:val="0051394C"/>
    <w:rsid w:val="00513D59"/>
    <w:rsid w:val="00513DF7"/>
    <w:rsid w:val="005144E0"/>
    <w:rsid w:val="0051468A"/>
    <w:rsid w:val="005149D8"/>
    <w:rsid w:val="00514D93"/>
    <w:rsid w:val="00515D23"/>
    <w:rsid w:val="00515F5E"/>
    <w:rsid w:val="00516135"/>
    <w:rsid w:val="00516613"/>
    <w:rsid w:val="005169EC"/>
    <w:rsid w:val="00517049"/>
    <w:rsid w:val="00517065"/>
    <w:rsid w:val="00517446"/>
    <w:rsid w:val="00517924"/>
    <w:rsid w:val="00517AE9"/>
    <w:rsid w:val="00517BE0"/>
    <w:rsid w:val="00520DCA"/>
    <w:rsid w:val="005210FF"/>
    <w:rsid w:val="0052113D"/>
    <w:rsid w:val="005211B9"/>
    <w:rsid w:val="005212BF"/>
    <w:rsid w:val="005212C4"/>
    <w:rsid w:val="005215D7"/>
    <w:rsid w:val="005219B3"/>
    <w:rsid w:val="005219B7"/>
    <w:rsid w:val="00521A8C"/>
    <w:rsid w:val="00522134"/>
    <w:rsid w:val="005221E6"/>
    <w:rsid w:val="0052242C"/>
    <w:rsid w:val="00522C9A"/>
    <w:rsid w:val="00522E32"/>
    <w:rsid w:val="00522E4C"/>
    <w:rsid w:val="005231B4"/>
    <w:rsid w:val="0052321D"/>
    <w:rsid w:val="005233D4"/>
    <w:rsid w:val="0052358F"/>
    <w:rsid w:val="0052382C"/>
    <w:rsid w:val="00523913"/>
    <w:rsid w:val="00523914"/>
    <w:rsid w:val="0052395C"/>
    <w:rsid w:val="00523B0D"/>
    <w:rsid w:val="0052454B"/>
    <w:rsid w:val="00524C7F"/>
    <w:rsid w:val="00524CBA"/>
    <w:rsid w:val="00524E2D"/>
    <w:rsid w:val="00525024"/>
    <w:rsid w:val="00525201"/>
    <w:rsid w:val="005252F9"/>
    <w:rsid w:val="005259EB"/>
    <w:rsid w:val="00525A86"/>
    <w:rsid w:val="00525CD8"/>
    <w:rsid w:val="00525F46"/>
    <w:rsid w:val="0052636C"/>
    <w:rsid w:val="00526431"/>
    <w:rsid w:val="005267DA"/>
    <w:rsid w:val="00526806"/>
    <w:rsid w:val="00526932"/>
    <w:rsid w:val="00526C17"/>
    <w:rsid w:val="00526DD9"/>
    <w:rsid w:val="00526F62"/>
    <w:rsid w:val="005270FD"/>
    <w:rsid w:val="0052741F"/>
    <w:rsid w:val="00527513"/>
    <w:rsid w:val="00527899"/>
    <w:rsid w:val="00527935"/>
    <w:rsid w:val="00530678"/>
    <w:rsid w:val="005308AC"/>
    <w:rsid w:val="00530983"/>
    <w:rsid w:val="00530E0E"/>
    <w:rsid w:val="00531029"/>
    <w:rsid w:val="00531476"/>
    <w:rsid w:val="00531576"/>
    <w:rsid w:val="00531905"/>
    <w:rsid w:val="00531AE7"/>
    <w:rsid w:val="00531BF6"/>
    <w:rsid w:val="00531DC8"/>
    <w:rsid w:val="00531FAD"/>
    <w:rsid w:val="0053210E"/>
    <w:rsid w:val="005327F1"/>
    <w:rsid w:val="0053288B"/>
    <w:rsid w:val="00533175"/>
    <w:rsid w:val="00533407"/>
    <w:rsid w:val="0053371D"/>
    <w:rsid w:val="00533730"/>
    <w:rsid w:val="00533917"/>
    <w:rsid w:val="00533C9B"/>
    <w:rsid w:val="0053443B"/>
    <w:rsid w:val="0053451F"/>
    <w:rsid w:val="00534D44"/>
    <w:rsid w:val="00534DF8"/>
    <w:rsid w:val="00534FBF"/>
    <w:rsid w:val="005352E3"/>
    <w:rsid w:val="005354CB"/>
    <w:rsid w:val="00535654"/>
    <w:rsid w:val="00535774"/>
    <w:rsid w:val="005357A5"/>
    <w:rsid w:val="00536059"/>
    <w:rsid w:val="00536206"/>
    <w:rsid w:val="005363D6"/>
    <w:rsid w:val="005364DB"/>
    <w:rsid w:val="00536BFC"/>
    <w:rsid w:val="00536E19"/>
    <w:rsid w:val="00537019"/>
    <w:rsid w:val="00537207"/>
    <w:rsid w:val="00537917"/>
    <w:rsid w:val="00537ABE"/>
    <w:rsid w:val="00537CA6"/>
    <w:rsid w:val="00537E57"/>
    <w:rsid w:val="00540131"/>
    <w:rsid w:val="00540156"/>
    <w:rsid w:val="00540D52"/>
    <w:rsid w:val="00540D6D"/>
    <w:rsid w:val="0054102E"/>
    <w:rsid w:val="0054113A"/>
    <w:rsid w:val="00541665"/>
    <w:rsid w:val="00541A63"/>
    <w:rsid w:val="00541A92"/>
    <w:rsid w:val="00541D78"/>
    <w:rsid w:val="00542669"/>
    <w:rsid w:val="005426D1"/>
    <w:rsid w:val="00542F00"/>
    <w:rsid w:val="00543B2F"/>
    <w:rsid w:val="0054405D"/>
    <w:rsid w:val="00544082"/>
    <w:rsid w:val="0054422F"/>
    <w:rsid w:val="00544370"/>
    <w:rsid w:val="0054458B"/>
    <w:rsid w:val="00544613"/>
    <w:rsid w:val="00544DDD"/>
    <w:rsid w:val="005450A6"/>
    <w:rsid w:val="00545569"/>
    <w:rsid w:val="00545E6B"/>
    <w:rsid w:val="00545FA5"/>
    <w:rsid w:val="005460AD"/>
    <w:rsid w:val="005460B7"/>
    <w:rsid w:val="005464BD"/>
    <w:rsid w:val="00546820"/>
    <w:rsid w:val="005469D3"/>
    <w:rsid w:val="00546A4C"/>
    <w:rsid w:val="00546CE8"/>
    <w:rsid w:val="00546D6C"/>
    <w:rsid w:val="00546D82"/>
    <w:rsid w:val="00546E06"/>
    <w:rsid w:val="00547144"/>
    <w:rsid w:val="00547670"/>
    <w:rsid w:val="005501AE"/>
    <w:rsid w:val="005502BC"/>
    <w:rsid w:val="00550CE3"/>
    <w:rsid w:val="00550E5C"/>
    <w:rsid w:val="005510B7"/>
    <w:rsid w:val="005512F3"/>
    <w:rsid w:val="00551783"/>
    <w:rsid w:val="00551BB6"/>
    <w:rsid w:val="00552838"/>
    <w:rsid w:val="00552861"/>
    <w:rsid w:val="00552884"/>
    <w:rsid w:val="005528DF"/>
    <w:rsid w:val="00552B3E"/>
    <w:rsid w:val="00553201"/>
    <w:rsid w:val="0055337D"/>
    <w:rsid w:val="00553D29"/>
    <w:rsid w:val="00553DFD"/>
    <w:rsid w:val="0055400E"/>
    <w:rsid w:val="0055413A"/>
    <w:rsid w:val="005549E4"/>
    <w:rsid w:val="00554C30"/>
    <w:rsid w:val="00554E13"/>
    <w:rsid w:val="00554F84"/>
    <w:rsid w:val="005550A5"/>
    <w:rsid w:val="00555961"/>
    <w:rsid w:val="00555AC8"/>
    <w:rsid w:val="00556273"/>
    <w:rsid w:val="005567A3"/>
    <w:rsid w:val="005569D4"/>
    <w:rsid w:val="00556CFB"/>
    <w:rsid w:val="00556E55"/>
    <w:rsid w:val="00557595"/>
    <w:rsid w:val="0055795E"/>
    <w:rsid w:val="00557A64"/>
    <w:rsid w:val="00557B81"/>
    <w:rsid w:val="00557F94"/>
    <w:rsid w:val="005602BA"/>
    <w:rsid w:val="005606A2"/>
    <w:rsid w:val="00560839"/>
    <w:rsid w:val="00560A8D"/>
    <w:rsid w:val="00560AB0"/>
    <w:rsid w:val="00560B78"/>
    <w:rsid w:val="00560CC1"/>
    <w:rsid w:val="00560F8E"/>
    <w:rsid w:val="00560FA3"/>
    <w:rsid w:val="00561568"/>
    <w:rsid w:val="005616B8"/>
    <w:rsid w:val="00561FD4"/>
    <w:rsid w:val="005620E7"/>
    <w:rsid w:val="00562442"/>
    <w:rsid w:val="00562522"/>
    <w:rsid w:val="00562668"/>
    <w:rsid w:val="005627E1"/>
    <w:rsid w:val="0056281B"/>
    <w:rsid w:val="00562A43"/>
    <w:rsid w:val="00562C8E"/>
    <w:rsid w:val="0056306A"/>
    <w:rsid w:val="005630F7"/>
    <w:rsid w:val="00563429"/>
    <w:rsid w:val="00563908"/>
    <w:rsid w:val="005639BF"/>
    <w:rsid w:val="005639EE"/>
    <w:rsid w:val="00563F90"/>
    <w:rsid w:val="005640FC"/>
    <w:rsid w:val="00564CEB"/>
    <w:rsid w:val="00564DE6"/>
    <w:rsid w:val="00565132"/>
    <w:rsid w:val="005651AF"/>
    <w:rsid w:val="00565BAC"/>
    <w:rsid w:val="00565BC0"/>
    <w:rsid w:val="00565E53"/>
    <w:rsid w:val="00566791"/>
    <w:rsid w:val="00566A8C"/>
    <w:rsid w:val="00566B7E"/>
    <w:rsid w:val="00566D94"/>
    <w:rsid w:val="00567075"/>
    <w:rsid w:val="00567D1C"/>
    <w:rsid w:val="00570057"/>
    <w:rsid w:val="00570332"/>
    <w:rsid w:val="00570550"/>
    <w:rsid w:val="00570BE8"/>
    <w:rsid w:val="00570DCF"/>
    <w:rsid w:val="00570EF1"/>
    <w:rsid w:val="00571247"/>
    <w:rsid w:val="005716C3"/>
    <w:rsid w:val="0057187D"/>
    <w:rsid w:val="00571D9E"/>
    <w:rsid w:val="00571F1A"/>
    <w:rsid w:val="00572162"/>
    <w:rsid w:val="00572414"/>
    <w:rsid w:val="00572684"/>
    <w:rsid w:val="005726B9"/>
    <w:rsid w:val="005729CA"/>
    <w:rsid w:val="00572B0F"/>
    <w:rsid w:val="00572BC9"/>
    <w:rsid w:val="0057307E"/>
    <w:rsid w:val="005730B8"/>
    <w:rsid w:val="005732D4"/>
    <w:rsid w:val="005733AA"/>
    <w:rsid w:val="00573522"/>
    <w:rsid w:val="00573722"/>
    <w:rsid w:val="00573C05"/>
    <w:rsid w:val="00573FF2"/>
    <w:rsid w:val="00574454"/>
    <w:rsid w:val="0057463D"/>
    <w:rsid w:val="00574A3B"/>
    <w:rsid w:val="00574C09"/>
    <w:rsid w:val="00575278"/>
    <w:rsid w:val="005757FD"/>
    <w:rsid w:val="00575DCA"/>
    <w:rsid w:val="00575F77"/>
    <w:rsid w:val="0057631A"/>
    <w:rsid w:val="00576A02"/>
    <w:rsid w:val="00576B60"/>
    <w:rsid w:val="00577129"/>
    <w:rsid w:val="0057762F"/>
    <w:rsid w:val="00577802"/>
    <w:rsid w:val="00577BE9"/>
    <w:rsid w:val="00577C0D"/>
    <w:rsid w:val="00577DD6"/>
    <w:rsid w:val="00577F09"/>
    <w:rsid w:val="00580075"/>
    <w:rsid w:val="00580557"/>
    <w:rsid w:val="00580709"/>
    <w:rsid w:val="00580798"/>
    <w:rsid w:val="00580A1F"/>
    <w:rsid w:val="00580BBF"/>
    <w:rsid w:val="00580D0A"/>
    <w:rsid w:val="00580E75"/>
    <w:rsid w:val="0058113C"/>
    <w:rsid w:val="005811AB"/>
    <w:rsid w:val="00581241"/>
    <w:rsid w:val="005816A3"/>
    <w:rsid w:val="005818F6"/>
    <w:rsid w:val="00581905"/>
    <w:rsid w:val="0058197D"/>
    <w:rsid w:val="00581CA5"/>
    <w:rsid w:val="00581D9B"/>
    <w:rsid w:val="00582394"/>
    <w:rsid w:val="005825BC"/>
    <w:rsid w:val="00582A44"/>
    <w:rsid w:val="00582AC6"/>
    <w:rsid w:val="00582DD6"/>
    <w:rsid w:val="00583452"/>
    <w:rsid w:val="0058349C"/>
    <w:rsid w:val="00583668"/>
    <w:rsid w:val="0058368E"/>
    <w:rsid w:val="00583D1B"/>
    <w:rsid w:val="00583D5C"/>
    <w:rsid w:val="005848CA"/>
    <w:rsid w:val="005848D0"/>
    <w:rsid w:val="00584F60"/>
    <w:rsid w:val="0058504C"/>
    <w:rsid w:val="005851DD"/>
    <w:rsid w:val="005854DE"/>
    <w:rsid w:val="00585962"/>
    <w:rsid w:val="00585B1D"/>
    <w:rsid w:val="00585D2B"/>
    <w:rsid w:val="00586027"/>
    <w:rsid w:val="005866E8"/>
    <w:rsid w:val="00586ECE"/>
    <w:rsid w:val="00586FD7"/>
    <w:rsid w:val="00587032"/>
    <w:rsid w:val="0058755E"/>
    <w:rsid w:val="005875FB"/>
    <w:rsid w:val="00587715"/>
    <w:rsid w:val="00587974"/>
    <w:rsid w:val="00587D8A"/>
    <w:rsid w:val="00587FD1"/>
    <w:rsid w:val="005903A4"/>
    <w:rsid w:val="005904BB"/>
    <w:rsid w:val="00590B13"/>
    <w:rsid w:val="00590C31"/>
    <w:rsid w:val="00590C58"/>
    <w:rsid w:val="00590DD0"/>
    <w:rsid w:val="0059189D"/>
    <w:rsid w:val="00591BCC"/>
    <w:rsid w:val="00591E04"/>
    <w:rsid w:val="00591EF7"/>
    <w:rsid w:val="00592310"/>
    <w:rsid w:val="0059259E"/>
    <w:rsid w:val="0059271F"/>
    <w:rsid w:val="005927A9"/>
    <w:rsid w:val="00592809"/>
    <w:rsid w:val="00592B05"/>
    <w:rsid w:val="00592BDC"/>
    <w:rsid w:val="00592BDE"/>
    <w:rsid w:val="00592C9F"/>
    <w:rsid w:val="00592E38"/>
    <w:rsid w:val="00592E5A"/>
    <w:rsid w:val="0059320C"/>
    <w:rsid w:val="00593353"/>
    <w:rsid w:val="00593413"/>
    <w:rsid w:val="0059421C"/>
    <w:rsid w:val="00594315"/>
    <w:rsid w:val="0059456C"/>
    <w:rsid w:val="00594771"/>
    <w:rsid w:val="00594A44"/>
    <w:rsid w:val="00594E62"/>
    <w:rsid w:val="00595D23"/>
    <w:rsid w:val="00596507"/>
    <w:rsid w:val="005965AA"/>
    <w:rsid w:val="005966DF"/>
    <w:rsid w:val="00596890"/>
    <w:rsid w:val="00596B8B"/>
    <w:rsid w:val="00596C97"/>
    <w:rsid w:val="00596EBB"/>
    <w:rsid w:val="005970D6"/>
    <w:rsid w:val="0059721F"/>
    <w:rsid w:val="005973A4"/>
    <w:rsid w:val="005974C7"/>
    <w:rsid w:val="005976D2"/>
    <w:rsid w:val="005979A8"/>
    <w:rsid w:val="005979B0"/>
    <w:rsid w:val="00597A7B"/>
    <w:rsid w:val="00597B9D"/>
    <w:rsid w:val="005A0004"/>
    <w:rsid w:val="005A0515"/>
    <w:rsid w:val="005A0C53"/>
    <w:rsid w:val="005A0FC5"/>
    <w:rsid w:val="005A0FFE"/>
    <w:rsid w:val="005A1124"/>
    <w:rsid w:val="005A1422"/>
    <w:rsid w:val="005A1A54"/>
    <w:rsid w:val="005A1D4C"/>
    <w:rsid w:val="005A1EAF"/>
    <w:rsid w:val="005A200C"/>
    <w:rsid w:val="005A2274"/>
    <w:rsid w:val="005A2979"/>
    <w:rsid w:val="005A2A85"/>
    <w:rsid w:val="005A2D7E"/>
    <w:rsid w:val="005A2F41"/>
    <w:rsid w:val="005A3062"/>
    <w:rsid w:val="005A32F2"/>
    <w:rsid w:val="005A343F"/>
    <w:rsid w:val="005A3BA5"/>
    <w:rsid w:val="005A4049"/>
    <w:rsid w:val="005A4112"/>
    <w:rsid w:val="005A47B6"/>
    <w:rsid w:val="005A5334"/>
    <w:rsid w:val="005A5847"/>
    <w:rsid w:val="005A5C12"/>
    <w:rsid w:val="005A5FEB"/>
    <w:rsid w:val="005A600A"/>
    <w:rsid w:val="005A61CC"/>
    <w:rsid w:val="005A61D8"/>
    <w:rsid w:val="005A6233"/>
    <w:rsid w:val="005A67E9"/>
    <w:rsid w:val="005A68C3"/>
    <w:rsid w:val="005A6932"/>
    <w:rsid w:val="005A6D2E"/>
    <w:rsid w:val="005A6F92"/>
    <w:rsid w:val="005A7203"/>
    <w:rsid w:val="005A72B9"/>
    <w:rsid w:val="005A77EE"/>
    <w:rsid w:val="005A7CA3"/>
    <w:rsid w:val="005B08DD"/>
    <w:rsid w:val="005B0AB8"/>
    <w:rsid w:val="005B0CBB"/>
    <w:rsid w:val="005B0D29"/>
    <w:rsid w:val="005B0F62"/>
    <w:rsid w:val="005B0FE5"/>
    <w:rsid w:val="005B1011"/>
    <w:rsid w:val="005B1ABF"/>
    <w:rsid w:val="005B1AC6"/>
    <w:rsid w:val="005B1E15"/>
    <w:rsid w:val="005B1E28"/>
    <w:rsid w:val="005B24B3"/>
    <w:rsid w:val="005B24E2"/>
    <w:rsid w:val="005B292E"/>
    <w:rsid w:val="005B2AE6"/>
    <w:rsid w:val="005B2C56"/>
    <w:rsid w:val="005B2D58"/>
    <w:rsid w:val="005B33FE"/>
    <w:rsid w:val="005B376E"/>
    <w:rsid w:val="005B379F"/>
    <w:rsid w:val="005B39CB"/>
    <w:rsid w:val="005B3A3B"/>
    <w:rsid w:val="005B3EED"/>
    <w:rsid w:val="005B4324"/>
    <w:rsid w:val="005B4556"/>
    <w:rsid w:val="005B45EF"/>
    <w:rsid w:val="005B46A4"/>
    <w:rsid w:val="005B4901"/>
    <w:rsid w:val="005B4A63"/>
    <w:rsid w:val="005B4BE0"/>
    <w:rsid w:val="005B518D"/>
    <w:rsid w:val="005B54A3"/>
    <w:rsid w:val="005B5572"/>
    <w:rsid w:val="005B571C"/>
    <w:rsid w:val="005B57B8"/>
    <w:rsid w:val="005B5D74"/>
    <w:rsid w:val="005B618F"/>
    <w:rsid w:val="005B655A"/>
    <w:rsid w:val="005B6CF0"/>
    <w:rsid w:val="005B72BF"/>
    <w:rsid w:val="005B7610"/>
    <w:rsid w:val="005B7DF9"/>
    <w:rsid w:val="005C0078"/>
    <w:rsid w:val="005C04F2"/>
    <w:rsid w:val="005C05F9"/>
    <w:rsid w:val="005C0733"/>
    <w:rsid w:val="005C0F37"/>
    <w:rsid w:val="005C1742"/>
    <w:rsid w:val="005C19FF"/>
    <w:rsid w:val="005C1C3F"/>
    <w:rsid w:val="005C1DB6"/>
    <w:rsid w:val="005C1DC4"/>
    <w:rsid w:val="005C1E1E"/>
    <w:rsid w:val="005C20CE"/>
    <w:rsid w:val="005C228D"/>
    <w:rsid w:val="005C24E9"/>
    <w:rsid w:val="005C2653"/>
    <w:rsid w:val="005C2BC0"/>
    <w:rsid w:val="005C3228"/>
    <w:rsid w:val="005C35D9"/>
    <w:rsid w:val="005C3795"/>
    <w:rsid w:val="005C379E"/>
    <w:rsid w:val="005C3A7A"/>
    <w:rsid w:val="005C3E64"/>
    <w:rsid w:val="005C3F95"/>
    <w:rsid w:val="005C4283"/>
    <w:rsid w:val="005C44E9"/>
    <w:rsid w:val="005C4603"/>
    <w:rsid w:val="005C4691"/>
    <w:rsid w:val="005C4759"/>
    <w:rsid w:val="005C4C77"/>
    <w:rsid w:val="005C4CA6"/>
    <w:rsid w:val="005C53AD"/>
    <w:rsid w:val="005C5B84"/>
    <w:rsid w:val="005C5E5A"/>
    <w:rsid w:val="005C6462"/>
    <w:rsid w:val="005C664E"/>
    <w:rsid w:val="005C68E5"/>
    <w:rsid w:val="005C6969"/>
    <w:rsid w:val="005C69E9"/>
    <w:rsid w:val="005C7563"/>
    <w:rsid w:val="005C790D"/>
    <w:rsid w:val="005C7CAD"/>
    <w:rsid w:val="005C7F43"/>
    <w:rsid w:val="005C7F79"/>
    <w:rsid w:val="005D07AC"/>
    <w:rsid w:val="005D1084"/>
    <w:rsid w:val="005D123B"/>
    <w:rsid w:val="005D159C"/>
    <w:rsid w:val="005D18C8"/>
    <w:rsid w:val="005D1944"/>
    <w:rsid w:val="005D1A4F"/>
    <w:rsid w:val="005D1DB5"/>
    <w:rsid w:val="005D1E01"/>
    <w:rsid w:val="005D23C5"/>
    <w:rsid w:val="005D265B"/>
    <w:rsid w:val="005D2660"/>
    <w:rsid w:val="005D2734"/>
    <w:rsid w:val="005D2A24"/>
    <w:rsid w:val="005D2ECE"/>
    <w:rsid w:val="005D350C"/>
    <w:rsid w:val="005D3569"/>
    <w:rsid w:val="005D3986"/>
    <w:rsid w:val="005D3A88"/>
    <w:rsid w:val="005D3DD3"/>
    <w:rsid w:val="005D3EC3"/>
    <w:rsid w:val="005D4014"/>
    <w:rsid w:val="005D450D"/>
    <w:rsid w:val="005D45DC"/>
    <w:rsid w:val="005D483A"/>
    <w:rsid w:val="005D485B"/>
    <w:rsid w:val="005D4A36"/>
    <w:rsid w:val="005D4D90"/>
    <w:rsid w:val="005D50CE"/>
    <w:rsid w:val="005D55FD"/>
    <w:rsid w:val="005D56BB"/>
    <w:rsid w:val="005D597F"/>
    <w:rsid w:val="005D5A82"/>
    <w:rsid w:val="005D5AA7"/>
    <w:rsid w:val="005D5C03"/>
    <w:rsid w:val="005D5CB6"/>
    <w:rsid w:val="005D5F0E"/>
    <w:rsid w:val="005D5F47"/>
    <w:rsid w:val="005D6172"/>
    <w:rsid w:val="005D623F"/>
    <w:rsid w:val="005D63FC"/>
    <w:rsid w:val="005D650B"/>
    <w:rsid w:val="005D653E"/>
    <w:rsid w:val="005D6B0A"/>
    <w:rsid w:val="005D6C0F"/>
    <w:rsid w:val="005D6E36"/>
    <w:rsid w:val="005D6EC3"/>
    <w:rsid w:val="005D6F99"/>
    <w:rsid w:val="005D748A"/>
    <w:rsid w:val="005D74C6"/>
    <w:rsid w:val="005D76A2"/>
    <w:rsid w:val="005D7707"/>
    <w:rsid w:val="005E02FB"/>
    <w:rsid w:val="005E088D"/>
    <w:rsid w:val="005E089C"/>
    <w:rsid w:val="005E0A5F"/>
    <w:rsid w:val="005E0BA6"/>
    <w:rsid w:val="005E0BEB"/>
    <w:rsid w:val="005E0D4F"/>
    <w:rsid w:val="005E0DED"/>
    <w:rsid w:val="005E0FA9"/>
    <w:rsid w:val="005E10B1"/>
    <w:rsid w:val="005E191F"/>
    <w:rsid w:val="005E1ADD"/>
    <w:rsid w:val="005E1B65"/>
    <w:rsid w:val="005E1CA7"/>
    <w:rsid w:val="005E1E56"/>
    <w:rsid w:val="005E2113"/>
    <w:rsid w:val="005E2520"/>
    <w:rsid w:val="005E2E24"/>
    <w:rsid w:val="005E3572"/>
    <w:rsid w:val="005E392C"/>
    <w:rsid w:val="005E3F85"/>
    <w:rsid w:val="005E4061"/>
    <w:rsid w:val="005E40A5"/>
    <w:rsid w:val="005E414B"/>
    <w:rsid w:val="005E4986"/>
    <w:rsid w:val="005E4F92"/>
    <w:rsid w:val="005E53E2"/>
    <w:rsid w:val="005E587B"/>
    <w:rsid w:val="005E61BE"/>
    <w:rsid w:val="005E62F9"/>
    <w:rsid w:val="005E6731"/>
    <w:rsid w:val="005E6D65"/>
    <w:rsid w:val="005E6E82"/>
    <w:rsid w:val="005E71D4"/>
    <w:rsid w:val="005E7253"/>
    <w:rsid w:val="005E7301"/>
    <w:rsid w:val="005E7D5C"/>
    <w:rsid w:val="005E7DB0"/>
    <w:rsid w:val="005F0103"/>
    <w:rsid w:val="005F0413"/>
    <w:rsid w:val="005F0555"/>
    <w:rsid w:val="005F05D2"/>
    <w:rsid w:val="005F0A3C"/>
    <w:rsid w:val="005F0B8A"/>
    <w:rsid w:val="005F0BCC"/>
    <w:rsid w:val="005F122A"/>
    <w:rsid w:val="005F1A29"/>
    <w:rsid w:val="005F1D99"/>
    <w:rsid w:val="005F2040"/>
    <w:rsid w:val="005F259A"/>
    <w:rsid w:val="005F25E1"/>
    <w:rsid w:val="005F2680"/>
    <w:rsid w:val="005F272A"/>
    <w:rsid w:val="005F2977"/>
    <w:rsid w:val="005F3116"/>
    <w:rsid w:val="005F316E"/>
    <w:rsid w:val="005F341B"/>
    <w:rsid w:val="005F366F"/>
    <w:rsid w:val="005F3B11"/>
    <w:rsid w:val="005F43CC"/>
    <w:rsid w:val="005F4A67"/>
    <w:rsid w:val="005F5715"/>
    <w:rsid w:val="005F57C5"/>
    <w:rsid w:val="005F57EC"/>
    <w:rsid w:val="005F5AD0"/>
    <w:rsid w:val="005F5EB0"/>
    <w:rsid w:val="005F623C"/>
    <w:rsid w:val="005F6284"/>
    <w:rsid w:val="005F66E9"/>
    <w:rsid w:val="005F679F"/>
    <w:rsid w:val="005F6A86"/>
    <w:rsid w:val="005F6AA3"/>
    <w:rsid w:val="005F6F27"/>
    <w:rsid w:val="005F6F29"/>
    <w:rsid w:val="005F6FCC"/>
    <w:rsid w:val="005F744E"/>
    <w:rsid w:val="005F7D9E"/>
    <w:rsid w:val="005F7FC2"/>
    <w:rsid w:val="00600194"/>
    <w:rsid w:val="00600938"/>
    <w:rsid w:val="00600A7F"/>
    <w:rsid w:val="00600AF1"/>
    <w:rsid w:val="00600CCB"/>
    <w:rsid w:val="00600FA0"/>
    <w:rsid w:val="00601014"/>
    <w:rsid w:val="00601483"/>
    <w:rsid w:val="00601614"/>
    <w:rsid w:val="00601D33"/>
    <w:rsid w:val="00601DF8"/>
    <w:rsid w:val="006025AA"/>
    <w:rsid w:val="006025AE"/>
    <w:rsid w:val="00602A3A"/>
    <w:rsid w:val="00602AA0"/>
    <w:rsid w:val="00602AB9"/>
    <w:rsid w:val="00602B48"/>
    <w:rsid w:val="00602C68"/>
    <w:rsid w:val="00602D23"/>
    <w:rsid w:val="0060359F"/>
    <w:rsid w:val="0060368D"/>
    <w:rsid w:val="00603748"/>
    <w:rsid w:val="00603A68"/>
    <w:rsid w:val="00603B7A"/>
    <w:rsid w:val="00603BD2"/>
    <w:rsid w:val="00603E35"/>
    <w:rsid w:val="00604301"/>
    <w:rsid w:val="00604362"/>
    <w:rsid w:val="006043A4"/>
    <w:rsid w:val="006044BC"/>
    <w:rsid w:val="006045B2"/>
    <w:rsid w:val="006046DD"/>
    <w:rsid w:val="006047B8"/>
    <w:rsid w:val="00604A53"/>
    <w:rsid w:val="00604E17"/>
    <w:rsid w:val="00604F15"/>
    <w:rsid w:val="00604FC9"/>
    <w:rsid w:val="00605261"/>
    <w:rsid w:val="00605782"/>
    <w:rsid w:val="006059C1"/>
    <w:rsid w:val="006059F5"/>
    <w:rsid w:val="006061C2"/>
    <w:rsid w:val="006063D0"/>
    <w:rsid w:val="0060660F"/>
    <w:rsid w:val="00606719"/>
    <w:rsid w:val="00606E4F"/>
    <w:rsid w:val="00607166"/>
    <w:rsid w:val="00607249"/>
    <w:rsid w:val="00607496"/>
    <w:rsid w:val="0060760A"/>
    <w:rsid w:val="0060787B"/>
    <w:rsid w:val="00607F92"/>
    <w:rsid w:val="00610844"/>
    <w:rsid w:val="00610BD7"/>
    <w:rsid w:val="00610D24"/>
    <w:rsid w:val="0061107B"/>
    <w:rsid w:val="0061126C"/>
    <w:rsid w:val="00611A28"/>
    <w:rsid w:val="00611C77"/>
    <w:rsid w:val="0061215B"/>
    <w:rsid w:val="00612281"/>
    <w:rsid w:val="006123B5"/>
    <w:rsid w:val="00612755"/>
    <w:rsid w:val="00612962"/>
    <w:rsid w:val="00612F81"/>
    <w:rsid w:val="00613236"/>
    <w:rsid w:val="00613291"/>
    <w:rsid w:val="00613305"/>
    <w:rsid w:val="00613480"/>
    <w:rsid w:val="00613B92"/>
    <w:rsid w:val="00613D5C"/>
    <w:rsid w:val="0061401C"/>
    <w:rsid w:val="006140AD"/>
    <w:rsid w:val="00614B65"/>
    <w:rsid w:val="006155B7"/>
    <w:rsid w:val="00615830"/>
    <w:rsid w:val="00615982"/>
    <w:rsid w:val="00615ACD"/>
    <w:rsid w:val="00615C00"/>
    <w:rsid w:val="0061605E"/>
    <w:rsid w:val="006160B0"/>
    <w:rsid w:val="0061687A"/>
    <w:rsid w:val="00616A3D"/>
    <w:rsid w:val="00616A6B"/>
    <w:rsid w:val="00617B95"/>
    <w:rsid w:val="00620378"/>
    <w:rsid w:val="006204BE"/>
    <w:rsid w:val="006206E5"/>
    <w:rsid w:val="00620EC4"/>
    <w:rsid w:val="00620F2D"/>
    <w:rsid w:val="006212A6"/>
    <w:rsid w:val="0062135B"/>
    <w:rsid w:val="0062158C"/>
    <w:rsid w:val="00621711"/>
    <w:rsid w:val="006226BA"/>
    <w:rsid w:val="00622FE9"/>
    <w:rsid w:val="006231B7"/>
    <w:rsid w:val="006234FE"/>
    <w:rsid w:val="006236F5"/>
    <w:rsid w:val="006237C9"/>
    <w:rsid w:val="00623D39"/>
    <w:rsid w:val="00623E21"/>
    <w:rsid w:val="00623EC6"/>
    <w:rsid w:val="00623F62"/>
    <w:rsid w:val="00623FEA"/>
    <w:rsid w:val="00624AE9"/>
    <w:rsid w:val="00624B21"/>
    <w:rsid w:val="00624DA5"/>
    <w:rsid w:val="006263C4"/>
    <w:rsid w:val="00626629"/>
    <w:rsid w:val="006268ED"/>
    <w:rsid w:val="00626961"/>
    <w:rsid w:val="00626B79"/>
    <w:rsid w:val="00626DBC"/>
    <w:rsid w:val="00626E08"/>
    <w:rsid w:val="00626F31"/>
    <w:rsid w:val="006271F5"/>
    <w:rsid w:val="00627231"/>
    <w:rsid w:val="006273B2"/>
    <w:rsid w:val="00627A4A"/>
    <w:rsid w:val="00627EA2"/>
    <w:rsid w:val="006300A7"/>
    <w:rsid w:val="0063033E"/>
    <w:rsid w:val="006307A6"/>
    <w:rsid w:val="00630A9A"/>
    <w:rsid w:val="00630B80"/>
    <w:rsid w:val="00630ECB"/>
    <w:rsid w:val="0063102F"/>
    <w:rsid w:val="00631286"/>
    <w:rsid w:val="006316E2"/>
    <w:rsid w:val="00631FB7"/>
    <w:rsid w:val="006321BD"/>
    <w:rsid w:val="0063263A"/>
    <w:rsid w:val="006326A6"/>
    <w:rsid w:val="0063295A"/>
    <w:rsid w:val="00632AED"/>
    <w:rsid w:val="00633197"/>
    <w:rsid w:val="006332EA"/>
    <w:rsid w:val="0063353C"/>
    <w:rsid w:val="00633755"/>
    <w:rsid w:val="006338A5"/>
    <w:rsid w:val="006339C0"/>
    <w:rsid w:val="00633D4B"/>
    <w:rsid w:val="00633ECD"/>
    <w:rsid w:val="00634218"/>
    <w:rsid w:val="00634567"/>
    <w:rsid w:val="00635166"/>
    <w:rsid w:val="0063529F"/>
    <w:rsid w:val="00635640"/>
    <w:rsid w:val="00635A66"/>
    <w:rsid w:val="00636134"/>
    <w:rsid w:val="00636389"/>
    <w:rsid w:val="006363CA"/>
    <w:rsid w:val="006365DF"/>
    <w:rsid w:val="00636603"/>
    <w:rsid w:val="00636799"/>
    <w:rsid w:val="00636B09"/>
    <w:rsid w:val="00636B8A"/>
    <w:rsid w:val="00636C24"/>
    <w:rsid w:val="00637695"/>
    <w:rsid w:val="006376D3"/>
    <w:rsid w:val="00637A03"/>
    <w:rsid w:val="00637D90"/>
    <w:rsid w:val="00637FF8"/>
    <w:rsid w:val="006402AA"/>
    <w:rsid w:val="006403BD"/>
    <w:rsid w:val="006405D2"/>
    <w:rsid w:val="00640743"/>
    <w:rsid w:val="0064074A"/>
    <w:rsid w:val="006410C3"/>
    <w:rsid w:val="0064137B"/>
    <w:rsid w:val="006418AD"/>
    <w:rsid w:val="006419CF"/>
    <w:rsid w:val="00641A54"/>
    <w:rsid w:val="00641CB3"/>
    <w:rsid w:val="00641DA2"/>
    <w:rsid w:val="0064201F"/>
    <w:rsid w:val="0064214A"/>
    <w:rsid w:val="00642191"/>
    <w:rsid w:val="00642921"/>
    <w:rsid w:val="00643D36"/>
    <w:rsid w:val="00643E6D"/>
    <w:rsid w:val="006440BC"/>
    <w:rsid w:val="0064412A"/>
    <w:rsid w:val="0064420C"/>
    <w:rsid w:val="006443F5"/>
    <w:rsid w:val="00644DF4"/>
    <w:rsid w:val="00644E3E"/>
    <w:rsid w:val="00645157"/>
    <w:rsid w:val="00645552"/>
    <w:rsid w:val="00645621"/>
    <w:rsid w:val="006458EA"/>
    <w:rsid w:val="00645C0A"/>
    <w:rsid w:val="00645C29"/>
    <w:rsid w:val="00646229"/>
    <w:rsid w:val="0064648E"/>
    <w:rsid w:val="006467DA"/>
    <w:rsid w:val="006467F8"/>
    <w:rsid w:val="006475FE"/>
    <w:rsid w:val="006476B3"/>
    <w:rsid w:val="00647707"/>
    <w:rsid w:val="00647744"/>
    <w:rsid w:val="006477ED"/>
    <w:rsid w:val="00647ABE"/>
    <w:rsid w:val="00647AD6"/>
    <w:rsid w:val="00647C2A"/>
    <w:rsid w:val="00647EFC"/>
    <w:rsid w:val="00650515"/>
    <w:rsid w:val="0065085B"/>
    <w:rsid w:val="00650F85"/>
    <w:rsid w:val="00651131"/>
    <w:rsid w:val="00651A94"/>
    <w:rsid w:val="00651BC8"/>
    <w:rsid w:val="00651F91"/>
    <w:rsid w:val="006523D9"/>
    <w:rsid w:val="0065252D"/>
    <w:rsid w:val="006526CA"/>
    <w:rsid w:val="0065275D"/>
    <w:rsid w:val="00652E0F"/>
    <w:rsid w:val="00653837"/>
    <w:rsid w:val="006538F7"/>
    <w:rsid w:val="00653F30"/>
    <w:rsid w:val="00653F34"/>
    <w:rsid w:val="00654204"/>
    <w:rsid w:val="00654871"/>
    <w:rsid w:val="00655091"/>
    <w:rsid w:val="0065511E"/>
    <w:rsid w:val="0065541B"/>
    <w:rsid w:val="00655521"/>
    <w:rsid w:val="006558F0"/>
    <w:rsid w:val="006558F8"/>
    <w:rsid w:val="00655928"/>
    <w:rsid w:val="00655DBE"/>
    <w:rsid w:val="00655EF9"/>
    <w:rsid w:val="006566F7"/>
    <w:rsid w:val="006567C9"/>
    <w:rsid w:val="00656BB8"/>
    <w:rsid w:val="0065738B"/>
    <w:rsid w:val="006575C9"/>
    <w:rsid w:val="00657747"/>
    <w:rsid w:val="006577AF"/>
    <w:rsid w:val="00657D18"/>
    <w:rsid w:val="006601F8"/>
    <w:rsid w:val="006604E1"/>
    <w:rsid w:val="00660597"/>
    <w:rsid w:val="006605BD"/>
    <w:rsid w:val="006609C7"/>
    <w:rsid w:val="00660C07"/>
    <w:rsid w:val="00660E77"/>
    <w:rsid w:val="00660FF6"/>
    <w:rsid w:val="00661462"/>
    <w:rsid w:val="006614BE"/>
    <w:rsid w:val="00661AD2"/>
    <w:rsid w:val="00661AEB"/>
    <w:rsid w:val="00661D5D"/>
    <w:rsid w:val="00661FB2"/>
    <w:rsid w:val="0066226A"/>
    <w:rsid w:val="00662577"/>
    <w:rsid w:val="006626DE"/>
    <w:rsid w:val="00662A03"/>
    <w:rsid w:val="00662C2A"/>
    <w:rsid w:val="00662D4D"/>
    <w:rsid w:val="00663058"/>
    <w:rsid w:val="00663844"/>
    <w:rsid w:val="006638AE"/>
    <w:rsid w:val="0066392F"/>
    <w:rsid w:val="00663952"/>
    <w:rsid w:val="00663C8B"/>
    <w:rsid w:val="00663CD5"/>
    <w:rsid w:val="00663EF3"/>
    <w:rsid w:val="00664053"/>
    <w:rsid w:val="00664277"/>
    <w:rsid w:val="006643F0"/>
    <w:rsid w:val="0066481F"/>
    <w:rsid w:val="00664837"/>
    <w:rsid w:val="00665412"/>
    <w:rsid w:val="0066639B"/>
    <w:rsid w:val="006663D5"/>
    <w:rsid w:val="00666773"/>
    <w:rsid w:val="0066689C"/>
    <w:rsid w:val="00666A74"/>
    <w:rsid w:val="00666AB9"/>
    <w:rsid w:val="00666BE1"/>
    <w:rsid w:val="00666E69"/>
    <w:rsid w:val="006672EB"/>
    <w:rsid w:val="00667767"/>
    <w:rsid w:val="006678D6"/>
    <w:rsid w:val="00667B46"/>
    <w:rsid w:val="00667CE6"/>
    <w:rsid w:val="00667D77"/>
    <w:rsid w:val="00667DF0"/>
    <w:rsid w:val="00667FE7"/>
    <w:rsid w:val="006700F1"/>
    <w:rsid w:val="00670625"/>
    <w:rsid w:val="0067079B"/>
    <w:rsid w:val="006709E2"/>
    <w:rsid w:val="006716F2"/>
    <w:rsid w:val="00671C7F"/>
    <w:rsid w:val="00671D0F"/>
    <w:rsid w:val="006720B8"/>
    <w:rsid w:val="0067265F"/>
    <w:rsid w:val="00672931"/>
    <w:rsid w:val="00672DB3"/>
    <w:rsid w:val="0067323A"/>
    <w:rsid w:val="0067330A"/>
    <w:rsid w:val="006735D8"/>
    <w:rsid w:val="006735F9"/>
    <w:rsid w:val="006736A6"/>
    <w:rsid w:val="00673CC0"/>
    <w:rsid w:val="00673D16"/>
    <w:rsid w:val="0067413F"/>
    <w:rsid w:val="0067424B"/>
    <w:rsid w:val="00674342"/>
    <w:rsid w:val="00674A06"/>
    <w:rsid w:val="00674A0E"/>
    <w:rsid w:val="00674B35"/>
    <w:rsid w:val="00674B48"/>
    <w:rsid w:val="00674C28"/>
    <w:rsid w:val="00674D22"/>
    <w:rsid w:val="006756B4"/>
    <w:rsid w:val="0067676A"/>
    <w:rsid w:val="00676877"/>
    <w:rsid w:val="006768C8"/>
    <w:rsid w:val="00676C37"/>
    <w:rsid w:val="00677076"/>
    <w:rsid w:val="00677125"/>
    <w:rsid w:val="0067747B"/>
    <w:rsid w:val="00677769"/>
    <w:rsid w:val="00677922"/>
    <w:rsid w:val="00677AF2"/>
    <w:rsid w:val="00677E05"/>
    <w:rsid w:val="0068033D"/>
    <w:rsid w:val="00680668"/>
    <w:rsid w:val="00680677"/>
    <w:rsid w:val="00680A92"/>
    <w:rsid w:val="00680CA6"/>
    <w:rsid w:val="00680E8E"/>
    <w:rsid w:val="00680F0A"/>
    <w:rsid w:val="00680FC6"/>
    <w:rsid w:val="00681324"/>
    <w:rsid w:val="0068148F"/>
    <w:rsid w:val="006816A4"/>
    <w:rsid w:val="006816DD"/>
    <w:rsid w:val="006819B5"/>
    <w:rsid w:val="0068213F"/>
    <w:rsid w:val="00682599"/>
    <w:rsid w:val="00682924"/>
    <w:rsid w:val="00682B18"/>
    <w:rsid w:val="00683A16"/>
    <w:rsid w:val="00683A7F"/>
    <w:rsid w:val="00683C98"/>
    <w:rsid w:val="00683CCD"/>
    <w:rsid w:val="00683E6D"/>
    <w:rsid w:val="00684606"/>
    <w:rsid w:val="006846AD"/>
    <w:rsid w:val="006846CB"/>
    <w:rsid w:val="0068472A"/>
    <w:rsid w:val="00684930"/>
    <w:rsid w:val="00685531"/>
    <w:rsid w:val="006856B4"/>
    <w:rsid w:val="0068578E"/>
    <w:rsid w:val="00685B88"/>
    <w:rsid w:val="00685D33"/>
    <w:rsid w:val="00685EC7"/>
    <w:rsid w:val="006861B4"/>
    <w:rsid w:val="006865E3"/>
    <w:rsid w:val="006869E2"/>
    <w:rsid w:val="00686B41"/>
    <w:rsid w:val="00686C28"/>
    <w:rsid w:val="00686E6E"/>
    <w:rsid w:val="00687A9F"/>
    <w:rsid w:val="00687DF6"/>
    <w:rsid w:val="006902AA"/>
    <w:rsid w:val="0069080A"/>
    <w:rsid w:val="00690957"/>
    <w:rsid w:val="0069140B"/>
    <w:rsid w:val="0069159F"/>
    <w:rsid w:val="006917A0"/>
    <w:rsid w:val="00691838"/>
    <w:rsid w:val="00691D89"/>
    <w:rsid w:val="0069219F"/>
    <w:rsid w:val="006921B6"/>
    <w:rsid w:val="0069227B"/>
    <w:rsid w:val="00692483"/>
    <w:rsid w:val="0069259A"/>
    <w:rsid w:val="00692E79"/>
    <w:rsid w:val="00693084"/>
    <w:rsid w:val="006936A3"/>
    <w:rsid w:val="00693753"/>
    <w:rsid w:val="00693F3B"/>
    <w:rsid w:val="00694399"/>
    <w:rsid w:val="00694775"/>
    <w:rsid w:val="00694C17"/>
    <w:rsid w:val="00694E51"/>
    <w:rsid w:val="00695270"/>
    <w:rsid w:val="006956CB"/>
    <w:rsid w:val="00695982"/>
    <w:rsid w:val="00696295"/>
    <w:rsid w:val="0069636B"/>
    <w:rsid w:val="00696DE8"/>
    <w:rsid w:val="0069748A"/>
    <w:rsid w:val="006974FE"/>
    <w:rsid w:val="006975A2"/>
    <w:rsid w:val="00697D1F"/>
    <w:rsid w:val="006A0473"/>
    <w:rsid w:val="006A06DC"/>
    <w:rsid w:val="006A0B9F"/>
    <w:rsid w:val="006A10C3"/>
    <w:rsid w:val="006A1105"/>
    <w:rsid w:val="006A1B9E"/>
    <w:rsid w:val="006A1CAD"/>
    <w:rsid w:val="006A23B2"/>
    <w:rsid w:val="006A2769"/>
    <w:rsid w:val="006A28D5"/>
    <w:rsid w:val="006A2ABD"/>
    <w:rsid w:val="006A2E0E"/>
    <w:rsid w:val="006A2E50"/>
    <w:rsid w:val="006A381E"/>
    <w:rsid w:val="006A3AC3"/>
    <w:rsid w:val="006A4840"/>
    <w:rsid w:val="006A4AAC"/>
    <w:rsid w:val="006A4B56"/>
    <w:rsid w:val="006A4BCF"/>
    <w:rsid w:val="006A4E26"/>
    <w:rsid w:val="006A4F23"/>
    <w:rsid w:val="006A5129"/>
    <w:rsid w:val="006A5241"/>
    <w:rsid w:val="006A538A"/>
    <w:rsid w:val="006A5738"/>
    <w:rsid w:val="006A5805"/>
    <w:rsid w:val="006A5AF0"/>
    <w:rsid w:val="006A5C9B"/>
    <w:rsid w:val="006A6195"/>
    <w:rsid w:val="006A638D"/>
    <w:rsid w:val="006A6407"/>
    <w:rsid w:val="006A671C"/>
    <w:rsid w:val="006A68DC"/>
    <w:rsid w:val="006A6ACF"/>
    <w:rsid w:val="006A6CE9"/>
    <w:rsid w:val="006A6DEA"/>
    <w:rsid w:val="006A6E66"/>
    <w:rsid w:val="006A6F03"/>
    <w:rsid w:val="006A6F59"/>
    <w:rsid w:val="006A70FF"/>
    <w:rsid w:val="006A75B4"/>
    <w:rsid w:val="006A7780"/>
    <w:rsid w:val="006A7C33"/>
    <w:rsid w:val="006A7D0D"/>
    <w:rsid w:val="006A7F31"/>
    <w:rsid w:val="006B0534"/>
    <w:rsid w:val="006B06CE"/>
    <w:rsid w:val="006B06EC"/>
    <w:rsid w:val="006B0A1B"/>
    <w:rsid w:val="006B0C21"/>
    <w:rsid w:val="006B0CBB"/>
    <w:rsid w:val="006B0F41"/>
    <w:rsid w:val="006B10DB"/>
    <w:rsid w:val="006B16D9"/>
    <w:rsid w:val="006B19A6"/>
    <w:rsid w:val="006B251E"/>
    <w:rsid w:val="006B2594"/>
    <w:rsid w:val="006B259C"/>
    <w:rsid w:val="006B2C6B"/>
    <w:rsid w:val="006B2CB6"/>
    <w:rsid w:val="006B2FC3"/>
    <w:rsid w:val="006B301B"/>
    <w:rsid w:val="006B31E4"/>
    <w:rsid w:val="006B35F8"/>
    <w:rsid w:val="006B3BE7"/>
    <w:rsid w:val="006B3C26"/>
    <w:rsid w:val="006B4238"/>
    <w:rsid w:val="006B4489"/>
    <w:rsid w:val="006B47CC"/>
    <w:rsid w:val="006B4922"/>
    <w:rsid w:val="006B4C7D"/>
    <w:rsid w:val="006B4C95"/>
    <w:rsid w:val="006B56E7"/>
    <w:rsid w:val="006B574F"/>
    <w:rsid w:val="006B5864"/>
    <w:rsid w:val="006B5A46"/>
    <w:rsid w:val="006B61E3"/>
    <w:rsid w:val="006B63A6"/>
    <w:rsid w:val="006B6F4E"/>
    <w:rsid w:val="006B73F3"/>
    <w:rsid w:val="006B7649"/>
    <w:rsid w:val="006B79C7"/>
    <w:rsid w:val="006B7B6E"/>
    <w:rsid w:val="006B7CC6"/>
    <w:rsid w:val="006B7DBF"/>
    <w:rsid w:val="006C0194"/>
    <w:rsid w:val="006C01E9"/>
    <w:rsid w:val="006C041F"/>
    <w:rsid w:val="006C059F"/>
    <w:rsid w:val="006C0BA7"/>
    <w:rsid w:val="006C0F5B"/>
    <w:rsid w:val="006C0FD5"/>
    <w:rsid w:val="006C19A4"/>
    <w:rsid w:val="006C1A63"/>
    <w:rsid w:val="006C1B24"/>
    <w:rsid w:val="006C1D13"/>
    <w:rsid w:val="006C1D5D"/>
    <w:rsid w:val="006C219E"/>
    <w:rsid w:val="006C2336"/>
    <w:rsid w:val="006C26F7"/>
    <w:rsid w:val="006C28E1"/>
    <w:rsid w:val="006C2D6C"/>
    <w:rsid w:val="006C2F50"/>
    <w:rsid w:val="006C3435"/>
    <w:rsid w:val="006C376B"/>
    <w:rsid w:val="006C3782"/>
    <w:rsid w:val="006C3837"/>
    <w:rsid w:val="006C396D"/>
    <w:rsid w:val="006C3A58"/>
    <w:rsid w:val="006C3FD7"/>
    <w:rsid w:val="006C42C1"/>
    <w:rsid w:val="006C47BF"/>
    <w:rsid w:val="006C4971"/>
    <w:rsid w:val="006C4D49"/>
    <w:rsid w:val="006C4DD9"/>
    <w:rsid w:val="006C4EBB"/>
    <w:rsid w:val="006C561F"/>
    <w:rsid w:val="006C5865"/>
    <w:rsid w:val="006C5924"/>
    <w:rsid w:val="006C5950"/>
    <w:rsid w:val="006C5CD0"/>
    <w:rsid w:val="006C5EAB"/>
    <w:rsid w:val="006C6648"/>
    <w:rsid w:val="006C68B4"/>
    <w:rsid w:val="006C68CF"/>
    <w:rsid w:val="006C75F6"/>
    <w:rsid w:val="006D02BD"/>
    <w:rsid w:val="006D0493"/>
    <w:rsid w:val="006D0570"/>
    <w:rsid w:val="006D079D"/>
    <w:rsid w:val="006D08EF"/>
    <w:rsid w:val="006D0A25"/>
    <w:rsid w:val="006D0C5B"/>
    <w:rsid w:val="006D1036"/>
    <w:rsid w:val="006D11EA"/>
    <w:rsid w:val="006D1296"/>
    <w:rsid w:val="006D14BE"/>
    <w:rsid w:val="006D1605"/>
    <w:rsid w:val="006D19DE"/>
    <w:rsid w:val="006D1A8E"/>
    <w:rsid w:val="006D1D8D"/>
    <w:rsid w:val="006D22E2"/>
    <w:rsid w:val="006D283E"/>
    <w:rsid w:val="006D29AC"/>
    <w:rsid w:val="006D3194"/>
    <w:rsid w:val="006D39C6"/>
    <w:rsid w:val="006D3C3B"/>
    <w:rsid w:val="006D3CEA"/>
    <w:rsid w:val="006D3D9A"/>
    <w:rsid w:val="006D4AE7"/>
    <w:rsid w:val="006D4EA2"/>
    <w:rsid w:val="006D5237"/>
    <w:rsid w:val="006D5507"/>
    <w:rsid w:val="006D633B"/>
    <w:rsid w:val="006D6646"/>
    <w:rsid w:val="006D6F25"/>
    <w:rsid w:val="006D7278"/>
    <w:rsid w:val="006D73EC"/>
    <w:rsid w:val="006D769D"/>
    <w:rsid w:val="006D7726"/>
    <w:rsid w:val="006D78B5"/>
    <w:rsid w:val="006D7D38"/>
    <w:rsid w:val="006D7DE9"/>
    <w:rsid w:val="006D7F74"/>
    <w:rsid w:val="006E0450"/>
    <w:rsid w:val="006E0461"/>
    <w:rsid w:val="006E0EA5"/>
    <w:rsid w:val="006E11D7"/>
    <w:rsid w:val="006E126D"/>
    <w:rsid w:val="006E17E0"/>
    <w:rsid w:val="006E1804"/>
    <w:rsid w:val="006E196F"/>
    <w:rsid w:val="006E1ABF"/>
    <w:rsid w:val="006E1C4C"/>
    <w:rsid w:val="006E1EE0"/>
    <w:rsid w:val="006E2805"/>
    <w:rsid w:val="006E28FA"/>
    <w:rsid w:val="006E2B9C"/>
    <w:rsid w:val="006E35A7"/>
    <w:rsid w:val="006E36F0"/>
    <w:rsid w:val="006E3EEC"/>
    <w:rsid w:val="006E3FC6"/>
    <w:rsid w:val="006E4511"/>
    <w:rsid w:val="006E48CC"/>
    <w:rsid w:val="006E4CC9"/>
    <w:rsid w:val="006E4DB0"/>
    <w:rsid w:val="006E505D"/>
    <w:rsid w:val="006E5158"/>
    <w:rsid w:val="006E5496"/>
    <w:rsid w:val="006E5606"/>
    <w:rsid w:val="006E5787"/>
    <w:rsid w:val="006E5C87"/>
    <w:rsid w:val="006E5C8C"/>
    <w:rsid w:val="006E5DA2"/>
    <w:rsid w:val="006E6106"/>
    <w:rsid w:val="006E62D8"/>
    <w:rsid w:val="006E6531"/>
    <w:rsid w:val="006E65B1"/>
    <w:rsid w:val="006E682F"/>
    <w:rsid w:val="006E6860"/>
    <w:rsid w:val="006E6B0C"/>
    <w:rsid w:val="006E6B5E"/>
    <w:rsid w:val="006E7186"/>
    <w:rsid w:val="006E7AB4"/>
    <w:rsid w:val="006E7B0D"/>
    <w:rsid w:val="006F0407"/>
    <w:rsid w:val="006F04E6"/>
    <w:rsid w:val="006F0642"/>
    <w:rsid w:val="006F064E"/>
    <w:rsid w:val="006F0866"/>
    <w:rsid w:val="006F1060"/>
    <w:rsid w:val="006F119C"/>
    <w:rsid w:val="006F12D0"/>
    <w:rsid w:val="006F14FB"/>
    <w:rsid w:val="006F1A86"/>
    <w:rsid w:val="006F1D3E"/>
    <w:rsid w:val="006F22FF"/>
    <w:rsid w:val="006F2FBC"/>
    <w:rsid w:val="006F311D"/>
    <w:rsid w:val="006F3226"/>
    <w:rsid w:val="006F353F"/>
    <w:rsid w:val="006F380A"/>
    <w:rsid w:val="006F3DA7"/>
    <w:rsid w:val="006F3E20"/>
    <w:rsid w:val="006F439A"/>
    <w:rsid w:val="006F4E74"/>
    <w:rsid w:val="006F4F35"/>
    <w:rsid w:val="006F537D"/>
    <w:rsid w:val="006F5E24"/>
    <w:rsid w:val="006F7709"/>
    <w:rsid w:val="006F77DA"/>
    <w:rsid w:val="006F7A69"/>
    <w:rsid w:val="00700021"/>
    <w:rsid w:val="007002DD"/>
    <w:rsid w:val="0070050D"/>
    <w:rsid w:val="0070063D"/>
    <w:rsid w:val="00700678"/>
    <w:rsid w:val="0070105F"/>
    <w:rsid w:val="0070147C"/>
    <w:rsid w:val="0070194D"/>
    <w:rsid w:val="00701F43"/>
    <w:rsid w:val="007022B2"/>
    <w:rsid w:val="00702452"/>
    <w:rsid w:val="00702781"/>
    <w:rsid w:val="00702CD0"/>
    <w:rsid w:val="007030F6"/>
    <w:rsid w:val="0070330F"/>
    <w:rsid w:val="00703719"/>
    <w:rsid w:val="0070386A"/>
    <w:rsid w:val="00703DBF"/>
    <w:rsid w:val="00703DC5"/>
    <w:rsid w:val="007040A9"/>
    <w:rsid w:val="00704185"/>
    <w:rsid w:val="007045BB"/>
    <w:rsid w:val="00704A4A"/>
    <w:rsid w:val="00704B49"/>
    <w:rsid w:val="00704DD9"/>
    <w:rsid w:val="00704FB2"/>
    <w:rsid w:val="00704FFA"/>
    <w:rsid w:val="00705A50"/>
    <w:rsid w:val="00705A91"/>
    <w:rsid w:val="00705F3D"/>
    <w:rsid w:val="00706079"/>
    <w:rsid w:val="0070611F"/>
    <w:rsid w:val="007063F6"/>
    <w:rsid w:val="00706804"/>
    <w:rsid w:val="00706946"/>
    <w:rsid w:val="00706F3A"/>
    <w:rsid w:val="007071BB"/>
    <w:rsid w:val="00707A80"/>
    <w:rsid w:val="00707C78"/>
    <w:rsid w:val="00707E9E"/>
    <w:rsid w:val="00710098"/>
    <w:rsid w:val="00710131"/>
    <w:rsid w:val="00710708"/>
    <w:rsid w:val="007114F2"/>
    <w:rsid w:val="007117EF"/>
    <w:rsid w:val="007118D8"/>
    <w:rsid w:val="007120F8"/>
    <w:rsid w:val="00712B18"/>
    <w:rsid w:val="00712BFE"/>
    <w:rsid w:val="00712C52"/>
    <w:rsid w:val="00712CFD"/>
    <w:rsid w:val="00712ED3"/>
    <w:rsid w:val="007137F9"/>
    <w:rsid w:val="00713A51"/>
    <w:rsid w:val="00713AC0"/>
    <w:rsid w:val="00713B74"/>
    <w:rsid w:val="00713C19"/>
    <w:rsid w:val="00713CF1"/>
    <w:rsid w:val="00713D72"/>
    <w:rsid w:val="00713FA0"/>
    <w:rsid w:val="00714468"/>
    <w:rsid w:val="007144E0"/>
    <w:rsid w:val="00714649"/>
    <w:rsid w:val="007151D6"/>
    <w:rsid w:val="007156F0"/>
    <w:rsid w:val="00715927"/>
    <w:rsid w:val="00716213"/>
    <w:rsid w:val="007162D9"/>
    <w:rsid w:val="00716693"/>
    <w:rsid w:val="007168B7"/>
    <w:rsid w:val="00716A9F"/>
    <w:rsid w:val="00716EB6"/>
    <w:rsid w:val="00717482"/>
    <w:rsid w:val="00717B58"/>
    <w:rsid w:val="00717B78"/>
    <w:rsid w:val="00717C2B"/>
    <w:rsid w:val="007200E0"/>
    <w:rsid w:val="00720142"/>
    <w:rsid w:val="00720155"/>
    <w:rsid w:val="007206F7"/>
    <w:rsid w:val="00720B89"/>
    <w:rsid w:val="00720C77"/>
    <w:rsid w:val="00720C80"/>
    <w:rsid w:val="00721292"/>
    <w:rsid w:val="007212EB"/>
    <w:rsid w:val="0072137B"/>
    <w:rsid w:val="0072196B"/>
    <w:rsid w:val="00721C63"/>
    <w:rsid w:val="00721D0A"/>
    <w:rsid w:val="00721D20"/>
    <w:rsid w:val="00721D5A"/>
    <w:rsid w:val="00722068"/>
    <w:rsid w:val="007222F9"/>
    <w:rsid w:val="00722356"/>
    <w:rsid w:val="00722553"/>
    <w:rsid w:val="007226E0"/>
    <w:rsid w:val="00722808"/>
    <w:rsid w:val="00722A5D"/>
    <w:rsid w:val="00722B5F"/>
    <w:rsid w:val="00722CB6"/>
    <w:rsid w:val="007233B9"/>
    <w:rsid w:val="007236CF"/>
    <w:rsid w:val="00723A4A"/>
    <w:rsid w:val="00723AC3"/>
    <w:rsid w:val="0072431F"/>
    <w:rsid w:val="007244AE"/>
    <w:rsid w:val="00724618"/>
    <w:rsid w:val="007247BB"/>
    <w:rsid w:val="00724B5A"/>
    <w:rsid w:val="00725551"/>
    <w:rsid w:val="00725D34"/>
    <w:rsid w:val="0072614E"/>
    <w:rsid w:val="00726276"/>
    <w:rsid w:val="007263C8"/>
    <w:rsid w:val="007271CF"/>
    <w:rsid w:val="007271D9"/>
    <w:rsid w:val="007272DF"/>
    <w:rsid w:val="0072740F"/>
    <w:rsid w:val="00727916"/>
    <w:rsid w:val="007279D9"/>
    <w:rsid w:val="00727B79"/>
    <w:rsid w:val="00727BAA"/>
    <w:rsid w:val="00727BFC"/>
    <w:rsid w:val="00727D2D"/>
    <w:rsid w:val="00727D54"/>
    <w:rsid w:val="00727E3B"/>
    <w:rsid w:val="00727FB5"/>
    <w:rsid w:val="007302B9"/>
    <w:rsid w:val="00730342"/>
    <w:rsid w:val="0073085B"/>
    <w:rsid w:val="00730A8A"/>
    <w:rsid w:val="00730B5A"/>
    <w:rsid w:val="00730C79"/>
    <w:rsid w:val="00730D35"/>
    <w:rsid w:val="00730E42"/>
    <w:rsid w:val="00730F7A"/>
    <w:rsid w:val="00731257"/>
    <w:rsid w:val="007314B1"/>
    <w:rsid w:val="0073168E"/>
    <w:rsid w:val="00731840"/>
    <w:rsid w:val="00731C31"/>
    <w:rsid w:val="00731DC8"/>
    <w:rsid w:val="0073204B"/>
    <w:rsid w:val="007325A3"/>
    <w:rsid w:val="0073281F"/>
    <w:rsid w:val="00732DC7"/>
    <w:rsid w:val="00732E5A"/>
    <w:rsid w:val="007331AE"/>
    <w:rsid w:val="007332B6"/>
    <w:rsid w:val="00733B15"/>
    <w:rsid w:val="00733F61"/>
    <w:rsid w:val="0073427A"/>
    <w:rsid w:val="007342A4"/>
    <w:rsid w:val="0073448D"/>
    <w:rsid w:val="0073496E"/>
    <w:rsid w:val="007350DD"/>
    <w:rsid w:val="007359C1"/>
    <w:rsid w:val="00735E04"/>
    <w:rsid w:val="00735FE6"/>
    <w:rsid w:val="00736122"/>
    <w:rsid w:val="007361D5"/>
    <w:rsid w:val="0073639D"/>
    <w:rsid w:val="007368E5"/>
    <w:rsid w:val="00736932"/>
    <w:rsid w:val="00737056"/>
    <w:rsid w:val="00737174"/>
    <w:rsid w:val="007372B2"/>
    <w:rsid w:val="007373DF"/>
    <w:rsid w:val="00737443"/>
    <w:rsid w:val="00737662"/>
    <w:rsid w:val="00737C7A"/>
    <w:rsid w:val="0074001A"/>
    <w:rsid w:val="00740094"/>
    <w:rsid w:val="00740196"/>
    <w:rsid w:val="0074022D"/>
    <w:rsid w:val="007407D7"/>
    <w:rsid w:val="007408EC"/>
    <w:rsid w:val="00740D46"/>
    <w:rsid w:val="00740DD4"/>
    <w:rsid w:val="007411EE"/>
    <w:rsid w:val="00741827"/>
    <w:rsid w:val="007418D3"/>
    <w:rsid w:val="00741A0B"/>
    <w:rsid w:val="00741B56"/>
    <w:rsid w:val="00741BAC"/>
    <w:rsid w:val="00741E6F"/>
    <w:rsid w:val="0074206B"/>
    <w:rsid w:val="00742148"/>
    <w:rsid w:val="007421EF"/>
    <w:rsid w:val="0074220A"/>
    <w:rsid w:val="007427DA"/>
    <w:rsid w:val="00742B0C"/>
    <w:rsid w:val="00742D38"/>
    <w:rsid w:val="00742D75"/>
    <w:rsid w:val="00742DE4"/>
    <w:rsid w:val="00742EA3"/>
    <w:rsid w:val="00743646"/>
    <w:rsid w:val="007436F9"/>
    <w:rsid w:val="00743B30"/>
    <w:rsid w:val="00743C2B"/>
    <w:rsid w:val="00743CC5"/>
    <w:rsid w:val="00743ED6"/>
    <w:rsid w:val="007441F2"/>
    <w:rsid w:val="00744CB2"/>
    <w:rsid w:val="007451F9"/>
    <w:rsid w:val="007454CD"/>
    <w:rsid w:val="00745814"/>
    <w:rsid w:val="00745B97"/>
    <w:rsid w:val="00745FD2"/>
    <w:rsid w:val="0074668B"/>
    <w:rsid w:val="00746A6E"/>
    <w:rsid w:val="00746B6C"/>
    <w:rsid w:val="00746C43"/>
    <w:rsid w:val="00746CE6"/>
    <w:rsid w:val="007476D3"/>
    <w:rsid w:val="00747897"/>
    <w:rsid w:val="00747AE0"/>
    <w:rsid w:val="00747E7B"/>
    <w:rsid w:val="0075003E"/>
    <w:rsid w:val="0075062A"/>
    <w:rsid w:val="00750A47"/>
    <w:rsid w:val="0075169F"/>
    <w:rsid w:val="00751D48"/>
    <w:rsid w:val="00752425"/>
    <w:rsid w:val="0075253B"/>
    <w:rsid w:val="00752900"/>
    <w:rsid w:val="00752D53"/>
    <w:rsid w:val="00752E63"/>
    <w:rsid w:val="007531AC"/>
    <w:rsid w:val="007536BA"/>
    <w:rsid w:val="007538CE"/>
    <w:rsid w:val="00753B6B"/>
    <w:rsid w:val="00753EB3"/>
    <w:rsid w:val="00754091"/>
    <w:rsid w:val="0075409F"/>
    <w:rsid w:val="00754112"/>
    <w:rsid w:val="0075425F"/>
    <w:rsid w:val="00754441"/>
    <w:rsid w:val="00754C4B"/>
    <w:rsid w:val="00754CAE"/>
    <w:rsid w:val="00754CE9"/>
    <w:rsid w:val="0075544E"/>
    <w:rsid w:val="0075574D"/>
    <w:rsid w:val="00755B14"/>
    <w:rsid w:val="00755BF1"/>
    <w:rsid w:val="00755C77"/>
    <w:rsid w:val="00755E01"/>
    <w:rsid w:val="00756182"/>
    <w:rsid w:val="0075665E"/>
    <w:rsid w:val="007569F5"/>
    <w:rsid w:val="00756BE6"/>
    <w:rsid w:val="00756FAC"/>
    <w:rsid w:val="007571C6"/>
    <w:rsid w:val="00757878"/>
    <w:rsid w:val="00757943"/>
    <w:rsid w:val="00757DAD"/>
    <w:rsid w:val="00760281"/>
    <w:rsid w:val="0076067E"/>
    <w:rsid w:val="007612B4"/>
    <w:rsid w:val="00761341"/>
    <w:rsid w:val="0076153C"/>
    <w:rsid w:val="007617AC"/>
    <w:rsid w:val="00761C6E"/>
    <w:rsid w:val="00761ED4"/>
    <w:rsid w:val="0076224B"/>
    <w:rsid w:val="00762575"/>
    <w:rsid w:val="007627B7"/>
    <w:rsid w:val="00762DD3"/>
    <w:rsid w:val="00762F91"/>
    <w:rsid w:val="00763045"/>
    <w:rsid w:val="007631CF"/>
    <w:rsid w:val="00763515"/>
    <w:rsid w:val="007636B6"/>
    <w:rsid w:val="00763D1F"/>
    <w:rsid w:val="00763F88"/>
    <w:rsid w:val="00764511"/>
    <w:rsid w:val="007647D0"/>
    <w:rsid w:val="0076500E"/>
    <w:rsid w:val="0076547F"/>
    <w:rsid w:val="007661DE"/>
    <w:rsid w:val="0076644F"/>
    <w:rsid w:val="007667DC"/>
    <w:rsid w:val="00766B01"/>
    <w:rsid w:val="007670D3"/>
    <w:rsid w:val="0076710A"/>
    <w:rsid w:val="00767950"/>
    <w:rsid w:val="00767B1B"/>
    <w:rsid w:val="00767EA8"/>
    <w:rsid w:val="00767F68"/>
    <w:rsid w:val="00767F87"/>
    <w:rsid w:val="00770A28"/>
    <w:rsid w:val="00770C10"/>
    <w:rsid w:val="00770C25"/>
    <w:rsid w:val="0077131C"/>
    <w:rsid w:val="00771601"/>
    <w:rsid w:val="00771977"/>
    <w:rsid w:val="00771C61"/>
    <w:rsid w:val="00771C76"/>
    <w:rsid w:val="00771E13"/>
    <w:rsid w:val="00771E42"/>
    <w:rsid w:val="0077256E"/>
    <w:rsid w:val="00772B4F"/>
    <w:rsid w:val="00772D02"/>
    <w:rsid w:val="007737DB"/>
    <w:rsid w:val="00773A2D"/>
    <w:rsid w:val="00773BA7"/>
    <w:rsid w:val="00773F74"/>
    <w:rsid w:val="00773FAE"/>
    <w:rsid w:val="00773FEF"/>
    <w:rsid w:val="00774239"/>
    <w:rsid w:val="0077436E"/>
    <w:rsid w:val="007746F5"/>
    <w:rsid w:val="00774B80"/>
    <w:rsid w:val="007752EE"/>
    <w:rsid w:val="00775AA1"/>
    <w:rsid w:val="00775AC2"/>
    <w:rsid w:val="00775ADA"/>
    <w:rsid w:val="00775BC6"/>
    <w:rsid w:val="00775C1C"/>
    <w:rsid w:val="00775C32"/>
    <w:rsid w:val="00776D94"/>
    <w:rsid w:val="00777265"/>
    <w:rsid w:val="007775AC"/>
    <w:rsid w:val="00777B9C"/>
    <w:rsid w:val="00780340"/>
    <w:rsid w:val="00780493"/>
    <w:rsid w:val="00780E2E"/>
    <w:rsid w:val="00780EA0"/>
    <w:rsid w:val="00780F3B"/>
    <w:rsid w:val="00780FAE"/>
    <w:rsid w:val="007812AD"/>
    <w:rsid w:val="007813E9"/>
    <w:rsid w:val="00781CC1"/>
    <w:rsid w:val="007820D4"/>
    <w:rsid w:val="0078218E"/>
    <w:rsid w:val="007821EC"/>
    <w:rsid w:val="0078224D"/>
    <w:rsid w:val="00782545"/>
    <w:rsid w:val="00782776"/>
    <w:rsid w:val="007828A9"/>
    <w:rsid w:val="0078320A"/>
    <w:rsid w:val="00783699"/>
    <w:rsid w:val="00783E60"/>
    <w:rsid w:val="00783FD2"/>
    <w:rsid w:val="007840A3"/>
    <w:rsid w:val="0078436C"/>
    <w:rsid w:val="0078440E"/>
    <w:rsid w:val="00784446"/>
    <w:rsid w:val="007844E8"/>
    <w:rsid w:val="007847E9"/>
    <w:rsid w:val="007848BD"/>
    <w:rsid w:val="007849D3"/>
    <w:rsid w:val="00784ADD"/>
    <w:rsid w:val="007850E9"/>
    <w:rsid w:val="00785385"/>
    <w:rsid w:val="007856B5"/>
    <w:rsid w:val="00785AF3"/>
    <w:rsid w:val="00785B60"/>
    <w:rsid w:val="00786102"/>
    <w:rsid w:val="007862E0"/>
    <w:rsid w:val="00786379"/>
    <w:rsid w:val="0078699E"/>
    <w:rsid w:val="00786CCA"/>
    <w:rsid w:val="00786D19"/>
    <w:rsid w:val="00787005"/>
    <w:rsid w:val="00787588"/>
    <w:rsid w:val="00787810"/>
    <w:rsid w:val="00787839"/>
    <w:rsid w:val="00787856"/>
    <w:rsid w:val="0078789A"/>
    <w:rsid w:val="00787994"/>
    <w:rsid w:val="0079004F"/>
    <w:rsid w:val="007904E0"/>
    <w:rsid w:val="00790745"/>
    <w:rsid w:val="00790858"/>
    <w:rsid w:val="007908A8"/>
    <w:rsid w:val="00791304"/>
    <w:rsid w:val="007916C4"/>
    <w:rsid w:val="007925E7"/>
    <w:rsid w:val="00792878"/>
    <w:rsid w:val="007929ED"/>
    <w:rsid w:val="00792AA5"/>
    <w:rsid w:val="00792AE4"/>
    <w:rsid w:val="0079303F"/>
    <w:rsid w:val="0079345C"/>
    <w:rsid w:val="0079358E"/>
    <w:rsid w:val="00793CB2"/>
    <w:rsid w:val="00793D7C"/>
    <w:rsid w:val="00793D8F"/>
    <w:rsid w:val="00793F0F"/>
    <w:rsid w:val="00794394"/>
    <w:rsid w:val="007944F6"/>
    <w:rsid w:val="007946E7"/>
    <w:rsid w:val="0079479B"/>
    <w:rsid w:val="00794A4E"/>
    <w:rsid w:val="00794B36"/>
    <w:rsid w:val="00794E48"/>
    <w:rsid w:val="007951FF"/>
    <w:rsid w:val="00795519"/>
    <w:rsid w:val="00795B90"/>
    <w:rsid w:val="00795C57"/>
    <w:rsid w:val="00796358"/>
    <w:rsid w:val="00796399"/>
    <w:rsid w:val="0079647A"/>
    <w:rsid w:val="0079667D"/>
    <w:rsid w:val="007967F1"/>
    <w:rsid w:val="00797200"/>
    <w:rsid w:val="007972C3"/>
    <w:rsid w:val="007974E4"/>
    <w:rsid w:val="007976F9"/>
    <w:rsid w:val="00797C56"/>
    <w:rsid w:val="00797DCA"/>
    <w:rsid w:val="007A0097"/>
    <w:rsid w:val="007A0E71"/>
    <w:rsid w:val="007A1205"/>
    <w:rsid w:val="007A141F"/>
    <w:rsid w:val="007A154B"/>
    <w:rsid w:val="007A1B25"/>
    <w:rsid w:val="007A1B6D"/>
    <w:rsid w:val="007A2076"/>
    <w:rsid w:val="007A260F"/>
    <w:rsid w:val="007A269C"/>
    <w:rsid w:val="007A27EE"/>
    <w:rsid w:val="007A2882"/>
    <w:rsid w:val="007A2E35"/>
    <w:rsid w:val="007A3645"/>
    <w:rsid w:val="007A380B"/>
    <w:rsid w:val="007A38E1"/>
    <w:rsid w:val="007A39C6"/>
    <w:rsid w:val="007A3A6D"/>
    <w:rsid w:val="007A3AC7"/>
    <w:rsid w:val="007A3B77"/>
    <w:rsid w:val="007A3E31"/>
    <w:rsid w:val="007A4333"/>
    <w:rsid w:val="007A4980"/>
    <w:rsid w:val="007A4B7B"/>
    <w:rsid w:val="007A4C09"/>
    <w:rsid w:val="007A4E70"/>
    <w:rsid w:val="007A4EEE"/>
    <w:rsid w:val="007A50D9"/>
    <w:rsid w:val="007A5265"/>
    <w:rsid w:val="007A533F"/>
    <w:rsid w:val="007A5833"/>
    <w:rsid w:val="007A5D51"/>
    <w:rsid w:val="007A64AF"/>
    <w:rsid w:val="007A66E8"/>
    <w:rsid w:val="007A6B59"/>
    <w:rsid w:val="007A6CE6"/>
    <w:rsid w:val="007A6FC7"/>
    <w:rsid w:val="007A7202"/>
    <w:rsid w:val="007A7433"/>
    <w:rsid w:val="007A7A4D"/>
    <w:rsid w:val="007A7AF8"/>
    <w:rsid w:val="007A7E3A"/>
    <w:rsid w:val="007A7E68"/>
    <w:rsid w:val="007A7FA2"/>
    <w:rsid w:val="007B046D"/>
    <w:rsid w:val="007B0550"/>
    <w:rsid w:val="007B0CB1"/>
    <w:rsid w:val="007B0D8D"/>
    <w:rsid w:val="007B0F3A"/>
    <w:rsid w:val="007B1212"/>
    <w:rsid w:val="007B129D"/>
    <w:rsid w:val="007B164C"/>
    <w:rsid w:val="007B1866"/>
    <w:rsid w:val="007B1BD5"/>
    <w:rsid w:val="007B200F"/>
    <w:rsid w:val="007B230F"/>
    <w:rsid w:val="007B231C"/>
    <w:rsid w:val="007B250A"/>
    <w:rsid w:val="007B2511"/>
    <w:rsid w:val="007B257B"/>
    <w:rsid w:val="007B28B4"/>
    <w:rsid w:val="007B2F9B"/>
    <w:rsid w:val="007B30E3"/>
    <w:rsid w:val="007B33C7"/>
    <w:rsid w:val="007B34FD"/>
    <w:rsid w:val="007B3904"/>
    <w:rsid w:val="007B3F50"/>
    <w:rsid w:val="007B42D5"/>
    <w:rsid w:val="007B4428"/>
    <w:rsid w:val="007B4AFC"/>
    <w:rsid w:val="007B4B2F"/>
    <w:rsid w:val="007B5251"/>
    <w:rsid w:val="007B5A86"/>
    <w:rsid w:val="007B5E8C"/>
    <w:rsid w:val="007B5F63"/>
    <w:rsid w:val="007B6322"/>
    <w:rsid w:val="007B66E4"/>
    <w:rsid w:val="007B708D"/>
    <w:rsid w:val="007B7289"/>
    <w:rsid w:val="007C0557"/>
    <w:rsid w:val="007C0B04"/>
    <w:rsid w:val="007C0B12"/>
    <w:rsid w:val="007C0F4F"/>
    <w:rsid w:val="007C0F8D"/>
    <w:rsid w:val="007C1079"/>
    <w:rsid w:val="007C11EB"/>
    <w:rsid w:val="007C12B8"/>
    <w:rsid w:val="007C14E1"/>
    <w:rsid w:val="007C157A"/>
    <w:rsid w:val="007C1AA5"/>
    <w:rsid w:val="007C1DC3"/>
    <w:rsid w:val="007C1F82"/>
    <w:rsid w:val="007C2409"/>
    <w:rsid w:val="007C25D0"/>
    <w:rsid w:val="007C260D"/>
    <w:rsid w:val="007C3200"/>
    <w:rsid w:val="007C33B0"/>
    <w:rsid w:val="007C36AD"/>
    <w:rsid w:val="007C3D6A"/>
    <w:rsid w:val="007C3D85"/>
    <w:rsid w:val="007C3F37"/>
    <w:rsid w:val="007C4468"/>
    <w:rsid w:val="007C4D84"/>
    <w:rsid w:val="007C5163"/>
    <w:rsid w:val="007C53EB"/>
    <w:rsid w:val="007C55D5"/>
    <w:rsid w:val="007C5BBB"/>
    <w:rsid w:val="007C5CE6"/>
    <w:rsid w:val="007C5D9D"/>
    <w:rsid w:val="007C5F31"/>
    <w:rsid w:val="007C6A38"/>
    <w:rsid w:val="007C6B3F"/>
    <w:rsid w:val="007C6E16"/>
    <w:rsid w:val="007C6E39"/>
    <w:rsid w:val="007C6F34"/>
    <w:rsid w:val="007C7266"/>
    <w:rsid w:val="007C72B1"/>
    <w:rsid w:val="007C72D4"/>
    <w:rsid w:val="007C73F9"/>
    <w:rsid w:val="007C7931"/>
    <w:rsid w:val="007C79B9"/>
    <w:rsid w:val="007C7BCB"/>
    <w:rsid w:val="007C7BCC"/>
    <w:rsid w:val="007C7C06"/>
    <w:rsid w:val="007C7C36"/>
    <w:rsid w:val="007D0143"/>
    <w:rsid w:val="007D07E7"/>
    <w:rsid w:val="007D0859"/>
    <w:rsid w:val="007D08EE"/>
    <w:rsid w:val="007D0E8B"/>
    <w:rsid w:val="007D132F"/>
    <w:rsid w:val="007D1401"/>
    <w:rsid w:val="007D14F6"/>
    <w:rsid w:val="007D1B89"/>
    <w:rsid w:val="007D1FF1"/>
    <w:rsid w:val="007D26FE"/>
    <w:rsid w:val="007D2779"/>
    <w:rsid w:val="007D284B"/>
    <w:rsid w:val="007D2CC0"/>
    <w:rsid w:val="007D305A"/>
    <w:rsid w:val="007D3283"/>
    <w:rsid w:val="007D397D"/>
    <w:rsid w:val="007D39A4"/>
    <w:rsid w:val="007D3D1E"/>
    <w:rsid w:val="007D4425"/>
    <w:rsid w:val="007D45AB"/>
    <w:rsid w:val="007D468B"/>
    <w:rsid w:val="007D49A6"/>
    <w:rsid w:val="007D4B9C"/>
    <w:rsid w:val="007D4C22"/>
    <w:rsid w:val="007D4D40"/>
    <w:rsid w:val="007D5069"/>
    <w:rsid w:val="007D56A6"/>
    <w:rsid w:val="007D5DDA"/>
    <w:rsid w:val="007D63D2"/>
    <w:rsid w:val="007D664F"/>
    <w:rsid w:val="007D6977"/>
    <w:rsid w:val="007D726C"/>
    <w:rsid w:val="007D73F8"/>
    <w:rsid w:val="007D7423"/>
    <w:rsid w:val="007D7617"/>
    <w:rsid w:val="007D7DB6"/>
    <w:rsid w:val="007E0384"/>
    <w:rsid w:val="007E0E34"/>
    <w:rsid w:val="007E0F0A"/>
    <w:rsid w:val="007E0F94"/>
    <w:rsid w:val="007E0FE9"/>
    <w:rsid w:val="007E1316"/>
    <w:rsid w:val="007E1530"/>
    <w:rsid w:val="007E1883"/>
    <w:rsid w:val="007E1E5E"/>
    <w:rsid w:val="007E1F4D"/>
    <w:rsid w:val="007E254E"/>
    <w:rsid w:val="007E2B02"/>
    <w:rsid w:val="007E3150"/>
    <w:rsid w:val="007E3B1A"/>
    <w:rsid w:val="007E3B1C"/>
    <w:rsid w:val="007E3C3D"/>
    <w:rsid w:val="007E3E99"/>
    <w:rsid w:val="007E4287"/>
    <w:rsid w:val="007E4827"/>
    <w:rsid w:val="007E4A85"/>
    <w:rsid w:val="007E5022"/>
    <w:rsid w:val="007E6696"/>
    <w:rsid w:val="007E67E0"/>
    <w:rsid w:val="007E6954"/>
    <w:rsid w:val="007E6D85"/>
    <w:rsid w:val="007E6DF9"/>
    <w:rsid w:val="007E6F44"/>
    <w:rsid w:val="007E7270"/>
    <w:rsid w:val="007E72F2"/>
    <w:rsid w:val="007E7612"/>
    <w:rsid w:val="007E77CA"/>
    <w:rsid w:val="007E784C"/>
    <w:rsid w:val="007E7A21"/>
    <w:rsid w:val="007E7E44"/>
    <w:rsid w:val="007F0178"/>
    <w:rsid w:val="007F085F"/>
    <w:rsid w:val="007F0CB0"/>
    <w:rsid w:val="007F0CCA"/>
    <w:rsid w:val="007F0CFA"/>
    <w:rsid w:val="007F0D3F"/>
    <w:rsid w:val="007F12FB"/>
    <w:rsid w:val="007F1FF4"/>
    <w:rsid w:val="007F1FF9"/>
    <w:rsid w:val="007F24D4"/>
    <w:rsid w:val="007F2DF6"/>
    <w:rsid w:val="007F2F23"/>
    <w:rsid w:val="007F3296"/>
    <w:rsid w:val="007F35BD"/>
    <w:rsid w:val="007F3891"/>
    <w:rsid w:val="007F41D8"/>
    <w:rsid w:val="007F4486"/>
    <w:rsid w:val="007F45C1"/>
    <w:rsid w:val="007F47D7"/>
    <w:rsid w:val="007F4AE4"/>
    <w:rsid w:val="007F4C3F"/>
    <w:rsid w:val="007F4D0D"/>
    <w:rsid w:val="007F545E"/>
    <w:rsid w:val="007F54B8"/>
    <w:rsid w:val="007F550C"/>
    <w:rsid w:val="007F572F"/>
    <w:rsid w:val="007F60B6"/>
    <w:rsid w:val="007F62DD"/>
    <w:rsid w:val="007F63AF"/>
    <w:rsid w:val="007F648E"/>
    <w:rsid w:val="007F6D0F"/>
    <w:rsid w:val="007F7440"/>
    <w:rsid w:val="007F75DA"/>
    <w:rsid w:val="007F779A"/>
    <w:rsid w:val="007F7BB3"/>
    <w:rsid w:val="007F7BC4"/>
    <w:rsid w:val="007F7FDD"/>
    <w:rsid w:val="008003E3"/>
    <w:rsid w:val="008008AB"/>
    <w:rsid w:val="00800AD6"/>
    <w:rsid w:val="00800D9E"/>
    <w:rsid w:val="0080106E"/>
    <w:rsid w:val="00801384"/>
    <w:rsid w:val="00801A75"/>
    <w:rsid w:val="00801E0A"/>
    <w:rsid w:val="008021E1"/>
    <w:rsid w:val="00802357"/>
    <w:rsid w:val="0080268D"/>
    <w:rsid w:val="00802891"/>
    <w:rsid w:val="00802CE3"/>
    <w:rsid w:val="00802E58"/>
    <w:rsid w:val="00803122"/>
    <w:rsid w:val="0080315F"/>
    <w:rsid w:val="0080316D"/>
    <w:rsid w:val="008031C3"/>
    <w:rsid w:val="008031E2"/>
    <w:rsid w:val="00803269"/>
    <w:rsid w:val="008036EC"/>
    <w:rsid w:val="0080375C"/>
    <w:rsid w:val="0080375D"/>
    <w:rsid w:val="00803AEB"/>
    <w:rsid w:val="00803C9D"/>
    <w:rsid w:val="00803D58"/>
    <w:rsid w:val="00803DFA"/>
    <w:rsid w:val="00803FE1"/>
    <w:rsid w:val="00804931"/>
    <w:rsid w:val="00804A54"/>
    <w:rsid w:val="00804A86"/>
    <w:rsid w:val="0080509D"/>
    <w:rsid w:val="00805261"/>
    <w:rsid w:val="0080533B"/>
    <w:rsid w:val="00805573"/>
    <w:rsid w:val="0080568A"/>
    <w:rsid w:val="008057E9"/>
    <w:rsid w:val="00805810"/>
    <w:rsid w:val="0080588C"/>
    <w:rsid w:val="00805C6B"/>
    <w:rsid w:val="00805D2D"/>
    <w:rsid w:val="00805EAB"/>
    <w:rsid w:val="0080664C"/>
    <w:rsid w:val="00806CBC"/>
    <w:rsid w:val="008071B0"/>
    <w:rsid w:val="0080726A"/>
    <w:rsid w:val="00807316"/>
    <w:rsid w:val="00807C91"/>
    <w:rsid w:val="00810115"/>
    <w:rsid w:val="008103A5"/>
    <w:rsid w:val="008103DE"/>
    <w:rsid w:val="008104A2"/>
    <w:rsid w:val="0081072D"/>
    <w:rsid w:val="00810812"/>
    <w:rsid w:val="00810A3C"/>
    <w:rsid w:val="00810D36"/>
    <w:rsid w:val="00810DE2"/>
    <w:rsid w:val="00810E71"/>
    <w:rsid w:val="00810F0D"/>
    <w:rsid w:val="0081178B"/>
    <w:rsid w:val="00811A63"/>
    <w:rsid w:val="00811CC6"/>
    <w:rsid w:val="00812100"/>
    <w:rsid w:val="00812628"/>
    <w:rsid w:val="008126A8"/>
    <w:rsid w:val="008126FA"/>
    <w:rsid w:val="008129A8"/>
    <w:rsid w:val="00812AF2"/>
    <w:rsid w:val="00812C9C"/>
    <w:rsid w:val="00812CB9"/>
    <w:rsid w:val="00812E86"/>
    <w:rsid w:val="00812EB2"/>
    <w:rsid w:val="00812F30"/>
    <w:rsid w:val="008132C8"/>
    <w:rsid w:val="008137E6"/>
    <w:rsid w:val="008137EC"/>
    <w:rsid w:val="0081397F"/>
    <w:rsid w:val="00813A85"/>
    <w:rsid w:val="00813C89"/>
    <w:rsid w:val="00814642"/>
    <w:rsid w:val="008148E8"/>
    <w:rsid w:val="00814EC0"/>
    <w:rsid w:val="00815106"/>
    <w:rsid w:val="008151C7"/>
    <w:rsid w:val="00815403"/>
    <w:rsid w:val="008155EA"/>
    <w:rsid w:val="00815665"/>
    <w:rsid w:val="00815749"/>
    <w:rsid w:val="008158C7"/>
    <w:rsid w:val="008159A3"/>
    <w:rsid w:val="00815B0C"/>
    <w:rsid w:val="00816136"/>
    <w:rsid w:val="00816149"/>
    <w:rsid w:val="008163CE"/>
    <w:rsid w:val="0081644F"/>
    <w:rsid w:val="0081736A"/>
    <w:rsid w:val="00817380"/>
    <w:rsid w:val="0081760D"/>
    <w:rsid w:val="008179B9"/>
    <w:rsid w:val="00817D3F"/>
    <w:rsid w:val="00817E4F"/>
    <w:rsid w:val="0082017A"/>
    <w:rsid w:val="008208D1"/>
    <w:rsid w:val="00820962"/>
    <w:rsid w:val="008209E7"/>
    <w:rsid w:val="00820B10"/>
    <w:rsid w:val="008211B5"/>
    <w:rsid w:val="00821A80"/>
    <w:rsid w:val="00821F74"/>
    <w:rsid w:val="008220BA"/>
    <w:rsid w:val="008228EB"/>
    <w:rsid w:val="00822B1F"/>
    <w:rsid w:val="00822CEA"/>
    <w:rsid w:val="008237C1"/>
    <w:rsid w:val="00823D5B"/>
    <w:rsid w:val="00823E87"/>
    <w:rsid w:val="008240E2"/>
    <w:rsid w:val="008241B5"/>
    <w:rsid w:val="008243F3"/>
    <w:rsid w:val="008245E1"/>
    <w:rsid w:val="0082460E"/>
    <w:rsid w:val="00824DE5"/>
    <w:rsid w:val="008251F7"/>
    <w:rsid w:val="00825356"/>
    <w:rsid w:val="00825A8B"/>
    <w:rsid w:val="00825F98"/>
    <w:rsid w:val="008266CD"/>
    <w:rsid w:val="00827158"/>
    <w:rsid w:val="0082734E"/>
    <w:rsid w:val="00827470"/>
    <w:rsid w:val="00827E86"/>
    <w:rsid w:val="008301AD"/>
    <w:rsid w:val="00830340"/>
    <w:rsid w:val="008303A9"/>
    <w:rsid w:val="008306FD"/>
    <w:rsid w:val="008309A6"/>
    <w:rsid w:val="00830B55"/>
    <w:rsid w:val="00830E61"/>
    <w:rsid w:val="00830ED4"/>
    <w:rsid w:val="008313F8"/>
    <w:rsid w:val="00831602"/>
    <w:rsid w:val="00831AE9"/>
    <w:rsid w:val="00831B76"/>
    <w:rsid w:val="00831ED8"/>
    <w:rsid w:val="00831F8D"/>
    <w:rsid w:val="008322F8"/>
    <w:rsid w:val="008323C1"/>
    <w:rsid w:val="00832F2E"/>
    <w:rsid w:val="00832F9A"/>
    <w:rsid w:val="008330DB"/>
    <w:rsid w:val="008330FA"/>
    <w:rsid w:val="00833FE3"/>
    <w:rsid w:val="0083445B"/>
    <w:rsid w:val="008344F7"/>
    <w:rsid w:val="008347DB"/>
    <w:rsid w:val="00834E19"/>
    <w:rsid w:val="0083515C"/>
    <w:rsid w:val="0083561E"/>
    <w:rsid w:val="008358E1"/>
    <w:rsid w:val="00835C5A"/>
    <w:rsid w:val="00836412"/>
    <w:rsid w:val="00836413"/>
    <w:rsid w:val="00836765"/>
    <w:rsid w:val="008367A4"/>
    <w:rsid w:val="00836897"/>
    <w:rsid w:val="00836EE6"/>
    <w:rsid w:val="00837038"/>
    <w:rsid w:val="00837535"/>
    <w:rsid w:val="00837781"/>
    <w:rsid w:val="0083782F"/>
    <w:rsid w:val="00837931"/>
    <w:rsid w:val="00837B80"/>
    <w:rsid w:val="00837EDA"/>
    <w:rsid w:val="008400D0"/>
    <w:rsid w:val="00840ACA"/>
    <w:rsid w:val="00840EC9"/>
    <w:rsid w:val="008410E7"/>
    <w:rsid w:val="0084125F"/>
    <w:rsid w:val="00841506"/>
    <w:rsid w:val="008415A7"/>
    <w:rsid w:val="00841972"/>
    <w:rsid w:val="008421AF"/>
    <w:rsid w:val="00842229"/>
    <w:rsid w:val="0084225C"/>
    <w:rsid w:val="00842FA1"/>
    <w:rsid w:val="00842FD5"/>
    <w:rsid w:val="00843319"/>
    <w:rsid w:val="00843433"/>
    <w:rsid w:val="00843651"/>
    <w:rsid w:val="00843807"/>
    <w:rsid w:val="00843A53"/>
    <w:rsid w:val="00843B11"/>
    <w:rsid w:val="00843D5E"/>
    <w:rsid w:val="00843EB4"/>
    <w:rsid w:val="008440F0"/>
    <w:rsid w:val="00844431"/>
    <w:rsid w:val="008447D4"/>
    <w:rsid w:val="00844C6C"/>
    <w:rsid w:val="0084549A"/>
    <w:rsid w:val="00845EB0"/>
    <w:rsid w:val="008463C9"/>
    <w:rsid w:val="008464EC"/>
    <w:rsid w:val="00846B51"/>
    <w:rsid w:val="00846D2C"/>
    <w:rsid w:val="00846DC5"/>
    <w:rsid w:val="00846F11"/>
    <w:rsid w:val="008475FE"/>
    <w:rsid w:val="008476C6"/>
    <w:rsid w:val="0084773C"/>
    <w:rsid w:val="00847875"/>
    <w:rsid w:val="008478E8"/>
    <w:rsid w:val="00847D84"/>
    <w:rsid w:val="0085013E"/>
    <w:rsid w:val="00850198"/>
    <w:rsid w:val="008504F9"/>
    <w:rsid w:val="00850604"/>
    <w:rsid w:val="00850873"/>
    <w:rsid w:val="008508CE"/>
    <w:rsid w:val="008515AE"/>
    <w:rsid w:val="008518E0"/>
    <w:rsid w:val="0085191B"/>
    <w:rsid w:val="00851B9D"/>
    <w:rsid w:val="00851C9D"/>
    <w:rsid w:val="008520A1"/>
    <w:rsid w:val="00852321"/>
    <w:rsid w:val="0085248A"/>
    <w:rsid w:val="00852729"/>
    <w:rsid w:val="00852852"/>
    <w:rsid w:val="00852AA5"/>
    <w:rsid w:val="00852ABE"/>
    <w:rsid w:val="00853242"/>
    <w:rsid w:val="008535FE"/>
    <w:rsid w:val="00853923"/>
    <w:rsid w:val="00853A1C"/>
    <w:rsid w:val="00853BBA"/>
    <w:rsid w:val="00853EDF"/>
    <w:rsid w:val="00853F9B"/>
    <w:rsid w:val="00854081"/>
    <w:rsid w:val="0085418E"/>
    <w:rsid w:val="008544C0"/>
    <w:rsid w:val="00854813"/>
    <w:rsid w:val="00855504"/>
    <w:rsid w:val="00855517"/>
    <w:rsid w:val="008555CE"/>
    <w:rsid w:val="00855622"/>
    <w:rsid w:val="0085592C"/>
    <w:rsid w:val="00855B44"/>
    <w:rsid w:val="0085621E"/>
    <w:rsid w:val="00856423"/>
    <w:rsid w:val="00856659"/>
    <w:rsid w:val="00856A2C"/>
    <w:rsid w:val="008572CE"/>
    <w:rsid w:val="00857703"/>
    <w:rsid w:val="0085777F"/>
    <w:rsid w:val="00857A4A"/>
    <w:rsid w:val="00860311"/>
    <w:rsid w:val="008608A4"/>
    <w:rsid w:val="00860BE4"/>
    <w:rsid w:val="00860EE0"/>
    <w:rsid w:val="008610B0"/>
    <w:rsid w:val="0086131C"/>
    <w:rsid w:val="00861583"/>
    <w:rsid w:val="0086194B"/>
    <w:rsid w:val="00861AC2"/>
    <w:rsid w:val="0086217B"/>
    <w:rsid w:val="008628F1"/>
    <w:rsid w:val="00862AB2"/>
    <w:rsid w:val="00863050"/>
    <w:rsid w:val="0086369B"/>
    <w:rsid w:val="00863C01"/>
    <w:rsid w:val="00863D45"/>
    <w:rsid w:val="00863DB3"/>
    <w:rsid w:val="00864253"/>
    <w:rsid w:val="00864815"/>
    <w:rsid w:val="008660B8"/>
    <w:rsid w:val="0086611F"/>
    <w:rsid w:val="008662C9"/>
    <w:rsid w:val="008664B8"/>
    <w:rsid w:val="00866994"/>
    <w:rsid w:val="008671AA"/>
    <w:rsid w:val="008671DD"/>
    <w:rsid w:val="00867F5A"/>
    <w:rsid w:val="008700CD"/>
    <w:rsid w:val="008701CF"/>
    <w:rsid w:val="008703E2"/>
    <w:rsid w:val="00870889"/>
    <w:rsid w:val="008709A0"/>
    <w:rsid w:val="008709B9"/>
    <w:rsid w:val="00870A4D"/>
    <w:rsid w:val="00870C10"/>
    <w:rsid w:val="00871063"/>
    <w:rsid w:val="008712E1"/>
    <w:rsid w:val="008713AF"/>
    <w:rsid w:val="00871AF5"/>
    <w:rsid w:val="00871B6C"/>
    <w:rsid w:val="00871F91"/>
    <w:rsid w:val="0087204C"/>
    <w:rsid w:val="0087218A"/>
    <w:rsid w:val="00872528"/>
    <w:rsid w:val="00872817"/>
    <w:rsid w:val="00872E12"/>
    <w:rsid w:val="008734B8"/>
    <w:rsid w:val="008737EE"/>
    <w:rsid w:val="008739AE"/>
    <w:rsid w:val="008739BA"/>
    <w:rsid w:val="00873AB0"/>
    <w:rsid w:val="00873B37"/>
    <w:rsid w:val="00873DE5"/>
    <w:rsid w:val="00873E0B"/>
    <w:rsid w:val="00873E69"/>
    <w:rsid w:val="00873F94"/>
    <w:rsid w:val="00873F9D"/>
    <w:rsid w:val="008741D1"/>
    <w:rsid w:val="0087492C"/>
    <w:rsid w:val="00874BD7"/>
    <w:rsid w:val="00874ED9"/>
    <w:rsid w:val="0087526D"/>
    <w:rsid w:val="008752E3"/>
    <w:rsid w:val="00875719"/>
    <w:rsid w:val="0087573D"/>
    <w:rsid w:val="008757C2"/>
    <w:rsid w:val="008759D4"/>
    <w:rsid w:val="00876080"/>
    <w:rsid w:val="0087655B"/>
    <w:rsid w:val="00876AD4"/>
    <w:rsid w:val="00876B33"/>
    <w:rsid w:val="00876DA7"/>
    <w:rsid w:val="00877193"/>
    <w:rsid w:val="00877235"/>
    <w:rsid w:val="00877460"/>
    <w:rsid w:val="008775E6"/>
    <w:rsid w:val="00877C03"/>
    <w:rsid w:val="00877DA6"/>
    <w:rsid w:val="008801BB"/>
    <w:rsid w:val="0088066B"/>
    <w:rsid w:val="00880859"/>
    <w:rsid w:val="00880F60"/>
    <w:rsid w:val="0088160B"/>
    <w:rsid w:val="00882293"/>
    <w:rsid w:val="0088232F"/>
    <w:rsid w:val="008824E3"/>
    <w:rsid w:val="00882A9E"/>
    <w:rsid w:val="00882C73"/>
    <w:rsid w:val="00883147"/>
    <w:rsid w:val="008837B7"/>
    <w:rsid w:val="00883A89"/>
    <w:rsid w:val="00883BC1"/>
    <w:rsid w:val="00883E07"/>
    <w:rsid w:val="00884046"/>
    <w:rsid w:val="008847D3"/>
    <w:rsid w:val="00884D6B"/>
    <w:rsid w:val="00884EAD"/>
    <w:rsid w:val="00885328"/>
    <w:rsid w:val="0088540A"/>
    <w:rsid w:val="008855CA"/>
    <w:rsid w:val="00885668"/>
    <w:rsid w:val="00885688"/>
    <w:rsid w:val="00885841"/>
    <w:rsid w:val="008858CD"/>
    <w:rsid w:val="00885C7D"/>
    <w:rsid w:val="00886587"/>
    <w:rsid w:val="00887043"/>
    <w:rsid w:val="008872E7"/>
    <w:rsid w:val="00887562"/>
    <w:rsid w:val="008876FF"/>
    <w:rsid w:val="00887B27"/>
    <w:rsid w:val="00887CA4"/>
    <w:rsid w:val="00887E1F"/>
    <w:rsid w:val="00887FB2"/>
    <w:rsid w:val="00890076"/>
    <w:rsid w:val="008905D8"/>
    <w:rsid w:val="008906F3"/>
    <w:rsid w:val="00890917"/>
    <w:rsid w:val="008909FF"/>
    <w:rsid w:val="00890A1B"/>
    <w:rsid w:val="00890D54"/>
    <w:rsid w:val="00890D8B"/>
    <w:rsid w:val="008910A9"/>
    <w:rsid w:val="0089121B"/>
    <w:rsid w:val="00891489"/>
    <w:rsid w:val="00891570"/>
    <w:rsid w:val="0089174C"/>
    <w:rsid w:val="00891A7A"/>
    <w:rsid w:val="00891C76"/>
    <w:rsid w:val="00891CA0"/>
    <w:rsid w:val="008926EF"/>
    <w:rsid w:val="00892806"/>
    <w:rsid w:val="008928EE"/>
    <w:rsid w:val="00892BC9"/>
    <w:rsid w:val="00892FC8"/>
    <w:rsid w:val="00892FFD"/>
    <w:rsid w:val="00893681"/>
    <w:rsid w:val="008936AF"/>
    <w:rsid w:val="00893773"/>
    <w:rsid w:val="00893E3B"/>
    <w:rsid w:val="00893F04"/>
    <w:rsid w:val="00893F1E"/>
    <w:rsid w:val="008941E7"/>
    <w:rsid w:val="008941F8"/>
    <w:rsid w:val="008942BD"/>
    <w:rsid w:val="008943BE"/>
    <w:rsid w:val="00894421"/>
    <w:rsid w:val="00894578"/>
    <w:rsid w:val="008947A3"/>
    <w:rsid w:val="00894C1D"/>
    <w:rsid w:val="008950AC"/>
    <w:rsid w:val="008950E9"/>
    <w:rsid w:val="00895242"/>
    <w:rsid w:val="008954AB"/>
    <w:rsid w:val="00895549"/>
    <w:rsid w:val="0089575A"/>
    <w:rsid w:val="00895A2B"/>
    <w:rsid w:val="00895B94"/>
    <w:rsid w:val="00895BD2"/>
    <w:rsid w:val="00895C2C"/>
    <w:rsid w:val="00895E22"/>
    <w:rsid w:val="008963C9"/>
    <w:rsid w:val="0089658F"/>
    <w:rsid w:val="00896671"/>
    <w:rsid w:val="008966AB"/>
    <w:rsid w:val="008966B6"/>
    <w:rsid w:val="00896A80"/>
    <w:rsid w:val="00896C58"/>
    <w:rsid w:val="00896C76"/>
    <w:rsid w:val="00896D00"/>
    <w:rsid w:val="00896D04"/>
    <w:rsid w:val="00896E69"/>
    <w:rsid w:val="00897484"/>
    <w:rsid w:val="00897BB7"/>
    <w:rsid w:val="008A0014"/>
    <w:rsid w:val="008A0495"/>
    <w:rsid w:val="008A0A81"/>
    <w:rsid w:val="008A10C7"/>
    <w:rsid w:val="008A1623"/>
    <w:rsid w:val="008A1719"/>
    <w:rsid w:val="008A1B77"/>
    <w:rsid w:val="008A1D15"/>
    <w:rsid w:val="008A1DBC"/>
    <w:rsid w:val="008A1F77"/>
    <w:rsid w:val="008A21AB"/>
    <w:rsid w:val="008A25DA"/>
    <w:rsid w:val="008A26E6"/>
    <w:rsid w:val="008A2BF3"/>
    <w:rsid w:val="008A2CAD"/>
    <w:rsid w:val="008A2D9F"/>
    <w:rsid w:val="008A2F21"/>
    <w:rsid w:val="008A3098"/>
    <w:rsid w:val="008A32FA"/>
    <w:rsid w:val="008A3B8F"/>
    <w:rsid w:val="008A3BFB"/>
    <w:rsid w:val="008A3CF2"/>
    <w:rsid w:val="008A4176"/>
    <w:rsid w:val="008A4768"/>
    <w:rsid w:val="008A49FE"/>
    <w:rsid w:val="008A501A"/>
    <w:rsid w:val="008A504C"/>
    <w:rsid w:val="008A54EE"/>
    <w:rsid w:val="008A556E"/>
    <w:rsid w:val="008A5576"/>
    <w:rsid w:val="008A5B4E"/>
    <w:rsid w:val="008A5B8E"/>
    <w:rsid w:val="008A5E08"/>
    <w:rsid w:val="008A5FD2"/>
    <w:rsid w:val="008A5FE5"/>
    <w:rsid w:val="008A6335"/>
    <w:rsid w:val="008A658A"/>
    <w:rsid w:val="008A678D"/>
    <w:rsid w:val="008A68E1"/>
    <w:rsid w:val="008A6AAE"/>
    <w:rsid w:val="008A76E2"/>
    <w:rsid w:val="008A7CA1"/>
    <w:rsid w:val="008A7CD6"/>
    <w:rsid w:val="008A7E15"/>
    <w:rsid w:val="008A7FB3"/>
    <w:rsid w:val="008B006A"/>
    <w:rsid w:val="008B00FB"/>
    <w:rsid w:val="008B0387"/>
    <w:rsid w:val="008B0450"/>
    <w:rsid w:val="008B058A"/>
    <w:rsid w:val="008B0779"/>
    <w:rsid w:val="008B0A99"/>
    <w:rsid w:val="008B0AD3"/>
    <w:rsid w:val="008B0E11"/>
    <w:rsid w:val="008B0FB1"/>
    <w:rsid w:val="008B282A"/>
    <w:rsid w:val="008B2900"/>
    <w:rsid w:val="008B2C9E"/>
    <w:rsid w:val="008B3039"/>
    <w:rsid w:val="008B31D8"/>
    <w:rsid w:val="008B3B96"/>
    <w:rsid w:val="008B4264"/>
    <w:rsid w:val="008B44C3"/>
    <w:rsid w:val="008B4587"/>
    <w:rsid w:val="008B4850"/>
    <w:rsid w:val="008B485A"/>
    <w:rsid w:val="008B4A16"/>
    <w:rsid w:val="008B4DE3"/>
    <w:rsid w:val="008B4E0F"/>
    <w:rsid w:val="008B5426"/>
    <w:rsid w:val="008B5817"/>
    <w:rsid w:val="008B5955"/>
    <w:rsid w:val="008B5C5B"/>
    <w:rsid w:val="008B5CBD"/>
    <w:rsid w:val="008B5E6E"/>
    <w:rsid w:val="008B5F5F"/>
    <w:rsid w:val="008B6060"/>
    <w:rsid w:val="008B60F6"/>
    <w:rsid w:val="008B6449"/>
    <w:rsid w:val="008B6484"/>
    <w:rsid w:val="008B6654"/>
    <w:rsid w:val="008B6950"/>
    <w:rsid w:val="008B7124"/>
    <w:rsid w:val="008B7181"/>
    <w:rsid w:val="008B76F0"/>
    <w:rsid w:val="008B781A"/>
    <w:rsid w:val="008B7831"/>
    <w:rsid w:val="008B7C3A"/>
    <w:rsid w:val="008B7C67"/>
    <w:rsid w:val="008B7FDB"/>
    <w:rsid w:val="008C00B4"/>
    <w:rsid w:val="008C0184"/>
    <w:rsid w:val="008C0331"/>
    <w:rsid w:val="008C0534"/>
    <w:rsid w:val="008C0952"/>
    <w:rsid w:val="008C154F"/>
    <w:rsid w:val="008C1DE4"/>
    <w:rsid w:val="008C20D2"/>
    <w:rsid w:val="008C2181"/>
    <w:rsid w:val="008C22BC"/>
    <w:rsid w:val="008C25E5"/>
    <w:rsid w:val="008C26D0"/>
    <w:rsid w:val="008C2842"/>
    <w:rsid w:val="008C3161"/>
    <w:rsid w:val="008C3239"/>
    <w:rsid w:val="008C34FC"/>
    <w:rsid w:val="008C3C13"/>
    <w:rsid w:val="008C3D4A"/>
    <w:rsid w:val="008C40A8"/>
    <w:rsid w:val="008C45C2"/>
    <w:rsid w:val="008C4811"/>
    <w:rsid w:val="008C4B58"/>
    <w:rsid w:val="008C4D2D"/>
    <w:rsid w:val="008C4F91"/>
    <w:rsid w:val="008C5483"/>
    <w:rsid w:val="008C57D5"/>
    <w:rsid w:val="008C57E0"/>
    <w:rsid w:val="008C5AB9"/>
    <w:rsid w:val="008C5B62"/>
    <w:rsid w:val="008C5E8F"/>
    <w:rsid w:val="008C65C2"/>
    <w:rsid w:val="008C6CAE"/>
    <w:rsid w:val="008C6F35"/>
    <w:rsid w:val="008C76E0"/>
    <w:rsid w:val="008C76EF"/>
    <w:rsid w:val="008C7A2F"/>
    <w:rsid w:val="008C7A8C"/>
    <w:rsid w:val="008D0415"/>
    <w:rsid w:val="008D09D5"/>
    <w:rsid w:val="008D0AB5"/>
    <w:rsid w:val="008D0D98"/>
    <w:rsid w:val="008D11A8"/>
    <w:rsid w:val="008D1581"/>
    <w:rsid w:val="008D185A"/>
    <w:rsid w:val="008D1A9D"/>
    <w:rsid w:val="008D23C0"/>
    <w:rsid w:val="008D2626"/>
    <w:rsid w:val="008D2977"/>
    <w:rsid w:val="008D29D5"/>
    <w:rsid w:val="008D2EB5"/>
    <w:rsid w:val="008D32B5"/>
    <w:rsid w:val="008D3778"/>
    <w:rsid w:val="008D386E"/>
    <w:rsid w:val="008D3A69"/>
    <w:rsid w:val="008D3AA7"/>
    <w:rsid w:val="008D408E"/>
    <w:rsid w:val="008D42C1"/>
    <w:rsid w:val="008D4586"/>
    <w:rsid w:val="008D4DDE"/>
    <w:rsid w:val="008D4ED8"/>
    <w:rsid w:val="008D50F7"/>
    <w:rsid w:val="008D516D"/>
    <w:rsid w:val="008D53AA"/>
    <w:rsid w:val="008D569B"/>
    <w:rsid w:val="008D5FF7"/>
    <w:rsid w:val="008D6198"/>
    <w:rsid w:val="008D6289"/>
    <w:rsid w:val="008D62DF"/>
    <w:rsid w:val="008D6BF0"/>
    <w:rsid w:val="008D6C27"/>
    <w:rsid w:val="008D6C78"/>
    <w:rsid w:val="008D6DBB"/>
    <w:rsid w:val="008D7229"/>
    <w:rsid w:val="008D76ED"/>
    <w:rsid w:val="008D77EB"/>
    <w:rsid w:val="008D7BD5"/>
    <w:rsid w:val="008D7ED0"/>
    <w:rsid w:val="008E0059"/>
    <w:rsid w:val="008E0D7C"/>
    <w:rsid w:val="008E0EE1"/>
    <w:rsid w:val="008E170C"/>
    <w:rsid w:val="008E17C0"/>
    <w:rsid w:val="008E1988"/>
    <w:rsid w:val="008E1AF9"/>
    <w:rsid w:val="008E1BA5"/>
    <w:rsid w:val="008E1BA9"/>
    <w:rsid w:val="008E2134"/>
    <w:rsid w:val="008E2AF7"/>
    <w:rsid w:val="008E2D1F"/>
    <w:rsid w:val="008E2F94"/>
    <w:rsid w:val="008E2FDB"/>
    <w:rsid w:val="008E338F"/>
    <w:rsid w:val="008E345A"/>
    <w:rsid w:val="008E35F7"/>
    <w:rsid w:val="008E3A03"/>
    <w:rsid w:val="008E3BE0"/>
    <w:rsid w:val="008E3E2C"/>
    <w:rsid w:val="008E3E95"/>
    <w:rsid w:val="008E411E"/>
    <w:rsid w:val="008E46F4"/>
    <w:rsid w:val="008E50D9"/>
    <w:rsid w:val="008E519E"/>
    <w:rsid w:val="008E56AF"/>
    <w:rsid w:val="008E57FF"/>
    <w:rsid w:val="008E5D9E"/>
    <w:rsid w:val="008E5EEC"/>
    <w:rsid w:val="008E6164"/>
    <w:rsid w:val="008E64D0"/>
    <w:rsid w:val="008E676A"/>
    <w:rsid w:val="008E6995"/>
    <w:rsid w:val="008E6C17"/>
    <w:rsid w:val="008E6EC4"/>
    <w:rsid w:val="008E7A00"/>
    <w:rsid w:val="008E7D5B"/>
    <w:rsid w:val="008E7EB7"/>
    <w:rsid w:val="008F0306"/>
    <w:rsid w:val="008F04E8"/>
    <w:rsid w:val="008F09B5"/>
    <w:rsid w:val="008F0A5B"/>
    <w:rsid w:val="008F0B8A"/>
    <w:rsid w:val="008F0E67"/>
    <w:rsid w:val="008F13B0"/>
    <w:rsid w:val="008F1C24"/>
    <w:rsid w:val="008F1CD4"/>
    <w:rsid w:val="008F1D1B"/>
    <w:rsid w:val="008F1E00"/>
    <w:rsid w:val="008F1FDB"/>
    <w:rsid w:val="008F24AD"/>
    <w:rsid w:val="008F24CF"/>
    <w:rsid w:val="008F29B0"/>
    <w:rsid w:val="008F29BC"/>
    <w:rsid w:val="008F308E"/>
    <w:rsid w:val="008F32DF"/>
    <w:rsid w:val="008F33C2"/>
    <w:rsid w:val="008F353C"/>
    <w:rsid w:val="008F357B"/>
    <w:rsid w:val="008F35A1"/>
    <w:rsid w:val="008F39ED"/>
    <w:rsid w:val="008F3A7F"/>
    <w:rsid w:val="008F3BF0"/>
    <w:rsid w:val="008F4C30"/>
    <w:rsid w:val="008F4CBE"/>
    <w:rsid w:val="008F4D64"/>
    <w:rsid w:val="008F4DFE"/>
    <w:rsid w:val="008F52D9"/>
    <w:rsid w:val="008F59A0"/>
    <w:rsid w:val="008F5B14"/>
    <w:rsid w:val="008F5CE7"/>
    <w:rsid w:val="008F5D5B"/>
    <w:rsid w:val="008F658E"/>
    <w:rsid w:val="008F6629"/>
    <w:rsid w:val="008F6669"/>
    <w:rsid w:val="008F68BC"/>
    <w:rsid w:val="008F6ACA"/>
    <w:rsid w:val="008F6E64"/>
    <w:rsid w:val="008F6F3B"/>
    <w:rsid w:val="008F73C9"/>
    <w:rsid w:val="008F7581"/>
    <w:rsid w:val="008F7650"/>
    <w:rsid w:val="008F79C3"/>
    <w:rsid w:val="009001E5"/>
    <w:rsid w:val="009002CB"/>
    <w:rsid w:val="00900310"/>
    <w:rsid w:val="009003FB"/>
    <w:rsid w:val="00900594"/>
    <w:rsid w:val="00900840"/>
    <w:rsid w:val="00900A21"/>
    <w:rsid w:val="00900C2A"/>
    <w:rsid w:val="00900FDA"/>
    <w:rsid w:val="0090108C"/>
    <w:rsid w:val="0090115E"/>
    <w:rsid w:val="00901234"/>
    <w:rsid w:val="00901636"/>
    <w:rsid w:val="0090198C"/>
    <w:rsid w:val="009019C0"/>
    <w:rsid w:val="00901B30"/>
    <w:rsid w:val="00901CD4"/>
    <w:rsid w:val="00902091"/>
    <w:rsid w:val="00902279"/>
    <w:rsid w:val="00902332"/>
    <w:rsid w:val="00902B26"/>
    <w:rsid w:val="00903372"/>
    <w:rsid w:val="00903588"/>
    <w:rsid w:val="009035C2"/>
    <w:rsid w:val="00903744"/>
    <w:rsid w:val="009038FB"/>
    <w:rsid w:val="009039BA"/>
    <w:rsid w:val="00903A51"/>
    <w:rsid w:val="0090444A"/>
    <w:rsid w:val="00904A4E"/>
    <w:rsid w:val="00905329"/>
    <w:rsid w:val="009056A3"/>
    <w:rsid w:val="0090583A"/>
    <w:rsid w:val="00905E97"/>
    <w:rsid w:val="00906A3D"/>
    <w:rsid w:val="00906B29"/>
    <w:rsid w:val="00906B42"/>
    <w:rsid w:val="00906C94"/>
    <w:rsid w:val="00906D68"/>
    <w:rsid w:val="00906E8F"/>
    <w:rsid w:val="0090732E"/>
    <w:rsid w:val="00907449"/>
    <w:rsid w:val="00907601"/>
    <w:rsid w:val="00907684"/>
    <w:rsid w:val="00907748"/>
    <w:rsid w:val="0090775D"/>
    <w:rsid w:val="00907918"/>
    <w:rsid w:val="00907AA5"/>
    <w:rsid w:val="00907FEE"/>
    <w:rsid w:val="009102A2"/>
    <w:rsid w:val="00910405"/>
    <w:rsid w:val="00910692"/>
    <w:rsid w:val="00910707"/>
    <w:rsid w:val="00910D0C"/>
    <w:rsid w:val="0091127A"/>
    <w:rsid w:val="009114CA"/>
    <w:rsid w:val="0091163E"/>
    <w:rsid w:val="009118C8"/>
    <w:rsid w:val="0091198A"/>
    <w:rsid w:val="00911E00"/>
    <w:rsid w:val="00912208"/>
    <w:rsid w:val="009122A7"/>
    <w:rsid w:val="00912608"/>
    <w:rsid w:val="00912688"/>
    <w:rsid w:val="00912BEC"/>
    <w:rsid w:val="00912C4A"/>
    <w:rsid w:val="00912F42"/>
    <w:rsid w:val="00912F70"/>
    <w:rsid w:val="00912FC9"/>
    <w:rsid w:val="009132E9"/>
    <w:rsid w:val="009139D9"/>
    <w:rsid w:val="00913CF9"/>
    <w:rsid w:val="00913D18"/>
    <w:rsid w:val="00913DE8"/>
    <w:rsid w:val="009141E5"/>
    <w:rsid w:val="00914EA3"/>
    <w:rsid w:val="00915153"/>
    <w:rsid w:val="00915355"/>
    <w:rsid w:val="00915374"/>
    <w:rsid w:val="0091542A"/>
    <w:rsid w:val="009154B8"/>
    <w:rsid w:val="009155FF"/>
    <w:rsid w:val="009156CB"/>
    <w:rsid w:val="00915757"/>
    <w:rsid w:val="0091628F"/>
    <w:rsid w:val="00916374"/>
    <w:rsid w:val="00916E90"/>
    <w:rsid w:val="00916FBD"/>
    <w:rsid w:val="00917772"/>
    <w:rsid w:val="00917964"/>
    <w:rsid w:val="00920090"/>
    <w:rsid w:val="009208AD"/>
    <w:rsid w:val="0092092A"/>
    <w:rsid w:val="009210C3"/>
    <w:rsid w:val="009210EA"/>
    <w:rsid w:val="0092111A"/>
    <w:rsid w:val="00921327"/>
    <w:rsid w:val="0092136A"/>
    <w:rsid w:val="009216BB"/>
    <w:rsid w:val="0092192C"/>
    <w:rsid w:val="00921E98"/>
    <w:rsid w:val="0092234C"/>
    <w:rsid w:val="00922573"/>
    <w:rsid w:val="00922922"/>
    <w:rsid w:val="009229B7"/>
    <w:rsid w:val="00922E6D"/>
    <w:rsid w:val="00922FAC"/>
    <w:rsid w:val="0092326C"/>
    <w:rsid w:val="0092347F"/>
    <w:rsid w:val="009235B2"/>
    <w:rsid w:val="0092361C"/>
    <w:rsid w:val="0092383B"/>
    <w:rsid w:val="0092385F"/>
    <w:rsid w:val="00923939"/>
    <w:rsid w:val="00923B24"/>
    <w:rsid w:val="00923C75"/>
    <w:rsid w:val="00923CDE"/>
    <w:rsid w:val="009240DA"/>
    <w:rsid w:val="009241A0"/>
    <w:rsid w:val="00924668"/>
    <w:rsid w:val="0092468A"/>
    <w:rsid w:val="00924979"/>
    <w:rsid w:val="00924D23"/>
    <w:rsid w:val="00924FD7"/>
    <w:rsid w:val="0092551C"/>
    <w:rsid w:val="0092586E"/>
    <w:rsid w:val="009259E2"/>
    <w:rsid w:val="00925FBA"/>
    <w:rsid w:val="00926210"/>
    <w:rsid w:val="0092636B"/>
    <w:rsid w:val="00926841"/>
    <w:rsid w:val="00926AF7"/>
    <w:rsid w:val="00926BAF"/>
    <w:rsid w:val="00926BFF"/>
    <w:rsid w:val="0092742D"/>
    <w:rsid w:val="00927540"/>
    <w:rsid w:val="009275DD"/>
    <w:rsid w:val="00927ACC"/>
    <w:rsid w:val="00927C94"/>
    <w:rsid w:val="00927CBE"/>
    <w:rsid w:val="00927D52"/>
    <w:rsid w:val="0093073F"/>
    <w:rsid w:val="009308EB"/>
    <w:rsid w:val="009312C2"/>
    <w:rsid w:val="00931386"/>
    <w:rsid w:val="00931527"/>
    <w:rsid w:val="0093154A"/>
    <w:rsid w:val="00931989"/>
    <w:rsid w:val="00931A5C"/>
    <w:rsid w:val="00932393"/>
    <w:rsid w:val="00932D07"/>
    <w:rsid w:val="00932D63"/>
    <w:rsid w:val="00932EB9"/>
    <w:rsid w:val="009332AF"/>
    <w:rsid w:val="00933527"/>
    <w:rsid w:val="009336A4"/>
    <w:rsid w:val="00934058"/>
    <w:rsid w:val="009341AB"/>
    <w:rsid w:val="009341B8"/>
    <w:rsid w:val="0093469C"/>
    <w:rsid w:val="00934756"/>
    <w:rsid w:val="009347E9"/>
    <w:rsid w:val="009347FB"/>
    <w:rsid w:val="00934C3B"/>
    <w:rsid w:val="00934F0C"/>
    <w:rsid w:val="00934F92"/>
    <w:rsid w:val="00935039"/>
    <w:rsid w:val="009351FD"/>
    <w:rsid w:val="00935638"/>
    <w:rsid w:val="00935771"/>
    <w:rsid w:val="009359B6"/>
    <w:rsid w:val="00935DE4"/>
    <w:rsid w:val="00935FC1"/>
    <w:rsid w:val="00936402"/>
    <w:rsid w:val="00936477"/>
    <w:rsid w:val="00936692"/>
    <w:rsid w:val="00936DE2"/>
    <w:rsid w:val="00937444"/>
    <w:rsid w:val="009376CF"/>
    <w:rsid w:val="00937B97"/>
    <w:rsid w:val="00937BA1"/>
    <w:rsid w:val="00937D24"/>
    <w:rsid w:val="0094079D"/>
    <w:rsid w:val="009407B3"/>
    <w:rsid w:val="00940D79"/>
    <w:rsid w:val="009416B9"/>
    <w:rsid w:val="009416E3"/>
    <w:rsid w:val="0094187A"/>
    <w:rsid w:val="00941A7C"/>
    <w:rsid w:val="0094210A"/>
    <w:rsid w:val="009422A5"/>
    <w:rsid w:val="00942E29"/>
    <w:rsid w:val="00944024"/>
    <w:rsid w:val="009442D1"/>
    <w:rsid w:val="009448B9"/>
    <w:rsid w:val="00944A09"/>
    <w:rsid w:val="00944E30"/>
    <w:rsid w:val="00944F5A"/>
    <w:rsid w:val="009457D3"/>
    <w:rsid w:val="00945C54"/>
    <w:rsid w:val="009460EA"/>
    <w:rsid w:val="0094660F"/>
    <w:rsid w:val="0094672A"/>
    <w:rsid w:val="00946A54"/>
    <w:rsid w:val="009470B8"/>
    <w:rsid w:val="0094768A"/>
    <w:rsid w:val="00947923"/>
    <w:rsid w:val="00950162"/>
    <w:rsid w:val="00950418"/>
    <w:rsid w:val="009507D4"/>
    <w:rsid w:val="00950A7B"/>
    <w:rsid w:val="0095106D"/>
    <w:rsid w:val="0095134E"/>
    <w:rsid w:val="0095157A"/>
    <w:rsid w:val="00951647"/>
    <w:rsid w:val="00951B06"/>
    <w:rsid w:val="00951D27"/>
    <w:rsid w:val="0095218B"/>
    <w:rsid w:val="00952DF8"/>
    <w:rsid w:val="00953233"/>
    <w:rsid w:val="00953243"/>
    <w:rsid w:val="00953402"/>
    <w:rsid w:val="0095393F"/>
    <w:rsid w:val="00953DCC"/>
    <w:rsid w:val="00954006"/>
    <w:rsid w:val="00954203"/>
    <w:rsid w:val="009542A6"/>
    <w:rsid w:val="00954A3C"/>
    <w:rsid w:val="00954C19"/>
    <w:rsid w:val="00954C5E"/>
    <w:rsid w:val="00954CCC"/>
    <w:rsid w:val="00954FD7"/>
    <w:rsid w:val="00955068"/>
    <w:rsid w:val="0095526F"/>
    <w:rsid w:val="009558E1"/>
    <w:rsid w:val="009561EE"/>
    <w:rsid w:val="00956441"/>
    <w:rsid w:val="0095648B"/>
    <w:rsid w:val="00956616"/>
    <w:rsid w:val="00956784"/>
    <w:rsid w:val="00956F47"/>
    <w:rsid w:val="009605AC"/>
    <w:rsid w:val="00960B29"/>
    <w:rsid w:val="00961296"/>
    <w:rsid w:val="0096146B"/>
    <w:rsid w:val="009618A7"/>
    <w:rsid w:val="00961B66"/>
    <w:rsid w:val="00961DF9"/>
    <w:rsid w:val="009621FC"/>
    <w:rsid w:val="00962724"/>
    <w:rsid w:val="00962784"/>
    <w:rsid w:val="009628F5"/>
    <w:rsid w:val="00962DE8"/>
    <w:rsid w:val="00962E49"/>
    <w:rsid w:val="00962FA4"/>
    <w:rsid w:val="00962FFE"/>
    <w:rsid w:val="0096371F"/>
    <w:rsid w:val="00964038"/>
    <w:rsid w:val="00964412"/>
    <w:rsid w:val="009645A4"/>
    <w:rsid w:val="009646D4"/>
    <w:rsid w:val="009647E7"/>
    <w:rsid w:val="00964858"/>
    <w:rsid w:val="009653FB"/>
    <w:rsid w:val="0096579C"/>
    <w:rsid w:val="00965A07"/>
    <w:rsid w:val="00965C5C"/>
    <w:rsid w:val="009662DB"/>
    <w:rsid w:val="009663A0"/>
    <w:rsid w:val="00966612"/>
    <w:rsid w:val="00966DCF"/>
    <w:rsid w:val="0096714C"/>
    <w:rsid w:val="009672D8"/>
    <w:rsid w:val="009676AD"/>
    <w:rsid w:val="00967755"/>
    <w:rsid w:val="00967C0D"/>
    <w:rsid w:val="00967D16"/>
    <w:rsid w:val="00967E1E"/>
    <w:rsid w:val="00970316"/>
    <w:rsid w:val="009703C2"/>
    <w:rsid w:val="009706DC"/>
    <w:rsid w:val="00970E5F"/>
    <w:rsid w:val="0097107A"/>
    <w:rsid w:val="009713E1"/>
    <w:rsid w:val="00971E87"/>
    <w:rsid w:val="00972116"/>
    <w:rsid w:val="00972651"/>
    <w:rsid w:val="00972C7A"/>
    <w:rsid w:val="0097371E"/>
    <w:rsid w:val="009737FE"/>
    <w:rsid w:val="00973B65"/>
    <w:rsid w:val="00973F8E"/>
    <w:rsid w:val="0097434F"/>
    <w:rsid w:val="009745DD"/>
    <w:rsid w:val="00974752"/>
    <w:rsid w:val="009747C6"/>
    <w:rsid w:val="00974B5B"/>
    <w:rsid w:val="009753B4"/>
    <w:rsid w:val="00975947"/>
    <w:rsid w:val="00976355"/>
    <w:rsid w:val="009763E9"/>
    <w:rsid w:val="0097655D"/>
    <w:rsid w:val="00976595"/>
    <w:rsid w:val="0097664B"/>
    <w:rsid w:val="0097667A"/>
    <w:rsid w:val="00976694"/>
    <w:rsid w:val="009766BD"/>
    <w:rsid w:val="0097680C"/>
    <w:rsid w:val="0097686B"/>
    <w:rsid w:val="009769E5"/>
    <w:rsid w:val="0097716D"/>
    <w:rsid w:val="00977846"/>
    <w:rsid w:val="00977B64"/>
    <w:rsid w:val="00980078"/>
    <w:rsid w:val="0098016A"/>
    <w:rsid w:val="00980308"/>
    <w:rsid w:val="009803EE"/>
    <w:rsid w:val="00980428"/>
    <w:rsid w:val="0098051F"/>
    <w:rsid w:val="00980B78"/>
    <w:rsid w:val="00980CE0"/>
    <w:rsid w:val="00980D8F"/>
    <w:rsid w:val="00980F0F"/>
    <w:rsid w:val="00980FB0"/>
    <w:rsid w:val="00981AD0"/>
    <w:rsid w:val="00981DA8"/>
    <w:rsid w:val="00981E86"/>
    <w:rsid w:val="00982186"/>
    <w:rsid w:val="00982A6A"/>
    <w:rsid w:val="00982B60"/>
    <w:rsid w:val="00982CD1"/>
    <w:rsid w:val="00982E88"/>
    <w:rsid w:val="00983277"/>
    <w:rsid w:val="009839E4"/>
    <w:rsid w:val="00983A54"/>
    <w:rsid w:val="00983C22"/>
    <w:rsid w:val="00984023"/>
    <w:rsid w:val="0098437E"/>
    <w:rsid w:val="009845BC"/>
    <w:rsid w:val="00984657"/>
    <w:rsid w:val="009848E8"/>
    <w:rsid w:val="00984BF1"/>
    <w:rsid w:val="00984EEB"/>
    <w:rsid w:val="00985218"/>
    <w:rsid w:val="0098534D"/>
    <w:rsid w:val="00985576"/>
    <w:rsid w:val="00985862"/>
    <w:rsid w:val="00985ABF"/>
    <w:rsid w:val="00985C48"/>
    <w:rsid w:val="009862D0"/>
    <w:rsid w:val="0098687C"/>
    <w:rsid w:val="0098717F"/>
    <w:rsid w:val="009873AD"/>
    <w:rsid w:val="00987491"/>
    <w:rsid w:val="009876A1"/>
    <w:rsid w:val="0099001F"/>
    <w:rsid w:val="0099009F"/>
    <w:rsid w:val="00990412"/>
    <w:rsid w:val="00990660"/>
    <w:rsid w:val="00990D5A"/>
    <w:rsid w:val="009917E4"/>
    <w:rsid w:val="00991A71"/>
    <w:rsid w:val="00991AF3"/>
    <w:rsid w:val="009929C7"/>
    <w:rsid w:val="00992CCA"/>
    <w:rsid w:val="00992D27"/>
    <w:rsid w:val="00993002"/>
    <w:rsid w:val="009930B9"/>
    <w:rsid w:val="009932CB"/>
    <w:rsid w:val="009932D7"/>
    <w:rsid w:val="009933DC"/>
    <w:rsid w:val="00993823"/>
    <w:rsid w:val="00993850"/>
    <w:rsid w:val="00993BBD"/>
    <w:rsid w:val="00993C74"/>
    <w:rsid w:val="00993C75"/>
    <w:rsid w:val="00993DA0"/>
    <w:rsid w:val="009943A1"/>
    <w:rsid w:val="00994593"/>
    <w:rsid w:val="00995099"/>
    <w:rsid w:val="00995110"/>
    <w:rsid w:val="00995178"/>
    <w:rsid w:val="00995591"/>
    <w:rsid w:val="009955DE"/>
    <w:rsid w:val="00995961"/>
    <w:rsid w:val="00995B93"/>
    <w:rsid w:val="00995D74"/>
    <w:rsid w:val="00995E94"/>
    <w:rsid w:val="00995EDE"/>
    <w:rsid w:val="00996277"/>
    <w:rsid w:val="0099708C"/>
    <w:rsid w:val="0099748D"/>
    <w:rsid w:val="00997522"/>
    <w:rsid w:val="0099790B"/>
    <w:rsid w:val="00997C17"/>
    <w:rsid w:val="00997CC6"/>
    <w:rsid w:val="00997E44"/>
    <w:rsid w:val="009A03D4"/>
    <w:rsid w:val="009A0D72"/>
    <w:rsid w:val="009A0E99"/>
    <w:rsid w:val="009A0EFB"/>
    <w:rsid w:val="009A0F0D"/>
    <w:rsid w:val="009A10D6"/>
    <w:rsid w:val="009A11D6"/>
    <w:rsid w:val="009A160B"/>
    <w:rsid w:val="009A1639"/>
    <w:rsid w:val="009A186F"/>
    <w:rsid w:val="009A1B94"/>
    <w:rsid w:val="009A1E56"/>
    <w:rsid w:val="009A20D4"/>
    <w:rsid w:val="009A283C"/>
    <w:rsid w:val="009A2A47"/>
    <w:rsid w:val="009A30AD"/>
    <w:rsid w:val="009A30B5"/>
    <w:rsid w:val="009A32F1"/>
    <w:rsid w:val="009A3A60"/>
    <w:rsid w:val="009A3C98"/>
    <w:rsid w:val="009A3CA6"/>
    <w:rsid w:val="009A4038"/>
    <w:rsid w:val="009A41EB"/>
    <w:rsid w:val="009A471C"/>
    <w:rsid w:val="009A4785"/>
    <w:rsid w:val="009A4AA0"/>
    <w:rsid w:val="009A4B47"/>
    <w:rsid w:val="009A4C0C"/>
    <w:rsid w:val="009A4CFA"/>
    <w:rsid w:val="009A4FA7"/>
    <w:rsid w:val="009A504E"/>
    <w:rsid w:val="009A5818"/>
    <w:rsid w:val="009A5AD7"/>
    <w:rsid w:val="009A600A"/>
    <w:rsid w:val="009A601E"/>
    <w:rsid w:val="009A6205"/>
    <w:rsid w:val="009A6295"/>
    <w:rsid w:val="009A6544"/>
    <w:rsid w:val="009A6AC2"/>
    <w:rsid w:val="009A6BF2"/>
    <w:rsid w:val="009A6C5D"/>
    <w:rsid w:val="009A718D"/>
    <w:rsid w:val="009A76EB"/>
    <w:rsid w:val="009A7B7D"/>
    <w:rsid w:val="009A7D93"/>
    <w:rsid w:val="009B0331"/>
    <w:rsid w:val="009B09E7"/>
    <w:rsid w:val="009B0E50"/>
    <w:rsid w:val="009B0E82"/>
    <w:rsid w:val="009B2711"/>
    <w:rsid w:val="009B27A4"/>
    <w:rsid w:val="009B2A1D"/>
    <w:rsid w:val="009B2EC1"/>
    <w:rsid w:val="009B3236"/>
    <w:rsid w:val="009B3309"/>
    <w:rsid w:val="009B33E9"/>
    <w:rsid w:val="009B39D0"/>
    <w:rsid w:val="009B4051"/>
    <w:rsid w:val="009B442F"/>
    <w:rsid w:val="009B46EA"/>
    <w:rsid w:val="009B4C02"/>
    <w:rsid w:val="009B4C6C"/>
    <w:rsid w:val="009B5074"/>
    <w:rsid w:val="009B644C"/>
    <w:rsid w:val="009B6728"/>
    <w:rsid w:val="009B678B"/>
    <w:rsid w:val="009B6AE3"/>
    <w:rsid w:val="009B6E58"/>
    <w:rsid w:val="009B6EEB"/>
    <w:rsid w:val="009B710B"/>
    <w:rsid w:val="009B7356"/>
    <w:rsid w:val="009B73BA"/>
    <w:rsid w:val="009B7BAA"/>
    <w:rsid w:val="009B7C86"/>
    <w:rsid w:val="009B7E09"/>
    <w:rsid w:val="009C0554"/>
    <w:rsid w:val="009C067D"/>
    <w:rsid w:val="009C096D"/>
    <w:rsid w:val="009C0A43"/>
    <w:rsid w:val="009C119B"/>
    <w:rsid w:val="009C11B8"/>
    <w:rsid w:val="009C1274"/>
    <w:rsid w:val="009C12A0"/>
    <w:rsid w:val="009C15DC"/>
    <w:rsid w:val="009C2024"/>
    <w:rsid w:val="009C207A"/>
    <w:rsid w:val="009C21B5"/>
    <w:rsid w:val="009C2417"/>
    <w:rsid w:val="009C265B"/>
    <w:rsid w:val="009C2748"/>
    <w:rsid w:val="009C28CE"/>
    <w:rsid w:val="009C2E2C"/>
    <w:rsid w:val="009C35C6"/>
    <w:rsid w:val="009C3B30"/>
    <w:rsid w:val="009C3BF5"/>
    <w:rsid w:val="009C3D6F"/>
    <w:rsid w:val="009C3DAF"/>
    <w:rsid w:val="009C3FF0"/>
    <w:rsid w:val="009C4701"/>
    <w:rsid w:val="009C4742"/>
    <w:rsid w:val="009C4D66"/>
    <w:rsid w:val="009C4F55"/>
    <w:rsid w:val="009C5286"/>
    <w:rsid w:val="009C5377"/>
    <w:rsid w:val="009C538F"/>
    <w:rsid w:val="009C573C"/>
    <w:rsid w:val="009C5A94"/>
    <w:rsid w:val="009C5ADA"/>
    <w:rsid w:val="009C5D79"/>
    <w:rsid w:val="009C5ED0"/>
    <w:rsid w:val="009C6827"/>
    <w:rsid w:val="009C69A7"/>
    <w:rsid w:val="009C6B34"/>
    <w:rsid w:val="009C6E72"/>
    <w:rsid w:val="009C7010"/>
    <w:rsid w:val="009C7031"/>
    <w:rsid w:val="009C710A"/>
    <w:rsid w:val="009C7596"/>
    <w:rsid w:val="009C76A8"/>
    <w:rsid w:val="009C7A61"/>
    <w:rsid w:val="009C7CEE"/>
    <w:rsid w:val="009D088C"/>
    <w:rsid w:val="009D0AF5"/>
    <w:rsid w:val="009D0C86"/>
    <w:rsid w:val="009D1764"/>
    <w:rsid w:val="009D2335"/>
    <w:rsid w:val="009D2501"/>
    <w:rsid w:val="009D286C"/>
    <w:rsid w:val="009D2943"/>
    <w:rsid w:val="009D2F7A"/>
    <w:rsid w:val="009D35A8"/>
    <w:rsid w:val="009D38EC"/>
    <w:rsid w:val="009D3C2A"/>
    <w:rsid w:val="009D3ECE"/>
    <w:rsid w:val="009D4510"/>
    <w:rsid w:val="009D4C28"/>
    <w:rsid w:val="009D4F8F"/>
    <w:rsid w:val="009D50B0"/>
    <w:rsid w:val="009D6467"/>
    <w:rsid w:val="009D673D"/>
    <w:rsid w:val="009D6A4A"/>
    <w:rsid w:val="009D6C70"/>
    <w:rsid w:val="009D70D4"/>
    <w:rsid w:val="009D76BE"/>
    <w:rsid w:val="009D7AD2"/>
    <w:rsid w:val="009E0772"/>
    <w:rsid w:val="009E09B5"/>
    <w:rsid w:val="009E09E5"/>
    <w:rsid w:val="009E0B9A"/>
    <w:rsid w:val="009E0D20"/>
    <w:rsid w:val="009E0F45"/>
    <w:rsid w:val="009E1209"/>
    <w:rsid w:val="009E1646"/>
    <w:rsid w:val="009E16C8"/>
    <w:rsid w:val="009E195C"/>
    <w:rsid w:val="009E1E08"/>
    <w:rsid w:val="009E20B4"/>
    <w:rsid w:val="009E2368"/>
    <w:rsid w:val="009E262B"/>
    <w:rsid w:val="009E27C4"/>
    <w:rsid w:val="009E2965"/>
    <w:rsid w:val="009E33F6"/>
    <w:rsid w:val="009E395B"/>
    <w:rsid w:val="009E3B04"/>
    <w:rsid w:val="009E3C75"/>
    <w:rsid w:val="009E3DAE"/>
    <w:rsid w:val="009E4923"/>
    <w:rsid w:val="009E4E30"/>
    <w:rsid w:val="009E4FAD"/>
    <w:rsid w:val="009E5513"/>
    <w:rsid w:val="009E5875"/>
    <w:rsid w:val="009E5A96"/>
    <w:rsid w:val="009E5F59"/>
    <w:rsid w:val="009E63AD"/>
    <w:rsid w:val="009E649D"/>
    <w:rsid w:val="009E64B6"/>
    <w:rsid w:val="009E64BD"/>
    <w:rsid w:val="009E6D7E"/>
    <w:rsid w:val="009E6D8D"/>
    <w:rsid w:val="009E7030"/>
    <w:rsid w:val="009E70BE"/>
    <w:rsid w:val="009E7106"/>
    <w:rsid w:val="009E7346"/>
    <w:rsid w:val="009E761B"/>
    <w:rsid w:val="009E7710"/>
    <w:rsid w:val="009E7756"/>
    <w:rsid w:val="009E7969"/>
    <w:rsid w:val="009F0246"/>
    <w:rsid w:val="009F025B"/>
    <w:rsid w:val="009F038D"/>
    <w:rsid w:val="009F0AF5"/>
    <w:rsid w:val="009F0CD0"/>
    <w:rsid w:val="009F175C"/>
    <w:rsid w:val="009F1866"/>
    <w:rsid w:val="009F2243"/>
    <w:rsid w:val="009F27F8"/>
    <w:rsid w:val="009F2859"/>
    <w:rsid w:val="009F2A86"/>
    <w:rsid w:val="009F3DE7"/>
    <w:rsid w:val="009F4335"/>
    <w:rsid w:val="009F44AA"/>
    <w:rsid w:val="009F4949"/>
    <w:rsid w:val="009F4A50"/>
    <w:rsid w:val="009F4A69"/>
    <w:rsid w:val="009F4CDA"/>
    <w:rsid w:val="009F4F81"/>
    <w:rsid w:val="009F5127"/>
    <w:rsid w:val="009F5338"/>
    <w:rsid w:val="009F587D"/>
    <w:rsid w:val="009F5923"/>
    <w:rsid w:val="009F5A52"/>
    <w:rsid w:val="009F5EE1"/>
    <w:rsid w:val="009F656B"/>
    <w:rsid w:val="009F690F"/>
    <w:rsid w:val="009F692A"/>
    <w:rsid w:val="009F6BB5"/>
    <w:rsid w:val="009F6C44"/>
    <w:rsid w:val="009F7120"/>
    <w:rsid w:val="009F799D"/>
    <w:rsid w:val="009F7BAA"/>
    <w:rsid w:val="00A000AD"/>
    <w:rsid w:val="00A00620"/>
    <w:rsid w:val="00A00636"/>
    <w:rsid w:val="00A007FB"/>
    <w:rsid w:val="00A01237"/>
    <w:rsid w:val="00A0157A"/>
    <w:rsid w:val="00A017B0"/>
    <w:rsid w:val="00A01A31"/>
    <w:rsid w:val="00A02438"/>
    <w:rsid w:val="00A02D34"/>
    <w:rsid w:val="00A02DAD"/>
    <w:rsid w:val="00A02DDD"/>
    <w:rsid w:val="00A030A6"/>
    <w:rsid w:val="00A03513"/>
    <w:rsid w:val="00A037B8"/>
    <w:rsid w:val="00A037D1"/>
    <w:rsid w:val="00A03B2E"/>
    <w:rsid w:val="00A0408A"/>
    <w:rsid w:val="00A040A8"/>
    <w:rsid w:val="00A04917"/>
    <w:rsid w:val="00A04B73"/>
    <w:rsid w:val="00A04E9A"/>
    <w:rsid w:val="00A05598"/>
    <w:rsid w:val="00A05CDB"/>
    <w:rsid w:val="00A0647F"/>
    <w:rsid w:val="00A06D07"/>
    <w:rsid w:val="00A07088"/>
    <w:rsid w:val="00A075BE"/>
    <w:rsid w:val="00A07ADA"/>
    <w:rsid w:val="00A07DFA"/>
    <w:rsid w:val="00A10078"/>
    <w:rsid w:val="00A10717"/>
    <w:rsid w:val="00A10B4F"/>
    <w:rsid w:val="00A11A11"/>
    <w:rsid w:val="00A11B46"/>
    <w:rsid w:val="00A11C09"/>
    <w:rsid w:val="00A1206D"/>
    <w:rsid w:val="00A12371"/>
    <w:rsid w:val="00A1276F"/>
    <w:rsid w:val="00A12957"/>
    <w:rsid w:val="00A129E8"/>
    <w:rsid w:val="00A12F61"/>
    <w:rsid w:val="00A1300D"/>
    <w:rsid w:val="00A131F8"/>
    <w:rsid w:val="00A13315"/>
    <w:rsid w:val="00A134EB"/>
    <w:rsid w:val="00A135B1"/>
    <w:rsid w:val="00A1367A"/>
    <w:rsid w:val="00A1431B"/>
    <w:rsid w:val="00A14625"/>
    <w:rsid w:val="00A14E6C"/>
    <w:rsid w:val="00A15245"/>
    <w:rsid w:val="00A155C6"/>
    <w:rsid w:val="00A15647"/>
    <w:rsid w:val="00A15CB7"/>
    <w:rsid w:val="00A16011"/>
    <w:rsid w:val="00A1620C"/>
    <w:rsid w:val="00A162D9"/>
    <w:rsid w:val="00A16B82"/>
    <w:rsid w:val="00A16BEC"/>
    <w:rsid w:val="00A170AB"/>
    <w:rsid w:val="00A175CA"/>
    <w:rsid w:val="00A178BA"/>
    <w:rsid w:val="00A1790A"/>
    <w:rsid w:val="00A17B62"/>
    <w:rsid w:val="00A17C89"/>
    <w:rsid w:val="00A17EDB"/>
    <w:rsid w:val="00A200A8"/>
    <w:rsid w:val="00A20628"/>
    <w:rsid w:val="00A20EBC"/>
    <w:rsid w:val="00A212E9"/>
    <w:rsid w:val="00A21605"/>
    <w:rsid w:val="00A21B4B"/>
    <w:rsid w:val="00A21D10"/>
    <w:rsid w:val="00A220CA"/>
    <w:rsid w:val="00A22449"/>
    <w:rsid w:val="00A225FC"/>
    <w:rsid w:val="00A228E9"/>
    <w:rsid w:val="00A22F44"/>
    <w:rsid w:val="00A230B8"/>
    <w:rsid w:val="00A23208"/>
    <w:rsid w:val="00A233DC"/>
    <w:rsid w:val="00A235C0"/>
    <w:rsid w:val="00A23780"/>
    <w:rsid w:val="00A23847"/>
    <w:rsid w:val="00A2386D"/>
    <w:rsid w:val="00A23B61"/>
    <w:rsid w:val="00A24148"/>
    <w:rsid w:val="00A247D0"/>
    <w:rsid w:val="00A24835"/>
    <w:rsid w:val="00A248E3"/>
    <w:rsid w:val="00A24CDD"/>
    <w:rsid w:val="00A24EBC"/>
    <w:rsid w:val="00A25233"/>
    <w:rsid w:val="00A25534"/>
    <w:rsid w:val="00A25832"/>
    <w:rsid w:val="00A25A25"/>
    <w:rsid w:val="00A26655"/>
    <w:rsid w:val="00A266BE"/>
    <w:rsid w:val="00A266F5"/>
    <w:rsid w:val="00A26730"/>
    <w:rsid w:val="00A26A76"/>
    <w:rsid w:val="00A26B02"/>
    <w:rsid w:val="00A26C82"/>
    <w:rsid w:val="00A26E10"/>
    <w:rsid w:val="00A26E4F"/>
    <w:rsid w:val="00A26F1F"/>
    <w:rsid w:val="00A2728D"/>
    <w:rsid w:val="00A2777B"/>
    <w:rsid w:val="00A27981"/>
    <w:rsid w:val="00A27A07"/>
    <w:rsid w:val="00A27E9C"/>
    <w:rsid w:val="00A27F82"/>
    <w:rsid w:val="00A27FD1"/>
    <w:rsid w:val="00A27FE4"/>
    <w:rsid w:val="00A300CB"/>
    <w:rsid w:val="00A304BB"/>
    <w:rsid w:val="00A30515"/>
    <w:rsid w:val="00A3081C"/>
    <w:rsid w:val="00A3091B"/>
    <w:rsid w:val="00A30D70"/>
    <w:rsid w:val="00A30D79"/>
    <w:rsid w:val="00A30D92"/>
    <w:rsid w:val="00A30EFB"/>
    <w:rsid w:val="00A30F68"/>
    <w:rsid w:val="00A31670"/>
    <w:rsid w:val="00A31B74"/>
    <w:rsid w:val="00A31E31"/>
    <w:rsid w:val="00A322F6"/>
    <w:rsid w:val="00A3242A"/>
    <w:rsid w:val="00A32453"/>
    <w:rsid w:val="00A3255F"/>
    <w:rsid w:val="00A328E0"/>
    <w:rsid w:val="00A32926"/>
    <w:rsid w:val="00A32A2C"/>
    <w:rsid w:val="00A32B93"/>
    <w:rsid w:val="00A32F53"/>
    <w:rsid w:val="00A330EA"/>
    <w:rsid w:val="00A33495"/>
    <w:rsid w:val="00A336BA"/>
    <w:rsid w:val="00A33B8E"/>
    <w:rsid w:val="00A33BB3"/>
    <w:rsid w:val="00A33D3E"/>
    <w:rsid w:val="00A34605"/>
    <w:rsid w:val="00A3486A"/>
    <w:rsid w:val="00A34D54"/>
    <w:rsid w:val="00A34EC0"/>
    <w:rsid w:val="00A35069"/>
    <w:rsid w:val="00A35264"/>
    <w:rsid w:val="00A35476"/>
    <w:rsid w:val="00A355DA"/>
    <w:rsid w:val="00A35E52"/>
    <w:rsid w:val="00A360ED"/>
    <w:rsid w:val="00A3628A"/>
    <w:rsid w:val="00A36D0E"/>
    <w:rsid w:val="00A3744F"/>
    <w:rsid w:val="00A37515"/>
    <w:rsid w:val="00A37871"/>
    <w:rsid w:val="00A378F6"/>
    <w:rsid w:val="00A37DD5"/>
    <w:rsid w:val="00A40017"/>
    <w:rsid w:val="00A407F6"/>
    <w:rsid w:val="00A41176"/>
    <w:rsid w:val="00A41283"/>
    <w:rsid w:val="00A419DF"/>
    <w:rsid w:val="00A41AF1"/>
    <w:rsid w:val="00A42029"/>
    <w:rsid w:val="00A42122"/>
    <w:rsid w:val="00A422B5"/>
    <w:rsid w:val="00A428F9"/>
    <w:rsid w:val="00A42E41"/>
    <w:rsid w:val="00A43283"/>
    <w:rsid w:val="00A434AB"/>
    <w:rsid w:val="00A43F44"/>
    <w:rsid w:val="00A43FD8"/>
    <w:rsid w:val="00A4429F"/>
    <w:rsid w:val="00A4458E"/>
    <w:rsid w:val="00A4466C"/>
    <w:rsid w:val="00A4494D"/>
    <w:rsid w:val="00A450EE"/>
    <w:rsid w:val="00A4539F"/>
    <w:rsid w:val="00A45412"/>
    <w:rsid w:val="00A456A6"/>
    <w:rsid w:val="00A45808"/>
    <w:rsid w:val="00A45CC7"/>
    <w:rsid w:val="00A45D61"/>
    <w:rsid w:val="00A46100"/>
    <w:rsid w:val="00A468A2"/>
    <w:rsid w:val="00A46B36"/>
    <w:rsid w:val="00A46CBC"/>
    <w:rsid w:val="00A47022"/>
    <w:rsid w:val="00A471CE"/>
    <w:rsid w:val="00A4726D"/>
    <w:rsid w:val="00A4793C"/>
    <w:rsid w:val="00A47A19"/>
    <w:rsid w:val="00A47CDA"/>
    <w:rsid w:val="00A50563"/>
    <w:rsid w:val="00A50682"/>
    <w:rsid w:val="00A506A9"/>
    <w:rsid w:val="00A50E23"/>
    <w:rsid w:val="00A511DF"/>
    <w:rsid w:val="00A515AD"/>
    <w:rsid w:val="00A51670"/>
    <w:rsid w:val="00A51B28"/>
    <w:rsid w:val="00A51DF9"/>
    <w:rsid w:val="00A51E83"/>
    <w:rsid w:val="00A51EF3"/>
    <w:rsid w:val="00A51F51"/>
    <w:rsid w:val="00A51F9C"/>
    <w:rsid w:val="00A52086"/>
    <w:rsid w:val="00A524E1"/>
    <w:rsid w:val="00A527AD"/>
    <w:rsid w:val="00A52F1E"/>
    <w:rsid w:val="00A52F47"/>
    <w:rsid w:val="00A5301A"/>
    <w:rsid w:val="00A5353C"/>
    <w:rsid w:val="00A5383A"/>
    <w:rsid w:val="00A539BC"/>
    <w:rsid w:val="00A53B5F"/>
    <w:rsid w:val="00A53C5E"/>
    <w:rsid w:val="00A53CFC"/>
    <w:rsid w:val="00A53DDB"/>
    <w:rsid w:val="00A54414"/>
    <w:rsid w:val="00A54495"/>
    <w:rsid w:val="00A544D9"/>
    <w:rsid w:val="00A54AA9"/>
    <w:rsid w:val="00A54E19"/>
    <w:rsid w:val="00A54FD4"/>
    <w:rsid w:val="00A5517B"/>
    <w:rsid w:val="00A55229"/>
    <w:rsid w:val="00A553A4"/>
    <w:rsid w:val="00A55511"/>
    <w:rsid w:val="00A55724"/>
    <w:rsid w:val="00A55D11"/>
    <w:rsid w:val="00A56559"/>
    <w:rsid w:val="00A5660E"/>
    <w:rsid w:val="00A5675D"/>
    <w:rsid w:val="00A56BC5"/>
    <w:rsid w:val="00A56C8A"/>
    <w:rsid w:val="00A56C9C"/>
    <w:rsid w:val="00A56CA1"/>
    <w:rsid w:val="00A571D8"/>
    <w:rsid w:val="00A572FD"/>
    <w:rsid w:val="00A57490"/>
    <w:rsid w:val="00A57E52"/>
    <w:rsid w:val="00A57F00"/>
    <w:rsid w:val="00A604F6"/>
    <w:rsid w:val="00A60552"/>
    <w:rsid w:val="00A60744"/>
    <w:rsid w:val="00A60778"/>
    <w:rsid w:val="00A60CDC"/>
    <w:rsid w:val="00A61072"/>
    <w:rsid w:val="00A61166"/>
    <w:rsid w:val="00A6141A"/>
    <w:rsid w:val="00A61553"/>
    <w:rsid w:val="00A616F5"/>
    <w:rsid w:val="00A61B52"/>
    <w:rsid w:val="00A62182"/>
    <w:rsid w:val="00A6230F"/>
    <w:rsid w:val="00A6273A"/>
    <w:rsid w:val="00A62742"/>
    <w:rsid w:val="00A629B6"/>
    <w:rsid w:val="00A62D9B"/>
    <w:rsid w:val="00A63062"/>
    <w:rsid w:val="00A630D0"/>
    <w:rsid w:val="00A636D6"/>
    <w:rsid w:val="00A63982"/>
    <w:rsid w:val="00A639FC"/>
    <w:rsid w:val="00A63AD5"/>
    <w:rsid w:val="00A63E56"/>
    <w:rsid w:val="00A63EC4"/>
    <w:rsid w:val="00A642D4"/>
    <w:rsid w:val="00A6482B"/>
    <w:rsid w:val="00A64A24"/>
    <w:rsid w:val="00A64B7E"/>
    <w:rsid w:val="00A64D70"/>
    <w:rsid w:val="00A65544"/>
    <w:rsid w:val="00A65901"/>
    <w:rsid w:val="00A65A92"/>
    <w:rsid w:val="00A65B39"/>
    <w:rsid w:val="00A665FD"/>
    <w:rsid w:val="00A66A13"/>
    <w:rsid w:val="00A66A4C"/>
    <w:rsid w:val="00A66BBF"/>
    <w:rsid w:val="00A6744A"/>
    <w:rsid w:val="00A674E2"/>
    <w:rsid w:val="00A67750"/>
    <w:rsid w:val="00A67BC5"/>
    <w:rsid w:val="00A67C55"/>
    <w:rsid w:val="00A67C61"/>
    <w:rsid w:val="00A67D25"/>
    <w:rsid w:val="00A7001E"/>
    <w:rsid w:val="00A70209"/>
    <w:rsid w:val="00A70573"/>
    <w:rsid w:val="00A70798"/>
    <w:rsid w:val="00A70E3F"/>
    <w:rsid w:val="00A70F14"/>
    <w:rsid w:val="00A71004"/>
    <w:rsid w:val="00A71B1B"/>
    <w:rsid w:val="00A721AF"/>
    <w:rsid w:val="00A726F3"/>
    <w:rsid w:val="00A7275B"/>
    <w:rsid w:val="00A7284D"/>
    <w:rsid w:val="00A72A69"/>
    <w:rsid w:val="00A72DB6"/>
    <w:rsid w:val="00A72EAF"/>
    <w:rsid w:val="00A7306F"/>
    <w:rsid w:val="00A7319C"/>
    <w:rsid w:val="00A73238"/>
    <w:rsid w:val="00A7370C"/>
    <w:rsid w:val="00A7419C"/>
    <w:rsid w:val="00A74B01"/>
    <w:rsid w:val="00A74BE3"/>
    <w:rsid w:val="00A7505B"/>
    <w:rsid w:val="00A754AA"/>
    <w:rsid w:val="00A75698"/>
    <w:rsid w:val="00A75727"/>
    <w:rsid w:val="00A757A3"/>
    <w:rsid w:val="00A75DDC"/>
    <w:rsid w:val="00A75F17"/>
    <w:rsid w:val="00A75F37"/>
    <w:rsid w:val="00A761C3"/>
    <w:rsid w:val="00A7640C"/>
    <w:rsid w:val="00A76C6D"/>
    <w:rsid w:val="00A76DE3"/>
    <w:rsid w:val="00A76DFC"/>
    <w:rsid w:val="00A76EA7"/>
    <w:rsid w:val="00A76F3B"/>
    <w:rsid w:val="00A77212"/>
    <w:rsid w:val="00A773E8"/>
    <w:rsid w:val="00A7740C"/>
    <w:rsid w:val="00A775A0"/>
    <w:rsid w:val="00A7778F"/>
    <w:rsid w:val="00A77AB5"/>
    <w:rsid w:val="00A77DB8"/>
    <w:rsid w:val="00A77F5A"/>
    <w:rsid w:val="00A80046"/>
    <w:rsid w:val="00A80338"/>
    <w:rsid w:val="00A803D0"/>
    <w:rsid w:val="00A80F73"/>
    <w:rsid w:val="00A80FBE"/>
    <w:rsid w:val="00A8177A"/>
    <w:rsid w:val="00A81AEF"/>
    <w:rsid w:val="00A81CB6"/>
    <w:rsid w:val="00A81CEA"/>
    <w:rsid w:val="00A81F01"/>
    <w:rsid w:val="00A82679"/>
    <w:rsid w:val="00A8297E"/>
    <w:rsid w:val="00A829F7"/>
    <w:rsid w:val="00A82C27"/>
    <w:rsid w:val="00A82FB1"/>
    <w:rsid w:val="00A830F9"/>
    <w:rsid w:val="00A8328E"/>
    <w:rsid w:val="00A83483"/>
    <w:rsid w:val="00A835E4"/>
    <w:rsid w:val="00A836F0"/>
    <w:rsid w:val="00A83DDB"/>
    <w:rsid w:val="00A844FA"/>
    <w:rsid w:val="00A8457C"/>
    <w:rsid w:val="00A849F5"/>
    <w:rsid w:val="00A84D66"/>
    <w:rsid w:val="00A85291"/>
    <w:rsid w:val="00A854EB"/>
    <w:rsid w:val="00A855EE"/>
    <w:rsid w:val="00A865AD"/>
    <w:rsid w:val="00A86975"/>
    <w:rsid w:val="00A86B90"/>
    <w:rsid w:val="00A87137"/>
    <w:rsid w:val="00A878B1"/>
    <w:rsid w:val="00A87A2C"/>
    <w:rsid w:val="00A87C50"/>
    <w:rsid w:val="00A900BF"/>
    <w:rsid w:val="00A90183"/>
    <w:rsid w:val="00A9027E"/>
    <w:rsid w:val="00A9038B"/>
    <w:rsid w:val="00A9075D"/>
    <w:rsid w:val="00A90775"/>
    <w:rsid w:val="00A908A5"/>
    <w:rsid w:val="00A90F39"/>
    <w:rsid w:val="00A9158C"/>
    <w:rsid w:val="00A91745"/>
    <w:rsid w:val="00A9174F"/>
    <w:rsid w:val="00A919A8"/>
    <w:rsid w:val="00A91E0C"/>
    <w:rsid w:val="00A923A4"/>
    <w:rsid w:val="00A92A39"/>
    <w:rsid w:val="00A932C4"/>
    <w:rsid w:val="00A93425"/>
    <w:rsid w:val="00A9391D"/>
    <w:rsid w:val="00A93B94"/>
    <w:rsid w:val="00A93E81"/>
    <w:rsid w:val="00A93EB8"/>
    <w:rsid w:val="00A94015"/>
    <w:rsid w:val="00A94133"/>
    <w:rsid w:val="00A941E6"/>
    <w:rsid w:val="00A94264"/>
    <w:rsid w:val="00A947D0"/>
    <w:rsid w:val="00A94D63"/>
    <w:rsid w:val="00A9561F"/>
    <w:rsid w:val="00A95E57"/>
    <w:rsid w:val="00A96113"/>
    <w:rsid w:val="00A96135"/>
    <w:rsid w:val="00A9613D"/>
    <w:rsid w:val="00A96244"/>
    <w:rsid w:val="00A96576"/>
    <w:rsid w:val="00A96836"/>
    <w:rsid w:val="00A96D67"/>
    <w:rsid w:val="00A96F49"/>
    <w:rsid w:val="00A97024"/>
    <w:rsid w:val="00A97298"/>
    <w:rsid w:val="00A977EE"/>
    <w:rsid w:val="00A979BA"/>
    <w:rsid w:val="00A979E1"/>
    <w:rsid w:val="00A97B24"/>
    <w:rsid w:val="00A97DB7"/>
    <w:rsid w:val="00A97EC0"/>
    <w:rsid w:val="00AA089D"/>
    <w:rsid w:val="00AA094B"/>
    <w:rsid w:val="00AA09CC"/>
    <w:rsid w:val="00AA09E9"/>
    <w:rsid w:val="00AA0D8F"/>
    <w:rsid w:val="00AA0F8B"/>
    <w:rsid w:val="00AA1125"/>
    <w:rsid w:val="00AA1A9E"/>
    <w:rsid w:val="00AA1EFA"/>
    <w:rsid w:val="00AA2298"/>
    <w:rsid w:val="00AA2608"/>
    <w:rsid w:val="00AA2925"/>
    <w:rsid w:val="00AA2A0B"/>
    <w:rsid w:val="00AA2F88"/>
    <w:rsid w:val="00AA31DD"/>
    <w:rsid w:val="00AA3C06"/>
    <w:rsid w:val="00AA3D15"/>
    <w:rsid w:val="00AA3FCF"/>
    <w:rsid w:val="00AA41A0"/>
    <w:rsid w:val="00AA434B"/>
    <w:rsid w:val="00AA43A0"/>
    <w:rsid w:val="00AA4715"/>
    <w:rsid w:val="00AA5040"/>
    <w:rsid w:val="00AA574D"/>
    <w:rsid w:val="00AA6071"/>
    <w:rsid w:val="00AA6231"/>
    <w:rsid w:val="00AA64AA"/>
    <w:rsid w:val="00AA6A72"/>
    <w:rsid w:val="00AA6D85"/>
    <w:rsid w:val="00AA741B"/>
    <w:rsid w:val="00AA74A6"/>
    <w:rsid w:val="00AA74CE"/>
    <w:rsid w:val="00AA7669"/>
    <w:rsid w:val="00AB0006"/>
    <w:rsid w:val="00AB02CB"/>
    <w:rsid w:val="00AB077E"/>
    <w:rsid w:val="00AB0EA1"/>
    <w:rsid w:val="00AB0F24"/>
    <w:rsid w:val="00AB10F2"/>
    <w:rsid w:val="00AB17DA"/>
    <w:rsid w:val="00AB1A38"/>
    <w:rsid w:val="00AB1C15"/>
    <w:rsid w:val="00AB1E40"/>
    <w:rsid w:val="00AB1F00"/>
    <w:rsid w:val="00AB20F2"/>
    <w:rsid w:val="00AB2181"/>
    <w:rsid w:val="00AB264B"/>
    <w:rsid w:val="00AB2C84"/>
    <w:rsid w:val="00AB2CA5"/>
    <w:rsid w:val="00AB2D48"/>
    <w:rsid w:val="00AB2E38"/>
    <w:rsid w:val="00AB2E69"/>
    <w:rsid w:val="00AB3008"/>
    <w:rsid w:val="00AB3012"/>
    <w:rsid w:val="00AB3028"/>
    <w:rsid w:val="00AB3073"/>
    <w:rsid w:val="00AB33AF"/>
    <w:rsid w:val="00AB39EF"/>
    <w:rsid w:val="00AB3A10"/>
    <w:rsid w:val="00AB3A75"/>
    <w:rsid w:val="00AB3B08"/>
    <w:rsid w:val="00AB4784"/>
    <w:rsid w:val="00AB48D6"/>
    <w:rsid w:val="00AB535E"/>
    <w:rsid w:val="00AB5434"/>
    <w:rsid w:val="00AB5B20"/>
    <w:rsid w:val="00AB5EF0"/>
    <w:rsid w:val="00AB613C"/>
    <w:rsid w:val="00AB6BA6"/>
    <w:rsid w:val="00AB6C5F"/>
    <w:rsid w:val="00AB6F1A"/>
    <w:rsid w:val="00AB7211"/>
    <w:rsid w:val="00AB7303"/>
    <w:rsid w:val="00AB7D61"/>
    <w:rsid w:val="00AC0720"/>
    <w:rsid w:val="00AC0726"/>
    <w:rsid w:val="00AC07BD"/>
    <w:rsid w:val="00AC0C98"/>
    <w:rsid w:val="00AC10BC"/>
    <w:rsid w:val="00AC10E7"/>
    <w:rsid w:val="00AC192B"/>
    <w:rsid w:val="00AC1CA1"/>
    <w:rsid w:val="00AC2175"/>
    <w:rsid w:val="00AC22C4"/>
    <w:rsid w:val="00AC24A1"/>
    <w:rsid w:val="00AC26F3"/>
    <w:rsid w:val="00AC2752"/>
    <w:rsid w:val="00AC296C"/>
    <w:rsid w:val="00AC2E6B"/>
    <w:rsid w:val="00AC32C7"/>
    <w:rsid w:val="00AC37C8"/>
    <w:rsid w:val="00AC39B2"/>
    <w:rsid w:val="00AC3BEC"/>
    <w:rsid w:val="00AC3E7E"/>
    <w:rsid w:val="00AC40ED"/>
    <w:rsid w:val="00AC49B0"/>
    <w:rsid w:val="00AC4B1B"/>
    <w:rsid w:val="00AC4EB3"/>
    <w:rsid w:val="00AC5156"/>
    <w:rsid w:val="00AC53CA"/>
    <w:rsid w:val="00AC53F4"/>
    <w:rsid w:val="00AC564A"/>
    <w:rsid w:val="00AC5818"/>
    <w:rsid w:val="00AC586B"/>
    <w:rsid w:val="00AC5AA8"/>
    <w:rsid w:val="00AC5C69"/>
    <w:rsid w:val="00AC66A3"/>
    <w:rsid w:val="00AC6710"/>
    <w:rsid w:val="00AC6A4D"/>
    <w:rsid w:val="00AC6B5F"/>
    <w:rsid w:val="00AC6DD7"/>
    <w:rsid w:val="00AC7371"/>
    <w:rsid w:val="00AC73DF"/>
    <w:rsid w:val="00AC7999"/>
    <w:rsid w:val="00AC7D17"/>
    <w:rsid w:val="00AD01BF"/>
    <w:rsid w:val="00AD02D2"/>
    <w:rsid w:val="00AD060F"/>
    <w:rsid w:val="00AD088D"/>
    <w:rsid w:val="00AD08E6"/>
    <w:rsid w:val="00AD0AC9"/>
    <w:rsid w:val="00AD0D67"/>
    <w:rsid w:val="00AD0EDF"/>
    <w:rsid w:val="00AD15B8"/>
    <w:rsid w:val="00AD250B"/>
    <w:rsid w:val="00AD2741"/>
    <w:rsid w:val="00AD2BCD"/>
    <w:rsid w:val="00AD315E"/>
    <w:rsid w:val="00AD32AC"/>
    <w:rsid w:val="00AD32E3"/>
    <w:rsid w:val="00AD3AA3"/>
    <w:rsid w:val="00AD3BBD"/>
    <w:rsid w:val="00AD3D10"/>
    <w:rsid w:val="00AD3F00"/>
    <w:rsid w:val="00AD3F92"/>
    <w:rsid w:val="00AD3FCE"/>
    <w:rsid w:val="00AD40AC"/>
    <w:rsid w:val="00AD4323"/>
    <w:rsid w:val="00AD4484"/>
    <w:rsid w:val="00AD4BEB"/>
    <w:rsid w:val="00AD4DE7"/>
    <w:rsid w:val="00AD4E06"/>
    <w:rsid w:val="00AD4E3A"/>
    <w:rsid w:val="00AD4EE6"/>
    <w:rsid w:val="00AD5178"/>
    <w:rsid w:val="00AD51B1"/>
    <w:rsid w:val="00AD522F"/>
    <w:rsid w:val="00AD541E"/>
    <w:rsid w:val="00AD551B"/>
    <w:rsid w:val="00AD5725"/>
    <w:rsid w:val="00AD5949"/>
    <w:rsid w:val="00AD6F0D"/>
    <w:rsid w:val="00AD6F8C"/>
    <w:rsid w:val="00AD73F9"/>
    <w:rsid w:val="00AD7840"/>
    <w:rsid w:val="00AD7D64"/>
    <w:rsid w:val="00AE02E2"/>
    <w:rsid w:val="00AE098D"/>
    <w:rsid w:val="00AE0FC9"/>
    <w:rsid w:val="00AE1153"/>
    <w:rsid w:val="00AE11B2"/>
    <w:rsid w:val="00AE174C"/>
    <w:rsid w:val="00AE1A4E"/>
    <w:rsid w:val="00AE1E66"/>
    <w:rsid w:val="00AE2161"/>
    <w:rsid w:val="00AE244B"/>
    <w:rsid w:val="00AE2629"/>
    <w:rsid w:val="00AE2B5E"/>
    <w:rsid w:val="00AE2C70"/>
    <w:rsid w:val="00AE2FDB"/>
    <w:rsid w:val="00AE341F"/>
    <w:rsid w:val="00AE3533"/>
    <w:rsid w:val="00AE3CBB"/>
    <w:rsid w:val="00AE3FE1"/>
    <w:rsid w:val="00AE41E2"/>
    <w:rsid w:val="00AE4246"/>
    <w:rsid w:val="00AE42B9"/>
    <w:rsid w:val="00AE435E"/>
    <w:rsid w:val="00AE4411"/>
    <w:rsid w:val="00AE49F8"/>
    <w:rsid w:val="00AE5268"/>
    <w:rsid w:val="00AE5270"/>
    <w:rsid w:val="00AE53F3"/>
    <w:rsid w:val="00AE54A2"/>
    <w:rsid w:val="00AE5AF0"/>
    <w:rsid w:val="00AE5B06"/>
    <w:rsid w:val="00AE5F32"/>
    <w:rsid w:val="00AE62F5"/>
    <w:rsid w:val="00AE6B0E"/>
    <w:rsid w:val="00AE70CD"/>
    <w:rsid w:val="00AE79A6"/>
    <w:rsid w:val="00AE7DCB"/>
    <w:rsid w:val="00AE7F4C"/>
    <w:rsid w:val="00AF00CC"/>
    <w:rsid w:val="00AF017E"/>
    <w:rsid w:val="00AF0428"/>
    <w:rsid w:val="00AF068B"/>
    <w:rsid w:val="00AF0A0C"/>
    <w:rsid w:val="00AF0D21"/>
    <w:rsid w:val="00AF0DA0"/>
    <w:rsid w:val="00AF1503"/>
    <w:rsid w:val="00AF1CF5"/>
    <w:rsid w:val="00AF1E57"/>
    <w:rsid w:val="00AF1ED9"/>
    <w:rsid w:val="00AF20F1"/>
    <w:rsid w:val="00AF2104"/>
    <w:rsid w:val="00AF217B"/>
    <w:rsid w:val="00AF2297"/>
    <w:rsid w:val="00AF272C"/>
    <w:rsid w:val="00AF2823"/>
    <w:rsid w:val="00AF2CB0"/>
    <w:rsid w:val="00AF2E51"/>
    <w:rsid w:val="00AF3E35"/>
    <w:rsid w:val="00AF40A6"/>
    <w:rsid w:val="00AF47AB"/>
    <w:rsid w:val="00AF4A54"/>
    <w:rsid w:val="00AF4A6D"/>
    <w:rsid w:val="00AF4B74"/>
    <w:rsid w:val="00AF51B6"/>
    <w:rsid w:val="00AF5273"/>
    <w:rsid w:val="00AF538D"/>
    <w:rsid w:val="00AF5555"/>
    <w:rsid w:val="00AF561E"/>
    <w:rsid w:val="00AF5969"/>
    <w:rsid w:val="00AF59C6"/>
    <w:rsid w:val="00AF5B4B"/>
    <w:rsid w:val="00AF5CC7"/>
    <w:rsid w:val="00AF610C"/>
    <w:rsid w:val="00AF62D5"/>
    <w:rsid w:val="00AF646F"/>
    <w:rsid w:val="00AF65C7"/>
    <w:rsid w:val="00AF67A3"/>
    <w:rsid w:val="00AF6F3E"/>
    <w:rsid w:val="00AF750C"/>
    <w:rsid w:val="00AF7E61"/>
    <w:rsid w:val="00B00235"/>
    <w:rsid w:val="00B00304"/>
    <w:rsid w:val="00B00463"/>
    <w:rsid w:val="00B005DF"/>
    <w:rsid w:val="00B0099D"/>
    <w:rsid w:val="00B00CB4"/>
    <w:rsid w:val="00B00CDB"/>
    <w:rsid w:val="00B00D9E"/>
    <w:rsid w:val="00B00E0C"/>
    <w:rsid w:val="00B00E88"/>
    <w:rsid w:val="00B00F54"/>
    <w:rsid w:val="00B0109F"/>
    <w:rsid w:val="00B0146C"/>
    <w:rsid w:val="00B01657"/>
    <w:rsid w:val="00B0175A"/>
    <w:rsid w:val="00B0177A"/>
    <w:rsid w:val="00B0190D"/>
    <w:rsid w:val="00B01932"/>
    <w:rsid w:val="00B01B11"/>
    <w:rsid w:val="00B01B72"/>
    <w:rsid w:val="00B01E5C"/>
    <w:rsid w:val="00B01FCD"/>
    <w:rsid w:val="00B02246"/>
    <w:rsid w:val="00B024B3"/>
    <w:rsid w:val="00B02EBE"/>
    <w:rsid w:val="00B0393B"/>
    <w:rsid w:val="00B03C2F"/>
    <w:rsid w:val="00B03C4C"/>
    <w:rsid w:val="00B0407A"/>
    <w:rsid w:val="00B044F5"/>
    <w:rsid w:val="00B04501"/>
    <w:rsid w:val="00B045B8"/>
    <w:rsid w:val="00B048E6"/>
    <w:rsid w:val="00B04933"/>
    <w:rsid w:val="00B05162"/>
    <w:rsid w:val="00B051F9"/>
    <w:rsid w:val="00B054D6"/>
    <w:rsid w:val="00B0558E"/>
    <w:rsid w:val="00B059BF"/>
    <w:rsid w:val="00B05C6C"/>
    <w:rsid w:val="00B062A1"/>
    <w:rsid w:val="00B06BB8"/>
    <w:rsid w:val="00B06C15"/>
    <w:rsid w:val="00B06F6B"/>
    <w:rsid w:val="00B0774B"/>
    <w:rsid w:val="00B102A1"/>
    <w:rsid w:val="00B1095F"/>
    <w:rsid w:val="00B109C9"/>
    <w:rsid w:val="00B10C00"/>
    <w:rsid w:val="00B114BB"/>
    <w:rsid w:val="00B11C4C"/>
    <w:rsid w:val="00B11DCA"/>
    <w:rsid w:val="00B1226A"/>
    <w:rsid w:val="00B12CD6"/>
    <w:rsid w:val="00B12DDA"/>
    <w:rsid w:val="00B12F39"/>
    <w:rsid w:val="00B1329E"/>
    <w:rsid w:val="00B134EC"/>
    <w:rsid w:val="00B135FB"/>
    <w:rsid w:val="00B13EAF"/>
    <w:rsid w:val="00B14818"/>
    <w:rsid w:val="00B14989"/>
    <w:rsid w:val="00B14D75"/>
    <w:rsid w:val="00B14EDE"/>
    <w:rsid w:val="00B150EC"/>
    <w:rsid w:val="00B15161"/>
    <w:rsid w:val="00B15414"/>
    <w:rsid w:val="00B1560C"/>
    <w:rsid w:val="00B156E0"/>
    <w:rsid w:val="00B1595E"/>
    <w:rsid w:val="00B165FB"/>
    <w:rsid w:val="00B16881"/>
    <w:rsid w:val="00B1693C"/>
    <w:rsid w:val="00B16AAD"/>
    <w:rsid w:val="00B16C5C"/>
    <w:rsid w:val="00B16F9A"/>
    <w:rsid w:val="00B17570"/>
    <w:rsid w:val="00B17583"/>
    <w:rsid w:val="00B17585"/>
    <w:rsid w:val="00B175AA"/>
    <w:rsid w:val="00B17AFF"/>
    <w:rsid w:val="00B17B72"/>
    <w:rsid w:val="00B17C26"/>
    <w:rsid w:val="00B20BD0"/>
    <w:rsid w:val="00B20E93"/>
    <w:rsid w:val="00B20F2F"/>
    <w:rsid w:val="00B21794"/>
    <w:rsid w:val="00B21C19"/>
    <w:rsid w:val="00B224B8"/>
    <w:rsid w:val="00B22DD8"/>
    <w:rsid w:val="00B22DF9"/>
    <w:rsid w:val="00B2354F"/>
    <w:rsid w:val="00B23617"/>
    <w:rsid w:val="00B23ACB"/>
    <w:rsid w:val="00B24639"/>
    <w:rsid w:val="00B25844"/>
    <w:rsid w:val="00B25AD6"/>
    <w:rsid w:val="00B25EE6"/>
    <w:rsid w:val="00B26030"/>
    <w:rsid w:val="00B261DA"/>
    <w:rsid w:val="00B2632A"/>
    <w:rsid w:val="00B2652A"/>
    <w:rsid w:val="00B265A0"/>
    <w:rsid w:val="00B2697C"/>
    <w:rsid w:val="00B26B5D"/>
    <w:rsid w:val="00B26BB4"/>
    <w:rsid w:val="00B26C2A"/>
    <w:rsid w:val="00B26DFD"/>
    <w:rsid w:val="00B26EFC"/>
    <w:rsid w:val="00B26FFF"/>
    <w:rsid w:val="00B27531"/>
    <w:rsid w:val="00B27BAC"/>
    <w:rsid w:val="00B27F51"/>
    <w:rsid w:val="00B300E2"/>
    <w:rsid w:val="00B300F6"/>
    <w:rsid w:val="00B303D2"/>
    <w:rsid w:val="00B30BDD"/>
    <w:rsid w:val="00B314C6"/>
    <w:rsid w:val="00B318C9"/>
    <w:rsid w:val="00B31B08"/>
    <w:rsid w:val="00B31E4C"/>
    <w:rsid w:val="00B32642"/>
    <w:rsid w:val="00B32DC6"/>
    <w:rsid w:val="00B32F2A"/>
    <w:rsid w:val="00B33320"/>
    <w:rsid w:val="00B3335D"/>
    <w:rsid w:val="00B335EC"/>
    <w:rsid w:val="00B337BB"/>
    <w:rsid w:val="00B33ABC"/>
    <w:rsid w:val="00B33C56"/>
    <w:rsid w:val="00B33FA2"/>
    <w:rsid w:val="00B35685"/>
    <w:rsid w:val="00B356CD"/>
    <w:rsid w:val="00B35F49"/>
    <w:rsid w:val="00B3605F"/>
    <w:rsid w:val="00B36186"/>
    <w:rsid w:val="00B361B2"/>
    <w:rsid w:val="00B3674E"/>
    <w:rsid w:val="00B36A83"/>
    <w:rsid w:val="00B36DD7"/>
    <w:rsid w:val="00B37711"/>
    <w:rsid w:val="00B377F9"/>
    <w:rsid w:val="00B3783B"/>
    <w:rsid w:val="00B37890"/>
    <w:rsid w:val="00B37980"/>
    <w:rsid w:val="00B37991"/>
    <w:rsid w:val="00B37A84"/>
    <w:rsid w:val="00B37C9D"/>
    <w:rsid w:val="00B37F43"/>
    <w:rsid w:val="00B40022"/>
    <w:rsid w:val="00B4036C"/>
    <w:rsid w:val="00B40D2E"/>
    <w:rsid w:val="00B417AA"/>
    <w:rsid w:val="00B4185D"/>
    <w:rsid w:val="00B41A0B"/>
    <w:rsid w:val="00B425A9"/>
    <w:rsid w:val="00B426AA"/>
    <w:rsid w:val="00B42980"/>
    <w:rsid w:val="00B42A8C"/>
    <w:rsid w:val="00B42CA3"/>
    <w:rsid w:val="00B42D98"/>
    <w:rsid w:val="00B43259"/>
    <w:rsid w:val="00B437B6"/>
    <w:rsid w:val="00B43894"/>
    <w:rsid w:val="00B44390"/>
    <w:rsid w:val="00B44924"/>
    <w:rsid w:val="00B4511F"/>
    <w:rsid w:val="00B4563A"/>
    <w:rsid w:val="00B45998"/>
    <w:rsid w:val="00B45C92"/>
    <w:rsid w:val="00B45E3F"/>
    <w:rsid w:val="00B46097"/>
    <w:rsid w:val="00B46313"/>
    <w:rsid w:val="00B4640B"/>
    <w:rsid w:val="00B467D9"/>
    <w:rsid w:val="00B46968"/>
    <w:rsid w:val="00B46C6A"/>
    <w:rsid w:val="00B46D6F"/>
    <w:rsid w:val="00B46FE6"/>
    <w:rsid w:val="00B4744C"/>
    <w:rsid w:val="00B476E4"/>
    <w:rsid w:val="00B477B0"/>
    <w:rsid w:val="00B47D27"/>
    <w:rsid w:val="00B50429"/>
    <w:rsid w:val="00B504A4"/>
    <w:rsid w:val="00B508B0"/>
    <w:rsid w:val="00B50918"/>
    <w:rsid w:val="00B51B64"/>
    <w:rsid w:val="00B51F08"/>
    <w:rsid w:val="00B524D7"/>
    <w:rsid w:val="00B52831"/>
    <w:rsid w:val="00B528C5"/>
    <w:rsid w:val="00B52ACC"/>
    <w:rsid w:val="00B52C07"/>
    <w:rsid w:val="00B5338A"/>
    <w:rsid w:val="00B533D4"/>
    <w:rsid w:val="00B53BF6"/>
    <w:rsid w:val="00B53D76"/>
    <w:rsid w:val="00B54569"/>
    <w:rsid w:val="00B54656"/>
    <w:rsid w:val="00B5489C"/>
    <w:rsid w:val="00B54A0D"/>
    <w:rsid w:val="00B550F3"/>
    <w:rsid w:val="00B55518"/>
    <w:rsid w:val="00B55907"/>
    <w:rsid w:val="00B55E0F"/>
    <w:rsid w:val="00B563EA"/>
    <w:rsid w:val="00B56F0B"/>
    <w:rsid w:val="00B56FB8"/>
    <w:rsid w:val="00B5716A"/>
    <w:rsid w:val="00B573A7"/>
    <w:rsid w:val="00B57756"/>
    <w:rsid w:val="00B6016C"/>
    <w:rsid w:val="00B60572"/>
    <w:rsid w:val="00B60755"/>
    <w:rsid w:val="00B608DC"/>
    <w:rsid w:val="00B60989"/>
    <w:rsid w:val="00B60AD0"/>
    <w:rsid w:val="00B60B14"/>
    <w:rsid w:val="00B60D4E"/>
    <w:rsid w:val="00B60E07"/>
    <w:rsid w:val="00B60E1E"/>
    <w:rsid w:val="00B61006"/>
    <w:rsid w:val="00B610BA"/>
    <w:rsid w:val="00B61411"/>
    <w:rsid w:val="00B61459"/>
    <w:rsid w:val="00B61776"/>
    <w:rsid w:val="00B61779"/>
    <w:rsid w:val="00B61D63"/>
    <w:rsid w:val="00B622D2"/>
    <w:rsid w:val="00B6230C"/>
    <w:rsid w:val="00B62800"/>
    <w:rsid w:val="00B628B1"/>
    <w:rsid w:val="00B62B04"/>
    <w:rsid w:val="00B62B1B"/>
    <w:rsid w:val="00B62CDC"/>
    <w:rsid w:val="00B63121"/>
    <w:rsid w:val="00B63237"/>
    <w:rsid w:val="00B63333"/>
    <w:rsid w:val="00B63518"/>
    <w:rsid w:val="00B63803"/>
    <w:rsid w:val="00B63D57"/>
    <w:rsid w:val="00B6468E"/>
    <w:rsid w:val="00B6484E"/>
    <w:rsid w:val="00B64A07"/>
    <w:rsid w:val="00B65036"/>
    <w:rsid w:val="00B6509B"/>
    <w:rsid w:val="00B650BF"/>
    <w:rsid w:val="00B65BE2"/>
    <w:rsid w:val="00B65D35"/>
    <w:rsid w:val="00B65D91"/>
    <w:rsid w:val="00B65E7C"/>
    <w:rsid w:val="00B6615B"/>
    <w:rsid w:val="00B66CD5"/>
    <w:rsid w:val="00B66D8E"/>
    <w:rsid w:val="00B66F0F"/>
    <w:rsid w:val="00B673A4"/>
    <w:rsid w:val="00B67798"/>
    <w:rsid w:val="00B6788B"/>
    <w:rsid w:val="00B678D4"/>
    <w:rsid w:val="00B70488"/>
    <w:rsid w:val="00B706D6"/>
    <w:rsid w:val="00B70828"/>
    <w:rsid w:val="00B708D3"/>
    <w:rsid w:val="00B70A66"/>
    <w:rsid w:val="00B70C56"/>
    <w:rsid w:val="00B70F0A"/>
    <w:rsid w:val="00B710A6"/>
    <w:rsid w:val="00B7193E"/>
    <w:rsid w:val="00B71E45"/>
    <w:rsid w:val="00B71E7A"/>
    <w:rsid w:val="00B72571"/>
    <w:rsid w:val="00B72787"/>
    <w:rsid w:val="00B72E6B"/>
    <w:rsid w:val="00B72EF5"/>
    <w:rsid w:val="00B731C4"/>
    <w:rsid w:val="00B7371C"/>
    <w:rsid w:val="00B73B29"/>
    <w:rsid w:val="00B73BB7"/>
    <w:rsid w:val="00B7404D"/>
    <w:rsid w:val="00B741CA"/>
    <w:rsid w:val="00B74A0E"/>
    <w:rsid w:val="00B757E6"/>
    <w:rsid w:val="00B759AA"/>
    <w:rsid w:val="00B759EA"/>
    <w:rsid w:val="00B75CC3"/>
    <w:rsid w:val="00B75FBF"/>
    <w:rsid w:val="00B761EF"/>
    <w:rsid w:val="00B7639B"/>
    <w:rsid w:val="00B763C0"/>
    <w:rsid w:val="00B765F7"/>
    <w:rsid w:val="00B76DCB"/>
    <w:rsid w:val="00B77203"/>
    <w:rsid w:val="00B77467"/>
    <w:rsid w:val="00B77A39"/>
    <w:rsid w:val="00B77C0E"/>
    <w:rsid w:val="00B77C19"/>
    <w:rsid w:val="00B801AD"/>
    <w:rsid w:val="00B80410"/>
    <w:rsid w:val="00B8047F"/>
    <w:rsid w:val="00B8054C"/>
    <w:rsid w:val="00B80552"/>
    <w:rsid w:val="00B806AD"/>
    <w:rsid w:val="00B80AD9"/>
    <w:rsid w:val="00B80DA3"/>
    <w:rsid w:val="00B80F52"/>
    <w:rsid w:val="00B813E1"/>
    <w:rsid w:val="00B81A87"/>
    <w:rsid w:val="00B81C16"/>
    <w:rsid w:val="00B82204"/>
    <w:rsid w:val="00B82402"/>
    <w:rsid w:val="00B82790"/>
    <w:rsid w:val="00B82CA6"/>
    <w:rsid w:val="00B82CC8"/>
    <w:rsid w:val="00B830C3"/>
    <w:rsid w:val="00B8374D"/>
    <w:rsid w:val="00B8376B"/>
    <w:rsid w:val="00B83CBF"/>
    <w:rsid w:val="00B83FFF"/>
    <w:rsid w:val="00B84038"/>
    <w:rsid w:val="00B840D4"/>
    <w:rsid w:val="00B84444"/>
    <w:rsid w:val="00B8464D"/>
    <w:rsid w:val="00B84652"/>
    <w:rsid w:val="00B84881"/>
    <w:rsid w:val="00B84B1E"/>
    <w:rsid w:val="00B84C11"/>
    <w:rsid w:val="00B84D88"/>
    <w:rsid w:val="00B85139"/>
    <w:rsid w:val="00B8550B"/>
    <w:rsid w:val="00B855AF"/>
    <w:rsid w:val="00B856B8"/>
    <w:rsid w:val="00B858C7"/>
    <w:rsid w:val="00B8591E"/>
    <w:rsid w:val="00B85B0A"/>
    <w:rsid w:val="00B85B16"/>
    <w:rsid w:val="00B86057"/>
    <w:rsid w:val="00B8609A"/>
    <w:rsid w:val="00B864D0"/>
    <w:rsid w:val="00B86943"/>
    <w:rsid w:val="00B86ACB"/>
    <w:rsid w:val="00B86B04"/>
    <w:rsid w:val="00B876B1"/>
    <w:rsid w:val="00B87AD7"/>
    <w:rsid w:val="00B87CB4"/>
    <w:rsid w:val="00B87CF9"/>
    <w:rsid w:val="00B87F4C"/>
    <w:rsid w:val="00B87FEF"/>
    <w:rsid w:val="00B90799"/>
    <w:rsid w:val="00B90936"/>
    <w:rsid w:val="00B90A62"/>
    <w:rsid w:val="00B90DD3"/>
    <w:rsid w:val="00B90E5E"/>
    <w:rsid w:val="00B90F6B"/>
    <w:rsid w:val="00B910AA"/>
    <w:rsid w:val="00B911DE"/>
    <w:rsid w:val="00B91348"/>
    <w:rsid w:val="00B91426"/>
    <w:rsid w:val="00B91612"/>
    <w:rsid w:val="00B91887"/>
    <w:rsid w:val="00B918DC"/>
    <w:rsid w:val="00B92374"/>
    <w:rsid w:val="00B92760"/>
    <w:rsid w:val="00B927FE"/>
    <w:rsid w:val="00B929B7"/>
    <w:rsid w:val="00B92CC6"/>
    <w:rsid w:val="00B92F76"/>
    <w:rsid w:val="00B93096"/>
    <w:rsid w:val="00B930CB"/>
    <w:rsid w:val="00B9325E"/>
    <w:rsid w:val="00B9327F"/>
    <w:rsid w:val="00B93484"/>
    <w:rsid w:val="00B9402D"/>
    <w:rsid w:val="00B9457E"/>
    <w:rsid w:val="00B948DE"/>
    <w:rsid w:val="00B94C0D"/>
    <w:rsid w:val="00B94EE7"/>
    <w:rsid w:val="00B94F6A"/>
    <w:rsid w:val="00B9500C"/>
    <w:rsid w:val="00B9528F"/>
    <w:rsid w:val="00B953DB"/>
    <w:rsid w:val="00B95820"/>
    <w:rsid w:val="00B95873"/>
    <w:rsid w:val="00B95A77"/>
    <w:rsid w:val="00B95B3A"/>
    <w:rsid w:val="00B95B99"/>
    <w:rsid w:val="00B95D08"/>
    <w:rsid w:val="00B95E1C"/>
    <w:rsid w:val="00B95FD8"/>
    <w:rsid w:val="00B9602B"/>
    <w:rsid w:val="00B963D8"/>
    <w:rsid w:val="00B9668C"/>
    <w:rsid w:val="00B9669D"/>
    <w:rsid w:val="00B9685B"/>
    <w:rsid w:val="00B96F9B"/>
    <w:rsid w:val="00B970BE"/>
    <w:rsid w:val="00B971CF"/>
    <w:rsid w:val="00B97638"/>
    <w:rsid w:val="00B976B3"/>
    <w:rsid w:val="00B97765"/>
    <w:rsid w:val="00B979C1"/>
    <w:rsid w:val="00B97DF0"/>
    <w:rsid w:val="00B97E50"/>
    <w:rsid w:val="00BA02E4"/>
    <w:rsid w:val="00BA0730"/>
    <w:rsid w:val="00BA09BF"/>
    <w:rsid w:val="00BA0F50"/>
    <w:rsid w:val="00BA1074"/>
    <w:rsid w:val="00BA1307"/>
    <w:rsid w:val="00BA15B8"/>
    <w:rsid w:val="00BA1842"/>
    <w:rsid w:val="00BA1F2E"/>
    <w:rsid w:val="00BA2F62"/>
    <w:rsid w:val="00BA3447"/>
    <w:rsid w:val="00BA3CF3"/>
    <w:rsid w:val="00BA3F48"/>
    <w:rsid w:val="00BA430C"/>
    <w:rsid w:val="00BA4CEC"/>
    <w:rsid w:val="00BA4ECF"/>
    <w:rsid w:val="00BA5104"/>
    <w:rsid w:val="00BA542F"/>
    <w:rsid w:val="00BA55EB"/>
    <w:rsid w:val="00BA5673"/>
    <w:rsid w:val="00BA570B"/>
    <w:rsid w:val="00BA576C"/>
    <w:rsid w:val="00BA57B6"/>
    <w:rsid w:val="00BA5ADC"/>
    <w:rsid w:val="00BA66E1"/>
    <w:rsid w:val="00BA6C20"/>
    <w:rsid w:val="00BA6F51"/>
    <w:rsid w:val="00BA73F2"/>
    <w:rsid w:val="00BA768E"/>
    <w:rsid w:val="00BA7DA6"/>
    <w:rsid w:val="00BB0530"/>
    <w:rsid w:val="00BB0598"/>
    <w:rsid w:val="00BB0B20"/>
    <w:rsid w:val="00BB0CAE"/>
    <w:rsid w:val="00BB0D8C"/>
    <w:rsid w:val="00BB0E2D"/>
    <w:rsid w:val="00BB0E39"/>
    <w:rsid w:val="00BB118F"/>
    <w:rsid w:val="00BB11BC"/>
    <w:rsid w:val="00BB1312"/>
    <w:rsid w:val="00BB163D"/>
    <w:rsid w:val="00BB18DC"/>
    <w:rsid w:val="00BB1AE1"/>
    <w:rsid w:val="00BB1B16"/>
    <w:rsid w:val="00BB1BE0"/>
    <w:rsid w:val="00BB1CEF"/>
    <w:rsid w:val="00BB2359"/>
    <w:rsid w:val="00BB3048"/>
    <w:rsid w:val="00BB3151"/>
    <w:rsid w:val="00BB3F51"/>
    <w:rsid w:val="00BB3FAA"/>
    <w:rsid w:val="00BB409E"/>
    <w:rsid w:val="00BB431E"/>
    <w:rsid w:val="00BB4350"/>
    <w:rsid w:val="00BB4384"/>
    <w:rsid w:val="00BB439D"/>
    <w:rsid w:val="00BB4B50"/>
    <w:rsid w:val="00BB4E47"/>
    <w:rsid w:val="00BB504D"/>
    <w:rsid w:val="00BB5062"/>
    <w:rsid w:val="00BB51FD"/>
    <w:rsid w:val="00BB55AF"/>
    <w:rsid w:val="00BB5FEF"/>
    <w:rsid w:val="00BB6299"/>
    <w:rsid w:val="00BB62C7"/>
    <w:rsid w:val="00BB691C"/>
    <w:rsid w:val="00BB6DB0"/>
    <w:rsid w:val="00BB71B2"/>
    <w:rsid w:val="00BB7DF7"/>
    <w:rsid w:val="00BB7E28"/>
    <w:rsid w:val="00BB7E96"/>
    <w:rsid w:val="00BB7F4C"/>
    <w:rsid w:val="00BB7F97"/>
    <w:rsid w:val="00BC014D"/>
    <w:rsid w:val="00BC098B"/>
    <w:rsid w:val="00BC0F5D"/>
    <w:rsid w:val="00BC0FD8"/>
    <w:rsid w:val="00BC1022"/>
    <w:rsid w:val="00BC1392"/>
    <w:rsid w:val="00BC1668"/>
    <w:rsid w:val="00BC1C5C"/>
    <w:rsid w:val="00BC210F"/>
    <w:rsid w:val="00BC22F3"/>
    <w:rsid w:val="00BC231E"/>
    <w:rsid w:val="00BC24D7"/>
    <w:rsid w:val="00BC286B"/>
    <w:rsid w:val="00BC29F4"/>
    <w:rsid w:val="00BC2EBF"/>
    <w:rsid w:val="00BC305E"/>
    <w:rsid w:val="00BC348C"/>
    <w:rsid w:val="00BC34F6"/>
    <w:rsid w:val="00BC3E91"/>
    <w:rsid w:val="00BC3EE5"/>
    <w:rsid w:val="00BC4222"/>
    <w:rsid w:val="00BC4746"/>
    <w:rsid w:val="00BC4B5D"/>
    <w:rsid w:val="00BC4B88"/>
    <w:rsid w:val="00BC4F5A"/>
    <w:rsid w:val="00BC5351"/>
    <w:rsid w:val="00BC599C"/>
    <w:rsid w:val="00BC5EAF"/>
    <w:rsid w:val="00BC5EDC"/>
    <w:rsid w:val="00BC63AC"/>
    <w:rsid w:val="00BC68DE"/>
    <w:rsid w:val="00BC70DA"/>
    <w:rsid w:val="00BC7260"/>
    <w:rsid w:val="00BC75EB"/>
    <w:rsid w:val="00BC7628"/>
    <w:rsid w:val="00BC7669"/>
    <w:rsid w:val="00BD036C"/>
    <w:rsid w:val="00BD056F"/>
    <w:rsid w:val="00BD0AD0"/>
    <w:rsid w:val="00BD0CCD"/>
    <w:rsid w:val="00BD0D0D"/>
    <w:rsid w:val="00BD11FC"/>
    <w:rsid w:val="00BD16CA"/>
    <w:rsid w:val="00BD17F2"/>
    <w:rsid w:val="00BD183F"/>
    <w:rsid w:val="00BD1AD3"/>
    <w:rsid w:val="00BD1C8B"/>
    <w:rsid w:val="00BD2057"/>
    <w:rsid w:val="00BD2072"/>
    <w:rsid w:val="00BD20EC"/>
    <w:rsid w:val="00BD211C"/>
    <w:rsid w:val="00BD21EC"/>
    <w:rsid w:val="00BD232D"/>
    <w:rsid w:val="00BD2EC3"/>
    <w:rsid w:val="00BD34CD"/>
    <w:rsid w:val="00BD35B1"/>
    <w:rsid w:val="00BD3A82"/>
    <w:rsid w:val="00BD3D8E"/>
    <w:rsid w:val="00BD3EA7"/>
    <w:rsid w:val="00BD3FC6"/>
    <w:rsid w:val="00BD4374"/>
    <w:rsid w:val="00BD44E1"/>
    <w:rsid w:val="00BD4A6A"/>
    <w:rsid w:val="00BD5031"/>
    <w:rsid w:val="00BD51B7"/>
    <w:rsid w:val="00BD51D2"/>
    <w:rsid w:val="00BD5355"/>
    <w:rsid w:val="00BD53FE"/>
    <w:rsid w:val="00BD55F9"/>
    <w:rsid w:val="00BD57D9"/>
    <w:rsid w:val="00BD584A"/>
    <w:rsid w:val="00BD5A1B"/>
    <w:rsid w:val="00BD5F39"/>
    <w:rsid w:val="00BD60CB"/>
    <w:rsid w:val="00BD61BF"/>
    <w:rsid w:val="00BD6F4A"/>
    <w:rsid w:val="00BD78FF"/>
    <w:rsid w:val="00BD7A28"/>
    <w:rsid w:val="00BD7A38"/>
    <w:rsid w:val="00BD7DFB"/>
    <w:rsid w:val="00BD7E9A"/>
    <w:rsid w:val="00BE0274"/>
    <w:rsid w:val="00BE04C8"/>
    <w:rsid w:val="00BE0981"/>
    <w:rsid w:val="00BE0A13"/>
    <w:rsid w:val="00BE0D41"/>
    <w:rsid w:val="00BE0F9A"/>
    <w:rsid w:val="00BE1386"/>
    <w:rsid w:val="00BE1534"/>
    <w:rsid w:val="00BE1B36"/>
    <w:rsid w:val="00BE1DEB"/>
    <w:rsid w:val="00BE1FEB"/>
    <w:rsid w:val="00BE2230"/>
    <w:rsid w:val="00BE22DD"/>
    <w:rsid w:val="00BE250A"/>
    <w:rsid w:val="00BE26AA"/>
    <w:rsid w:val="00BE27A7"/>
    <w:rsid w:val="00BE2846"/>
    <w:rsid w:val="00BE2AA9"/>
    <w:rsid w:val="00BE2D93"/>
    <w:rsid w:val="00BE2EB3"/>
    <w:rsid w:val="00BE302D"/>
    <w:rsid w:val="00BE39D7"/>
    <w:rsid w:val="00BE3C9A"/>
    <w:rsid w:val="00BE3EB3"/>
    <w:rsid w:val="00BE4238"/>
    <w:rsid w:val="00BE4443"/>
    <w:rsid w:val="00BE47A1"/>
    <w:rsid w:val="00BE4F1A"/>
    <w:rsid w:val="00BE5088"/>
    <w:rsid w:val="00BE517F"/>
    <w:rsid w:val="00BE51A3"/>
    <w:rsid w:val="00BE5D51"/>
    <w:rsid w:val="00BE5FD7"/>
    <w:rsid w:val="00BE65E2"/>
    <w:rsid w:val="00BE67D2"/>
    <w:rsid w:val="00BE68DE"/>
    <w:rsid w:val="00BE6A08"/>
    <w:rsid w:val="00BE6D14"/>
    <w:rsid w:val="00BE6EEE"/>
    <w:rsid w:val="00BE6F8C"/>
    <w:rsid w:val="00BE769F"/>
    <w:rsid w:val="00BE77C9"/>
    <w:rsid w:val="00BE7BA9"/>
    <w:rsid w:val="00BF0212"/>
    <w:rsid w:val="00BF0A61"/>
    <w:rsid w:val="00BF0E6E"/>
    <w:rsid w:val="00BF13E1"/>
    <w:rsid w:val="00BF1B3D"/>
    <w:rsid w:val="00BF1C12"/>
    <w:rsid w:val="00BF22F9"/>
    <w:rsid w:val="00BF24CC"/>
    <w:rsid w:val="00BF2E0B"/>
    <w:rsid w:val="00BF3021"/>
    <w:rsid w:val="00BF3152"/>
    <w:rsid w:val="00BF367D"/>
    <w:rsid w:val="00BF3731"/>
    <w:rsid w:val="00BF3793"/>
    <w:rsid w:val="00BF3968"/>
    <w:rsid w:val="00BF3A4C"/>
    <w:rsid w:val="00BF409C"/>
    <w:rsid w:val="00BF4263"/>
    <w:rsid w:val="00BF439F"/>
    <w:rsid w:val="00BF450C"/>
    <w:rsid w:val="00BF49D4"/>
    <w:rsid w:val="00BF4B88"/>
    <w:rsid w:val="00BF4C2B"/>
    <w:rsid w:val="00BF4F45"/>
    <w:rsid w:val="00BF50E2"/>
    <w:rsid w:val="00BF5191"/>
    <w:rsid w:val="00BF5427"/>
    <w:rsid w:val="00BF5826"/>
    <w:rsid w:val="00BF5A5E"/>
    <w:rsid w:val="00BF5EC9"/>
    <w:rsid w:val="00BF618F"/>
    <w:rsid w:val="00BF61C6"/>
    <w:rsid w:val="00BF64C1"/>
    <w:rsid w:val="00BF64E6"/>
    <w:rsid w:val="00BF697E"/>
    <w:rsid w:val="00BF7597"/>
    <w:rsid w:val="00BF769F"/>
    <w:rsid w:val="00BF77D2"/>
    <w:rsid w:val="00BF77FD"/>
    <w:rsid w:val="00BF7F51"/>
    <w:rsid w:val="00C004A2"/>
    <w:rsid w:val="00C004DC"/>
    <w:rsid w:val="00C00B91"/>
    <w:rsid w:val="00C00EEC"/>
    <w:rsid w:val="00C01444"/>
    <w:rsid w:val="00C017A0"/>
    <w:rsid w:val="00C01884"/>
    <w:rsid w:val="00C01D2F"/>
    <w:rsid w:val="00C020A4"/>
    <w:rsid w:val="00C0226E"/>
    <w:rsid w:val="00C024DB"/>
    <w:rsid w:val="00C025C8"/>
    <w:rsid w:val="00C026E5"/>
    <w:rsid w:val="00C0281B"/>
    <w:rsid w:val="00C028B5"/>
    <w:rsid w:val="00C02965"/>
    <w:rsid w:val="00C02A6E"/>
    <w:rsid w:val="00C02B96"/>
    <w:rsid w:val="00C02D9D"/>
    <w:rsid w:val="00C02DAC"/>
    <w:rsid w:val="00C02DFD"/>
    <w:rsid w:val="00C02F74"/>
    <w:rsid w:val="00C03098"/>
    <w:rsid w:val="00C030A8"/>
    <w:rsid w:val="00C0345F"/>
    <w:rsid w:val="00C0349F"/>
    <w:rsid w:val="00C03C7A"/>
    <w:rsid w:val="00C04019"/>
    <w:rsid w:val="00C04541"/>
    <w:rsid w:val="00C0464A"/>
    <w:rsid w:val="00C04748"/>
    <w:rsid w:val="00C049D1"/>
    <w:rsid w:val="00C04B7E"/>
    <w:rsid w:val="00C04BD4"/>
    <w:rsid w:val="00C04CFA"/>
    <w:rsid w:val="00C051BB"/>
    <w:rsid w:val="00C053CB"/>
    <w:rsid w:val="00C055C9"/>
    <w:rsid w:val="00C05920"/>
    <w:rsid w:val="00C05ACC"/>
    <w:rsid w:val="00C05ED2"/>
    <w:rsid w:val="00C06021"/>
    <w:rsid w:val="00C063CF"/>
    <w:rsid w:val="00C070A3"/>
    <w:rsid w:val="00C07524"/>
    <w:rsid w:val="00C07553"/>
    <w:rsid w:val="00C07577"/>
    <w:rsid w:val="00C0778C"/>
    <w:rsid w:val="00C07B5D"/>
    <w:rsid w:val="00C10342"/>
    <w:rsid w:val="00C11988"/>
    <w:rsid w:val="00C119AF"/>
    <w:rsid w:val="00C121F2"/>
    <w:rsid w:val="00C12A72"/>
    <w:rsid w:val="00C12BAB"/>
    <w:rsid w:val="00C12F2B"/>
    <w:rsid w:val="00C1324A"/>
    <w:rsid w:val="00C13573"/>
    <w:rsid w:val="00C137D2"/>
    <w:rsid w:val="00C13902"/>
    <w:rsid w:val="00C13B89"/>
    <w:rsid w:val="00C13C43"/>
    <w:rsid w:val="00C14420"/>
    <w:rsid w:val="00C14463"/>
    <w:rsid w:val="00C1452B"/>
    <w:rsid w:val="00C14D86"/>
    <w:rsid w:val="00C14F86"/>
    <w:rsid w:val="00C15518"/>
    <w:rsid w:val="00C1557A"/>
    <w:rsid w:val="00C155B9"/>
    <w:rsid w:val="00C15CA5"/>
    <w:rsid w:val="00C15CEA"/>
    <w:rsid w:val="00C15DF3"/>
    <w:rsid w:val="00C15FB0"/>
    <w:rsid w:val="00C161FD"/>
    <w:rsid w:val="00C166A5"/>
    <w:rsid w:val="00C166DF"/>
    <w:rsid w:val="00C16819"/>
    <w:rsid w:val="00C16893"/>
    <w:rsid w:val="00C16B92"/>
    <w:rsid w:val="00C16EB7"/>
    <w:rsid w:val="00C17276"/>
    <w:rsid w:val="00C17535"/>
    <w:rsid w:val="00C178FF"/>
    <w:rsid w:val="00C203F3"/>
    <w:rsid w:val="00C2049A"/>
    <w:rsid w:val="00C204A1"/>
    <w:rsid w:val="00C205CE"/>
    <w:rsid w:val="00C20A01"/>
    <w:rsid w:val="00C20A18"/>
    <w:rsid w:val="00C20BE1"/>
    <w:rsid w:val="00C20BEC"/>
    <w:rsid w:val="00C20C9F"/>
    <w:rsid w:val="00C20DDC"/>
    <w:rsid w:val="00C20E28"/>
    <w:rsid w:val="00C21517"/>
    <w:rsid w:val="00C219F6"/>
    <w:rsid w:val="00C223C6"/>
    <w:rsid w:val="00C2253E"/>
    <w:rsid w:val="00C2278E"/>
    <w:rsid w:val="00C22D5F"/>
    <w:rsid w:val="00C2320F"/>
    <w:rsid w:val="00C2336A"/>
    <w:rsid w:val="00C23632"/>
    <w:rsid w:val="00C23C56"/>
    <w:rsid w:val="00C23EC1"/>
    <w:rsid w:val="00C23F62"/>
    <w:rsid w:val="00C2400E"/>
    <w:rsid w:val="00C245C7"/>
    <w:rsid w:val="00C24C06"/>
    <w:rsid w:val="00C25198"/>
    <w:rsid w:val="00C25C58"/>
    <w:rsid w:val="00C25D4A"/>
    <w:rsid w:val="00C25F8F"/>
    <w:rsid w:val="00C26343"/>
    <w:rsid w:val="00C26567"/>
    <w:rsid w:val="00C2688A"/>
    <w:rsid w:val="00C26994"/>
    <w:rsid w:val="00C26A11"/>
    <w:rsid w:val="00C26BBE"/>
    <w:rsid w:val="00C26CED"/>
    <w:rsid w:val="00C272AB"/>
    <w:rsid w:val="00C272D6"/>
    <w:rsid w:val="00C2772F"/>
    <w:rsid w:val="00C27960"/>
    <w:rsid w:val="00C279C6"/>
    <w:rsid w:val="00C30041"/>
    <w:rsid w:val="00C3105E"/>
    <w:rsid w:val="00C31C91"/>
    <w:rsid w:val="00C31E98"/>
    <w:rsid w:val="00C320BE"/>
    <w:rsid w:val="00C321D5"/>
    <w:rsid w:val="00C325BF"/>
    <w:rsid w:val="00C32E92"/>
    <w:rsid w:val="00C32ECD"/>
    <w:rsid w:val="00C32EDF"/>
    <w:rsid w:val="00C33083"/>
    <w:rsid w:val="00C3346C"/>
    <w:rsid w:val="00C334AF"/>
    <w:rsid w:val="00C338B9"/>
    <w:rsid w:val="00C338EE"/>
    <w:rsid w:val="00C339DB"/>
    <w:rsid w:val="00C341BC"/>
    <w:rsid w:val="00C34B6A"/>
    <w:rsid w:val="00C35499"/>
    <w:rsid w:val="00C35911"/>
    <w:rsid w:val="00C35999"/>
    <w:rsid w:val="00C35B96"/>
    <w:rsid w:val="00C35DF0"/>
    <w:rsid w:val="00C35DF6"/>
    <w:rsid w:val="00C35F1F"/>
    <w:rsid w:val="00C3601C"/>
    <w:rsid w:val="00C3623C"/>
    <w:rsid w:val="00C3634A"/>
    <w:rsid w:val="00C366C5"/>
    <w:rsid w:val="00C3690E"/>
    <w:rsid w:val="00C36A1A"/>
    <w:rsid w:val="00C36D22"/>
    <w:rsid w:val="00C3724C"/>
    <w:rsid w:val="00C37B7E"/>
    <w:rsid w:val="00C37B94"/>
    <w:rsid w:val="00C37C15"/>
    <w:rsid w:val="00C37C72"/>
    <w:rsid w:val="00C37EC3"/>
    <w:rsid w:val="00C37F11"/>
    <w:rsid w:val="00C40F12"/>
    <w:rsid w:val="00C40F1B"/>
    <w:rsid w:val="00C412B9"/>
    <w:rsid w:val="00C41637"/>
    <w:rsid w:val="00C4186C"/>
    <w:rsid w:val="00C41A58"/>
    <w:rsid w:val="00C41AFD"/>
    <w:rsid w:val="00C42270"/>
    <w:rsid w:val="00C42B2A"/>
    <w:rsid w:val="00C42E26"/>
    <w:rsid w:val="00C43058"/>
    <w:rsid w:val="00C4329A"/>
    <w:rsid w:val="00C43445"/>
    <w:rsid w:val="00C438B8"/>
    <w:rsid w:val="00C43C2D"/>
    <w:rsid w:val="00C43D03"/>
    <w:rsid w:val="00C440CA"/>
    <w:rsid w:val="00C443CD"/>
    <w:rsid w:val="00C44618"/>
    <w:rsid w:val="00C447A7"/>
    <w:rsid w:val="00C44875"/>
    <w:rsid w:val="00C44F04"/>
    <w:rsid w:val="00C44F0A"/>
    <w:rsid w:val="00C451B5"/>
    <w:rsid w:val="00C456D7"/>
    <w:rsid w:val="00C466A5"/>
    <w:rsid w:val="00C4691D"/>
    <w:rsid w:val="00C470DE"/>
    <w:rsid w:val="00C4737F"/>
    <w:rsid w:val="00C478F4"/>
    <w:rsid w:val="00C47AE0"/>
    <w:rsid w:val="00C47BD0"/>
    <w:rsid w:val="00C47DBF"/>
    <w:rsid w:val="00C50174"/>
    <w:rsid w:val="00C50450"/>
    <w:rsid w:val="00C50483"/>
    <w:rsid w:val="00C504E1"/>
    <w:rsid w:val="00C5062B"/>
    <w:rsid w:val="00C50689"/>
    <w:rsid w:val="00C507AC"/>
    <w:rsid w:val="00C50D4F"/>
    <w:rsid w:val="00C50EF7"/>
    <w:rsid w:val="00C5112D"/>
    <w:rsid w:val="00C511BE"/>
    <w:rsid w:val="00C51ECD"/>
    <w:rsid w:val="00C52612"/>
    <w:rsid w:val="00C52628"/>
    <w:rsid w:val="00C52C7C"/>
    <w:rsid w:val="00C52FFC"/>
    <w:rsid w:val="00C53344"/>
    <w:rsid w:val="00C534D4"/>
    <w:rsid w:val="00C541E6"/>
    <w:rsid w:val="00C546A2"/>
    <w:rsid w:val="00C5470A"/>
    <w:rsid w:val="00C5486F"/>
    <w:rsid w:val="00C548B5"/>
    <w:rsid w:val="00C552A5"/>
    <w:rsid w:val="00C557F1"/>
    <w:rsid w:val="00C55D9C"/>
    <w:rsid w:val="00C562ED"/>
    <w:rsid w:val="00C568FD"/>
    <w:rsid w:val="00C56964"/>
    <w:rsid w:val="00C573C4"/>
    <w:rsid w:val="00C574AC"/>
    <w:rsid w:val="00C574BD"/>
    <w:rsid w:val="00C575C7"/>
    <w:rsid w:val="00C575EC"/>
    <w:rsid w:val="00C60514"/>
    <w:rsid w:val="00C6077E"/>
    <w:rsid w:val="00C60839"/>
    <w:rsid w:val="00C60A62"/>
    <w:rsid w:val="00C60B90"/>
    <w:rsid w:val="00C60D97"/>
    <w:rsid w:val="00C60DF0"/>
    <w:rsid w:val="00C60ED1"/>
    <w:rsid w:val="00C611F6"/>
    <w:rsid w:val="00C61391"/>
    <w:rsid w:val="00C614E0"/>
    <w:rsid w:val="00C61E54"/>
    <w:rsid w:val="00C6254F"/>
    <w:rsid w:val="00C62828"/>
    <w:rsid w:val="00C62DB4"/>
    <w:rsid w:val="00C630B8"/>
    <w:rsid w:val="00C636EB"/>
    <w:rsid w:val="00C63886"/>
    <w:rsid w:val="00C63BF0"/>
    <w:rsid w:val="00C64015"/>
    <w:rsid w:val="00C645FC"/>
    <w:rsid w:val="00C6475E"/>
    <w:rsid w:val="00C649AE"/>
    <w:rsid w:val="00C64E2F"/>
    <w:rsid w:val="00C65060"/>
    <w:rsid w:val="00C650C0"/>
    <w:rsid w:val="00C65587"/>
    <w:rsid w:val="00C65A1E"/>
    <w:rsid w:val="00C65E3D"/>
    <w:rsid w:val="00C65E4C"/>
    <w:rsid w:val="00C6642C"/>
    <w:rsid w:val="00C6645D"/>
    <w:rsid w:val="00C66759"/>
    <w:rsid w:val="00C66849"/>
    <w:rsid w:val="00C66B01"/>
    <w:rsid w:val="00C6716D"/>
    <w:rsid w:val="00C673FF"/>
    <w:rsid w:val="00C67811"/>
    <w:rsid w:val="00C6797B"/>
    <w:rsid w:val="00C67AFD"/>
    <w:rsid w:val="00C67D85"/>
    <w:rsid w:val="00C67EFD"/>
    <w:rsid w:val="00C67FF2"/>
    <w:rsid w:val="00C70084"/>
    <w:rsid w:val="00C7009D"/>
    <w:rsid w:val="00C70482"/>
    <w:rsid w:val="00C706FE"/>
    <w:rsid w:val="00C70789"/>
    <w:rsid w:val="00C7097A"/>
    <w:rsid w:val="00C70D23"/>
    <w:rsid w:val="00C70F17"/>
    <w:rsid w:val="00C7112B"/>
    <w:rsid w:val="00C711C9"/>
    <w:rsid w:val="00C717E2"/>
    <w:rsid w:val="00C7198E"/>
    <w:rsid w:val="00C71A7F"/>
    <w:rsid w:val="00C71C54"/>
    <w:rsid w:val="00C7201C"/>
    <w:rsid w:val="00C721FC"/>
    <w:rsid w:val="00C72874"/>
    <w:rsid w:val="00C72ACF"/>
    <w:rsid w:val="00C72B49"/>
    <w:rsid w:val="00C731F7"/>
    <w:rsid w:val="00C7386B"/>
    <w:rsid w:val="00C73DC8"/>
    <w:rsid w:val="00C73F73"/>
    <w:rsid w:val="00C740B4"/>
    <w:rsid w:val="00C7411A"/>
    <w:rsid w:val="00C741CF"/>
    <w:rsid w:val="00C74389"/>
    <w:rsid w:val="00C74545"/>
    <w:rsid w:val="00C7461D"/>
    <w:rsid w:val="00C75060"/>
    <w:rsid w:val="00C75797"/>
    <w:rsid w:val="00C76394"/>
    <w:rsid w:val="00C76460"/>
    <w:rsid w:val="00C76609"/>
    <w:rsid w:val="00C76F54"/>
    <w:rsid w:val="00C77772"/>
    <w:rsid w:val="00C77ABE"/>
    <w:rsid w:val="00C77ACA"/>
    <w:rsid w:val="00C80520"/>
    <w:rsid w:val="00C80544"/>
    <w:rsid w:val="00C80699"/>
    <w:rsid w:val="00C809AB"/>
    <w:rsid w:val="00C80AE0"/>
    <w:rsid w:val="00C81269"/>
    <w:rsid w:val="00C815F9"/>
    <w:rsid w:val="00C819E4"/>
    <w:rsid w:val="00C81A17"/>
    <w:rsid w:val="00C81C78"/>
    <w:rsid w:val="00C81C87"/>
    <w:rsid w:val="00C81EA7"/>
    <w:rsid w:val="00C81EDA"/>
    <w:rsid w:val="00C822A8"/>
    <w:rsid w:val="00C82361"/>
    <w:rsid w:val="00C8260D"/>
    <w:rsid w:val="00C829AD"/>
    <w:rsid w:val="00C82C40"/>
    <w:rsid w:val="00C82E05"/>
    <w:rsid w:val="00C8318D"/>
    <w:rsid w:val="00C83457"/>
    <w:rsid w:val="00C83624"/>
    <w:rsid w:val="00C8388F"/>
    <w:rsid w:val="00C83D2F"/>
    <w:rsid w:val="00C841A6"/>
    <w:rsid w:val="00C849D8"/>
    <w:rsid w:val="00C84ABA"/>
    <w:rsid w:val="00C84B9B"/>
    <w:rsid w:val="00C84CF4"/>
    <w:rsid w:val="00C850E2"/>
    <w:rsid w:val="00C85182"/>
    <w:rsid w:val="00C851CC"/>
    <w:rsid w:val="00C853A5"/>
    <w:rsid w:val="00C853D5"/>
    <w:rsid w:val="00C85577"/>
    <w:rsid w:val="00C85675"/>
    <w:rsid w:val="00C85950"/>
    <w:rsid w:val="00C85A39"/>
    <w:rsid w:val="00C85ADC"/>
    <w:rsid w:val="00C85ED8"/>
    <w:rsid w:val="00C85F3E"/>
    <w:rsid w:val="00C8665E"/>
    <w:rsid w:val="00C869F9"/>
    <w:rsid w:val="00C8734E"/>
    <w:rsid w:val="00C87573"/>
    <w:rsid w:val="00C879BA"/>
    <w:rsid w:val="00C87ED0"/>
    <w:rsid w:val="00C909F3"/>
    <w:rsid w:val="00C90AB8"/>
    <w:rsid w:val="00C9106A"/>
    <w:rsid w:val="00C916D9"/>
    <w:rsid w:val="00C91A3A"/>
    <w:rsid w:val="00C91B76"/>
    <w:rsid w:val="00C91D38"/>
    <w:rsid w:val="00C92021"/>
    <w:rsid w:val="00C922E0"/>
    <w:rsid w:val="00C927F9"/>
    <w:rsid w:val="00C9292E"/>
    <w:rsid w:val="00C92DCB"/>
    <w:rsid w:val="00C93A15"/>
    <w:rsid w:val="00C93BCD"/>
    <w:rsid w:val="00C93E47"/>
    <w:rsid w:val="00C941A4"/>
    <w:rsid w:val="00C94415"/>
    <w:rsid w:val="00C9450E"/>
    <w:rsid w:val="00C94551"/>
    <w:rsid w:val="00C9457D"/>
    <w:rsid w:val="00C9458A"/>
    <w:rsid w:val="00C9461A"/>
    <w:rsid w:val="00C94722"/>
    <w:rsid w:val="00C948FF"/>
    <w:rsid w:val="00C94EF8"/>
    <w:rsid w:val="00C9537F"/>
    <w:rsid w:val="00C95545"/>
    <w:rsid w:val="00C955B9"/>
    <w:rsid w:val="00C95BD1"/>
    <w:rsid w:val="00C95CF1"/>
    <w:rsid w:val="00C960AE"/>
    <w:rsid w:val="00C964F6"/>
    <w:rsid w:val="00C96600"/>
    <w:rsid w:val="00C96667"/>
    <w:rsid w:val="00C96767"/>
    <w:rsid w:val="00C96899"/>
    <w:rsid w:val="00C96972"/>
    <w:rsid w:val="00C96BF3"/>
    <w:rsid w:val="00C96CB4"/>
    <w:rsid w:val="00C96DAC"/>
    <w:rsid w:val="00C96E1F"/>
    <w:rsid w:val="00C9700B"/>
    <w:rsid w:val="00C970CB"/>
    <w:rsid w:val="00C97213"/>
    <w:rsid w:val="00C9790B"/>
    <w:rsid w:val="00C97FAB"/>
    <w:rsid w:val="00CA0168"/>
    <w:rsid w:val="00CA0521"/>
    <w:rsid w:val="00CA0571"/>
    <w:rsid w:val="00CA057F"/>
    <w:rsid w:val="00CA06B7"/>
    <w:rsid w:val="00CA0DC3"/>
    <w:rsid w:val="00CA0EBB"/>
    <w:rsid w:val="00CA1001"/>
    <w:rsid w:val="00CA1C38"/>
    <w:rsid w:val="00CA1FE7"/>
    <w:rsid w:val="00CA20D5"/>
    <w:rsid w:val="00CA2131"/>
    <w:rsid w:val="00CA2161"/>
    <w:rsid w:val="00CA2227"/>
    <w:rsid w:val="00CA26A2"/>
    <w:rsid w:val="00CA2D9B"/>
    <w:rsid w:val="00CA2DD4"/>
    <w:rsid w:val="00CA2EB0"/>
    <w:rsid w:val="00CA332A"/>
    <w:rsid w:val="00CA3902"/>
    <w:rsid w:val="00CA39CF"/>
    <w:rsid w:val="00CA4261"/>
    <w:rsid w:val="00CA4548"/>
    <w:rsid w:val="00CA4C28"/>
    <w:rsid w:val="00CA51CE"/>
    <w:rsid w:val="00CA5566"/>
    <w:rsid w:val="00CA5A3A"/>
    <w:rsid w:val="00CA5DA3"/>
    <w:rsid w:val="00CA5F10"/>
    <w:rsid w:val="00CA62C3"/>
    <w:rsid w:val="00CA64E0"/>
    <w:rsid w:val="00CA66C7"/>
    <w:rsid w:val="00CA6814"/>
    <w:rsid w:val="00CA6D13"/>
    <w:rsid w:val="00CA7213"/>
    <w:rsid w:val="00CA74A6"/>
    <w:rsid w:val="00CA75E3"/>
    <w:rsid w:val="00CA75F8"/>
    <w:rsid w:val="00CA7615"/>
    <w:rsid w:val="00CA7AA2"/>
    <w:rsid w:val="00CA7C04"/>
    <w:rsid w:val="00CA7D17"/>
    <w:rsid w:val="00CB05FD"/>
    <w:rsid w:val="00CB097E"/>
    <w:rsid w:val="00CB0A33"/>
    <w:rsid w:val="00CB0A3F"/>
    <w:rsid w:val="00CB0A88"/>
    <w:rsid w:val="00CB0D0C"/>
    <w:rsid w:val="00CB0D44"/>
    <w:rsid w:val="00CB0F41"/>
    <w:rsid w:val="00CB104E"/>
    <w:rsid w:val="00CB1798"/>
    <w:rsid w:val="00CB1862"/>
    <w:rsid w:val="00CB1FB3"/>
    <w:rsid w:val="00CB21CF"/>
    <w:rsid w:val="00CB2518"/>
    <w:rsid w:val="00CB344A"/>
    <w:rsid w:val="00CB34AD"/>
    <w:rsid w:val="00CB394C"/>
    <w:rsid w:val="00CB3B57"/>
    <w:rsid w:val="00CB3ED6"/>
    <w:rsid w:val="00CB419C"/>
    <w:rsid w:val="00CB4231"/>
    <w:rsid w:val="00CB4CC2"/>
    <w:rsid w:val="00CB4F60"/>
    <w:rsid w:val="00CB5103"/>
    <w:rsid w:val="00CB5E75"/>
    <w:rsid w:val="00CB6084"/>
    <w:rsid w:val="00CB6309"/>
    <w:rsid w:val="00CB64F2"/>
    <w:rsid w:val="00CB6A6C"/>
    <w:rsid w:val="00CB7570"/>
    <w:rsid w:val="00CB7B04"/>
    <w:rsid w:val="00CB7DF9"/>
    <w:rsid w:val="00CC0865"/>
    <w:rsid w:val="00CC0B03"/>
    <w:rsid w:val="00CC0C46"/>
    <w:rsid w:val="00CC0CFB"/>
    <w:rsid w:val="00CC1344"/>
    <w:rsid w:val="00CC13D1"/>
    <w:rsid w:val="00CC193D"/>
    <w:rsid w:val="00CC1CBA"/>
    <w:rsid w:val="00CC1E59"/>
    <w:rsid w:val="00CC2347"/>
    <w:rsid w:val="00CC29E8"/>
    <w:rsid w:val="00CC2C2A"/>
    <w:rsid w:val="00CC2D40"/>
    <w:rsid w:val="00CC2EE9"/>
    <w:rsid w:val="00CC30E9"/>
    <w:rsid w:val="00CC3418"/>
    <w:rsid w:val="00CC347E"/>
    <w:rsid w:val="00CC35ED"/>
    <w:rsid w:val="00CC380A"/>
    <w:rsid w:val="00CC3A18"/>
    <w:rsid w:val="00CC3AD7"/>
    <w:rsid w:val="00CC3FA1"/>
    <w:rsid w:val="00CC40F4"/>
    <w:rsid w:val="00CC43A9"/>
    <w:rsid w:val="00CC441B"/>
    <w:rsid w:val="00CC44B4"/>
    <w:rsid w:val="00CC4660"/>
    <w:rsid w:val="00CC4BC6"/>
    <w:rsid w:val="00CC4D0F"/>
    <w:rsid w:val="00CC5044"/>
    <w:rsid w:val="00CC5364"/>
    <w:rsid w:val="00CC56B7"/>
    <w:rsid w:val="00CC6136"/>
    <w:rsid w:val="00CC6183"/>
    <w:rsid w:val="00CC6364"/>
    <w:rsid w:val="00CC63B4"/>
    <w:rsid w:val="00CC649C"/>
    <w:rsid w:val="00CC6AF1"/>
    <w:rsid w:val="00CC6E47"/>
    <w:rsid w:val="00CC7325"/>
    <w:rsid w:val="00CC7BCD"/>
    <w:rsid w:val="00CC7E03"/>
    <w:rsid w:val="00CC7FAD"/>
    <w:rsid w:val="00CD002F"/>
    <w:rsid w:val="00CD04BF"/>
    <w:rsid w:val="00CD064F"/>
    <w:rsid w:val="00CD0C6E"/>
    <w:rsid w:val="00CD0DA8"/>
    <w:rsid w:val="00CD11A2"/>
    <w:rsid w:val="00CD1496"/>
    <w:rsid w:val="00CD15A7"/>
    <w:rsid w:val="00CD1654"/>
    <w:rsid w:val="00CD1D34"/>
    <w:rsid w:val="00CD2018"/>
    <w:rsid w:val="00CD24E1"/>
    <w:rsid w:val="00CD26DA"/>
    <w:rsid w:val="00CD28D2"/>
    <w:rsid w:val="00CD29E4"/>
    <w:rsid w:val="00CD2AAC"/>
    <w:rsid w:val="00CD3B6A"/>
    <w:rsid w:val="00CD3B97"/>
    <w:rsid w:val="00CD468F"/>
    <w:rsid w:val="00CD4ABB"/>
    <w:rsid w:val="00CD4B64"/>
    <w:rsid w:val="00CD4B7F"/>
    <w:rsid w:val="00CD4EF5"/>
    <w:rsid w:val="00CD5128"/>
    <w:rsid w:val="00CD5615"/>
    <w:rsid w:val="00CD5A8B"/>
    <w:rsid w:val="00CD5E5E"/>
    <w:rsid w:val="00CD5EE3"/>
    <w:rsid w:val="00CD655B"/>
    <w:rsid w:val="00CD6890"/>
    <w:rsid w:val="00CD6A5A"/>
    <w:rsid w:val="00CD6C43"/>
    <w:rsid w:val="00CD6C9D"/>
    <w:rsid w:val="00CD6D8B"/>
    <w:rsid w:val="00CD7096"/>
    <w:rsid w:val="00CD7163"/>
    <w:rsid w:val="00CD72D5"/>
    <w:rsid w:val="00CD73A4"/>
    <w:rsid w:val="00CD7881"/>
    <w:rsid w:val="00CD7A03"/>
    <w:rsid w:val="00CD7CA2"/>
    <w:rsid w:val="00CD7D4B"/>
    <w:rsid w:val="00CD7EB4"/>
    <w:rsid w:val="00CE0505"/>
    <w:rsid w:val="00CE0C45"/>
    <w:rsid w:val="00CE1096"/>
    <w:rsid w:val="00CE1487"/>
    <w:rsid w:val="00CE14C4"/>
    <w:rsid w:val="00CE1639"/>
    <w:rsid w:val="00CE244C"/>
    <w:rsid w:val="00CE2466"/>
    <w:rsid w:val="00CE2732"/>
    <w:rsid w:val="00CE2A0F"/>
    <w:rsid w:val="00CE2A42"/>
    <w:rsid w:val="00CE2E97"/>
    <w:rsid w:val="00CE2F99"/>
    <w:rsid w:val="00CE3433"/>
    <w:rsid w:val="00CE39BC"/>
    <w:rsid w:val="00CE3AB8"/>
    <w:rsid w:val="00CE3ACE"/>
    <w:rsid w:val="00CE3BE7"/>
    <w:rsid w:val="00CE43C8"/>
    <w:rsid w:val="00CE4741"/>
    <w:rsid w:val="00CE5250"/>
    <w:rsid w:val="00CE598C"/>
    <w:rsid w:val="00CE5A2C"/>
    <w:rsid w:val="00CE5EE8"/>
    <w:rsid w:val="00CE6133"/>
    <w:rsid w:val="00CE61A2"/>
    <w:rsid w:val="00CE6238"/>
    <w:rsid w:val="00CE66EF"/>
    <w:rsid w:val="00CE6AE4"/>
    <w:rsid w:val="00CE6D26"/>
    <w:rsid w:val="00CE6F65"/>
    <w:rsid w:val="00CE6FC6"/>
    <w:rsid w:val="00CE77D5"/>
    <w:rsid w:val="00CF048D"/>
    <w:rsid w:val="00CF0568"/>
    <w:rsid w:val="00CF0B17"/>
    <w:rsid w:val="00CF0C3C"/>
    <w:rsid w:val="00CF0C97"/>
    <w:rsid w:val="00CF0DDE"/>
    <w:rsid w:val="00CF1210"/>
    <w:rsid w:val="00CF1468"/>
    <w:rsid w:val="00CF1578"/>
    <w:rsid w:val="00CF1991"/>
    <w:rsid w:val="00CF2034"/>
    <w:rsid w:val="00CF23A9"/>
    <w:rsid w:val="00CF2456"/>
    <w:rsid w:val="00CF27F5"/>
    <w:rsid w:val="00CF2824"/>
    <w:rsid w:val="00CF29DB"/>
    <w:rsid w:val="00CF2FC8"/>
    <w:rsid w:val="00CF3211"/>
    <w:rsid w:val="00CF322C"/>
    <w:rsid w:val="00CF3368"/>
    <w:rsid w:val="00CF3596"/>
    <w:rsid w:val="00CF3744"/>
    <w:rsid w:val="00CF3CBA"/>
    <w:rsid w:val="00CF416C"/>
    <w:rsid w:val="00CF46D9"/>
    <w:rsid w:val="00CF481D"/>
    <w:rsid w:val="00CF4B1C"/>
    <w:rsid w:val="00CF4F06"/>
    <w:rsid w:val="00CF5054"/>
    <w:rsid w:val="00CF5168"/>
    <w:rsid w:val="00CF53ED"/>
    <w:rsid w:val="00CF56E7"/>
    <w:rsid w:val="00CF580C"/>
    <w:rsid w:val="00CF59B5"/>
    <w:rsid w:val="00CF5C91"/>
    <w:rsid w:val="00CF5E69"/>
    <w:rsid w:val="00CF5F91"/>
    <w:rsid w:val="00CF63E1"/>
    <w:rsid w:val="00CF69B9"/>
    <w:rsid w:val="00CF6AB8"/>
    <w:rsid w:val="00CF6AC6"/>
    <w:rsid w:val="00CF7004"/>
    <w:rsid w:val="00CF701D"/>
    <w:rsid w:val="00CF711A"/>
    <w:rsid w:val="00CF738F"/>
    <w:rsid w:val="00CF7397"/>
    <w:rsid w:val="00CF76C6"/>
    <w:rsid w:val="00CF7EEF"/>
    <w:rsid w:val="00CF7F5E"/>
    <w:rsid w:val="00D005BB"/>
    <w:rsid w:val="00D0093C"/>
    <w:rsid w:val="00D00A6A"/>
    <w:rsid w:val="00D010D7"/>
    <w:rsid w:val="00D0125F"/>
    <w:rsid w:val="00D01296"/>
    <w:rsid w:val="00D016F3"/>
    <w:rsid w:val="00D018FC"/>
    <w:rsid w:val="00D019ED"/>
    <w:rsid w:val="00D01C48"/>
    <w:rsid w:val="00D01EBE"/>
    <w:rsid w:val="00D02188"/>
    <w:rsid w:val="00D021B3"/>
    <w:rsid w:val="00D0263F"/>
    <w:rsid w:val="00D02745"/>
    <w:rsid w:val="00D028F3"/>
    <w:rsid w:val="00D03231"/>
    <w:rsid w:val="00D03242"/>
    <w:rsid w:val="00D03301"/>
    <w:rsid w:val="00D0339D"/>
    <w:rsid w:val="00D037DB"/>
    <w:rsid w:val="00D03B15"/>
    <w:rsid w:val="00D03DC9"/>
    <w:rsid w:val="00D0401A"/>
    <w:rsid w:val="00D0406C"/>
    <w:rsid w:val="00D042AF"/>
    <w:rsid w:val="00D04512"/>
    <w:rsid w:val="00D046E1"/>
    <w:rsid w:val="00D04CE0"/>
    <w:rsid w:val="00D04D30"/>
    <w:rsid w:val="00D052B4"/>
    <w:rsid w:val="00D0532A"/>
    <w:rsid w:val="00D0556C"/>
    <w:rsid w:val="00D05D6F"/>
    <w:rsid w:val="00D05D75"/>
    <w:rsid w:val="00D05E9E"/>
    <w:rsid w:val="00D05F94"/>
    <w:rsid w:val="00D0604C"/>
    <w:rsid w:val="00D06549"/>
    <w:rsid w:val="00D068C6"/>
    <w:rsid w:val="00D06A61"/>
    <w:rsid w:val="00D06F61"/>
    <w:rsid w:val="00D07023"/>
    <w:rsid w:val="00D072CE"/>
    <w:rsid w:val="00D07644"/>
    <w:rsid w:val="00D076B2"/>
    <w:rsid w:val="00D0795B"/>
    <w:rsid w:val="00D07AEA"/>
    <w:rsid w:val="00D07B94"/>
    <w:rsid w:val="00D07CCC"/>
    <w:rsid w:val="00D07D2C"/>
    <w:rsid w:val="00D10130"/>
    <w:rsid w:val="00D104FE"/>
    <w:rsid w:val="00D1075F"/>
    <w:rsid w:val="00D1077F"/>
    <w:rsid w:val="00D10AE2"/>
    <w:rsid w:val="00D10B2C"/>
    <w:rsid w:val="00D10C27"/>
    <w:rsid w:val="00D10CF4"/>
    <w:rsid w:val="00D10DBA"/>
    <w:rsid w:val="00D114DA"/>
    <w:rsid w:val="00D11891"/>
    <w:rsid w:val="00D12465"/>
    <w:rsid w:val="00D125B4"/>
    <w:rsid w:val="00D12B04"/>
    <w:rsid w:val="00D12C2A"/>
    <w:rsid w:val="00D12CE7"/>
    <w:rsid w:val="00D12ED4"/>
    <w:rsid w:val="00D13051"/>
    <w:rsid w:val="00D13B86"/>
    <w:rsid w:val="00D14383"/>
    <w:rsid w:val="00D1462A"/>
    <w:rsid w:val="00D1480D"/>
    <w:rsid w:val="00D14A96"/>
    <w:rsid w:val="00D14AAD"/>
    <w:rsid w:val="00D14EF3"/>
    <w:rsid w:val="00D150FB"/>
    <w:rsid w:val="00D152EF"/>
    <w:rsid w:val="00D15349"/>
    <w:rsid w:val="00D1577D"/>
    <w:rsid w:val="00D15BFD"/>
    <w:rsid w:val="00D16765"/>
    <w:rsid w:val="00D16DAF"/>
    <w:rsid w:val="00D172E5"/>
    <w:rsid w:val="00D17479"/>
    <w:rsid w:val="00D174CB"/>
    <w:rsid w:val="00D175D6"/>
    <w:rsid w:val="00D178B3"/>
    <w:rsid w:val="00D17A15"/>
    <w:rsid w:val="00D200D4"/>
    <w:rsid w:val="00D2012A"/>
    <w:rsid w:val="00D20640"/>
    <w:rsid w:val="00D2092C"/>
    <w:rsid w:val="00D20E05"/>
    <w:rsid w:val="00D21014"/>
    <w:rsid w:val="00D2109F"/>
    <w:rsid w:val="00D21206"/>
    <w:rsid w:val="00D212E6"/>
    <w:rsid w:val="00D21735"/>
    <w:rsid w:val="00D218C6"/>
    <w:rsid w:val="00D21AB9"/>
    <w:rsid w:val="00D21EEA"/>
    <w:rsid w:val="00D21F4F"/>
    <w:rsid w:val="00D224B0"/>
    <w:rsid w:val="00D234E4"/>
    <w:rsid w:val="00D23C80"/>
    <w:rsid w:val="00D24482"/>
    <w:rsid w:val="00D247D1"/>
    <w:rsid w:val="00D24AEA"/>
    <w:rsid w:val="00D24BD1"/>
    <w:rsid w:val="00D24D5D"/>
    <w:rsid w:val="00D253AE"/>
    <w:rsid w:val="00D255B9"/>
    <w:rsid w:val="00D262B4"/>
    <w:rsid w:val="00D262C1"/>
    <w:rsid w:val="00D26CAA"/>
    <w:rsid w:val="00D2759B"/>
    <w:rsid w:val="00D27756"/>
    <w:rsid w:val="00D27942"/>
    <w:rsid w:val="00D279DC"/>
    <w:rsid w:val="00D27C1A"/>
    <w:rsid w:val="00D27C67"/>
    <w:rsid w:val="00D27F64"/>
    <w:rsid w:val="00D27FA6"/>
    <w:rsid w:val="00D3031A"/>
    <w:rsid w:val="00D304B7"/>
    <w:rsid w:val="00D30528"/>
    <w:rsid w:val="00D305B8"/>
    <w:rsid w:val="00D306E4"/>
    <w:rsid w:val="00D30CB2"/>
    <w:rsid w:val="00D30D79"/>
    <w:rsid w:val="00D3101E"/>
    <w:rsid w:val="00D310B0"/>
    <w:rsid w:val="00D31210"/>
    <w:rsid w:val="00D31447"/>
    <w:rsid w:val="00D318E1"/>
    <w:rsid w:val="00D319B1"/>
    <w:rsid w:val="00D31A2C"/>
    <w:rsid w:val="00D31DF5"/>
    <w:rsid w:val="00D31FBC"/>
    <w:rsid w:val="00D32949"/>
    <w:rsid w:val="00D329AF"/>
    <w:rsid w:val="00D32A9D"/>
    <w:rsid w:val="00D32BC2"/>
    <w:rsid w:val="00D32C73"/>
    <w:rsid w:val="00D3327F"/>
    <w:rsid w:val="00D33585"/>
    <w:rsid w:val="00D33590"/>
    <w:rsid w:val="00D33A04"/>
    <w:rsid w:val="00D33CBE"/>
    <w:rsid w:val="00D33CF2"/>
    <w:rsid w:val="00D34183"/>
    <w:rsid w:val="00D342A0"/>
    <w:rsid w:val="00D35077"/>
    <w:rsid w:val="00D35EB4"/>
    <w:rsid w:val="00D35EC2"/>
    <w:rsid w:val="00D3621F"/>
    <w:rsid w:val="00D36395"/>
    <w:rsid w:val="00D367EE"/>
    <w:rsid w:val="00D3683E"/>
    <w:rsid w:val="00D369D4"/>
    <w:rsid w:val="00D37279"/>
    <w:rsid w:val="00D37403"/>
    <w:rsid w:val="00D37531"/>
    <w:rsid w:val="00D37699"/>
    <w:rsid w:val="00D37972"/>
    <w:rsid w:val="00D37C1E"/>
    <w:rsid w:val="00D37D2C"/>
    <w:rsid w:val="00D37DF2"/>
    <w:rsid w:val="00D401CE"/>
    <w:rsid w:val="00D407BC"/>
    <w:rsid w:val="00D407C8"/>
    <w:rsid w:val="00D40ADA"/>
    <w:rsid w:val="00D40E83"/>
    <w:rsid w:val="00D40FC0"/>
    <w:rsid w:val="00D40FC9"/>
    <w:rsid w:val="00D41371"/>
    <w:rsid w:val="00D41639"/>
    <w:rsid w:val="00D4178C"/>
    <w:rsid w:val="00D41867"/>
    <w:rsid w:val="00D41998"/>
    <w:rsid w:val="00D419BE"/>
    <w:rsid w:val="00D419D1"/>
    <w:rsid w:val="00D41B30"/>
    <w:rsid w:val="00D41D62"/>
    <w:rsid w:val="00D41DF2"/>
    <w:rsid w:val="00D41E14"/>
    <w:rsid w:val="00D41E69"/>
    <w:rsid w:val="00D41E7B"/>
    <w:rsid w:val="00D41F81"/>
    <w:rsid w:val="00D4202D"/>
    <w:rsid w:val="00D42050"/>
    <w:rsid w:val="00D42470"/>
    <w:rsid w:val="00D42826"/>
    <w:rsid w:val="00D4290F"/>
    <w:rsid w:val="00D42936"/>
    <w:rsid w:val="00D42A25"/>
    <w:rsid w:val="00D42C8D"/>
    <w:rsid w:val="00D42CF8"/>
    <w:rsid w:val="00D43508"/>
    <w:rsid w:val="00D43BA2"/>
    <w:rsid w:val="00D43BBD"/>
    <w:rsid w:val="00D43CC1"/>
    <w:rsid w:val="00D43FB2"/>
    <w:rsid w:val="00D4400C"/>
    <w:rsid w:val="00D44509"/>
    <w:rsid w:val="00D44665"/>
    <w:rsid w:val="00D4469D"/>
    <w:rsid w:val="00D448DA"/>
    <w:rsid w:val="00D451F3"/>
    <w:rsid w:val="00D45889"/>
    <w:rsid w:val="00D4588A"/>
    <w:rsid w:val="00D45953"/>
    <w:rsid w:val="00D461FE"/>
    <w:rsid w:val="00D46EA2"/>
    <w:rsid w:val="00D46F53"/>
    <w:rsid w:val="00D476EA"/>
    <w:rsid w:val="00D47A14"/>
    <w:rsid w:val="00D47B36"/>
    <w:rsid w:val="00D47CF8"/>
    <w:rsid w:val="00D5084E"/>
    <w:rsid w:val="00D50B5B"/>
    <w:rsid w:val="00D50DE5"/>
    <w:rsid w:val="00D51038"/>
    <w:rsid w:val="00D510AE"/>
    <w:rsid w:val="00D51147"/>
    <w:rsid w:val="00D512FA"/>
    <w:rsid w:val="00D51423"/>
    <w:rsid w:val="00D5288F"/>
    <w:rsid w:val="00D52CD9"/>
    <w:rsid w:val="00D53A23"/>
    <w:rsid w:val="00D53A77"/>
    <w:rsid w:val="00D54292"/>
    <w:rsid w:val="00D5498E"/>
    <w:rsid w:val="00D54D4A"/>
    <w:rsid w:val="00D5506D"/>
    <w:rsid w:val="00D550D4"/>
    <w:rsid w:val="00D5541C"/>
    <w:rsid w:val="00D5592E"/>
    <w:rsid w:val="00D55A94"/>
    <w:rsid w:val="00D55B60"/>
    <w:rsid w:val="00D56527"/>
    <w:rsid w:val="00D56762"/>
    <w:rsid w:val="00D56844"/>
    <w:rsid w:val="00D56A16"/>
    <w:rsid w:val="00D571EC"/>
    <w:rsid w:val="00D57659"/>
    <w:rsid w:val="00D57C28"/>
    <w:rsid w:val="00D60253"/>
    <w:rsid w:val="00D60381"/>
    <w:rsid w:val="00D605E2"/>
    <w:rsid w:val="00D60BFA"/>
    <w:rsid w:val="00D61455"/>
    <w:rsid w:val="00D6196B"/>
    <w:rsid w:val="00D619A5"/>
    <w:rsid w:val="00D61A1D"/>
    <w:rsid w:val="00D61CE5"/>
    <w:rsid w:val="00D61E3F"/>
    <w:rsid w:val="00D62145"/>
    <w:rsid w:val="00D62151"/>
    <w:rsid w:val="00D62954"/>
    <w:rsid w:val="00D62A8C"/>
    <w:rsid w:val="00D62C77"/>
    <w:rsid w:val="00D63886"/>
    <w:rsid w:val="00D63A46"/>
    <w:rsid w:val="00D63C4B"/>
    <w:rsid w:val="00D63CA5"/>
    <w:rsid w:val="00D63D6B"/>
    <w:rsid w:val="00D63E64"/>
    <w:rsid w:val="00D6435C"/>
    <w:rsid w:val="00D64A33"/>
    <w:rsid w:val="00D64C25"/>
    <w:rsid w:val="00D6501F"/>
    <w:rsid w:val="00D652CD"/>
    <w:rsid w:val="00D652ED"/>
    <w:rsid w:val="00D656CC"/>
    <w:rsid w:val="00D65891"/>
    <w:rsid w:val="00D65A20"/>
    <w:rsid w:val="00D65DB3"/>
    <w:rsid w:val="00D65F10"/>
    <w:rsid w:val="00D65FBE"/>
    <w:rsid w:val="00D66139"/>
    <w:rsid w:val="00D66767"/>
    <w:rsid w:val="00D668D9"/>
    <w:rsid w:val="00D66CF1"/>
    <w:rsid w:val="00D66EEB"/>
    <w:rsid w:val="00D670A3"/>
    <w:rsid w:val="00D6759A"/>
    <w:rsid w:val="00D678D0"/>
    <w:rsid w:val="00D67B43"/>
    <w:rsid w:val="00D67EA1"/>
    <w:rsid w:val="00D67F3C"/>
    <w:rsid w:val="00D707C2"/>
    <w:rsid w:val="00D70DBF"/>
    <w:rsid w:val="00D70FE8"/>
    <w:rsid w:val="00D71071"/>
    <w:rsid w:val="00D7107D"/>
    <w:rsid w:val="00D712EB"/>
    <w:rsid w:val="00D715CB"/>
    <w:rsid w:val="00D719F4"/>
    <w:rsid w:val="00D71B8F"/>
    <w:rsid w:val="00D71BD3"/>
    <w:rsid w:val="00D723EE"/>
    <w:rsid w:val="00D7261D"/>
    <w:rsid w:val="00D7269E"/>
    <w:rsid w:val="00D73252"/>
    <w:rsid w:val="00D7339C"/>
    <w:rsid w:val="00D73614"/>
    <w:rsid w:val="00D73AC5"/>
    <w:rsid w:val="00D73B93"/>
    <w:rsid w:val="00D73D43"/>
    <w:rsid w:val="00D74751"/>
    <w:rsid w:val="00D74863"/>
    <w:rsid w:val="00D74B59"/>
    <w:rsid w:val="00D74C3F"/>
    <w:rsid w:val="00D74CA5"/>
    <w:rsid w:val="00D752F7"/>
    <w:rsid w:val="00D757FF"/>
    <w:rsid w:val="00D7592F"/>
    <w:rsid w:val="00D75CCF"/>
    <w:rsid w:val="00D75D6E"/>
    <w:rsid w:val="00D75E40"/>
    <w:rsid w:val="00D75F76"/>
    <w:rsid w:val="00D76436"/>
    <w:rsid w:val="00D7679B"/>
    <w:rsid w:val="00D768A8"/>
    <w:rsid w:val="00D76D49"/>
    <w:rsid w:val="00D770B1"/>
    <w:rsid w:val="00D7741F"/>
    <w:rsid w:val="00D775C8"/>
    <w:rsid w:val="00D7770C"/>
    <w:rsid w:val="00D7784E"/>
    <w:rsid w:val="00D77CC6"/>
    <w:rsid w:val="00D77FF9"/>
    <w:rsid w:val="00D801BA"/>
    <w:rsid w:val="00D801E3"/>
    <w:rsid w:val="00D8036B"/>
    <w:rsid w:val="00D805A4"/>
    <w:rsid w:val="00D8099D"/>
    <w:rsid w:val="00D80D33"/>
    <w:rsid w:val="00D80FC9"/>
    <w:rsid w:val="00D811E5"/>
    <w:rsid w:val="00D813F4"/>
    <w:rsid w:val="00D8195A"/>
    <w:rsid w:val="00D81B89"/>
    <w:rsid w:val="00D81C33"/>
    <w:rsid w:val="00D82123"/>
    <w:rsid w:val="00D82456"/>
    <w:rsid w:val="00D82587"/>
    <w:rsid w:val="00D826AD"/>
    <w:rsid w:val="00D82B01"/>
    <w:rsid w:val="00D8301E"/>
    <w:rsid w:val="00D832B4"/>
    <w:rsid w:val="00D83CA1"/>
    <w:rsid w:val="00D8426D"/>
    <w:rsid w:val="00D8435C"/>
    <w:rsid w:val="00D843DA"/>
    <w:rsid w:val="00D84753"/>
    <w:rsid w:val="00D85313"/>
    <w:rsid w:val="00D854E3"/>
    <w:rsid w:val="00D85612"/>
    <w:rsid w:val="00D85714"/>
    <w:rsid w:val="00D85805"/>
    <w:rsid w:val="00D85912"/>
    <w:rsid w:val="00D85A07"/>
    <w:rsid w:val="00D85C80"/>
    <w:rsid w:val="00D860A2"/>
    <w:rsid w:val="00D86231"/>
    <w:rsid w:val="00D86648"/>
    <w:rsid w:val="00D8672D"/>
    <w:rsid w:val="00D86B68"/>
    <w:rsid w:val="00D8749A"/>
    <w:rsid w:val="00D874DE"/>
    <w:rsid w:val="00D875CD"/>
    <w:rsid w:val="00D8796B"/>
    <w:rsid w:val="00D87C5F"/>
    <w:rsid w:val="00D87F6A"/>
    <w:rsid w:val="00D90094"/>
    <w:rsid w:val="00D9044A"/>
    <w:rsid w:val="00D90F32"/>
    <w:rsid w:val="00D91250"/>
    <w:rsid w:val="00D9155B"/>
    <w:rsid w:val="00D918E5"/>
    <w:rsid w:val="00D91972"/>
    <w:rsid w:val="00D91C69"/>
    <w:rsid w:val="00D91DFE"/>
    <w:rsid w:val="00D920D3"/>
    <w:rsid w:val="00D9210E"/>
    <w:rsid w:val="00D92337"/>
    <w:rsid w:val="00D923DF"/>
    <w:rsid w:val="00D924FE"/>
    <w:rsid w:val="00D92580"/>
    <w:rsid w:val="00D92BDA"/>
    <w:rsid w:val="00D92CCD"/>
    <w:rsid w:val="00D92E5F"/>
    <w:rsid w:val="00D92F8A"/>
    <w:rsid w:val="00D933D4"/>
    <w:rsid w:val="00D9348A"/>
    <w:rsid w:val="00D93A66"/>
    <w:rsid w:val="00D93C70"/>
    <w:rsid w:val="00D93ECC"/>
    <w:rsid w:val="00D93F5D"/>
    <w:rsid w:val="00D9402B"/>
    <w:rsid w:val="00D94039"/>
    <w:rsid w:val="00D944B0"/>
    <w:rsid w:val="00D94B34"/>
    <w:rsid w:val="00D94E83"/>
    <w:rsid w:val="00D94ED7"/>
    <w:rsid w:val="00D94F02"/>
    <w:rsid w:val="00D95393"/>
    <w:rsid w:val="00D953A5"/>
    <w:rsid w:val="00D95607"/>
    <w:rsid w:val="00D95863"/>
    <w:rsid w:val="00D958E2"/>
    <w:rsid w:val="00D95981"/>
    <w:rsid w:val="00D95A0E"/>
    <w:rsid w:val="00D95A6E"/>
    <w:rsid w:val="00D95F43"/>
    <w:rsid w:val="00D9663C"/>
    <w:rsid w:val="00D96B61"/>
    <w:rsid w:val="00D96F7D"/>
    <w:rsid w:val="00D9723D"/>
    <w:rsid w:val="00D97421"/>
    <w:rsid w:val="00D97FE6"/>
    <w:rsid w:val="00DA0D5B"/>
    <w:rsid w:val="00DA0F60"/>
    <w:rsid w:val="00DA1085"/>
    <w:rsid w:val="00DA12F2"/>
    <w:rsid w:val="00DA1719"/>
    <w:rsid w:val="00DA1935"/>
    <w:rsid w:val="00DA1BE9"/>
    <w:rsid w:val="00DA1D1C"/>
    <w:rsid w:val="00DA1E95"/>
    <w:rsid w:val="00DA23B7"/>
    <w:rsid w:val="00DA2763"/>
    <w:rsid w:val="00DA296D"/>
    <w:rsid w:val="00DA2B7B"/>
    <w:rsid w:val="00DA2D2B"/>
    <w:rsid w:val="00DA2D89"/>
    <w:rsid w:val="00DA2EAB"/>
    <w:rsid w:val="00DA2F2A"/>
    <w:rsid w:val="00DA301F"/>
    <w:rsid w:val="00DA36D9"/>
    <w:rsid w:val="00DA3829"/>
    <w:rsid w:val="00DA38F9"/>
    <w:rsid w:val="00DA399F"/>
    <w:rsid w:val="00DA4049"/>
    <w:rsid w:val="00DA4073"/>
    <w:rsid w:val="00DA4218"/>
    <w:rsid w:val="00DA4717"/>
    <w:rsid w:val="00DA4893"/>
    <w:rsid w:val="00DA4DD8"/>
    <w:rsid w:val="00DA524B"/>
    <w:rsid w:val="00DA6174"/>
    <w:rsid w:val="00DA6299"/>
    <w:rsid w:val="00DA66CE"/>
    <w:rsid w:val="00DA679F"/>
    <w:rsid w:val="00DA6F08"/>
    <w:rsid w:val="00DA73F4"/>
    <w:rsid w:val="00DA76FC"/>
    <w:rsid w:val="00DA7C51"/>
    <w:rsid w:val="00DA7C72"/>
    <w:rsid w:val="00DA7F88"/>
    <w:rsid w:val="00DB0234"/>
    <w:rsid w:val="00DB061C"/>
    <w:rsid w:val="00DB0A33"/>
    <w:rsid w:val="00DB0D12"/>
    <w:rsid w:val="00DB11FF"/>
    <w:rsid w:val="00DB12FF"/>
    <w:rsid w:val="00DB1C07"/>
    <w:rsid w:val="00DB1EE7"/>
    <w:rsid w:val="00DB1F5C"/>
    <w:rsid w:val="00DB2005"/>
    <w:rsid w:val="00DB222F"/>
    <w:rsid w:val="00DB2280"/>
    <w:rsid w:val="00DB26A0"/>
    <w:rsid w:val="00DB2D93"/>
    <w:rsid w:val="00DB2EDC"/>
    <w:rsid w:val="00DB3C3D"/>
    <w:rsid w:val="00DB3D06"/>
    <w:rsid w:val="00DB3F93"/>
    <w:rsid w:val="00DB5417"/>
    <w:rsid w:val="00DB59E6"/>
    <w:rsid w:val="00DB5AF5"/>
    <w:rsid w:val="00DB5C5C"/>
    <w:rsid w:val="00DB5D7C"/>
    <w:rsid w:val="00DB5E5E"/>
    <w:rsid w:val="00DB604B"/>
    <w:rsid w:val="00DB6707"/>
    <w:rsid w:val="00DB687D"/>
    <w:rsid w:val="00DB6A83"/>
    <w:rsid w:val="00DB7850"/>
    <w:rsid w:val="00DB7C21"/>
    <w:rsid w:val="00DB7E2A"/>
    <w:rsid w:val="00DC0059"/>
    <w:rsid w:val="00DC0110"/>
    <w:rsid w:val="00DC01E6"/>
    <w:rsid w:val="00DC0595"/>
    <w:rsid w:val="00DC071A"/>
    <w:rsid w:val="00DC0A05"/>
    <w:rsid w:val="00DC0B75"/>
    <w:rsid w:val="00DC1087"/>
    <w:rsid w:val="00DC1490"/>
    <w:rsid w:val="00DC14FD"/>
    <w:rsid w:val="00DC18D3"/>
    <w:rsid w:val="00DC191A"/>
    <w:rsid w:val="00DC1D9B"/>
    <w:rsid w:val="00DC2169"/>
    <w:rsid w:val="00DC277A"/>
    <w:rsid w:val="00DC2A74"/>
    <w:rsid w:val="00DC2AFB"/>
    <w:rsid w:val="00DC2C41"/>
    <w:rsid w:val="00DC2DD4"/>
    <w:rsid w:val="00DC2EDD"/>
    <w:rsid w:val="00DC349F"/>
    <w:rsid w:val="00DC3529"/>
    <w:rsid w:val="00DC3838"/>
    <w:rsid w:val="00DC398B"/>
    <w:rsid w:val="00DC3998"/>
    <w:rsid w:val="00DC4206"/>
    <w:rsid w:val="00DC45AC"/>
    <w:rsid w:val="00DC4600"/>
    <w:rsid w:val="00DC46FA"/>
    <w:rsid w:val="00DC4AB2"/>
    <w:rsid w:val="00DC4B3E"/>
    <w:rsid w:val="00DC4C5D"/>
    <w:rsid w:val="00DC4D15"/>
    <w:rsid w:val="00DC4ECF"/>
    <w:rsid w:val="00DC5330"/>
    <w:rsid w:val="00DC54AD"/>
    <w:rsid w:val="00DC582F"/>
    <w:rsid w:val="00DC59BC"/>
    <w:rsid w:val="00DC5D8D"/>
    <w:rsid w:val="00DC5F10"/>
    <w:rsid w:val="00DC6116"/>
    <w:rsid w:val="00DC6143"/>
    <w:rsid w:val="00DC6156"/>
    <w:rsid w:val="00DC6707"/>
    <w:rsid w:val="00DC784E"/>
    <w:rsid w:val="00DC78AA"/>
    <w:rsid w:val="00DC7914"/>
    <w:rsid w:val="00DC79D2"/>
    <w:rsid w:val="00DC7AD7"/>
    <w:rsid w:val="00DC7E99"/>
    <w:rsid w:val="00DD01E6"/>
    <w:rsid w:val="00DD023D"/>
    <w:rsid w:val="00DD046C"/>
    <w:rsid w:val="00DD0675"/>
    <w:rsid w:val="00DD08E5"/>
    <w:rsid w:val="00DD09BA"/>
    <w:rsid w:val="00DD0B72"/>
    <w:rsid w:val="00DD105A"/>
    <w:rsid w:val="00DD14AA"/>
    <w:rsid w:val="00DD17A5"/>
    <w:rsid w:val="00DD1848"/>
    <w:rsid w:val="00DD197F"/>
    <w:rsid w:val="00DD1986"/>
    <w:rsid w:val="00DD23E3"/>
    <w:rsid w:val="00DD291C"/>
    <w:rsid w:val="00DD2B1C"/>
    <w:rsid w:val="00DD2C18"/>
    <w:rsid w:val="00DD2E94"/>
    <w:rsid w:val="00DD2FC9"/>
    <w:rsid w:val="00DD313E"/>
    <w:rsid w:val="00DD3434"/>
    <w:rsid w:val="00DD3757"/>
    <w:rsid w:val="00DD3BB6"/>
    <w:rsid w:val="00DD3C18"/>
    <w:rsid w:val="00DD3E6F"/>
    <w:rsid w:val="00DD41E9"/>
    <w:rsid w:val="00DD4698"/>
    <w:rsid w:val="00DD49CB"/>
    <w:rsid w:val="00DD4B58"/>
    <w:rsid w:val="00DD4B7A"/>
    <w:rsid w:val="00DD52A9"/>
    <w:rsid w:val="00DD5685"/>
    <w:rsid w:val="00DD5DA1"/>
    <w:rsid w:val="00DD5E22"/>
    <w:rsid w:val="00DD612A"/>
    <w:rsid w:val="00DD6155"/>
    <w:rsid w:val="00DD61A0"/>
    <w:rsid w:val="00DD6419"/>
    <w:rsid w:val="00DD6460"/>
    <w:rsid w:val="00DD6B77"/>
    <w:rsid w:val="00DD7378"/>
    <w:rsid w:val="00DD77E3"/>
    <w:rsid w:val="00DD7D8B"/>
    <w:rsid w:val="00DE009F"/>
    <w:rsid w:val="00DE04BF"/>
    <w:rsid w:val="00DE0677"/>
    <w:rsid w:val="00DE09D0"/>
    <w:rsid w:val="00DE0D28"/>
    <w:rsid w:val="00DE1095"/>
    <w:rsid w:val="00DE1659"/>
    <w:rsid w:val="00DE1A34"/>
    <w:rsid w:val="00DE1A86"/>
    <w:rsid w:val="00DE1BA7"/>
    <w:rsid w:val="00DE1D50"/>
    <w:rsid w:val="00DE20FC"/>
    <w:rsid w:val="00DE29A6"/>
    <w:rsid w:val="00DE2D99"/>
    <w:rsid w:val="00DE3292"/>
    <w:rsid w:val="00DE404C"/>
    <w:rsid w:val="00DE4C56"/>
    <w:rsid w:val="00DE4E78"/>
    <w:rsid w:val="00DE500E"/>
    <w:rsid w:val="00DE5383"/>
    <w:rsid w:val="00DE57DC"/>
    <w:rsid w:val="00DE5D54"/>
    <w:rsid w:val="00DE5FC6"/>
    <w:rsid w:val="00DE60B6"/>
    <w:rsid w:val="00DE61C7"/>
    <w:rsid w:val="00DE6248"/>
    <w:rsid w:val="00DE638D"/>
    <w:rsid w:val="00DE65CC"/>
    <w:rsid w:val="00DE6BE4"/>
    <w:rsid w:val="00DE7191"/>
    <w:rsid w:val="00DE7226"/>
    <w:rsid w:val="00DE795B"/>
    <w:rsid w:val="00DE7B70"/>
    <w:rsid w:val="00DE7E1E"/>
    <w:rsid w:val="00DE7ECB"/>
    <w:rsid w:val="00DF0028"/>
    <w:rsid w:val="00DF006F"/>
    <w:rsid w:val="00DF051A"/>
    <w:rsid w:val="00DF058D"/>
    <w:rsid w:val="00DF0B24"/>
    <w:rsid w:val="00DF0ED0"/>
    <w:rsid w:val="00DF157D"/>
    <w:rsid w:val="00DF1805"/>
    <w:rsid w:val="00DF1D3F"/>
    <w:rsid w:val="00DF22F0"/>
    <w:rsid w:val="00DF30F8"/>
    <w:rsid w:val="00DF310A"/>
    <w:rsid w:val="00DF312B"/>
    <w:rsid w:val="00DF31CC"/>
    <w:rsid w:val="00DF3A14"/>
    <w:rsid w:val="00DF3C02"/>
    <w:rsid w:val="00DF3E9A"/>
    <w:rsid w:val="00DF406F"/>
    <w:rsid w:val="00DF40D0"/>
    <w:rsid w:val="00DF44F9"/>
    <w:rsid w:val="00DF4755"/>
    <w:rsid w:val="00DF48D0"/>
    <w:rsid w:val="00DF544E"/>
    <w:rsid w:val="00DF551D"/>
    <w:rsid w:val="00DF5641"/>
    <w:rsid w:val="00DF586E"/>
    <w:rsid w:val="00DF5B8E"/>
    <w:rsid w:val="00DF5F3E"/>
    <w:rsid w:val="00DF6116"/>
    <w:rsid w:val="00DF641D"/>
    <w:rsid w:val="00DF6AE4"/>
    <w:rsid w:val="00DF6CEE"/>
    <w:rsid w:val="00DF708A"/>
    <w:rsid w:val="00DF70B0"/>
    <w:rsid w:val="00DF77F4"/>
    <w:rsid w:val="00DF794C"/>
    <w:rsid w:val="00E0008C"/>
    <w:rsid w:val="00E00102"/>
    <w:rsid w:val="00E004AA"/>
    <w:rsid w:val="00E006FC"/>
    <w:rsid w:val="00E008B9"/>
    <w:rsid w:val="00E0091E"/>
    <w:rsid w:val="00E00BD1"/>
    <w:rsid w:val="00E00C2F"/>
    <w:rsid w:val="00E00D5F"/>
    <w:rsid w:val="00E00D97"/>
    <w:rsid w:val="00E01185"/>
    <w:rsid w:val="00E01556"/>
    <w:rsid w:val="00E01585"/>
    <w:rsid w:val="00E01749"/>
    <w:rsid w:val="00E017BE"/>
    <w:rsid w:val="00E01F0D"/>
    <w:rsid w:val="00E027F6"/>
    <w:rsid w:val="00E02C99"/>
    <w:rsid w:val="00E03290"/>
    <w:rsid w:val="00E03734"/>
    <w:rsid w:val="00E03A6D"/>
    <w:rsid w:val="00E03A98"/>
    <w:rsid w:val="00E03B1B"/>
    <w:rsid w:val="00E03B65"/>
    <w:rsid w:val="00E03C61"/>
    <w:rsid w:val="00E03D89"/>
    <w:rsid w:val="00E04CC5"/>
    <w:rsid w:val="00E04E94"/>
    <w:rsid w:val="00E04F59"/>
    <w:rsid w:val="00E05126"/>
    <w:rsid w:val="00E05CC8"/>
    <w:rsid w:val="00E05E2A"/>
    <w:rsid w:val="00E05FA5"/>
    <w:rsid w:val="00E0618E"/>
    <w:rsid w:val="00E0634D"/>
    <w:rsid w:val="00E06365"/>
    <w:rsid w:val="00E06949"/>
    <w:rsid w:val="00E06F4A"/>
    <w:rsid w:val="00E06F56"/>
    <w:rsid w:val="00E075AF"/>
    <w:rsid w:val="00E0771A"/>
    <w:rsid w:val="00E07735"/>
    <w:rsid w:val="00E0782B"/>
    <w:rsid w:val="00E07DB6"/>
    <w:rsid w:val="00E07E5F"/>
    <w:rsid w:val="00E101A9"/>
    <w:rsid w:val="00E1100D"/>
    <w:rsid w:val="00E112C6"/>
    <w:rsid w:val="00E116FE"/>
    <w:rsid w:val="00E11803"/>
    <w:rsid w:val="00E11F2B"/>
    <w:rsid w:val="00E12033"/>
    <w:rsid w:val="00E120D5"/>
    <w:rsid w:val="00E12101"/>
    <w:rsid w:val="00E12215"/>
    <w:rsid w:val="00E129A7"/>
    <w:rsid w:val="00E12E8F"/>
    <w:rsid w:val="00E12EF6"/>
    <w:rsid w:val="00E12FBC"/>
    <w:rsid w:val="00E131A7"/>
    <w:rsid w:val="00E13201"/>
    <w:rsid w:val="00E1371C"/>
    <w:rsid w:val="00E13805"/>
    <w:rsid w:val="00E13FBD"/>
    <w:rsid w:val="00E144B4"/>
    <w:rsid w:val="00E14A03"/>
    <w:rsid w:val="00E14AFE"/>
    <w:rsid w:val="00E14DBB"/>
    <w:rsid w:val="00E1507B"/>
    <w:rsid w:val="00E15129"/>
    <w:rsid w:val="00E152A0"/>
    <w:rsid w:val="00E152AD"/>
    <w:rsid w:val="00E1584D"/>
    <w:rsid w:val="00E15964"/>
    <w:rsid w:val="00E15B9E"/>
    <w:rsid w:val="00E15CE6"/>
    <w:rsid w:val="00E15D97"/>
    <w:rsid w:val="00E1609C"/>
    <w:rsid w:val="00E1656B"/>
    <w:rsid w:val="00E166C1"/>
    <w:rsid w:val="00E16926"/>
    <w:rsid w:val="00E16C2F"/>
    <w:rsid w:val="00E17B3E"/>
    <w:rsid w:val="00E17C61"/>
    <w:rsid w:val="00E17D56"/>
    <w:rsid w:val="00E20330"/>
    <w:rsid w:val="00E20372"/>
    <w:rsid w:val="00E2042A"/>
    <w:rsid w:val="00E20466"/>
    <w:rsid w:val="00E2054A"/>
    <w:rsid w:val="00E205D6"/>
    <w:rsid w:val="00E20690"/>
    <w:rsid w:val="00E206EE"/>
    <w:rsid w:val="00E20B5C"/>
    <w:rsid w:val="00E212D8"/>
    <w:rsid w:val="00E21AF2"/>
    <w:rsid w:val="00E21BC9"/>
    <w:rsid w:val="00E220C8"/>
    <w:rsid w:val="00E22E1E"/>
    <w:rsid w:val="00E2319B"/>
    <w:rsid w:val="00E2337B"/>
    <w:rsid w:val="00E23591"/>
    <w:rsid w:val="00E239E4"/>
    <w:rsid w:val="00E23F53"/>
    <w:rsid w:val="00E2437D"/>
    <w:rsid w:val="00E24A70"/>
    <w:rsid w:val="00E24EAD"/>
    <w:rsid w:val="00E25DE9"/>
    <w:rsid w:val="00E25E7B"/>
    <w:rsid w:val="00E25F25"/>
    <w:rsid w:val="00E25F40"/>
    <w:rsid w:val="00E26485"/>
    <w:rsid w:val="00E265ED"/>
    <w:rsid w:val="00E26A54"/>
    <w:rsid w:val="00E26A85"/>
    <w:rsid w:val="00E26DE7"/>
    <w:rsid w:val="00E26E6C"/>
    <w:rsid w:val="00E27004"/>
    <w:rsid w:val="00E2748A"/>
    <w:rsid w:val="00E2785D"/>
    <w:rsid w:val="00E27A50"/>
    <w:rsid w:val="00E30006"/>
    <w:rsid w:val="00E303E8"/>
    <w:rsid w:val="00E30832"/>
    <w:rsid w:val="00E30BA8"/>
    <w:rsid w:val="00E3114F"/>
    <w:rsid w:val="00E3120E"/>
    <w:rsid w:val="00E3142F"/>
    <w:rsid w:val="00E315B7"/>
    <w:rsid w:val="00E31862"/>
    <w:rsid w:val="00E31B28"/>
    <w:rsid w:val="00E32087"/>
    <w:rsid w:val="00E320BD"/>
    <w:rsid w:val="00E32341"/>
    <w:rsid w:val="00E3240B"/>
    <w:rsid w:val="00E3270F"/>
    <w:rsid w:val="00E32809"/>
    <w:rsid w:val="00E32A88"/>
    <w:rsid w:val="00E32ABD"/>
    <w:rsid w:val="00E32B7D"/>
    <w:rsid w:val="00E32DEE"/>
    <w:rsid w:val="00E33108"/>
    <w:rsid w:val="00E33360"/>
    <w:rsid w:val="00E338C9"/>
    <w:rsid w:val="00E33B78"/>
    <w:rsid w:val="00E344BB"/>
    <w:rsid w:val="00E3487E"/>
    <w:rsid w:val="00E348E3"/>
    <w:rsid w:val="00E34EEE"/>
    <w:rsid w:val="00E34F6A"/>
    <w:rsid w:val="00E354EE"/>
    <w:rsid w:val="00E35518"/>
    <w:rsid w:val="00E35783"/>
    <w:rsid w:val="00E35A1F"/>
    <w:rsid w:val="00E35B98"/>
    <w:rsid w:val="00E35E51"/>
    <w:rsid w:val="00E36909"/>
    <w:rsid w:val="00E36D02"/>
    <w:rsid w:val="00E36D93"/>
    <w:rsid w:val="00E3721C"/>
    <w:rsid w:val="00E3767E"/>
    <w:rsid w:val="00E376E9"/>
    <w:rsid w:val="00E3778C"/>
    <w:rsid w:val="00E37E67"/>
    <w:rsid w:val="00E404C0"/>
    <w:rsid w:val="00E4088D"/>
    <w:rsid w:val="00E40EB3"/>
    <w:rsid w:val="00E41B4B"/>
    <w:rsid w:val="00E41F94"/>
    <w:rsid w:val="00E42004"/>
    <w:rsid w:val="00E427B3"/>
    <w:rsid w:val="00E42B95"/>
    <w:rsid w:val="00E42C06"/>
    <w:rsid w:val="00E42D90"/>
    <w:rsid w:val="00E42E60"/>
    <w:rsid w:val="00E43552"/>
    <w:rsid w:val="00E4369E"/>
    <w:rsid w:val="00E436E3"/>
    <w:rsid w:val="00E43B69"/>
    <w:rsid w:val="00E43E22"/>
    <w:rsid w:val="00E44141"/>
    <w:rsid w:val="00E44908"/>
    <w:rsid w:val="00E45389"/>
    <w:rsid w:val="00E455C7"/>
    <w:rsid w:val="00E456C0"/>
    <w:rsid w:val="00E46278"/>
    <w:rsid w:val="00E467F4"/>
    <w:rsid w:val="00E469A5"/>
    <w:rsid w:val="00E46B51"/>
    <w:rsid w:val="00E46B60"/>
    <w:rsid w:val="00E46DD7"/>
    <w:rsid w:val="00E47770"/>
    <w:rsid w:val="00E47C1D"/>
    <w:rsid w:val="00E47C91"/>
    <w:rsid w:val="00E47D93"/>
    <w:rsid w:val="00E47D9D"/>
    <w:rsid w:val="00E47FDB"/>
    <w:rsid w:val="00E5029D"/>
    <w:rsid w:val="00E50638"/>
    <w:rsid w:val="00E5064D"/>
    <w:rsid w:val="00E50864"/>
    <w:rsid w:val="00E508F7"/>
    <w:rsid w:val="00E50CBE"/>
    <w:rsid w:val="00E5146B"/>
    <w:rsid w:val="00E5163E"/>
    <w:rsid w:val="00E517AC"/>
    <w:rsid w:val="00E5187D"/>
    <w:rsid w:val="00E51D1C"/>
    <w:rsid w:val="00E525B2"/>
    <w:rsid w:val="00E52950"/>
    <w:rsid w:val="00E52DAE"/>
    <w:rsid w:val="00E52FA3"/>
    <w:rsid w:val="00E53195"/>
    <w:rsid w:val="00E53441"/>
    <w:rsid w:val="00E53466"/>
    <w:rsid w:val="00E53D4C"/>
    <w:rsid w:val="00E541B8"/>
    <w:rsid w:val="00E54467"/>
    <w:rsid w:val="00E5476C"/>
    <w:rsid w:val="00E54812"/>
    <w:rsid w:val="00E54D73"/>
    <w:rsid w:val="00E54E78"/>
    <w:rsid w:val="00E55569"/>
    <w:rsid w:val="00E55923"/>
    <w:rsid w:val="00E55A25"/>
    <w:rsid w:val="00E55A7C"/>
    <w:rsid w:val="00E55BC4"/>
    <w:rsid w:val="00E55DB2"/>
    <w:rsid w:val="00E55DCD"/>
    <w:rsid w:val="00E562C7"/>
    <w:rsid w:val="00E563DD"/>
    <w:rsid w:val="00E56922"/>
    <w:rsid w:val="00E56FB3"/>
    <w:rsid w:val="00E573F9"/>
    <w:rsid w:val="00E5749E"/>
    <w:rsid w:val="00E57589"/>
    <w:rsid w:val="00E5758F"/>
    <w:rsid w:val="00E57D68"/>
    <w:rsid w:val="00E57E0C"/>
    <w:rsid w:val="00E57F2C"/>
    <w:rsid w:val="00E57FCB"/>
    <w:rsid w:val="00E60331"/>
    <w:rsid w:val="00E605D2"/>
    <w:rsid w:val="00E60A6D"/>
    <w:rsid w:val="00E60DCD"/>
    <w:rsid w:val="00E60F18"/>
    <w:rsid w:val="00E60F25"/>
    <w:rsid w:val="00E610FB"/>
    <w:rsid w:val="00E61344"/>
    <w:rsid w:val="00E61598"/>
    <w:rsid w:val="00E61A14"/>
    <w:rsid w:val="00E61DA4"/>
    <w:rsid w:val="00E61FFA"/>
    <w:rsid w:val="00E623D9"/>
    <w:rsid w:val="00E62943"/>
    <w:rsid w:val="00E62EFC"/>
    <w:rsid w:val="00E63300"/>
    <w:rsid w:val="00E63997"/>
    <w:rsid w:val="00E639AF"/>
    <w:rsid w:val="00E63BC7"/>
    <w:rsid w:val="00E63CD8"/>
    <w:rsid w:val="00E63D05"/>
    <w:rsid w:val="00E63D7E"/>
    <w:rsid w:val="00E64024"/>
    <w:rsid w:val="00E6455D"/>
    <w:rsid w:val="00E647B1"/>
    <w:rsid w:val="00E65000"/>
    <w:rsid w:val="00E65091"/>
    <w:rsid w:val="00E651CA"/>
    <w:rsid w:val="00E6552C"/>
    <w:rsid w:val="00E655C7"/>
    <w:rsid w:val="00E65617"/>
    <w:rsid w:val="00E65FDE"/>
    <w:rsid w:val="00E662EE"/>
    <w:rsid w:val="00E7028D"/>
    <w:rsid w:val="00E702FB"/>
    <w:rsid w:val="00E70582"/>
    <w:rsid w:val="00E708D2"/>
    <w:rsid w:val="00E70B36"/>
    <w:rsid w:val="00E70B5D"/>
    <w:rsid w:val="00E70C8B"/>
    <w:rsid w:val="00E70DC3"/>
    <w:rsid w:val="00E712A8"/>
    <w:rsid w:val="00E7178D"/>
    <w:rsid w:val="00E71CC9"/>
    <w:rsid w:val="00E71F45"/>
    <w:rsid w:val="00E71FFA"/>
    <w:rsid w:val="00E720B7"/>
    <w:rsid w:val="00E725C7"/>
    <w:rsid w:val="00E7264D"/>
    <w:rsid w:val="00E7299E"/>
    <w:rsid w:val="00E72B25"/>
    <w:rsid w:val="00E72BC9"/>
    <w:rsid w:val="00E7334F"/>
    <w:rsid w:val="00E73C19"/>
    <w:rsid w:val="00E740D7"/>
    <w:rsid w:val="00E74426"/>
    <w:rsid w:val="00E747D2"/>
    <w:rsid w:val="00E747EE"/>
    <w:rsid w:val="00E747FB"/>
    <w:rsid w:val="00E74B17"/>
    <w:rsid w:val="00E753B1"/>
    <w:rsid w:val="00E75438"/>
    <w:rsid w:val="00E7552A"/>
    <w:rsid w:val="00E764A2"/>
    <w:rsid w:val="00E765CE"/>
    <w:rsid w:val="00E76853"/>
    <w:rsid w:val="00E76B1E"/>
    <w:rsid w:val="00E76DA6"/>
    <w:rsid w:val="00E76F8C"/>
    <w:rsid w:val="00E773E9"/>
    <w:rsid w:val="00E7758F"/>
    <w:rsid w:val="00E777E6"/>
    <w:rsid w:val="00E77916"/>
    <w:rsid w:val="00E77A41"/>
    <w:rsid w:val="00E77AD4"/>
    <w:rsid w:val="00E77C99"/>
    <w:rsid w:val="00E77D0C"/>
    <w:rsid w:val="00E77E96"/>
    <w:rsid w:val="00E80187"/>
    <w:rsid w:val="00E80792"/>
    <w:rsid w:val="00E80BA1"/>
    <w:rsid w:val="00E80EC1"/>
    <w:rsid w:val="00E81139"/>
    <w:rsid w:val="00E8138C"/>
    <w:rsid w:val="00E8148D"/>
    <w:rsid w:val="00E81A67"/>
    <w:rsid w:val="00E81D62"/>
    <w:rsid w:val="00E81E39"/>
    <w:rsid w:val="00E8227A"/>
    <w:rsid w:val="00E825D8"/>
    <w:rsid w:val="00E826ED"/>
    <w:rsid w:val="00E82770"/>
    <w:rsid w:val="00E82A93"/>
    <w:rsid w:val="00E82C11"/>
    <w:rsid w:val="00E82C5A"/>
    <w:rsid w:val="00E83937"/>
    <w:rsid w:val="00E83A32"/>
    <w:rsid w:val="00E84172"/>
    <w:rsid w:val="00E84C9E"/>
    <w:rsid w:val="00E8501B"/>
    <w:rsid w:val="00E855F6"/>
    <w:rsid w:val="00E85A1F"/>
    <w:rsid w:val="00E85CB1"/>
    <w:rsid w:val="00E8627F"/>
    <w:rsid w:val="00E862DA"/>
    <w:rsid w:val="00E86793"/>
    <w:rsid w:val="00E86BE5"/>
    <w:rsid w:val="00E86DC3"/>
    <w:rsid w:val="00E8714A"/>
    <w:rsid w:val="00E875F0"/>
    <w:rsid w:val="00E878B6"/>
    <w:rsid w:val="00E878F7"/>
    <w:rsid w:val="00E87B82"/>
    <w:rsid w:val="00E90082"/>
    <w:rsid w:val="00E90189"/>
    <w:rsid w:val="00E90460"/>
    <w:rsid w:val="00E9059C"/>
    <w:rsid w:val="00E914BF"/>
    <w:rsid w:val="00E93043"/>
    <w:rsid w:val="00E930A0"/>
    <w:rsid w:val="00E93590"/>
    <w:rsid w:val="00E939A9"/>
    <w:rsid w:val="00E939F8"/>
    <w:rsid w:val="00E93B39"/>
    <w:rsid w:val="00E93B78"/>
    <w:rsid w:val="00E943CA"/>
    <w:rsid w:val="00E945D7"/>
    <w:rsid w:val="00E94681"/>
    <w:rsid w:val="00E95186"/>
    <w:rsid w:val="00E95234"/>
    <w:rsid w:val="00E95A5E"/>
    <w:rsid w:val="00E95B30"/>
    <w:rsid w:val="00E95B81"/>
    <w:rsid w:val="00E95FF7"/>
    <w:rsid w:val="00E96011"/>
    <w:rsid w:val="00E96299"/>
    <w:rsid w:val="00E96869"/>
    <w:rsid w:val="00E97A6C"/>
    <w:rsid w:val="00E97BB3"/>
    <w:rsid w:val="00E97DDB"/>
    <w:rsid w:val="00E97F34"/>
    <w:rsid w:val="00E97FC3"/>
    <w:rsid w:val="00EA0360"/>
    <w:rsid w:val="00EA0689"/>
    <w:rsid w:val="00EA098A"/>
    <w:rsid w:val="00EA0E4A"/>
    <w:rsid w:val="00EA0E9B"/>
    <w:rsid w:val="00EA110A"/>
    <w:rsid w:val="00EA1177"/>
    <w:rsid w:val="00EA1252"/>
    <w:rsid w:val="00EA15A4"/>
    <w:rsid w:val="00EA15DA"/>
    <w:rsid w:val="00EA164F"/>
    <w:rsid w:val="00EA1A7B"/>
    <w:rsid w:val="00EA1BF7"/>
    <w:rsid w:val="00EA1C08"/>
    <w:rsid w:val="00EA20C7"/>
    <w:rsid w:val="00EA2149"/>
    <w:rsid w:val="00EA246A"/>
    <w:rsid w:val="00EA300C"/>
    <w:rsid w:val="00EA35C1"/>
    <w:rsid w:val="00EA37C3"/>
    <w:rsid w:val="00EA3BB1"/>
    <w:rsid w:val="00EA3C1E"/>
    <w:rsid w:val="00EA3C56"/>
    <w:rsid w:val="00EA3DB0"/>
    <w:rsid w:val="00EA3F1C"/>
    <w:rsid w:val="00EA4078"/>
    <w:rsid w:val="00EA448F"/>
    <w:rsid w:val="00EA45F2"/>
    <w:rsid w:val="00EA4634"/>
    <w:rsid w:val="00EA46DE"/>
    <w:rsid w:val="00EA4C37"/>
    <w:rsid w:val="00EA51D7"/>
    <w:rsid w:val="00EA5231"/>
    <w:rsid w:val="00EA57F3"/>
    <w:rsid w:val="00EA587E"/>
    <w:rsid w:val="00EA5D58"/>
    <w:rsid w:val="00EA5E11"/>
    <w:rsid w:val="00EA607E"/>
    <w:rsid w:val="00EA626C"/>
    <w:rsid w:val="00EA6A38"/>
    <w:rsid w:val="00EA6D0D"/>
    <w:rsid w:val="00EA6DBF"/>
    <w:rsid w:val="00EA6DFE"/>
    <w:rsid w:val="00EA6E15"/>
    <w:rsid w:val="00EA7421"/>
    <w:rsid w:val="00EA77E7"/>
    <w:rsid w:val="00EA799D"/>
    <w:rsid w:val="00EA7AD8"/>
    <w:rsid w:val="00EA7AF1"/>
    <w:rsid w:val="00EA7D5B"/>
    <w:rsid w:val="00EA7EB7"/>
    <w:rsid w:val="00EB0335"/>
    <w:rsid w:val="00EB04FD"/>
    <w:rsid w:val="00EB0808"/>
    <w:rsid w:val="00EB088B"/>
    <w:rsid w:val="00EB0BC3"/>
    <w:rsid w:val="00EB101D"/>
    <w:rsid w:val="00EB107E"/>
    <w:rsid w:val="00EB10FA"/>
    <w:rsid w:val="00EB141E"/>
    <w:rsid w:val="00EB188A"/>
    <w:rsid w:val="00EB1CC1"/>
    <w:rsid w:val="00EB1CF8"/>
    <w:rsid w:val="00EB1FFE"/>
    <w:rsid w:val="00EB2A42"/>
    <w:rsid w:val="00EB2DC1"/>
    <w:rsid w:val="00EB2FEE"/>
    <w:rsid w:val="00EB3185"/>
    <w:rsid w:val="00EB3219"/>
    <w:rsid w:val="00EB3D8C"/>
    <w:rsid w:val="00EB3EE5"/>
    <w:rsid w:val="00EB4037"/>
    <w:rsid w:val="00EB42D8"/>
    <w:rsid w:val="00EB43BB"/>
    <w:rsid w:val="00EB445E"/>
    <w:rsid w:val="00EB4793"/>
    <w:rsid w:val="00EB47E5"/>
    <w:rsid w:val="00EB484A"/>
    <w:rsid w:val="00EB4932"/>
    <w:rsid w:val="00EB4B32"/>
    <w:rsid w:val="00EB4B84"/>
    <w:rsid w:val="00EB4D11"/>
    <w:rsid w:val="00EB4ECB"/>
    <w:rsid w:val="00EB522E"/>
    <w:rsid w:val="00EB5535"/>
    <w:rsid w:val="00EB5567"/>
    <w:rsid w:val="00EB58F4"/>
    <w:rsid w:val="00EB5EB0"/>
    <w:rsid w:val="00EB634F"/>
    <w:rsid w:val="00EB6401"/>
    <w:rsid w:val="00EB64B1"/>
    <w:rsid w:val="00EB6613"/>
    <w:rsid w:val="00EB69BC"/>
    <w:rsid w:val="00EB6AC3"/>
    <w:rsid w:val="00EB6C68"/>
    <w:rsid w:val="00EB6E18"/>
    <w:rsid w:val="00EB74EE"/>
    <w:rsid w:val="00EB7910"/>
    <w:rsid w:val="00EB7D79"/>
    <w:rsid w:val="00EB7F03"/>
    <w:rsid w:val="00EC0046"/>
    <w:rsid w:val="00EC00D3"/>
    <w:rsid w:val="00EC06CC"/>
    <w:rsid w:val="00EC0963"/>
    <w:rsid w:val="00EC0B71"/>
    <w:rsid w:val="00EC1191"/>
    <w:rsid w:val="00EC12A7"/>
    <w:rsid w:val="00EC19DD"/>
    <w:rsid w:val="00EC19F0"/>
    <w:rsid w:val="00EC1D41"/>
    <w:rsid w:val="00EC1E00"/>
    <w:rsid w:val="00EC239C"/>
    <w:rsid w:val="00EC26AB"/>
    <w:rsid w:val="00EC3715"/>
    <w:rsid w:val="00EC372B"/>
    <w:rsid w:val="00EC39F1"/>
    <w:rsid w:val="00EC4038"/>
    <w:rsid w:val="00EC4539"/>
    <w:rsid w:val="00EC4708"/>
    <w:rsid w:val="00EC47D1"/>
    <w:rsid w:val="00EC49E1"/>
    <w:rsid w:val="00EC5300"/>
    <w:rsid w:val="00EC5301"/>
    <w:rsid w:val="00EC53C3"/>
    <w:rsid w:val="00EC5602"/>
    <w:rsid w:val="00EC5A60"/>
    <w:rsid w:val="00EC5DD4"/>
    <w:rsid w:val="00EC5F1B"/>
    <w:rsid w:val="00EC5F52"/>
    <w:rsid w:val="00EC5F83"/>
    <w:rsid w:val="00EC61DA"/>
    <w:rsid w:val="00EC6717"/>
    <w:rsid w:val="00EC6CE3"/>
    <w:rsid w:val="00EC6F9D"/>
    <w:rsid w:val="00EC6F9F"/>
    <w:rsid w:val="00EC7B83"/>
    <w:rsid w:val="00ED03A6"/>
    <w:rsid w:val="00ED0672"/>
    <w:rsid w:val="00ED078B"/>
    <w:rsid w:val="00ED0BAD"/>
    <w:rsid w:val="00ED0D54"/>
    <w:rsid w:val="00ED0EF8"/>
    <w:rsid w:val="00ED103B"/>
    <w:rsid w:val="00ED1C89"/>
    <w:rsid w:val="00ED204C"/>
    <w:rsid w:val="00ED20A8"/>
    <w:rsid w:val="00ED25A3"/>
    <w:rsid w:val="00ED27AD"/>
    <w:rsid w:val="00ED2C7E"/>
    <w:rsid w:val="00ED30A7"/>
    <w:rsid w:val="00ED32B8"/>
    <w:rsid w:val="00ED3B3C"/>
    <w:rsid w:val="00ED3BB4"/>
    <w:rsid w:val="00ED4B83"/>
    <w:rsid w:val="00ED4C02"/>
    <w:rsid w:val="00ED4E74"/>
    <w:rsid w:val="00ED5656"/>
    <w:rsid w:val="00ED5897"/>
    <w:rsid w:val="00ED59F3"/>
    <w:rsid w:val="00ED5B6A"/>
    <w:rsid w:val="00ED5B92"/>
    <w:rsid w:val="00ED5E20"/>
    <w:rsid w:val="00ED60E4"/>
    <w:rsid w:val="00ED64A2"/>
    <w:rsid w:val="00ED66BF"/>
    <w:rsid w:val="00ED66C8"/>
    <w:rsid w:val="00ED682D"/>
    <w:rsid w:val="00ED6839"/>
    <w:rsid w:val="00ED7267"/>
    <w:rsid w:val="00ED72A7"/>
    <w:rsid w:val="00ED7336"/>
    <w:rsid w:val="00ED749A"/>
    <w:rsid w:val="00ED7887"/>
    <w:rsid w:val="00ED795C"/>
    <w:rsid w:val="00EE0256"/>
    <w:rsid w:val="00EE04AA"/>
    <w:rsid w:val="00EE0750"/>
    <w:rsid w:val="00EE08BC"/>
    <w:rsid w:val="00EE0E26"/>
    <w:rsid w:val="00EE0F8E"/>
    <w:rsid w:val="00EE1110"/>
    <w:rsid w:val="00EE1139"/>
    <w:rsid w:val="00EE157F"/>
    <w:rsid w:val="00EE1612"/>
    <w:rsid w:val="00EE192A"/>
    <w:rsid w:val="00EE2028"/>
    <w:rsid w:val="00EE2497"/>
    <w:rsid w:val="00EE2712"/>
    <w:rsid w:val="00EE27D8"/>
    <w:rsid w:val="00EE27FB"/>
    <w:rsid w:val="00EE2815"/>
    <w:rsid w:val="00EE2889"/>
    <w:rsid w:val="00EE29DD"/>
    <w:rsid w:val="00EE3085"/>
    <w:rsid w:val="00EE35D9"/>
    <w:rsid w:val="00EE37C9"/>
    <w:rsid w:val="00EE385D"/>
    <w:rsid w:val="00EE3A48"/>
    <w:rsid w:val="00EE3A56"/>
    <w:rsid w:val="00EE3AAF"/>
    <w:rsid w:val="00EE3B14"/>
    <w:rsid w:val="00EE4057"/>
    <w:rsid w:val="00EE40AE"/>
    <w:rsid w:val="00EE40B2"/>
    <w:rsid w:val="00EE4207"/>
    <w:rsid w:val="00EE447D"/>
    <w:rsid w:val="00EE44EB"/>
    <w:rsid w:val="00EE4749"/>
    <w:rsid w:val="00EE478B"/>
    <w:rsid w:val="00EE4C5F"/>
    <w:rsid w:val="00EE4FCB"/>
    <w:rsid w:val="00EE5344"/>
    <w:rsid w:val="00EE5778"/>
    <w:rsid w:val="00EE5914"/>
    <w:rsid w:val="00EE603E"/>
    <w:rsid w:val="00EE627A"/>
    <w:rsid w:val="00EE63AD"/>
    <w:rsid w:val="00EE6C20"/>
    <w:rsid w:val="00EE7473"/>
    <w:rsid w:val="00EE750F"/>
    <w:rsid w:val="00EE7824"/>
    <w:rsid w:val="00EE7B90"/>
    <w:rsid w:val="00EE7CFA"/>
    <w:rsid w:val="00EE7D98"/>
    <w:rsid w:val="00EE7DD1"/>
    <w:rsid w:val="00EE7F82"/>
    <w:rsid w:val="00EE7FE7"/>
    <w:rsid w:val="00EF0068"/>
    <w:rsid w:val="00EF0414"/>
    <w:rsid w:val="00EF06D4"/>
    <w:rsid w:val="00EF09C2"/>
    <w:rsid w:val="00EF0E77"/>
    <w:rsid w:val="00EF0F91"/>
    <w:rsid w:val="00EF1110"/>
    <w:rsid w:val="00EF14A3"/>
    <w:rsid w:val="00EF14B7"/>
    <w:rsid w:val="00EF158A"/>
    <w:rsid w:val="00EF19AB"/>
    <w:rsid w:val="00EF1A10"/>
    <w:rsid w:val="00EF1C7E"/>
    <w:rsid w:val="00EF1DBC"/>
    <w:rsid w:val="00EF1E25"/>
    <w:rsid w:val="00EF23F8"/>
    <w:rsid w:val="00EF2577"/>
    <w:rsid w:val="00EF2AE9"/>
    <w:rsid w:val="00EF2B7B"/>
    <w:rsid w:val="00EF2CF8"/>
    <w:rsid w:val="00EF3425"/>
    <w:rsid w:val="00EF34B2"/>
    <w:rsid w:val="00EF35A0"/>
    <w:rsid w:val="00EF387A"/>
    <w:rsid w:val="00EF3946"/>
    <w:rsid w:val="00EF424C"/>
    <w:rsid w:val="00EF4254"/>
    <w:rsid w:val="00EF42B0"/>
    <w:rsid w:val="00EF473E"/>
    <w:rsid w:val="00EF4CFE"/>
    <w:rsid w:val="00EF4EAD"/>
    <w:rsid w:val="00EF4F5A"/>
    <w:rsid w:val="00EF5511"/>
    <w:rsid w:val="00EF59ED"/>
    <w:rsid w:val="00EF5E3B"/>
    <w:rsid w:val="00EF5F37"/>
    <w:rsid w:val="00EF62E1"/>
    <w:rsid w:val="00EF633A"/>
    <w:rsid w:val="00EF6461"/>
    <w:rsid w:val="00EF694E"/>
    <w:rsid w:val="00EF6A48"/>
    <w:rsid w:val="00EF6C23"/>
    <w:rsid w:val="00EF6E57"/>
    <w:rsid w:val="00EF730F"/>
    <w:rsid w:val="00EF734E"/>
    <w:rsid w:val="00EF7916"/>
    <w:rsid w:val="00EF7FAB"/>
    <w:rsid w:val="00F00333"/>
    <w:rsid w:val="00F0075F"/>
    <w:rsid w:val="00F00880"/>
    <w:rsid w:val="00F00A0B"/>
    <w:rsid w:val="00F00C8A"/>
    <w:rsid w:val="00F0100F"/>
    <w:rsid w:val="00F011E8"/>
    <w:rsid w:val="00F01258"/>
    <w:rsid w:val="00F014B6"/>
    <w:rsid w:val="00F015F7"/>
    <w:rsid w:val="00F01E5B"/>
    <w:rsid w:val="00F01E73"/>
    <w:rsid w:val="00F020BB"/>
    <w:rsid w:val="00F0218C"/>
    <w:rsid w:val="00F02284"/>
    <w:rsid w:val="00F02365"/>
    <w:rsid w:val="00F02A57"/>
    <w:rsid w:val="00F02B02"/>
    <w:rsid w:val="00F02B25"/>
    <w:rsid w:val="00F02BA8"/>
    <w:rsid w:val="00F02BDD"/>
    <w:rsid w:val="00F02EDF"/>
    <w:rsid w:val="00F03460"/>
    <w:rsid w:val="00F03AEE"/>
    <w:rsid w:val="00F03B63"/>
    <w:rsid w:val="00F03FDB"/>
    <w:rsid w:val="00F0460B"/>
    <w:rsid w:val="00F0486E"/>
    <w:rsid w:val="00F048A2"/>
    <w:rsid w:val="00F049DD"/>
    <w:rsid w:val="00F04CC2"/>
    <w:rsid w:val="00F04D9F"/>
    <w:rsid w:val="00F05415"/>
    <w:rsid w:val="00F054D7"/>
    <w:rsid w:val="00F05CF4"/>
    <w:rsid w:val="00F05D8D"/>
    <w:rsid w:val="00F06FCB"/>
    <w:rsid w:val="00F07C5C"/>
    <w:rsid w:val="00F07E7B"/>
    <w:rsid w:val="00F1078C"/>
    <w:rsid w:val="00F10F16"/>
    <w:rsid w:val="00F1133D"/>
    <w:rsid w:val="00F1171B"/>
    <w:rsid w:val="00F118FD"/>
    <w:rsid w:val="00F11DD9"/>
    <w:rsid w:val="00F11DDC"/>
    <w:rsid w:val="00F11E8F"/>
    <w:rsid w:val="00F1208F"/>
    <w:rsid w:val="00F12434"/>
    <w:rsid w:val="00F1298E"/>
    <w:rsid w:val="00F12A64"/>
    <w:rsid w:val="00F12AD0"/>
    <w:rsid w:val="00F12E43"/>
    <w:rsid w:val="00F12FBA"/>
    <w:rsid w:val="00F13282"/>
    <w:rsid w:val="00F135ED"/>
    <w:rsid w:val="00F1369E"/>
    <w:rsid w:val="00F136E5"/>
    <w:rsid w:val="00F142FE"/>
    <w:rsid w:val="00F14398"/>
    <w:rsid w:val="00F14507"/>
    <w:rsid w:val="00F1473C"/>
    <w:rsid w:val="00F14787"/>
    <w:rsid w:val="00F1481C"/>
    <w:rsid w:val="00F14AEB"/>
    <w:rsid w:val="00F14E46"/>
    <w:rsid w:val="00F150BC"/>
    <w:rsid w:val="00F1518A"/>
    <w:rsid w:val="00F15220"/>
    <w:rsid w:val="00F153AC"/>
    <w:rsid w:val="00F15B5A"/>
    <w:rsid w:val="00F161CD"/>
    <w:rsid w:val="00F16359"/>
    <w:rsid w:val="00F1635E"/>
    <w:rsid w:val="00F165AE"/>
    <w:rsid w:val="00F167C8"/>
    <w:rsid w:val="00F169E5"/>
    <w:rsid w:val="00F16A16"/>
    <w:rsid w:val="00F16C6E"/>
    <w:rsid w:val="00F16C78"/>
    <w:rsid w:val="00F16E8D"/>
    <w:rsid w:val="00F16F19"/>
    <w:rsid w:val="00F17080"/>
    <w:rsid w:val="00F170A4"/>
    <w:rsid w:val="00F17178"/>
    <w:rsid w:val="00F176E1"/>
    <w:rsid w:val="00F17AAB"/>
    <w:rsid w:val="00F204D5"/>
    <w:rsid w:val="00F2084A"/>
    <w:rsid w:val="00F20889"/>
    <w:rsid w:val="00F20BDE"/>
    <w:rsid w:val="00F20C78"/>
    <w:rsid w:val="00F2103C"/>
    <w:rsid w:val="00F217E4"/>
    <w:rsid w:val="00F21B1E"/>
    <w:rsid w:val="00F21D49"/>
    <w:rsid w:val="00F2200E"/>
    <w:rsid w:val="00F22047"/>
    <w:rsid w:val="00F2218A"/>
    <w:rsid w:val="00F22968"/>
    <w:rsid w:val="00F22B0A"/>
    <w:rsid w:val="00F22CBA"/>
    <w:rsid w:val="00F23476"/>
    <w:rsid w:val="00F234BC"/>
    <w:rsid w:val="00F234D5"/>
    <w:rsid w:val="00F23A27"/>
    <w:rsid w:val="00F2410C"/>
    <w:rsid w:val="00F243C0"/>
    <w:rsid w:val="00F24576"/>
    <w:rsid w:val="00F24617"/>
    <w:rsid w:val="00F249FC"/>
    <w:rsid w:val="00F24F3D"/>
    <w:rsid w:val="00F24F41"/>
    <w:rsid w:val="00F250DE"/>
    <w:rsid w:val="00F2516E"/>
    <w:rsid w:val="00F2546F"/>
    <w:rsid w:val="00F2562C"/>
    <w:rsid w:val="00F25E18"/>
    <w:rsid w:val="00F26705"/>
    <w:rsid w:val="00F26A24"/>
    <w:rsid w:val="00F26B18"/>
    <w:rsid w:val="00F26C05"/>
    <w:rsid w:val="00F272F0"/>
    <w:rsid w:val="00F27318"/>
    <w:rsid w:val="00F27731"/>
    <w:rsid w:val="00F27BBB"/>
    <w:rsid w:val="00F27C78"/>
    <w:rsid w:val="00F27FAD"/>
    <w:rsid w:val="00F301BB"/>
    <w:rsid w:val="00F306C6"/>
    <w:rsid w:val="00F30A74"/>
    <w:rsid w:val="00F30D53"/>
    <w:rsid w:val="00F31015"/>
    <w:rsid w:val="00F311DD"/>
    <w:rsid w:val="00F316A6"/>
    <w:rsid w:val="00F318BF"/>
    <w:rsid w:val="00F3246F"/>
    <w:rsid w:val="00F32479"/>
    <w:rsid w:val="00F32D3C"/>
    <w:rsid w:val="00F3311B"/>
    <w:rsid w:val="00F3371E"/>
    <w:rsid w:val="00F33847"/>
    <w:rsid w:val="00F340BB"/>
    <w:rsid w:val="00F35164"/>
    <w:rsid w:val="00F3551F"/>
    <w:rsid w:val="00F35527"/>
    <w:rsid w:val="00F35A78"/>
    <w:rsid w:val="00F35F00"/>
    <w:rsid w:val="00F35FB2"/>
    <w:rsid w:val="00F370F1"/>
    <w:rsid w:val="00F3712C"/>
    <w:rsid w:val="00F37261"/>
    <w:rsid w:val="00F37528"/>
    <w:rsid w:val="00F37BC9"/>
    <w:rsid w:val="00F37D83"/>
    <w:rsid w:val="00F400D5"/>
    <w:rsid w:val="00F403ED"/>
    <w:rsid w:val="00F41309"/>
    <w:rsid w:val="00F4180E"/>
    <w:rsid w:val="00F420B1"/>
    <w:rsid w:val="00F4243A"/>
    <w:rsid w:val="00F4278C"/>
    <w:rsid w:val="00F42830"/>
    <w:rsid w:val="00F43125"/>
    <w:rsid w:val="00F43193"/>
    <w:rsid w:val="00F43223"/>
    <w:rsid w:val="00F433A7"/>
    <w:rsid w:val="00F436F2"/>
    <w:rsid w:val="00F43A78"/>
    <w:rsid w:val="00F43C42"/>
    <w:rsid w:val="00F43E8A"/>
    <w:rsid w:val="00F43EB3"/>
    <w:rsid w:val="00F4401E"/>
    <w:rsid w:val="00F440BF"/>
    <w:rsid w:val="00F44104"/>
    <w:rsid w:val="00F4471C"/>
    <w:rsid w:val="00F452FC"/>
    <w:rsid w:val="00F454F8"/>
    <w:rsid w:val="00F455B8"/>
    <w:rsid w:val="00F455E6"/>
    <w:rsid w:val="00F45713"/>
    <w:rsid w:val="00F45748"/>
    <w:rsid w:val="00F465D6"/>
    <w:rsid w:val="00F4661A"/>
    <w:rsid w:val="00F4680C"/>
    <w:rsid w:val="00F46CF9"/>
    <w:rsid w:val="00F46D7D"/>
    <w:rsid w:val="00F471EF"/>
    <w:rsid w:val="00F4746F"/>
    <w:rsid w:val="00F47889"/>
    <w:rsid w:val="00F47A74"/>
    <w:rsid w:val="00F47DE7"/>
    <w:rsid w:val="00F47E22"/>
    <w:rsid w:val="00F47E3D"/>
    <w:rsid w:val="00F500B6"/>
    <w:rsid w:val="00F506DE"/>
    <w:rsid w:val="00F5077D"/>
    <w:rsid w:val="00F50953"/>
    <w:rsid w:val="00F50EE8"/>
    <w:rsid w:val="00F50EF1"/>
    <w:rsid w:val="00F515FF"/>
    <w:rsid w:val="00F518A2"/>
    <w:rsid w:val="00F52702"/>
    <w:rsid w:val="00F5281C"/>
    <w:rsid w:val="00F52BD9"/>
    <w:rsid w:val="00F52CA2"/>
    <w:rsid w:val="00F530D8"/>
    <w:rsid w:val="00F5368B"/>
    <w:rsid w:val="00F53947"/>
    <w:rsid w:val="00F53E27"/>
    <w:rsid w:val="00F53FD7"/>
    <w:rsid w:val="00F540F0"/>
    <w:rsid w:val="00F541BC"/>
    <w:rsid w:val="00F54275"/>
    <w:rsid w:val="00F546AF"/>
    <w:rsid w:val="00F550FB"/>
    <w:rsid w:val="00F55151"/>
    <w:rsid w:val="00F551DA"/>
    <w:rsid w:val="00F55259"/>
    <w:rsid w:val="00F553DA"/>
    <w:rsid w:val="00F55684"/>
    <w:rsid w:val="00F559F1"/>
    <w:rsid w:val="00F55D33"/>
    <w:rsid w:val="00F56124"/>
    <w:rsid w:val="00F564DA"/>
    <w:rsid w:val="00F565CB"/>
    <w:rsid w:val="00F56650"/>
    <w:rsid w:val="00F56A91"/>
    <w:rsid w:val="00F56DD3"/>
    <w:rsid w:val="00F56EC2"/>
    <w:rsid w:val="00F57674"/>
    <w:rsid w:val="00F57932"/>
    <w:rsid w:val="00F57B27"/>
    <w:rsid w:val="00F57E33"/>
    <w:rsid w:val="00F605C7"/>
    <w:rsid w:val="00F61072"/>
    <w:rsid w:val="00F61518"/>
    <w:rsid w:val="00F61651"/>
    <w:rsid w:val="00F6170F"/>
    <w:rsid w:val="00F61C8E"/>
    <w:rsid w:val="00F623D9"/>
    <w:rsid w:val="00F624CD"/>
    <w:rsid w:val="00F6292B"/>
    <w:rsid w:val="00F62D0F"/>
    <w:rsid w:val="00F6313E"/>
    <w:rsid w:val="00F6354E"/>
    <w:rsid w:val="00F635F9"/>
    <w:rsid w:val="00F636F4"/>
    <w:rsid w:val="00F63FBC"/>
    <w:rsid w:val="00F64637"/>
    <w:rsid w:val="00F64D2A"/>
    <w:rsid w:val="00F65364"/>
    <w:rsid w:val="00F65684"/>
    <w:rsid w:val="00F65DFC"/>
    <w:rsid w:val="00F65EE4"/>
    <w:rsid w:val="00F661EB"/>
    <w:rsid w:val="00F6637E"/>
    <w:rsid w:val="00F66490"/>
    <w:rsid w:val="00F66538"/>
    <w:rsid w:val="00F669E7"/>
    <w:rsid w:val="00F66A7D"/>
    <w:rsid w:val="00F67117"/>
    <w:rsid w:val="00F676BB"/>
    <w:rsid w:val="00F6776A"/>
    <w:rsid w:val="00F67BDE"/>
    <w:rsid w:val="00F67F62"/>
    <w:rsid w:val="00F70151"/>
    <w:rsid w:val="00F703A7"/>
    <w:rsid w:val="00F70630"/>
    <w:rsid w:val="00F706AB"/>
    <w:rsid w:val="00F709A3"/>
    <w:rsid w:val="00F7102F"/>
    <w:rsid w:val="00F710F6"/>
    <w:rsid w:val="00F7130D"/>
    <w:rsid w:val="00F7160F"/>
    <w:rsid w:val="00F718CE"/>
    <w:rsid w:val="00F71A49"/>
    <w:rsid w:val="00F71AF4"/>
    <w:rsid w:val="00F71C5A"/>
    <w:rsid w:val="00F72138"/>
    <w:rsid w:val="00F7216B"/>
    <w:rsid w:val="00F7227D"/>
    <w:rsid w:val="00F7256C"/>
    <w:rsid w:val="00F7262B"/>
    <w:rsid w:val="00F72770"/>
    <w:rsid w:val="00F72D8F"/>
    <w:rsid w:val="00F73020"/>
    <w:rsid w:val="00F7313B"/>
    <w:rsid w:val="00F734A8"/>
    <w:rsid w:val="00F73580"/>
    <w:rsid w:val="00F739B7"/>
    <w:rsid w:val="00F73AF2"/>
    <w:rsid w:val="00F73E6B"/>
    <w:rsid w:val="00F74195"/>
    <w:rsid w:val="00F74242"/>
    <w:rsid w:val="00F74388"/>
    <w:rsid w:val="00F74684"/>
    <w:rsid w:val="00F74877"/>
    <w:rsid w:val="00F74D16"/>
    <w:rsid w:val="00F7510B"/>
    <w:rsid w:val="00F7630E"/>
    <w:rsid w:val="00F76A25"/>
    <w:rsid w:val="00F770F2"/>
    <w:rsid w:val="00F772EC"/>
    <w:rsid w:val="00F773F6"/>
    <w:rsid w:val="00F777BE"/>
    <w:rsid w:val="00F77D36"/>
    <w:rsid w:val="00F77D7F"/>
    <w:rsid w:val="00F80004"/>
    <w:rsid w:val="00F800B1"/>
    <w:rsid w:val="00F8019F"/>
    <w:rsid w:val="00F801D3"/>
    <w:rsid w:val="00F80C5A"/>
    <w:rsid w:val="00F80C93"/>
    <w:rsid w:val="00F80ED3"/>
    <w:rsid w:val="00F811BC"/>
    <w:rsid w:val="00F814E2"/>
    <w:rsid w:val="00F8198C"/>
    <w:rsid w:val="00F81C41"/>
    <w:rsid w:val="00F81CCC"/>
    <w:rsid w:val="00F82164"/>
    <w:rsid w:val="00F821B8"/>
    <w:rsid w:val="00F82911"/>
    <w:rsid w:val="00F82994"/>
    <w:rsid w:val="00F82C47"/>
    <w:rsid w:val="00F82CFA"/>
    <w:rsid w:val="00F82EEB"/>
    <w:rsid w:val="00F8322A"/>
    <w:rsid w:val="00F8378A"/>
    <w:rsid w:val="00F83933"/>
    <w:rsid w:val="00F83AEC"/>
    <w:rsid w:val="00F84016"/>
    <w:rsid w:val="00F84621"/>
    <w:rsid w:val="00F847E6"/>
    <w:rsid w:val="00F84852"/>
    <w:rsid w:val="00F84A48"/>
    <w:rsid w:val="00F84C88"/>
    <w:rsid w:val="00F85290"/>
    <w:rsid w:val="00F855DB"/>
    <w:rsid w:val="00F861C4"/>
    <w:rsid w:val="00F86508"/>
    <w:rsid w:val="00F8687D"/>
    <w:rsid w:val="00F86A22"/>
    <w:rsid w:val="00F86D76"/>
    <w:rsid w:val="00F87119"/>
    <w:rsid w:val="00F8776D"/>
    <w:rsid w:val="00F87F5E"/>
    <w:rsid w:val="00F906FC"/>
    <w:rsid w:val="00F90723"/>
    <w:rsid w:val="00F90A34"/>
    <w:rsid w:val="00F90C0E"/>
    <w:rsid w:val="00F90DC1"/>
    <w:rsid w:val="00F90DC2"/>
    <w:rsid w:val="00F91058"/>
    <w:rsid w:val="00F911B5"/>
    <w:rsid w:val="00F91205"/>
    <w:rsid w:val="00F912F4"/>
    <w:rsid w:val="00F914B7"/>
    <w:rsid w:val="00F917EB"/>
    <w:rsid w:val="00F91923"/>
    <w:rsid w:val="00F91BF9"/>
    <w:rsid w:val="00F91EB8"/>
    <w:rsid w:val="00F91F71"/>
    <w:rsid w:val="00F91F8B"/>
    <w:rsid w:val="00F922FC"/>
    <w:rsid w:val="00F92A8E"/>
    <w:rsid w:val="00F92CF7"/>
    <w:rsid w:val="00F92F55"/>
    <w:rsid w:val="00F931F6"/>
    <w:rsid w:val="00F933FA"/>
    <w:rsid w:val="00F93CF1"/>
    <w:rsid w:val="00F9428F"/>
    <w:rsid w:val="00F9438D"/>
    <w:rsid w:val="00F943C3"/>
    <w:rsid w:val="00F949F4"/>
    <w:rsid w:val="00F94F86"/>
    <w:rsid w:val="00F95523"/>
    <w:rsid w:val="00F955BF"/>
    <w:rsid w:val="00F956F5"/>
    <w:rsid w:val="00F957E7"/>
    <w:rsid w:val="00F95B84"/>
    <w:rsid w:val="00F95CA5"/>
    <w:rsid w:val="00F95E22"/>
    <w:rsid w:val="00F960D6"/>
    <w:rsid w:val="00F9621D"/>
    <w:rsid w:val="00F96614"/>
    <w:rsid w:val="00F96F71"/>
    <w:rsid w:val="00F9707F"/>
    <w:rsid w:val="00F973B8"/>
    <w:rsid w:val="00F9745E"/>
    <w:rsid w:val="00F97624"/>
    <w:rsid w:val="00F9764E"/>
    <w:rsid w:val="00F978AB"/>
    <w:rsid w:val="00F97908"/>
    <w:rsid w:val="00F979C7"/>
    <w:rsid w:val="00FA00D3"/>
    <w:rsid w:val="00FA00DD"/>
    <w:rsid w:val="00FA01B3"/>
    <w:rsid w:val="00FA0420"/>
    <w:rsid w:val="00FA0586"/>
    <w:rsid w:val="00FA066E"/>
    <w:rsid w:val="00FA06E7"/>
    <w:rsid w:val="00FA109C"/>
    <w:rsid w:val="00FA1426"/>
    <w:rsid w:val="00FA147E"/>
    <w:rsid w:val="00FA1603"/>
    <w:rsid w:val="00FA193A"/>
    <w:rsid w:val="00FA198B"/>
    <w:rsid w:val="00FA2062"/>
    <w:rsid w:val="00FA224D"/>
    <w:rsid w:val="00FA267C"/>
    <w:rsid w:val="00FA2B7A"/>
    <w:rsid w:val="00FA2C0A"/>
    <w:rsid w:val="00FA2D60"/>
    <w:rsid w:val="00FA2F1D"/>
    <w:rsid w:val="00FA368F"/>
    <w:rsid w:val="00FA37CC"/>
    <w:rsid w:val="00FA3A65"/>
    <w:rsid w:val="00FA3D1F"/>
    <w:rsid w:val="00FA4294"/>
    <w:rsid w:val="00FA4370"/>
    <w:rsid w:val="00FA4BA2"/>
    <w:rsid w:val="00FA4F68"/>
    <w:rsid w:val="00FA539C"/>
    <w:rsid w:val="00FA554C"/>
    <w:rsid w:val="00FA5643"/>
    <w:rsid w:val="00FA577E"/>
    <w:rsid w:val="00FA5C9E"/>
    <w:rsid w:val="00FA5DA0"/>
    <w:rsid w:val="00FA5EA0"/>
    <w:rsid w:val="00FA5F1D"/>
    <w:rsid w:val="00FA60A1"/>
    <w:rsid w:val="00FA631A"/>
    <w:rsid w:val="00FA644F"/>
    <w:rsid w:val="00FA6B6D"/>
    <w:rsid w:val="00FA6C3F"/>
    <w:rsid w:val="00FA6FD8"/>
    <w:rsid w:val="00FA707B"/>
    <w:rsid w:val="00FA70C7"/>
    <w:rsid w:val="00FA79D5"/>
    <w:rsid w:val="00FA7D13"/>
    <w:rsid w:val="00FB006B"/>
    <w:rsid w:val="00FB02B7"/>
    <w:rsid w:val="00FB0350"/>
    <w:rsid w:val="00FB06CE"/>
    <w:rsid w:val="00FB0AEC"/>
    <w:rsid w:val="00FB0B03"/>
    <w:rsid w:val="00FB15F6"/>
    <w:rsid w:val="00FB1C59"/>
    <w:rsid w:val="00FB1FEF"/>
    <w:rsid w:val="00FB2430"/>
    <w:rsid w:val="00FB25B1"/>
    <w:rsid w:val="00FB2747"/>
    <w:rsid w:val="00FB28FD"/>
    <w:rsid w:val="00FB2E64"/>
    <w:rsid w:val="00FB392B"/>
    <w:rsid w:val="00FB395D"/>
    <w:rsid w:val="00FB39C1"/>
    <w:rsid w:val="00FB4287"/>
    <w:rsid w:val="00FB4399"/>
    <w:rsid w:val="00FB4B70"/>
    <w:rsid w:val="00FB4D45"/>
    <w:rsid w:val="00FB4ED5"/>
    <w:rsid w:val="00FB5892"/>
    <w:rsid w:val="00FB590D"/>
    <w:rsid w:val="00FB5940"/>
    <w:rsid w:val="00FB5B10"/>
    <w:rsid w:val="00FB5D4F"/>
    <w:rsid w:val="00FB5FEF"/>
    <w:rsid w:val="00FB63E8"/>
    <w:rsid w:val="00FB65C7"/>
    <w:rsid w:val="00FB6A2F"/>
    <w:rsid w:val="00FB751A"/>
    <w:rsid w:val="00FC0099"/>
    <w:rsid w:val="00FC0358"/>
    <w:rsid w:val="00FC03F5"/>
    <w:rsid w:val="00FC05AA"/>
    <w:rsid w:val="00FC0681"/>
    <w:rsid w:val="00FC082F"/>
    <w:rsid w:val="00FC0BAC"/>
    <w:rsid w:val="00FC0C90"/>
    <w:rsid w:val="00FC141A"/>
    <w:rsid w:val="00FC1E04"/>
    <w:rsid w:val="00FC1FE4"/>
    <w:rsid w:val="00FC2119"/>
    <w:rsid w:val="00FC25CC"/>
    <w:rsid w:val="00FC2754"/>
    <w:rsid w:val="00FC293B"/>
    <w:rsid w:val="00FC2964"/>
    <w:rsid w:val="00FC2AC1"/>
    <w:rsid w:val="00FC3007"/>
    <w:rsid w:val="00FC342D"/>
    <w:rsid w:val="00FC364E"/>
    <w:rsid w:val="00FC371D"/>
    <w:rsid w:val="00FC3A56"/>
    <w:rsid w:val="00FC4114"/>
    <w:rsid w:val="00FC4212"/>
    <w:rsid w:val="00FC42B1"/>
    <w:rsid w:val="00FC45E1"/>
    <w:rsid w:val="00FC47AE"/>
    <w:rsid w:val="00FC4BD7"/>
    <w:rsid w:val="00FC4E37"/>
    <w:rsid w:val="00FC4FA1"/>
    <w:rsid w:val="00FC56BB"/>
    <w:rsid w:val="00FC5963"/>
    <w:rsid w:val="00FC5F1B"/>
    <w:rsid w:val="00FC60FB"/>
    <w:rsid w:val="00FC6A06"/>
    <w:rsid w:val="00FC6A56"/>
    <w:rsid w:val="00FC6AA3"/>
    <w:rsid w:val="00FC6C16"/>
    <w:rsid w:val="00FC6F6F"/>
    <w:rsid w:val="00FC7008"/>
    <w:rsid w:val="00FC743D"/>
    <w:rsid w:val="00FC7498"/>
    <w:rsid w:val="00FC75D5"/>
    <w:rsid w:val="00FC7639"/>
    <w:rsid w:val="00FC76CE"/>
    <w:rsid w:val="00FC78E6"/>
    <w:rsid w:val="00FC79BD"/>
    <w:rsid w:val="00FC7E0B"/>
    <w:rsid w:val="00FD0019"/>
    <w:rsid w:val="00FD0065"/>
    <w:rsid w:val="00FD0229"/>
    <w:rsid w:val="00FD083F"/>
    <w:rsid w:val="00FD0B47"/>
    <w:rsid w:val="00FD0E95"/>
    <w:rsid w:val="00FD0F75"/>
    <w:rsid w:val="00FD11A8"/>
    <w:rsid w:val="00FD1525"/>
    <w:rsid w:val="00FD15BC"/>
    <w:rsid w:val="00FD176B"/>
    <w:rsid w:val="00FD19AC"/>
    <w:rsid w:val="00FD1AFE"/>
    <w:rsid w:val="00FD1DE4"/>
    <w:rsid w:val="00FD26FE"/>
    <w:rsid w:val="00FD2C8A"/>
    <w:rsid w:val="00FD2F78"/>
    <w:rsid w:val="00FD37F7"/>
    <w:rsid w:val="00FD3AFB"/>
    <w:rsid w:val="00FD40EC"/>
    <w:rsid w:val="00FD41AF"/>
    <w:rsid w:val="00FD46F7"/>
    <w:rsid w:val="00FD4770"/>
    <w:rsid w:val="00FD496A"/>
    <w:rsid w:val="00FD5667"/>
    <w:rsid w:val="00FD589C"/>
    <w:rsid w:val="00FD5939"/>
    <w:rsid w:val="00FD5A41"/>
    <w:rsid w:val="00FD634A"/>
    <w:rsid w:val="00FD659C"/>
    <w:rsid w:val="00FD66B6"/>
    <w:rsid w:val="00FD6FA2"/>
    <w:rsid w:val="00FD78DE"/>
    <w:rsid w:val="00FD79D2"/>
    <w:rsid w:val="00FD7AE2"/>
    <w:rsid w:val="00FD7D1A"/>
    <w:rsid w:val="00FE038B"/>
    <w:rsid w:val="00FE03AA"/>
    <w:rsid w:val="00FE04CC"/>
    <w:rsid w:val="00FE0721"/>
    <w:rsid w:val="00FE08DC"/>
    <w:rsid w:val="00FE1666"/>
    <w:rsid w:val="00FE1EEF"/>
    <w:rsid w:val="00FE1F11"/>
    <w:rsid w:val="00FE2962"/>
    <w:rsid w:val="00FE2C04"/>
    <w:rsid w:val="00FE2CC2"/>
    <w:rsid w:val="00FE2EFA"/>
    <w:rsid w:val="00FE2F7A"/>
    <w:rsid w:val="00FE30F9"/>
    <w:rsid w:val="00FE3BE7"/>
    <w:rsid w:val="00FE4901"/>
    <w:rsid w:val="00FE4BF4"/>
    <w:rsid w:val="00FE520E"/>
    <w:rsid w:val="00FE5294"/>
    <w:rsid w:val="00FE5860"/>
    <w:rsid w:val="00FE590A"/>
    <w:rsid w:val="00FE5FF1"/>
    <w:rsid w:val="00FE66FE"/>
    <w:rsid w:val="00FE6711"/>
    <w:rsid w:val="00FE68F3"/>
    <w:rsid w:val="00FE6BA5"/>
    <w:rsid w:val="00FE6C88"/>
    <w:rsid w:val="00FE6FE6"/>
    <w:rsid w:val="00FE7866"/>
    <w:rsid w:val="00FE7932"/>
    <w:rsid w:val="00FE7CE9"/>
    <w:rsid w:val="00FE7F41"/>
    <w:rsid w:val="00FF0303"/>
    <w:rsid w:val="00FF05F0"/>
    <w:rsid w:val="00FF0652"/>
    <w:rsid w:val="00FF06C7"/>
    <w:rsid w:val="00FF0891"/>
    <w:rsid w:val="00FF0A87"/>
    <w:rsid w:val="00FF0A89"/>
    <w:rsid w:val="00FF0A96"/>
    <w:rsid w:val="00FF0C39"/>
    <w:rsid w:val="00FF0C76"/>
    <w:rsid w:val="00FF11C7"/>
    <w:rsid w:val="00FF167A"/>
    <w:rsid w:val="00FF176B"/>
    <w:rsid w:val="00FF18B3"/>
    <w:rsid w:val="00FF25AB"/>
    <w:rsid w:val="00FF322E"/>
    <w:rsid w:val="00FF327B"/>
    <w:rsid w:val="00FF3758"/>
    <w:rsid w:val="00FF3913"/>
    <w:rsid w:val="00FF3AA5"/>
    <w:rsid w:val="00FF40F8"/>
    <w:rsid w:val="00FF417C"/>
    <w:rsid w:val="00FF4211"/>
    <w:rsid w:val="00FF449B"/>
    <w:rsid w:val="00FF45F7"/>
    <w:rsid w:val="00FF4977"/>
    <w:rsid w:val="00FF4A11"/>
    <w:rsid w:val="00FF5361"/>
    <w:rsid w:val="00FF556E"/>
    <w:rsid w:val="00FF55D5"/>
    <w:rsid w:val="00FF5786"/>
    <w:rsid w:val="00FF57F6"/>
    <w:rsid w:val="00FF5F67"/>
    <w:rsid w:val="00FF604D"/>
    <w:rsid w:val="00FF6343"/>
    <w:rsid w:val="00FF66CD"/>
    <w:rsid w:val="00FF6A03"/>
    <w:rsid w:val="00FF6BAC"/>
    <w:rsid w:val="00FF6E34"/>
    <w:rsid w:val="00FF776A"/>
    <w:rsid w:val="00FF7808"/>
    <w:rsid w:val="00FF7B77"/>
    <w:rsid w:val="00FF7C7D"/>
    <w:rsid w:val="00FF7C9D"/>
    <w:rsid w:val="00FF7E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81A673"/>
  <w15:docId w15:val="{E7016A30-C6B3-4C7B-93B6-90FCF8BE6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61779"/>
    <w:rPr>
      <w:sz w:val="24"/>
      <w:szCs w:val="24"/>
    </w:rPr>
  </w:style>
  <w:style w:type="paragraph" w:styleId="Ttulo1">
    <w:name w:val="heading 1"/>
    <w:basedOn w:val="Normal"/>
    <w:next w:val="Normal"/>
    <w:qFormat/>
    <w:rsid w:val="009F025B"/>
    <w:pPr>
      <w:keepNext/>
      <w:spacing w:before="240"/>
      <w:outlineLvl w:val="0"/>
    </w:pPr>
    <w:rPr>
      <w:rFonts w:ascii="Arial" w:hAnsi="Arial"/>
      <w:b/>
      <w:color w:val="000000"/>
      <w:szCs w:val="20"/>
      <w:lang w:val="es-ES_tradnl" w:eastAsia="es-ES"/>
    </w:rPr>
  </w:style>
  <w:style w:type="paragraph" w:styleId="Ttulo2">
    <w:name w:val="heading 2"/>
    <w:basedOn w:val="Normal"/>
    <w:next w:val="Normal"/>
    <w:qFormat/>
    <w:rsid w:val="009F025B"/>
    <w:pPr>
      <w:keepNext/>
      <w:spacing w:before="240"/>
      <w:outlineLvl w:val="1"/>
    </w:pPr>
    <w:rPr>
      <w:rFonts w:ascii="Arial" w:hAnsi="Arial"/>
      <w:color w:val="00000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ullet">
    <w:name w:val="bullet"/>
    <w:basedOn w:val="Normal"/>
    <w:rsid w:val="009F025B"/>
    <w:pPr>
      <w:numPr>
        <w:numId w:val="1"/>
      </w:numPr>
      <w:spacing w:before="180"/>
      <w:ind w:right="1072"/>
      <w:jc w:val="both"/>
    </w:pPr>
    <w:rPr>
      <w:rFonts w:ascii="Arial" w:hAnsi="Arial"/>
      <w:b/>
      <w:color w:val="000080"/>
      <w:sz w:val="22"/>
      <w:szCs w:val="20"/>
      <w:lang w:val="es-ES_tradnl" w:eastAsia="es-ES"/>
    </w:rPr>
  </w:style>
  <w:style w:type="paragraph" w:customStyle="1" w:styleId="Textoindependiente21">
    <w:name w:val="Texto independiente 21"/>
    <w:basedOn w:val="Normal"/>
    <w:rsid w:val="009F025B"/>
    <w:pPr>
      <w:spacing w:after="960"/>
      <w:ind w:firstLine="567"/>
      <w:jc w:val="both"/>
    </w:pPr>
    <w:rPr>
      <w:rFonts w:ascii="Arial" w:hAnsi="Arial"/>
      <w:sz w:val="22"/>
      <w:szCs w:val="20"/>
      <w:lang w:val="es-ES_tradnl" w:eastAsia="es-ES"/>
    </w:rPr>
  </w:style>
  <w:style w:type="paragraph" w:customStyle="1" w:styleId="Sangra2detindependiente1">
    <w:name w:val="Sangría 2 de t. independiente1"/>
    <w:basedOn w:val="Normal"/>
    <w:rsid w:val="009F025B"/>
    <w:pPr>
      <w:spacing w:after="720"/>
      <w:ind w:firstLine="544"/>
      <w:jc w:val="both"/>
    </w:pPr>
    <w:rPr>
      <w:rFonts w:ascii="Arial" w:hAnsi="Arial"/>
      <w:sz w:val="22"/>
      <w:szCs w:val="20"/>
      <w:lang w:val="es-ES_tradnl" w:eastAsia="es-ES"/>
    </w:rPr>
  </w:style>
  <w:style w:type="paragraph" w:customStyle="1" w:styleId="titulo2">
    <w:name w:val="titulo2"/>
    <w:basedOn w:val="Normal"/>
    <w:rsid w:val="009F025B"/>
    <w:pPr>
      <w:widowControl w:val="0"/>
      <w:spacing w:before="480" w:after="120"/>
      <w:jc w:val="both"/>
    </w:pPr>
    <w:rPr>
      <w:rFonts w:ascii="Arial" w:hAnsi="Arial"/>
      <w:b/>
      <w:i/>
      <w:color w:val="0000FF"/>
      <w:szCs w:val="20"/>
      <w:u w:val="single"/>
      <w:lang w:val="es-ES_tradnl" w:eastAsia="es-ES"/>
    </w:rPr>
  </w:style>
  <w:style w:type="paragraph" w:customStyle="1" w:styleId="renglones">
    <w:name w:val="renglones"/>
    <w:basedOn w:val="titulo2"/>
    <w:rsid w:val="009F025B"/>
    <w:pPr>
      <w:spacing w:after="0"/>
    </w:pPr>
    <w:rPr>
      <w:color w:val="auto"/>
    </w:rPr>
  </w:style>
  <w:style w:type="paragraph" w:customStyle="1" w:styleId="rollo">
    <w:name w:val="rollo"/>
    <w:basedOn w:val="Normal"/>
    <w:rsid w:val="009F025B"/>
    <w:pPr>
      <w:keepLines/>
      <w:widowControl w:val="0"/>
      <w:spacing w:before="240"/>
      <w:jc w:val="both"/>
    </w:pPr>
    <w:rPr>
      <w:rFonts w:ascii="Arial" w:hAnsi="Arial"/>
      <w:szCs w:val="20"/>
      <w:lang w:val="es-ES_tradnl" w:eastAsia="es-ES"/>
    </w:rPr>
  </w:style>
  <w:style w:type="paragraph" w:customStyle="1" w:styleId="titulos">
    <w:name w:val="titulos"/>
    <w:basedOn w:val="Sangra2detindependiente1"/>
    <w:rsid w:val="009F025B"/>
    <w:pPr>
      <w:widowControl w:val="0"/>
      <w:spacing w:before="360" w:after="0"/>
      <w:ind w:firstLine="0"/>
    </w:pPr>
    <w:rPr>
      <w:b/>
      <w:i/>
      <w:sz w:val="24"/>
      <w:u w:val="single"/>
    </w:rPr>
  </w:style>
  <w:style w:type="paragraph" w:styleId="Encabezado">
    <w:name w:val="header"/>
    <w:basedOn w:val="Normal"/>
    <w:link w:val="EncabezadoCar"/>
    <w:uiPriority w:val="99"/>
    <w:rsid w:val="009F025B"/>
    <w:pPr>
      <w:tabs>
        <w:tab w:val="center" w:pos="4419"/>
        <w:tab w:val="right" w:pos="8838"/>
      </w:tabs>
    </w:pPr>
    <w:rPr>
      <w:lang w:val="es-ES" w:eastAsia="es-ES"/>
    </w:rPr>
  </w:style>
  <w:style w:type="paragraph" w:styleId="Piedepgina">
    <w:name w:val="footer"/>
    <w:basedOn w:val="Normal"/>
    <w:link w:val="PiedepginaCar"/>
    <w:uiPriority w:val="99"/>
    <w:rsid w:val="009F025B"/>
    <w:pPr>
      <w:tabs>
        <w:tab w:val="center" w:pos="4419"/>
        <w:tab w:val="right" w:pos="8838"/>
      </w:tabs>
    </w:pPr>
    <w:rPr>
      <w:lang w:val="es-ES" w:eastAsia="es-ES"/>
    </w:rPr>
  </w:style>
  <w:style w:type="character" w:styleId="Nmerodepgina">
    <w:name w:val="page number"/>
    <w:basedOn w:val="Fuentedeprrafopredeter"/>
    <w:rsid w:val="009F025B"/>
  </w:style>
  <w:style w:type="paragraph" w:styleId="Sangradetextonormal">
    <w:name w:val="Body Text Indent"/>
    <w:basedOn w:val="Normal"/>
    <w:rsid w:val="009F025B"/>
    <w:pPr>
      <w:numPr>
        <w:ilvl w:val="12"/>
      </w:numPr>
      <w:spacing w:after="360"/>
      <w:ind w:right="-91" w:firstLine="567"/>
      <w:jc w:val="both"/>
    </w:pPr>
    <w:rPr>
      <w:rFonts w:ascii="Arial" w:hAnsi="Arial"/>
      <w:sz w:val="22"/>
      <w:szCs w:val="20"/>
      <w:lang w:val="es-ES" w:eastAsia="es-ES"/>
    </w:rPr>
  </w:style>
  <w:style w:type="paragraph" w:styleId="Sangra2detindependiente">
    <w:name w:val="Body Text Indent 2"/>
    <w:basedOn w:val="Normal"/>
    <w:rsid w:val="009F025B"/>
    <w:pPr>
      <w:spacing w:after="240"/>
      <w:ind w:firstLine="567"/>
      <w:jc w:val="both"/>
    </w:pPr>
    <w:rPr>
      <w:rFonts w:ascii="Arial" w:hAnsi="Arial"/>
      <w:sz w:val="20"/>
      <w:szCs w:val="20"/>
      <w:lang w:val="es-ES" w:eastAsia="es-ES"/>
    </w:rPr>
  </w:style>
  <w:style w:type="paragraph" w:styleId="Textoindependiente2">
    <w:name w:val="Body Text 2"/>
    <w:basedOn w:val="Normal"/>
    <w:rsid w:val="009F025B"/>
    <w:pPr>
      <w:keepNext/>
      <w:spacing w:after="240"/>
      <w:jc w:val="both"/>
    </w:pPr>
    <w:rPr>
      <w:sz w:val="20"/>
      <w:szCs w:val="20"/>
      <w:lang w:val="es-ES" w:eastAsia="es-ES"/>
    </w:rPr>
  </w:style>
  <w:style w:type="paragraph" w:styleId="Textodebloque">
    <w:name w:val="Block Text"/>
    <w:basedOn w:val="Normal"/>
    <w:rsid w:val="009F025B"/>
    <w:pPr>
      <w:numPr>
        <w:ilvl w:val="12"/>
      </w:numPr>
      <w:spacing w:before="360"/>
      <w:ind w:left="567" w:right="902"/>
      <w:jc w:val="both"/>
    </w:pPr>
    <w:rPr>
      <w:rFonts w:ascii="Arial" w:hAnsi="Arial"/>
      <w:b/>
      <w:sz w:val="20"/>
      <w:lang w:val="es-ES" w:eastAsia="es-ES"/>
    </w:rPr>
  </w:style>
  <w:style w:type="paragraph" w:styleId="Textonotapie">
    <w:name w:val="footnote text"/>
    <w:basedOn w:val="Normal"/>
    <w:link w:val="TextonotapieCar"/>
    <w:rsid w:val="009F025B"/>
    <w:rPr>
      <w:sz w:val="20"/>
      <w:szCs w:val="20"/>
      <w:lang w:val="es-ES" w:eastAsia="es-ES"/>
    </w:rPr>
  </w:style>
  <w:style w:type="character" w:styleId="Refdenotaalpie">
    <w:name w:val="footnote reference"/>
    <w:basedOn w:val="Fuentedeprrafopredeter"/>
    <w:semiHidden/>
    <w:rsid w:val="009F025B"/>
    <w:rPr>
      <w:vertAlign w:val="superscript"/>
    </w:rPr>
  </w:style>
  <w:style w:type="paragraph" w:styleId="Textodeglobo">
    <w:name w:val="Balloon Text"/>
    <w:basedOn w:val="Normal"/>
    <w:semiHidden/>
    <w:rsid w:val="00C02D9D"/>
    <w:rPr>
      <w:rFonts w:ascii="Tahoma" w:hAnsi="Tahoma" w:cs="Tahoma"/>
      <w:sz w:val="16"/>
      <w:szCs w:val="16"/>
      <w:lang w:val="es-ES" w:eastAsia="es-ES"/>
    </w:rPr>
  </w:style>
  <w:style w:type="character" w:customStyle="1" w:styleId="EncabezadoCar">
    <w:name w:val="Encabezado Car"/>
    <w:basedOn w:val="Fuentedeprrafopredeter"/>
    <w:link w:val="Encabezado"/>
    <w:uiPriority w:val="99"/>
    <w:rsid w:val="00220852"/>
    <w:rPr>
      <w:sz w:val="24"/>
      <w:szCs w:val="24"/>
    </w:rPr>
  </w:style>
  <w:style w:type="table" w:styleId="Tablaconcuadrcula">
    <w:name w:val="Table Grid"/>
    <w:basedOn w:val="Tablanormal"/>
    <w:rsid w:val="00433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Normal"/>
    <w:rsid w:val="007E6F44"/>
    <w:pPr>
      <w:keepLines/>
      <w:widowControl w:val="0"/>
      <w:spacing w:before="240"/>
      <w:jc w:val="both"/>
    </w:pPr>
    <w:rPr>
      <w:rFonts w:ascii="Univers" w:hAnsi="Univers"/>
      <w:color w:val="0000FF"/>
      <w:szCs w:val="20"/>
      <w:lang w:val="es-ES_tradnl" w:eastAsia="es-ES"/>
    </w:rPr>
  </w:style>
  <w:style w:type="paragraph" w:customStyle="1" w:styleId="p01">
    <w:name w:val="p01"/>
    <w:basedOn w:val="Normal"/>
    <w:next w:val="p0"/>
    <w:rsid w:val="007E6F44"/>
    <w:pPr>
      <w:keepLines/>
      <w:widowControl w:val="0"/>
      <w:spacing w:before="240"/>
      <w:jc w:val="both"/>
    </w:pPr>
    <w:rPr>
      <w:rFonts w:ascii="Univers" w:hAnsi="Univers"/>
      <w:color w:val="0000FF"/>
      <w:szCs w:val="20"/>
      <w:lang w:val="es-ES_tradnl" w:eastAsia="es-ES"/>
    </w:rPr>
  </w:style>
  <w:style w:type="paragraph" w:customStyle="1" w:styleId="Textoindependiente22">
    <w:name w:val="Texto independiente 22"/>
    <w:basedOn w:val="Normal"/>
    <w:rsid w:val="00F87119"/>
    <w:pPr>
      <w:spacing w:after="960"/>
      <w:ind w:firstLine="567"/>
      <w:jc w:val="both"/>
    </w:pPr>
    <w:rPr>
      <w:rFonts w:ascii="Arial" w:hAnsi="Arial"/>
      <w:sz w:val="22"/>
      <w:szCs w:val="20"/>
      <w:lang w:val="es-ES_tradnl" w:eastAsia="es-ES"/>
    </w:rPr>
  </w:style>
  <w:style w:type="paragraph" w:customStyle="1" w:styleId="Sangra2detindependiente2">
    <w:name w:val="Sangría 2 de t. independiente2"/>
    <w:basedOn w:val="Normal"/>
    <w:rsid w:val="00AA09CC"/>
    <w:pPr>
      <w:spacing w:after="720"/>
      <w:ind w:firstLine="544"/>
      <w:jc w:val="both"/>
    </w:pPr>
    <w:rPr>
      <w:rFonts w:ascii="Arial" w:hAnsi="Arial"/>
      <w:sz w:val="22"/>
      <w:szCs w:val="20"/>
      <w:lang w:val="es-ES_tradnl" w:eastAsia="es-ES"/>
    </w:rPr>
  </w:style>
  <w:style w:type="paragraph" w:customStyle="1" w:styleId="Textoindependiente23">
    <w:name w:val="Texto independiente 23"/>
    <w:basedOn w:val="Normal"/>
    <w:rsid w:val="0068578E"/>
    <w:pPr>
      <w:spacing w:after="960"/>
      <w:ind w:firstLine="567"/>
      <w:jc w:val="both"/>
    </w:pPr>
    <w:rPr>
      <w:rFonts w:ascii="Arial" w:hAnsi="Arial"/>
      <w:sz w:val="22"/>
      <w:szCs w:val="20"/>
      <w:lang w:val="es-ES_tradnl" w:eastAsia="es-ES"/>
    </w:rPr>
  </w:style>
  <w:style w:type="paragraph" w:customStyle="1" w:styleId="Textoindependiente24">
    <w:name w:val="Texto independiente 24"/>
    <w:basedOn w:val="Normal"/>
    <w:rsid w:val="005063B9"/>
    <w:pPr>
      <w:spacing w:after="960"/>
      <w:ind w:firstLine="567"/>
      <w:jc w:val="both"/>
    </w:pPr>
    <w:rPr>
      <w:rFonts w:ascii="Arial" w:hAnsi="Arial"/>
      <w:sz w:val="22"/>
      <w:szCs w:val="20"/>
      <w:lang w:val="es-ES_tradnl" w:eastAsia="es-ES"/>
    </w:rPr>
  </w:style>
  <w:style w:type="paragraph" w:customStyle="1" w:styleId="Sangra2detindependiente3">
    <w:name w:val="Sangría 2 de t. independiente3"/>
    <w:basedOn w:val="Normal"/>
    <w:rsid w:val="005063B9"/>
    <w:pPr>
      <w:spacing w:after="720"/>
      <w:ind w:firstLine="544"/>
      <w:jc w:val="both"/>
    </w:pPr>
    <w:rPr>
      <w:rFonts w:ascii="Arial" w:hAnsi="Arial"/>
      <w:sz w:val="22"/>
      <w:szCs w:val="20"/>
      <w:lang w:val="es-ES_tradnl" w:eastAsia="es-ES"/>
    </w:rPr>
  </w:style>
  <w:style w:type="paragraph" w:customStyle="1" w:styleId="Textoindependiente25">
    <w:name w:val="Texto independiente 25"/>
    <w:basedOn w:val="Normal"/>
    <w:rsid w:val="00CF29DB"/>
    <w:pPr>
      <w:spacing w:after="960"/>
      <w:ind w:firstLine="567"/>
      <w:jc w:val="both"/>
    </w:pPr>
    <w:rPr>
      <w:rFonts w:ascii="Arial" w:hAnsi="Arial"/>
      <w:sz w:val="22"/>
      <w:szCs w:val="20"/>
      <w:lang w:val="es-ES_tradnl" w:eastAsia="es-ES"/>
    </w:rPr>
  </w:style>
  <w:style w:type="paragraph" w:customStyle="1" w:styleId="Sangra2detindependiente4">
    <w:name w:val="Sangría 2 de t. independiente4"/>
    <w:basedOn w:val="Normal"/>
    <w:rsid w:val="00CF29DB"/>
    <w:pPr>
      <w:spacing w:after="720"/>
      <w:ind w:firstLine="544"/>
      <w:jc w:val="both"/>
    </w:pPr>
    <w:rPr>
      <w:rFonts w:ascii="Arial" w:hAnsi="Arial"/>
      <w:sz w:val="22"/>
      <w:szCs w:val="20"/>
      <w:lang w:val="es-ES_tradnl" w:eastAsia="es-ES"/>
    </w:rPr>
  </w:style>
  <w:style w:type="paragraph" w:customStyle="1" w:styleId="Textoindependiente26">
    <w:name w:val="Texto independiente 26"/>
    <w:basedOn w:val="Normal"/>
    <w:rsid w:val="00737443"/>
    <w:pPr>
      <w:spacing w:after="960"/>
      <w:ind w:firstLine="567"/>
      <w:jc w:val="both"/>
    </w:pPr>
    <w:rPr>
      <w:rFonts w:ascii="Arial" w:hAnsi="Arial"/>
      <w:sz w:val="22"/>
      <w:szCs w:val="20"/>
      <w:lang w:val="es-ES_tradnl" w:eastAsia="es-ES"/>
    </w:rPr>
  </w:style>
  <w:style w:type="character" w:customStyle="1" w:styleId="PiedepginaCar">
    <w:name w:val="Pie de página Car"/>
    <w:basedOn w:val="Fuentedeprrafopredeter"/>
    <w:link w:val="Piedepgina"/>
    <w:uiPriority w:val="99"/>
    <w:rsid w:val="00583D5C"/>
    <w:rPr>
      <w:sz w:val="24"/>
      <w:szCs w:val="24"/>
      <w:lang w:val="es-ES" w:eastAsia="es-ES"/>
    </w:rPr>
  </w:style>
  <w:style w:type="paragraph" w:customStyle="1" w:styleId="Textoindependiente27">
    <w:name w:val="Texto independiente 27"/>
    <w:basedOn w:val="Normal"/>
    <w:rsid w:val="00666A74"/>
    <w:pPr>
      <w:spacing w:after="960"/>
      <w:ind w:firstLine="567"/>
      <w:jc w:val="both"/>
    </w:pPr>
    <w:rPr>
      <w:rFonts w:ascii="Arial" w:hAnsi="Arial"/>
      <w:sz w:val="22"/>
      <w:szCs w:val="20"/>
      <w:lang w:val="es-ES_tradnl" w:eastAsia="es-ES"/>
    </w:rPr>
  </w:style>
  <w:style w:type="paragraph" w:customStyle="1" w:styleId="Sangra2detindependiente5">
    <w:name w:val="Sangría 2 de t. independiente5"/>
    <w:basedOn w:val="Normal"/>
    <w:rsid w:val="00712BFE"/>
    <w:pPr>
      <w:spacing w:after="720"/>
      <w:ind w:firstLine="544"/>
      <w:jc w:val="both"/>
    </w:pPr>
    <w:rPr>
      <w:rFonts w:ascii="Arial" w:hAnsi="Arial"/>
      <w:sz w:val="22"/>
      <w:szCs w:val="20"/>
      <w:lang w:val="es-ES_tradnl" w:eastAsia="es-ES"/>
    </w:rPr>
  </w:style>
  <w:style w:type="paragraph" w:customStyle="1" w:styleId="Textoindependiente28">
    <w:name w:val="Texto independiente 28"/>
    <w:basedOn w:val="Normal"/>
    <w:rsid w:val="00C81EDA"/>
    <w:pPr>
      <w:spacing w:after="960"/>
      <w:ind w:firstLine="567"/>
      <w:jc w:val="both"/>
    </w:pPr>
    <w:rPr>
      <w:rFonts w:ascii="Arial" w:hAnsi="Arial"/>
      <w:sz w:val="22"/>
      <w:szCs w:val="20"/>
      <w:lang w:val="es-ES_tradnl" w:eastAsia="es-ES"/>
    </w:rPr>
  </w:style>
  <w:style w:type="paragraph" w:customStyle="1" w:styleId="Textoindependiente29">
    <w:name w:val="Texto independiente 29"/>
    <w:basedOn w:val="Normal"/>
    <w:rsid w:val="00DF6AE4"/>
    <w:pPr>
      <w:spacing w:after="960"/>
      <w:ind w:firstLine="567"/>
      <w:jc w:val="both"/>
    </w:pPr>
    <w:rPr>
      <w:rFonts w:ascii="Arial" w:hAnsi="Arial"/>
      <w:sz w:val="22"/>
      <w:szCs w:val="20"/>
      <w:lang w:val="es-ES_tradnl" w:eastAsia="es-ES"/>
    </w:rPr>
  </w:style>
  <w:style w:type="paragraph" w:customStyle="1" w:styleId="Sangra2detindependiente6">
    <w:name w:val="Sangría 2 de t. independiente6"/>
    <w:basedOn w:val="Normal"/>
    <w:rsid w:val="00C9537F"/>
    <w:pPr>
      <w:spacing w:after="720"/>
      <w:ind w:firstLine="544"/>
      <w:jc w:val="both"/>
    </w:pPr>
    <w:rPr>
      <w:rFonts w:ascii="Arial" w:hAnsi="Arial"/>
      <w:sz w:val="22"/>
      <w:szCs w:val="20"/>
      <w:lang w:val="es-ES_tradnl" w:eastAsia="es-ES"/>
    </w:rPr>
  </w:style>
  <w:style w:type="paragraph" w:customStyle="1" w:styleId="Textoindependiente210">
    <w:name w:val="Texto independiente 210"/>
    <w:basedOn w:val="Normal"/>
    <w:rsid w:val="00173404"/>
    <w:pPr>
      <w:spacing w:after="960"/>
      <w:ind w:firstLine="567"/>
      <w:jc w:val="both"/>
    </w:pPr>
    <w:rPr>
      <w:rFonts w:ascii="Arial" w:hAnsi="Arial"/>
      <w:sz w:val="22"/>
      <w:szCs w:val="20"/>
      <w:lang w:val="es-ES_tradnl" w:eastAsia="es-ES"/>
    </w:rPr>
  </w:style>
  <w:style w:type="paragraph" w:customStyle="1" w:styleId="Textoindependiente211">
    <w:name w:val="Texto independiente 211"/>
    <w:basedOn w:val="Normal"/>
    <w:rsid w:val="00891C76"/>
    <w:pPr>
      <w:spacing w:after="960"/>
      <w:ind w:firstLine="567"/>
      <w:jc w:val="both"/>
    </w:pPr>
    <w:rPr>
      <w:rFonts w:ascii="Arial" w:hAnsi="Arial"/>
      <w:sz w:val="22"/>
      <w:szCs w:val="20"/>
      <w:lang w:val="es-ES_tradnl" w:eastAsia="es-ES"/>
    </w:rPr>
  </w:style>
  <w:style w:type="paragraph" w:customStyle="1" w:styleId="Textoindependiente212">
    <w:name w:val="Texto independiente 212"/>
    <w:basedOn w:val="Normal"/>
    <w:rsid w:val="005F2680"/>
    <w:pPr>
      <w:spacing w:after="960"/>
      <w:ind w:firstLine="567"/>
      <w:jc w:val="both"/>
    </w:pPr>
    <w:rPr>
      <w:rFonts w:ascii="Arial" w:hAnsi="Arial"/>
      <w:sz w:val="22"/>
      <w:szCs w:val="20"/>
      <w:lang w:val="es-ES_tradnl" w:eastAsia="es-ES"/>
    </w:rPr>
  </w:style>
  <w:style w:type="paragraph" w:customStyle="1" w:styleId="Textoindependiente213">
    <w:name w:val="Texto independiente 213"/>
    <w:basedOn w:val="Normal"/>
    <w:rsid w:val="005904BB"/>
    <w:pPr>
      <w:spacing w:after="960"/>
      <w:ind w:firstLine="567"/>
      <w:jc w:val="both"/>
    </w:pPr>
    <w:rPr>
      <w:rFonts w:ascii="Arial" w:hAnsi="Arial"/>
      <w:sz w:val="22"/>
      <w:szCs w:val="20"/>
      <w:lang w:val="es-ES_tradnl" w:eastAsia="es-ES"/>
    </w:rPr>
  </w:style>
  <w:style w:type="paragraph" w:customStyle="1" w:styleId="Sangra2detindependiente7">
    <w:name w:val="Sangría 2 de t. independiente7"/>
    <w:basedOn w:val="Normal"/>
    <w:rsid w:val="0075169F"/>
    <w:pPr>
      <w:spacing w:after="720"/>
      <w:ind w:firstLine="544"/>
      <w:jc w:val="both"/>
    </w:pPr>
    <w:rPr>
      <w:rFonts w:ascii="Arial" w:hAnsi="Arial"/>
      <w:sz w:val="22"/>
      <w:szCs w:val="20"/>
      <w:lang w:val="es-ES_tradnl" w:eastAsia="es-ES"/>
    </w:rPr>
  </w:style>
  <w:style w:type="paragraph" w:customStyle="1" w:styleId="Textoindependiente214">
    <w:name w:val="Texto independiente 214"/>
    <w:basedOn w:val="Normal"/>
    <w:rsid w:val="00BB1AE1"/>
    <w:pPr>
      <w:spacing w:after="960"/>
      <w:ind w:firstLine="567"/>
      <w:jc w:val="both"/>
    </w:pPr>
    <w:rPr>
      <w:rFonts w:ascii="Arial" w:hAnsi="Arial"/>
      <w:sz w:val="22"/>
      <w:szCs w:val="20"/>
      <w:lang w:val="es-ES_tradnl" w:eastAsia="es-ES"/>
    </w:rPr>
  </w:style>
  <w:style w:type="paragraph" w:customStyle="1" w:styleId="Textoindependiente215">
    <w:name w:val="Texto independiente 215"/>
    <w:basedOn w:val="Normal"/>
    <w:rsid w:val="00743646"/>
    <w:pPr>
      <w:spacing w:after="960"/>
      <w:ind w:firstLine="567"/>
      <w:jc w:val="both"/>
    </w:pPr>
    <w:rPr>
      <w:rFonts w:ascii="Arial" w:hAnsi="Arial"/>
      <w:sz w:val="22"/>
      <w:szCs w:val="20"/>
      <w:lang w:val="es-ES_tradnl" w:eastAsia="es-ES"/>
    </w:rPr>
  </w:style>
  <w:style w:type="paragraph" w:customStyle="1" w:styleId="Textoindependiente217">
    <w:name w:val="Texto independiente 217"/>
    <w:basedOn w:val="Normal"/>
    <w:rsid w:val="002305FE"/>
    <w:pPr>
      <w:spacing w:after="960"/>
      <w:ind w:firstLine="567"/>
      <w:jc w:val="both"/>
    </w:pPr>
    <w:rPr>
      <w:rFonts w:ascii="Arial" w:hAnsi="Arial"/>
      <w:sz w:val="22"/>
      <w:szCs w:val="20"/>
      <w:lang w:val="es-ES_tradnl" w:eastAsia="es-ES"/>
    </w:rPr>
  </w:style>
  <w:style w:type="paragraph" w:styleId="Textoindependiente">
    <w:name w:val="Body Text"/>
    <w:basedOn w:val="Normal"/>
    <w:link w:val="TextoindependienteCar"/>
    <w:rsid w:val="00581D9B"/>
    <w:pPr>
      <w:spacing w:after="120"/>
    </w:pPr>
    <w:rPr>
      <w:lang w:val="es-ES" w:eastAsia="es-ES"/>
    </w:rPr>
  </w:style>
  <w:style w:type="character" w:customStyle="1" w:styleId="TextoindependienteCar">
    <w:name w:val="Texto independiente Car"/>
    <w:basedOn w:val="Fuentedeprrafopredeter"/>
    <w:link w:val="Textoindependiente"/>
    <w:rsid w:val="00581D9B"/>
    <w:rPr>
      <w:sz w:val="24"/>
      <w:szCs w:val="24"/>
      <w:lang w:val="es-ES" w:eastAsia="es-ES"/>
    </w:rPr>
  </w:style>
  <w:style w:type="paragraph" w:customStyle="1" w:styleId="Lista">
    <w:name w:val="Lista ()"/>
    <w:basedOn w:val="Normal"/>
    <w:qFormat/>
    <w:rsid w:val="00287ED1"/>
    <w:pPr>
      <w:numPr>
        <w:numId w:val="2"/>
      </w:numPr>
      <w:spacing w:after="120"/>
      <w:jc w:val="both"/>
    </w:pPr>
    <w:rPr>
      <w:rFonts w:ascii="Calibri" w:hAnsi="Calibri"/>
      <w:lang w:val="nl-BE"/>
    </w:rPr>
  </w:style>
  <w:style w:type="paragraph" w:customStyle="1" w:styleId="Default">
    <w:name w:val="Default"/>
    <w:rsid w:val="00287ED1"/>
    <w:pPr>
      <w:autoSpaceDE w:val="0"/>
      <w:autoSpaceDN w:val="0"/>
      <w:adjustRightInd w:val="0"/>
    </w:pPr>
    <w:rPr>
      <w:rFonts w:ascii="Arial" w:hAnsi="Arial" w:cs="Arial"/>
      <w:color w:val="000000"/>
      <w:sz w:val="24"/>
      <w:szCs w:val="24"/>
    </w:rPr>
  </w:style>
  <w:style w:type="paragraph" w:customStyle="1" w:styleId="Cuadro">
    <w:name w:val="Cuadro"/>
    <w:basedOn w:val="Normal"/>
    <w:next w:val="Normal"/>
    <w:qFormat/>
    <w:rsid w:val="00814EC0"/>
    <w:pPr>
      <w:spacing w:after="120"/>
      <w:ind w:left="1418"/>
      <w:jc w:val="both"/>
    </w:pPr>
    <w:rPr>
      <w:rFonts w:ascii="Calibri" w:hAnsi="Calibri"/>
    </w:rPr>
  </w:style>
  <w:style w:type="paragraph" w:customStyle="1" w:styleId="TtuloCuadro">
    <w:name w:val="Título Cuadro"/>
    <w:basedOn w:val="Normal"/>
    <w:next w:val="Normal"/>
    <w:qFormat/>
    <w:rsid w:val="001F4B54"/>
    <w:pPr>
      <w:numPr>
        <w:numId w:val="3"/>
      </w:numPr>
      <w:spacing w:after="120"/>
      <w:jc w:val="both"/>
    </w:pPr>
    <w:rPr>
      <w:rFonts w:ascii="Calibri" w:hAnsi="Calibri"/>
      <w:b/>
      <w:color w:val="000080"/>
      <w:sz w:val="20"/>
      <w:szCs w:val="20"/>
    </w:rPr>
  </w:style>
  <w:style w:type="paragraph" w:styleId="NormalWeb">
    <w:name w:val="Normal (Web)"/>
    <w:basedOn w:val="Normal"/>
    <w:uiPriority w:val="99"/>
    <w:unhideWhenUsed/>
    <w:rsid w:val="00ED59F3"/>
    <w:pPr>
      <w:spacing w:before="100" w:beforeAutospacing="1" w:after="100" w:afterAutospacing="1"/>
    </w:pPr>
    <w:rPr>
      <w:rFonts w:eastAsiaTheme="minorEastAsia"/>
    </w:rPr>
  </w:style>
  <w:style w:type="paragraph" w:customStyle="1" w:styleId="Grfica">
    <w:name w:val="Gráfica"/>
    <w:basedOn w:val="Normal"/>
    <w:next w:val="Normal"/>
    <w:qFormat/>
    <w:rsid w:val="00264E48"/>
    <w:pPr>
      <w:spacing w:after="120"/>
      <w:jc w:val="both"/>
    </w:pPr>
    <w:rPr>
      <w:rFonts w:ascii="Calibri" w:hAnsi="Calibri"/>
    </w:rPr>
  </w:style>
  <w:style w:type="paragraph" w:customStyle="1" w:styleId="n0">
    <w:name w:val="n0"/>
    <w:basedOn w:val="Normal"/>
    <w:rsid w:val="00615830"/>
    <w:pPr>
      <w:keepLines/>
      <w:spacing w:before="240"/>
      <w:ind w:left="709" w:right="-351" w:hanging="709"/>
      <w:jc w:val="both"/>
    </w:pPr>
    <w:rPr>
      <w:rFonts w:ascii="Arial" w:hAnsi="Arial" w:cs="Arial"/>
      <w:color w:val="800080"/>
      <w:lang w:val="es-ES_tradnl" w:eastAsia="es-ES"/>
    </w:rPr>
  </w:style>
  <w:style w:type="paragraph" w:customStyle="1" w:styleId="n01">
    <w:name w:val="n01"/>
    <w:basedOn w:val="Normal"/>
    <w:rsid w:val="00615830"/>
    <w:pPr>
      <w:keepLines/>
      <w:spacing w:before="240"/>
      <w:ind w:left="720" w:hanging="720"/>
      <w:jc w:val="both"/>
    </w:pPr>
    <w:rPr>
      <w:rFonts w:ascii="Univers (W1)" w:hAnsi="Univers (W1)" w:cs="Arial"/>
      <w:color w:val="800080"/>
      <w:lang w:val="es-ES_tradnl" w:eastAsia="es-ES"/>
    </w:rPr>
  </w:style>
  <w:style w:type="paragraph" w:styleId="Revisin">
    <w:name w:val="Revision"/>
    <w:hidden/>
    <w:uiPriority w:val="99"/>
    <w:semiHidden/>
    <w:rsid w:val="00EB141E"/>
    <w:rPr>
      <w:sz w:val="24"/>
      <w:szCs w:val="24"/>
    </w:rPr>
  </w:style>
  <w:style w:type="character" w:styleId="Refdecomentario">
    <w:name w:val="annotation reference"/>
    <w:basedOn w:val="Fuentedeprrafopredeter"/>
    <w:semiHidden/>
    <w:unhideWhenUsed/>
    <w:rsid w:val="0050620C"/>
    <w:rPr>
      <w:sz w:val="16"/>
      <w:szCs w:val="16"/>
    </w:rPr>
  </w:style>
  <w:style w:type="paragraph" w:styleId="Textocomentario">
    <w:name w:val="annotation text"/>
    <w:basedOn w:val="Normal"/>
    <w:link w:val="TextocomentarioCar"/>
    <w:unhideWhenUsed/>
    <w:rsid w:val="0050620C"/>
    <w:rPr>
      <w:sz w:val="20"/>
      <w:szCs w:val="20"/>
    </w:rPr>
  </w:style>
  <w:style w:type="character" w:customStyle="1" w:styleId="TextocomentarioCar">
    <w:name w:val="Texto comentario Car"/>
    <w:basedOn w:val="Fuentedeprrafopredeter"/>
    <w:link w:val="Textocomentario"/>
    <w:rsid w:val="0050620C"/>
  </w:style>
  <w:style w:type="paragraph" w:styleId="Asuntodelcomentario">
    <w:name w:val="annotation subject"/>
    <w:basedOn w:val="Textocomentario"/>
    <w:next w:val="Textocomentario"/>
    <w:link w:val="AsuntodelcomentarioCar"/>
    <w:semiHidden/>
    <w:unhideWhenUsed/>
    <w:rsid w:val="0050620C"/>
    <w:rPr>
      <w:b/>
      <w:bCs/>
    </w:rPr>
  </w:style>
  <w:style w:type="character" w:customStyle="1" w:styleId="AsuntodelcomentarioCar">
    <w:name w:val="Asunto del comentario Car"/>
    <w:basedOn w:val="TextocomentarioCar"/>
    <w:link w:val="Asuntodelcomentario"/>
    <w:semiHidden/>
    <w:rsid w:val="0050620C"/>
    <w:rPr>
      <w:b/>
      <w:bCs/>
    </w:rPr>
  </w:style>
  <w:style w:type="paragraph" w:customStyle="1" w:styleId="Profesin">
    <w:name w:val="Profesión"/>
    <w:basedOn w:val="Normal"/>
    <w:rsid w:val="00890076"/>
    <w:pPr>
      <w:jc w:val="center"/>
    </w:pPr>
    <w:rPr>
      <w:rFonts w:ascii="Arial" w:hAnsi="Arial" w:cs="Arial"/>
      <w:b/>
      <w:bCs/>
      <w:caps/>
      <w:sz w:val="28"/>
      <w:szCs w:val="28"/>
      <w:lang w:val="es-ES_tradnl" w:eastAsia="es-ES"/>
    </w:rPr>
  </w:style>
  <w:style w:type="character" w:styleId="Hipervnculo">
    <w:name w:val="Hyperlink"/>
    <w:basedOn w:val="Fuentedeprrafopredeter"/>
    <w:rsid w:val="00890076"/>
    <w:rPr>
      <w:color w:val="0000FF"/>
      <w:u w:val="single"/>
    </w:rPr>
  </w:style>
  <w:style w:type="character" w:customStyle="1" w:styleId="TextonotapieCar">
    <w:name w:val="Texto nota pie Car"/>
    <w:basedOn w:val="Fuentedeprrafopredeter"/>
    <w:link w:val="Textonotapie"/>
    <w:rsid w:val="00890076"/>
    <w:rPr>
      <w:lang w:val="es-ES" w:eastAsia="es-ES"/>
    </w:rPr>
  </w:style>
  <w:style w:type="paragraph" w:styleId="Ttulo">
    <w:name w:val="Title"/>
    <w:basedOn w:val="Normal"/>
    <w:link w:val="TtuloCar"/>
    <w:uiPriority w:val="10"/>
    <w:qFormat/>
    <w:rsid w:val="00890076"/>
    <w:pPr>
      <w:jc w:val="center"/>
    </w:pPr>
    <w:rPr>
      <w:rFonts w:ascii="Arial" w:hAnsi="Arial"/>
      <w:b/>
      <w:szCs w:val="20"/>
      <w:lang w:val="es-ES" w:eastAsia="es-ES"/>
    </w:rPr>
  </w:style>
  <w:style w:type="character" w:customStyle="1" w:styleId="TtuloCar">
    <w:name w:val="Título Car"/>
    <w:basedOn w:val="Fuentedeprrafopredeter"/>
    <w:link w:val="Ttulo"/>
    <w:uiPriority w:val="10"/>
    <w:rsid w:val="00890076"/>
    <w:rPr>
      <w:rFonts w:ascii="Arial" w:hAnsi="Arial"/>
      <w:b/>
      <w:sz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49483">
      <w:bodyDiv w:val="1"/>
      <w:marLeft w:val="0"/>
      <w:marRight w:val="0"/>
      <w:marTop w:val="0"/>
      <w:marBottom w:val="0"/>
      <w:divBdr>
        <w:top w:val="none" w:sz="0" w:space="0" w:color="auto"/>
        <w:left w:val="none" w:sz="0" w:space="0" w:color="auto"/>
        <w:bottom w:val="none" w:sz="0" w:space="0" w:color="auto"/>
        <w:right w:val="none" w:sz="0" w:space="0" w:color="auto"/>
      </w:divBdr>
    </w:div>
    <w:div w:id="60176268">
      <w:bodyDiv w:val="1"/>
      <w:marLeft w:val="0"/>
      <w:marRight w:val="0"/>
      <w:marTop w:val="0"/>
      <w:marBottom w:val="0"/>
      <w:divBdr>
        <w:top w:val="none" w:sz="0" w:space="0" w:color="auto"/>
        <w:left w:val="none" w:sz="0" w:space="0" w:color="auto"/>
        <w:bottom w:val="none" w:sz="0" w:space="0" w:color="auto"/>
        <w:right w:val="none" w:sz="0" w:space="0" w:color="auto"/>
      </w:divBdr>
    </w:div>
    <w:div w:id="149912450">
      <w:bodyDiv w:val="1"/>
      <w:marLeft w:val="0"/>
      <w:marRight w:val="0"/>
      <w:marTop w:val="0"/>
      <w:marBottom w:val="0"/>
      <w:divBdr>
        <w:top w:val="none" w:sz="0" w:space="0" w:color="auto"/>
        <w:left w:val="none" w:sz="0" w:space="0" w:color="auto"/>
        <w:bottom w:val="none" w:sz="0" w:space="0" w:color="auto"/>
        <w:right w:val="none" w:sz="0" w:space="0" w:color="auto"/>
      </w:divBdr>
    </w:div>
    <w:div w:id="234703165">
      <w:bodyDiv w:val="1"/>
      <w:marLeft w:val="0"/>
      <w:marRight w:val="0"/>
      <w:marTop w:val="0"/>
      <w:marBottom w:val="0"/>
      <w:divBdr>
        <w:top w:val="none" w:sz="0" w:space="0" w:color="auto"/>
        <w:left w:val="none" w:sz="0" w:space="0" w:color="auto"/>
        <w:bottom w:val="none" w:sz="0" w:space="0" w:color="auto"/>
        <w:right w:val="none" w:sz="0" w:space="0" w:color="auto"/>
      </w:divBdr>
    </w:div>
    <w:div w:id="284427268">
      <w:bodyDiv w:val="1"/>
      <w:marLeft w:val="0"/>
      <w:marRight w:val="0"/>
      <w:marTop w:val="0"/>
      <w:marBottom w:val="0"/>
      <w:divBdr>
        <w:top w:val="none" w:sz="0" w:space="0" w:color="auto"/>
        <w:left w:val="none" w:sz="0" w:space="0" w:color="auto"/>
        <w:bottom w:val="none" w:sz="0" w:space="0" w:color="auto"/>
        <w:right w:val="none" w:sz="0" w:space="0" w:color="auto"/>
      </w:divBdr>
    </w:div>
    <w:div w:id="301735111">
      <w:bodyDiv w:val="1"/>
      <w:marLeft w:val="0"/>
      <w:marRight w:val="0"/>
      <w:marTop w:val="0"/>
      <w:marBottom w:val="0"/>
      <w:divBdr>
        <w:top w:val="none" w:sz="0" w:space="0" w:color="auto"/>
        <w:left w:val="none" w:sz="0" w:space="0" w:color="auto"/>
        <w:bottom w:val="none" w:sz="0" w:space="0" w:color="auto"/>
        <w:right w:val="none" w:sz="0" w:space="0" w:color="auto"/>
      </w:divBdr>
    </w:div>
    <w:div w:id="317273673">
      <w:bodyDiv w:val="1"/>
      <w:marLeft w:val="0"/>
      <w:marRight w:val="0"/>
      <w:marTop w:val="0"/>
      <w:marBottom w:val="0"/>
      <w:divBdr>
        <w:top w:val="none" w:sz="0" w:space="0" w:color="auto"/>
        <w:left w:val="none" w:sz="0" w:space="0" w:color="auto"/>
        <w:bottom w:val="none" w:sz="0" w:space="0" w:color="auto"/>
        <w:right w:val="none" w:sz="0" w:space="0" w:color="auto"/>
      </w:divBdr>
    </w:div>
    <w:div w:id="420562176">
      <w:bodyDiv w:val="1"/>
      <w:marLeft w:val="0"/>
      <w:marRight w:val="0"/>
      <w:marTop w:val="0"/>
      <w:marBottom w:val="0"/>
      <w:divBdr>
        <w:top w:val="none" w:sz="0" w:space="0" w:color="auto"/>
        <w:left w:val="none" w:sz="0" w:space="0" w:color="auto"/>
        <w:bottom w:val="none" w:sz="0" w:space="0" w:color="auto"/>
        <w:right w:val="none" w:sz="0" w:space="0" w:color="auto"/>
      </w:divBdr>
    </w:div>
    <w:div w:id="420874565">
      <w:bodyDiv w:val="1"/>
      <w:marLeft w:val="0"/>
      <w:marRight w:val="0"/>
      <w:marTop w:val="0"/>
      <w:marBottom w:val="0"/>
      <w:divBdr>
        <w:top w:val="none" w:sz="0" w:space="0" w:color="auto"/>
        <w:left w:val="none" w:sz="0" w:space="0" w:color="auto"/>
        <w:bottom w:val="none" w:sz="0" w:space="0" w:color="auto"/>
        <w:right w:val="none" w:sz="0" w:space="0" w:color="auto"/>
      </w:divBdr>
    </w:div>
    <w:div w:id="549420463">
      <w:bodyDiv w:val="1"/>
      <w:marLeft w:val="0"/>
      <w:marRight w:val="0"/>
      <w:marTop w:val="0"/>
      <w:marBottom w:val="0"/>
      <w:divBdr>
        <w:top w:val="none" w:sz="0" w:space="0" w:color="auto"/>
        <w:left w:val="none" w:sz="0" w:space="0" w:color="auto"/>
        <w:bottom w:val="none" w:sz="0" w:space="0" w:color="auto"/>
        <w:right w:val="none" w:sz="0" w:space="0" w:color="auto"/>
      </w:divBdr>
    </w:div>
    <w:div w:id="600647739">
      <w:bodyDiv w:val="1"/>
      <w:marLeft w:val="0"/>
      <w:marRight w:val="0"/>
      <w:marTop w:val="0"/>
      <w:marBottom w:val="0"/>
      <w:divBdr>
        <w:top w:val="none" w:sz="0" w:space="0" w:color="auto"/>
        <w:left w:val="none" w:sz="0" w:space="0" w:color="auto"/>
        <w:bottom w:val="none" w:sz="0" w:space="0" w:color="auto"/>
        <w:right w:val="none" w:sz="0" w:space="0" w:color="auto"/>
      </w:divBdr>
    </w:div>
    <w:div w:id="646323012">
      <w:bodyDiv w:val="1"/>
      <w:marLeft w:val="0"/>
      <w:marRight w:val="0"/>
      <w:marTop w:val="0"/>
      <w:marBottom w:val="0"/>
      <w:divBdr>
        <w:top w:val="none" w:sz="0" w:space="0" w:color="auto"/>
        <w:left w:val="none" w:sz="0" w:space="0" w:color="auto"/>
        <w:bottom w:val="none" w:sz="0" w:space="0" w:color="auto"/>
        <w:right w:val="none" w:sz="0" w:space="0" w:color="auto"/>
      </w:divBdr>
    </w:div>
    <w:div w:id="697393147">
      <w:bodyDiv w:val="1"/>
      <w:marLeft w:val="0"/>
      <w:marRight w:val="0"/>
      <w:marTop w:val="0"/>
      <w:marBottom w:val="0"/>
      <w:divBdr>
        <w:top w:val="none" w:sz="0" w:space="0" w:color="auto"/>
        <w:left w:val="none" w:sz="0" w:space="0" w:color="auto"/>
        <w:bottom w:val="none" w:sz="0" w:space="0" w:color="auto"/>
        <w:right w:val="none" w:sz="0" w:space="0" w:color="auto"/>
      </w:divBdr>
    </w:div>
    <w:div w:id="747967316">
      <w:bodyDiv w:val="1"/>
      <w:marLeft w:val="0"/>
      <w:marRight w:val="0"/>
      <w:marTop w:val="0"/>
      <w:marBottom w:val="0"/>
      <w:divBdr>
        <w:top w:val="none" w:sz="0" w:space="0" w:color="auto"/>
        <w:left w:val="none" w:sz="0" w:space="0" w:color="auto"/>
        <w:bottom w:val="none" w:sz="0" w:space="0" w:color="auto"/>
        <w:right w:val="none" w:sz="0" w:space="0" w:color="auto"/>
      </w:divBdr>
    </w:div>
    <w:div w:id="751121824">
      <w:bodyDiv w:val="1"/>
      <w:marLeft w:val="0"/>
      <w:marRight w:val="0"/>
      <w:marTop w:val="0"/>
      <w:marBottom w:val="0"/>
      <w:divBdr>
        <w:top w:val="none" w:sz="0" w:space="0" w:color="auto"/>
        <w:left w:val="none" w:sz="0" w:space="0" w:color="auto"/>
        <w:bottom w:val="none" w:sz="0" w:space="0" w:color="auto"/>
        <w:right w:val="none" w:sz="0" w:space="0" w:color="auto"/>
      </w:divBdr>
    </w:div>
    <w:div w:id="805777430">
      <w:bodyDiv w:val="1"/>
      <w:marLeft w:val="0"/>
      <w:marRight w:val="0"/>
      <w:marTop w:val="0"/>
      <w:marBottom w:val="0"/>
      <w:divBdr>
        <w:top w:val="none" w:sz="0" w:space="0" w:color="auto"/>
        <w:left w:val="none" w:sz="0" w:space="0" w:color="auto"/>
        <w:bottom w:val="none" w:sz="0" w:space="0" w:color="auto"/>
        <w:right w:val="none" w:sz="0" w:space="0" w:color="auto"/>
      </w:divBdr>
    </w:div>
    <w:div w:id="818152476">
      <w:bodyDiv w:val="1"/>
      <w:marLeft w:val="0"/>
      <w:marRight w:val="0"/>
      <w:marTop w:val="0"/>
      <w:marBottom w:val="0"/>
      <w:divBdr>
        <w:top w:val="none" w:sz="0" w:space="0" w:color="auto"/>
        <w:left w:val="none" w:sz="0" w:space="0" w:color="auto"/>
        <w:bottom w:val="none" w:sz="0" w:space="0" w:color="auto"/>
        <w:right w:val="none" w:sz="0" w:space="0" w:color="auto"/>
      </w:divBdr>
    </w:div>
    <w:div w:id="826559667">
      <w:bodyDiv w:val="1"/>
      <w:marLeft w:val="0"/>
      <w:marRight w:val="0"/>
      <w:marTop w:val="0"/>
      <w:marBottom w:val="0"/>
      <w:divBdr>
        <w:top w:val="none" w:sz="0" w:space="0" w:color="auto"/>
        <w:left w:val="none" w:sz="0" w:space="0" w:color="auto"/>
        <w:bottom w:val="none" w:sz="0" w:space="0" w:color="auto"/>
        <w:right w:val="none" w:sz="0" w:space="0" w:color="auto"/>
      </w:divBdr>
    </w:div>
    <w:div w:id="827016150">
      <w:bodyDiv w:val="1"/>
      <w:marLeft w:val="0"/>
      <w:marRight w:val="0"/>
      <w:marTop w:val="0"/>
      <w:marBottom w:val="0"/>
      <w:divBdr>
        <w:top w:val="none" w:sz="0" w:space="0" w:color="auto"/>
        <w:left w:val="none" w:sz="0" w:space="0" w:color="auto"/>
        <w:bottom w:val="none" w:sz="0" w:space="0" w:color="auto"/>
        <w:right w:val="none" w:sz="0" w:space="0" w:color="auto"/>
      </w:divBdr>
    </w:div>
    <w:div w:id="906380952">
      <w:bodyDiv w:val="1"/>
      <w:marLeft w:val="0"/>
      <w:marRight w:val="0"/>
      <w:marTop w:val="0"/>
      <w:marBottom w:val="0"/>
      <w:divBdr>
        <w:top w:val="none" w:sz="0" w:space="0" w:color="auto"/>
        <w:left w:val="none" w:sz="0" w:space="0" w:color="auto"/>
        <w:bottom w:val="none" w:sz="0" w:space="0" w:color="auto"/>
        <w:right w:val="none" w:sz="0" w:space="0" w:color="auto"/>
      </w:divBdr>
    </w:div>
    <w:div w:id="929003941">
      <w:bodyDiv w:val="1"/>
      <w:marLeft w:val="0"/>
      <w:marRight w:val="0"/>
      <w:marTop w:val="0"/>
      <w:marBottom w:val="0"/>
      <w:divBdr>
        <w:top w:val="none" w:sz="0" w:space="0" w:color="auto"/>
        <w:left w:val="none" w:sz="0" w:space="0" w:color="auto"/>
        <w:bottom w:val="none" w:sz="0" w:space="0" w:color="auto"/>
        <w:right w:val="none" w:sz="0" w:space="0" w:color="auto"/>
      </w:divBdr>
    </w:div>
    <w:div w:id="1012149074">
      <w:bodyDiv w:val="1"/>
      <w:marLeft w:val="0"/>
      <w:marRight w:val="0"/>
      <w:marTop w:val="0"/>
      <w:marBottom w:val="0"/>
      <w:divBdr>
        <w:top w:val="none" w:sz="0" w:space="0" w:color="auto"/>
        <w:left w:val="none" w:sz="0" w:space="0" w:color="auto"/>
        <w:bottom w:val="none" w:sz="0" w:space="0" w:color="auto"/>
        <w:right w:val="none" w:sz="0" w:space="0" w:color="auto"/>
      </w:divBdr>
    </w:div>
    <w:div w:id="1208567317">
      <w:bodyDiv w:val="1"/>
      <w:marLeft w:val="0"/>
      <w:marRight w:val="0"/>
      <w:marTop w:val="0"/>
      <w:marBottom w:val="0"/>
      <w:divBdr>
        <w:top w:val="none" w:sz="0" w:space="0" w:color="auto"/>
        <w:left w:val="none" w:sz="0" w:space="0" w:color="auto"/>
        <w:bottom w:val="none" w:sz="0" w:space="0" w:color="auto"/>
        <w:right w:val="none" w:sz="0" w:space="0" w:color="auto"/>
      </w:divBdr>
    </w:div>
    <w:div w:id="1245460124">
      <w:bodyDiv w:val="1"/>
      <w:marLeft w:val="0"/>
      <w:marRight w:val="0"/>
      <w:marTop w:val="0"/>
      <w:marBottom w:val="0"/>
      <w:divBdr>
        <w:top w:val="none" w:sz="0" w:space="0" w:color="auto"/>
        <w:left w:val="none" w:sz="0" w:space="0" w:color="auto"/>
        <w:bottom w:val="none" w:sz="0" w:space="0" w:color="auto"/>
        <w:right w:val="none" w:sz="0" w:space="0" w:color="auto"/>
      </w:divBdr>
    </w:div>
    <w:div w:id="1288313180">
      <w:bodyDiv w:val="1"/>
      <w:marLeft w:val="0"/>
      <w:marRight w:val="0"/>
      <w:marTop w:val="0"/>
      <w:marBottom w:val="0"/>
      <w:divBdr>
        <w:top w:val="none" w:sz="0" w:space="0" w:color="auto"/>
        <w:left w:val="none" w:sz="0" w:space="0" w:color="auto"/>
        <w:bottom w:val="none" w:sz="0" w:space="0" w:color="auto"/>
        <w:right w:val="none" w:sz="0" w:space="0" w:color="auto"/>
      </w:divBdr>
    </w:div>
    <w:div w:id="1464539029">
      <w:bodyDiv w:val="1"/>
      <w:marLeft w:val="0"/>
      <w:marRight w:val="0"/>
      <w:marTop w:val="0"/>
      <w:marBottom w:val="0"/>
      <w:divBdr>
        <w:top w:val="none" w:sz="0" w:space="0" w:color="auto"/>
        <w:left w:val="none" w:sz="0" w:space="0" w:color="auto"/>
        <w:bottom w:val="none" w:sz="0" w:space="0" w:color="auto"/>
        <w:right w:val="none" w:sz="0" w:space="0" w:color="auto"/>
      </w:divBdr>
    </w:div>
    <w:div w:id="1507330240">
      <w:bodyDiv w:val="1"/>
      <w:marLeft w:val="0"/>
      <w:marRight w:val="0"/>
      <w:marTop w:val="0"/>
      <w:marBottom w:val="0"/>
      <w:divBdr>
        <w:top w:val="none" w:sz="0" w:space="0" w:color="auto"/>
        <w:left w:val="none" w:sz="0" w:space="0" w:color="auto"/>
        <w:bottom w:val="none" w:sz="0" w:space="0" w:color="auto"/>
        <w:right w:val="none" w:sz="0" w:space="0" w:color="auto"/>
      </w:divBdr>
    </w:div>
    <w:div w:id="1541089948">
      <w:bodyDiv w:val="1"/>
      <w:marLeft w:val="0"/>
      <w:marRight w:val="0"/>
      <w:marTop w:val="0"/>
      <w:marBottom w:val="0"/>
      <w:divBdr>
        <w:top w:val="none" w:sz="0" w:space="0" w:color="auto"/>
        <w:left w:val="none" w:sz="0" w:space="0" w:color="auto"/>
        <w:bottom w:val="none" w:sz="0" w:space="0" w:color="auto"/>
        <w:right w:val="none" w:sz="0" w:space="0" w:color="auto"/>
      </w:divBdr>
    </w:div>
    <w:div w:id="1549535483">
      <w:bodyDiv w:val="1"/>
      <w:marLeft w:val="0"/>
      <w:marRight w:val="0"/>
      <w:marTop w:val="0"/>
      <w:marBottom w:val="0"/>
      <w:divBdr>
        <w:top w:val="none" w:sz="0" w:space="0" w:color="auto"/>
        <w:left w:val="none" w:sz="0" w:space="0" w:color="auto"/>
        <w:bottom w:val="none" w:sz="0" w:space="0" w:color="auto"/>
        <w:right w:val="none" w:sz="0" w:space="0" w:color="auto"/>
      </w:divBdr>
    </w:div>
    <w:div w:id="1558937267">
      <w:bodyDiv w:val="1"/>
      <w:marLeft w:val="0"/>
      <w:marRight w:val="0"/>
      <w:marTop w:val="0"/>
      <w:marBottom w:val="0"/>
      <w:divBdr>
        <w:top w:val="none" w:sz="0" w:space="0" w:color="auto"/>
        <w:left w:val="none" w:sz="0" w:space="0" w:color="auto"/>
        <w:bottom w:val="none" w:sz="0" w:space="0" w:color="auto"/>
        <w:right w:val="none" w:sz="0" w:space="0" w:color="auto"/>
      </w:divBdr>
    </w:div>
    <w:div w:id="1631322746">
      <w:bodyDiv w:val="1"/>
      <w:marLeft w:val="0"/>
      <w:marRight w:val="0"/>
      <w:marTop w:val="0"/>
      <w:marBottom w:val="0"/>
      <w:divBdr>
        <w:top w:val="none" w:sz="0" w:space="0" w:color="auto"/>
        <w:left w:val="none" w:sz="0" w:space="0" w:color="auto"/>
        <w:bottom w:val="none" w:sz="0" w:space="0" w:color="auto"/>
        <w:right w:val="none" w:sz="0" w:space="0" w:color="auto"/>
      </w:divBdr>
    </w:div>
    <w:div w:id="1738815808">
      <w:bodyDiv w:val="1"/>
      <w:marLeft w:val="0"/>
      <w:marRight w:val="0"/>
      <w:marTop w:val="0"/>
      <w:marBottom w:val="0"/>
      <w:divBdr>
        <w:top w:val="none" w:sz="0" w:space="0" w:color="auto"/>
        <w:left w:val="none" w:sz="0" w:space="0" w:color="auto"/>
        <w:bottom w:val="none" w:sz="0" w:space="0" w:color="auto"/>
        <w:right w:val="none" w:sz="0" w:space="0" w:color="auto"/>
      </w:divBdr>
    </w:div>
    <w:div w:id="1853060376">
      <w:bodyDiv w:val="1"/>
      <w:marLeft w:val="0"/>
      <w:marRight w:val="0"/>
      <w:marTop w:val="0"/>
      <w:marBottom w:val="0"/>
      <w:divBdr>
        <w:top w:val="none" w:sz="0" w:space="0" w:color="auto"/>
        <w:left w:val="none" w:sz="0" w:space="0" w:color="auto"/>
        <w:bottom w:val="none" w:sz="0" w:space="0" w:color="auto"/>
        <w:right w:val="none" w:sz="0" w:space="0" w:color="auto"/>
      </w:divBdr>
      <w:divsChild>
        <w:div w:id="809398165">
          <w:marLeft w:val="0"/>
          <w:marRight w:val="0"/>
          <w:marTop w:val="0"/>
          <w:marBottom w:val="0"/>
          <w:divBdr>
            <w:top w:val="none" w:sz="0" w:space="0" w:color="auto"/>
            <w:left w:val="none" w:sz="0" w:space="0" w:color="auto"/>
            <w:bottom w:val="none" w:sz="0" w:space="31" w:color="auto"/>
            <w:right w:val="none" w:sz="0" w:space="0" w:color="auto"/>
          </w:divBdr>
          <w:divsChild>
            <w:div w:id="53552661">
              <w:marLeft w:val="0"/>
              <w:marRight w:val="0"/>
              <w:marTop w:val="0"/>
              <w:marBottom w:val="0"/>
              <w:divBdr>
                <w:top w:val="none" w:sz="0" w:space="0" w:color="auto"/>
                <w:left w:val="none" w:sz="0" w:space="0" w:color="auto"/>
                <w:bottom w:val="none" w:sz="0" w:space="0" w:color="auto"/>
                <w:right w:val="none" w:sz="0" w:space="0" w:color="auto"/>
              </w:divBdr>
            </w:div>
            <w:div w:id="51314769">
              <w:marLeft w:val="0"/>
              <w:marRight w:val="0"/>
              <w:marTop w:val="240"/>
              <w:marBottom w:val="0"/>
              <w:divBdr>
                <w:top w:val="none" w:sz="0" w:space="0" w:color="auto"/>
                <w:left w:val="none" w:sz="0" w:space="0" w:color="auto"/>
                <w:bottom w:val="none" w:sz="0" w:space="0" w:color="auto"/>
                <w:right w:val="none" w:sz="0" w:space="0" w:color="auto"/>
              </w:divBdr>
              <w:divsChild>
                <w:div w:id="20150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83079">
          <w:marLeft w:val="0"/>
          <w:marRight w:val="0"/>
          <w:marTop w:val="0"/>
          <w:marBottom w:val="0"/>
          <w:divBdr>
            <w:top w:val="none" w:sz="0" w:space="0" w:color="auto"/>
            <w:left w:val="none" w:sz="0" w:space="0" w:color="auto"/>
            <w:bottom w:val="none" w:sz="0" w:space="0" w:color="auto"/>
            <w:right w:val="none" w:sz="0" w:space="0" w:color="auto"/>
          </w:divBdr>
          <w:divsChild>
            <w:div w:id="238179369">
              <w:marLeft w:val="0"/>
              <w:marRight w:val="0"/>
              <w:marTop w:val="0"/>
              <w:marBottom w:val="180"/>
              <w:divBdr>
                <w:top w:val="none" w:sz="0" w:space="0" w:color="auto"/>
                <w:left w:val="none" w:sz="0" w:space="0" w:color="auto"/>
                <w:bottom w:val="none" w:sz="0" w:space="0" w:color="auto"/>
                <w:right w:val="none" w:sz="0" w:space="0" w:color="auto"/>
              </w:divBdr>
              <w:divsChild>
                <w:div w:id="1309507119">
                  <w:marLeft w:val="0"/>
                  <w:marRight w:val="0"/>
                  <w:marTop w:val="0"/>
                  <w:marBottom w:val="0"/>
                  <w:divBdr>
                    <w:top w:val="none" w:sz="0" w:space="0" w:color="auto"/>
                    <w:left w:val="none" w:sz="0" w:space="0" w:color="auto"/>
                    <w:bottom w:val="none" w:sz="0" w:space="0" w:color="auto"/>
                    <w:right w:val="none" w:sz="0" w:space="0" w:color="auto"/>
                  </w:divBdr>
                </w:div>
                <w:div w:id="2030911763">
                  <w:marLeft w:val="0"/>
                  <w:marRight w:val="0"/>
                  <w:marTop w:val="45"/>
                  <w:marBottom w:val="0"/>
                  <w:divBdr>
                    <w:top w:val="none" w:sz="0" w:space="0" w:color="auto"/>
                    <w:left w:val="none" w:sz="0" w:space="0" w:color="auto"/>
                    <w:bottom w:val="none" w:sz="0" w:space="0" w:color="auto"/>
                    <w:right w:val="none" w:sz="0" w:space="0" w:color="auto"/>
                  </w:divBdr>
                  <w:divsChild>
                    <w:div w:id="205542170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90441413">
              <w:marLeft w:val="0"/>
              <w:marRight w:val="0"/>
              <w:marTop w:val="0"/>
              <w:marBottom w:val="300"/>
              <w:divBdr>
                <w:top w:val="none" w:sz="0" w:space="0" w:color="auto"/>
                <w:left w:val="none" w:sz="0" w:space="0" w:color="auto"/>
                <w:bottom w:val="none" w:sz="0" w:space="0" w:color="auto"/>
                <w:right w:val="none" w:sz="0" w:space="0" w:color="auto"/>
              </w:divBdr>
              <w:divsChild>
                <w:div w:id="1463840778">
                  <w:marLeft w:val="0"/>
                  <w:marRight w:val="75"/>
                  <w:marTop w:val="0"/>
                  <w:marBottom w:val="0"/>
                  <w:divBdr>
                    <w:top w:val="single" w:sz="6" w:space="8" w:color="D1D5D5"/>
                    <w:left w:val="single" w:sz="6" w:space="11" w:color="D1D5D5"/>
                    <w:bottom w:val="single" w:sz="6" w:space="8" w:color="D1D5D5"/>
                    <w:right w:val="single" w:sz="6" w:space="11" w:color="D1D5D5"/>
                  </w:divBdr>
                </w:div>
                <w:div w:id="1208640138">
                  <w:marLeft w:val="0"/>
                  <w:marRight w:val="75"/>
                  <w:marTop w:val="0"/>
                  <w:marBottom w:val="0"/>
                  <w:divBdr>
                    <w:top w:val="single" w:sz="6" w:space="8" w:color="D1D5D5"/>
                    <w:left w:val="single" w:sz="6" w:space="14" w:color="D1D5D5"/>
                    <w:bottom w:val="single" w:sz="6" w:space="8" w:color="D1D5D5"/>
                    <w:right w:val="single" w:sz="6" w:space="14" w:color="D1D5D5"/>
                  </w:divBdr>
                </w:div>
                <w:div w:id="1564677124">
                  <w:marLeft w:val="0"/>
                  <w:marRight w:val="0"/>
                  <w:marTop w:val="0"/>
                  <w:marBottom w:val="0"/>
                  <w:divBdr>
                    <w:top w:val="single" w:sz="6" w:space="5" w:color="D1D5D5"/>
                    <w:left w:val="single" w:sz="6" w:space="5" w:color="D1D5D5"/>
                    <w:bottom w:val="single" w:sz="6" w:space="5" w:color="D1D5D5"/>
                    <w:right w:val="single" w:sz="6" w:space="2" w:color="D1D5D5"/>
                  </w:divBdr>
                  <w:divsChild>
                    <w:div w:id="1778990043">
                      <w:marLeft w:val="225"/>
                      <w:marRight w:val="0"/>
                      <w:marTop w:val="15"/>
                      <w:marBottom w:val="0"/>
                      <w:divBdr>
                        <w:top w:val="none" w:sz="0" w:space="4" w:color="auto"/>
                        <w:left w:val="dotted" w:sz="6" w:space="3" w:color="777777"/>
                        <w:bottom w:val="none" w:sz="0" w:space="0" w:color="auto"/>
                        <w:right w:val="none" w:sz="0" w:space="3" w:color="auto"/>
                      </w:divBdr>
                    </w:div>
                    <w:div w:id="1352611091">
                      <w:marLeft w:val="0"/>
                      <w:marRight w:val="0"/>
                      <w:marTop w:val="15"/>
                      <w:marBottom w:val="0"/>
                      <w:divBdr>
                        <w:top w:val="none" w:sz="0" w:space="4" w:color="auto"/>
                        <w:left w:val="none" w:sz="0" w:space="0" w:color="auto"/>
                        <w:bottom w:val="none" w:sz="0" w:space="0" w:color="auto"/>
                        <w:right w:val="none" w:sz="0" w:space="3" w:color="auto"/>
                      </w:divBdr>
                    </w:div>
                  </w:divsChild>
                </w:div>
              </w:divsChild>
            </w:div>
            <w:div w:id="673144183">
              <w:marLeft w:val="0"/>
              <w:marRight w:val="0"/>
              <w:marTop w:val="0"/>
              <w:marBottom w:val="0"/>
              <w:divBdr>
                <w:top w:val="none" w:sz="0" w:space="0" w:color="auto"/>
                <w:left w:val="none" w:sz="0" w:space="0" w:color="auto"/>
                <w:bottom w:val="none" w:sz="0" w:space="0" w:color="auto"/>
                <w:right w:val="none" w:sz="0" w:space="0" w:color="auto"/>
              </w:divBdr>
              <w:divsChild>
                <w:div w:id="660350906">
                  <w:marLeft w:val="0"/>
                  <w:marRight w:val="75"/>
                  <w:marTop w:val="0"/>
                  <w:marBottom w:val="0"/>
                  <w:divBdr>
                    <w:top w:val="single" w:sz="6" w:space="2" w:color="CCCCCC"/>
                    <w:left w:val="single" w:sz="6" w:space="2" w:color="CCCCCC"/>
                    <w:bottom w:val="single" w:sz="6" w:space="2" w:color="CCCCCC"/>
                    <w:right w:val="single" w:sz="6" w:space="2" w:color="CCCCCC"/>
                  </w:divBdr>
                  <w:divsChild>
                    <w:div w:id="435903305">
                      <w:marLeft w:val="0"/>
                      <w:marRight w:val="0"/>
                      <w:marTop w:val="0"/>
                      <w:marBottom w:val="0"/>
                      <w:divBdr>
                        <w:top w:val="none" w:sz="0" w:space="0" w:color="auto"/>
                        <w:left w:val="none" w:sz="0" w:space="0" w:color="auto"/>
                        <w:bottom w:val="none" w:sz="0" w:space="0" w:color="auto"/>
                        <w:right w:val="none" w:sz="0" w:space="0" w:color="auto"/>
                      </w:divBdr>
                      <w:divsChild>
                        <w:div w:id="436297762">
                          <w:marLeft w:val="0"/>
                          <w:marRight w:val="0"/>
                          <w:marTop w:val="0"/>
                          <w:marBottom w:val="0"/>
                          <w:divBdr>
                            <w:top w:val="none" w:sz="0" w:space="0" w:color="auto"/>
                            <w:left w:val="none" w:sz="0" w:space="0" w:color="auto"/>
                            <w:bottom w:val="none" w:sz="0" w:space="0" w:color="auto"/>
                            <w:right w:val="none" w:sz="0" w:space="0" w:color="auto"/>
                          </w:divBdr>
                        </w:div>
                        <w:div w:id="65060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7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152783">
      <w:bodyDiv w:val="1"/>
      <w:marLeft w:val="0"/>
      <w:marRight w:val="0"/>
      <w:marTop w:val="0"/>
      <w:marBottom w:val="0"/>
      <w:divBdr>
        <w:top w:val="none" w:sz="0" w:space="0" w:color="auto"/>
        <w:left w:val="none" w:sz="0" w:space="0" w:color="auto"/>
        <w:bottom w:val="none" w:sz="0" w:space="0" w:color="auto"/>
        <w:right w:val="none" w:sz="0" w:space="0" w:color="auto"/>
      </w:divBdr>
    </w:div>
    <w:div w:id="1969507373">
      <w:bodyDiv w:val="1"/>
      <w:marLeft w:val="0"/>
      <w:marRight w:val="0"/>
      <w:marTop w:val="0"/>
      <w:marBottom w:val="0"/>
      <w:divBdr>
        <w:top w:val="none" w:sz="0" w:space="0" w:color="auto"/>
        <w:left w:val="none" w:sz="0" w:space="0" w:color="auto"/>
        <w:bottom w:val="none" w:sz="0" w:space="0" w:color="auto"/>
        <w:right w:val="none" w:sz="0" w:space="0" w:color="auto"/>
      </w:divBdr>
    </w:div>
    <w:div w:id="199256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6.xml"/><Relationship Id="rId21" Type="http://schemas.openxmlformats.org/officeDocument/2006/relationships/chart" Target="charts/chart1.xm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5.xml"/><Relationship Id="rId33" Type="http://schemas.openxmlformats.org/officeDocument/2006/relationships/chart" Target="charts/chart13.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29"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footer" Target="footer2.xml"/><Relationship Id="rId8" Type="http://schemas.openxmlformats.org/officeDocument/2006/relationships/hyperlink" Target="mailto:comunicacionsocial@inegi.org.mx"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Plantillas\bbalanza6.do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Notas%20Trabajo%202021\Balanza\2022\10-22\graficas%20Bal%20opor%20desestacionalizada-opotunas%20desde%202009%20(Autoguardado).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D:\Notas%20Trabajo%202021\Balanza\2022\10-22\graficas%20Bal%20opor%20desestacionalizada-opotunas%20desde%202009%20(Autoguardado).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11.xml"/><Relationship Id="rId1" Type="http://schemas.openxmlformats.org/officeDocument/2006/relationships/oleObject" Target="file:///D:\Notas%20Trabajo%202021\Balanza\2022\10-22\graficas%20Bal%20opor%20desestacionalizada-opotunas%20desde%202009%20(Autoguardado).xlsx"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12.xml"/><Relationship Id="rId1" Type="http://schemas.openxmlformats.org/officeDocument/2006/relationships/oleObject" Target="file:///D:\Notas%20Trabajo%202021\Balanza\2022\10-22\graficas%20Bal%20opor%20desestacionalizada-opotunas%20desde%202009%20(Autoguardado).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Notas%20Trabajo%202021\Balanza\2022\10-22\graficas%20Bal%20opor%20desestacionalizada-opotunas%20desde%202009%20(Autoguardado).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Notas%20Trabajo%202021\Balanza\2022\10-22\graficas%20Bal%20opor%20desestacionalizada-opotunas%20desde%202009%20(Autoguardado).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D:\Notas%20Trabajo%202021\Balanza\2022\10-22\graficas%20Bal%20opor%20desestacionalizada-opotunas%20desde%202009%20(Autoguardado).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D:\Notas%20Trabajo%202021\Balanza\2022\10-22\graficas%20Bal%20opor%20desestacionalizada-opotunas%20desde%202009%20(Autoguardado).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D:\Notas%20Trabajo%202021\Balanza\2022\10-22\graficas%20Bal%20opor%20desestacionalizada-opotunas%20desde%202009%20(Autoguardado).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D:\Notas%20Trabajo%202021\Balanza\2022\10-22\graficas%20Bal%20opor%20desestacionalizada-opotunas%20desde%202009%20(Autoguardado).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D:\Notas%20Trabajo%202021\Balanza\2022\10-22\graficas%20Bal%20opor%20desestacionalizada-opotunas%20desde%202009%20(Autoguardado).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D:\Notas%20Trabajo%202021\Balanza\2022\10-22\graficas%20Bal%20opor%20desestacionalizada-opotunas%20desde%202009%20(Autoguardado).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D:\Notas%20Trabajo%202021\Balanza\2022\10-22\graficas%20Bal%20opor%20desestacionalizada-opotunas%20desde%202009%20(Autoguardad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1751326328910886E-2"/>
          <c:y val="3.9495865891773979E-2"/>
          <c:w val="0.87810900140646975"/>
          <c:h val="0.86464797668043236"/>
        </c:manualLayout>
      </c:layout>
      <c:lineChart>
        <c:grouping val="standard"/>
        <c:varyColors val="0"/>
        <c:ser>
          <c:idx val="1"/>
          <c:order val="0"/>
          <c:tx>
            <c:strRef>
              <c:f>datos!$C$4</c:f>
              <c:strCache>
                <c:ptCount val="1"/>
                <c:pt idx="0">
                  <c:v>Serie Desestacionalizada</c:v>
                </c:pt>
              </c:strCache>
            </c:strRef>
          </c:tx>
          <c:spPr>
            <a:ln w="15875" cap="flat">
              <a:solidFill>
                <a:schemeClr val="tx2">
                  <a:lumMod val="75000"/>
                  <a:alpha val="98000"/>
                </a:schemeClr>
              </a:solidFill>
              <a:prstDash val="solid"/>
            </a:ln>
            <a:effectLst/>
          </c:spPr>
          <c:marker>
            <c:symbol val="none"/>
          </c:marker>
          <c:cat>
            <c:multiLvlStrRef>
              <c:f>datos!$A$5:$B$86</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2016</c:v>
                  </c:pt>
                  <c:pt idx="12">
                    <c:v>2017</c:v>
                  </c:pt>
                  <c:pt idx="24">
                    <c:v>2018</c:v>
                  </c:pt>
                  <c:pt idx="36">
                    <c:v>2019</c:v>
                  </c:pt>
                  <c:pt idx="48">
                    <c:v>2020</c:v>
                  </c:pt>
                  <c:pt idx="60">
                    <c:v>2021</c:v>
                  </c:pt>
                  <c:pt idx="72">
                    <c:v>2022</c:v>
                  </c:pt>
                </c:lvl>
              </c:multiLvlStrCache>
            </c:multiLvlStrRef>
          </c:cat>
          <c:val>
            <c:numRef>
              <c:f>datos!$C$5:$C$86</c:f>
              <c:numCache>
                <c:formatCode>#,##0.0</c:formatCode>
                <c:ptCount val="82"/>
                <c:pt idx="0">
                  <c:v>-1012.3434622337001</c:v>
                </c:pt>
                <c:pt idx="1">
                  <c:v>-1880.09798173134</c:v>
                </c:pt>
                <c:pt idx="2">
                  <c:v>-1922.3401121208999</c:v>
                </c:pt>
                <c:pt idx="3">
                  <c:v>-2280.7036373229198</c:v>
                </c:pt>
                <c:pt idx="4">
                  <c:v>-955.31245454307395</c:v>
                </c:pt>
                <c:pt idx="5">
                  <c:v>-1164.6964628199501</c:v>
                </c:pt>
                <c:pt idx="6">
                  <c:v>-928.67543697750898</c:v>
                </c:pt>
                <c:pt idx="7">
                  <c:v>-663.34988284737904</c:v>
                </c:pt>
                <c:pt idx="8">
                  <c:v>-1025.7158382324301</c:v>
                </c:pt>
                <c:pt idx="9">
                  <c:v>-255.432546663659</c:v>
                </c:pt>
                <c:pt idx="10">
                  <c:v>-9.7492974163112596</c:v>
                </c:pt>
                <c:pt idx="11">
                  <c:v>-1080.26853791999</c:v>
                </c:pt>
                <c:pt idx="12">
                  <c:v>-652.46180280892997</c:v>
                </c:pt>
                <c:pt idx="13">
                  <c:v>-538.41225119261605</c:v>
                </c:pt>
                <c:pt idx="14">
                  <c:v>-1078.72504072635</c:v>
                </c:pt>
                <c:pt idx="15">
                  <c:v>-555.700424549133</c:v>
                </c:pt>
                <c:pt idx="16">
                  <c:v>-1384.28541722655</c:v>
                </c:pt>
                <c:pt idx="17">
                  <c:v>-883.37747011045099</c:v>
                </c:pt>
                <c:pt idx="18">
                  <c:v>-716.38559443480904</c:v>
                </c:pt>
                <c:pt idx="19">
                  <c:v>-1611.05823261151</c:v>
                </c:pt>
                <c:pt idx="20">
                  <c:v>-1346.1216901089899</c:v>
                </c:pt>
                <c:pt idx="21">
                  <c:v>-1242.9883396320499</c:v>
                </c:pt>
                <c:pt idx="22">
                  <c:v>263.33526006397801</c:v>
                </c:pt>
                <c:pt idx="23">
                  <c:v>-1238.3734588022</c:v>
                </c:pt>
                <c:pt idx="24">
                  <c:v>-657.07499983747698</c:v>
                </c:pt>
                <c:pt idx="25">
                  <c:v>-469.13053651204501</c:v>
                </c:pt>
                <c:pt idx="26">
                  <c:v>-899.84657669080002</c:v>
                </c:pt>
                <c:pt idx="27">
                  <c:v>-810.26832158100001</c:v>
                </c:pt>
                <c:pt idx="28">
                  <c:v>-2309.1054989880599</c:v>
                </c:pt>
                <c:pt idx="29">
                  <c:v>-2087.3569096823999</c:v>
                </c:pt>
                <c:pt idx="30">
                  <c:v>-1812.28461225308</c:v>
                </c:pt>
                <c:pt idx="31">
                  <c:v>-1043.5031185912801</c:v>
                </c:pt>
                <c:pt idx="32">
                  <c:v>-104.927422119048</c:v>
                </c:pt>
                <c:pt idx="33">
                  <c:v>-1109.22163589971</c:v>
                </c:pt>
                <c:pt idx="34">
                  <c:v>-2377.2240093236101</c:v>
                </c:pt>
                <c:pt idx="35">
                  <c:v>229.88333297108699</c:v>
                </c:pt>
                <c:pt idx="36">
                  <c:v>-867.06642166224105</c:v>
                </c:pt>
                <c:pt idx="37">
                  <c:v>71.3064909656146</c:v>
                </c:pt>
                <c:pt idx="38">
                  <c:v>-109.977567020745</c:v>
                </c:pt>
                <c:pt idx="39">
                  <c:v>-152.60361468569599</c:v>
                </c:pt>
                <c:pt idx="40">
                  <c:v>505.765574337994</c:v>
                </c:pt>
                <c:pt idx="41">
                  <c:v>927.42624276083905</c:v>
                </c:pt>
                <c:pt idx="42">
                  <c:v>461.89164685609302</c:v>
                </c:pt>
                <c:pt idx="43">
                  <c:v>1212.88457990595</c:v>
                </c:pt>
                <c:pt idx="44">
                  <c:v>676.88575923218195</c:v>
                </c:pt>
                <c:pt idx="45">
                  <c:v>393.46689566990102</c:v>
                </c:pt>
                <c:pt idx="46">
                  <c:v>942.81907534293998</c:v>
                </c:pt>
                <c:pt idx="47">
                  <c:v>1114.33565052003</c:v>
                </c:pt>
                <c:pt idx="48">
                  <c:v>2071.5020737618001</c:v>
                </c:pt>
                <c:pt idx="49">
                  <c:v>1249.23613540722</c:v>
                </c:pt>
                <c:pt idx="50">
                  <c:v>1744.57791526395</c:v>
                </c:pt>
                <c:pt idx="51">
                  <c:v>-4366.0756165852299</c:v>
                </c:pt>
                <c:pt idx="52">
                  <c:v>-3785.0272043934801</c:v>
                </c:pt>
                <c:pt idx="53">
                  <c:v>4336.2150751874697</c:v>
                </c:pt>
                <c:pt idx="54">
                  <c:v>7009.1351451021301</c:v>
                </c:pt>
                <c:pt idx="55">
                  <c:v>7192.3494652483996</c:v>
                </c:pt>
                <c:pt idx="56">
                  <c:v>5086.6588060378499</c:v>
                </c:pt>
                <c:pt idx="57">
                  <c:v>6774.3024120569698</c:v>
                </c:pt>
                <c:pt idx="58">
                  <c:v>3473.9177483519302</c:v>
                </c:pt>
                <c:pt idx="59">
                  <c:v>3658.2176427449599</c:v>
                </c:pt>
                <c:pt idx="60">
                  <c:v>3098.70384879428</c:v>
                </c:pt>
                <c:pt idx="61">
                  <c:v>1647.39338824271</c:v>
                </c:pt>
                <c:pt idx="62">
                  <c:v>-3893.1174515314801</c:v>
                </c:pt>
                <c:pt idx="63">
                  <c:v>-98.673143485963493</c:v>
                </c:pt>
                <c:pt idx="64">
                  <c:v>-736.51699403025805</c:v>
                </c:pt>
                <c:pt idx="65">
                  <c:v>-764.04188700966802</c:v>
                </c:pt>
                <c:pt idx="66">
                  <c:v>-2650.2372630945902</c:v>
                </c:pt>
                <c:pt idx="67">
                  <c:v>-2242.0199944552701</c:v>
                </c:pt>
                <c:pt idx="68">
                  <c:v>-1421.9395062421099</c:v>
                </c:pt>
                <c:pt idx="69">
                  <c:v>-1708.98437474258</c:v>
                </c:pt>
                <c:pt idx="70">
                  <c:v>368.17757210891</c:v>
                </c:pt>
                <c:pt idx="71">
                  <c:v>-1768.11258743547</c:v>
                </c:pt>
                <c:pt idx="72">
                  <c:v>-2647.40102929571</c:v>
                </c:pt>
                <c:pt idx="73">
                  <c:v>-296.72854149503502</c:v>
                </c:pt>
                <c:pt idx="74">
                  <c:v>-1777.9428385429801</c:v>
                </c:pt>
                <c:pt idx="75">
                  <c:v>-3900.1699754333199</c:v>
                </c:pt>
                <c:pt idx="76">
                  <c:v>-3433.4127171222399</c:v>
                </c:pt>
                <c:pt idx="77">
                  <c:v>-5912.1871209593701</c:v>
                </c:pt>
                <c:pt idx="78">
                  <c:v>-4007.84707049998</c:v>
                </c:pt>
                <c:pt idx="79">
                  <c:v>-2761.36845574985</c:v>
                </c:pt>
                <c:pt idx="80">
                  <c:v>-55.112540409046197</c:v>
                </c:pt>
                <c:pt idx="81">
                  <c:v>-985.571870059905</c:v>
                </c:pt>
              </c:numCache>
            </c:numRef>
          </c:val>
          <c:smooth val="0"/>
          <c:extLst>
            <c:ext xmlns:c16="http://schemas.microsoft.com/office/drawing/2014/chart" uri="{C3380CC4-5D6E-409C-BE32-E72D297353CC}">
              <c16:uniqueId val="{00000000-30C9-4CE0-8F83-C31C91402848}"/>
            </c:ext>
          </c:extLst>
        </c:ser>
        <c:dLbls>
          <c:showLegendKey val="0"/>
          <c:showVal val="0"/>
          <c:showCatName val="0"/>
          <c:showSerName val="0"/>
          <c:showPercent val="0"/>
          <c:showBubbleSize val="0"/>
        </c:dLbls>
        <c:smooth val="0"/>
        <c:axId val="441886288"/>
        <c:axId val="616597096"/>
      </c:lineChart>
      <c:catAx>
        <c:axId val="44188628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700"/>
            </a:pPr>
            <a:endParaRPr lang="es-MX"/>
          </a:p>
        </c:txPr>
        <c:crossAx val="616597096"/>
        <c:crosses val="autoZero"/>
        <c:auto val="1"/>
        <c:lblAlgn val="ctr"/>
        <c:lblOffset val="0"/>
        <c:tickLblSkip val="1"/>
        <c:tickMarkSkip val="1"/>
        <c:noMultiLvlLbl val="1"/>
      </c:catAx>
      <c:valAx>
        <c:axId val="616597096"/>
        <c:scaling>
          <c:orientation val="minMax"/>
          <c:max val="10000"/>
          <c:min val="-8000"/>
        </c:scaling>
        <c:delete val="0"/>
        <c:axPos val="r"/>
        <c:numFmt formatCode="#,##0" sourceLinked="0"/>
        <c:majorTickMark val="out"/>
        <c:minorTickMark val="none"/>
        <c:tickLblPos val="high"/>
        <c:spPr>
          <a:ln w="3175">
            <a:solidFill>
              <a:srgbClr val="000000"/>
            </a:solidFill>
            <a:prstDash val="solid"/>
          </a:ln>
        </c:spPr>
        <c:txPr>
          <a:bodyPr rot="0" vert="horz"/>
          <a:lstStyle/>
          <a:p>
            <a:pPr>
              <a:defRPr/>
            </a:pPr>
            <a:endParaRPr lang="es-MX"/>
          </a:p>
        </c:txPr>
        <c:crossAx val="441886288"/>
        <c:crosses val="max"/>
        <c:crossBetween val="between"/>
        <c:majorUnit val="2000"/>
        <c:minorUnit val="200"/>
      </c:valAx>
      <c:spPr>
        <a:noFill/>
        <a:ln w="15875">
          <a:solidFill>
            <a:schemeClr val="bg1"/>
          </a:solidFill>
          <a:prstDash val="solid"/>
        </a:ln>
      </c:spPr>
    </c:plotArea>
    <c:plotVisOnly val="1"/>
    <c:dispBlanksAs val="zero"/>
    <c:showDLblsOverMax val="0"/>
  </c:chart>
  <c:spPr>
    <a:noFill/>
    <a:ln w="3175">
      <a:solidFill>
        <a:schemeClr val="tx1"/>
      </a:solidFill>
      <a:prstDash val="solid"/>
    </a:ln>
    <a:effectLst>
      <a:outerShdw dist="12700" dir="2700000" algn="tl" rotWithShape="0">
        <a:prstClr val="black"/>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No Petroleras</a:t>
            </a:r>
          </a:p>
        </c:rich>
      </c:tx>
      <c:layout>
        <c:manualLayout>
          <c:xMode val="edge"/>
          <c:yMode val="edge"/>
          <c:x val="0.36994854664791382"/>
          <c:y val="0"/>
        </c:manualLayout>
      </c:layout>
      <c:overlay val="1"/>
    </c:title>
    <c:autoTitleDeleted val="0"/>
    <c:plotArea>
      <c:layout>
        <c:manualLayout>
          <c:layoutTarget val="inner"/>
          <c:xMode val="edge"/>
          <c:yMode val="edge"/>
          <c:x val="2.7150492264416341E-2"/>
          <c:y val="5.4538923182442134E-2"/>
          <c:w val="0.87057255039852288"/>
          <c:h val="0.79496347736625517"/>
        </c:manualLayout>
      </c:layout>
      <c:lineChart>
        <c:grouping val="standard"/>
        <c:varyColors val="0"/>
        <c:ser>
          <c:idx val="1"/>
          <c:order val="0"/>
          <c:tx>
            <c:strRef>
              <c:f>datos!$U$4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(datos!$A$5:$B$6,datos!$A$8:$B$86)</c:f>
              <c:multiLvlStrCache>
                <c:ptCount val="81"/>
                <c:lvl>
                  <c:pt idx="0">
                    <c:v>E</c:v>
                  </c:pt>
                  <c:pt idx="1">
                    <c:v>F</c:v>
                  </c:pt>
                  <c:pt idx="2">
                    <c:v>A</c:v>
                  </c:pt>
                  <c:pt idx="3">
                    <c:v>M</c:v>
                  </c:pt>
                  <c:pt idx="4">
                    <c:v>J</c:v>
                  </c:pt>
                  <c:pt idx="5">
                    <c:v>J</c:v>
                  </c:pt>
                  <c:pt idx="6">
                    <c:v>A</c:v>
                  </c:pt>
                  <c:pt idx="7">
                    <c:v>S</c:v>
                  </c:pt>
                  <c:pt idx="8">
                    <c:v>O</c:v>
                  </c:pt>
                  <c:pt idx="9">
                    <c:v>N</c:v>
                  </c:pt>
                  <c:pt idx="10">
                    <c:v>D</c:v>
                  </c:pt>
                  <c:pt idx="11">
                    <c:v>E</c:v>
                  </c:pt>
                  <c:pt idx="12">
                    <c:v>F</c:v>
                  </c:pt>
                  <c:pt idx="13">
                    <c:v>M</c:v>
                  </c:pt>
                  <c:pt idx="14">
                    <c:v>A</c:v>
                  </c:pt>
                  <c:pt idx="15">
                    <c:v>M</c:v>
                  </c:pt>
                  <c:pt idx="16">
                    <c:v>J</c:v>
                  </c:pt>
                  <c:pt idx="17">
                    <c:v>J</c:v>
                  </c:pt>
                  <c:pt idx="18">
                    <c:v>A</c:v>
                  </c:pt>
                  <c:pt idx="19">
                    <c:v>S</c:v>
                  </c:pt>
                  <c:pt idx="20">
                    <c:v>O</c:v>
                  </c:pt>
                  <c:pt idx="21">
                    <c:v>N</c:v>
                  </c:pt>
                  <c:pt idx="22">
                    <c:v>D</c:v>
                  </c:pt>
                  <c:pt idx="23">
                    <c:v>E</c:v>
                  </c:pt>
                  <c:pt idx="24">
                    <c:v>F</c:v>
                  </c:pt>
                  <c:pt idx="25">
                    <c:v>M</c:v>
                  </c:pt>
                  <c:pt idx="26">
                    <c:v>A</c:v>
                  </c:pt>
                  <c:pt idx="27">
                    <c:v>M</c:v>
                  </c:pt>
                  <c:pt idx="28">
                    <c:v>J</c:v>
                  </c:pt>
                  <c:pt idx="29">
                    <c:v>J</c:v>
                  </c:pt>
                  <c:pt idx="30">
                    <c:v>A</c:v>
                  </c:pt>
                  <c:pt idx="31">
                    <c:v>S</c:v>
                  </c:pt>
                  <c:pt idx="32">
                    <c:v>O</c:v>
                  </c:pt>
                  <c:pt idx="33">
                    <c:v>N</c:v>
                  </c:pt>
                  <c:pt idx="34">
                    <c:v>D</c:v>
                  </c:pt>
                  <c:pt idx="35">
                    <c:v>E</c:v>
                  </c:pt>
                  <c:pt idx="36">
                    <c:v>F</c:v>
                  </c:pt>
                  <c:pt idx="37">
                    <c:v>M</c:v>
                  </c:pt>
                  <c:pt idx="38">
                    <c:v>A</c:v>
                  </c:pt>
                  <c:pt idx="39">
                    <c:v>M</c:v>
                  </c:pt>
                  <c:pt idx="40">
                    <c:v>J</c:v>
                  </c:pt>
                  <c:pt idx="41">
                    <c:v>J</c:v>
                  </c:pt>
                  <c:pt idx="42">
                    <c:v>A</c:v>
                  </c:pt>
                  <c:pt idx="43">
                    <c:v>S</c:v>
                  </c:pt>
                  <c:pt idx="44">
                    <c:v>O</c:v>
                  </c:pt>
                  <c:pt idx="45">
                    <c:v>N</c:v>
                  </c:pt>
                  <c:pt idx="46">
                    <c:v>D</c:v>
                  </c:pt>
                  <c:pt idx="47">
                    <c:v>E</c:v>
                  </c:pt>
                  <c:pt idx="48">
                    <c:v>F</c:v>
                  </c:pt>
                  <c:pt idx="49">
                    <c:v>M</c:v>
                  </c:pt>
                  <c:pt idx="50">
                    <c:v>A</c:v>
                  </c:pt>
                  <c:pt idx="51">
                    <c:v>M</c:v>
                  </c:pt>
                  <c:pt idx="52">
                    <c:v>J</c:v>
                  </c:pt>
                  <c:pt idx="53">
                    <c:v>J</c:v>
                  </c:pt>
                  <c:pt idx="54">
                    <c:v>A</c:v>
                  </c:pt>
                  <c:pt idx="55">
                    <c:v>S</c:v>
                  </c:pt>
                  <c:pt idx="56">
                    <c:v>O</c:v>
                  </c:pt>
                  <c:pt idx="57">
                    <c:v>N</c:v>
                  </c:pt>
                  <c:pt idx="58">
                    <c:v>D</c:v>
                  </c:pt>
                  <c:pt idx="59">
                    <c:v>E</c:v>
                  </c:pt>
                  <c:pt idx="60">
                    <c:v>F</c:v>
                  </c:pt>
                  <c:pt idx="61">
                    <c:v>M</c:v>
                  </c:pt>
                  <c:pt idx="62">
                    <c:v>A</c:v>
                  </c:pt>
                  <c:pt idx="63">
                    <c:v>M</c:v>
                  </c:pt>
                  <c:pt idx="64">
                    <c:v>J</c:v>
                  </c:pt>
                  <c:pt idx="65">
                    <c:v>J</c:v>
                  </c:pt>
                  <c:pt idx="66">
                    <c:v>A</c:v>
                  </c:pt>
                  <c:pt idx="67">
                    <c:v>S</c:v>
                  </c:pt>
                  <c:pt idx="68">
                    <c:v>O</c:v>
                  </c:pt>
                  <c:pt idx="69">
                    <c:v>N</c:v>
                  </c:pt>
                  <c:pt idx="70">
                    <c:v>D</c:v>
                  </c:pt>
                  <c:pt idx="71">
                    <c:v>E</c:v>
                  </c:pt>
                  <c:pt idx="72">
                    <c:v>F</c:v>
                  </c:pt>
                  <c:pt idx="73">
                    <c:v>M</c:v>
                  </c:pt>
                  <c:pt idx="74">
                    <c:v>A</c:v>
                  </c:pt>
                  <c:pt idx="75">
                    <c:v>M</c:v>
                  </c:pt>
                  <c:pt idx="76">
                    <c:v>J</c:v>
                  </c:pt>
                  <c:pt idx="77">
                    <c:v>J</c:v>
                  </c:pt>
                  <c:pt idx="78">
                    <c:v>A</c:v>
                  </c:pt>
                  <c:pt idx="79">
                    <c:v>S</c:v>
                  </c:pt>
                  <c:pt idx="80">
                    <c:v>O*</c:v>
                  </c:pt>
                </c:lvl>
                <c:lvl>
                  <c:pt idx="0">
                    <c:v>2016</c:v>
                  </c:pt>
                  <c:pt idx="11">
                    <c:v>2017</c:v>
                  </c:pt>
                  <c:pt idx="23">
                    <c:v>2018</c:v>
                  </c:pt>
                  <c:pt idx="35">
                    <c:v>2019</c:v>
                  </c:pt>
                  <c:pt idx="47">
                    <c:v>2020</c:v>
                  </c:pt>
                  <c:pt idx="59">
                    <c:v>2021</c:v>
                  </c:pt>
                  <c:pt idx="71">
                    <c:v>2022</c:v>
                  </c:pt>
                </c:lvl>
              </c:multiLvlStrCache>
              <c:extLst/>
            </c:multiLvlStrRef>
          </c:cat>
          <c:val>
            <c:numRef>
              <c:f>(datos!$U$5:$U$6,datos!$U$8:$U$86)</c:f>
              <c:numCache>
                <c:formatCode>#,##0.0</c:formatCode>
                <c:ptCount val="81"/>
                <c:pt idx="0">
                  <c:v>29608.344649141101</c:v>
                </c:pt>
                <c:pt idx="1">
                  <c:v>29563.269848878499</c:v>
                </c:pt>
                <c:pt idx="2">
                  <c:v>29880.4716550255</c:v>
                </c:pt>
                <c:pt idx="3">
                  <c:v>28996.228793586899</c:v>
                </c:pt>
                <c:pt idx="4">
                  <c:v>29223.383153105598</c:v>
                </c:pt>
                <c:pt idx="5">
                  <c:v>29298.536831770802</c:v>
                </c:pt>
                <c:pt idx="6">
                  <c:v>29272.659813767299</c:v>
                </c:pt>
                <c:pt idx="7">
                  <c:v>30369.153961129799</c:v>
                </c:pt>
                <c:pt idx="8">
                  <c:v>29376.504618847699</c:v>
                </c:pt>
                <c:pt idx="9">
                  <c:v>29958.3485001361</c:v>
                </c:pt>
                <c:pt idx="10">
                  <c:v>30510.166707975499</c:v>
                </c:pt>
                <c:pt idx="11">
                  <c:v>30324.398186772301</c:v>
                </c:pt>
                <c:pt idx="12">
                  <c:v>30381.253784329499</c:v>
                </c:pt>
                <c:pt idx="13">
                  <c:v>30731.979411420401</c:v>
                </c:pt>
                <c:pt idx="14">
                  <c:v>30652.207386371701</c:v>
                </c:pt>
                <c:pt idx="15">
                  <c:v>31601.8753117796</c:v>
                </c:pt>
                <c:pt idx="16">
                  <c:v>32062.687188396099</c:v>
                </c:pt>
                <c:pt idx="17">
                  <c:v>31482.104768762001</c:v>
                </c:pt>
                <c:pt idx="18">
                  <c:v>32147.470305765499</c:v>
                </c:pt>
                <c:pt idx="19">
                  <c:v>31893.560545566899</c:v>
                </c:pt>
                <c:pt idx="20">
                  <c:v>32506.156777216002</c:v>
                </c:pt>
                <c:pt idx="21">
                  <c:v>31863.1441418459</c:v>
                </c:pt>
                <c:pt idx="22">
                  <c:v>33386.945828705597</c:v>
                </c:pt>
                <c:pt idx="23">
                  <c:v>32696.7103669633</c:v>
                </c:pt>
                <c:pt idx="24">
                  <c:v>33182.9561768926</c:v>
                </c:pt>
                <c:pt idx="25">
                  <c:v>34447.241922132402</c:v>
                </c:pt>
                <c:pt idx="26">
                  <c:v>33777.068317120698</c:v>
                </c:pt>
                <c:pt idx="27">
                  <c:v>34401.143704245602</c:v>
                </c:pt>
                <c:pt idx="28">
                  <c:v>34361.257804505702</c:v>
                </c:pt>
                <c:pt idx="29">
                  <c:v>34541.1856579183</c:v>
                </c:pt>
                <c:pt idx="30">
                  <c:v>34472.449987608001</c:v>
                </c:pt>
                <c:pt idx="31">
                  <c:v>34920.577355840796</c:v>
                </c:pt>
                <c:pt idx="32">
                  <c:v>34843.317955986</c:v>
                </c:pt>
                <c:pt idx="33">
                  <c:v>34937.124678809902</c:v>
                </c:pt>
                <c:pt idx="34">
                  <c:v>33641.799665758503</c:v>
                </c:pt>
                <c:pt idx="35">
                  <c:v>34569.513247204603</c:v>
                </c:pt>
                <c:pt idx="36">
                  <c:v>34395.9178373588</c:v>
                </c:pt>
                <c:pt idx="37">
                  <c:v>34019.941463666102</c:v>
                </c:pt>
                <c:pt idx="38">
                  <c:v>34620.307330753501</c:v>
                </c:pt>
                <c:pt idx="39">
                  <c:v>34207.733456609698</c:v>
                </c:pt>
                <c:pt idx="40">
                  <c:v>33812.994300511396</c:v>
                </c:pt>
                <c:pt idx="41">
                  <c:v>34486.028993629203</c:v>
                </c:pt>
                <c:pt idx="42">
                  <c:v>34588.3161395106</c:v>
                </c:pt>
                <c:pt idx="43">
                  <c:v>33938.307190807398</c:v>
                </c:pt>
                <c:pt idx="44">
                  <c:v>33626.835025348199</c:v>
                </c:pt>
                <c:pt idx="45">
                  <c:v>32786.990237110098</c:v>
                </c:pt>
                <c:pt idx="46">
                  <c:v>32840.759768870099</c:v>
                </c:pt>
                <c:pt idx="47">
                  <c:v>33055.2986220315</c:v>
                </c:pt>
                <c:pt idx="48">
                  <c:v>32696.229429397499</c:v>
                </c:pt>
                <c:pt idx="49">
                  <c:v>31451.4198176014</c:v>
                </c:pt>
                <c:pt idx="50">
                  <c:v>24936.364104358599</c:v>
                </c:pt>
                <c:pt idx="51">
                  <c:v>20523.591715428101</c:v>
                </c:pt>
                <c:pt idx="52">
                  <c:v>25899.9369681229</c:v>
                </c:pt>
                <c:pt idx="53">
                  <c:v>26173.0869379168</c:v>
                </c:pt>
                <c:pt idx="54">
                  <c:v>28549.370509295699</c:v>
                </c:pt>
                <c:pt idx="55">
                  <c:v>30241.182715137002</c:v>
                </c:pt>
                <c:pt idx="56">
                  <c:v>30934.166429404999</c:v>
                </c:pt>
                <c:pt idx="57">
                  <c:v>32788.824909172501</c:v>
                </c:pt>
                <c:pt idx="58">
                  <c:v>33242.535800452002</c:v>
                </c:pt>
                <c:pt idx="59">
                  <c:v>34333.813792986897</c:v>
                </c:pt>
                <c:pt idx="60">
                  <c:v>33099.541864863299</c:v>
                </c:pt>
                <c:pt idx="61">
                  <c:v>37473.766347795201</c:v>
                </c:pt>
                <c:pt idx="62">
                  <c:v>36160.921210642802</c:v>
                </c:pt>
                <c:pt idx="63">
                  <c:v>37377.354477968503</c:v>
                </c:pt>
                <c:pt idx="64">
                  <c:v>37295.7603707577</c:v>
                </c:pt>
                <c:pt idx="65">
                  <c:v>39502.063307239601</c:v>
                </c:pt>
                <c:pt idx="66">
                  <c:v>38045.9280084692</c:v>
                </c:pt>
                <c:pt idx="67">
                  <c:v>38021.662150643897</c:v>
                </c:pt>
                <c:pt idx="68">
                  <c:v>38761.758032905003</c:v>
                </c:pt>
                <c:pt idx="69">
                  <c:v>39585.9793917508</c:v>
                </c:pt>
                <c:pt idx="70">
                  <c:v>41035.593647488102</c:v>
                </c:pt>
                <c:pt idx="71">
                  <c:v>39730.796785790801</c:v>
                </c:pt>
                <c:pt idx="72">
                  <c:v>43951.852949807602</c:v>
                </c:pt>
                <c:pt idx="73">
                  <c:v>43743.922475657098</c:v>
                </c:pt>
                <c:pt idx="74">
                  <c:v>45193.930049898903</c:v>
                </c:pt>
                <c:pt idx="75">
                  <c:v>44879.7232907328</c:v>
                </c:pt>
                <c:pt idx="76">
                  <c:v>46598.087518517001</c:v>
                </c:pt>
                <c:pt idx="77">
                  <c:v>45189.445489332102</c:v>
                </c:pt>
                <c:pt idx="78">
                  <c:v>45117.307042105</c:v>
                </c:pt>
                <c:pt idx="79">
                  <c:v>44974.070156887901</c:v>
                </c:pt>
                <c:pt idx="80">
                  <c:v>44926.200758198102</c:v>
                </c:pt>
              </c:numCache>
              <c:extLst/>
            </c:numRef>
          </c:val>
          <c:smooth val="0"/>
          <c:extLst>
            <c:ext xmlns:c16="http://schemas.microsoft.com/office/drawing/2014/chart" uri="{C3380CC4-5D6E-409C-BE32-E72D297353CC}">
              <c16:uniqueId val="{00000000-A05F-4DF4-8F2C-DA8F2BF3B495}"/>
            </c:ext>
          </c:extLst>
        </c:ser>
        <c:ser>
          <c:idx val="0"/>
          <c:order val="1"/>
          <c:tx>
            <c:strRef>
              <c:f>datos!$V$4</c:f>
              <c:strCache>
                <c:ptCount val="1"/>
                <c:pt idx="0">
                  <c:v>Serie de Tendencia-Ciclo</c:v>
                </c:pt>
              </c:strCache>
            </c:strRef>
          </c:tx>
          <c:spPr>
            <a:ln w="12700">
              <a:solidFill>
                <a:schemeClr val="tx2">
                  <a:lumMod val="75000"/>
                </a:schemeClr>
              </a:solidFill>
              <a:prstDash val="solid"/>
            </a:ln>
            <a:effectLst/>
          </c:spPr>
          <c:marker>
            <c:symbol val="none"/>
          </c:marker>
          <c:cat>
            <c:multiLvlStrRef>
              <c:f>(datos!$A$5:$B$6,datos!$A$8:$B$86)</c:f>
              <c:multiLvlStrCache>
                <c:ptCount val="81"/>
                <c:lvl>
                  <c:pt idx="0">
                    <c:v>E</c:v>
                  </c:pt>
                  <c:pt idx="1">
                    <c:v>F</c:v>
                  </c:pt>
                  <c:pt idx="2">
                    <c:v>A</c:v>
                  </c:pt>
                  <c:pt idx="3">
                    <c:v>M</c:v>
                  </c:pt>
                  <c:pt idx="4">
                    <c:v>J</c:v>
                  </c:pt>
                  <c:pt idx="5">
                    <c:v>J</c:v>
                  </c:pt>
                  <c:pt idx="6">
                    <c:v>A</c:v>
                  </c:pt>
                  <c:pt idx="7">
                    <c:v>S</c:v>
                  </c:pt>
                  <c:pt idx="8">
                    <c:v>O</c:v>
                  </c:pt>
                  <c:pt idx="9">
                    <c:v>N</c:v>
                  </c:pt>
                  <c:pt idx="10">
                    <c:v>D</c:v>
                  </c:pt>
                  <c:pt idx="11">
                    <c:v>E</c:v>
                  </c:pt>
                  <c:pt idx="12">
                    <c:v>F</c:v>
                  </c:pt>
                  <c:pt idx="13">
                    <c:v>M</c:v>
                  </c:pt>
                  <c:pt idx="14">
                    <c:v>A</c:v>
                  </c:pt>
                  <c:pt idx="15">
                    <c:v>M</c:v>
                  </c:pt>
                  <c:pt idx="16">
                    <c:v>J</c:v>
                  </c:pt>
                  <c:pt idx="17">
                    <c:v>J</c:v>
                  </c:pt>
                  <c:pt idx="18">
                    <c:v>A</c:v>
                  </c:pt>
                  <c:pt idx="19">
                    <c:v>S</c:v>
                  </c:pt>
                  <c:pt idx="20">
                    <c:v>O</c:v>
                  </c:pt>
                  <c:pt idx="21">
                    <c:v>N</c:v>
                  </c:pt>
                  <c:pt idx="22">
                    <c:v>D</c:v>
                  </c:pt>
                  <c:pt idx="23">
                    <c:v>E</c:v>
                  </c:pt>
                  <c:pt idx="24">
                    <c:v>F</c:v>
                  </c:pt>
                  <c:pt idx="25">
                    <c:v>M</c:v>
                  </c:pt>
                  <c:pt idx="26">
                    <c:v>A</c:v>
                  </c:pt>
                  <c:pt idx="27">
                    <c:v>M</c:v>
                  </c:pt>
                  <c:pt idx="28">
                    <c:v>J</c:v>
                  </c:pt>
                  <c:pt idx="29">
                    <c:v>J</c:v>
                  </c:pt>
                  <c:pt idx="30">
                    <c:v>A</c:v>
                  </c:pt>
                  <c:pt idx="31">
                    <c:v>S</c:v>
                  </c:pt>
                  <c:pt idx="32">
                    <c:v>O</c:v>
                  </c:pt>
                  <c:pt idx="33">
                    <c:v>N</c:v>
                  </c:pt>
                  <c:pt idx="34">
                    <c:v>D</c:v>
                  </c:pt>
                  <c:pt idx="35">
                    <c:v>E</c:v>
                  </c:pt>
                  <c:pt idx="36">
                    <c:v>F</c:v>
                  </c:pt>
                  <c:pt idx="37">
                    <c:v>M</c:v>
                  </c:pt>
                  <c:pt idx="38">
                    <c:v>A</c:v>
                  </c:pt>
                  <c:pt idx="39">
                    <c:v>M</c:v>
                  </c:pt>
                  <c:pt idx="40">
                    <c:v>J</c:v>
                  </c:pt>
                  <c:pt idx="41">
                    <c:v>J</c:v>
                  </c:pt>
                  <c:pt idx="42">
                    <c:v>A</c:v>
                  </c:pt>
                  <c:pt idx="43">
                    <c:v>S</c:v>
                  </c:pt>
                  <c:pt idx="44">
                    <c:v>O</c:v>
                  </c:pt>
                  <c:pt idx="45">
                    <c:v>N</c:v>
                  </c:pt>
                  <c:pt idx="46">
                    <c:v>D</c:v>
                  </c:pt>
                  <c:pt idx="47">
                    <c:v>E</c:v>
                  </c:pt>
                  <c:pt idx="48">
                    <c:v>F</c:v>
                  </c:pt>
                  <c:pt idx="49">
                    <c:v>M</c:v>
                  </c:pt>
                  <c:pt idx="50">
                    <c:v>A</c:v>
                  </c:pt>
                  <c:pt idx="51">
                    <c:v>M</c:v>
                  </c:pt>
                  <c:pt idx="52">
                    <c:v>J</c:v>
                  </c:pt>
                  <c:pt idx="53">
                    <c:v>J</c:v>
                  </c:pt>
                  <c:pt idx="54">
                    <c:v>A</c:v>
                  </c:pt>
                  <c:pt idx="55">
                    <c:v>S</c:v>
                  </c:pt>
                  <c:pt idx="56">
                    <c:v>O</c:v>
                  </c:pt>
                  <c:pt idx="57">
                    <c:v>N</c:v>
                  </c:pt>
                  <c:pt idx="58">
                    <c:v>D</c:v>
                  </c:pt>
                  <c:pt idx="59">
                    <c:v>E</c:v>
                  </c:pt>
                  <c:pt idx="60">
                    <c:v>F</c:v>
                  </c:pt>
                  <c:pt idx="61">
                    <c:v>M</c:v>
                  </c:pt>
                  <c:pt idx="62">
                    <c:v>A</c:v>
                  </c:pt>
                  <c:pt idx="63">
                    <c:v>M</c:v>
                  </c:pt>
                  <c:pt idx="64">
                    <c:v>J</c:v>
                  </c:pt>
                  <c:pt idx="65">
                    <c:v>J</c:v>
                  </c:pt>
                  <c:pt idx="66">
                    <c:v>A</c:v>
                  </c:pt>
                  <c:pt idx="67">
                    <c:v>S</c:v>
                  </c:pt>
                  <c:pt idx="68">
                    <c:v>O</c:v>
                  </c:pt>
                  <c:pt idx="69">
                    <c:v>N</c:v>
                  </c:pt>
                  <c:pt idx="70">
                    <c:v>D</c:v>
                  </c:pt>
                  <c:pt idx="71">
                    <c:v>E</c:v>
                  </c:pt>
                  <c:pt idx="72">
                    <c:v>F</c:v>
                  </c:pt>
                  <c:pt idx="73">
                    <c:v>M</c:v>
                  </c:pt>
                  <c:pt idx="74">
                    <c:v>A</c:v>
                  </c:pt>
                  <c:pt idx="75">
                    <c:v>M</c:v>
                  </c:pt>
                  <c:pt idx="76">
                    <c:v>J</c:v>
                  </c:pt>
                  <c:pt idx="77">
                    <c:v>J</c:v>
                  </c:pt>
                  <c:pt idx="78">
                    <c:v>A</c:v>
                  </c:pt>
                  <c:pt idx="79">
                    <c:v>S</c:v>
                  </c:pt>
                  <c:pt idx="80">
                    <c:v>O*</c:v>
                  </c:pt>
                </c:lvl>
                <c:lvl>
                  <c:pt idx="0">
                    <c:v>2016</c:v>
                  </c:pt>
                  <c:pt idx="11">
                    <c:v>2017</c:v>
                  </c:pt>
                  <c:pt idx="23">
                    <c:v>2018</c:v>
                  </c:pt>
                  <c:pt idx="35">
                    <c:v>2019</c:v>
                  </c:pt>
                  <c:pt idx="47">
                    <c:v>2020</c:v>
                  </c:pt>
                  <c:pt idx="59">
                    <c:v>2021</c:v>
                  </c:pt>
                  <c:pt idx="71">
                    <c:v>2022</c:v>
                  </c:pt>
                </c:lvl>
              </c:multiLvlStrCache>
              <c:extLst/>
            </c:multiLvlStrRef>
          </c:cat>
          <c:val>
            <c:numRef>
              <c:f>(datos!$V$5:$V$6,datos!$V$8:$V$86)</c:f>
              <c:numCache>
                <c:formatCode>#,##0.0</c:formatCode>
                <c:ptCount val="81"/>
                <c:pt idx="0">
                  <c:v>29621.682281964222</c:v>
                </c:pt>
                <c:pt idx="1">
                  <c:v>29386.87444960928</c:v>
                </c:pt>
                <c:pt idx="2">
                  <c:v>29062.923319622099</c:v>
                </c:pt>
                <c:pt idx="3">
                  <c:v>29040.521869823937</c:v>
                </c:pt>
                <c:pt idx="4">
                  <c:v>29087.384978558941</c:v>
                </c:pt>
                <c:pt idx="5">
                  <c:v>29197.732790122638</c:v>
                </c:pt>
                <c:pt idx="6">
                  <c:v>29370.72542980055</c:v>
                </c:pt>
                <c:pt idx="7">
                  <c:v>29578.132710399132</c:v>
                </c:pt>
                <c:pt idx="8">
                  <c:v>29796.107614855977</c:v>
                </c:pt>
                <c:pt idx="9">
                  <c:v>30002.521809408969</c:v>
                </c:pt>
                <c:pt idx="10">
                  <c:v>30182.457897609052</c:v>
                </c:pt>
                <c:pt idx="11">
                  <c:v>30372.053969559318</c:v>
                </c:pt>
                <c:pt idx="12">
                  <c:v>30588.279938873202</c:v>
                </c:pt>
                <c:pt idx="13">
                  <c:v>30838.449184665973</c:v>
                </c:pt>
                <c:pt idx="14">
                  <c:v>31104.936685681962</c:v>
                </c:pt>
                <c:pt idx="15">
                  <c:v>31374.95385780932</c:v>
                </c:pt>
                <c:pt idx="16">
                  <c:v>31623.093932038442</c:v>
                </c:pt>
                <c:pt idx="17">
                  <c:v>31824.683285252118</c:v>
                </c:pt>
                <c:pt idx="18">
                  <c:v>31974.382691272236</c:v>
                </c:pt>
                <c:pt idx="19">
                  <c:v>32084.663778289971</c:v>
                </c:pt>
                <c:pt idx="20">
                  <c:v>32223.571873299112</c:v>
                </c:pt>
                <c:pt idx="21">
                  <c:v>32430.531681399618</c:v>
                </c:pt>
                <c:pt idx="22">
                  <c:v>32719.625826923009</c:v>
                </c:pt>
                <c:pt idx="23">
                  <c:v>33059.624687122821</c:v>
                </c:pt>
                <c:pt idx="24">
                  <c:v>33419.737010653102</c:v>
                </c:pt>
                <c:pt idx="25">
                  <c:v>33764.66360975062</c:v>
                </c:pt>
                <c:pt idx="26">
                  <c:v>34051.417664108172</c:v>
                </c:pt>
                <c:pt idx="27">
                  <c:v>34269.619397534865</c:v>
                </c:pt>
                <c:pt idx="28">
                  <c:v>34443.024234965022</c:v>
                </c:pt>
                <c:pt idx="29">
                  <c:v>34580.058952794388</c:v>
                </c:pt>
                <c:pt idx="30">
                  <c:v>34664.829163850671</c:v>
                </c:pt>
                <c:pt idx="31">
                  <c:v>34714.207368555712</c:v>
                </c:pt>
                <c:pt idx="32">
                  <c:v>34697.494373529851</c:v>
                </c:pt>
                <c:pt idx="33">
                  <c:v>34611.278395084191</c:v>
                </c:pt>
                <c:pt idx="34">
                  <c:v>34506.239244877368</c:v>
                </c:pt>
                <c:pt idx="35">
                  <c:v>34394.085748627913</c:v>
                </c:pt>
                <c:pt idx="36">
                  <c:v>34306.689032123875</c:v>
                </c:pt>
                <c:pt idx="37">
                  <c:v>34278.907572603173</c:v>
                </c:pt>
                <c:pt idx="38">
                  <c:v>34314.874821139441</c:v>
                </c:pt>
                <c:pt idx="39">
                  <c:v>34383.010352700039</c:v>
                </c:pt>
                <c:pt idx="40">
                  <c:v>34422.966049158487</c:v>
                </c:pt>
                <c:pt idx="41">
                  <c:v>34368.295291061841</c:v>
                </c:pt>
                <c:pt idx="42">
                  <c:v>34204.938776965108</c:v>
                </c:pt>
                <c:pt idx="43">
                  <c:v>33946.99982132193</c:v>
                </c:pt>
                <c:pt idx="44">
                  <c:v>33628.621123042671</c:v>
                </c:pt>
                <c:pt idx="45">
                  <c:v>33270.825852322821</c:v>
                </c:pt>
                <c:pt idx="46">
                  <c:v>32882.89986447159</c:v>
                </c:pt>
                <c:pt idx="47">
                  <c:v>32505.04200357537</c:v>
                </c:pt>
                <c:pt idx="48">
                  <c:v>32188.855416464477</c:v>
                </c:pt>
                <c:pt idx="49">
                  <c:v>31993.559071399814</c:v>
                </c:pt>
                <c:pt idx="50">
                  <c:v>25161.82101814499</c:v>
                </c:pt>
                <c:pt idx="51">
                  <c:v>25487.596805342982</c:v>
                </c:pt>
                <c:pt idx="52">
                  <c:v>26188.99197036849</c:v>
                </c:pt>
                <c:pt idx="53">
                  <c:v>27245.251889977993</c:v>
                </c:pt>
                <c:pt idx="54">
                  <c:v>28533.495526306582</c:v>
                </c:pt>
                <c:pt idx="55">
                  <c:v>29892.797932150152</c:v>
                </c:pt>
                <c:pt idx="56">
                  <c:v>31202.51194626842</c:v>
                </c:pt>
                <c:pt idx="57">
                  <c:v>32391.840540548863</c:v>
                </c:pt>
                <c:pt idx="58">
                  <c:v>33437.375439223884</c:v>
                </c:pt>
                <c:pt idx="59">
                  <c:v>34348.184223723154</c:v>
                </c:pt>
                <c:pt idx="60">
                  <c:v>35153.630242531348</c:v>
                </c:pt>
                <c:pt idx="61">
                  <c:v>35878.656262137061</c:v>
                </c:pt>
                <c:pt idx="62">
                  <c:v>36510.583688364706</c:v>
                </c:pt>
                <c:pt idx="63">
                  <c:v>37016.858911083902</c:v>
                </c:pt>
                <c:pt idx="64">
                  <c:v>37390.076898094849</c:v>
                </c:pt>
                <c:pt idx="65">
                  <c:v>37678.431455765109</c:v>
                </c:pt>
                <c:pt idx="66">
                  <c:v>37983.299962630481</c:v>
                </c:pt>
                <c:pt idx="67">
                  <c:v>38390.8531048308</c:v>
                </c:pt>
                <c:pt idx="68">
                  <c:v>38961.411271172328</c:v>
                </c:pt>
                <c:pt idx="69">
                  <c:v>39734.47905871753</c:v>
                </c:pt>
                <c:pt idx="70">
                  <c:v>40686.753680350645</c:v>
                </c:pt>
                <c:pt idx="71">
                  <c:v>41741.320571696313</c:v>
                </c:pt>
                <c:pt idx="72">
                  <c:v>42795.948314972564</c:v>
                </c:pt>
                <c:pt idx="73">
                  <c:v>43731.359078196787</c:v>
                </c:pt>
                <c:pt idx="74">
                  <c:v>44465.287357958194</c:v>
                </c:pt>
                <c:pt idx="75">
                  <c:v>44950.899860993639</c:v>
                </c:pt>
                <c:pt idx="76">
                  <c:v>45178.142904042979</c:v>
                </c:pt>
                <c:pt idx="77">
                  <c:v>45208.25699304475</c:v>
                </c:pt>
                <c:pt idx="78">
                  <c:v>45137.693644739644</c:v>
                </c:pt>
                <c:pt idx="79">
                  <c:v>45080.572273947786</c:v>
                </c:pt>
                <c:pt idx="80">
                  <c:v>45140.217799694008</c:v>
                </c:pt>
              </c:numCache>
              <c:extLst/>
            </c:numRef>
          </c:val>
          <c:smooth val="0"/>
          <c:extLst>
            <c:ext xmlns:c16="http://schemas.microsoft.com/office/drawing/2014/chart" uri="{C3380CC4-5D6E-409C-BE32-E72D297353CC}">
              <c16:uniqueId val="{00000001-A05F-4DF4-8F2C-DA8F2BF3B495}"/>
            </c:ext>
          </c:extLst>
        </c:ser>
        <c:dLbls>
          <c:showLegendKey val="0"/>
          <c:showVal val="0"/>
          <c:showCatName val="0"/>
          <c:showSerName val="0"/>
          <c:showPercent val="0"/>
          <c:showBubbleSize val="0"/>
        </c:dLbls>
        <c:smooth val="0"/>
        <c:axId val="530007200"/>
        <c:axId val="530007984"/>
      </c:lineChart>
      <c:catAx>
        <c:axId val="53000720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530007984"/>
        <c:crosses val="autoZero"/>
        <c:auto val="1"/>
        <c:lblAlgn val="ctr"/>
        <c:lblOffset val="0"/>
        <c:tickLblSkip val="1"/>
        <c:tickMarkSkip val="1"/>
        <c:noMultiLvlLbl val="1"/>
      </c:catAx>
      <c:valAx>
        <c:axId val="530007984"/>
        <c:scaling>
          <c:orientation val="minMax"/>
          <c:max val="51000"/>
          <c:min val="20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530007200"/>
        <c:crosses val="max"/>
        <c:crossBetween val="between"/>
        <c:majorUnit val="6000"/>
        <c:minorUnit val="10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
          <c:y val="0.93827890422485205"/>
          <c:w val="0.99478885267615924"/>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Bienes de Consumo</a:t>
            </a:r>
          </a:p>
        </c:rich>
      </c:tx>
      <c:layout>
        <c:manualLayout>
          <c:xMode val="edge"/>
          <c:yMode val="edge"/>
          <c:x val="0.33466326769809185"/>
          <c:y val="0"/>
        </c:manualLayout>
      </c:layout>
      <c:overlay val="1"/>
    </c:title>
    <c:autoTitleDeleted val="0"/>
    <c:plotArea>
      <c:layout>
        <c:manualLayout>
          <c:layoutTarget val="inner"/>
          <c:xMode val="edge"/>
          <c:yMode val="edge"/>
          <c:x val="2.7150492264416341E-2"/>
          <c:y val="5.8894204389574774E-2"/>
          <c:w val="0.88382032348804562"/>
          <c:h val="0.79060819615914713"/>
        </c:manualLayout>
      </c:layout>
      <c:lineChart>
        <c:grouping val="standard"/>
        <c:varyColors val="0"/>
        <c:ser>
          <c:idx val="1"/>
          <c:order val="0"/>
          <c:tx>
            <c:strRef>
              <c:f>datos!$W$4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datos!$A$5:$B$86</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2016</c:v>
                  </c:pt>
                  <c:pt idx="12">
                    <c:v>2017</c:v>
                  </c:pt>
                  <c:pt idx="24">
                    <c:v>2018</c:v>
                  </c:pt>
                  <c:pt idx="36">
                    <c:v>2019</c:v>
                  </c:pt>
                  <c:pt idx="48">
                    <c:v>2020</c:v>
                  </c:pt>
                  <c:pt idx="60">
                    <c:v>2021</c:v>
                  </c:pt>
                  <c:pt idx="72">
                    <c:v>2022</c:v>
                  </c:pt>
                </c:lvl>
              </c:multiLvlStrCache>
            </c:multiLvlStrRef>
          </c:cat>
          <c:val>
            <c:numRef>
              <c:f>datos!$W$5:$W$86</c:f>
              <c:numCache>
                <c:formatCode>#,##0.0</c:formatCode>
                <c:ptCount val="82"/>
                <c:pt idx="0">
                  <c:v>4348.0753213142098</c:v>
                </c:pt>
                <c:pt idx="1">
                  <c:v>4249.2109591010803</c:v>
                </c:pt>
                <c:pt idx="2">
                  <c:v>4154.1008425876598</c:v>
                </c:pt>
                <c:pt idx="3">
                  <c:v>4250.7883871341101</c:v>
                </c:pt>
                <c:pt idx="4">
                  <c:v>4371.2812082568698</c:v>
                </c:pt>
                <c:pt idx="5">
                  <c:v>4258.7685468487698</c:v>
                </c:pt>
                <c:pt idx="6">
                  <c:v>4615.8768357125</c:v>
                </c:pt>
                <c:pt idx="7">
                  <c:v>4189.3571908430904</c:v>
                </c:pt>
                <c:pt idx="8">
                  <c:v>4462.0347554578702</c:v>
                </c:pt>
                <c:pt idx="9">
                  <c:v>4331.0520602413098</c:v>
                </c:pt>
                <c:pt idx="10">
                  <c:v>4235.1339878485496</c:v>
                </c:pt>
                <c:pt idx="11">
                  <c:v>4477.7242346222802</c:v>
                </c:pt>
                <c:pt idx="12">
                  <c:v>4464.2105358117797</c:v>
                </c:pt>
                <c:pt idx="13">
                  <c:v>4702.4693150040202</c:v>
                </c:pt>
                <c:pt idx="14">
                  <c:v>4717.3222230701804</c:v>
                </c:pt>
                <c:pt idx="15">
                  <c:v>4547.7039712012102</c:v>
                </c:pt>
                <c:pt idx="16">
                  <c:v>4643.3329397322204</c:v>
                </c:pt>
                <c:pt idx="17">
                  <c:v>4736.4152588339302</c:v>
                </c:pt>
                <c:pt idx="18">
                  <c:v>4716.8857402773501</c:v>
                </c:pt>
                <c:pt idx="19">
                  <c:v>4722.7146925512398</c:v>
                </c:pt>
                <c:pt idx="20">
                  <c:v>4954.5526091157599</c:v>
                </c:pt>
                <c:pt idx="21">
                  <c:v>4891.68692564294</c:v>
                </c:pt>
                <c:pt idx="22">
                  <c:v>4908.9257243171696</c:v>
                </c:pt>
                <c:pt idx="23">
                  <c:v>5456.0060282799104</c:v>
                </c:pt>
                <c:pt idx="24">
                  <c:v>4996.9383041332703</c:v>
                </c:pt>
                <c:pt idx="25">
                  <c:v>5269.7906375878601</c:v>
                </c:pt>
                <c:pt idx="26">
                  <c:v>5410.2495568698896</c:v>
                </c:pt>
                <c:pt idx="27">
                  <c:v>5258.4186612470703</c:v>
                </c:pt>
                <c:pt idx="28">
                  <c:v>5250.6662476809297</c:v>
                </c:pt>
                <c:pt idx="29">
                  <c:v>5341.5065541166796</c:v>
                </c:pt>
                <c:pt idx="30">
                  <c:v>5319.0491793656402</c:v>
                </c:pt>
                <c:pt idx="31">
                  <c:v>5495.3079030464796</c:v>
                </c:pt>
                <c:pt idx="32">
                  <c:v>5305.0230287240602</c:v>
                </c:pt>
                <c:pt idx="33">
                  <c:v>5295.9567816943299</c:v>
                </c:pt>
                <c:pt idx="34">
                  <c:v>5171.3426628410698</c:v>
                </c:pt>
                <c:pt idx="35">
                  <c:v>4926.08745334387</c:v>
                </c:pt>
                <c:pt idx="36">
                  <c:v>4885.4467488371001</c:v>
                </c:pt>
                <c:pt idx="37">
                  <c:v>4963.4429128523798</c:v>
                </c:pt>
                <c:pt idx="38">
                  <c:v>5191.9738193085504</c:v>
                </c:pt>
                <c:pt idx="39">
                  <c:v>5368.7367124429502</c:v>
                </c:pt>
                <c:pt idx="40">
                  <c:v>5344.8752773898595</c:v>
                </c:pt>
                <c:pt idx="41">
                  <c:v>5184.1739692758802</c:v>
                </c:pt>
                <c:pt idx="42">
                  <c:v>5035.5154690228201</c:v>
                </c:pt>
                <c:pt idx="43">
                  <c:v>5058.3636372447299</c:v>
                </c:pt>
                <c:pt idx="44">
                  <c:v>4891.6325784071096</c:v>
                </c:pt>
                <c:pt idx="45">
                  <c:v>5165.74018341593</c:v>
                </c:pt>
                <c:pt idx="46">
                  <c:v>5096.3182811896404</c:v>
                </c:pt>
                <c:pt idx="47">
                  <c:v>4918.5929426896801</c:v>
                </c:pt>
                <c:pt idx="48">
                  <c:v>5205.5223199474704</c:v>
                </c:pt>
                <c:pt idx="49">
                  <c:v>5018.8833856116498</c:v>
                </c:pt>
                <c:pt idx="50">
                  <c:v>4379.1864297514603</c:v>
                </c:pt>
                <c:pt idx="51">
                  <c:v>2913.73724079976</c:v>
                </c:pt>
                <c:pt idx="52">
                  <c:v>2550.8579605928298</c:v>
                </c:pt>
                <c:pt idx="53">
                  <c:v>2701.27859710246</c:v>
                </c:pt>
                <c:pt idx="54">
                  <c:v>3233.7822663050501</c:v>
                </c:pt>
                <c:pt idx="55">
                  <c:v>3758.4559914655601</c:v>
                </c:pt>
                <c:pt idx="56">
                  <c:v>3808.2023918588002</c:v>
                </c:pt>
                <c:pt idx="57">
                  <c:v>3748.7568416813001</c:v>
                </c:pt>
                <c:pt idx="58">
                  <c:v>4199.9959632761702</c:v>
                </c:pt>
                <c:pt idx="59">
                  <c:v>4383.35658209352</c:v>
                </c:pt>
                <c:pt idx="60">
                  <c:v>4505.8743105835401</c:v>
                </c:pt>
                <c:pt idx="61">
                  <c:v>4417.3874102975897</c:v>
                </c:pt>
                <c:pt idx="62">
                  <c:v>4847.7323977215801</c:v>
                </c:pt>
                <c:pt idx="63">
                  <c:v>4705.4813433641702</c:v>
                </c:pt>
                <c:pt idx="64">
                  <c:v>5502.0215161464803</c:v>
                </c:pt>
                <c:pt idx="65">
                  <c:v>5356.1571171448104</c:v>
                </c:pt>
                <c:pt idx="66">
                  <c:v>5375.3795379637704</c:v>
                </c:pt>
                <c:pt idx="67">
                  <c:v>5195.7236521124696</c:v>
                </c:pt>
                <c:pt idx="68">
                  <c:v>5213.0194336523</c:v>
                </c:pt>
                <c:pt idx="69">
                  <c:v>5361.8663371850398</c:v>
                </c:pt>
                <c:pt idx="70">
                  <c:v>5434.1627542441502</c:v>
                </c:pt>
                <c:pt idx="71">
                  <c:v>5839.0011295877002</c:v>
                </c:pt>
                <c:pt idx="72">
                  <c:v>5924.2240641460503</c:v>
                </c:pt>
                <c:pt idx="73">
                  <c:v>6200.0196161418598</c:v>
                </c:pt>
                <c:pt idx="74">
                  <c:v>6694.1951160431399</c:v>
                </c:pt>
                <c:pt idx="75">
                  <c:v>6872.1842523595597</c:v>
                </c:pt>
                <c:pt idx="76">
                  <c:v>7050.6796633312697</c:v>
                </c:pt>
                <c:pt idx="77">
                  <c:v>7837.1096495443699</c:v>
                </c:pt>
                <c:pt idx="78">
                  <c:v>7582.4214543800199</c:v>
                </c:pt>
                <c:pt idx="79">
                  <c:v>7149.68098714796</c:v>
                </c:pt>
                <c:pt idx="80">
                  <c:v>6977.8015740913897</c:v>
                </c:pt>
                <c:pt idx="81">
                  <c:v>6129.64564241464</c:v>
                </c:pt>
              </c:numCache>
            </c:numRef>
          </c:val>
          <c:smooth val="0"/>
          <c:extLst>
            <c:ext xmlns:c16="http://schemas.microsoft.com/office/drawing/2014/chart" uri="{C3380CC4-5D6E-409C-BE32-E72D297353CC}">
              <c16:uniqueId val="{00000000-7002-4F86-B126-6CE7AD5029A5}"/>
            </c:ext>
          </c:extLst>
        </c:ser>
        <c:ser>
          <c:idx val="0"/>
          <c:order val="1"/>
          <c:tx>
            <c:strRef>
              <c:f>datos!$X$4</c:f>
              <c:strCache>
                <c:ptCount val="1"/>
                <c:pt idx="0">
                  <c:v>Serie de Tendencia-Ciclo</c:v>
                </c:pt>
              </c:strCache>
            </c:strRef>
          </c:tx>
          <c:spPr>
            <a:ln w="12700">
              <a:solidFill>
                <a:schemeClr val="tx2">
                  <a:lumMod val="75000"/>
                </a:schemeClr>
              </a:solidFill>
              <a:prstDash val="solid"/>
            </a:ln>
            <a:effectLst/>
          </c:spPr>
          <c:marker>
            <c:symbol val="none"/>
          </c:marker>
          <c:cat>
            <c:multiLvlStrRef>
              <c:f>datos!$A$5:$B$86</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2016</c:v>
                  </c:pt>
                  <c:pt idx="12">
                    <c:v>2017</c:v>
                  </c:pt>
                  <c:pt idx="24">
                    <c:v>2018</c:v>
                  </c:pt>
                  <c:pt idx="36">
                    <c:v>2019</c:v>
                  </c:pt>
                  <c:pt idx="48">
                    <c:v>2020</c:v>
                  </c:pt>
                  <c:pt idx="60">
                    <c:v>2021</c:v>
                  </c:pt>
                  <c:pt idx="72">
                    <c:v>2022</c:v>
                  </c:pt>
                </c:lvl>
              </c:multiLvlStrCache>
            </c:multiLvlStrRef>
          </c:cat>
          <c:val>
            <c:numRef>
              <c:f>datos!$X$5:$X$86</c:f>
              <c:numCache>
                <c:formatCode>#,##0.0</c:formatCode>
                <c:ptCount val="82"/>
                <c:pt idx="0">
                  <c:v>4406.8326460199005</c:v>
                </c:pt>
                <c:pt idx="1">
                  <c:v>4338.2669647469074</c:v>
                </c:pt>
                <c:pt idx="2">
                  <c:v>4292.643367488643</c:v>
                </c:pt>
                <c:pt idx="3">
                  <c:v>4273.3998214940675</c:v>
                </c:pt>
                <c:pt idx="4">
                  <c:v>4281.8241840921519</c:v>
                </c:pt>
                <c:pt idx="5">
                  <c:v>4299.6624236397738</c:v>
                </c:pt>
                <c:pt idx="6">
                  <c:v>4309.9275567132336</c:v>
                </c:pt>
                <c:pt idx="7">
                  <c:v>4311.9967956865512</c:v>
                </c:pt>
                <c:pt idx="8">
                  <c:v>4320.8604037874502</c:v>
                </c:pt>
                <c:pt idx="9">
                  <c:v>4353.89323658586</c:v>
                </c:pt>
                <c:pt idx="10">
                  <c:v>4412.4318581276002</c:v>
                </c:pt>
                <c:pt idx="11">
                  <c:v>4485.2030039678502</c:v>
                </c:pt>
                <c:pt idx="12">
                  <c:v>4556.1694789083995</c:v>
                </c:pt>
                <c:pt idx="13">
                  <c:v>4615.3334050850299</c:v>
                </c:pt>
                <c:pt idx="14">
                  <c:v>4650.22963020302</c:v>
                </c:pt>
                <c:pt idx="15">
                  <c:v>4665.8281739627</c:v>
                </c:pt>
                <c:pt idx="16">
                  <c:v>4670.5775177445794</c:v>
                </c:pt>
                <c:pt idx="17">
                  <c:v>4684.9017843004895</c:v>
                </c:pt>
                <c:pt idx="18">
                  <c:v>4729.6160105864201</c:v>
                </c:pt>
                <c:pt idx="19">
                  <c:v>4797.9872780529095</c:v>
                </c:pt>
                <c:pt idx="20">
                  <c:v>4875.1353800444303</c:v>
                </c:pt>
                <c:pt idx="21">
                  <c:v>4954.7586691138895</c:v>
                </c:pt>
                <c:pt idx="22">
                  <c:v>5035.2416382341698</c:v>
                </c:pt>
                <c:pt idx="23">
                  <c:v>5113.1418918732497</c:v>
                </c:pt>
                <c:pt idx="24">
                  <c:v>5179.9928407814896</c:v>
                </c:pt>
                <c:pt idx="25">
                  <c:v>5228.5523800072597</c:v>
                </c:pt>
                <c:pt idx="26">
                  <c:v>5265.7586545425002</c:v>
                </c:pt>
                <c:pt idx="27">
                  <c:v>5297.1125297169701</c:v>
                </c:pt>
                <c:pt idx="28">
                  <c:v>5324.3078777320898</c:v>
                </c:pt>
                <c:pt idx="29">
                  <c:v>5351.8024586852398</c:v>
                </c:pt>
                <c:pt idx="30">
                  <c:v>5368.30184457019</c:v>
                </c:pt>
                <c:pt idx="31">
                  <c:v>5358.8773064627894</c:v>
                </c:pt>
                <c:pt idx="32">
                  <c:v>5312.5741035303799</c:v>
                </c:pt>
                <c:pt idx="33">
                  <c:v>5223.0144798337697</c:v>
                </c:pt>
                <c:pt idx="34">
                  <c:v>5116.0302882290098</c:v>
                </c:pt>
                <c:pt idx="35">
                  <c:v>5038.3779462257207</c:v>
                </c:pt>
                <c:pt idx="36">
                  <c:v>5022.4734156743798</c:v>
                </c:pt>
                <c:pt idx="37">
                  <c:v>5066.8881478517296</c:v>
                </c:pt>
                <c:pt idx="38">
                  <c:v>5145.6927150803695</c:v>
                </c:pt>
                <c:pt idx="39">
                  <c:v>5209.5521052457498</c:v>
                </c:pt>
                <c:pt idx="40">
                  <c:v>5228.3768262520598</c:v>
                </c:pt>
                <c:pt idx="41">
                  <c:v>5198.1557534569301</c:v>
                </c:pt>
                <c:pt idx="42">
                  <c:v>5133.62700524311</c:v>
                </c:pt>
                <c:pt idx="43">
                  <c:v>5071.4627283390701</c:v>
                </c:pt>
                <c:pt idx="44">
                  <c:v>5048.0388094683804</c:v>
                </c:pt>
                <c:pt idx="45">
                  <c:v>5059.6201582700005</c:v>
                </c:pt>
                <c:pt idx="46">
                  <c:v>5071.5295760726603</c:v>
                </c:pt>
                <c:pt idx="47">
                  <c:v>5042.3563982728401</c:v>
                </c:pt>
                <c:pt idx="48">
                  <c:v>4949.9961599131402</c:v>
                </c:pt>
                <c:pt idx="49">
                  <c:v>4808.2423465069496</c:v>
                </c:pt>
                <c:pt idx="50">
                  <c:v>4658.7107619017197</c:v>
                </c:pt>
                <c:pt idx="51">
                  <c:v>2932.028812759454</c:v>
                </c:pt>
                <c:pt idx="52">
                  <c:v>2952.5404439408421</c:v>
                </c:pt>
                <c:pt idx="53">
                  <c:v>3056.4822422240259</c:v>
                </c:pt>
                <c:pt idx="54">
                  <c:v>3240.0614864908412</c:v>
                </c:pt>
                <c:pt idx="55">
                  <c:v>3477.9045428983663</c:v>
                </c:pt>
                <c:pt idx="56">
                  <c:v>3728.2892752503949</c:v>
                </c:pt>
                <c:pt idx="57">
                  <c:v>3963.8172530689239</c:v>
                </c:pt>
                <c:pt idx="58">
                  <c:v>4172.5552734414578</c:v>
                </c:pt>
                <c:pt idx="59">
                  <c:v>4351.1705548956616</c:v>
                </c:pt>
                <c:pt idx="60">
                  <c:v>4513.7456197807869</c:v>
                </c:pt>
                <c:pt idx="61">
                  <c:v>4679.2307813500902</c:v>
                </c:pt>
                <c:pt idx="62">
                  <c:v>4851.4545844457098</c:v>
                </c:pt>
                <c:pt idx="63">
                  <c:v>5014.8056856881303</c:v>
                </c:pt>
                <c:pt idx="64">
                  <c:v>5147.1568383584899</c:v>
                </c:pt>
                <c:pt idx="65">
                  <c:v>5230.0363962528199</c:v>
                </c:pt>
                <c:pt idx="66">
                  <c:v>5266.79277487535</c:v>
                </c:pt>
                <c:pt idx="67">
                  <c:v>5281.3756697991503</c:v>
                </c:pt>
                <c:pt idx="68">
                  <c:v>5305.3317737942698</c:v>
                </c:pt>
                <c:pt idx="69">
                  <c:v>5375.3338550443095</c:v>
                </c:pt>
                <c:pt idx="70">
                  <c:v>5515.5867696752603</c:v>
                </c:pt>
                <c:pt idx="71">
                  <c:v>5728.9084412815901</c:v>
                </c:pt>
                <c:pt idx="72">
                  <c:v>5993.3606914407101</c:v>
                </c:pt>
                <c:pt idx="73">
                  <c:v>6289.5428343936101</c:v>
                </c:pt>
                <c:pt idx="74">
                  <c:v>6595.8108265230003</c:v>
                </c:pt>
                <c:pt idx="75">
                  <c:v>6882.6806507236297</c:v>
                </c:pt>
                <c:pt idx="76">
                  <c:v>7108.4817532432899</c:v>
                </c:pt>
                <c:pt idx="77">
                  <c:v>7237.2340223942001</c:v>
                </c:pt>
                <c:pt idx="78">
                  <c:v>7257.0770473658604</c:v>
                </c:pt>
                <c:pt idx="79">
                  <c:v>7180.1783366232303</c:v>
                </c:pt>
                <c:pt idx="80">
                  <c:v>7053.237041687411</c:v>
                </c:pt>
                <c:pt idx="81">
                  <c:v>6932.4315123596007</c:v>
                </c:pt>
              </c:numCache>
            </c:numRef>
          </c:val>
          <c:smooth val="0"/>
          <c:extLst>
            <c:ext xmlns:c16="http://schemas.microsoft.com/office/drawing/2014/chart" uri="{C3380CC4-5D6E-409C-BE32-E72D297353CC}">
              <c16:uniqueId val="{00000001-7002-4F86-B126-6CE7AD5029A5}"/>
            </c:ext>
          </c:extLst>
        </c:ser>
        <c:dLbls>
          <c:showLegendKey val="0"/>
          <c:showVal val="0"/>
          <c:showCatName val="0"/>
          <c:showSerName val="0"/>
          <c:showPercent val="0"/>
          <c:showBubbleSize val="0"/>
        </c:dLbls>
        <c:smooth val="0"/>
        <c:axId val="530006808"/>
        <c:axId val="530008376"/>
      </c:lineChart>
      <c:catAx>
        <c:axId val="53000680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530008376"/>
        <c:crosses val="autoZero"/>
        <c:auto val="1"/>
        <c:lblAlgn val="ctr"/>
        <c:lblOffset val="0"/>
        <c:tickLblSkip val="1"/>
        <c:tickMarkSkip val="1"/>
        <c:noMultiLvlLbl val="1"/>
      </c:catAx>
      <c:valAx>
        <c:axId val="530008376"/>
        <c:scaling>
          <c:orientation val="minMax"/>
          <c:max val="8600"/>
          <c:min val="24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530006808"/>
        <c:crosses val="max"/>
        <c:crossBetween val="between"/>
        <c:majorUnit val="1200"/>
        <c:minorUnit val="1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3.4014198251236874E-3"/>
          <c:y val="0.93832860922146633"/>
          <c:w val="0.98575444260001788"/>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Bienes Intermedios</a:t>
            </a:r>
          </a:p>
        </c:rich>
      </c:tx>
      <c:layout>
        <c:manualLayout>
          <c:xMode val="edge"/>
          <c:yMode val="edge"/>
          <c:x val="0.33368834974216727"/>
          <c:y val="2.1776406035665294E-3"/>
        </c:manualLayout>
      </c:layout>
      <c:overlay val="1"/>
    </c:title>
    <c:autoTitleDeleted val="0"/>
    <c:plotArea>
      <c:layout>
        <c:manualLayout>
          <c:layoutTarget val="inner"/>
          <c:xMode val="edge"/>
          <c:yMode val="edge"/>
          <c:x val="2.7150492264416341E-2"/>
          <c:y val="5.8894204389574774E-2"/>
          <c:w val="0.87057255039852288"/>
          <c:h val="0.79060819615914713"/>
        </c:manualLayout>
      </c:layout>
      <c:lineChart>
        <c:grouping val="standard"/>
        <c:varyColors val="0"/>
        <c:ser>
          <c:idx val="1"/>
          <c:order val="0"/>
          <c:tx>
            <c:strRef>
              <c:f>datos!$Y$4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datos!$A$5:$B$86</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2016</c:v>
                  </c:pt>
                  <c:pt idx="12">
                    <c:v>2017</c:v>
                  </c:pt>
                  <c:pt idx="24">
                    <c:v>2018</c:v>
                  </c:pt>
                  <c:pt idx="36">
                    <c:v>2019</c:v>
                  </c:pt>
                  <c:pt idx="48">
                    <c:v>2020</c:v>
                  </c:pt>
                  <c:pt idx="60">
                    <c:v>2021</c:v>
                  </c:pt>
                  <c:pt idx="72">
                    <c:v>2022</c:v>
                  </c:pt>
                </c:lvl>
              </c:multiLvlStrCache>
            </c:multiLvlStrRef>
          </c:cat>
          <c:val>
            <c:numRef>
              <c:f>datos!$Y$5:$Y$86</c:f>
              <c:numCache>
                <c:formatCode>#,##0.0</c:formatCode>
                <c:ptCount val="82"/>
                <c:pt idx="0">
                  <c:v>24240.905789344</c:v>
                </c:pt>
                <c:pt idx="1">
                  <c:v>24122.5729932334</c:v>
                </c:pt>
                <c:pt idx="2">
                  <c:v>23751.078413969099</c:v>
                </c:pt>
                <c:pt idx="3">
                  <c:v>24906.349994317901</c:v>
                </c:pt>
                <c:pt idx="4">
                  <c:v>23948.522187199302</c:v>
                </c:pt>
                <c:pt idx="5">
                  <c:v>23980.391621823401</c:v>
                </c:pt>
                <c:pt idx="6">
                  <c:v>24336.730557588198</c:v>
                </c:pt>
                <c:pt idx="7">
                  <c:v>24273.835773325402</c:v>
                </c:pt>
                <c:pt idx="8">
                  <c:v>25423.447393041799</c:v>
                </c:pt>
                <c:pt idx="9">
                  <c:v>24659.873436621299</c:v>
                </c:pt>
                <c:pt idx="10">
                  <c:v>25322.3175922923</c:v>
                </c:pt>
                <c:pt idx="11">
                  <c:v>25927.199456637201</c:v>
                </c:pt>
                <c:pt idx="12">
                  <c:v>26005.558971982799</c:v>
                </c:pt>
                <c:pt idx="13">
                  <c:v>25883.363457942702</c:v>
                </c:pt>
                <c:pt idx="14">
                  <c:v>26101.2523515508</c:v>
                </c:pt>
                <c:pt idx="15">
                  <c:v>25869.5573518155</c:v>
                </c:pt>
                <c:pt idx="16">
                  <c:v>26524.346140579099</c:v>
                </c:pt>
                <c:pt idx="17">
                  <c:v>26927.057226415502</c:v>
                </c:pt>
                <c:pt idx="18">
                  <c:v>26523.172620793899</c:v>
                </c:pt>
                <c:pt idx="19">
                  <c:v>27530.989054547899</c:v>
                </c:pt>
                <c:pt idx="20">
                  <c:v>27114.796956988699</c:v>
                </c:pt>
                <c:pt idx="21">
                  <c:v>27968.0409761667</c:v>
                </c:pt>
                <c:pt idx="22">
                  <c:v>27430.511086177699</c:v>
                </c:pt>
                <c:pt idx="23">
                  <c:v>28659.981541651301</c:v>
                </c:pt>
                <c:pt idx="24">
                  <c:v>27788.169701649302</c:v>
                </c:pt>
                <c:pt idx="25">
                  <c:v>28522.9982819016</c:v>
                </c:pt>
                <c:pt idx="26">
                  <c:v>29816.746094274102</c:v>
                </c:pt>
                <c:pt idx="27">
                  <c:v>29065.0950777541</c:v>
                </c:pt>
                <c:pt idx="28">
                  <c:v>29912.488586600201</c:v>
                </c:pt>
                <c:pt idx="29">
                  <c:v>29939.028054716098</c:v>
                </c:pt>
                <c:pt idx="30">
                  <c:v>29916.296696473601</c:v>
                </c:pt>
                <c:pt idx="31">
                  <c:v>29646.877958138401</c:v>
                </c:pt>
                <c:pt idx="32">
                  <c:v>30206.671773257502</c:v>
                </c:pt>
                <c:pt idx="33">
                  <c:v>30255.372357504701</c:v>
                </c:pt>
                <c:pt idx="34">
                  <c:v>30969.707409789298</c:v>
                </c:pt>
                <c:pt idx="35">
                  <c:v>29344.419432856801</c:v>
                </c:pt>
                <c:pt idx="36">
                  <c:v>29974.325724649101</c:v>
                </c:pt>
                <c:pt idx="37">
                  <c:v>29860.393364207099</c:v>
                </c:pt>
                <c:pt idx="38">
                  <c:v>29556.3807445005</c:v>
                </c:pt>
                <c:pt idx="39">
                  <c:v>30103.279245238398</c:v>
                </c:pt>
                <c:pt idx="40">
                  <c:v>29869.390154752498</c:v>
                </c:pt>
                <c:pt idx="41">
                  <c:v>29556.331682755001</c:v>
                </c:pt>
                <c:pt idx="42">
                  <c:v>29909.885982975102</c:v>
                </c:pt>
                <c:pt idx="43">
                  <c:v>29741.2776285808</c:v>
                </c:pt>
                <c:pt idx="44">
                  <c:v>29267.2973617022</c:v>
                </c:pt>
                <c:pt idx="45">
                  <c:v>28652.832251690499</c:v>
                </c:pt>
                <c:pt idx="46">
                  <c:v>28128.704373903602</c:v>
                </c:pt>
                <c:pt idx="47">
                  <c:v>28201.9048736636</c:v>
                </c:pt>
                <c:pt idx="48">
                  <c:v>28652.229981568598</c:v>
                </c:pt>
                <c:pt idx="49">
                  <c:v>28330.213714552701</c:v>
                </c:pt>
                <c:pt idx="50">
                  <c:v>27588.598211867</c:v>
                </c:pt>
                <c:pt idx="51">
                  <c:v>21524.256805807199</c:v>
                </c:pt>
                <c:pt idx="52">
                  <c:v>17117.8554292478</c:v>
                </c:pt>
                <c:pt idx="53">
                  <c:v>22265.154704299701</c:v>
                </c:pt>
                <c:pt idx="54">
                  <c:v>22386.632335477199</c:v>
                </c:pt>
                <c:pt idx="55">
                  <c:v>24525.009075623198</c:v>
                </c:pt>
                <c:pt idx="56">
                  <c:v>26189.442195511001</c:v>
                </c:pt>
                <c:pt idx="57">
                  <c:v>27072.915710376001</c:v>
                </c:pt>
                <c:pt idx="58">
                  <c:v>28409.624457145401</c:v>
                </c:pt>
                <c:pt idx="59">
                  <c:v>28890.703790347299</c:v>
                </c:pt>
                <c:pt idx="60">
                  <c:v>29905.047445109401</c:v>
                </c:pt>
                <c:pt idx="61">
                  <c:v>28705.854078726199</c:v>
                </c:pt>
                <c:pt idx="62">
                  <c:v>35557.524410828803</c:v>
                </c:pt>
                <c:pt idx="63">
                  <c:v>31859.402706080102</c:v>
                </c:pt>
                <c:pt idx="64">
                  <c:v>32759.823730728</c:v>
                </c:pt>
                <c:pt idx="65">
                  <c:v>33023.601502060097</c:v>
                </c:pt>
                <c:pt idx="66">
                  <c:v>35291.379298075</c:v>
                </c:pt>
                <c:pt idx="67">
                  <c:v>34319.389112450001</c:v>
                </c:pt>
                <c:pt idx="68">
                  <c:v>33943.780868032598</c:v>
                </c:pt>
                <c:pt idx="69">
                  <c:v>34726.603629313999</c:v>
                </c:pt>
                <c:pt idx="70">
                  <c:v>35305.7277988797</c:v>
                </c:pt>
                <c:pt idx="71">
                  <c:v>36591.576755157599</c:v>
                </c:pt>
                <c:pt idx="72">
                  <c:v>35092.954895024101</c:v>
                </c:pt>
                <c:pt idx="73">
                  <c:v>38923.597297656401</c:v>
                </c:pt>
                <c:pt idx="74">
                  <c:v>38756.511057736403</c:v>
                </c:pt>
                <c:pt idx="75">
                  <c:v>40751.363530471703</c:v>
                </c:pt>
                <c:pt idx="76">
                  <c:v>40808.583325542801</c:v>
                </c:pt>
                <c:pt idx="77">
                  <c:v>43193.986600891803</c:v>
                </c:pt>
                <c:pt idx="78">
                  <c:v>41340.288325835601</c:v>
                </c:pt>
                <c:pt idx="79">
                  <c:v>40614.423725515197</c:v>
                </c:pt>
                <c:pt idx="80">
                  <c:v>40462.195646181899</c:v>
                </c:pt>
                <c:pt idx="81">
                  <c:v>40066.226207319603</c:v>
                </c:pt>
              </c:numCache>
            </c:numRef>
          </c:val>
          <c:smooth val="0"/>
          <c:extLst>
            <c:ext xmlns:c16="http://schemas.microsoft.com/office/drawing/2014/chart" uri="{C3380CC4-5D6E-409C-BE32-E72D297353CC}">
              <c16:uniqueId val="{00000000-9D90-4007-B150-0A3CF86D6D32}"/>
            </c:ext>
          </c:extLst>
        </c:ser>
        <c:ser>
          <c:idx val="0"/>
          <c:order val="1"/>
          <c:tx>
            <c:strRef>
              <c:f>datos!$Z$4</c:f>
              <c:strCache>
                <c:ptCount val="1"/>
                <c:pt idx="0">
                  <c:v>Serie de Tendencia-Ciclo</c:v>
                </c:pt>
              </c:strCache>
            </c:strRef>
          </c:tx>
          <c:spPr>
            <a:ln w="12700">
              <a:solidFill>
                <a:schemeClr val="tx2">
                  <a:lumMod val="75000"/>
                </a:schemeClr>
              </a:solidFill>
              <a:prstDash val="solid"/>
            </a:ln>
            <a:effectLst/>
          </c:spPr>
          <c:marker>
            <c:symbol val="none"/>
          </c:marker>
          <c:cat>
            <c:multiLvlStrRef>
              <c:f>datos!$A$5:$B$86</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2016</c:v>
                  </c:pt>
                  <c:pt idx="12">
                    <c:v>2017</c:v>
                  </c:pt>
                  <c:pt idx="24">
                    <c:v>2018</c:v>
                  </c:pt>
                  <c:pt idx="36">
                    <c:v>2019</c:v>
                  </c:pt>
                  <c:pt idx="48">
                    <c:v>2020</c:v>
                  </c:pt>
                  <c:pt idx="60">
                    <c:v>2021</c:v>
                  </c:pt>
                  <c:pt idx="72">
                    <c:v>2022</c:v>
                  </c:pt>
                </c:lvl>
              </c:multiLvlStrCache>
            </c:multiLvlStrRef>
          </c:cat>
          <c:val>
            <c:numRef>
              <c:f>datos!$Z$5:$Z$86</c:f>
              <c:numCache>
                <c:formatCode>#,##0.0</c:formatCode>
                <c:ptCount val="82"/>
                <c:pt idx="0">
                  <c:v>24250.850327464261</c:v>
                </c:pt>
                <c:pt idx="1">
                  <c:v>24105.595460987741</c:v>
                </c:pt>
                <c:pt idx="2">
                  <c:v>23993.9888578891</c:v>
                </c:pt>
                <c:pt idx="3">
                  <c:v>23952.6298394937</c:v>
                </c:pt>
                <c:pt idx="4">
                  <c:v>23988.257075431149</c:v>
                </c:pt>
                <c:pt idx="5">
                  <c:v>24076.53408411632</c:v>
                </c:pt>
                <c:pt idx="6">
                  <c:v>24224.47161637036</c:v>
                </c:pt>
                <c:pt idx="7">
                  <c:v>24443.983040725951</c:v>
                </c:pt>
                <c:pt idx="8">
                  <c:v>24722.89500706561</c:v>
                </c:pt>
                <c:pt idx="9">
                  <c:v>25038.86829741946</c:v>
                </c:pt>
                <c:pt idx="10">
                  <c:v>25354.094036415001</c:v>
                </c:pt>
                <c:pt idx="11">
                  <c:v>25619.08197331008</c:v>
                </c:pt>
                <c:pt idx="12">
                  <c:v>25836.655159257589</c:v>
                </c:pt>
                <c:pt idx="13">
                  <c:v>26004.70113853678</c:v>
                </c:pt>
                <c:pt idx="14">
                  <c:v>26145.802436822101</c:v>
                </c:pt>
                <c:pt idx="15">
                  <c:v>26279.58783063685</c:v>
                </c:pt>
                <c:pt idx="16">
                  <c:v>26441.151228276023</c:v>
                </c:pt>
                <c:pt idx="17">
                  <c:v>26639.699371508639</c:v>
                </c:pt>
                <c:pt idx="18">
                  <c:v>26869.791834977099</c:v>
                </c:pt>
                <c:pt idx="19">
                  <c:v>27112.766419366399</c:v>
                </c:pt>
                <c:pt idx="20">
                  <c:v>27340.58663128328</c:v>
                </c:pt>
                <c:pt idx="21">
                  <c:v>27580.945438057741</c:v>
                </c:pt>
                <c:pt idx="22">
                  <c:v>27842.827882796708</c:v>
                </c:pt>
                <c:pt idx="23">
                  <c:v>28137.170794406051</c:v>
                </c:pt>
                <c:pt idx="24">
                  <c:v>28460.633743526079</c:v>
                </c:pt>
                <c:pt idx="25">
                  <c:v>28811.223409802718</c:v>
                </c:pt>
                <c:pt idx="26">
                  <c:v>29160.761523178549</c:v>
                </c:pt>
                <c:pt idx="27">
                  <c:v>29457.4442988513</c:v>
                </c:pt>
                <c:pt idx="28">
                  <c:v>29678.093903078359</c:v>
                </c:pt>
                <c:pt idx="29">
                  <c:v>29840.651162503782</c:v>
                </c:pt>
                <c:pt idx="30">
                  <c:v>29961.999471678741</c:v>
                </c:pt>
                <c:pt idx="31">
                  <c:v>30034.358948558191</c:v>
                </c:pt>
                <c:pt idx="32">
                  <c:v>30085.16600832429</c:v>
                </c:pt>
                <c:pt idx="33">
                  <c:v>30087.885855475753</c:v>
                </c:pt>
                <c:pt idx="34">
                  <c:v>30033.418635387079</c:v>
                </c:pt>
                <c:pt idx="35">
                  <c:v>29964.034553320438</c:v>
                </c:pt>
                <c:pt idx="36">
                  <c:v>29880.779341341698</c:v>
                </c:pt>
                <c:pt idx="37">
                  <c:v>29811.567141968379</c:v>
                </c:pt>
                <c:pt idx="38">
                  <c:v>29788.05780688766</c:v>
                </c:pt>
                <c:pt idx="39">
                  <c:v>29817.006477255069</c:v>
                </c:pt>
                <c:pt idx="40">
                  <c:v>29852.25211910591</c:v>
                </c:pt>
                <c:pt idx="41">
                  <c:v>29827.793021694448</c:v>
                </c:pt>
                <c:pt idx="42">
                  <c:v>29687.805974487208</c:v>
                </c:pt>
                <c:pt idx="43">
                  <c:v>29447.175261734741</c:v>
                </c:pt>
                <c:pt idx="44">
                  <c:v>29145.58247991242</c:v>
                </c:pt>
                <c:pt idx="45">
                  <c:v>28841.474730177331</c:v>
                </c:pt>
                <c:pt idx="46">
                  <c:v>28562.275110263719</c:v>
                </c:pt>
                <c:pt idx="47">
                  <c:v>28303.854483884301</c:v>
                </c:pt>
                <c:pt idx="48">
                  <c:v>28067.012048113182</c:v>
                </c:pt>
                <c:pt idx="49">
                  <c:v>27861.605442725191</c:v>
                </c:pt>
                <c:pt idx="50">
                  <c:v>27717.29204167187</c:v>
                </c:pt>
                <c:pt idx="51">
                  <c:v>21748.855722626722</c:v>
                </c:pt>
                <c:pt idx="52">
                  <c:v>21979.75214215694</c:v>
                </c:pt>
                <c:pt idx="53">
                  <c:v>22554.857680727779</c:v>
                </c:pt>
                <c:pt idx="54">
                  <c:v>23470.347735468553</c:v>
                </c:pt>
                <c:pt idx="55">
                  <c:v>24623.094523497581</c:v>
                </c:pt>
                <c:pt idx="56">
                  <c:v>25858.671217187901</c:v>
                </c:pt>
                <c:pt idx="57">
                  <c:v>27050.206572139243</c:v>
                </c:pt>
                <c:pt idx="58">
                  <c:v>28118.984343255463</c:v>
                </c:pt>
                <c:pt idx="59">
                  <c:v>29044.630469556978</c:v>
                </c:pt>
                <c:pt idx="60">
                  <c:v>29849.777105716232</c:v>
                </c:pt>
                <c:pt idx="61">
                  <c:v>30577.500572736528</c:v>
                </c:pt>
                <c:pt idx="62">
                  <c:v>31278.384970923082</c:v>
                </c:pt>
                <c:pt idx="63">
                  <c:v>31955.18710596882</c:v>
                </c:pt>
                <c:pt idx="64">
                  <c:v>32574.844037058319</c:v>
                </c:pt>
                <c:pt idx="65">
                  <c:v>33102.852245081202</c:v>
                </c:pt>
                <c:pt idx="66">
                  <c:v>33545.400504809506</c:v>
                </c:pt>
                <c:pt idx="67">
                  <c:v>33947.7415246214</c:v>
                </c:pt>
                <c:pt idx="68">
                  <c:v>34363.81550106038</c:v>
                </c:pt>
                <c:pt idx="69">
                  <c:v>34845.325892474299</c:v>
                </c:pt>
                <c:pt idx="70">
                  <c:v>35462.758440882397</c:v>
                </c:pt>
                <c:pt idx="71">
                  <c:v>36254.262747254936</c:v>
                </c:pt>
                <c:pt idx="72">
                  <c:v>37200.964932760187</c:v>
                </c:pt>
                <c:pt idx="73">
                  <c:v>38248.293260176812</c:v>
                </c:pt>
                <c:pt idx="74">
                  <c:v>39274.464320428495</c:v>
                </c:pt>
                <c:pt idx="75">
                  <c:v>40150.220112746574</c:v>
                </c:pt>
                <c:pt idx="76">
                  <c:v>40762.05030044802</c:v>
                </c:pt>
                <c:pt idx="77">
                  <c:v>41040.535452261778</c:v>
                </c:pt>
                <c:pt idx="78">
                  <c:v>41022.001488320333</c:v>
                </c:pt>
                <c:pt idx="79">
                  <c:v>40816.109470118572</c:v>
                </c:pt>
                <c:pt idx="80">
                  <c:v>40588.703926804097</c:v>
                </c:pt>
                <c:pt idx="81">
                  <c:v>40498.30249374183</c:v>
                </c:pt>
              </c:numCache>
            </c:numRef>
          </c:val>
          <c:smooth val="0"/>
          <c:extLst>
            <c:ext xmlns:c16="http://schemas.microsoft.com/office/drawing/2014/chart" uri="{C3380CC4-5D6E-409C-BE32-E72D297353CC}">
              <c16:uniqueId val="{00000001-9D90-4007-B150-0A3CF86D6D32}"/>
            </c:ext>
          </c:extLst>
        </c:ser>
        <c:dLbls>
          <c:showLegendKey val="0"/>
          <c:showVal val="0"/>
          <c:showCatName val="0"/>
          <c:showSerName val="0"/>
          <c:showPercent val="0"/>
          <c:showBubbleSize val="0"/>
        </c:dLbls>
        <c:smooth val="0"/>
        <c:axId val="440193776"/>
        <c:axId val="440192992"/>
      </c:lineChart>
      <c:catAx>
        <c:axId val="44019377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440192992"/>
        <c:crosses val="autoZero"/>
        <c:auto val="1"/>
        <c:lblAlgn val="ctr"/>
        <c:lblOffset val="0"/>
        <c:tickLblSkip val="1"/>
        <c:tickMarkSkip val="1"/>
        <c:noMultiLvlLbl val="1"/>
      </c:catAx>
      <c:valAx>
        <c:axId val="440192992"/>
        <c:scaling>
          <c:orientation val="minMax"/>
          <c:min val="16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440193776"/>
        <c:crosses val="max"/>
        <c:crossBetween val="between"/>
        <c:majorUnit val="6600"/>
        <c:minorUnit val="10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
          <c:y val="0.94039978655312817"/>
          <c:w val="0.99478885267615924"/>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Bienes de Capital</a:t>
            </a:r>
          </a:p>
        </c:rich>
      </c:tx>
      <c:layout>
        <c:manualLayout>
          <c:xMode val="edge"/>
          <c:yMode val="edge"/>
          <c:x val="0.35402144866385382"/>
          <c:y val="2.1776406035665294E-3"/>
        </c:manualLayout>
      </c:layout>
      <c:overlay val="1"/>
    </c:title>
    <c:autoTitleDeleted val="0"/>
    <c:plotArea>
      <c:layout>
        <c:manualLayout>
          <c:layoutTarget val="inner"/>
          <c:xMode val="edge"/>
          <c:yMode val="edge"/>
          <c:x val="3.914609053497943E-2"/>
          <c:y val="7.1312164776479031E-2"/>
          <c:w val="0.88382032348804562"/>
          <c:h val="0.78407527434844926"/>
        </c:manualLayout>
      </c:layout>
      <c:lineChart>
        <c:grouping val="standard"/>
        <c:varyColors val="0"/>
        <c:ser>
          <c:idx val="1"/>
          <c:order val="0"/>
          <c:tx>
            <c:strRef>
              <c:f>datos!$AA$4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(datos!$A$5:$B$5,datos!$A$7:$B$86)</c:f>
              <c:multiLvlStrCache>
                <c:ptCount val="81"/>
                <c:lvl>
                  <c:pt idx="0">
                    <c:v>E</c:v>
                  </c:pt>
                  <c:pt idx="1">
                    <c:v>M</c:v>
                  </c:pt>
                  <c:pt idx="2">
                    <c:v>A</c:v>
                  </c:pt>
                  <c:pt idx="3">
                    <c:v>M</c:v>
                  </c:pt>
                  <c:pt idx="4">
                    <c:v>J</c:v>
                  </c:pt>
                  <c:pt idx="5">
                    <c:v>J</c:v>
                  </c:pt>
                  <c:pt idx="6">
                    <c:v>A</c:v>
                  </c:pt>
                  <c:pt idx="7">
                    <c:v>S</c:v>
                  </c:pt>
                  <c:pt idx="8">
                    <c:v>O</c:v>
                  </c:pt>
                  <c:pt idx="9">
                    <c:v>N</c:v>
                  </c:pt>
                  <c:pt idx="10">
                    <c:v>D</c:v>
                  </c:pt>
                  <c:pt idx="11">
                    <c:v>E</c:v>
                  </c:pt>
                  <c:pt idx="12">
                    <c:v>F</c:v>
                  </c:pt>
                  <c:pt idx="13">
                    <c:v>M</c:v>
                  </c:pt>
                  <c:pt idx="14">
                    <c:v>A</c:v>
                  </c:pt>
                  <c:pt idx="15">
                    <c:v>M</c:v>
                  </c:pt>
                  <c:pt idx="16">
                    <c:v>J</c:v>
                  </c:pt>
                  <c:pt idx="17">
                    <c:v>J</c:v>
                  </c:pt>
                  <c:pt idx="18">
                    <c:v>A</c:v>
                  </c:pt>
                  <c:pt idx="19">
                    <c:v>S</c:v>
                  </c:pt>
                  <c:pt idx="20">
                    <c:v>O</c:v>
                  </c:pt>
                  <c:pt idx="21">
                    <c:v>N</c:v>
                  </c:pt>
                  <c:pt idx="22">
                    <c:v>D</c:v>
                  </c:pt>
                  <c:pt idx="23">
                    <c:v>E</c:v>
                  </c:pt>
                  <c:pt idx="24">
                    <c:v>F</c:v>
                  </c:pt>
                  <c:pt idx="25">
                    <c:v>M</c:v>
                  </c:pt>
                  <c:pt idx="26">
                    <c:v>A</c:v>
                  </c:pt>
                  <c:pt idx="27">
                    <c:v>M</c:v>
                  </c:pt>
                  <c:pt idx="28">
                    <c:v>J</c:v>
                  </c:pt>
                  <c:pt idx="29">
                    <c:v>J</c:v>
                  </c:pt>
                  <c:pt idx="30">
                    <c:v>A</c:v>
                  </c:pt>
                  <c:pt idx="31">
                    <c:v>S</c:v>
                  </c:pt>
                  <c:pt idx="32">
                    <c:v>O</c:v>
                  </c:pt>
                  <c:pt idx="33">
                    <c:v>N</c:v>
                  </c:pt>
                  <c:pt idx="34">
                    <c:v>D</c:v>
                  </c:pt>
                  <c:pt idx="35">
                    <c:v>E</c:v>
                  </c:pt>
                  <c:pt idx="36">
                    <c:v>F</c:v>
                  </c:pt>
                  <c:pt idx="37">
                    <c:v>M</c:v>
                  </c:pt>
                  <c:pt idx="38">
                    <c:v>A</c:v>
                  </c:pt>
                  <c:pt idx="39">
                    <c:v>M</c:v>
                  </c:pt>
                  <c:pt idx="40">
                    <c:v>J</c:v>
                  </c:pt>
                  <c:pt idx="41">
                    <c:v>J</c:v>
                  </c:pt>
                  <c:pt idx="42">
                    <c:v>A</c:v>
                  </c:pt>
                  <c:pt idx="43">
                    <c:v>S</c:v>
                  </c:pt>
                  <c:pt idx="44">
                    <c:v>O</c:v>
                  </c:pt>
                  <c:pt idx="45">
                    <c:v>N</c:v>
                  </c:pt>
                  <c:pt idx="46">
                    <c:v>D</c:v>
                  </c:pt>
                  <c:pt idx="47">
                    <c:v>E</c:v>
                  </c:pt>
                  <c:pt idx="48">
                    <c:v>F</c:v>
                  </c:pt>
                  <c:pt idx="49">
                    <c:v>M</c:v>
                  </c:pt>
                  <c:pt idx="50">
                    <c:v>A</c:v>
                  </c:pt>
                  <c:pt idx="51">
                    <c:v>M</c:v>
                  </c:pt>
                  <c:pt idx="52">
                    <c:v>J</c:v>
                  </c:pt>
                  <c:pt idx="53">
                    <c:v>J</c:v>
                  </c:pt>
                  <c:pt idx="54">
                    <c:v>A</c:v>
                  </c:pt>
                  <c:pt idx="55">
                    <c:v>S</c:v>
                  </c:pt>
                  <c:pt idx="56">
                    <c:v>O</c:v>
                  </c:pt>
                  <c:pt idx="57">
                    <c:v>N</c:v>
                  </c:pt>
                  <c:pt idx="58">
                    <c:v>D</c:v>
                  </c:pt>
                  <c:pt idx="59">
                    <c:v>E</c:v>
                  </c:pt>
                  <c:pt idx="60">
                    <c:v>F</c:v>
                  </c:pt>
                  <c:pt idx="61">
                    <c:v>M</c:v>
                  </c:pt>
                  <c:pt idx="62">
                    <c:v>A</c:v>
                  </c:pt>
                  <c:pt idx="63">
                    <c:v>M</c:v>
                  </c:pt>
                  <c:pt idx="64">
                    <c:v>J</c:v>
                  </c:pt>
                  <c:pt idx="65">
                    <c:v>J</c:v>
                  </c:pt>
                  <c:pt idx="66">
                    <c:v>A</c:v>
                  </c:pt>
                  <c:pt idx="67">
                    <c:v>S</c:v>
                  </c:pt>
                  <c:pt idx="68">
                    <c:v>O</c:v>
                  </c:pt>
                  <c:pt idx="69">
                    <c:v>N</c:v>
                  </c:pt>
                  <c:pt idx="70">
                    <c:v>D</c:v>
                  </c:pt>
                  <c:pt idx="71">
                    <c:v>E</c:v>
                  </c:pt>
                  <c:pt idx="72">
                    <c:v>F</c:v>
                  </c:pt>
                  <c:pt idx="73">
                    <c:v>M</c:v>
                  </c:pt>
                  <c:pt idx="74">
                    <c:v>A</c:v>
                  </c:pt>
                  <c:pt idx="75">
                    <c:v>M</c:v>
                  </c:pt>
                  <c:pt idx="76">
                    <c:v>J</c:v>
                  </c:pt>
                  <c:pt idx="77">
                    <c:v>J</c:v>
                  </c:pt>
                  <c:pt idx="78">
                    <c:v>A</c:v>
                  </c:pt>
                  <c:pt idx="79">
                    <c:v>S</c:v>
                  </c:pt>
                  <c:pt idx="80">
                    <c:v>O*</c:v>
                  </c:pt>
                </c:lvl>
                <c:lvl>
                  <c:pt idx="0">
                    <c:v>2016</c:v>
                  </c:pt>
                  <c:pt idx="11">
                    <c:v>2017</c:v>
                  </c:pt>
                  <c:pt idx="23">
                    <c:v>2018</c:v>
                  </c:pt>
                  <c:pt idx="35">
                    <c:v>2019</c:v>
                  </c:pt>
                  <c:pt idx="47">
                    <c:v>2020</c:v>
                  </c:pt>
                  <c:pt idx="59">
                    <c:v>2021</c:v>
                  </c:pt>
                  <c:pt idx="71">
                    <c:v>2022</c:v>
                  </c:pt>
                </c:lvl>
              </c:multiLvlStrCache>
              <c:extLst/>
            </c:multiLvlStrRef>
          </c:cat>
          <c:val>
            <c:numRef>
              <c:f>(datos!$AA$5,datos!$AA$7:$AA$86)</c:f>
              <c:numCache>
                <c:formatCode>#,##0.0</c:formatCode>
                <c:ptCount val="81"/>
                <c:pt idx="0">
                  <c:v>3233.9002011636398</c:v>
                </c:pt>
                <c:pt idx="1">
                  <c:v>3203.9295635174899</c:v>
                </c:pt>
                <c:pt idx="2">
                  <c:v>3159.2499705196401</c:v>
                </c:pt>
                <c:pt idx="3">
                  <c:v>3246.9265809953199</c:v>
                </c:pt>
                <c:pt idx="4">
                  <c:v>3535.6615250790201</c:v>
                </c:pt>
                <c:pt idx="5">
                  <c:v>3347.5792700950501</c:v>
                </c:pt>
                <c:pt idx="6">
                  <c:v>3329.8356954936598</c:v>
                </c:pt>
                <c:pt idx="7">
                  <c:v>3449.7461220599998</c:v>
                </c:pt>
                <c:pt idx="8">
                  <c:v>3300.60855623832</c:v>
                </c:pt>
                <c:pt idx="9">
                  <c:v>3295.9956092085499</c:v>
                </c:pt>
                <c:pt idx="10">
                  <c:v>3348.6195065464099</c:v>
                </c:pt>
                <c:pt idx="11">
                  <c:v>3252.0756569888399</c:v>
                </c:pt>
                <c:pt idx="12">
                  <c:v>3225.2678983504802</c:v>
                </c:pt>
                <c:pt idx="13">
                  <c:v>3240.50318971156</c:v>
                </c:pt>
                <c:pt idx="14">
                  <c:v>3417.07852338974</c:v>
                </c:pt>
                <c:pt idx="15">
                  <c:v>3434.9785923023901</c:v>
                </c:pt>
                <c:pt idx="16">
                  <c:v>3455.1466318196499</c:v>
                </c:pt>
                <c:pt idx="17">
                  <c:v>3387.28662952169</c:v>
                </c:pt>
                <c:pt idx="18">
                  <c:v>3590.62620068962</c:v>
                </c:pt>
                <c:pt idx="19">
                  <c:v>3471.9858142355802</c:v>
                </c:pt>
                <c:pt idx="20">
                  <c:v>3485.3210531773898</c:v>
                </c:pt>
                <c:pt idx="21">
                  <c:v>3524.6042779454801</c:v>
                </c:pt>
                <c:pt idx="22">
                  <c:v>3605.3647825140201</c:v>
                </c:pt>
                <c:pt idx="23">
                  <c:v>3638.87311348705</c:v>
                </c:pt>
                <c:pt idx="24">
                  <c:v>3799.1371194956901</c:v>
                </c:pt>
                <c:pt idx="25">
                  <c:v>3786.2727137491302</c:v>
                </c:pt>
                <c:pt idx="26">
                  <c:v>3779.31006433936</c:v>
                </c:pt>
                <c:pt idx="27">
                  <c:v>3738.6891957296102</c:v>
                </c:pt>
                <c:pt idx="28">
                  <c:v>3942.7272301559701</c:v>
                </c:pt>
                <c:pt idx="29">
                  <c:v>4012.0189343306001</c:v>
                </c:pt>
                <c:pt idx="30">
                  <c:v>3869.4147179953302</c:v>
                </c:pt>
                <c:pt idx="31">
                  <c:v>3931.93897724514</c:v>
                </c:pt>
                <c:pt idx="32">
                  <c:v>3943.3686843815499</c:v>
                </c:pt>
                <c:pt idx="33">
                  <c:v>3672.7924121503302</c:v>
                </c:pt>
                <c:pt idx="34">
                  <c:v>3418.47050119508</c:v>
                </c:pt>
                <c:pt idx="35">
                  <c:v>3691.2110789705598</c:v>
                </c:pt>
                <c:pt idx="36">
                  <c:v>3530.1644951824901</c:v>
                </c:pt>
                <c:pt idx="37">
                  <c:v>3575.65731561953</c:v>
                </c:pt>
                <c:pt idx="38">
                  <c:v>3606.34799047657</c:v>
                </c:pt>
                <c:pt idx="39">
                  <c:v>3559.1073579535</c:v>
                </c:pt>
                <c:pt idx="40">
                  <c:v>3198.6395387856401</c:v>
                </c:pt>
                <c:pt idx="41">
                  <c:v>3225.6806258986699</c:v>
                </c:pt>
                <c:pt idx="42">
                  <c:v>3463.39131996981</c:v>
                </c:pt>
                <c:pt idx="43">
                  <c:v>3332.0560125430802</c:v>
                </c:pt>
                <c:pt idx="44">
                  <c:v>3453.3825690860299</c:v>
                </c:pt>
                <c:pt idx="45">
                  <c:v>3348.2755416887499</c:v>
                </c:pt>
                <c:pt idx="46">
                  <c:v>3264.1556054132602</c:v>
                </c:pt>
                <c:pt idx="47">
                  <c:v>3170.2293646971698</c:v>
                </c:pt>
                <c:pt idx="48">
                  <c:v>3057.3436223415601</c:v>
                </c:pt>
                <c:pt idx="49">
                  <c:v>2767.6778241431498</c:v>
                </c:pt>
                <c:pt idx="50">
                  <c:v>2608.81457037359</c:v>
                </c:pt>
                <c:pt idx="51">
                  <c:v>2356.8914093597</c:v>
                </c:pt>
                <c:pt idx="52">
                  <c:v>2621.1797859509102</c:v>
                </c:pt>
                <c:pt idx="53">
                  <c:v>2581.9431043132699</c:v>
                </c:pt>
                <c:pt idx="54">
                  <c:v>2634.0748308222901</c:v>
                </c:pt>
                <c:pt idx="55">
                  <c:v>2717.21487267356</c:v>
                </c:pt>
                <c:pt idx="56">
                  <c:v>2697.7677213321399</c:v>
                </c:pt>
                <c:pt idx="57">
                  <c:v>2902.9769985595299</c:v>
                </c:pt>
                <c:pt idx="58">
                  <c:v>2964.4689996187599</c:v>
                </c:pt>
                <c:pt idx="59">
                  <c:v>3069.96088406835</c:v>
                </c:pt>
                <c:pt idx="60">
                  <c:v>3224.2949256157499</c:v>
                </c:pt>
                <c:pt idx="61">
                  <c:v>3453.58297010974</c:v>
                </c:pt>
                <c:pt idx="62">
                  <c:v>3301.22920775597</c:v>
                </c:pt>
                <c:pt idx="63">
                  <c:v>3359.9473130451902</c:v>
                </c:pt>
                <c:pt idx="64">
                  <c:v>3266.3107958823298</c:v>
                </c:pt>
                <c:pt idx="65">
                  <c:v>3427.1360881150999</c:v>
                </c:pt>
                <c:pt idx="66">
                  <c:v>3336.1056109188298</c:v>
                </c:pt>
                <c:pt idx="67">
                  <c:v>3401.4540282128801</c:v>
                </c:pt>
                <c:pt idx="68">
                  <c:v>3429.7920449839999</c:v>
                </c:pt>
                <c:pt idx="69">
                  <c:v>3552.48476872725</c:v>
                </c:pt>
                <c:pt idx="70">
                  <c:v>3589.21588974821</c:v>
                </c:pt>
                <c:pt idx="71">
                  <c:v>3596.7027406690399</c:v>
                </c:pt>
                <c:pt idx="72">
                  <c:v>3646.2160202284199</c:v>
                </c:pt>
                <c:pt idx="73">
                  <c:v>3889.2721585552399</c:v>
                </c:pt>
                <c:pt idx="74">
                  <c:v>4184.3760462906503</c:v>
                </c:pt>
                <c:pt idx="75">
                  <c:v>4084.8464985092</c:v>
                </c:pt>
                <c:pt idx="76">
                  <c:v>4048.6390874535</c:v>
                </c:pt>
                <c:pt idx="77">
                  <c:v>4056.4494833117301</c:v>
                </c:pt>
                <c:pt idx="78">
                  <c:v>4183.3079665301802</c:v>
                </c:pt>
                <c:pt idx="79">
                  <c:v>4163.4696619092501</c:v>
                </c:pt>
                <c:pt idx="80">
                  <c:v>4188.9971695088097</c:v>
                </c:pt>
              </c:numCache>
              <c:extLst/>
            </c:numRef>
          </c:val>
          <c:smooth val="0"/>
          <c:extLst>
            <c:ext xmlns:c16="http://schemas.microsoft.com/office/drawing/2014/chart" uri="{C3380CC4-5D6E-409C-BE32-E72D297353CC}">
              <c16:uniqueId val="{00000000-616D-4D90-B397-4889B50DADDE}"/>
            </c:ext>
          </c:extLst>
        </c:ser>
        <c:ser>
          <c:idx val="0"/>
          <c:order val="1"/>
          <c:tx>
            <c:strRef>
              <c:f>datos!$AB$4</c:f>
              <c:strCache>
                <c:ptCount val="1"/>
                <c:pt idx="0">
                  <c:v>Serie de Tendencia-Ciclo</c:v>
                </c:pt>
              </c:strCache>
            </c:strRef>
          </c:tx>
          <c:spPr>
            <a:ln w="12700">
              <a:solidFill>
                <a:schemeClr val="tx2">
                  <a:lumMod val="75000"/>
                </a:schemeClr>
              </a:solidFill>
              <a:prstDash val="solid"/>
            </a:ln>
            <a:effectLst/>
          </c:spPr>
          <c:marker>
            <c:symbol val="none"/>
          </c:marker>
          <c:cat>
            <c:multiLvlStrRef>
              <c:f>(datos!$A$5:$B$5,datos!$A$7:$B$86)</c:f>
              <c:multiLvlStrCache>
                <c:ptCount val="81"/>
                <c:lvl>
                  <c:pt idx="0">
                    <c:v>E</c:v>
                  </c:pt>
                  <c:pt idx="1">
                    <c:v>M</c:v>
                  </c:pt>
                  <c:pt idx="2">
                    <c:v>A</c:v>
                  </c:pt>
                  <c:pt idx="3">
                    <c:v>M</c:v>
                  </c:pt>
                  <c:pt idx="4">
                    <c:v>J</c:v>
                  </c:pt>
                  <c:pt idx="5">
                    <c:v>J</c:v>
                  </c:pt>
                  <c:pt idx="6">
                    <c:v>A</c:v>
                  </c:pt>
                  <c:pt idx="7">
                    <c:v>S</c:v>
                  </c:pt>
                  <c:pt idx="8">
                    <c:v>O</c:v>
                  </c:pt>
                  <c:pt idx="9">
                    <c:v>N</c:v>
                  </c:pt>
                  <c:pt idx="10">
                    <c:v>D</c:v>
                  </c:pt>
                  <c:pt idx="11">
                    <c:v>E</c:v>
                  </c:pt>
                  <c:pt idx="12">
                    <c:v>F</c:v>
                  </c:pt>
                  <c:pt idx="13">
                    <c:v>M</c:v>
                  </c:pt>
                  <c:pt idx="14">
                    <c:v>A</c:v>
                  </c:pt>
                  <c:pt idx="15">
                    <c:v>M</c:v>
                  </c:pt>
                  <c:pt idx="16">
                    <c:v>J</c:v>
                  </c:pt>
                  <c:pt idx="17">
                    <c:v>J</c:v>
                  </c:pt>
                  <c:pt idx="18">
                    <c:v>A</c:v>
                  </c:pt>
                  <c:pt idx="19">
                    <c:v>S</c:v>
                  </c:pt>
                  <c:pt idx="20">
                    <c:v>O</c:v>
                  </c:pt>
                  <c:pt idx="21">
                    <c:v>N</c:v>
                  </c:pt>
                  <c:pt idx="22">
                    <c:v>D</c:v>
                  </c:pt>
                  <c:pt idx="23">
                    <c:v>E</c:v>
                  </c:pt>
                  <c:pt idx="24">
                    <c:v>F</c:v>
                  </c:pt>
                  <c:pt idx="25">
                    <c:v>M</c:v>
                  </c:pt>
                  <c:pt idx="26">
                    <c:v>A</c:v>
                  </c:pt>
                  <c:pt idx="27">
                    <c:v>M</c:v>
                  </c:pt>
                  <c:pt idx="28">
                    <c:v>J</c:v>
                  </c:pt>
                  <c:pt idx="29">
                    <c:v>J</c:v>
                  </c:pt>
                  <c:pt idx="30">
                    <c:v>A</c:v>
                  </c:pt>
                  <c:pt idx="31">
                    <c:v>S</c:v>
                  </c:pt>
                  <c:pt idx="32">
                    <c:v>O</c:v>
                  </c:pt>
                  <c:pt idx="33">
                    <c:v>N</c:v>
                  </c:pt>
                  <c:pt idx="34">
                    <c:v>D</c:v>
                  </c:pt>
                  <c:pt idx="35">
                    <c:v>E</c:v>
                  </c:pt>
                  <c:pt idx="36">
                    <c:v>F</c:v>
                  </c:pt>
                  <c:pt idx="37">
                    <c:v>M</c:v>
                  </c:pt>
                  <c:pt idx="38">
                    <c:v>A</c:v>
                  </c:pt>
                  <c:pt idx="39">
                    <c:v>M</c:v>
                  </c:pt>
                  <c:pt idx="40">
                    <c:v>J</c:v>
                  </c:pt>
                  <c:pt idx="41">
                    <c:v>J</c:v>
                  </c:pt>
                  <c:pt idx="42">
                    <c:v>A</c:v>
                  </c:pt>
                  <c:pt idx="43">
                    <c:v>S</c:v>
                  </c:pt>
                  <c:pt idx="44">
                    <c:v>O</c:v>
                  </c:pt>
                  <c:pt idx="45">
                    <c:v>N</c:v>
                  </c:pt>
                  <c:pt idx="46">
                    <c:v>D</c:v>
                  </c:pt>
                  <c:pt idx="47">
                    <c:v>E</c:v>
                  </c:pt>
                  <c:pt idx="48">
                    <c:v>F</c:v>
                  </c:pt>
                  <c:pt idx="49">
                    <c:v>M</c:v>
                  </c:pt>
                  <c:pt idx="50">
                    <c:v>A</c:v>
                  </c:pt>
                  <c:pt idx="51">
                    <c:v>M</c:v>
                  </c:pt>
                  <c:pt idx="52">
                    <c:v>J</c:v>
                  </c:pt>
                  <c:pt idx="53">
                    <c:v>J</c:v>
                  </c:pt>
                  <c:pt idx="54">
                    <c:v>A</c:v>
                  </c:pt>
                  <c:pt idx="55">
                    <c:v>S</c:v>
                  </c:pt>
                  <c:pt idx="56">
                    <c:v>O</c:v>
                  </c:pt>
                  <c:pt idx="57">
                    <c:v>N</c:v>
                  </c:pt>
                  <c:pt idx="58">
                    <c:v>D</c:v>
                  </c:pt>
                  <c:pt idx="59">
                    <c:v>E</c:v>
                  </c:pt>
                  <c:pt idx="60">
                    <c:v>F</c:v>
                  </c:pt>
                  <c:pt idx="61">
                    <c:v>M</c:v>
                  </c:pt>
                  <c:pt idx="62">
                    <c:v>A</c:v>
                  </c:pt>
                  <c:pt idx="63">
                    <c:v>M</c:v>
                  </c:pt>
                  <c:pt idx="64">
                    <c:v>J</c:v>
                  </c:pt>
                  <c:pt idx="65">
                    <c:v>J</c:v>
                  </c:pt>
                  <c:pt idx="66">
                    <c:v>A</c:v>
                  </c:pt>
                  <c:pt idx="67">
                    <c:v>S</c:v>
                  </c:pt>
                  <c:pt idx="68">
                    <c:v>O</c:v>
                  </c:pt>
                  <c:pt idx="69">
                    <c:v>N</c:v>
                  </c:pt>
                  <c:pt idx="70">
                    <c:v>D</c:v>
                  </c:pt>
                  <c:pt idx="71">
                    <c:v>E</c:v>
                  </c:pt>
                  <c:pt idx="72">
                    <c:v>F</c:v>
                  </c:pt>
                  <c:pt idx="73">
                    <c:v>M</c:v>
                  </c:pt>
                  <c:pt idx="74">
                    <c:v>A</c:v>
                  </c:pt>
                  <c:pt idx="75">
                    <c:v>M</c:v>
                  </c:pt>
                  <c:pt idx="76">
                    <c:v>J</c:v>
                  </c:pt>
                  <c:pt idx="77">
                    <c:v>J</c:v>
                  </c:pt>
                  <c:pt idx="78">
                    <c:v>A</c:v>
                  </c:pt>
                  <c:pt idx="79">
                    <c:v>S</c:v>
                  </c:pt>
                  <c:pt idx="80">
                    <c:v>O*</c:v>
                  </c:pt>
                </c:lvl>
                <c:lvl>
                  <c:pt idx="0">
                    <c:v>2016</c:v>
                  </c:pt>
                  <c:pt idx="11">
                    <c:v>2017</c:v>
                  </c:pt>
                  <c:pt idx="23">
                    <c:v>2018</c:v>
                  </c:pt>
                  <c:pt idx="35">
                    <c:v>2019</c:v>
                  </c:pt>
                  <c:pt idx="47">
                    <c:v>2020</c:v>
                  </c:pt>
                  <c:pt idx="59">
                    <c:v>2021</c:v>
                  </c:pt>
                  <c:pt idx="71">
                    <c:v>2022</c:v>
                  </c:pt>
                </c:lvl>
              </c:multiLvlStrCache>
              <c:extLst/>
            </c:multiLvlStrRef>
          </c:cat>
          <c:val>
            <c:numRef>
              <c:f>(datos!$AB$5,datos!$AB$7:$AB$86)</c:f>
              <c:numCache>
                <c:formatCode>#,##0.0</c:formatCode>
                <c:ptCount val="81"/>
                <c:pt idx="0">
                  <c:v>3234.47119705352</c:v>
                </c:pt>
                <c:pt idx="1">
                  <c:v>3191.9182821454101</c:v>
                </c:pt>
                <c:pt idx="2">
                  <c:v>3208.6641115131501</c:v>
                </c:pt>
                <c:pt idx="3">
                  <c:v>3244.09676659346</c:v>
                </c:pt>
                <c:pt idx="4">
                  <c:v>3285.36106699433</c:v>
                </c:pt>
                <c:pt idx="5">
                  <c:v>3323.2244586922902</c:v>
                </c:pt>
                <c:pt idx="6">
                  <c:v>3350.5908070488299</c:v>
                </c:pt>
                <c:pt idx="7">
                  <c:v>3359.5412752310899</c:v>
                </c:pt>
                <c:pt idx="8">
                  <c:v>3345.8676893882298</c:v>
                </c:pt>
                <c:pt idx="9">
                  <c:v>3316.7111044080498</c:v>
                </c:pt>
                <c:pt idx="10">
                  <c:v>3287.4855624504698</c:v>
                </c:pt>
                <c:pt idx="11">
                  <c:v>3273.4848103695999</c:v>
                </c:pt>
                <c:pt idx="12">
                  <c:v>3280.1907524953099</c:v>
                </c:pt>
                <c:pt idx="13">
                  <c:v>3307.95471804929</c:v>
                </c:pt>
                <c:pt idx="14">
                  <c:v>3350.4332620658702</c:v>
                </c:pt>
                <c:pt idx="15">
                  <c:v>3395.2133559281001</c:v>
                </c:pt>
                <c:pt idx="16">
                  <c:v>3433.8414517870101</c:v>
                </c:pt>
                <c:pt idx="17">
                  <c:v>3459.7141468755399</c:v>
                </c:pt>
                <c:pt idx="18">
                  <c:v>3472.1227730023102</c:v>
                </c:pt>
                <c:pt idx="19">
                  <c:v>3484.2232262129601</c:v>
                </c:pt>
                <c:pt idx="20">
                  <c:v>3509.65940283188</c:v>
                </c:pt>
                <c:pt idx="21">
                  <c:v>3554.2532907463401</c:v>
                </c:pt>
                <c:pt idx="22">
                  <c:v>3607.8465412569099</c:v>
                </c:pt>
                <c:pt idx="23">
                  <c:v>3661.8599767778301</c:v>
                </c:pt>
                <c:pt idx="24">
                  <c:v>3715.60960842347</c:v>
                </c:pt>
                <c:pt idx="25">
                  <c:v>3767.1063291309401</c:v>
                </c:pt>
                <c:pt idx="26">
                  <c:v>3811.9524117321198</c:v>
                </c:pt>
                <c:pt idx="27">
                  <c:v>3856.1935681044702</c:v>
                </c:pt>
                <c:pt idx="28">
                  <c:v>3896.7359848886099</c:v>
                </c:pt>
                <c:pt idx="29">
                  <c:v>3922.2881587199199</c:v>
                </c:pt>
                <c:pt idx="30">
                  <c:v>3924.35730118741</c:v>
                </c:pt>
                <c:pt idx="31">
                  <c:v>3896.0584783706699</c:v>
                </c:pt>
                <c:pt idx="32">
                  <c:v>3836.74086976115</c:v>
                </c:pt>
                <c:pt idx="33">
                  <c:v>3761.7524422639699</c:v>
                </c:pt>
                <c:pt idx="34">
                  <c:v>3692.15368102195</c:v>
                </c:pt>
                <c:pt idx="35">
                  <c:v>3640.91549844375</c:v>
                </c:pt>
                <c:pt idx="36">
                  <c:v>3603.6503441743298</c:v>
                </c:pt>
                <c:pt idx="37">
                  <c:v>3576.7797480858899</c:v>
                </c:pt>
                <c:pt idx="38">
                  <c:v>3551.9398675157199</c:v>
                </c:pt>
                <c:pt idx="39">
                  <c:v>3521.39338495734</c:v>
                </c:pt>
                <c:pt idx="40">
                  <c:v>3487.3044982556798</c:v>
                </c:pt>
                <c:pt idx="41">
                  <c:v>3457.28274504925</c:v>
                </c:pt>
                <c:pt idx="42">
                  <c:v>3431.8263909132102</c:v>
                </c:pt>
                <c:pt idx="43">
                  <c:v>3410.4233560822099</c:v>
                </c:pt>
                <c:pt idx="44">
                  <c:v>3386.46140880962</c:v>
                </c:pt>
                <c:pt idx="45">
                  <c:v>3339.0382648084801</c:v>
                </c:pt>
                <c:pt idx="46">
                  <c:v>3251.1442466918002</c:v>
                </c:pt>
                <c:pt idx="47">
                  <c:v>3123.8566346299099</c:v>
                </c:pt>
                <c:pt idx="48">
                  <c:v>2973.5065693425399</c:v>
                </c:pt>
                <c:pt idx="49">
                  <c:v>2823.3427008306599</c:v>
                </c:pt>
                <c:pt idx="50">
                  <c:v>2699.3296854740402</c:v>
                </c:pt>
                <c:pt idx="51">
                  <c:v>2618.14488123713</c:v>
                </c:pt>
                <c:pt idx="52">
                  <c:v>2582.4563935361102</c:v>
                </c:pt>
                <c:pt idx="53">
                  <c:v>2589.7167646483599</c:v>
                </c:pt>
                <c:pt idx="54">
                  <c:v>2628.7030003393002</c:v>
                </c:pt>
                <c:pt idx="55">
                  <c:v>2689.8469836466802</c:v>
                </c:pt>
                <c:pt idx="56">
                  <c:v>2769.46730824417</c:v>
                </c:pt>
                <c:pt idx="57">
                  <c:v>2866.5691679206402</c:v>
                </c:pt>
                <c:pt idx="58">
                  <c:v>2976.9477406531</c:v>
                </c:pt>
                <c:pt idx="59">
                  <c:v>3084.8346793035498</c:v>
                </c:pt>
                <c:pt idx="60">
                  <c:v>3178.9926259505701</c:v>
                </c:pt>
                <c:pt idx="61">
                  <c:v>3251.95754405157</c:v>
                </c:pt>
                <c:pt idx="62">
                  <c:v>3300.5882703081802</c:v>
                </c:pt>
                <c:pt idx="63">
                  <c:v>3327.24054059934</c:v>
                </c:pt>
                <c:pt idx="64">
                  <c:v>3342.2667859755302</c:v>
                </c:pt>
                <c:pt idx="65">
                  <c:v>3356.1630584521299</c:v>
                </c:pt>
                <c:pt idx="66">
                  <c:v>3379.7037726110598</c:v>
                </c:pt>
                <c:pt idx="67">
                  <c:v>3412.1423768065201</c:v>
                </c:pt>
                <c:pt idx="68">
                  <c:v>3451.9778279748198</c:v>
                </c:pt>
                <c:pt idx="69">
                  <c:v>3500.54231561798</c:v>
                </c:pt>
                <c:pt idx="70">
                  <c:v>3563.2737381229299</c:v>
                </c:pt>
                <c:pt idx="71">
                  <c:v>3643.7265271606898</c:v>
                </c:pt>
                <c:pt idx="72">
                  <c:v>3738.0084821333899</c:v>
                </c:pt>
                <c:pt idx="73">
                  <c:v>3835.9506230300499</c:v>
                </c:pt>
                <c:pt idx="74">
                  <c:v>3930.6441309533102</c:v>
                </c:pt>
                <c:pt idx="75">
                  <c:v>4014.1295250902199</c:v>
                </c:pt>
                <c:pt idx="76">
                  <c:v>4078.5183617661801</c:v>
                </c:pt>
                <c:pt idx="77">
                  <c:v>4118.5716965927304</c:v>
                </c:pt>
                <c:pt idx="78">
                  <c:v>4139.0867966337601</c:v>
                </c:pt>
                <c:pt idx="79">
                  <c:v>4149.3434278866998</c:v>
                </c:pt>
                <c:pt idx="80">
                  <c:v>4155.5384798234199</c:v>
                </c:pt>
              </c:numCache>
              <c:extLst/>
            </c:numRef>
          </c:val>
          <c:smooth val="0"/>
          <c:extLst>
            <c:ext xmlns:c16="http://schemas.microsoft.com/office/drawing/2014/chart" uri="{C3380CC4-5D6E-409C-BE32-E72D297353CC}">
              <c16:uniqueId val="{00000001-616D-4D90-B397-4889B50DADDE}"/>
            </c:ext>
          </c:extLst>
        </c:ser>
        <c:dLbls>
          <c:showLegendKey val="0"/>
          <c:showVal val="0"/>
          <c:showCatName val="0"/>
          <c:showSerName val="0"/>
          <c:showPercent val="0"/>
          <c:showBubbleSize val="0"/>
        </c:dLbls>
        <c:smooth val="0"/>
        <c:axId val="440194952"/>
        <c:axId val="440193384"/>
      </c:lineChart>
      <c:catAx>
        <c:axId val="44019495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440193384"/>
        <c:crosses val="autoZero"/>
        <c:auto val="1"/>
        <c:lblAlgn val="ctr"/>
        <c:lblOffset val="0"/>
        <c:tickLblSkip val="1"/>
        <c:tickMarkSkip val="1"/>
        <c:noMultiLvlLbl val="1"/>
      </c:catAx>
      <c:valAx>
        <c:axId val="440193384"/>
        <c:scaling>
          <c:orientation val="minMax"/>
          <c:min val="23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440194952"/>
        <c:crosses val="max"/>
        <c:crossBetween val="between"/>
        <c:majorUnit val="400"/>
        <c:minorUnit val="1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8.012639937724492E-3"/>
          <c:y val="0.94104303184509264"/>
          <c:w val="0.98556039960118069"/>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b="1"/>
            </a:pPr>
            <a:r>
              <a:rPr lang="es-ES" sz="700" b="1" cap="small" baseline="0"/>
              <a:t>Totales</a:t>
            </a:r>
          </a:p>
        </c:rich>
      </c:tx>
      <c:layout>
        <c:manualLayout>
          <c:xMode val="edge"/>
          <c:yMode val="edge"/>
          <c:x val="0.42851406469762776"/>
          <c:y val="0"/>
        </c:manualLayout>
      </c:layout>
      <c:overlay val="1"/>
    </c:title>
    <c:autoTitleDeleted val="0"/>
    <c:plotArea>
      <c:layout>
        <c:manualLayout>
          <c:layoutTarget val="inner"/>
          <c:xMode val="edge"/>
          <c:yMode val="edge"/>
          <c:x val="2.7150492264416341E-2"/>
          <c:y val="5.4538923182442134E-2"/>
          <c:w val="0.87057255039852288"/>
          <c:h val="0.79496347736625517"/>
        </c:manualLayout>
      </c:layout>
      <c:lineChart>
        <c:grouping val="standard"/>
        <c:varyColors val="0"/>
        <c:ser>
          <c:idx val="1"/>
          <c:order val="0"/>
          <c:tx>
            <c:strRef>
              <c:f>datos!$E$4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(datos!$A$5:$B$5,datos!$A$7:$B$86)</c:f>
              <c:multiLvlStrCache>
                <c:ptCount val="81"/>
                <c:lvl>
                  <c:pt idx="0">
                    <c:v>E</c:v>
                  </c:pt>
                  <c:pt idx="1">
                    <c:v>M</c:v>
                  </c:pt>
                  <c:pt idx="2">
                    <c:v>A</c:v>
                  </c:pt>
                  <c:pt idx="3">
                    <c:v>M</c:v>
                  </c:pt>
                  <c:pt idx="4">
                    <c:v>J</c:v>
                  </c:pt>
                  <c:pt idx="5">
                    <c:v>J</c:v>
                  </c:pt>
                  <c:pt idx="6">
                    <c:v>A</c:v>
                  </c:pt>
                  <c:pt idx="7">
                    <c:v>S</c:v>
                  </c:pt>
                  <c:pt idx="8">
                    <c:v>O</c:v>
                  </c:pt>
                  <c:pt idx="9">
                    <c:v>N</c:v>
                  </c:pt>
                  <c:pt idx="10">
                    <c:v>D</c:v>
                  </c:pt>
                  <c:pt idx="11">
                    <c:v>E</c:v>
                  </c:pt>
                  <c:pt idx="12">
                    <c:v>F</c:v>
                  </c:pt>
                  <c:pt idx="13">
                    <c:v>M</c:v>
                  </c:pt>
                  <c:pt idx="14">
                    <c:v>A</c:v>
                  </c:pt>
                  <c:pt idx="15">
                    <c:v>M</c:v>
                  </c:pt>
                  <c:pt idx="16">
                    <c:v>J</c:v>
                  </c:pt>
                  <c:pt idx="17">
                    <c:v>J</c:v>
                  </c:pt>
                  <c:pt idx="18">
                    <c:v>A</c:v>
                  </c:pt>
                  <c:pt idx="19">
                    <c:v>S</c:v>
                  </c:pt>
                  <c:pt idx="20">
                    <c:v>O</c:v>
                  </c:pt>
                  <c:pt idx="21">
                    <c:v>N</c:v>
                  </c:pt>
                  <c:pt idx="22">
                    <c:v>D</c:v>
                  </c:pt>
                  <c:pt idx="23">
                    <c:v>E</c:v>
                  </c:pt>
                  <c:pt idx="24">
                    <c:v>F</c:v>
                  </c:pt>
                  <c:pt idx="25">
                    <c:v>M</c:v>
                  </c:pt>
                  <c:pt idx="26">
                    <c:v>A</c:v>
                  </c:pt>
                  <c:pt idx="27">
                    <c:v>M</c:v>
                  </c:pt>
                  <c:pt idx="28">
                    <c:v>J</c:v>
                  </c:pt>
                  <c:pt idx="29">
                    <c:v>J</c:v>
                  </c:pt>
                  <c:pt idx="30">
                    <c:v>A</c:v>
                  </c:pt>
                  <c:pt idx="31">
                    <c:v>S</c:v>
                  </c:pt>
                  <c:pt idx="32">
                    <c:v>O</c:v>
                  </c:pt>
                  <c:pt idx="33">
                    <c:v>N</c:v>
                  </c:pt>
                  <c:pt idx="34">
                    <c:v>D</c:v>
                  </c:pt>
                  <c:pt idx="35">
                    <c:v>E</c:v>
                  </c:pt>
                  <c:pt idx="36">
                    <c:v>F</c:v>
                  </c:pt>
                  <c:pt idx="37">
                    <c:v>M</c:v>
                  </c:pt>
                  <c:pt idx="38">
                    <c:v>A</c:v>
                  </c:pt>
                  <c:pt idx="39">
                    <c:v>M</c:v>
                  </c:pt>
                  <c:pt idx="40">
                    <c:v>J</c:v>
                  </c:pt>
                  <c:pt idx="41">
                    <c:v>J</c:v>
                  </c:pt>
                  <c:pt idx="42">
                    <c:v>A</c:v>
                  </c:pt>
                  <c:pt idx="43">
                    <c:v>S</c:v>
                  </c:pt>
                  <c:pt idx="44">
                    <c:v>O</c:v>
                  </c:pt>
                  <c:pt idx="45">
                    <c:v>N</c:v>
                  </c:pt>
                  <c:pt idx="46">
                    <c:v>D</c:v>
                  </c:pt>
                  <c:pt idx="47">
                    <c:v>E</c:v>
                  </c:pt>
                  <c:pt idx="48">
                    <c:v>F</c:v>
                  </c:pt>
                  <c:pt idx="49">
                    <c:v>M</c:v>
                  </c:pt>
                  <c:pt idx="50">
                    <c:v>A</c:v>
                  </c:pt>
                  <c:pt idx="51">
                    <c:v>M</c:v>
                  </c:pt>
                  <c:pt idx="52">
                    <c:v>J</c:v>
                  </c:pt>
                  <c:pt idx="53">
                    <c:v>J</c:v>
                  </c:pt>
                  <c:pt idx="54">
                    <c:v>A</c:v>
                  </c:pt>
                  <c:pt idx="55">
                    <c:v>S</c:v>
                  </c:pt>
                  <c:pt idx="56">
                    <c:v>O</c:v>
                  </c:pt>
                  <c:pt idx="57">
                    <c:v>N</c:v>
                  </c:pt>
                  <c:pt idx="58">
                    <c:v>D</c:v>
                  </c:pt>
                  <c:pt idx="59">
                    <c:v>E</c:v>
                  </c:pt>
                  <c:pt idx="60">
                    <c:v>F</c:v>
                  </c:pt>
                  <c:pt idx="61">
                    <c:v>M</c:v>
                  </c:pt>
                  <c:pt idx="62">
                    <c:v>A</c:v>
                  </c:pt>
                  <c:pt idx="63">
                    <c:v>M</c:v>
                  </c:pt>
                  <c:pt idx="64">
                    <c:v>J</c:v>
                  </c:pt>
                  <c:pt idx="65">
                    <c:v>J</c:v>
                  </c:pt>
                  <c:pt idx="66">
                    <c:v>A</c:v>
                  </c:pt>
                  <c:pt idx="67">
                    <c:v>S</c:v>
                  </c:pt>
                  <c:pt idx="68">
                    <c:v>O</c:v>
                  </c:pt>
                  <c:pt idx="69">
                    <c:v>N</c:v>
                  </c:pt>
                  <c:pt idx="70">
                    <c:v>D</c:v>
                  </c:pt>
                  <c:pt idx="71">
                    <c:v>E</c:v>
                  </c:pt>
                  <c:pt idx="72">
                    <c:v>F</c:v>
                  </c:pt>
                  <c:pt idx="73">
                    <c:v>M</c:v>
                  </c:pt>
                  <c:pt idx="74">
                    <c:v>A</c:v>
                  </c:pt>
                  <c:pt idx="75">
                    <c:v>M</c:v>
                  </c:pt>
                  <c:pt idx="76">
                    <c:v>J</c:v>
                  </c:pt>
                  <c:pt idx="77">
                    <c:v>J</c:v>
                  </c:pt>
                  <c:pt idx="78">
                    <c:v>A</c:v>
                  </c:pt>
                  <c:pt idx="79">
                    <c:v>S</c:v>
                  </c:pt>
                  <c:pt idx="80">
                    <c:v>O*</c:v>
                  </c:pt>
                </c:lvl>
                <c:lvl>
                  <c:pt idx="0">
                    <c:v>2016</c:v>
                  </c:pt>
                  <c:pt idx="11">
                    <c:v>2017</c:v>
                  </c:pt>
                  <c:pt idx="23">
                    <c:v>2018</c:v>
                  </c:pt>
                  <c:pt idx="35">
                    <c:v>2019</c:v>
                  </c:pt>
                  <c:pt idx="47">
                    <c:v>2020</c:v>
                  </c:pt>
                  <c:pt idx="59">
                    <c:v>2021</c:v>
                  </c:pt>
                  <c:pt idx="71">
                    <c:v>2022</c:v>
                  </c:pt>
                </c:lvl>
              </c:multiLvlStrCache>
              <c:extLst/>
            </c:multiLvlStrRef>
          </c:cat>
          <c:val>
            <c:numRef>
              <c:f>(datos!$E$5,datos!$E$7:$E$86)</c:f>
              <c:numCache>
                <c:formatCode>#,##0.0</c:formatCode>
                <c:ptCount val="81"/>
                <c:pt idx="0">
                  <c:v>30810.5378495882</c:v>
                </c:pt>
                <c:pt idx="1">
                  <c:v>29186.768707953299</c:v>
                </c:pt>
                <c:pt idx="2">
                  <c:v>30035.684714648702</c:v>
                </c:pt>
                <c:pt idx="3">
                  <c:v>30611.417521908399</c:v>
                </c:pt>
                <c:pt idx="4">
                  <c:v>30610.1252309312</c:v>
                </c:pt>
                <c:pt idx="5">
                  <c:v>31371.511226418199</c:v>
                </c:pt>
                <c:pt idx="6">
                  <c:v>31129.678776814799</c:v>
                </c:pt>
                <c:pt idx="7">
                  <c:v>32309.512432327301</c:v>
                </c:pt>
                <c:pt idx="8">
                  <c:v>32036.101506437299</c:v>
                </c:pt>
                <c:pt idx="9">
                  <c:v>32843.697891933101</c:v>
                </c:pt>
                <c:pt idx="10">
                  <c:v>32673.274659885901</c:v>
                </c:pt>
                <c:pt idx="11">
                  <c:v>33069.383361974498</c:v>
                </c:pt>
                <c:pt idx="12">
                  <c:v>33272.688420104598</c:v>
                </c:pt>
                <c:pt idx="13">
                  <c:v>32980.3527236062</c:v>
                </c:pt>
                <c:pt idx="14">
                  <c:v>33278.639421857297</c:v>
                </c:pt>
                <c:pt idx="15">
                  <c:v>33218.372255387098</c:v>
                </c:pt>
                <c:pt idx="16">
                  <c:v>34235.241646958602</c:v>
                </c:pt>
                <c:pt idx="17">
                  <c:v>33910.959396158098</c:v>
                </c:pt>
                <c:pt idx="18">
                  <c:v>34233.271715177303</c:v>
                </c:pt>
                <c:pt idx="19">
                  <c:v>34195.213690231001</c:v>
                </c:pt>
                <c:pt idx="20">
                  <c:v>35102.060615354902</c:v>
                </c:pt>
                <c:pt idx="21">
                  <c:v>36127.376348504302</c:v>
                </c:pt>
                <c:pt idx="22">
                  <c:v>36482.978893642998</c:v>
                </c:pt>
                <c:pt idx="23">
                  <c:v>35766.906119432097</c:v>
                </c:pt>
                <c:pt idx="24">
                  <c:v>37122.795502473098</c:v>
                </c:pt>
                <c:pt idx="25">
                  <c:v>38113.4217882023</c:v>
                </c:pt>
                <c:pt idx="26">
                  <c:v>37292.555481759497</c:v>
                </c:pt>
                <c:pt idx="27">
                  <c:v>36592.738531022696</c:v>
                </c:pt>
                <c:pt idx="28">
                  <c:v>37135.9049293063</c:v>
                </c:pt>
                <c:pt idx="29">
                  <c:v>37435.080197916701</c:v>
                </c:pt>
                <c:pt idx="30">
                  <c:v>37968.097460588899</c:v>
                </c:pt>
                <c:pt idx="31">
                  <c:v>39338.706357107701</c:v>
                </c:pt>
                <c:pt idx="32">
                  <c:v>38385.476187680797</c:v>
                </c:pt>
                <c:pt idx="33">
                  <c:v>37436.618475456999</c:v>
                </c:pt>
                <c:pt idx="34">
                  <c:v>37918.860720366902</c:v>
                </c:pt>
                <c:pt idx="35">
                  <c:v>37683.917130794602</c:v>
                </c:pt>
                <c:pt idx="36">
                  <c:v>38425.3072632076</c:v>
                </c:pt>
                <c:pt idx="37">
                  <c:v>38214.034312407799</c:v>
                </c:pt>
                <c:pt idx="38">
                  <c:v>38925.760333472201</c:v>
                </c:pt>
                <c:pt idx="39">
                  <c:v>39279.138364433798</c:v>
                </c:pt>
                <c:pt idx="40">
                  <c:v>38866.571433577403</c:v>
                </c:pt>
                <c:pt idx="41">
                  <c:v>38632.973724752701</c:v>
                </c:pt>
                <c:pt idx="42">
                  <c:v>39475.917165701299</c:v>
                </c:pt>
                <c:pt idx="43">
                  <c:v>38167.871711884603</c:v>
                </c:pt>
                <c:pt idx="44">
                  <c:v>37665.421899862296</c:v>
                </c:pt>
                <c:pt idx="45">
                  <c:v>37516.117272124997</c:v>
                </c:pt>
                <c:pt idx="46">
                  <c:v>37498.989072286597</c:v>
                </c:pt>
                <c:pt idx="47">
                  <c:v>39099.483739975098</c:v>
                </c:pt>
                <c:pt idx="48">
                  <c:v>37655.676857913102</c:v>
                </c:pt>
                <c:pt idx="49">
                  <c:v>36480.040381025603</c:v>
                </c:pt>
                <c:pt idx="50">
                  <c:v>22680.733000395401</c:v>
                </c:pt>
                <c:pt idx="51">
                  <c:v>18240.577594806899</c:v>
                </c:pt>
                <c:pt idx="52">
                  <c:v>31923.828162540602</c:v>
                </c:pt>
                <c:pt idx="53">
                  <c:v>35211.492851197603</c:v>
                </c:pt>
                <c:pt idx="54">
                  <c:v>38109.889363159396</c:v>
                </c:pt>
                <c:pt idx="55">
                  <c:v>37801.518266081199</c:v>
                </c:pt>
                <c:pt idx="56">
                  <c:v>40293.742685446399</c:v>
                </c:pt>
                <c:pt idx="57">
                  <c:v>38986.515167333098</c:v>
                </c:pt>
                <c:pt idx="58">
                  <c:v>39896.747014804503</c:v>
                </c:pt>
                <c:pt idx="59">
                  <c:v>40579.5864885556</c:v>
                </c:pt>
                <c:pt idx="60">
                  <c:v>37994.929802882303</c:v>
                </c:pt>
                <c:pt idx="61">
                  <c:v>39965.722327128598</c:v>
                </c:pt>
                <c:pt idx="62">
                  <c:v>39767.4401137143</c:v>
                </c:pt>
                <c:pt idx="63">
                  <c:v>40885.275565889402</c:v>
                </c:pt>
                <c:pt idx="64">
                  <c:v>40882.027528077597</c:v>
                </c:pt>
                <c:pt idx="65">
                  <c:v>41443.657661059297</c:v>
                </c:pt>
                <c:pt idx="66">
                  <c:v>40609.198381025999</c:v>
                </c:pt>
                <c:pt idx="67">
                  <c:v>41136.314823655703</c:v>
                </c:pt>
                <c:pt idx="68">
                  <c:v>41809.277636740502</c:v>
                </c:pt>
                <c:pt idx="69">
                  <c:v>44660.552893959997</c:v>
                </c:pt>
                <c:pt idx="70">
                  <c:v>44251.681187057999</c:v>
                </c:pt>
                <c:pt idx="71">
                  <c:v>41966.480670543402</c:v>
                </c:pt>
                <c:pt idx="72">
                  <c:v>48473.104392531597</c:v>
                </c:pt>
                <c:pt idx="73">
                  <c:v>47562.0354937917</c:v>
                </c:pt>
                <c:pt idx="74">
                  <c:v>47907.753853688599</c:v>
                </c:pt>
                <c:pt idx="75">
                  <c:v>48510.696770260998</c:v>
                </c:pt>
                <c:pt idx="76">
                  <c:v>49167.5482169303</c:v>
                </c:pt>
                <c:pt idx="77">
                  <c:v>48971.312193027399</c:v>
                </c:pt>
                <c:pt idx="78">
                  <c:v>49186.044223443503</c:v>
                </c:pt>
                <c:pt idx="79">
                  <c:v>51548.354341773498</c:v>
                </c:pt>
                <c:pt idx="80">
                  <c:v>49399.2971491832</c:v>
                </c:pt>
              </c:numCache>
              <c:extLst/>
            </c:numRef>
          </c:val>
          <c:smooth val="0"/>
          <c:extLst>
            <c:ext xmlns:c16="http://schemas.microsoft.com/office/drawing/2014/chart" uri="{C3380CC4-5D6E-409C-BE32-E72D297353CC}">
              <c16:uniqueId val="{00000000-07E6-433D-8A7D-73D8F5098BCB}"/>
            </c:ext>
          </c:extLst>
        </c:ser>
        <c:ser>
          <c:idx val="0"/>
          <c:order val="1"/>
          <c:tx>
            <c:strRef>
              <c:f>datos!$F$4</c:f>
              <c:strCache>
                <c:ptCount val="1"/>
                <c:pt idx="0">
                  <c:v>Serie de Tendencia-Ciclo</c:v>
                </c:pt>
              </c:strCache>
            </c:strRef>
          </c:tx>
          <c:spPr>
            <a:ln w="12700">
              <a:solidFill>
                <a:schemeClr val="tx2">
                  <a:lumMod val="75000"/>
                </a:schemeClr>
              </a:solidFill>
              <a:prstDash val="solid"/>
            </a:ln>
            <a:effectLst/>
          </c:spPr>
          <c:marker>
            <c:symbol val="none"/>
          </c:marker>
          <c:dPt>
            <c:idx val="1"/>
            <c:bubble3D val="0"/>
            <c:extLst>
              <c:ext xmlns:c16="http://schemas.microsoft.com/office/drawing/2014/chart" uri="{C3380CC4-5D6E-409C-BE32-E72D297353CC}">
                <c16:uniqueId val="{00000001-07E6-433D-8A7D-73D8F5098BCB}"/>
              </c:ext>
            </c:extLst>
          </c:dPt>
          <c:cat>
            <c:multiLvlStrRef>
              <c:f>(datos!$A$5:$B$5,datos!$A$7:$B$86)</c:f>
              <c:multiLvlStrCache>
                <c:ptCount val="81"/>
                <c:lvl>
                  <c:pt idx="0">
                    <c:v>E</c:v>
                  </c:pt>
                  <c:pt idx="1">
                    <c:v>M</c:v>
                  </c:pt>
                  <c:pt idx="2">
                    <c:v>A</c:v>
                  </c:pt>
                  <c:pt idx="3">
                    <c:v>M</c:v>
                  </c:pt>
                  <c:pt idx="4">
                    <c:v>J</c:v>
                  </c:pt>
                  <c:pt idx="5">
                    <c:v>J</c:v>
                  </c:pt>
                  <c:pt idx="6">
                    <c:v>A</c:v>
                  </c:pt>
                  <c:pt idx="7">
                    <c:v>S</c:v>
                  </c:pt>
                  <c:pt idx="8">
                    <c:v>O</c:v>
                  </c:pt>
                  <c:pt idx="9">
                    <c:v>N</c:v>
                  </c:pt>
                  <c:pt idx="10">
                    <c:v>D</c:v>
                  </c:pt>
                  <c:pt idx="11">
                    <c:v>E</c:v>
                  </c:pt>
                  <c:pt idx="12">
                    <c:v>F</c:v>
                  </c:pt>
                  <c:pt idx="13">
                    <c:v>M</c:v>
                  </c:pt>
                  <c:pt idx="14">
                    <c:v>A</c:v>
                  </c:pt>
                  <c:pt idx="15">
                    <c:v>M</c:v>
                  </c:pt>
                  <c:pt idx="16">
                    <c:v>J</c:v>
                  </c:pt>
                  <c:pt idx="17">
                    <c:v>J</c:v>
                  </c:pt>
                  <c:pt idx="18">
                    <c:v>A</c:v>
                  </c:pt>
                  <c:pt idx="19">
                    <c:v>S</c:v>
                  </c:pt>
                  <c:pt idx="20">
                    <c:v>O</c:v>
                  </c:pt>
                  <c:pt idx="21">
                    <c:v>N</c:v>
                  </c:pt>
                  <c:pt idx="22">
                    <c:v>D</c:v>
                  </c:pt>
                  <c:pt idx="23">
                    <c:v>E</c:v>
                  </c:pt>
                  <c:pt idx="24">
                    <c:v>F</c:v>
                  </c:pt>
                  <c:pt idx="25">
                    <c:v>M</c:v>
                  </c:pt>
                  <c:pt idx="26">
                    <c:v>A</c:v>
                  </c:pt>
                  <c:pt idx="27">
                    <c:v>M</c:v>
                  </c:pt>
                  <c:pt idx="28">
                    <c:v>J</c:v>
                  </c:pt>
                  <c:pt idx="29">
                    <c:v>J</c:v>
                  </c:pt>
                  <c:pt idx="30">
                    <c:v>A</c:v>
                  </c:pt>
                  <c:pt idx="31">
                    <c:v>S</c:v>
                  </c:pt>
                  <c:pt idx="32">
                    <c:v>O</c:v>
                  </c:pt>
                  <c:pt idx="33">
                    <c:v>N</c:v>
                  </c:pt>
                  <c:pt idx="34">
                    <c:v>D</c:v>
                  </c:pt>
                  <c:pt idx="35">
                    <c:v>E</c:v>
                  </c:pt>
                  <c:pt idx="36">
                    <c:v>F</c:v>
                  </c:pt>
                  <c:pt idx="37">
                    <c:v>M</c:v>
                  </c:pt>
                  <c:pt idx="38">
                    <c:v>A</c:v>
                  </c:pt>
                  <c:pt idx="39">
                    <c:v>M</c:v>
                  </c:pt>
                  <c:pt idx="40">
                    <c:v>J</c:v>
                  </c:pt>
                  <c:pt idx="41">
                    <c:v>J</c:v>
                  </c:pt>
                  <c:pt idx="42">
                    <c:v>A</c:v>
                  </c:pt>
                  <c:pt idx="43">
                    <c:v>S</c:v>
                  </c:pt>
                  <c:pt idx="44">
                    <c:v>O</c:v>
                  </c:pt>
                  <c:pt idx="45">
                    <c:v>N</c:v>
                  </c:pt>
                  <c:pt idx="46">
                    <c:v>D</c:v>
                  </c:pt>
                  <c:pt idx="47">
                    <c:v>E</c:v>
                  </c:pt>
                  <c:pt idx="48">
                    <c:v>F</c:v>
                  </c:pt>
                  <c:pt idx="49">
                    <c:v>M</c:v>
                  </c:pt>
                  <c:pt idx="50">
                    <c:v>A</c:v>
                  </c:pt>
                  <c:pt idx="51">
                    <c:v>M</c:v>
                  </c:pt>
                  <c:pt idx="52">
                    <c:v>J</c:v>
                  </c:pt>
                  <c:pt idx="53">
                    <c:v>J</c:v>
                  </c:pt>
                  <c:pt idx="54">
                    <c:v>A</c:v>
                  </c:pt>
                  <c:pt idx="55">
                    <c:v>S</c:v>
                  </c:pt>
                  <c:pt idx="56">
                    <c:v>O</c:v>
                  </c:pt>
                  <c:pt idx="57">
                    <c:v>N</c:v>
                  </c:pt>
                  <c:pt idx="58">
                    <c:v>D</c:v>
                  </c:pt>
                  <c:pt idx="59">
                    <c:v>E</c:v>
                  </c:pt>
                  <c:pt idx="60">
                    <c:v>F</c:v>
                  </c:pt>
                  <c:pt idx="61">
                    <c:v>M</c:v>
                  </c:pt>
                  <c:pt idx="62">
                    <c:v>A</c:v>
                  </c:pt>
                  <c:pt idx="63">
                    <c:v>M</c:v>
                  </c:pt>
                  <c:pt idx="64">
                    <c:v>J</c:v>
                  </c:pt>
                  <c:pt idx="65">
                    <c:v>J</c:v>
                  </c:pt>
                  <c:pt idx="66">
                    <c:v>A</c:v>
                  </c:pt>
                  <c:pt idx="67">
                    <c:v>S</c:v>
                  </c:pt>
                  <c:pt idx="68">
                    <c:v>O</c:v>
                  </c:pt>
                  <c:pt idx="69">
                    <c:v>N</c:v>
                  </c:pt>
                  <c:pt idx="70">
                    <c:v>D</c:v>
                  </c:pt>
                  <c:pt idx="71">
                    <c:v>E</c:v>
                  </c:pt>
                  <c:pt idx="72">
                    <c:v>F</c:v>
                  </c:pt>
                  <c:pt idx="73">
                    <c:v>M</c:v>
                  </c:pt>
                  <c:pt idx="74">
                    <c:v>A</c:v>
                  </c:pt>
                  <c:pt idx="75">
                    <c:v>M</c:v>
                  </c:pt>
                  <c:pt idx="76">
                    <c:v>J</c:v>
                  </c:pt>
                  <c:pt idx="77">
                    <c:v>J</c:v>
                  </c:pt>
                  <c:pt idx="78">
                    <c:v>A</c:v>
                  </c:pt>
                  <c:pt idx="79">
                    <c:v>S</c:v>
                  </c:pt>
                  <c:pt idx="80">
                    <c:v>O*</c:v>
                  </c:pt>
                </c:lvl>
                <c:lvl>
                  <c:pt idx="0">
                    <c:v>2016</c:v>
                  </c:pt>
                  <c:pt idx="11">
                    <c:v>2017</c:v>
                  </c:pt>
                  <c:pt idx="23">
                    <c:v>2018</c:v>
                  </c:pt>
                  <c:pt idx="35">
                    <c:v>2019</c:v>
                  </c:pt>
                  <c:pt idx="47">
                    <c:v>2020</c:v>
                  </c:pt>
                  <c:pt idx="59">
                    <c:v>2021</c:v>
                  </c:pt>
                  <c:pt idx="71">
                    <c:v>2022</c:v>
                  </c:pt>
                </c:lvl>
              </c:multiLvlStrCache>
              <c:extLst/>
            </c:multiLvlStrRef>
          </c:cat>
          <c:val>
            <c:numRef>
              <c:f>(datos!$F$5,datos!$F$7:$F$86)</c:f>
              <c:numCache>
                <c:formatCode>#,##0.0</c:formatCode>
                <c:ptCount val="81"/>
                <c:pt idx="0">
                  <c:v>30209.869139372575</c:v>
                </c:pt>
                <c:pt idx="1">
                  <c:v>29994.175672226811</c:v>
                </c:pt>
                <c:pt idx="2">
                  <c:v>30120.153808579023</c:v>
                </c:pt>
                <c:pt idx="3">
                  <c:v>30367.796181944133</c:v>
                </c:pt>
                <c:pt idx="4">
                  <c:v>30692.074368661546</c:v>
                </c:pt>
                <c:pt idx="5">
                  <c:v>31054.084752084411</c:v>
                </c:pt>
                <c:pt idx="6">
                  <c:v>31434.880141384674</c:v>
                </c:pt>
                <c:pt idx="7">
                  <c:v>31827.417329241347</c:v>
                </c:pt>
                <c:pt idx="8">
                  <c:v>32217.754516097109</c:v>
                </c:pt>
                <c:pt idx="9">
                  <c:v>32570.932543821673</c:v>
                </c:pt>
                <c:pt idx="10">
                  <c:v>32834.00121444367</c:v>
                </c:pt>
                <c:pt idx="11">
                  <c:v>33004.25355382538</c:v>
                </c:pt>
                <c:pt idx="12">
                  <c:v>33125.799326961365</c:v>
                </c:pt>
                <c:pt idx="13">
                  <c:v>33243.374442068227</c:v>
                </c:pt>
                <c:pt idx="14">
                  <c:v>33376.664738159881</c:v>
                </c:pt>
                <c:pt idx="15">
                  <c:v>33515.233310229065</c:v>
                </c:pt>
                <c:pt idx="16">
                  <c:v>33688.538547388358</c:v>
                </c:pt>
                <c:pt idx="17">
                  <c:v>33936.109206079287</c:v>
                </c:pt>
                <c:pt idx="18">
                  <c:v>34266.814018798003</c:v>
                </c:pt>
                <c:pt idx="19">
                  <c:v>34663.943127047329</c:v>
                </c:pt>
                <c:pt idx="20">
                  <c:v>35128.247046249438</c:v>
                </c:pt>
                <c:pt idx="21">
                  <c:v>35644.191096594761</c:v>
                </c:pt>
                <c:pt idx="22">
                  <c:v>36163.668927616709</c:v>
                </c:pt>
                <c:pt idx="23">
                  <c:v>36610.403043267856</c:v>
                </c:pt>
                <c:pt idx="24">
                  <c:v>36920.893162006345</c:v>
                </c:pt>
                <c:pt idx="25">
                  <c:v>37103.233032866141</c:v>
                </c:pt>
                <c:pt idx="26">
                  <c:v>37218.946427526804</c:v>
                </c:pt>
                <c:pt idx="27">
                  <c:v>37358.710303404579</c:v>
                </c:pt>
                <c:pt idx="28">
                  <c:v>37537.42787342878</c:v>
                </c:pt>
                <c:pt idx="29">
                  <c:v>37735.395724091024</c:v>
                </c:pt>
                <c:pt idx="30">
                  <c:v>37920.565063654125</c:v>
                </c:pt>
                <c:pt idx="31">
                  <c:v>38035.732994530503</c:v>
                </c:pt>
                <c:pt idx="32">
                  <c:v>38039.925020094212</c:v>
                </c:pt>
                <c:pt idx="33">
                  <c:v>37977.261030638409</c:v>
                </c:pt>
                <c:pt idx="34">
                  <c:v>37949.821808312474</c:v>
                </c:pt>
                <c:pt idx="35">
                  <c:v>38031.750282921406</c:v>
                </c:pt>
                <c:pt idx="36">
                  <c:v>38245.570112953959</c:v>
                </c:pt>
                <c:pt idx="37">
                  <c:v>38560.966684249383</c:v>
                </c:pt>
                <c:pt idx="38">
                  <c:v>38887.626896911584</c:v>
                </c:pt>
                <c:pt idx="39">
                  <c:v>39106.468572760554</c:v>
                </c:pt>
                <c:pt idx="40">
                  <c:v>39152.8785994465</c:v>
                </c:pt>
                <c:pt idx="41">
                  <c:v>39001.076866507326</c:v>
                </c:pt>
                <c:pt idx="42">
                  <c:v>38702.13253267543</c:v>
                </c:pt>
                <c:pt idx="43">
                  <c:v>38374.463646497803</c:v>
                </c:pt>
                <c:pt idx="44">
                  <c:v>38085.332728400208</c:v>
                </c:pt>
                <c:pt idx="45">
                  <c:v>37857.236016181261</c:v>
                </c:pt>
                <c:pt idx="46">
                  <c:v>37689.60903108702</c:v>
                </c:pt>
                <c:pt idx="47">
                  <c:v>37538.833792335259</c:v>
                </c:pt>
                <c:pt idx="48">
                  <c:v>37351.577028762571</c:v>
                </c:pt>
                <c:pt idx="49">
                  <c:v>37130.188960836334</c:v>
                </c:pt>
                <c:pt idx="50">
                  <c:v>36917.72686103217</c:v>
                </c:pt>
                <c:pt idx="51">
                  <c:v>36836.201484647099</c:v>
                </c:pt>
                <c:pt idx="52">
                  <c:v>36955.718773460409</c:v>
                </c:pt>
                <c:pt idx="53">
                  <c:v>37297.075461184817</c:v>
                </c:pt>
                <c:pt idx="54">
                  <c:v>37807.292499443029</c:v>
                </c:pt>
                <c:pt idx="55">
                  <c:v>38367.950174420534</c:v>
                </c:pt>
                <c:pt idx="56">
                  <c:v>38873.320933556395</c:v>
                </c:pt>
                <c:pt idx="57">
                  <c:v>39239.434685817563</c:v>
                </c:pt>
                <c:pt idx="58">
                  <c:v>39434.660846050647</c:v>
                </c:pt>
                <c:pt idx="59">
                  <c:v>39509.266908251688</c:v>
                </c:pt>
                <c:pt idx="60">
                  <c:v>39580.783460880644</c:v>
                </c:pt>
                <c:pt idx="61">
                  <c:v>39719.840095249696</c:v>
                </c:pt>
                <c:pt idx="62">
                  <c:v>39950.573047269201</c:v>
                </c:pt>
                <c:pt idx="63">
                  <c:v>40245.325513467891</c:v>
                </c:pt>
                <c:pt idx="64">
                  <c:v>40528.993901288028</c:v>
                </c:pt>
                <c:pt idx="65">
                  <c:v>40805.199902029002</c:v>
                </c:pt>
                <c:pt idx="66">
                  <c:v>41091.116587449731</c:v>
                </c:pt>
                <c:pt idx="67">
                  <c:v>41484.935297865813</c:v>
                </c:pt>
                <c:pt idx="68">
                  <c:v>42098.444339016591</c:v>
                </c:pt>
                <c:pt idx="69">
                  <c:v>42976.679002185178</c:v>
                </c:pt>
                <c:pt idx="70">
                  <c:v>44047.102721119561</c:v>
                </c:pt>
                <c:pt idx="71">
                  <c:v>45203.470251224804</c:v>
                </c:pt>
                <c:pt idx="72">
                  <c:v>46302.680687852328</c:v>
                </c:pt>
                <c:pt idx="73">
                  <c:v>47213.488206938608</c:v>
                </c:pt>
                <c:pt idx="74">
                  <c:v>47944.39440704172</c:v>
                </c:pt>
                <c:pt idx="75">
                  <c:v>48500.492625291823</c:v>
                </c:pt>
                <c:pt idx="76">
                  <c:v>48938.627182714074</c:v>
                </c:pt>
                <c:pt idx="77">
                  <c:v>49311.866052276571</c:v>
                </c:pt>
                <c:pt idx="78">
                  <c:v>49643.197012953045</c:v>
                </c:pt>
                <c:pt idx="79">
                  <c:v>49949.453486295104</c:v>
                </c:pt>
                <c:pt idx="80">
                  <c:v>50238.538227278215</c:v>
                </c:pt>
              </c:numCache>
              <c:extLst/>
            </c:numRef>
          </c:val>
          <c:smooth val="0"/>
          <c:extLst>
            <c:ext xmlns:c16="http://schemas.microsoft.com/office/drawing/2014/chart" uri="{C3380CC4-5D6E-409C-BE32-E72D297353CC}">
              <c16:uniqueId val="{00000002-07E6-433D-8A7D-73D8F5098BCB}"/>
            </c:ext>
          </c:extLst>
        </c:ser>
        <c:dLbls>
          <c:showLegendKey val="0"/>
          <c:showVal val="0"/>
          <c:showCatName val="0"/>
          <c:showSerName val="0"/>
          <c:showPercent val="0"/>
          <c:showBubbleSize val="0"/>
        </c:dLbls>
        <c:smooth val="0"/>
        <c:axId val="440195736"/>
        <c:axId val="440194168"/>
      </c:lineChart>
      <c:catAx>
        <c:axId val="44019573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400"/>
            </a:pPr>
            <a:endParaRPr lang="es-MX"/>
          </a:p>
        </c:txPr>
        <c:crossAx val="440194168"/>
        <c:crosses val="autoZero"/>
        <c:auto val="1"/>
        <c:lblAlgn val="ctr"/>
        <c:lblOffset val="0"/>
        <c:tickLblSkip val="1"/>
        <c:tickMarkSkip val="1"/>
        <c:noMultiLvlLbl val="1"/>
      </c:catAx>
      <c:valAx>
        <c:axId val="440194168"/>
        <c:scaling>
          <c:orientation val="minMax"/>
          <c:max val="58200"/>
          <c:min val="16000"/>
        </c:scaling>
        <c:delete val="0"/>
        <c:axPos val="r"/>
        <c:numFmt formatCode="#,##0" sourceLinked="0"/>
        <c:majorTickMark val="out"/>
        <c:minorTickMark val="none"/>
        <c:tickLblPos val="high"/>
        <c:spPr>
          <a:ln w="3175">
            <a:solidFill>
              <a:srgbClr val="000000"/>
            </a:solidFill>
            <a:prstDash val="solid"/>
          </a:ln>
        </c:spPr>
        <c:txPr>
          <a:bodyPr rot="0" vert="horz"/>
          <a:lstStyle/>
          <a:p>
            <a:pPr>
              <a:defRPr/>
            </a:pPr>
            <a:endParaRPr lang="es-MX"/>
          </a:p>
        </c:txPr>
        <c:crossAx val="440195736"/>
        <c:crosses val="max"/>
        <c:crossBetween val="between"/>
        <c:majorUnit val="8400"/>
        <c:minorUnit val="400"/>
      </c:valAx>
      <c:spPr>
        <a:noFill/>
        <a:ln w="25400">
          <a:noFill/>
        </a:ln>
      </c:spPr>
    </c:plotArea>
    <c:legend>
      <c:legendPos val="b"/>
      <c:layout>
        <c:manualLayout>
          <c:xMode val="edge"/>
          <c:yMode val="edge"/>
          <c:x val="0"/>
          <c:y val="0.93397297808012092"/>
          <c:w val="0.99432857405669794"/>
          <c:h val="4.9672325102880673E-2"/>
        </c:manualLayout>
      </c:layout>
      <c:overlay val="0"/>
      <c:spPr>
        <a:noFill/>
        <a:ln w="25400">
          <a:noFill/>
        </a:ln>
      </c:spPr>
    </c:legend>
    <c:plotVisOnly val="1"/>
    <c:dispBlanksAs val="zero"/>
    <c:showDLblsOverMax val="0"/>
  </c:chart>
  <c:spPr>
    <a:noFill/>
    <a:ln w="3175">
      <a:solidFill>
        <a:schemeClr val="tx1"/>
      </a:solidFill>
      <a:prstDash val="solid"/>
    </a:ln>
    <a:effectLst/>
  </c:spPr>
  <c:txPr>
    <a:bodyPr/>
    <a:lstStyle/>
    <a:p>
      <a:pPr>
        <a:defRPr sz="5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lang="es-MX" sz="700" b="1" i="0" cap="small" baseline="0"/>
            </a:pPr>
            <a:r>
              <a:rPr lang="es-ES" sz="700" b="1" i="0" cap="small" baseline="0"/>
              <a:t>Petroleras</a:t>
            </a:r>
          </a:p>
        </c:rich>
      </c:tx>
      <c:layout>
        <c:manualLayout>
          <c:xMode val="edge"/>
          <c:yMode val="edge"/>
          <c:x val="0.37839580403188638"/>
          <c:y val="6.5329218106995914E-3"/>
        </c:manualLayout>
      </c:layout>
      <c:overlay val="1"/>
    </c:title>
    <c:autoTitleDeleted val="0"/>
    <c:plotArea>
      <c:layout>
        <c:manualLayout>
          <c:layoutTarget val="inner"/>
          <c:xMode val="edge"/>
          <c:yMode val="edge"/>
          <c:x val="3.9390166028097064E-2"/>
          <c:y val="5.4538999734452885E-2"/>
          <c:w val="0.88382032348804562"/>
          <c:h val="0.79278583676269065"/>
        </c:manualLayout>
      </c:layout>
      <c:lineChart>
        <c:grouping val="standard"/>
        <c:varyColors val="0"/>
        <c:ser>
          <c:idx val="1"/>
          <c:order val="0"/>
          <c:tx>
            <c:strRef>
              <c:f>datos!$G$4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datos!$A$5:$B$86</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2016</c:v>
                  </c:pt>
                  <c:pt idx="12">
                    <c:v>2017</c:v>
                  </c:pt>
                  <c:pt idx="24">
                    <c:v>2018</c:v>
                  </c:pt>
                  <c:pt idx="36">
                    <c:v>2019</c:v>
                  </c:pt>
                  <c:pt idx="48">
                    <c:v>2020</c:v>
                  </c:pt>
                  <c:pt idx="60">
                    <c:v>2021</c:v>
                  </c:pt>
                  <c:pt idx="72">
                    <c:v>2022</c:v>
                  </c:pt>
                </c:lvl>
              </c:multiLvlStrCache>
            </c:multiLvlStrRef>
          </c:cat>
          <c:val>
            <c:numRef>
              <c:f>datos!$G$5:$G$86</c:f>
              <c:numCache>
                <c:formatCode>#,##0.0</c:formatCode>
                <c:ptCount val="82"/>
                <c:pt idx="0">
                  <c:v>1200.0827304829199</c:v>
                </c:pt>
                <c:pt idx="1">
                  <c:v>1182.85478856745</c:v>
                </c:pt>
                <c:pt idx="2">
                  <c:v>1312.35686656187</c:v>
                </c:pt>
                <c:pt idx="3">
                  <c:v>1387.61943867538</c:v>
                </c:pt>
                <c:pt idx="4">
                  <c:v>1597.07606435864</c:v>
                </c:pt>
                <c:pt idx="5">
                  <c:v>1577.3629898409299</c:v>
                </c:pt>
                <c:pt idx="6">
                  <c:v>1583.7365466148401</c:v>
                </c:pt>
                <c:pt idx="7">
                  <c:v>1696.6392847386001</c:v>
                </c:pt>
                <c:pt idx="8">
                  <c:v>1808.44547978791</c:v>
                </c:pt>
                <c:pt idx="9">
                  <c:v>1837.91133010207</c:v>
                </c:pt>
                <c:pt idx="10">
                  <c:v>1666.4975178868799</c:v>
                </c:pt>
                <c:pt idx="11">
                  <c:v>1842.90369037967</c:v>
                </c:pt>
                <c:pt idx="12">
                  <c:v>2081.4735059183499</c:v>
                </c:pt>
                <c:pt idx="13">
                  <c:v>1991.83755187263</c:v>
                </c:pt>
                <c:pt idx="14">
                  <c:v>1778.91979626943</c:v>
                </c:pt>
                <c:pt idx="15">
                  <c:v>1776.16810026088</c:v>
                </c:pt>
                <c:pt idx="16">
                  <c:v>1514.6990559010301</c:v>
                </c:pt>
                <c:pt idx="17">
                  <c:v>1746.8363979400799</c:v>
                </c:pt>
                <c:pt idx="18">
                  <c:v>1867.44548724014</c:v>
                </c:pt>
                <c:pt idx="19">
                  <c:v>1791.47253715949</c:v>
                </c:pt>
                <c:pt idx="20">
                  <c:v>1883.2191197769801</c:v>
                </c:pt>
                <c:pt idx="21">
                  <c:v>2170.4024631826001</c:v>
                </c:pt>
                <c:pt idx="22">
                  <c:v>2451.52760048654</c:v>
                </c:pt>
                <c:pt idx="23">
                  <c:v>2659.67717678087</c:v>
                </c:pt>
                <c:pt idx="24">
                  <c:v>2532.3080251396</c:v>
                </c:pt>
                <c:pt idx="25">
                  <c:v>2730.8585147433901</c:v>
                </c:pt>
                <c:pt idx="26">
                  <c:v>2581.63814815761</c:v>
                </c:pt>
                <c:pt idx="27">
                  <c:v>2760.5788422185901</c:v>
                </c:pt>
                <c:pt idx="28">
                  <c:v>2649.5492344150898</c:v>
                </c:pt>
                <c:pt idx="29">
                  <c:v>2500.6909221862502</c:v>
                </c:pt>
                <c:pt idx="30">
                  <c:v>2425.28010263745</c:v>
                </c:pt>
                <c:pt idx="31">
                  <c:v>2661.28009271063</c:v>
                </c:pt>
                <c:pt idx="32">
                  <c:v>2775.9746774406699</c:v>
                </c:pt>
                <c:pt idx="33">
                  <c:v>2534.5071020076002</c:v>
                </c:pt>
                <c:pt idx="34">
                  <c:v>2307.7298391680902</c:v>
                </c:pt>
                <c:pt idx="35">
                  <c:v>2186.9754732861402</c:v>
                </c:pt>
                <c:pt idx="36">
                  <c:v>2279.8428798518298</c:v>
                </c:pt>
                <c:pt idx="37">
                  <c:v>2763.4217610477299</c:v>
                </c:pt>
                <c:pt idx="38">
                  <c:v>2467.84538715793</c:v>
                </c:pt>
                <c:pt idx="39">
                  <c:v>2329.8405002608201</c:v>
                </c:pt>
                <c:pt idx="40">
                  <c:v>2444.4155278102498</c:v>
                </c:pt>
                <c:pt idx="41">
                  <c:v>1933.2863111034001</c:v>
                </c:pt>
                <c:pt idx="42">
                  <c:v>2027.1262508724001</c:v>
                </c:pt>
                <c:pt idx="43">
                  <c:v>1872.2920396185</c:v>
                </c:pt>
                <c:pt idx="44">
                  <c:v>1918.88243299953</c:v>
                </c:pt>
                <c:pt idx="45">
                  <c:v>1809.63874365582</c:v>
                </c:pt>
                <c:pt idx="46">
                  <c:v>1884.97848383776</c:v>
                </c:pt>
                <c:pt idx="47">
                  <c:v>2135.7259417790501</c:v>
                </c:pt>
                <c:pt idx="48">
                  <c:v>2404.18269979161</c:v>
                </c:pt>
                <c:pt idx="49">
                  <c:v>1612.84751441806</c:v>
                </c:pt>
                <c:pt idx="50">
                  <c:v>1263.4988465105801</c:v>
                </c:pt>
                <c:pt idx="51">
                  <c:v>853.43293607133796</c:v>
                </c:pt>
                <c:pt idx="52">
                  <c:v>934.83938630325099</c:v>
                </c:pt>
                <c:pt idx="53">
                  <c:v>1234.31333229044</c:v>
                </c:pt>
                <c:pt idx="54">
                  <c:v>1277.8029914521001</c:v>
                </c:pt>
                <c:pt idx="55">
                  <c:v>1662.0265502904199</c:v>
                </c:pt>
                <c:pt idx="56">
                  <c:v>1508.0377079090699</c:v>
                </c:pt>
                <c:pt idx="57">
                  <c:v>1355.9553653273799</c:v>
                </c:pt>
                <c:pt idx="58">
                  <c:v>1650.3046463687399</c:v>
                </c:pt>
                <c:pt idx="59">
                  <c:v>1972.44816209953</c:v>
                </c:pt>
                <c:pt idx="60">
                  <c:v>2022.1022997574701</c:v>
                </c:pt>
                <c:pt idx="61">
                  <c:v>2028.2983826204099</c:v>
                </c:pt>
                <c:pt idx="62">
                  <c:v>2147.72830542784</c:v>
                </c:pt>
                <c:pt idx="63">
                  <c:v>2118.6016130265498</c:v>
                </c:pt>
                <c:pt idx="64">
                  <c:v>2272.3530098891401</c:v>
                </c:pt>
                <c:pt idx="65">
                  <c:v>2444.7386091742201</c:v>
                </c:pt>
                <c:pt idx="66">
                  <c:v>2622.8571476298298</c:v>
                </c:pt>
                <c:pt idx="67">
                  <c:v>2633.1762435574801</c:v>
                </c:pt>
                <c:pt idx="68">
                  <c:v>2555.0161603175802</c:v>
                </c:pt>
                <c:pt idx="69">
                  <c:v>2766.2124500713799</c:v>
                </c:pt>
                <c:pt idx="70">
                  <c:v>2851.4436170403801</c:v>
                </c:pt>
                <c:pt idx="71">
                  <c:v>2669.1328002431801</c:v>
                </c:pt>
                <c:pt idx="72">
                  <c:v>2748.5338043952802</c:v>
                </c:pt>
                <c:pt idx="73">
                  <c:v>3094.6868684094202</c:v>
                </c:pt>
                <c:pt idx="74">
                  <c:v>3558.3041413599299</c:v>
                </c:pt>
                <c:pt idx="75">
                  <c:v>3859.0591832119899</c:v>
                </c:pt>
                <c:pt idx="76">
                  <c:v>3693.5078904411998</c:v>
                </c:pt>
                <c:pt idx="77">
                  <c:v>3780.6348201497699</c:v>
                </c:pt>
                <c:pt idx="78">
                  <c:v>3598.7473809862599</c:v>
                </c:pt>
                <c:pt idx="79">
                  <c:v>3123.4557686604999</c:v>
                </c:pt>
                <c:pt idx="80">
                  <c:v>3356.1266726765998</c:v>
                </c:pt>
                <c:pt idx="81">
                  <c:v>2983.7860749316001</c:v>
                </c:pt>
              </c:numCache>
            </c:numRef>
          </c:val>
          <c:smooth val="0"/>
          <c:extLst>
            <c:ext xmlns:c16="http://schemas.microsoft.com/office/drawing/2014/chart" uri="{C3380CC4-5D6E-409C-BE32-E72D297353CC}">
              <c16:uniqueId val="{00000000-8A81-44E0-B65A-F479C5B31735}"/>
            </c:ext>
          </c:extLst>
        </c:ser>
        <c:ser>
          <c:idx val="0"/>
          <c:order val="1"/>
          <c:tx>
            <c:strRef>
              <c:f>datos!$H$4</c:f>
              <c:strCache>
                <c:ptCount val="1"/>
                <c:pt idx="0">
                  <c:v>Serie de Tendencia-Ciclo</c:v>
                </c:pt>
              </c:strCache>
            </c:strRef>
          </c:tx>
          <c:spPr>
            <a:ln w="12700">
              <a:solidFill>
                <a:schemeClr val="tx2">
                  <a:lumMod val="75000"/>
                </a:schemeClr>
              </a:solidFill>
              <a:prstDash val="solid"/>
            </a:ln>
            <a:effectLst/>
          </c:spPr>
          <c:marker>
            <c:symbol val="none"/>
          </c:marker>
          <c:cat>
            <c:multiLvlStrRef>
              <c:f>datos!$A$5:$B$86</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2016</c:v>
                  </c:pt>
                  <c:pt idx="12">
                    <c:v>2017</c:v>
                  </c:pt>
                  <c:pt idx="24">
                    <c:v>2018</c:v>
                  </c:pt>
                  <c:pt idx="36">
                    <c:v>2019</c:v>
                  </c:pt>
                  <c:pt idx="48">
                    <c:v>2020</c:v>
                  </c:pt>
                  <c:pt idx="60">
                    <c:v>2021</c:v>
                  </c:pt>
                  <c:pt idx="72">
                    <c:v>2022</c:v>
                  </c:pt>
                </c:lvl>
              </c:multiLvlStrCache>
            </c:multiLvlStrRef>
          </c:cat>
          <c:val>
            <c:numRef>
              <c:f>datos!$H$5:$H$86</c:f>
              <c:numCache>
                <c:formatCode>#,##0.0</c:formatCode>
                <c:ptCount val="82"/>
                <c:pt idx="0">
                  <c:v>1259.5797015450471</c:v>
                </c:pt>
                <c:pt idx="1">
                  <c:v>1254.5169741949021</c:v>
                </c:pt>
                <c:pt idx="2">
                  <c:v>1301.961901592224</c:v>
                </c:pt>
                <c:pt idx="3">
                  <c:v>1385.4737311214099</c:v>
                </c:pt>
                <c:pt idx="4">
                  <c:v>1485.2657853698879</c:v>
                </c:pt>
                <c:pt idx="5">
                  <c:v>1577.7908267336179</c:v>
                </c:pt>
                <c:pt idx="6">
                  <c:v>1647.887274570211</c:v>
                </c:pt>
                <c:pt idx="7">
                  <c:v>1700.954551165762</c:v>
                </c:pt>
                <c:pt idx="8">
                  <c:v>1750.9976152773129</c:v>
                </c:pt>
                <c:pt idx="9">
                  <c:v>1804.9969604289531</c:v>
                </c:pt>
                <c:pt idx="10">
                  <c:v>1859.27625013997</c:v>
                </c:pt>
                <c:pt idx="11">
                  <c:v>1898.286135583033</c:v>
                </c:pt>
                <c:pt idx="12">
                  <c:v>1904.9525810255029</c:v>
                </c:pt>
                <c:pt idx="13">
                  <c:v>1882.0937557786481</c:v>
                </c:pt>
                <c:pt idx="14">
                  <c:v>1839.6420786789402</c:v>
                </c:pt>
                <c:pt idx="15">
                  <c:v>1786.9273493639819</c:v>
                </c:pt>
                <c:pt idx="16">
                  <c:v>1739.862972893538</c:v>
                </c:pt>
                <c:pt idx="17">
                  <c:v>1723.3084111731232</c:v>
                </c:pt>
                <c:pt idx="18">
                  <c:v>1765.7766603279961</c:v>
                </c:pt>
                <c:pt idx="19">
                  <c:v>1868.0019285454989</c:v>
                </c:pt>
                <c:pt idx="20">
                  <c:v>2017.253406892255</c:v>
                </c:pt>
                <c:pt idx="21">
                  <c:v>2189.924890293119</c:v>
                </c:pt>
                <c:pt idx="22">
                  <c:v>2363.0284836887081</c:v>
                </c:pt>
                <c:pt idx="23">
                  <c:v>2513.9328087544518</c:v>
                </c:pt>
                <c:pt idx="24">
                  <c:v>2623.3834571198208</c:v>
                </c:pt>
                <c:pt idx="25">
                  <c:v>2675.1637863746701</c:v>
                </c:pt>
                <c:pt idx="26">
                  <c:v>2673.3941908368747</c:v>
                </c:pt>
                <c:pt idx="27">
                  <c:v>2649.979767603601</c:v>
                </c:pt>
                <c:pt idx="28">
                  <c:v>2634.1503901587371</c:v>
                </c:pt>
                <c:pt idx="29">
                  <c:v>2632.9244031280041</c:v>
                </c:pt>
                <c:pt idx="30">
                  <c:v>2631.289463392648</c:v>
                </c:pt>
                <c:pt idx="31">
                  <c:v>2609.1420704684169</c:v>
                </c:pt>
                <c:pt idx="32">
                  <c:v>2559.0867260720033</c:v>
                </c:pt>
                <c:pt idx="33">
                  <c:v>2486.776480050155</c:v>
                </c:pt>
                <c:pt idx="34">
                  <c:v>2409.7574184022337</c:v>
                </c:pt>
                <c:pt idx="35">
                  <c:v>2355.298982206918</c:v>
                </c:pt>
                <c:pt idx="36">
                  <c:v>2337.9092511688759</c:v>
                </c:pt>
                <c:pt idx="37">
                  <c:v>2350.7071518340008</c:v>
                </c:pt>
                <c:pt idx="38">
                  <c:v>2360.1894927063381</c:v>
                </c:pt>
                <c:pt idx="39">
                  <c:v>2332.226814801591</c:v>
                </c:pt>
                <c:pt idx="40">
                  <c:v>2249.2913710154207</c:v>
                </c:pt>
                <c:pt idx="41">
                  <c:v>2129.2990835812138</c:v>
                </c:pt>
                <c:pt idx="42">
                  <c:v>2013.7130504885158</c:v>
                </c:pt>
                <c:pt idx="43">
                  <c:v>1939.0038858997329</c:v>
                </c:pt>
                <c:pt idx="44">
                  <c:v>1911.6158741239881</c:v>
                </c:pt>
                <c:pt idx="45">
                  <c:v>1912.524536232173</c:v>
                </c:pt>
                <c:pt idx="46">
                  <c:v>1910.0078416874321</c:v>
                </c:pt>
                <c:pt idx="47">
                  <c:v>1869.5236951261081</c:v>
                </c:pt>
                <c:pt idx="48">
                  <c:v>1780.129750498606</c:v>
                </c:pt>
                <c:pt idx="49">
                  <c:v>1663.269146001508</c:v>
                </c:pt>
                <c:pt idx="50">
                  <c:v>1550.226260316718</c:v>
                </c:pt>
                <c:pt idx="51">
                  <c:v>1473.409050823064</c:v>
                </c:pt>
                <c:pt idx="52">
                  <c:v>1450.8762356638429</c:v>
                </c:pt>
                <c:pt idx="53">
                  <c:v>1476.077240949438</c:v>
                </c:pt>
                <c:pt idx="54">
                  <c:v>1527.843379944595</c:v>
                </c:pt>
                <c:pt idx="55">
                  <c:v>1592.255569560042</c:v>
                </c:pt>
                <c:pt idx="56">
                  <c:v>1666.2258066783229</c:v>
                </c:pt>
                <c:pt idx="57">
                  <c:v>1748.4468550689669</c:v>
                </c:pt>
                <c:pt idx="58">
                  <c:v>1833.8860596730181</c:v>
                </c:pt>
                <c:pt idx="59">
                  <c:v>1917.778823532057</c:v>
                </c:pt>
                <c:pt idx="60">
                  <c:v>1993.9557129737721</c:v>
                </c:pt>
                <c:pt idx="61">
                  <c:v>2061.0486155098852</c:v>
                </c:pt>
                <c:pt idx="62">
                  <c:v>2133.0842186197619</c:v>
                </c:pt>
                <c:pt idx="63">
                  <c:v>2216.9254371890688</c:v>
                </c:pt>
                <c:pt idx="64">
                  <c:v>2314.3939318445418</c:v>
                </c:pt>
                <c:pt idx="65">
                  <c:v>2421.3940220731088</c:v>
                </c:pt>
                <c:pt idx="66">
                  <c:v>2526.0600088137417</c:v>
                </c:pt>
                <c:pt idx="67">
                  <c:v>2602.9291985663367</c:v>
                </c:pt>
                <c:pt idx="68">
                  <c:v>2641.5495568071933</c:v>
                </c:pt>
                <c:pt idx="69">
                  <c:v>2657.892827505927</c:v>
                </c:pt>
                <c:pt idx="70">
                  <c:v>2696.7921896651469</c:v>
                </c:pt>
                <c:pt idx="71">
                  <c:v>2796.0361770819054</c:v>
                </c:pt>
                <c:pt idx="72">
                  <c:v>2969.2362964161989</c:v>
                </c:pt>
                <c:pt idx="73">
                  <c:v>3202.099625155432</c:v>
                </c:pt>
                <c:pt idx="74">
                  <c:v>3439.5282412303968</c:v>
                </c:pt>
                <c:pt idx="75">
                  <c:v>3623.864007380666</c:v>
                </c:pt>
                <c:pt idx="76">
                  <c:v>3713.2954447758962</c:v>
                </c:pt>
                <c:pt idx="77">
                  <c:v>3692.400594735449</c:v>
                </c:pt>
                <c:pt idx="78">
                  <c:v>3574.0617091699287</c:v>
                </c:pt>
                <c:pt idx="79">
                  <c:v>3409.7480376874678</c:v>
                </c:pt>
                <c:pt idx="80">
                  <c:v>3252.1327267228698</c:v>
                </c:pt>
                <c:pt idx="81">
                  <c:v>3131.6718100712569</c:v>
                </c:pt>
              </c:numCache>
            </c:numRef>
          </c:val>
          <c:smooth val="0"/>
          <c:extLst>
            <c:ext xmlns:c16="http://schemas.microsoft.com/office/drawing/2014/chart" uri="{C3380CC4-5D6E-409C-BE32-E72D297353CC}">
              <c16:uniqueId val="{00000001-8A81-44E0-B65A-F479C5B31735}"/>
            </c:ext>
          </c:extLst>
        </c:ser>
        <c:dLbls>
          <c:showLegendKey val="0"/>
          <c:showVal val="0"/>
          <c:showCatName val="0"/>
          <c:showSerName val="0"/>
          <c:showPercent val="0"/>
          <c:showBubbleSize val="0"/>
        </c:dLbls>
        <c:smooth val="0"/>
        <c:axId val="787179504"/>
        <c:axId val="787178720"/>
      </c:lineChart>
      <c:catAx>
        <c:axId val="78717950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7178720"/>
        <c:crosses val="autoZero"/>
        <c:auto val="1"/>
        <c:lblAlgn val="ctr"/>
        <c:lblOffset val="0"/>
        <c:tickLblSkip val="1"/>
        <c:tickMarkSkip val="1"/>
        <c:noMultiLvlLbl val="1"/>
      </c:catAx>
      <c:valAx>
        <c:axId val="787178720"/>
        <c:scaling>
          <c:orientation val="minMax"/>
          <c:max val="4500"/>
          <c:min val="5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7179504"/>
        <c:crosses val="max"/>
        <c:crossBetween val="between"/>
        <c:majorUnit val="800"/>
        <c:minorUnit val="4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
          <c:y val="0.93015109461252066"/>
          <c:w val="0.99432857405669794"/>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cap="small" baseline="0"/>
            </a:pPr>
            <a:r>
              <a:rPr lang="es-ES" sz="700" b="1" cap="small" baseline="0"/>
              <a:t>No Petroleras</a:t>
            </a:r>
          </a:p>
        </c:rich>
      </c:tx>
      <c:layout>
        <c:manualLayout>
          <c:xMode val="edge"/>
          <c:yMode val="edge"/>
          <c:x val="0.3759026019690882"/>
          <c:y val="4.3552812071330589E-3"/>
        </c:manualLayout>
      </c:layout>
      <c:overlay val="1"/>
    </c:title>
    <c:autoTitleDeleted val="0"/>
    <c:plotArea>
      <c:layout>
        <c:manualLayout>
          <c:layoutTarget val="inner"/>
          <c:xMode val="edge"/>
          <c:yMode val="edge"/>
          <c:x val="2.7150492264416341E-2"/>
          <c:y val="6.1071844993141312E-2"/>
          <c:w val="0.87057255039852288"/>
          <c:h val="0.78843055555555552"/>
        </c:manualLayout>
      </c:layout>
      <c:lineChart>
        <c:grouping val="standard"/>
        <c:varyColors val="0"/>
        <c:ser>
          <c:idx val="1"/>
          <c:order val="0"/>
          <c:tx>
            <c:strRef>
              <c:f>datos!$I$4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datos!$A$5:$B$86</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2016</c:v>
                  </c:pt>
                  <c:pt idx="12">
                    <c:v>2017</c:v>
                  </c:pt>
                  <c:pt idx="24">
                    <c:v>2018</c:v>
                  </c:pt>
                  <c:pt idx="36">
                    <c:v>2019</c:v>
                  </c:pt>
                  <c:pt idx="48">
                    <c:v>2020</c:v>
                  </c:pt>
                  <c:pt idx="60">
                    <c:v>2021</c:v>
                  </c:pt>
                  <c:pt idx="72">
                    <c:v>2022</c:v>
                  </c:pt>
                </c:lvl>
              </c:multiLvlStrCache>
            </c:multiLvlStrRef>
          </c:cat>
          <c:val>
            <c:numRef>
              <c:f>datos!$I$5:$I$86</c:f>
              <c:numCache>
                <c:formatCode>#,##0.0</c:formatCode>
                <c:ptCount val="82"/>
                <c:pt idx="0">
                  <c:v>29610.4551191053</c:v>
                </c:pt>
                <c:pt idx="1">
                  <c:v>28514.350858227099</c:v>
                </c:pt>
                <c:pt idx="2">
                  <c:v>27874.411841391498</c:v>
                </c:pt>
                <c:pt idx="3">
                  <c:v>28648.065275973298</c:v>
                </c:pt>
                <c:pt idx="4">
                  <c:v>29014.341457549799</c:v>
                </c:pt>
                <c:pt idx="5">
                  <c:v>29032.762241090299</c:v>
                </c:pt>
                <c:pt idx="6">
                  <c:v>29787.774679803399</c:v>
                </c:pt>
                <c:pt idx="7">
                  <c:v>29433.039492076201</c:v>
                </c:pt>
                <c:pt idx="8">
                  <c:v>30501.066952539299</c:v>
                </c:pt>
                <c:pt idx="9">
                  <c:v>30198.1901763352</c:v>
                </c:pt>
                <c:pt idx="10">
                  <c:v>31177.200374046199</c:v>
                </c:pt>
                <c:pt idx="11">
                  <c:v>30830.370969506301</c:v>
                </c:pt>
                <c:pt idx="12">
                  <c:v>30987.9098560561</c:v>
                </c:pt>
                <c:pt idx="13">
                  <c:v>31280.850868231999</c:v>
                </c:pt>
                <c:pt idx="14">
                  <c:v>31201.432927336798</c:v>
                </c:pt>
                <c:pt idx="15">
                  <c:v>31502.471321596498</c:v>
                </c:pt>
                <c:pt idx="16">
                  <c:v>31703.6731994861</c:v>
                </c:pt>
                <c:pt idx="17">
                  <c:v>32488.405249018499</c:v>
                </c:pt>
                <c:pt idx="18">
                  <c:v>32043.513908918001</c:v>
                </c:pt>
                <c:pt idx="19">
                  <c:v>32441.799178017802</c:v>
                </c:pt>
                <c:pt idx="20">
                  <c:v>32311.994570454099</c:v>
                </c:pt>
                <c:pt idx="21">
                  <c:v>32931.658152172298</c:v>
                </c:pt>
                <c:pt idx="22">
                  <c:v>33675.848748017801</c:v>
                </c:pt>
                <c:pt idx="23">
                  <c:v>33823.301716862203</c:v>
                </c:pt>
                <c:pt idx="24">
                  <c:v>33234.598094292502</c:v>
                </c:pt>
                <c:pt idx="25">
                  <c:v>34391.936987729699</c:v>
                </c:pt>
                <c:pt idx="26">
                  <c:v>35531.783640044698</c:v>
                </c:pt>
                <c:pt idx="27">
                  <c:v>34531.976639540902</c:v>
                </c:pt>
                <c:pt idx="28">
                  <c:v>33943.189296607597</c:v>
                </c:pt>
                <c:pt idx="29">
                  <c:v>34635.214007120099</c:v>
                </c:pt>
                <c:pt idx="30">
                  <c:v>35009.800095279301</c:v>
                </c:pt>
                <c:pt idx="31">
                  <c:v>35306.817367878299</c:v>
                </c:pt>
                <c:pt idx="32">
                  <c:v>36562.731679666998</c:v>
                </c:pt>
                <c:pt idx="33">
                  <c:v>35850.969085673198</c:v>
                </c:pt>
                <c:pt idx="34">
                  <c:v>35128.888636288997</c:v>
                </c:pt>
                <c:pt idx="35">
                  <c:v>35731.885247080703</c:v>
                </c:pt>
                <c:pt idx="36">
                  <c:v>35404.0742509427</c:v>
                </c:pt>
                <c:pt idx="37">
                  <c:v>35661.885502159799</c:v>
                </c:pt>
                <c:pt idx="38">
                  <c:v>35746.188925249902</c:v>
                </c:pt>
                <c:pt idx="39">
                  <c:v>36595.919833211403</c:v>
                </c:pt>
                <c:pt idx="40">
                  <c:v>36834.722836623601</c:v>
                </c:pt>
                <c:pt idx="41">
                  <c:v>36933.285122474001</c:v>
                </c:pt>
                <c:pt idx="42">
                  <c:v>36605.847473880298</c:v>
                </c:pt>
                <c:pt idx="43">
                  <c:v>37603.625126082799</c:v>
                </c:pt>
                <c:pt idx="44">
                  <c:v>36248.989278885099</c:v>
                </c:pt>
                <c:pt idx="45">
                  <c:v>35855.783156206497</c:v>
                </c:pt>
                <c:pt idx="46">
                  <c:v>35631.1387882872</c:v>
                </c:pt>
                <c:pt idx="47">
                  <c:v>35363.263130507497</c:v>
                </c:pt>
                <c:pt idx="48">
                  <c:v>36695.301040183498</c:v>
                </c:pt>
                <c:pt idx="49">
                  <c:v>36042.829343495097</c:v>
                </c:pt>
                <c:pt idx="50">
                  <c:v>35216.541534515003</c:v>
                </c:pt>
                <c:pt idx="51">
                  <c:v>21827.300064324001</c:v>
                </c:pt>
                <c:pt idx="52">
                  <c:v>17305.738208503601</c:v>
                </c:pt>
                <c:pt idx="53">
                  <c:v>30689.5148302501</c:v>
                </c:pt>
                <c:pt idx="54">
                  <c:v>33933.6898597455</c:v>
                </c:pt>
                <c:pt idx="55">
                  <c:v>36447.862812869003</c:v>
                </c:pt>
                <c:pt idx="56">
                  <c:v>36293.480558172203</c:v>
                </c:pt>
                <c:pt idx="57">
                  <c:v>38937.787320119001</c:v>
                </c:pt>
                <c:pt idx="58">
                  <c:v>37336.210520964298</c:v>
                </c:pt>
                <c:pt idx="59">
                  <c:v>37924.298852704997</c:v>
                </c:pt>
                <c:pt idx="60">
                  <c:v>38557.484188798102</c:v>
                </c:pt>
                <c:pt idx="61">
                  <c:v>35966.631420261903</c:v>
                </c:pt>
                <c:pt idx="62">
                  <c:v>37817.994021700797</c:v>
                </c:pt>
                <c:pt idx="63">
                  <c:v>37648.8385006877</c:v>
                </c:pt>
                <c:pt idx="64">
                  <c:v>38612.922556000303</c:v>
                </c:pt>
                <c:pt idx="65">
                  <c:v>38437.288918903403</c:v>
                </c:pt>
                <c:pt idx="66">
                  <c:v>38820.800513429502</c:v>
                </c:pt>
                <c:pt idx="67">
                  <c:v>37976.022137468601</c:v>
                </c:pt>
                <c:pt idx="68">
                  <c:v>38581.298663338101</c:v>
                </c:pt>
                <c:pt idx="69">
                  <c:v>39043.065186669097</c:v>
                </c:pt>
                <c:pt idx="70">
                  <c:v>41809.109276919597</c:v>
                </c:pt>
                <c:pt idx="71">
                  <c:v>41582.548386814902</c:v>
                </c:pt>
                <c:pt idx="72">
                  <c:v>39217.946866148202</c:v>
                </c:pt>
                <c:pt idx="73">
                  <c:v>45378.417524122196</c:v>
                </c:pt>
                <c:pt idx="74">
                  <c:v>44003.731352431801</c:v>
                </c:pt>
                <c:pt idx="75">
                  <c:v>44048.694670476601</c:v>
                </c:pt>
                <c:pt idx="76">
                  <c:v>44817.188879819798</c:v>
                </c:pt>
                <c:pt idx="77">
                  <c:v>45386.913396780503</c:v>
                </c:pt>
                <c:pt idx="78">
                  <c:v>45372.564812041099</c:v>
                </c:pt>
                <c:pt idx="79">
                  <c:v>46062.588454782999</c:v>
                </c:pt>
                <c:pt idx="80">
                  <c:v>48192.227669096901</c:v>
                </c:pt>
                <c:pt idx="81">
                  <c:v>46415.511074251597</c:v>
                </c:pt>
              </c:numCache>
            </c:numRef>
          </c:val>
          <c:smooth val="0"/>
          <c:extLst>
            <c:ext xmlns:c16="http://schemas.microsoft.com/office/drawing/2014/chart" uri="{C3380CC4-5D6E-409C-BE32-E72D297353CC}">
              <c16:uniqueId val="{00000000-29A3-49D5-AE26-4002C104690D}"/>
            </c:ext>
          </c:extLst>
        </c:ser>
        <c:ser>
          <c:idx val="0"/>
          <c:order val="1"/>
          <c:tx>
            <c:strRef>
              <c:f>datos!$J$4</c:f>
              <c:strCache>
                <c:ptCount val="1"/>
                <c:pt idx="0">
                  <c:v>Serie de Tendencia-Ciclo</c:v>
                </c:pt>
              </c:strCache>
            </c:strRef>
          </c:tx>
          <c:spPr>
            <a:ln w="12700">
              <a:solidFill>
                <a:schemeClr val="tx2">
                  <a:lumMod val="75000"/>
                </a:schemeClr>
              </a:solidFill>
              <a:prstDash val="solid"/>
            </a:ln>
            <a:effectLst/>
          </c:spPr>
          <c:marker>
            <c:symbol val="none"/>
          </c:marker>
          <c:cat>
            <c:multiLvlStrRef>
              <c:f>datos!$A$5:$B$86</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2016</c:v>
                  </c:pt>
                  <c:pt idx="12">
                    <c:v>2017</c:v>
                  </c:pt>
                  <c:pt idx="24">
                    <c:v>2018</c:v>
                  </c:pt>
                  <c:pt idx="36">
                    <c:v>2019</c:v>
                  </c:pt>
                  <c:pt idx="48">
                    <c:v>2020</c:v>
                  </c:pt>
                  <c:pt idx="60">
                    <c:v>2021</c:v>
                  </c:pt>
                  <c:pt idx="72">
                    <c:v>2022</c:v>
                  </c:pt>
                </c:lvl>
              </c:multiLvlStrCache>
            </c:multiLvlStrRef>
          </c:cat>
          <c:val>
            <c:numRef>
              <c:f>datos!$J$5:$J$86</c:f>
              <c:numCache>
                <c:formatCode>#,##0.0</c:formatCode>
                <c:ptCount val="82"/>
                <c:pt idx="0">
                  <c:v>28950.289437827527</c:v>
                </c:pt>
                <c:pt idx="1">
                  <c:v>28776.223487217245</c:v>
                </c:pt>
                <c:pt idx="2">
                  <c:v>28692.213770634586</c:v>
                </c:pt>
                <c:pt idx="3">
                  <c:v>28734.680077457615</c:v>
                </c:pt>
                <c:pt idx="4">
                  <c:v>28882.530396574246</c:v>
                </c:pt>
                <c:pt idx="5">
                  <c:v>29114.283541927929</c:v>
                </c:pt>
                <c:pt idx="6">
                  <c:v>29406.197477514201</c:v>
                </c:pt>
                <c:pt idx="7">
                  <c:v>29733.925590218911</c:v>
                </c:pt>
                <c:pt idx="8">
                  <c:v>30076.419713964035</c:v>
                </c:pt>
                <c:pt idx="9">
                  <c:v>30412.757555668155</c:v>
                </c:pt>
                <c:pt idx="10">
                  <c:v>30711.656293681703</c:v>
                </c:pt>
                <c:pt idx="11">
                  <c:v>30935.715078860638</c:v>
                </c:pt>
                <c:pt idx="12">
                  <c:v>31099.300972799876</c:v>
                </c:pt>
                <c:pt idx="13">
                  <c:v>31243.705571182716</c:v>
                </c:pt>
                <c:pt idx="14">
                  <c:v>31403.732363389288</c:v>
                </c:pt>
                <c:pt idx="15">
                  <c:v>31589.7373887959</c:v>
                </c:pt>
                <c:pt idx="16">
                  <c:v>31775.370337335524</c:v>
                </c:pt>
                <c:pt idx="17">
                  <c:v>31965.230136215232</c:v>
                </c:pt>
                <c:pt idx="18">
                  <c:v>32170.332545751287</c:v>
                </c:pt>
                <c:pt idx="19">
                  <c:v>32398.812090252504</c:v>
                </c:pt>
                <c:pt idx="20">
                  <c:v>32646.689720155075</c:v>
                </c:pt>
                <c:pt idx="21">
                  <c:v>32938.322155956317</c:v>
                </c:pt>
                <c:pt idx="22">
                  <c:v>33281.162612906053</c:v>
                </c:pt>
                <c:pt idx="23">
                  <c:v>33649.73611886226</c:v>
                </c:pt>
                <c:pt idx="24">
                  <c:v>33987.019586148032</c:v>
                </c:pt>
                <c:pt idx="25">
                  <c:v>34245.729375631672</c:v>
                </c:pt>
                <c:pt idx="26">
                  <c:v>34429.838842029269</c:v>
                </c:pt>
                <c:pt idx="27">
                  <c:v>34568.9666599232</c:v>
                </c:pt>
                <c:pt idx="28">
                  <c:v>34724.559913245845</c:v>
                </c:pt>
                <c:pt idx="29">
                  <c:v>34904.503470300777</c:v>
                </c:pt>
                <c:pt idx="30">
                  <c:v>35104.106260698376</c:v>
                </c:pt>
                <c:pt idx="31">
                  <c:v>35311.422993185712</c:v>
                </c:pt>
                <c:pt idx="32">
                  <c:v>35476.646268458499</c:v>
                </c:pt>
                <c:pt idx="33">
                  <c:v>35553.148540044058</c:v>
                </c:pt>
                <c:pt idx="34">
                  <c:v>35567.503612236178</c:v>
                </c:pt>
                <c:pt idx="35">
                  <c:v>35594.522826105553</c:v>
                </c:pt>
                <c:pt idx="36">
                  <c:v>35693.841031752534</c:v>
                </c:pt>
                <c:pt idx="37">
                  <c:v>35894.862961119958</c:v>
                </c:pt>
                <c:pt idx="38">
                  <c:v>36200.777191543042</c:v>
                </c:pt>
                <c:pt idx="39">
                  <c:v>36555.400082109991</c:v>
                </c:pt>
                <c:pt idx="40">
                  <c:v>36857.177201745129</c:v>
                </c:pt>
                <c:pt idx="41">
                  <c:v>37023.579515865284</c:v>
                </c:pt>
                <c:pt idx="42">
                  <c:v>36987.363816018813</c:v>
                </c:pt>
                <c:pt idx="43">
                  <c:v>36763.128646775695</c:v>
                </c:pt>
                <c:pt idx="44">
                  <c:v>36462.847772373818</c:v>
                </c:pt>
                <c:pt idx="45">
                  <c:v>36172.808192168035</c:v>
                </c:pt>
                <c:pt idx="46">
                  <c:v>35947.22817449383</c:v>
                </c:pt>
                <c:pt idx="47">
                  <c:v>35820.08533596091</c:v>
                </c:pt>
                <c:pt idx="48">
                  <c:v>35758.704041836652</c:v>
                </c:pt>
                <c:pt idx="49">
                  <c:v>35688.307882761066</c:v>
                </c:pt>
                <c:pt idx="50">
                  <c:v>35579.962700519616</c:v>
                </c:pt>
                <c:pt idx="51">
                  <c:v>35444.317810209104</c:v>
                </c:pt>
                <c:pt idx="52">
                  <c:v>35385.325248983259</c:v>
                </c:pt>
                <c:pt idx="53">
                  <c:v>35479.64153251097</c:v>
                </c:pt>
                <c:pt idx="54">
                  <c:v>35769.232081240225</c:v>
                </c:pt>
                <c:pt idx="55">
                  <c:v>36215.03692988299</c:v>
                </c:pt>
                <c:pt idx="56">
                  <c:v>36701.724367742208</c:v>
                </c:pt>
                <c:pt idx="57">
                  <c:v>37124.874078487432</c:v>
                </c:pt>
                <c:pt idx="58">
                  <c:v>37405.548626144548</c:v>
                </c:pt>
                <c:pt idx="59">
                  <c:v>37516.882022518592</c:v>
                </c:pt>
                <c:pt idx="60">
                  <c:v>37515.311195277915</c:v>
                </c:pt>
                <c:pt idx="61">
                  <c:v>37519.73484537076</c:v>
                </c:pt>
                <c:pt idx="62">
                  <c:v>37586.755876629933</c:v>
                </c:pt>
                <c:pt idx="63">
                  <c:v>37733.64761008013</c:v>
                </c:pt>
                <c:pt idx="64">
                  <c:v>37930.93158162335</c:v>
                </c:pt>
                <c:pt idx="65">
                  <c:v>38107.599879214918</c:v>
                </c:pt>
                <c:pt idx="66">
                  <c:v>38279.139893215259</c:v>
                </c:pt>
                <c:pt idx="67">
                  <c:v>38488.187388883394</c:v>
                </c:pt>
                <c:pt idx="68">
                  <c:v>38843.385741058621</c:v>
                </c:pt>
                <c:pt idx="69">
                  <c:v>39440.551511510661</c:v>
                </c:pt>
                <c:pt idx="70">
                  <c:v>40279.886812520032</c:v>
                </c:pt>
                <c:pt idx="71">
                  <c:v>41251.066544037654</c:v>
                </c:pt>
                <c:pt idx="72">
                  <c:v>42234.233954808602</c:v>
                </c:pt>
                <c:pt idx="73">
                  <c:v>43100.581062696896</c:v>
                </c:pt>
                <c:pt idx="74">
                  <c:v>43773.959965708207</c:v>
                </c:pt>
                <c:pt idx="75">
                  <c:v>44320.530399661053</c:v>
                </c:pt>
                <c:pt idx="76">
                  <c:v>44787.197180515926</c:v>
                </c:pt>
                <c:pt idx="77">
                  <c:v>45246.226587978628</c:v>
                </c:pt>
                <c:pt idx="78">
                  <c:v>45737.80434310664</c:v>
                </c:pt>
                <c:pt idx="79">
                  <c:v>46233.448975265579</c:v>
                </c:pt>
                <c:pt idx="80">
                  <c:v>46697.320759572234</c:v>
                </c:pt>
                <c:pt idx="81">
                  <c:v>47106.866417206955</c:v>
                </c:pt>
              </c:numCache>
            </c:numRef>
          </c:val>
          <c:smooth val="0"/>
          <c:extLst>
            <c:ext xmlns:c16="http://schemas.microsoft.com/office/drawing/2014/chart" uri="{C3380CC4-5D6E-409C-BE32-E72D297353CC}">
              <c16:uniqueId val="{00000001-29A3-49D5-AE26-4002C104690D}"/>
            </c:ext>
          </c:extLst>
        </c:ser>
        <c:dLbls>
          <c:showLegendKey val="0"/>
          <c:showVal val="0"/>
          <c:showCatName val="0"/>
          <c:showSerName val="0"/>
          <c:showPercent val="0"/>
          <c:showBubbleSize val="0"/>
        </c:dLbls>
        <c:smooth val="0"/>
        <c:axId val="787179896"/>
        <c:axId val="787180680"/>
      </c:lineChart>
      <c:catAx>
        <c:axId val="78717989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7180680"/>
        <c:crosses val="autoZero"/>
        <c:auto val="1"/>
        <c:lblAlgn val="ctr"/>
        <c:lblOffset val="0"/>
        <c:tickLblSkip val="1"/>
        <c:tickMarkSkip val="1"/>
        <c:noMultiLvlLbl val="1"/>
      </c:catAx>
      <c:valAx>
        <c:axId val="787180680"/>
        <c:scaling>
          <c:orientation val="minMax"/>
          <c:max val="54500"/>
          <c:min val="16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7179896"/>
        <c:crosses val="max"/>
        <c:crossBetween val="between"/>
        <c:majorUnit val="7700"/>
        <c:minorUnit val="10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
          <c:y val="0.93397297808012092"/>
          <c:w val="0.99895333679852516"/>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cap="small" baseline="0"/>
            </a:pPr>
            <a:r>
              <a:rPr lang="es-ES" sz="700" b="1" cap="small" baseline="0"/>
              <a:t>Manufactureras</a:t>
            </a:r>
          </a:p>
        </c:rich>
      </c:tx>
      <c:layout>
        <c:manualLayout>
          <c:xMode val="edge"/>
          <c:yMode val="edge"/>
          <c:x val="0.33520663384905747"/>
          <c:y val="1.5243484224966269E-2"/>
        </c:manualLayout>
      </c:layout>
      <c:overlay val="1"/>
    </c:title>
    <c:autoTitleDeleted val="0"/>
    <c:plotArea>
      <c:layout>
        <c:manualLayout>
          <c:layoutTarget val="inner"/>
          <c:xMode val="edge"/>
          <c:yMode val="edge"/>
          <c:x val="2.7150492264416341E-2"/>
          <c:y val="5.6716563786008332E-2"/>
          <c:w val="0.87057255039852288"/>
          <c:h val="0.78843055555555552"/>
        </c:manualLayout>
      </c:layout>
      <c:lineChart>
        <c:grouping val="standard"/>
        <c:varyColors val="0"/>
        <c:ser>
          <c:idx val="1"/>
          <c:order val="0"/>
          <c:tx>
            <c:strRef>
              <c:f>datos!$K$4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datos!$A$5:$B$86</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2016</c:v>
                  </c:pt>
                  <c:pt idx="12">
                    <c:v>2017</c:v>
                  </c:pt>
                  <c:pt idx="24">
                    <c:v>2018</c:v>
                  </c:pt>
                  <c:pt idx="36">
                    <c:v>2019</c:v>
                  </c:pt>
                  <c:pt idx="48">
                    <c:v>2020</c:v>
                  </c:pt>
                  <c:pt idx="60">
                    <c:v>2021</c:v>
                  </c:pt>
                  <c:pt idx="72">
                    <c:v>2022</c:v>
                  </c:pt>
                </c:lvl>
              </c:multiLvlStrCache>
            </c:multiLvlStrRef>
          </c:cat>
          <c:val>
            <c:numRef>
              <c:f>datos!$K$5:$K$86</c:f>
              <c:numCache>
                <c:formatCode>#,##0.0</c:formatCode>
                <c:ptCount val="82"/>
                <c:pt idx="0">
                  <c:v>28112.9969777673</c:v>
                </c:pt>
                <c:pt idx="1">
                  <c:v>27063.828025941901</c:v>
                </c:pt>
                <c:pt idx="2">
                  <c:v>26341.127776647601</c:v>
                </c:pt>
                <c:pt idx="3">
                  <c:v>27182.505716944099</c:v>
                </c:pt>
                <c:pt idx="4">
                  <c:v>27601.8341185438</c:v>
                </c:pt>
                <c:pt idx="5">
                  <c:v>27436.426491276899</c:v>
                </c:pt>
                <c:pt idx="6">
                  <c:v>28161.014448414</c:v>
                </c:pt>
                <c:pt idx="7">
                  <c:v>27778.625378880901</c:v>
                </c:pt>
                <c:pt idx="8">
                  <c:v>28585.481192199801</c:v>
                </c:pt>
                <c:pt idx="9">
                  <c:v>28427.286151107</c:v>
                </c:pt>
                <c:pt idx="10">
                  <c:v>29412.742019195299</c:v>
                </c:pt>
                <c:pt idx="11">
                  <c:v>29199.108194193101</c:v>
                </c:pt>
                <c:pt idx="12">
                  <c:v>29461.0068423222</c:v>
                </c:pt>
                <c:pt idx="13">
                  <c:v>29548.7222535908</c:v>
                </c:pt>
                <c:pt idx="14">
                  <c:v>29531.074129481101</c:v>
                </c:pt>
                <c:pt idx="15">
                  <c:v>29731.1071494969</c:v>
                </c:pt>
                <c:pt idx="16">
                  <c:v>29963.584581216401</c:v>
                </c:pt>
                <c:pt idx="17">
                  <c:v>30737.7562583531</c:v>
                </c:pt>
                <c:pt idx="18">
                  <c:v>30285.3712318992</c:v>
                </c:pt>
                <c:pt idx="19">
                  <c:v>30466.071351705599</c:v>
                </c:pt>
                <c:pt idx="20">
                  <c:v>30409.554736768201</c:v>
                </c:pt>
                <c:pt idx="21">
                  <c:v>31104.468564076898</c:v>
                </c:pt>
                <c:pt idx="22">
                  <c:v>31781.1075971018</c:v>
                </c:pt>
                <c:pt idx="23">
                  <c:v>31790.660451273401</c:v>
                </c:pt>
                <c:pt idx="24">
                  <c:v>31269.650775160801</c:v>
                </c:pt>
                <c:pt idx="25">
                  <c:v>32523.188766224899</c:v>
                </c:pt>
                <c:pt idx="26">
                  <c:v>33601.719047848499</c:v>
                </c:pt>
                <c:pt idx="27">
                  <c:v>32581.6006396378</c:v>
                </c:pt>
                <c:pt idx="28">
                  <c:v>31951.207276933601</c:v>
                </c:pt>
                <c:pt idx="29">
                  <c:v>32779.376394717903</c:v>
                </c:pt>
                <c:pt idx="30">
                  <c:v>33167.8153401936</c:v>
                </c:pt>
                <c:pt idx="31">
                  <c:v>33397.1401309461</c:v>
                </c:pt>
                <c:pt idx="32">
                  <c:v>34716.9634566858</c:v>
                </c:pt>
                <c:pt idx="33">
                  <c:v>34103.636342190403</c:v>
                </c:pt>
                <c:pt idx="34">
                  <c:v>33355.720349873998</c:v>
                </c:pt>
                <c:pt idx="35">
                  <c:v>33744.1818964993</c:v>
                </c:pt>
                <c:pt idx="36">
                  <c:v>33517.1927833605</c:v>
                </c:pt>
                <c:pt idx="37">
                  <c:v>33716.374797299999</c:v>
                </c:pt>
                <c:pt idx="38">
                  <c:v>33824.488306443702</c:v>
                </c:pt>
                <c:pt idx="39">
                  <c:v>34583.3162048382</c:v>
                </c:pt>
                <c:pt idx="40">
                  <c:v>34738.283679820197</c:v>
                </c:pt>
                <c:pt idx="41">
                  <c:v>34958.030072361697</c:v>
                </c:pt>
                <c:pt idx="42">
                  <c:v>34543.407748117301</c:v>
                </c:pt>
                <c:pt idx="43">
                  <c:v>35642.138201816699</c:v>
                </c:pt>
                <c:pt idx="44">
                  <c:v>34346.024106679797</c:v>
                </c:pt>
                <c:pt idx="45">
                  <c:v>33838.330684766799</c:v>
                </c:pt>
                <c:pt idx="46">
                  <c:v>33557.859235797601</c:v>
                </c:pt>
                <c:pt idx="47">
                  <c:v>33260.319342862298</c:v>
                </c:pt>
                <c:pt idx="48">
                  <c:v>34473.8158288251</c:v>
                </c:pt>
                <c:pt idx="49">
                  <c:v>34016.983271992001</c:v>
                </c:pt>
                <c:pt idx="50">
                  <c:v>33059.792605655202</c:v>
                </c:pt>
                <c:pt idx="51">
                  <c:v>19927.2514260852</c:v>
                </c:pt>
                <c:pt idx="52">
                  <c:v>15442.405904741399</c:v>
                </c:pt>
                <c:pt idx="53">
                  <c:v>28472.3406970182</c:v>
                </c:pt>
                <c:pt idx="54">
                  <c:v>32006.970802388802</c:v>
                </c:pt>
                <c:pt idx="55">
                  <c:v>34276.737698627199</c:v>
                </c:pt>
                <c:pt idx="56">
                  <c:v>34035.5473935673</c:v>
                </c:pt>
                <c:pt idx="57">
                  <c:v>36486.917555296197</c:v>
                </c:pt>
                <c:pt idx="58">
                  <c:v>35077.137103107401</c:v>
                </c:pt>
                <c:pt idx="59">
                  <c:v>35738.907571636497</c:v>
                </c:pt>
                <c:pt idx="60">
                  <c:v>36229.196895175701</c:v>
                </c:pt>
                <c:pt idx="61">
                  <c:v>33616.721712305902</c:v>
                </c:pt>
                <c:pt idx="62">
                  <c:v>35361.541419201203</c:v>
                </c:pt>
                <c:pt idx="63">
                  <c:v>35445.5710592455</c:v>
                </c:pt>
                <c:pt idx="64">
                  <c:v>36217.8955629177</c:v>
                </c:pt>
                <c:pt idx="65">
                  <c:v>35767.619348640597</c:v>
                </c:pt>
                <c:pt idx="66">
                  <c:v>36343.618048128403</c:v>
                </c:pt>
                <c:pt idx="67">
                  <c:v>35401.270802745901</c:v>
                </c:pt>
                <c:pt idx="68">
                  <c:v>36162.896835990003</c:v>
                </c:pt>
                <c:pt idx="69">
                  <c:v>36450.871233366503</c:v>
                </c:pt>
                <c:pt idx="70">
                  <c:v>39275.344195148296</c:v>
                </c:pt>
                <c:pt idx="71">
                  <c:v>39101.270422751397</c:v>
                </c:pt>
                <c:pt idx="72">
                  <c:v>36854.819465394699</c:v>
                </c:pt>
                <c:pt idx="73">
                  <c:v>42784.361880679302</c:v>
                </c:pt>
                <c:pt idx="74">
                  <c:v>41542.942729423601</c:v>
                </c:pt>
                <c:pt idx="75">
                  <c:v>41478.556078226597</c:v>
                </c:pt>
                <c:pt idx="76">
                  <c:v>42175.322473442502</c:v>
                </c:pt>
                <c:pt idx="77">
                  <c:v>42952.0672540909</c:v>
                </c:pt>
                <c:pt idx="78">
                  <c:v>42456.543380370902</c:v>
                </c:pt>
                <c:pt idx="79">
                  <c:v>43459.243653565398</c:v>
                </c:pt>
                <c:pt idx="80">
                  <c:v>45883.7200164858</c:v>
                </c:pt>
                <c:pt idx="81">
                  <c:v>43922.995395671998</c:v>
                </c:pt>
              </c:numCache>
            </c:numRef>
          </c:val>
          <c:smooth val="0"/>
          <c:extLst>
            <c:ext xmlns:c16="http://schemas.microsoft.com/office/drawing/2014/chart" uri="{C3380CC4-5D6E-409C-BE32-E72D297353CC}">
              <c16:uniqueId val="{00000000-2440-44CA-86C8-9BFFD6627326}"/>
            </c:ext>
          </c:extLst>
        </c:ser>
        <c:ser>
          <c:idx val="0"/>
          <c:order val="1"/>
          <c:tx>
            <c:strRef>
              <c:f>datos!$J$4</c:f>
              <c:strCache>
                <c:ptCount val="1"/>
                <c:pt idx="0">
                  <c:v>Serie de Tendencia-Ciclo</c:v>
                </c:pt>
              </c:strCache>
            </c:strRef>
          </c:tx>
          <c:spPr>
            <a:ln w="12700">
              <a:solidFill>
                <a:schemeClr val="tx2">
                  <a:lumMod val="75000"/>
                </a:schemeClr>
              </a:solidFill>
              <a:prstDash val="solid"/>
            </a:ln>
            <a:effectLst/>
          </c:spPr>
          <c:marker>
            <c:symbol val="none"/>
          </c:marker>
          <c:cat>
            <c:multiLvlStrRef>
              <c:f>datos!$A$5:$B$86</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2016</c:v>
                  </c:pt>
                  <c:pt idx="12">
                    <c:v>2017</c:v>
                  </c:pt>
                  <c:pt idx="24">
                    <c:v>2018</c:v>
                  </c:pt>
                  <c:pt idx="36">
                    <c:v>2019</c:v>
                  </c:pt>
                  <c:pt idx="48">
                    <c:v>2020</c:v>
                  </c:pt>
                  <c:pt idx="60">
                    <c:v>2021</c:v>
                  </c:pt>
                  <c:pt idx="72">
                    <c:v>2022</c:v>
                  </c:pt>
                </c:lvl>
              </c:multiLvlStrCache>
            </c:multiLvlStrRef>
          </c:cat>
          <c:val>
            <c:numRef>
              <c:f>datos!$L$5:$L$86</c:f>
              <c:numCache>
                <c:formatCode>#,##0.0</c:formatCode>
                <c:ptCount val="82"/>
                <c:pt idx="0">
                  <c:v>27452.110176731541</c:v>
                </c:pt>
                <c:pt idx="1">
                  <c:v>27274.0221337771</c:v>
                </c:pt>
                <c:pt idx="2">
                  <c:v>27183.150313966682</c:v>
                </c:pt>
                <c:pt idx="3">
                  <c:v>27212.649858605233</c:v>
                </c:pt>
                <c:pt idx="4">
                  <c:v>27338.764256860282</c:v>
                </c:pt>
                <c:pt idx="5">
                  <c:v>27537.809334149271</c:v>
                </c:pt>
                <c:pt idx="6">
                  <c:v>27789.585374732487</c:v>
                </c:pt>
                <c:pt idx="7">
                  <c:v>28077.939296787998</c:v>
                </c:pt>
                <c:pt idx="8">
                  <c:v>28392.78158042645</c:v>
                </c:pt>
                <c:pt idx="9">
                  <c:v>28716.431845882209</c:v>
                </c:pt>
                <c:pt idx="10">
                  <c:v>29013.406104092221</c:v>
                </c:pt>
                <c:pt idx="11">
                  <c:v>29238.9213016797</c:v>
                </c:pt>
                <c:pt idx="12">
                  <c:v>29401.9581012036</c:v>
                </c:pt>
                <c:pt idx="13">
                  <c:v>29542.5754042115</c:v>
                </c:pt>
                <c:pt idx="14">
                  <c:v>29694.428043820597</c:v>
                </c:pt>
                <c:pt idx="15">
                  <c:v>29866.753418656903</c:v>
                </c:pt>
                <c:pt idx="16">
                  <c:v>30034.114163300699</c:v>
                </c:pt>
                <c:pt idx="17">
                  <c:v>30201.8693937139</c:v>
                </c:pt>
                <c:pt idx="18">
                  <c:v>30379.863653144901</c:v>
                </c:pt>
                <c:pt idx="19">
                  <c:v>30577.0777399123</c:v>
                </c:pt>
                <c:pt idx="20">
                  <c:v>30794.164119105899</c:v>
                </c:pt>
                <c:pt idx="21">
                  <c:v>31059.6851262538</c:v>
                </c:pt>
                <c:pt idx="22">
                  <c:v>31385.145946479002</c:v>
                </c:pt>
                <c:pt idx="23">
                  <c:v>31742.344077215603</c:v>
                </c:pt>
                <c:pt idx="24">
                  <c:v>32072.126063929201</c:v>
                </c:pt>
                <c:pt idx="25">
                  <c:v>32327.0763223758</c:v>
                </c:pt>
                <c:pt idx="26">
                  <c:v>32511.014707210597</c:v>
                </c:pt>
                <c:pt idx="27">
                  <c:v>32653.865694548302</c:v>
                </c:pt>
                <c:pt idx="28">
                  <c:v>32817.933323040299</c:v>
                </c:pt>
                <c:pt idx="29">
                  <c:v>33012.335453261599</c:v>
                </c:pt>
                <c:pt idx="30">
                  <c:v>33231.441552312201</c:v>
                </c:pt>
                <c:pt idx="31">
                  <c:v>33456.502099756901</c:v>
                </c:pt>
                <c:pt idx="32">
                  <c:v>33630.355013163498</c:v>
                </c:pt>
                <c:pt idx="33">
                  <c:v>33706.275816136796</c:v>
                </c:pt>
                <c:pt idx="34">
                  <c:v>33710.004159190699</c:v>
                </c:pt>
                <c:pt idx="35">
                  <c:v>33717.2922525924</c:v>
                </c:pt>
                <c:pt idx="36">
                  <c:v>33792.592332244705</c:v>
                </c:pt>
                <c:pt idx="37">
                  <c:v>33967.0961814002</c:v>
                </c:pt>
                <c:pt idx="38">
                  <c:v>34247.352298596401</c:v>
                </c:pt>
                <c:pt idx="39">
                  <c:v>34583.969750070202</c:v>
                </c:pt>
                <c:pt idx="40">
                  <c:v>34876.185975972803</c:v>
                </c:pt>
                <c:pt idx="41">
                  <c:v>35038.5752215053</c:v>
                </c:pt>
                <c:pt idx="42">
                  <c:v>35001.271677388795</c:v>
                </c:pt>
                <c:pt idx="43">
                  <c:v>34773.180749042702</c:v>
                </c:pt>
                <c:pt idx="44">
                  <c:v>34461.084121703694</c:v>
                </c:pt>
                <c:pt idx="45">
                  <c:v>34147.927058622998</c:v>
                </c:pt>
                <c:pt idx="46">
                  <c:v>33892.2910330288</c:v>
                </c:pt>
                <c:pt idx="47">
                  <c:v>33740.333465870601</c:v>
                </c:pt>
                <c:pt idx="48">
                  <c:v>33665.759784776703</c:v>
                </c:pt>
                <c:pt idx="49">
                  <c:v>33596.345397360601</c:v>
                </c:pt>
                <c:pt idx="50">
                  <c:v>33500.295995282002</c:v>
                </c:pt>
                <c:pt idx="51">
                  <c:v>33379.419131383802</c:v>
                </c:pt>
                <c:pt idx="52">
                  <c:v>33324.1124124997</c:v>
                </c:pt>
                <c:pt idx="53">
                  <c:v>33404.9687376398</c:v>
                </c:pt>
                <c:pt idx="54">
                  <c:v>33664.616570263999</c:v>
                </c:pt>
                <c:pt idx="55">
                  <c:v>34072.5262089225</c:v>
                </c:pt>
                <c:pt idx="56">
                  <c:v>34522.292811729101</c:v>
                </c:pt>
                <c:pt idx="57">
                  <c:v>34909.651091770502</c:v>
                </c:pt>
                <c:pt idx="58">
                  <c:v>35158.385664248097</c:v>
                </c:pt>
                <c:pt idx="59">
                  <c:v>35239.927988400501</c:v>
                </c:pt>
                <c:pt idx="60">
                  <c:v>35205.883031938502</c:v>
                </c:pt>
                <c:pt idx="61">
                  <c:v>35173.676462262403</c:v>
                </c:pt>
                <c:pt idx="62">
                  <c:v>35202.6319122391</c:v>
                </c:pt>
                <c:pt idx="63">
                  <c:v>35310.872784329396</c:v>
                </c:pt>
                <c:pt idx="64">
                  <c:v>35473.142367874898</c:v>
                </c:pt>
                <c:pt idx="65">
                  <c:v>35618.934282429997</c:v>
                </c:pt>
                <c:pt idx="66">
                  <c:v>35759.604590071598</c:v>
                </c:pt>
                <c:pt idx="67">
                  <c:v>35942.7959876604</c:v>
                </c:pt>
                <c:pt idx="68">
                  <c:v>36283.138302203501</c:v>
                </c:pt>
                <c:pt idx="69">
                  <c:v>36884.129410920701</c:v>
                </c:pt>
                <c:pt idx="70">
                  <c:v>37742.688146925604</c:v>
                </c:pt>
                <c:pt idx="71">
                  <c:v>38736.511465403702</c:v>
                </c:pt>
                <c:pt idx="72">
                  <c:v>39737.580535399102</c:v>
                </c:pt>
                <c:pt idx="73">
                  <c:v>40611.200741348701</c:v>
                </c:pt>
                <c:pt idx="74">
                  <c:v>41273.8949193726</c:v>
                </c:pt>
                <c:pt idx="75">
                  <c:v>41793.839973555499</c:v>
                </c:pt>
                <c:pt idx="76">
                  <c:v>42230.800498941899</c:v>
                </c:pt>
                <c:pt idx="77">
                  <c:v>42670.370444222099</c:v>
                </c:pt>
                <c:pt idx="78">
                  <c:v>43161.634474797196</c:v>
                </c:pt>
                <c:pt idx="79">
                  <c:v>43671.339468999897</c:v>
                </c:pt>
                <c:pt idx="80">
                  <c:v>44153.948124022601</c:v>
                </c:pt>
                <c:pt idx="81">
                  <c:v>44577.9304668287</c:v>
                </c:pt>
              </c:numCache>
            </c:numRef>
          </c:val>
          <c:smooth val="0"/>
          <c:extLst>
            <c:ext xmlns:c16="http://schemas.microsoft.com/office/drawing/2014/chart" uri="{C3380CC4-5D6E-409C-BE32-E72D297353CC}">
              <c16:uniqueId val="{00000001-2440-44CA-86C8-9BFFD6627326}"/>
            </c:ext>
          </c:extLst>
        </c:ser>
        <c:dLbls>
          <c:showLegendKey val="0"/>
          <c:showVal val="0"/>
          <c:showCatName val="0"/>
          <c:showSerName val="0"/>
          <c:showPercent val="0"/>
          <c:showBubbleSize val="0"/>
        </c:dLbls>
        <c:smooth val="0"/>
        <c:axId val="780756064"/>
        <c:axId val="780753320"/>
      </c:lineChart>
      <c:catAx>
        <c:axId val="78075606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0753320"/>
        <c:crosses val="autoZero"/>
        <c:auto val="1"/>
        <c:lblAlgn val="ctr"/>
        <c:lblOffset val="0"/>
        <c:tickLblSkip val="1"/>
        <c:tickMarkSkip val="1"/>
        <c:noMultiLvlLbl val="1"/>
      </c:catAx>
      <c:valAx>
        <c:axId val="780753320"/>
        <c:scaling>
          <c:orientation val="minMax"/>
          <c:max val="52500"/>
          <c:min val="14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0756064"/>
        <c:crosses val="max"/>
        <c:crossBetween val="between"/>
        <c:majorUnit val="7700"/>
        <c:minorUnit val="10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3.554008354601046E-3"/>
          <c:y val="0.93477321031841931"/>
          <c:w val="0.99432857405669794"/>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Automotrices</a:t>
            </a:r>
          </a:p>
        </c:rich>
      </c:tx>
      <c:layout>
        <c:manualLayout>
          <c:xMode val="edge"/>
          <c:yMode val="edge"/>
          <c:x val="0.36747761368966086"/>
          <c:y val="8.7105624142661247E-3"/>
        </c:manualLayout>
      </c:layout>
      <c:overlay val="1"/>
    </c:title>
    <c:autoTitleDeleted val="0"/>
    <c:plotArea>
      <c:layout>
        <c:manualLayout>
          <c:layoutTarget val="inner"/>
          <c:xMode val="edge"/>
          <c:yMode val="edge"/>
          <c:x val="2.5661978434130452E-2"/>
          <c:y val="6.5427126200274369E-2"/>
          <c:w val="0.88382032348804562"/>
          <c:h val="0.79278583676269065"/>
        </c:manualLayout>
      </c:layout>
      <c:lineChart>
        <c:grouping val="standard"/>
        <c:varyColors val="0"/>
        <c:ser>
          <c:idx val="1"/>
          <c:order val="0"/>
          <c:tx>
            <c:strRef>
              <c:f>datos!$M$4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(datos!$A$5:$B$5,datos!$A$7:$B$86)</c:f>
              <c:multiLvlStrCache>
                <c:ptCount val="81"/>
                <c:lvl>
                  <c:pt idx="0">
                    <c:v>E</c:v>
                  </c:pt>
                  <c:pt idx="1">
                    <c:v>M</c:v>
                  </c:pt>
                  <c:pt idx="2">
                    <c:v>A</c:v>
                  </c:pt>
                  <c:pt idx="3">
                    <c:v>M</c:v>
                  </c:pt>
                  <c:pt idx="4">
                    <c:v>J</c:v>
                  </c:pt>
                  <c:pt idx="5">
                    <c:v>J</c:v>
                  </c:pt>
                  <c:pt idx="6">
                    <c:v>A</c:v>
                  </c:pt>
                  <c:pt idx="7">
                    <c:v>S</c:v>
                  </c:pt>
                  <c:pt idx="8">
                    <c:v>O</c:v>
                  </c:pt>
                  <c:pt idx="9">
                    <c:v>N</c:v>
                  </c:pt>
                  <c:pt idx="10">
                    <c:v>D</c:v>
                  </c:pt>
                  <c:pt idx="11">
                    <c:v>E</c:v>
                  </c:pt>
                  <c:pt idx="12">
                    <c:v>F</c:v>
                  </c:pt>
                  <c:pt idx="13">
                    <c:v>M</c:v>
                  </c:pt>
                  <c:pt idx="14">
                    <c:v>A</c:v>
                  </c:pt>
                  <c:pt idx="15">
                    <c:v>M</c:v>
                  </c:pt>
                  <c:pt idx="16">
                    <c:v>J</c:v>
                  </c:pt>
                  <c:pt idx="17">
                    <c:v>J</c:v>
                  </c:pt>
                  <c:pt idx="18">
                    <c:v>A</c:v>
                  </c:pt>
                  <c:pt idx="19">
                    <c:v>S</c:v>
                  </c:pt>
                  <c:pt idx="20">
                    <c:v>O</c:v>
                  </c:pt>
                  <c:pt idx="21">
                    <c:v>N</c:v>
                  </c:pt>
                  <c:pt idx="22">
                    <c:v>D</c:v>
                  </c:pt>
                  <c:pt idx="23">
                    <c:v>E</c:v>
                  </c:pt>
                  <c:pt idx="24">
                    <c:v>F</c:v>
                  </c:pt>
                  <c:pt idx="25">
                    <c:v>M</c:v>
                  </c:pt>
                  <c:pt idx="26">
                    <c:v>A</c:v>
                  </c:pt>
                  <c:pt idx="27">
                    <c:v>M</c:v>
                  </c:pt>
                  <c:pt idx="28">
                    <c:v>J</c:v>
                  </c:pt>
                  <c:pt idx="29">
                    <c:v>J</c:v>
                  </c:pt>
                  <c:pt idx="30">
                    <c:v>A</c:v>
                  </c:pt>
                  <c:pt idx="31">
                    <c:v>S</c:v>
                  </c:pt>
                  <c:pt idx="32">
                    <c:v>O</c:v>
                  </c:pt>
                  <c:pt idx="33">
                    <c:v>N</c:v>
                  </c:pt>
                  <c:pt idx="34">
                    <c:v>D</c:v>
                  </c:pt>
                  <c:pt idx="35">
                    <c:v>E</c:v>
                  </c:pt>
                  <c:pt idx="36">
                    <c:v>F</c:v>
                  </c:pt>
                  <c:pt idx="37">
                    <c:v>M</c:v>
                  </c:pt>
                  <c:pt idx="38">
                    <c:v>A</c:v>
                  </c:pt>
                  <c:pt idx="39">
                    <c:v>M</c:v>
                  </c:pt>
                  <c:pt idx="40">
                    <c:v>J</c:v>
                  </c:pt>
                  <c:pt idx="41">
                    <c:v>J</c:v>
                  </c:pt>
                  <c:pt idx="42">
                    <c:v>A</c:v>
                  </c:pt>
                  <c:pt idx="43">
                    <c:v>S</c:v>
                  </c:pt>
                  <c:pt idx="44">
                    <c:v>O</c:v>
                  </c:pt>
                  <c:pt idx="45">
                    <c:v>N</c:v>
                  </c:pt>
                  <c:pt idx="46">
                    <c:v>D</c:v>
                  </c:pt>
                  <c:pt idx="47">
                    <c:v>E</c:v>
                  </c:pt>
                  <c:pt idx="48">
                    <c:v>F</c:v>
                  </c:pt>
                  <c:pt idx="49">
                    <c:v>M</c:v>
                  </c:pt>
                  <c:pt idx="50">
                    <c:v>A</c:v>
                  </c:pt>
                  <c:pt idx="51">
                    <c:v>M</c:v>
                  </c:pt>
                  <c:pt idx="52">
                    <c:v>J</c:v>
                  </c:pt>
                  <c:pt idx="53">
                    <c:v>J</c:v>
                  </c:pt>
                  <c:pt idx="54">
                    <c:v>A</c:v>
                  </c:pt>
                  <c:pt idx="55">
                    <c:v>S</c:v>
                  </c:pt>
                  <c:pt idx="56">
                    <c:v>O</c:v>
                  </c:pt>
                  <c:pt idx="57">
                    <c:v>N</c:v>
                  </c:pt>
                  <c:pt idx="58">
                    <c:v>D</c:v>
                  </c:pt>
                  <c:pt idx="59">
                    <c:v>E</c:v>
                  </c:pt>
                  <c:pt idx="60">
                    <c:v>F</c:v>
                  </c:pt>
                  <c:pt idx="61">
                    <c:v>M</c:v>
                  </c:pt>
                  <c:pt idx="62">
                    <c:v>A</c:v>
                  </c:pt>
                  <c:pt idx="63">
                    <c:v>M</c:v>
                  </c:pt>
                  <c:pt idx="64">
                    <c:v>J</c:v>
                  </c:pt>
                  <c:pt idx="65">
                    <c:v>J</c:v>
                  </c:pt>
                  <c:pt idx="66">
                    <c:v>A</c:v>
                  </c:pt>
                  <c:pt idx="67">
                    <c:v>S</c:v>
                  </c:pt>
                  <c:pt idx="68">
                    <c:v>O</c:v>
                  </c:pt>
                  <c:pt idx="69">
                    <c:v>N</c:v>
                  </c:pt>
                  <c:pt idx="70">
                    <c:v>D</c:v>
                  </c:pt>
                  <c:pt idx="71">
                    <c:v>E</c:v>
                  </c:pt>
                  <c:pt idx="72">
                    <c:v>F</c:v>
                  </c:pt>
                  <c:pt idx="73">
                    <c:v>M</c:v>
                  </c:pt>
                  <c:pt idx="74">
                    <c:v>A</c:v>
                  </c:pt>
                  <c:pt idx="75">
                    <c:v>M</c:v>
                  </c:pt>
                  <c:pt idx="76">
                    <c:v>J</c:v>
                  </c:pt>
                  <c:pt idx="77">
                    <c:v>J</c:v>
                  </c:pt>
                  <c:pt idx="78">
                    <c:v>A</c:v>
                  </c:pt>
                  <c:pt idx="79">
                    <c:v>S</c:v>
                  </c:pt>
                  <c:pt idx="80">
                    <c:v>O*</c:v>
                  </c:pt>
                </c:lvl>
                <c:lvl>
                  <c:pt idx="0">
                    <c:v>2016</c:v>
                  </c:pt>
                  <c:pt idx="11">
                    <c:v>2017</c:v>
                  </c:pt>
                  <c:pt idx="23">
                    <c:v>2018</c:v>
                  </c:pt>
                  <c:pt idx="35">
                    <c:v>2019</c:v>
                  </c:pt>
                  <c:pt idx="47">
                    <c:v>2020</c:v>
                  </c:pt>
                  <c:pt idx="59">
                    <c:v>2021</c:v>
                  </c:pt>
                  <c:pt idx="71">
                    <c:v>2022</c:v>
                  </c:pt>
                </c:lvl>
              </c:multiLvlStrCache>
              <c:extLst/>
            </c:multiLvlStrRef>
          </c:cat>
          <c:val>
            <c:numRef>
              <c:f>(datos!$M$5,datos!$M$7:$M$86)</c:f>
              <c:numCache>
                <c:formatCode>#,##0.0</c:formatCode>
                <c:ptCount val="81"/>
                <c:pt idx="0">
                  <c:v>10031.341115753199</c:v>
                </c:pt>
                <c:pt idx="1">
                  <c:v>8587.9372038550391</c:v>
                </c:pt>
                <c:pt idx="2">
                  <c:v>9131.5399978472597</c:v>
                </c:pt>
                <c:pt idx="3">
                  <c:v>9272.1581888764504</c:v>
                </c:pt>
                <c:pt idx="4">
                  <c:v>9116.6661247511802</c:v>
                </c:pt>
                <c:pt idx="5">
                  <c:v>9166.6913012324694</c:v>
                </c:pt>
                <c:pt idx="6">
                  <c:v>9166.5238187007199</c:v>
                </c:pt>
                <c:pt idx="7">
                  <c:v>9766.9128446019095</c:v>
                </c:pt>
                <c:pt idx="8">
                  <c:v>9484.6688072303405</c:v>
                </c:pt>
                <c:pt idx="9">
                  <c:v>10063.255619673801</c:v>
                </c:pt>
                <c:pt idx="10">
                  <c:v>10174.394730874301</c:v>
                </c:pt>
                <c:pt idx="11">
                  <c:v>10241.2324059331</c:v>
                </c:pt>
                <c:pt idx="12">
                  <c:v>10015.705920910301</c:v>
                </c:pt>
                <c:pt idx="13">
                  <c:v>10005.377937892699</c:v>
                </c:pt>
                <c:pt idx="14">
                  <c:v>10076.6360836372</c:v>
                </c:pt>
                <c:pt idx="15">
                  <c:v>10275.1197698784</c:v>
                </c:pt>
                <c:pt idx="16">
                  <c:v>10703.002897370399</c:v>
                </c:pt>
                <c:pt idx="17">
                  <c:v>10496.016537724399</c:v>
                </c:pt>
                <c:pt idx="18">
                  <c:v>10591.391443192801</c:v>
                </c:pt>
                <c:pt idx="19">
                  <c:v>10700.511752287601</c:v>
                </c:pt>
                <c:pt idx="20">
                  <c:v>11032.8585584679</c:v>
                </c:pt>
                <c:pt idx="21">
                  <c:v>11417.918787229</c:v>
                </c:pt>
                <c:pt idx="22">
                  <c:v>11197.613906285</c:v>
                </c:pt>
                <c:pt idx="23">
                  <c:v>10828.7261646601</c:v>
                </c:pt>
                <c:pt idx="24">
                  <c:v>11768.5327228603</c:v>
                </c:pt>
                <c:pt idx="25">
                  <c:v>12397.708583961799</c:v>
                </c:pt>
                <c:pt idx="26">
                  <c:v>11531.905636874</c:v>
                </c:pt>
                <c:pt idx="27">
                  <c:v>10756.4424733162</c:v>
                </c:pt>
                <c:pt idx="28">
                  <c:v>11576.266932766801</c:v>
                </c:pt>
                <c:pt idx="29">
                  <c:v>11816.938065443899</c:v>
                </c:pt>
                <c:pt idx="30">
                  <c:v>11894.3014791153</c:v>
                </c:pt>
                <c:pt idx="31">
                  <c:v>13036.8703647805</c:v>
                </c:pt>
                <c:pt idx="32">
                  <c:v>12464.704080457501</c:v>
                </c:pt>
                <c:pt idx="33">
                  <c:v>12034.9627532043</c:v>
                </c:pt>
                <c:pt idx="34">
                  <c:v>12032.0169834138</c:v>
                </c:pt>
                <c:pt idx="35">
                  <c:v>11515.7175594494</c:v>
                </c:pt>
                <c:pt idx="36">
                  <c:v>11881.1689316968</c:v>
                </c:pt>
                <c:pt idx="37">
                  <c:v>12555.822494838199</c:v>
                </c:pt>
                <c:pt idx="38">
                  <c:v>12362.5952893556</c:v>
                </c:pt>
                <c:pt idx="39">
                  <c:v>12408.511288511199</c:v>
                </c:pt>
                <c:pt idx="40">
                  <c:v>12535.8012448972</c:v>
                </c:pt>
                <c:pt idx="41">
                  <c:v>13035.363741891901</c:v>
                </c:pt>
                <c:pt idx="42">
                  <c:v>13387.404182422701</c:v>
                </c:pt>
                <c:pt idx="43">
                  <c:v>12455.4023908538</c:v>
                </c:pt>
                <c:pt idx="44">
                  <c:v>11758.8873539706</c:v>
                </c:pt>
                <c:pt idx="45">
                  <c:v>11923.3294463072</c:v>
                </c:pt>
                <c:pt idx="46">
                  <c:v>11824.9775193266</c:v>
                </c:pt>
                <c:pt idx="47">
                  <c:v>12556.820866887399</c:v>
                </c:pt>
                <c:pt idx="48">
                  <c:v>11985.390932894201</c:v>
                </c:pt>
                <c:pt idx="49">
                  <c:v>11916.957332538501</c:v>
                </c:pt>
                <c:pt idx="50">
                  <c:v>2555.0232255900801</c:v>
                </c:pt>
                <c:pt idx="51">
                  <c:v>1281.53296509797</c:v>
                </c:pt>
                <c:pt idx="52">
                  <c:v>8226.6775614056405</c:v>
                </c:pt>
                <c:pt idx="53">
                  <c:v>12162.811744217801</c:v>
                </c:pt>
                <c:pt idx="54">
                  <c:v>12273.8882203455</c:v>
                </c:pt>
                <c:pt idx="55">
                  <c:v>11967.5621514349</c:v>
                </c:pt>
                <c:pt idx="56">
                  <c:v>13691.2268977518</c:v>
                </c:pt>
                <c:pt idx="57">
                  <c:v>12051.0424087174</c:v>
                </c:pt>
                <c:pt idx="58">
                  <c:v>12670.685975034599</c:v>
                </c:pt>
                <c:pt idx="59">
                  <c:v>13264.068518421</c:v>
                </c:pt>
                <c:pt idx="60">
                  <c:v>10909.7600496947</c:v>
                </c:pt>
                <c:pt idx="61">
                  <c:v>11238.2710560458</c:v>
                </c:pt>
                <c:pt idx="62">
                  <c:v>11931.200292674001</c:v>
                </c:pt>
                <c:pt idx="63">
                  <c:v>12385.472495837799</c:v>
                </c:pt>
                <c:pt idx="64">
                  <c:v>11276.824982381901</c:v>
                </c:pt>
                <c:pt idx="65">
                  <c:v>11370.2607219729</c:v>
                </c:pt>
                <c:pt idx="66">
                  <c:v>10525.5344170519</c:v>
                </c:pt>
                <c:pt idx="67">
                  <c:v>10887.115031449201</c:v>
                </c:pt>
                <c:pt idx="68">
                  <c:v>10988.2047028121</c:v>
                </c:pt>
                <c:pt idx="69">
                  <c:v>13243.093756022199</c:v>
                </c:pt>
                <c:pt idx="70">
                  <c:v>12021.930132084701</c:v>
                </c:pt>
                <c:pt idx="71">
                  <c:v>10639.552234492299</c:v>
                </c:pt>
                <c:pt idx="72">
                  <c:v>14319.7338332977</c:v>
                </c:pt>
                <c:pt idx="73">
                  <c:v>13166.901654281</c:v>
                </c:pt>
                <c:pt idx="74">
                  <c:v>13019.749596588001</c:v>
                </c:pt>
                <c:pt idx="75">
                  <c:v>13194.0211992106</c:v>
                </c:pt>
                <c:pt idx="76">
                  <c:v>13766.127628736</c:v>
                </c:pt>
                <c:pt idx="77">
                  <c:v>13200.5437709459</c:v>
                </c:pt>
                <c:pt idx="78">
                  <c:v>14687.672349156799</c:v>
                </c:pt>
                <c:pt idx="79">
                  <c:v>15358.5818218642</c:v>
                </c:pt>
                <c:pt idx="80">
                  <c:v>14911.3191715425</c:v>
                </c:pt>
              </c:numCache>
              <c:extLst/>
            </c:numRef>
          </c:val>
          <c:smooth val="0"/>
          <c:extLst>
            <c:ext xmlns:c16="http://schemas.microsoft.com/office/drawing/2014/chart" uri="{C3380CC4-5D6E-409C-BE32-E72D297353CC}">
              <c16:uniqueId val="{00000000-C64B-4FC7-875D-10CD424AB9AD}"/>
            </c:ext>
          </c:extLst>
        </c:ser>
        <c:ser>
          <c:idx val="0"/>
          <c:order val="1"/>
          <c:tx>
            <c:strRef>
              <c:f>datos!$N$4</c:f>
              <c:strCache>
                <c:ptCount val="1"/>
                <c:pt idx="0">
                  <c:v>Serie de Tendencia-Ciclo</c:v>
                </c:pt>
              </c:strCache>
            </c:strRef>
          </c:tx>
          <c:spPr>
            <a:ln w="12700">
              <a:solidFill>
                <a:schemeClr val="tx2">
                  <a:lumMod val="75000"/>
                </a:schemeClr>
              </a:solidFill>
              <a:prstDash val="solid"/>
            </a:ln>
            <a:effectLst/>
          </c:spPr>
          <c:marker>
            <c:symbol val="none"/>
          </c:marker>
          <c:cat>
            <c:multiLvlStrRef>
              <c:f>(datos!$A$5:$B$5,datos!$A$7:$B$86)</c:f>
              <c:multiLvlStrCache>
                <c:ptCount val="81"/>
                <c:lvl>
                  <c:pt idx="0">
                    <c:v>E</c:v>
                  </c:pt>
                  <c:pt idx="1">
                    <c:v>M</c:v>
                  </c:pt>
                  <c:pt idx="2">
                    <c:v>A</c:v>
                  </c:pt>
                  <c:pt idx="3">
                    <c:v>M</c:v>
                  </c:pt>
                  <c:pt idx="4">
                    <c:v>J</c:v>
                  </c:pt>
                  <c:pt idx="5">
                    <c:v>J</c:v>
                  </c:pt>
                  <c:pt idx="6">
                    <c:v>A</c:v>
                  </c:pt>
                  <c:pt idx="7">
                    <c:v>S</c:v>
                  </c:pt>
                  <c:pt idx="8">
                    <c:v>O</c:v>
                  </c:pt>
                  <c:pt idx="9">
                    <c:v>N</c:v>
                  </c:pt>
                  <c:pt idx="10">
                    <c:v>D</c:v>
                  </c:pt>
                  <c:pt idx="11">
                    <c:v>E</c:v>
                  </c:pt>
                  <c:pt idx="12">
                    <c:v>F</c:v>
                  </c:pt>
                  <c:pt idx="13">
                    <c:v>M</c:v>
                  </c:pt>
                  <c:pt idx="14">
                    <c:v>A</c:v>
                  </c:pt>
                  <c:pt idx="15">
                    <c:v>M</c:v>
                  </c:pt>
                  <c:pt idx="16">
                    <c:v>J</c:v>
                  </c:pt>
                  <c:pt idx="17">
                    <c:v>J</c:v>
                  </c:pt>
                  <c:pt idx="18">
                    <c:v>A</c:v>
                  </c:pt>
                  <c:pt idx="19">
                    <c:v>S</c:v>
                  </c:pt>
                  <c:pt idx="20">
                    <c:v>O</c:v>
                  </c:pt>
                  <c:pt idx="21">
                    <c:v>N</c:v>
                  </c:pt>
                  <c:pt idx="22">
                    <c:v>D</c:v>
                  </c:pt>
                  <c:pt idx="23">
                    <c:v>E</c:v>
                  </c:pt>
                  <c:pt idx="24">
                    <c:v>F</c:v>
                  </c:pt>
                  <c:pt idx="25">
                    <c:v>M</c:v>
                  </c:pt>
                  <c:pt idx="26">
                    <c:v>A</c:v>
                  </c:pt>
                  <c:pt idx="27">
                    <c:v>M</c:v>
                  </c:pt>
                  <c:pt idx="28">
                    <c:v>J</c:v>
                  </c:pt>
                  <c:pt idx="29">
                    <c:v>J</c:v>
                  </c:pt>
                  <c:pt idx="30">
                    <c:v>A</c:v>
                  </c:pt>
                  <c:pt idx="31">
                    <c:v>S</c:v>
                  </c:pt>
                  <c:pt idx="32">
                    <c:v>O</c:v>
                  </c:pt>
                  <c:pt idx="33">
                    <c:v>N</c:v>
                  </c:pt>
                  <c:pt idx="34">
                    <c:v>D</c:v>
                  </c:pt>
                  <c:pt idx="35">
                    <c:v>E</c:v>
                  </c:pt>
                  <c:pt idx="36">
                    <c:v>F</c:v>
                  </c:pt>
                  <c:pt idx="37">
                    <c:v>M</c:v>
                  </c:pt>
                  <c:pt idx="38">
                    <c:v>A</c:v>
                  </c:pt>
                  <c:pt idx="39">
                    <c:v>M</c:v>
                  </c:pt>
                  <c:pt idx="40">
                    <c:v>J</c:v>
                  </c:pt>
                  <c:pt idx="41">
                    <c:v>J</c:v>
                  </c:pt>
                  <c:pt idx="42">
                    <c:v>A</c:v>
                  </c:pt>
                  <c:pt idx="43">
                    <c:v>S</c:v>
                  </c:pt>
                  <c:pt idx="44">
                    <c:v>O</c:v>
                  </c:pt>
                  <c:pt idx="45">
                    <c:v>N</c:v>
                  </c:pt>
                  <c:pt idx="46">
                    <c:v>D</c:v>
                  </c:pt>
                  <c:pt idx="47">
                    <c:v>E</c:v>
                  </c:pt>
                  <c:pt idx="48">
                    <c:v>F</c:v>
                  </c:pt>
                  <c:pt idx="49">
                    <c:v>M</c:v>
                  </c:pt>
                  <c:pt idx="50">
                    <c:v>A</c:v>
                  </c:pt>
                  <c:pt idx="51">
                    <c:v>M</c:v>
                  </c:pt>
                  <c:pt idx="52">
                    <c:v>J</c:v>
                  </c:pt>
                  <c:pt idx="53">
                    <c:v>J</c:v>
                  </c:pt>
                  <c:pt idx="54">
                    <c:v>A</c:v>
                  </c:pt>
                  <c:pt idx="55">
                    <c:v>S</c:v>
                  </c:pt>
                  <c:pt idx="56">
                    <c:v>O</c:v>
                  </c:pt>
                  <c:pt idx="57">
                    <c:v>N</c:v>
                  </c:pt>
                  <c:pt idx="58">
                    <c:v>D</c:v>
                  </c:pt>
                  <c:pt idx="59">
                    <c:v>E</c:v>
                  </c:pt>
                  <c:pt idx="60">
                    <c:v>F</c:v>
                  </c:pt>
                  <c:pt idx="61">
                    <c:v>M</c:v>
                  </c:pt>
                  <c:pt idx="62">
                    <c:v>A</c:v>
                  </c:pt>
                  <c:pt idx="63">
                    <c:v>M</c:v>
                  </c:pt>
                  <c:pt idx="64">
                    <c:v>J</c:v>
                  </c:pt>
                  <c:pt idx="65">
                    <c:v>J</c:v>
                  </c:pt>
                  <c:pt idx="66">
                    <c:v>A</c:v>
                  </c:pt>
                  <c:pt idx="67">
                    <c:v>S</c:v>
                  </c:pt>
                  <c:pt idx="68">
                    <c:v>O</c:v>
                  </c:pt>
                  <c:pt idx="69">
                    <c:v>N</c:v>
                  </c:pt>
                  <c:pt idx="70">
                    <c:v>D</c:v>
                  </c:pt>
                  <c:pt idx="71">
                    <c:v>E</c:v>
                  </c:pt>
                  <c:pt idx="72">
                    <c:v>F</c:v>
                  </c:pt>
                  <c:pt idx="73">
                    <c:v>M</c:v>
                  </c:pt>
                  <c:pt idx="74">
                    <c:v>A</c:v>
                  </c:pt>
                  <c:pt idx="75">
                    <c:v>M</c:v>
                  </c:pt>
                  <c:pt idx="76">
                    <c:v>J</c:v>
                  </c:pt>
                  <c:pt idx="77">
                    <c:v>J</c:v>
                  </c:pt>
                  <c:pt idx="78">
                    <c:v>A</c:v>
                  </c:pt>
                  <c:pt idx="79">
                    <c:v>S</c:v>
                  </c:pt>
                  <c:pt idx="80">
                    <c:v>O*</c:v>
                  </c:pt>
                </c:lvl>
                <c:lvl>
                  <c:pt idx="0">
                    <c:v>2016</c:v>
                  </c:pt>
                  <c:pt idx="11">
                    <c:v>2017</c:v>
                  </c:pt>
                  <c:pt idx="23">
                    <c:v>2018</c:v>
                  </c:pt>
                  <c:pt idx="35">
                    <c:v>2019</c:v>
                  </c:pt>
                  <c:pt idx="47">
                    <c:v>2020</c:v>
                  </c:pt>
                  <c:pt idx="59">
                    <c:v>2021</c:v>
                  </c:pt>
                  <c:pt idx="71">
                    <c:v>2022</c:v>
                  </c:pt>
                </c:lvl>
              </c:multiLvlStrCache>
              <c:extLst/>
            </c:multiLvlStrRef>
          </c:cat>
          <c:val>
            <c:numRef>
              <c:f>(datos!$N$5,datos!$N$7:$N$86)</c:f>
              <c:numCache>
                <c:formatCode>#,##0.0</c:formatCode>
                <c:ptCount val="81"/>
                <c:pt idx="0">
                  <c:v>9329.9110348214399</c:v>
                </c:pt>
                <c:pt idx="1">
                  <c:v>9238.8940906786793</c:v>
                </c:pt>
                <c:pt idx="2">
                  <c:v>9189.1124954708303</c:v>
                </c:pt>
                <c:pt idx="3">
                  <c:v>9156.2205319691802</c:v>
                </c:pt>
                <c:pt idx="4">
                  <c:v>9159.5520642950705</c:v>
                </c:pt>
                <c:pt idx="5">
                  <c:v>9221.7819797164902</c:v>
                </c:pt>
                <c:pt idx="6">
                  <c:v>9350.0101191326994</c:v>
                </c:pt>
                <c:pt idx="7">
                  <c:v>9533.3586909823498</c:v>
                </c:pt>
                <c:pt idx="8">
                  <c:v>9739.4460857594095</c:v>
                </c:pt>
                <c:pt idx="9">
                  <c:v>9920.9905235905208</c:v>
                </c:pt>
                <c:pt idx="10">
                  <c:v>10037.634183525401</c:v>
                </c:pt>
                <c:pt idx="11">
                  <c:v>10090.199826821599</c:v>
                </c:pt>
                <c:pt idx="12">
                  <c:v>10113.137907493599</c:v>
                </c:pt>
                <c:pt idx="13">
                  <c:v>10143.469569955299</c:v>
                </c:pt>
                <c:pt idx="14">
                  <c:v>10201.412662332599</c:v>
                </c:pt>
                <c:pt idx="15">
                  <c:v>10284.494251594801</c:v>
                </c:pt>
                <c:pt idx="16">
                  <c:v>10405.933532519201</c:v>
                </c:pt>
                <c:pt idx="17">
                  <c:v>10553.5101015031</c:v>
                </c:pt>
                <c:pt idx="18">
                  <c:v>10700.253657253499</c:v>
                </c:pt>
                <c:pt idx="19">
                  <c:v>10837.448000791799</c:v>
                </c:pt>
                <c:pt idx="20">
                  <c:v>10981.5019987985</c:v>
                </c:pt>
                <c:pt idx="21">
                  <c:v>11139.4916984969</c:v>
                </c:pt>
                <c:pt idx="22">
                  <c:v>11297.4485125138</c:v>
                </c:pt>
                <c:pt idx="23">
                  <c:v>11425.138076069201</c:v>
                </c:pt>
                <c:pt idx="24">
                  <c:v>11505.432030476801</c:v>
                </c:pt>
                <c:pt idx="25">
                  <c:v>11547.3313500112</c:v>
                </c:pt>
                <c:pt idx="26">
                  <c:v>11571.927688673601</c:v>
                </c:pt>
                <c:pt idx="27">
                  <c:v>11618.711459779601</c:v>
                </c:pt>
                <c:pt idx="28">
                  <c:v>11706.5708341635</c:v>
                </c:pt>
                <c:pt idx="29">
                  <c:v>11843.452655552999</c:v>
                </c:pt>
                <c:pt idx="30">
                  <c:v>12001.9775553255</c:v>
                </c:pt>
                <c:pt idx="31">
                  <c:v>12112.546984971599</c:v>
                </c:pt>
                <c:pt idx="32">
                  <c:v>12130.277616823099</c:v>
                </c:pt>
                <c:pt idx="33">
                  <c:v>12077.1661141233</c:v>
                </c:pt>
                <c:pt idx="34">
                  <c:v>12010.1095562876</c:v>
                </c:pt>
                <c:pt idx="35">
                  <c:v>11977.8982571788</c:v>
                </c:pt>
                <c:pt idx="36">
                  <c:v>12016.762404471399</c:v>
                </c:pt>
                <c:pt idx="37">
                  <c:v>12152.398077412699</c:v>
                </c:pt>
                <c:pt idx="38">
                  <c:v>12373.2804442532</c:v>
                </c:pt>
                <c:pt idx="39">
                  <c:v>12598.426018696</c:v>
                </c:pt>
                <c:pt idx="40">
                  <c:v>12743.729313190501</c:v>
                </c:pt>
                <c:pt idx="41">
                  <c:v>12749.178690129</c:v>
                </c:pt>
                <c:pt idx="42">
                  <c:v>12629.258918052201</c:v>
                </c:pt>
                <c:pt idx="43">
                  <c:v>12447.443239685999</c:v>
                </c:pt>
                <c:pt idx="44">
                  <c:v>12251.458410593201</c:v>
                </c:pt>
                <c:pt idx="45">
                  <c:v>12088.2537677361</c:v>
                </c:pt>
                <c:pt idx="46">
                  <c:v>12004.410781177799</c:v>
                </c:pt>
                <c:pt idx="47">
                  <c:v>12002.104345350601</c:v>
                </c:pt>
                <c:pt idx="48">
                  <c:v>12041.1808626155</c:v>
                </c:pt>
                <c:pt idx="49">
                  <c:v>12075.7441921349</c:v>
                </c:pt>
                <c:pt idx="50">
                  <c:v>12078.7125100061</c:v>
                </c:pt>
                <c:pt idx="51">
                  <c:v>12080.2366458137</c:v>
                </c:pt>
                <c:pt idx="52">
                  <c:v>12094.8892271555</c:v>
                </c:pt>
                <c:pt idx="53">
                  <c:v>12127.840565475601</c:v>
                </c:pt>
                <c:pt idx="54">
                  <c:v>12179.62276221</c:v>
                </c:pt>
                <c:pt idx="55">
                  <c:v>12245.2551903818</c:v>
                </c:pt>
                <c:pt idx="56">
                  <c:v>12302.8682069325</c:v>
                </c:pt>
                <c:pt idx="57">
                  <c:v>12315.834990530901</c:v>
                </c:pt>
                <c:pt idx="58">
                  <c:v>12271.7771183315</c:v>
                </c:pt>
                <c:pt idx="59">
                  <c:v>12170.7791518637</c:v>
                </c:pt>
                <c:pt idx="60">
                  <c:v>12039.6271248428</c:v>
                </c:pt>
                <c:pt idx="61">
                  <c:v>11885.0499438844</c:v>
                </c:pt>
                <c:pt idx="62">
                  <c:v>11709.6328701937</c:v>
                </c:pt>
                <c:pt idx="63">
                  <c:v>11512.7409201231</c:v>
                </c:pt>
                <c:pt idx="64">
                  <c:v>11297.2077534165</c:v>
                </c:pt>
                <c:pt idx="65">
                  <c:v>11102.930954707699</c:v>
                </c:pt>
                <c:pt idx="66">
                  <c:v>10973.7112756154</c:v>
                </c:pt>
                <c:pt idx="67">
                  <c:v>10975.4643073187</c:v>
                </c:pt>
                <c:pt idx="68">
                  <c:v>11157.5707386636</c:v>
                </c:pt>
                <c:pt idx="69">
                  <c:v>11509.829387448401</c:v>
                </c:pt>
                <c:pt idx="70">
                  <c:v>11931.102290344799</c:v>
                </c:pt>
                <c:pt idx="71">
                  <c:v>12348.189216626</c:v>
                </c:pt>
                <c:pt idx="72">
                  <c:v>12685.887906468901</c:v>
                </c:pt>
                <c:pt idx="73">
                  <c:v>12916.281103449101</c:v>
                </c:pt>
                <c:pt idx="74">
                  <c:v>13113.306705606699</c:v>
                </c:pt>
                <c:pt idx="75">
                  <c:v>13337.412382190099</c:v>
                </c:pt>
                <c:pt idx="76">
                  <c:v>13644.144842645799</c:v>
                </c:pt>
                <c:pt idx="77">
                  <c:v>14035.9581094716</c:v>
                </c:pt>
                <c:pt idx="78">
                  <c:v>14452.2697095944</c:v>
                </c:pt>
                <c:pt idx="79">
                  <c:v>14815.827945781801</c:v>
                </c:pt>
                <c:pt idx="80">
                  <c:v>15070.0177456131</c:v>
                </c:pt>
              </c:numCache>
              <c:extLst/>
            </c:numRef>
          </c:val>
          <c:smooth val="0"/>
          <c:extLst>
            <c:ext xmlns:c16="http://schemas.microsoft.com/office/drawing/2014/chart" uri="{C3380CC4-5D6E-409C-BE32-E72D297353CC}">
              <c16:uniqueId val="{00000001-C64B-4FC7-875D-10CD424AB9AD}"/>
            </c:ext>
          </c:extLst>
        </c:ser>
        <c:dLbls>
          <c:showLegendKey val="0"/>
          <c:showVal val="0"/>
          <c:showCatName val="0"/>
          <c:showSerName val="0"/>
          <c:showPercent val="0"/>
          <c:showBubbleSize val="0"/>
        </c:dLbls>
        <c:smooth val="0"/>
        <c:axId val="780759200"/>
        <c:axId val="780750576"/>
      </c:lineChart>
      <c:catAx>
        <c:axId val="78075920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0750576"/>
        <c:crosses val="autoZero"/>
        <c:auto val="1"/>
        <c:lblAlgn val="ctr"/>
        <c:lblOffset val="0"/>
        <c:tickLblSkip val="1"/>
        <c:tickMarkSkip val="1"/>
        <c:noMultiLvlLbl val="1"/>
      </c:catAx>
      <c:valAx>
        <c:axId val="780750576"/>
        <c:scaling>
          <c:orientation val="minMax"/>
          <c:max val="16000"/>
          <c:min val="5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0759200"/>
        <c:crosses val="max"/>
        <c:crossBetween val="between"/>
        <c:majorUnit val="3100"/>
        <c:minorUnit val="4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
          <c:y val="0.9360430170875762"/>
          <c:w val="0.99432857405669794"/>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Manufactureras   No </a:t>
            </a:r>
          </a:p>
          <a:p>
            <a:pPr>
              <a:defRPr lang="es-MX" sz="700" b="1" i="0" cap="small" baseline="0"/>
            </a:pPr>
            <a:r>
              <a:rPr lang="es-ES" sz="700" b="1" i="0" cap="small" baseline="0"/>
              <a:t>Automotrices</a:t>
            </a:r>
          </a:p>
        </c:rich>
      </c:tx>
      <c:layout>
        <c:manualLayout>
          <c:xMode val="edge"/>
          <c:yMode val="edge"/>
          <c:x val="0.30494139709329582"/>
          <c:y val="0"/>
        </c:manualLayout>
      </c:layout>
      <c:overlay val="1"/>
    </c:title>
    <c:autoTitleDeleted val="0"/>
    <c:plotArea>
      <c:layout>
        <c:manualLayout>
          <c:layoutTarget val="inner"/>
          <c:xMode val="edge"/>
          <c:yMode val="edge"/>
          <c:x val="3.9836100468284383E-2"/>
          <c:y val="5.0672862131553378E-2"/>
          <c:w val="0.87057255039852288"/>
          <c:h val="0.79278583676269065"/>
        </c:manualLayout>
      </c:layout>
      <c:lineChart>
        <c:grouping val="standard"/>
        <c:varyColors val="0"/>
        <c:ser>
          <c:idx val="1"/>
          <c:order val="0"/>
          <c:tx>
            <c:strRef>
              <c:f>datos!$O$4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datos!$A$5:$B$86</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2016</c:v>
                  </c:pt>
                  <c:pt idx="12">
                    <c:v>2017</c:v>
                  </c:pt>
                  <c:pt idx="24">
                    <c:v>2018</c:v>
                  </c:pt>
                  <c:pt idx="36">
                    <c:v>2019</c:v>
                  </c:pt>
                  <c:pt idx="48">
                    <c:v>2020</c:v>
                  </c:pt>
                  <c:pt idx="60">
                    <c:v>2021</c:v>
                  </c:pt>
                  <c:pt idx="72">
                    <c:v>2022</c:v>
                  </c:pt>
                </c:lvl>
              </c:multiLvlStrCache>
            </c:multiLvlStrRef>
          </c:cat>
          <c:val>
            <c:numRef>
              <c:f>datos!$O$5:$O$86</c:f>
              <c:numCache>
                <c:formatCode>#,##0.0</c:formatCode>
                <c:ptCount val="82"/>
                <c:pt idx="0">
                  <c:v>18081.6558620141</c:v>
                </c:pt>
                <c:pt idx="1">
                  <c:v>17798.024996731001</c:v>
                </c:pt>
                <c:pt idx="2">
                  <c:v>17753.1905727925</c:v>
                </c:pt>
                <c:pt idx="3">
                  <c:v>18050.965719096799</c:v>
                </c:pt>
                <c:pt idx="4">
                  <c:v>18329.675929667301</c:v>
                </c:pt>
                <c:pt idx="5">
                  <c:v>18319.760366525799</c:v>
                </c:pt>
                <c:pt idx="6">
                  <c:v>18994.323147181502</c:v>
                </c:pt>
                <c:pt idx="7">
                  <c:v>18612.101560180101</c:v>
                </c:pt>
                <c:pt idx="8">
                  <c:v>18818.568347597899</c:v>
                </c:pt>
                <c:pt idx="9">
                  <c:v>18942.617343876602</c:v>
                </c:pt>
                <c:pt idx="10">
                  <c:v>19349.486399521498</c:v>
                </c:pt>
                <c:pt idx="11">
                  <c:v>19024.713463318902</c:v>
                </c:pt>
                <c:pt idx="12">
                  <c:v>19219.7744363891</c:v>
                </c:pt>
                <c:pt idx="13">
                  <c:v>19533.016332680501</c:v>
                </c:pt>
                <c:pt idx="14">
                  <c:v>19525.696191588399</c:v>
                </c:pt>
                <c:pt idx="15">
                  <c:v>19654.4710658597</c:v>
                </c:pt>
                <c:pt idx="16">
                  <c:v>19688.464811337999</c:v>
                </c:pt>
                <c:pt idx="17">
                  <c:v>20034.753360982799</c:v>
                </c:pt>
                <c:pt idx="18">
                  <c:v>19789.354694174799</c:v>
                </c:pt>
                <c:pt idx="19">
                  <c:v>19874.6799085128</c:v>
                </c:pt>
                <c:pt idx="20">
                  <c:v>19709.0429844807</c:v>
                </c:pt>
                <c:pt idx="21">
                  <c:v>20071.610005609</c:v>
                </c:pt>
                <c:pt idx="22">
                  <c:v>20363.188809872801</c:v>
                </c:pt>
                <c:pt idx="23">
                  <c:v>20593.046544988501</c:v>
                </c:pt>
                <c:pt idx="24">
                  <c:v>20440.924610500701</c:v>
                </c:pt>
                <c:pt idx="25">
                  <c:v>20754.656043364601</c:v>
                </c:pt>
                <c:pt idx="26">
                  <c:v>21204.010463886701</c:v>
                </c:pt>
                <c:pt idx="27">
                  <c:v>21049.695002763801</c:v>
                </c:pt>
                <c:pt idx="28">
                  <c:v>21194.764803617301</c:v>
                </c:pt>
                <c:pt idx="29">
                  <c:v>21203.109461951099</c:v>
                </c:pt>
                <c:pt idx="30">
                  <c:v>21350.877274749699</c:v>
                </c:pt>
                <c:pt idx="31">
                  <c:v>21502.8386518308</c:v>
                </c:pt>
                <c:pt idx="32">
                  <c:v>21680.093091905401</c:v>
                </c:pt>
                <c:pt idx="33">
                  <c:v>21638.932261732902</c:v>
                </c:pt>
                <c:pt idx="34">
                  <c:v>21320.7575966697</c:v>
                </c:pt>
                <c:pt idx="35">
                  <c:v>21712.1649130855</c:v>
                </c:pt>
                <c:pt idx="36">
                  <c:v>22001.4752239111</c:v>
                </c:pt>
                <c:pt idx="37">
                  <c:v>21835.205865603199</c:v>
                </c:pt>
                <c:pt idx="38">
                  <c:v>21268.665811605399</c:v>
                </c:pt>
                <c:pt idx="39">
                  <c:v>22220.720915482601</c:v>
                </c:pt>
                <c:pt idx="40">
                  <c:v>22329.772391309001</c:v>
                </c:pt>
                <c:pt idx="41">
                  <c:v>22422.228827464602</c:v>
                </c:pt>
                <c:pt idx="42">
                  <c:v>21508.044006225398</c:v>
                </c:pt>
                <c:pt idx="43">
                  <c:v>22254.734019394</c:v>
                </c:pt>
                <c:pt idx="44">
                  <c:v>21890.621715826001</c:v>
                </c:pt>
                <c:pt idx="45">
                  <c:v>22079.443330796199</c:v>
                </c:pt>
                <c:pt idx="46">
                  <c:v>21634.5297894904</c:v>
                </c:pt>
                <c:pt idx="47">
                  <c:v>21435.341823535698</c:v>
                </c:pt>
                <c:pt idx="48">
                  <c:v>21916.994961937598</c:v>
                </c:pt>
                <c:pt idx="49">
                  <c:v>22031.592339097901</c:v>
                </c:pt>
                <c:pt idx="50">
                  <c:v>21142.8352731167</c:v>
                </c:pt>
                <c:pt idx="51">
                  <c:v>17372.228200495101</c:v>
                </c:pt>
                <c:pt idx="52">
                  <c:v>14160.872939643399</c:v>
                </c:pt>
                <c:pt idx="53">
                  <c:v>20245.663135612602</c:v>
                </c:pt>
                <c:pt idx="54">
                  <c:v>19844.159058171099</c:v>
                </c:pt>
                <c:pt idx="55">
                  <c:v>22002.849478281802</c:v>
                </c:pt>
                <c:pt idx="56">
                  <c:v>22067.985242132399</c:v>
                </c:pt>
                <c:pt idx="57">
                  <c:v>22795.690657544401</c:v>
                </c:pt>
                <c:pt idx="58">
                  <c:v>23026.094694390002</c:v>
                </c:pt>
                <c:pt idx="59">
                  <c:v>23068.221596601899</c:v>
                </c:pt>
                <c:pt idx="60">
                  <c:v>22965.128376754699</c:v>
                </c:pt>
                <c:pt idx="61">
                  <c:v>22706.9616626112</c:v>
                </c:pt>
                <c:pt idx="62">
                  <c:v>24123.2703631554</c:v>
                </c:pt>
                <c:pt idx="63">
                  <c:v>23514.370766571501</c:v>
                </c:pt>
                <c:pt idx="64">
                  <c:v>23832.423067079901</c:v>
                </c:pt>
                <c:pt idx="65">
                  <c:v>24490.794366258699</c:v>
                </c:pt>
                <c:pt idx="66">
                  <c:v>24973.357326155401</c:v>
                </c:pt>
                <c:pt idx="67">
                  <c:v>24875.736385693999</c:v>
                </c:pt>
                <c:pt idx="68">
                  <c:v>25275.781804540798</c:v>
                </c:pt>
                <c:pt idx="69">
                  <c:v>25462.666530554499</c:v>
                </c:pt>
                <c:pt idx="70">
                  <c:v>26032.250439126099</c:v>
                </c:pt>
                <c:pt idx="71">
                  <c:v>27079.3402906667</c:v>
                </c:pt>
                <c:pt idx="72">
                  <c:v>26215.267230902398</c:v>
                </c:pt>
                <c:pt idx="73">
                  <c:v>28464.6280473816</c:v>
                </c:pt>
                <c:pt idx="74">
                  <c:v>28376.041075142599</c:v>
                </c:pt>
                <c:pt idx="75">
                  <c:v>28458.8064816386</c:v>
                </c:pt>
                <c:pt idx="76">
                  <c:v>28981.301274231901</c:v>
                </c:pt>
                <c:pt idx="77">
                  <c:v>29185.939625354898</c:v>
                </c:pt>
                <c:pt idx="78">
                  <c:v>29255.9996094249</c:v>
                </c:pt>
                <c:pt idx="79">
                  <c:v>28771.571304408601</c:v>
                </c:pt>
                <c:pt idx="80">
                  <c:v>30525.138194621599</c:v>
                </c:pt>
                <c:pt idx="81">
                  <c:v>29011.676224129402</c:v>
                </c:pt>
              </c:numCache>
            </c:numRef>
          </c:val>
          <c:smooth val="0"/>
          <c:extLst>
            <c:ext xmlns:c16="http://schemas.microsoft.com/office/drawing/2014/chart" uri="{C3380CC4-5D6E-409C-BE32-E72D297353CC}">
              <c16:uniqueId val="{00000000-1B46-49CB-B5C6-0FDB0FF6566C}"/>
            </c:ext>
          </c:extLst>
        </c:ser>
        <c:ser>
          <c:idx val="0"/>
          <c:order val="1"/>
          <c:tx>
            <c:strRef>
              <c:f>datos!$P$4</c:f>
              <c:strCache>
                <c:ptCount val="1"/>
                <c:pt idx="0">
                  <c:v>Serie de Tendencia-Ciclo</c:v>
                </c:pt>
              </c:strCache>
            </c:strRef>
          </c:tx>
          <c:spPr>
            <a:ln w="12700">
              <a:solidFill>
                <a:schemeClr val="tx2">
                  <a:lumMod val="75000"/>
                </a:schemeClr>
              </a:solidFill>
              <a:prstDash val="solid"/>
            </a:ln>
            <a:effectLst/>
          </c:spPr>
          <c:marker>
            <c:symbol val="none"/>
          </c:marker>
          <c:cat>
            <c:multiLvlStrRef>
              <c:f>datos!$A$5:$B$86</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2016</c:v>
                  </c:pt>
                  <c:pt idx="12">
                    <c:v>2017</c:v>
                  </c:pt>
                  <c:pt idx="24">
                    <c:v>2018</c:v>
                  </c:pt>
                  <c:pt idx="36">
                    <c:v>2019</c:v>
                  </c:pt>
                  <c:pt idx="48">
                    <c:v>2020</c:v>
                  </c:pt>
                  <c:pt idx="60">
                    <c:v>2021</c:v>
                  </c:pt>
                  <c:pt idx="72">
                    <c:v>2022</c:v>
                  </c:pt>
                </c:lvl>
              </c:multiLvlStrCache>
            </c:multiLvlStrRef>
          </c:cat>
          <c:val>
            <c:numRef>
              <c:f>datos!$P$5:$P$86</c:f>
              <c:numCache>
                <c:formatCode>#,##0.0</c:formatCode>
                <c:ptCount val="82"/>
                <c:pt idx="0">
                  <c:v>18122.1991419101</c:v>
                </c:pt>
                <c:pt idx="1">
                  <c:v>17981.302604146698</c:v>
                </c:pt>
                <c:pt idx="2">
                  <c:v>17944.256223288001</c:v>
                </c:pt>
                <c:pt idx="3">
                  <c:v>18023.537363134401</c:v>
                </c:pt>
                <c:pt idx="4">
                  <c:v>18182.5437248911</c:v>
                </c:pt>
                <c:pt idx="5">
                  <c:v>18378.257269854199</c:v>
                </c:pt>
                <c:pt idx="6">
                  <c:v>18567.803395015999</c:v>
                </c:pt>
                <c:pt idx="7">
                  <c:v>18727.9291776553</c:v>
                </c:pt>
                <c:pt idx="8">
                  <c:v>18859.4228894441</c:v>
                </c:pt>
                <c:pt idx="9">
                  <c:v>18976.9857601228</c:v>
                </c:pt>
                <c:pt idx="10">
                  <c:v>19092.4155805017</c:v>
                </c:pt>
                <c:pt idx="11">
                  <c:v>19201.287118154301</c:v>
                </c:pt>
                <c:pt idx="12">
                  <c:v>19311.758274381998</c:v>
                </c:pt>
                <c:pt idx="13">
                  <c:v>19429.437496717899</c:v>
                </c:pt>
                <c:pt idx="14">
                  <c:v>19550.958473865299</c:v>
                </c:pt>
                <c:pt idx="15">
                  <c:v>19665.340756324302</c:v>
                </c:pt>
                <c:pt idx="16">
                  <c:v>19749.6199117059</c:v>
                </c:pt>
                <c:pt idx="17">
                  <c:v>19795.935861194699</c:v>
                </c:pt>
                <c:pt idx="18">
                  <c:v>19826.353551641801</c:v>
                </c:pt>
                <c:pt idx="19">
                  <c:v>19876.824082658801</c:v>
                </c:pt>
                <c:pt idx="20">
                  <c:v>19956.7161183141</c:v>
                </c:pt>
                <c:pt idx="21">
                  <c:v>20078.183127455301</c:v>
                </c:pt>
                <c:pt idx="22">
                  <c:v>20245.6542479821</c:v>
                </c:pt>
                <c:pt idx="23">
                  <c:v>20444.895564701801</c:v>
                </c:pt>
                <c:pt idx="24">
                  <c:v>20646.98798786</c:v>
                </c:pt>
                <c:pt idx="25">
                  <c:v>20821.644291899</c:v>
                </c:pt>
                <c:pt idx="26">
                  <c:v>20963.683357199399</c:v>
                </c:pt>
                <c:pt idx="27">
                  <c:v>21081.938005874701</c:v>
                </c:pt>
                <c:pt idx="28">
                  <c:v>21199.2218632607</c:v>
                </c:pt>
                <c:pt idx="29">
                  <c:v>21305.7646190981</c:v>
                </c:pt>
                <c:pt idx="30">
                  <c:v>21387.988896759201</c:v>
                </c:pt>
                <c:pt idx="31">
                  <c:v>21454.524544431399</c:v>
                </c:pt>
                <c:pt idx="32">
                  <c:v>21517.808028191899</c:v>
                </c:pt>
                <c:pt idx="33">
                  <c:v>21575.998199313701</c:v>
                </c:pt>
                <c:pt idx="34">
                  <c:v>21632.838045067401</c:v>
                </c:pt>
                <c:pt idx="35">
                  <c:v>21707.182696304801</c:v>
                </c:pt>
                <c:pt idx="36">
                  <c:v>21814.694075065901</c:v>
                </c:pt>
                <c:pt idx="37">
                  <c:v>21950.333776928801</c:v>
                </c:pt>
                <c:pt idx="38">
                  <c:v>22094.9542211837</c:v>
                </c:pt>
                <c:pt idx="39">
                  <c:v>22210.689305816999</c:v>
                </c:pt>
                <c:pt idx="40">
                  <c:v>22277.759957276801</c:v>
                </c:pt>
                <c:pt idx="41">
                  <c:v>22294.845908314801</c:v>
                </c:pt>
                <c:pt idx="42">
                  <c:v>22252.092987259799</c:v>
                </c:pt>
                <c:pt idx="43">
                  <c:v>22143.921830990501</c:v>
                </c:pt>
                <c:pt idx="44">
                  <c:v>22013.640882017698</c:v>
                </c:pt>
                <c:pt idx="45">
                  <c:v>21896.468648029801</c:v>
                </c:pt>
                <c:pt idx="46">
                  <c:v>21804.0372652927</c:v>
                </c:pt>
                <c:pt idx="47">
                  <c:v>21735.9226846928</c:v>
                </c:pt>
                <c:pt idx="48">
                  <c:v>21663.6554394261</c:v>
                </c:pt>
                <c:pt idx="49">
                  <c:v>21555.164534745101</c:v>
                </c:pt>
                <c:pt idx="50">
                  <c:v>21424.5518031471</c:v>
                </c:pt>
                <c:pt idx="51">
                  <c:v>21300.7066213777</c:v>
                </c:pt>
                <c:pt idx="52">
                  <c:v>21243.875766686</c:v>
                </c:pt>
                <c:pt idx="53">
                  <c:v>21310.079510484298</c:v>
                </c:pt>
                <c:pt idx="54">
                  <c:v>21536.7760047884</c:v>
                </c:pt>
                <c:pt idx="55">
                  <c:v>21892.903446712498</c:v>
                </c:pt>
                <c:pt idx="56">
                  <c:v>22277.037621347299</c:v>
                </c:pt>
                <c:pt idx="57">
                  <c:v>22606.782884838001</c:v>
                </c:pt>
                <c:pt idx="58">
                  <c:v>22842.5506737172</c:v>
                </c:pt>
                <c:pt idx="59">
                  <c:v>22968.150870068999</c:v>
                </c:pt>
                <c:pt idx="60">
                  <c:v>23035.103880074799</c:v>
                </c:pt>
                <c:pt idx="61">
                  <c:v>23134.049337419601</c:v>
                </c:pt>
                <c:pt idx="62">
                  <c:v>23317.581968354702</c:v>
                </c:pt>
                <c:pt idx="63">
                  <c:v>23601.239914135698</c:v>
                </c:pt>
                <c:pt idx="64">
                  <c:v>23960.401447751799</c:v>
                </c:pt>
                <c:pt idx="65">
                  <c:v>24321.7265290135</c:v>
                </c:pt>
                <c:pt idx="66">
                  <c:v>24656.673635363899</c:v>
                </c:pt>
                <c:pt idx="67">
                  <c:v>24969.084712045002</c:v>
                </c:pt>
                <c:pt idx="68">
                  <c:v>25307.673994884801</c:v>
                </c:pt>
                <c:pt idx="69">
                  <c:v>25726.558672257099</c:v>
                </c:pt>
                <c:pt idx="70">
                  <c:v>26232.8587594772</c:v>
                </c:pt>
                <c:pt idx="71">
                  <c:v>26805.4091750589</c:v>
                </c:pt>
                <c:pt idx="72">
                  <c:v>27389.391318773101</c:v>
                </c:pt>
                <c:pt idx="73">
                  <c:v>27925.312834879802</c:v>
                </c:pt>
                <c:pt idx="74">
                  <c:v>28357.613815923502</c:v>
                </c:pt>
                <c:pt idx="75">
                  <c:v>28680.533267948798</c:v>
                </c:pt>
                <c:pt idx="76">
                  <c:v>28893.388116751801</c:v>
                </c:pt>
                <c:pt idx="77">
                  <c:v>29026.225601576301</c:v>
                </c:pt>
                <c:pt idx="78">
                  <c:v>29125.676365325598</c:v>
                </c:pt>
                <c:pt idx="79">
                  <c:v>29219.069759405498</c:v>
                </c:pt>
                <c:pt idx="80">
                  <c:v>29338.120178240799</c:v>
                </c:pt>
                <c:pt idx="81">
                  <c:v>29507.912721215602</c:v>
                </c:pt>
              </c:numCache>
            </c:numRef>
          </c:val>
          <c:smooth val="0"/>
          <c:extLst>
            <c:ext xmlns:c16="http://schemas.microsoft.com/office/drawing/2014/chart" uri="{C3380CC4-5D6E-409C-BE32-E72D297353CC}">
              <c16:uniqueId val="{00000001-1B46-49CB-B5C6-0FDB0FF6566C}"/>
            </c:ext>
          </c:extLst>
        </c:ser>
        <c:dLbls>
          <c:showLegendKey val="0"/>
          <c:showVal val="0"/>
          <c:showCatName val="0"/>
          <c:showSerName val="0"/>
          <c:showPercent val="0"/>
          <c:showBubbleSize val="0"/>
        </c:dLbls>
        <c:smooth val="0"/>
        <c:axId val="780750968"/>
        <c:axId val="780747048"/>
      </c:lineChart>
      <c:catAx>
        <c:axId val="78075096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0747048"/>
        <c:crosses val="autoZero"/>
        <c:auto val="1"/>
        <c:lblAlgn val="ctr"/>
        <c:lblOffset val="0"/>
        <c:tickLblSkip val="1"/>
        <c:tickMarkSkip val="1"/>
        <c:noMultiLvlLbl val="1"/>
      </c:catAx>
      <c:valAx>
        <c:axId val="780747048"/>
        <c:scaling>
          <c:orientation val="minMax"/>
          <c:max val="33600"/>
          <c:min val="12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0750968"/>
        <c:crosses val="max"/>
        <c:crossBetween val="between"/>
        <c:majorUnit val="4200"/>
        <c:minorUnit val="10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
          <c:y val="0.93232898715041568"/>
          <c:w val="0.99432857405669794"/>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Totales</a:t>
            </a:r>
          </a:p>
        </c:rich>
      </c:tx>
      <c:layout>
        <c:manualLayout>
          <c:xMode val="edge"/>
          <c:yMode val="edge"/>
          <c:x val="0.43149109235818089"/>
          <c:y val="2.1776406035665294E-3"/>
        </c:manualLayout>
      </c:layout>
      <c:overlay val="1"/>
    </c:title>
    <c:autoTitleDeleted val="0"/>
    <c:plotArea>
      <c:layout>
        <c:manualLayout>
          <c:layoutTarget val="inner"/>
          <c:xMode val="edge"/>
          <c:yMode val="edge"/>
          <c:x val="2.7150492264416341E-2"/>
          <c:y val="5.8894204389574774E-2"/>
          <c:w val="0.87057255039852288"/>
          <c:h val="0.79060819615914713"/>
        </c:manualLayout>
      </c:layout>
      <c:lineChart>
        <c:grouping val="standard"/>
        <c:varyColors val="0"/>
        <c:ser>
          <c:idx val="1"/>
          <c:order val="0"/>
          <c:tx>
            <c:strRef>
              <c:f>datos!$Q$4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datos!$A$5:$B$86</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2016</c:v>
                  </c:pt>
                  <c:pt idx="12">
                    <c:v>2017</c:v>
                  </c:pt>
                  <c:pt idx="24">
                    <c:v>2018</c:v>
                  </c:pt>
                  <c:pt idx="36">
                    <c:v>2019</c:v>
                  </c:pt>
                  <c:pt idx="48">
                    <c:v>2020</c:v>
                  </c:pt>
                  <c:pt idx="60">
                    <c:v>2021</c:v>
                  </c:pt>
                  <c:pt idx="72">
                    <c:v>2022</c:v>
                  </c:pt>
                </c:lvl>
              </c:multiLvlStrCache>
            </c:multiLvlStrRef>
          </c:cat>
          <c:val>
            <c:numRef>
              <c:f>datos!$Q$5:$Q$86</c:f>
              <c:numCache>
                <c:formatCode>#,##0.0</c:formatCode>
                <c:ptCount val="82"/>
                <c:pt idx="0">
                  <c:v>31822.8813118219</c:v>
                </c:pt>
                <c:pt idx="1">
                  <c:v>31577.3036285259</c:v>
                </c:pt>
                <c:pt idx="2">
                  <c:v>31109.108820074202</c:v>
                </c:pt>
                <c:pt idx="3">
                  <c:v>32316.3883519716</c:v>
                </c:pt>
                <c:pt idx="4">
                  <c:v>31566.729976451501</c:v>
                </c:pt>
                <c:pt idx="5">
                  <c:v>31774.821693751201</c:v>
                </c:pt>
                <c:pt idx="6">
                  <c:v>32300.1866633957</c:v>
                </c:pt>
                <c:pt idx="7">
                  <c:v>31793.028659662101</c:v>
                </c:pt>
                <c:pt idx="8">
                  <c:v>33335.228270559703</c:v>
                </c:pt>
                <c:pt idx="9">
                  <c:v>32291.534053100899</c:v>
                </c:pt>
                <c:pt idx="10">
                  <c:v>32853.447189349397</c:v>
                </c:pt>
                <c:pt idx="11">
                  <c:v>33753.543197805899</c:v>
                </c:pt>
                <c:pt idx="12">
                  <c:v>33721.845164783401</c:v>
                </c:pt>
                <c:pt idx="13">
                  <c:v>33811.100671297201</c:v>
                </c:pt>
                <c:pt idx="14">
                  <c:v>34059.077764332498</c:v>
                </c:pt>
                <c:pt idx="15">
                  <c:v>33834.339846406503</c:v>
                </c:pt>
                <c:pt idx="16">
                  <c:v>34602.657672613699</c:v>
                </c:pt>
                <c:pt idx="17">
                  <c:v>35118.619117069102</c:v>
                </c:pt>
                <c:pt idx="18">
                  <c:v>34627.344990592901</c:v>
                </c:pt>
                <c:pt idx="19">
                  <c:v>35844.329947788799</c:v>
                </c:pt>
                <c:pt idx="20">
                  <c:v>35541.335380340002</c:v>
                </c:pt>
                <c:pt idx="21">
                  <c:v>36345.048954987004</c:v>
                </c:pt>
                <c:pt idx="22">
                  <c:v>35864.041088440397</c:v>
                </c:pt>
                <c:pt idx="23">
                  <c:v>37721.352352445203</c:v>
                </c:pt>
                <c:pt idx="24">
                  <c:v>36423.9811192696</c:v>
                </c:pt>
                <c:pt idx="25">
                  <c:v>37591.926038985097</c:v>
                </c:pt>
                <c:pt idx="26">
                  <c:v>39013.268364893098</c:v>
                </c:pt>
                <c:pt idx="27">
                  <c:v>38102.8238033405</c:v>
                </c:pt>
                <c:pt idx="28">
                  <c:v>38901.844030010798</c:v>
                </c:pt>
                <c:pt idx="29">
                  <c:v>39223.261838988699</c:v>
                </c:pt>
                <c:pt idx="30">
                  <c:v>39247.364810169798</c:v>
                </c:pt>
                <c:pt idx="31">
                  <c:v>39011.600579180202</c:v>
                </c:pt>
                <c:pt idx="32">
                  <c:v>39443.6337792267</c:v>
                </c:pt>
                <c:pt idx="33">
                  <c:v>39494.6978235805</c:v>
                </c:pt>
                <c:pt idx="34">
                  <c:v>39813.842484780696</c:v>
                </c:pt>
                <c:pt idx="35">
                  <c:v>37688.977387395797</c:v>
                </c:pt>
                <c:pt idx="36">
                  <c:v>38550.983552456797</c:v>
                </c:pt>
                <c:pt idx="37">
                  <c:v>38354.000772241903</c:v>
                </c:pt>
                <c:pt idx="38">
                  <c:v>38324.011879428603</c:v>
                </c:pt>
                <c:pt idx="39">
                  <c:v>39078.363948157901</c:v>
                </c:pt>
                <c:pt idx="40">
                  <c:v>38773.372790095797</c:v>
                </c:pt>
                <c:pt idx="41">
                  <c:v>37939.145190816598</c:v>
                </c:pt>
                <c:pt idx="42">
                  <c:v>38171.082077896601</c:v>
                </c:pt>
                <c:pt idx="43">
                  <c:v>38263.032585795401</c:v>
                </c:pt>
                <c:pt idx="44">
                  <c:v>37490.985952652401</c:v>
                </c:pt>
                <c:pt idx="45">
                  <c:v>37271.955004192401</c:v>
                </c:pt>
                <c:pt idx="46">
                  <c:v>36573.298196782001</c:v>
                </c:pt>
                <c:pt idx="47">
                  <c:v>36384.653421766503</c:v>
                </c:pt>
                <c:pt idx="48">
                  <c:v>37027.981666213302</c:v>
                </c:pt>
                <c:pt idx="49">
                  <c:v>36406.440722505897</c:v>
                </c:pt>
                <c:pt idx="50">
                  <c:v>34735.4624657616</c:v>
                </c:pt>
                <c:pt idx="51">
                  <c:v>27046.808616980601</c:v>
                </c:pt>
                <c:pt idx="52">
                  <c:v>22025.6047992003</c:v>
                </c:pt>
                <c:pt idx="53">
                  <c:v>27587.6130873531</c:v>
                </c:pt>
                <c:pt idx="54">
                  <c:v>28202.357706095499</c:v>
                </c:pt>
                <c:pt idx="55">
                  <c:v>30917.539897911</c:v>
                </c:pt>
                <c:pt idx="56">
                  <c:v>32714.859460043401</c:v>
                </c:pt>
                <c:pt idx="57">
                  <c:v>33519.440273389402</c:v>
                </c:pt>
                <c:pt idx="58">
                  <c:v>35512.597418981102</c:v>
                </c:pt>
                <c:pt idx="59">
                  <c:v>36238.529372059602</c:v>
                </c:pt>
                <c:pt idx="60">
                  <c:v>37480.882639761301</c:v>
                </c:pt>
                <c:pt idx="61">
                  <c:v>36347.536414639602</c:v>
                </c:pt>
                <c:pt idx="62">
                  <c:v>43858.839778660098</c:v>
                </c:pt>
                <c:pt idx="63">
                  <c:v>39866.113257200202</c:v>
                </c:pt>
                <c:pt idx="64">
                  <c:v>41621.792559919697</c:v>
                </c:pt>
                <c:pt idx="65">
                  <c:v>41646.0694150872</c:v>
                </c:pt>
                <c:pt idx="66">
                  <c:v>44093.894924153901</c:v>
                </c:pt>
                <c:pt idx="67">
                  <c:v>42851.218375481301</c:v>
                </c:pt>
                <c:pt idx="68">
                  <c:v>42558.254329897798</c:v>
                </c:pt>
                <c:pt idx="69">
                  <c:v>43518.262011483101</c:v>
                </c:pt>
                <c:pt idx="70">
                  <c:v>44292.375321851097</c:v>
                </c:pt>
                <c:pt idx="71">
                  <c:v>46019.793774493497</c:v>
                </c:pt>
                <c:pt idx="72">
                  <c:v>44613.881699839199</c:v>
                </c:pt>
                <c:pt idx="73">
                  <c:v>48769.832934026701</c:v>
                </c:pt>
                <c:pt idx="74">
                  <c:v>49339.9783323347</c:v>
                </c:pt>
                <c:pt idx="75">
                  <c:v>51807.923829121901</c:v>
                </c:pt>
                <c:pt idx="76">
                  <c:v>51944.109487383299</c:v>
                </c:pt>
                <c:pt idx="77">
                  <c:v>55079.735337889702</c:v>
                </c:pt>
                <c:pt idx="78">
                  <c:v>52979.159263527399</c:v>
                </c:pt>
                <c:pt idx="79">
                  <c:v>51947.412679193301</c:v>
                </c:pt>
                <c:pt idx="80">
                  <c:v>51603.466882182503</c:v>
                </c:pt>
                <c:pt idx="81">
                  <c:v>50384.869019243102</c:v>
                </c:pt>
              </c:numCache>
            </c:numRef>
          </c:val>
          <c:smooth val="0"/>
          <c:extLst>
            <c:ext xmlns:c16="http://schemas.microsoft.com/office/drawing/2014/chart" uri="{C3380CC4-5D6E-409C-BE32-E72D297353CC}">
              <c16:uniqueId val="{00000000-68C0-48A5-83BD-DDCE5BBB21C8}"/>
            </c:ext>
          </c:extLst>
        </c:ser>
        <c:ser>
          <c:idx val="0"/>
          <c:order val="1"/>
          <c:tx>
            <c:strRef>
              <c:f>datos!$R$4</c:f>
              <c:strCache>
                <c:ptCount val="1"/>
                <c:pt idx="0">
                  <c:v>Serie de Tendencia-Ciclo</c:v>
                </c:pt>
              </c:strCache>
            </c:strRef>
          </c:tx>
          <c:spPr>
            <a:ln w="12700">
              <a:solidFill>
                <a:schemeClr val="tx2">
                  <a:lumMod val="75000"/>
                </a:schemeClr>
              </a:solidFill>
              <a:prstDash val="solid"/>
            </a:ln>
            <a:effectLst/>
          </c:spPr>
          <c:marker>
            <c:symbol val="none"/>
          </c:marker>
          <c:cat>
            <c:multiLvlStrRef>
              <c:f>datos!$A$5:$B$86</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2016</c:v>
                  </c:pt>
                  <c:pt idx="12">
                    <c:v>2017</c:v>
                  </c:pt>
                  <c:pt idx="24">
                    <c:v>2018</c:v>
                  </c:pt>
                  <c:pt idx="36">
                    <c:v>2019</c:v>
                  </c:pt>
                  <c:pt idx="48">
                    <c:v>2020</c:v>
                  </c:pt>
                  <c:pt idx="60">
                    <c:v>2021</c:v>
                  </c:pt>
                  <c:pt idx="72">
                    <c:v>2022</c:v>
                  </c:pt>
                </c:lvl>
              </c:multiLvlStrCache>
            </c:multiLvlStrRef>
          </c:cat>
          <c:val>
            <c:numRef>
              <c:f>datos!$R$5:$R$86</c:f>
              <c:numCache>
                <c:formatCode>#,##0.0</c:formatCode>
                <c:ptCount val="82"/>
                <c:pt idx="0">
                  <c:v>31892.154170537684</c:v>
                </c:pt>
                <c:pt idx="1">
                  <c:v>31645.016002124808</c:v>
                </c:pt>
                <c:pt idx="2">
                  <c:v>31478.550507523152</c:v>
                </c:pt>
                <c:pt idx="3">
                  <c:v>31434.693772500919</c:v>
                </c:pt>
                <c:pt idx="4">
                  <c:v>31514.178026116759</c:v>
                </c:pt>
                <c:pt idx="5">
                  <c:v>31661.557574750426</c:v>
                </c:pt>
                <c:pt idx="6">
                  <c:v>31857.623631775881</c:v>
                </c:pt>
                <c:pt idx="7">
                  <c:v>32106.570643461331</c:v>
                </c:pt>
                <c:pt idx="8">
                  <c:v>32403.296686084152</c:v>
                </c:pt>
                <c:pt idx="9">
                  <c:v>32738.629223393546</c:v>
                </c:pt>
                <c:pt idx="10">
                  <c:v>33083.236998950648</c:v>
                </c:pt>
                <c:pt idx="11">
                  <c:v>33391.770539728401</c:v>
                </c:pt>
                <c:pt idx="12">
                  <c:v>33666.30944853559</c:v>
                </c:pt>
                <c:pt idx="13">
                  <c:v>33900.225296117118</c:v>
                </c:pt>
                <c:pt idx="14">
                  <c:v>34103.986785074412</c:v>
                </c:pt>
                <c:pt idx="15">
                  <c:v>34295.84926666542</c:v>
                </c:pt>
                <c:pt idx="16">
                  <c:v>34506.942101948698</c:v>
                </c:pt>
                <c:pt idx="17">
                  <c:v>34758.442607596146</c:v>
                </c:pt>
                <c:pt idx="18">
                  <c:v>35059.121992439061</c:v>
                </c:pt>
                <c:pt idx="19">
                  <c:v>35382.876470421616</c:v>
                </c:pt>
                <c:pt idx="20">
                  <c:v>35699.945237540669</c:v>
                </c:pt>
                <c:pt idx="21">
                  <c:v>36045.36351000351</c:v>
                </c:pt>
                <c:pt idx="22">
                  <c:v>36432.322811777216</c:v>
                </c:pt>
                <c:pt idx="23">
                  <c:v>36858.159227536205</c:v>
                </c:pt>
                <c:pt idx="24">
                  <c:v>37302.486561085403</c:v>
                </c:pt>
                <c:pt idx="25">
                  <c:v>37755.385398233455</c:v>
                </c:pt>
                <c:pt idx="26">
                  <c:v>38193.626506851986</c:v>
                </c:pt>
                <c:pt idx="27">
                  <c:v>38566.509240300395</c:v>
                </c:pt>
                <c:pt idx="28">
                  <c:v>38858.595348914918</c:v>
                </c:pt>
                <c:pt idx="29">
                  <c:v>39089.189606077634</c:v>
                </c:pt>
                <c:pt idx="30">
                  <c:v>39252.589474968845</c:v>
                </c:pt>
                <c:pt idx="31">
                  <c:v>39317.593556208391</c:v>
                </c:pt>
                <c:pt idx="32">
                  <c:v>39293.798590225342</c:v>
                </c:pt>
                <c:pt idx="33">
                  <c:v>39147.641205070671</c:v>
                </c:pt>
                <c:pt idx="34">
                  <c:v>38911.201365880064</c:v>
                </c:pt>
                <c:pt idx="35">
                  <c:v>38694.566180568108</c:v>
                </c:pt>
                <c:pt idx="36">
                  <c:v>38544.16825545983</c:v>
                </c:pt>
                <c:pt idx="37">
                  <c:v>38482.105633994448</c:v>
                </c:pt>
                <c:pt idx="38">
                  <c:v>38510.530270053925</c:v>
                </c:pt>
                <c:pt idx="39">
                  <c:v>38578.498450016545</c:v>
                </c:pt>
                <c:pt idx="40">
                  <c:v>38602.022330315311</c:v>
                </c:pt>
                <c:pt idx="41">
                  <c:v>38513.253273407056</c:v>
                </c:pt>
                <c:pt idx="42">
                  <c:v>38278.715724779569</c:v>
                </c:pt>
                <c:pt idx="43">
                  <c:v>37950.464380987018</c:v>
                </c:pt>
                <c:pt idx="44">
                  <c:v>37604.044645463007</c:v>
                </c:pt>
                <c:pt idx="45">
                  <c:v>37287.556297256953</c:v>
                </c:pt>
                <c:pt idx="46">
                  <c:v>36972.842951144863</c:v>
                </c:pt>
                <c:pt idx="47">
                  <c:v>36597.35512884894</c:v>
                </c:pt>
                <c:pt idx="48">
                  <c:v>36140.864842656229</c:v>
                </c:pt>
                <c:pt idx="49">
                  <c:v>35643.354358574681</c:v>
                </c:pt>
                <c:pt idx="50">
                  <c:v>35199.345504404257</c:v>
                </c:pt>
                <c:pt idx="51">
                  <c:v>27380.214220860216</c:v>
                </c:pt>
                <c:pt idx="52">
                  <c:v>27550.437467334916</c:v>
                </c:pt>
                <c:pt idx="53">
                  <c:v>28193.796316487915</c:v>
                </c:pt>
                <c:pt idx="54">
                  <c:v>29300.125986607753</c:v>
                </c:pt>
                <c:pt idx="55">
                  <c:v>30729.702066735248</c:v>
                </c:pt>
                <c:pt idx="56">
                  <c:v>32276.807476084978</c:v>
                </c:pt>
                <c:pt idx="57">
                  <c:v>33783.491133452335</c:v>
                </c:pt>
                <c:pt idx="58">
                  <c:v>35158.108784617558</c:v>
                </c:pt>
                <c:pt idx="59">
                  <c:v>36372.748765105738</c:v>
                </c:pt>
                <c:pt idx="60">
                  <c:v>37448.357404800568</c:v>
                </c:pt>
                <c:pt idx="61">
                  <c:v>38435.72398003719</c:v>
                </c:pt>
                <c:pt idx="62">
                  <c:v>39381.797099420364</c:v>
                </c:pt>
                <c:pt idx="63">
                  <c:v>40270.581061965124</c:v>
                </c:pt>
                <c:pt idx="64">
                  <c:v>41049.24141601615</c:v>
                </c:pt>
                <c:pt idx="65">
                  <c:v>41675.155427309546</c:v>
                </c:pt>
                <c:pt idx="66">
                  <c:v>42168.35633813699</c:v>
                </c:pt>
                <c:pt idx="67">
                  <c:v>42608.820967031614</c:v>
                </c:pt>
                <c:pt idx="68">
                  <c:v>43081.289651661165</c:v>
                </c:pt>
                <c:pt idx="69">
                  <c:v>43672.637575493427</c:v>
                </c:pt>
                <c:pt idx="70">
                  <c:v>44478.88752617564</c:v>
                </c:pt>
                <c:pt idx="71">
                  <c:v>45546.444926659453</c:v>
                </c:pt>
                <c:pt idx="72">
                  <c:v>46838.052151361582</c:v>
                </c:pt>
                <c:pt idx="73">
                  <c:v>48275.844576703807</c:v>
                </c:pt>
                <c:pt idx="74">
                  <c:v>49706.225769981545</c:v>
                </c:pt>
                <c:pt idx="75">
                  <c:v>50963.54489442351</c:v>
                </c:pt>
                <c:pt idx="76">
                  <c:v>51884.661578781532</c:v>
                </c:pt>
                <c:pt idx="77">
                  <c:v>52356.287836422161</c:v>
                </c:pt>
                <c:pt idx="78">
                  <c:v>52397.650232278917</c:v>
                </c:pt>
                <c:pt idx="79">
                  <c:v>52135.37460337556</c:v>
                </c:pt>
                <c:pt idx="80">
                  <c:v>51791.284396378207</c:v>
                </c:pt>
                <c:pt idx="81">
                  <c:v>51586.272485924848</c:v>
                </c:pt>
              </c:numCache>
            </c:numRef>
          </c:val>
          <c:smooth val="0"/>
          <c:extLst>
            <c:ext xmlns:c16="http://schemas.microsoft.com/office/drawing/2014/chart" uri="{C3380CC4-5D6E-409C-BE32-E72D297353CC}">
              <c16:uniqueId val="{00000001-68C0-48A5-83BD-DDCE5BBB21C8}"/>
            </c:ext>
          </c:extLst>
        </c:ser>
        <c:dLbls>
          <c:showLegendKey val="0"/>
          <c:showVal val="0"/>
          <c:showCatName val="0"/>
          <c:showSerName val="0"/>
          <c:showPercent val="0"/>
          <c:showBubbleSize val="0"/>
        </c:dLbls>
        <c:smooth val="0"/>
        <c:axId val="616593960"/>
        <c:axId val="530007592"/>
      </c:lineChart>
      <c:catAx>
        <c:axId val="61659396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530007592"/>
        <c:crosses val="autoZero"/>
        <c:auto val="1"/>
        <c:lblAlgn val="ctr"/>
        <c:lblOffset val="0"/>
        <c:tickLblSkip val="1"/>
        <c:tickMarkSkip val="1"/>
        <c:noMultiLvlLbl val="1"/>
      </c:catAx>
      <c:valAx>
        <c:axId val="530007592"/>
        <c:scaling>
          <c:orientation val="minMax"/>
          <c:max val="58500"/>
          <c:min val="21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616593960"/>
        <c:crosses val="max"/>
        <c:crossBetween val="between"/>
        <c:majorUnit val="7500"/>
        <c:minorUnit val="10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6.5154684614714851E-3"/>
          <c:y val="0.93827893314093769"/>
          <c:w val="0.98556039960118069"/>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Petroleras</a:t>
            </a:r>
          </a:p>
        </c:rich>
      </c:tx>
      <c:layout>
        <c:manualLayout>
          <c:xMode val="edge"/>
          <c:yMode val="edge"/>
          <c:x val="0.40221202531646238"/>
          <c:y val="2.1776406035665294E-3"/>
        </c:manualLayout>
      </c:layout>
      <c:overlay val="1"/>
    </c:title>
    <c:autoTitleDeleted val="0"/>
    <c:plotArea>
      <c:layout>
        <c:manualLayout>
          <c:layoutTarget val="inner"/>
          <c:xMode val="edge"/>
          <c:yMode val="edge"/>
          <c:x val="2.8639006094702293E-2"/>
          <c:y val="5.8894204389574774E-2"/>
          <c:w val="0.87057255039852288"/>
          <c:h val="0.79496347736625517"/>
        </c:manualLayout>
      </c:layout>
      <c:lineChart>
        <c:grouping val="standard"/>
        <c:varyColors val="0"/>
        <c:ser>
          <c:idx val="1"/>
          <c:order val="0"/>
          <c:tx>
            <c:strRef>
              <c:f>datos!$S$4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datos!$A$5:$B$86</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2016</c:v>
                  </c:pt>
                  <c:pt idx="12">
                    <c:v>2017</c:v>
                  </c:pt>
                  <c:pt idx="24">
                    <c:v>2018</c:v>
                  </c:pt>
                  <c:pt idx="36">
                    <c:v>2019</c:v>
                  </c:pt>
                  <c:pt idx="48">
                    <c:v>2020</c:v>
                  </c:pt>
                  <c:pt idx="60">
                    <c:v>2021</c:v>
                  </c:pt>
                  <c:pt idx="72">
                    <c:v>2022</c:v>
                  </c:pt>
                </c:lvl>
              </c:multiLvlStrCache>
            </c:multiLvlStrRef>
          </c:cat>
          <c:val>
            <c:numRef>
              <c:f>datos!$S$5:$S$86</c:f>
              <c:numCache>
                <c:formatCode>#,##0.0</c:formatCode>
                <c:ptCount val="82"/>
                <c:pt idx="0">
                  <c:v>2214.53666268082</c:v>
                </c:pt>
                <c:pt idx="1">
                  <c:v>2014.03377964739</c:v>
                </c:pt>
                <c:pt idx="2">
                  <c:v>2102.0715270488399</c:v>
                </c:pt>
                <c:pt idx="3">
                  <c:v>2435.9166969460698</c:v>
                </c:pt>
                <c:pt idx="4">
                  <c:v>2570.5011828646302</c:v>
                </c:pt>
                <c:pt idx="5">
                  <c:v>2551.4385406455899</c:v>
                </c:pt>
                <c:pt idx="6">
                  <c:v>3001.6498316248699</c:v>
                </c:pt>
                <c:pt idx="7">
                  <c:v>2520.36884589486</c:v>
                </c:pt>
                <c:pt idx="8">
                  <c:v>2966.07430942984</c:v>
                </c:pt>
                <c:pt idx="9">
                  <c:v>2915.0294342532702</c:v>
                </c:pt>
                <c:pt idx="10">
                  <c:v>2895.0986892133801</c:v>
                </c:pt>
                <c:pt idx="11">
                  <c:v>3243.3764898304698</c:v>
                </c:pt>
                <c:pt idx="12">
                  <c:v>3397.4469780110999</c:v>
                </c:pt>
                <c:pt idx="13">
                  <c:v>3429.8468869677499</c:v>
                </c:pt>
                <c:pt idx="14">
                  <c:v>3327.0983529120999</c:v>
                </c:pt>
                <c:pt idx="15">
                  <c:v>3182.1324600347598</c:v>
                </c:pt>
                <c:pt idx="16">
                  <c:v>3000.78236083406</c:v>
                </c:pt>
                <c:pt idx="17">
                  <c:v>3055.9319286729201</c:v>
                </c:pt>
                <c:pt idx="18">
                  <c:v>3145.2402218309198</c:v>
                </c:pt>
                <c:pt idx="19">
                  <c:v>3696.8596420232702</c:v>
                </c:pt>
                <c:pt idx="20">
                  <c:v>3647.7748347731499</c:v>
                </c:pt>
                <c:pt idx="21">
                  <c:v>3838.8921777710402</c:v>
                </c:pt>
                <c:pt idx="22">
                  <c:v>4000.8969465944601</c:v>
                </c:pt>
                <c:pt idx="23">
                  <c:v>4334.4065237396298</c:v>
                </c:pt>
                <c:pt idx="24">
                  <c:v>3727.27075230625</c:v>
                </c:pt>
                <c:pt idx="25">
                  <c:v>4408.9698620925501</c:v>
                </c:pt>
                <c:pt idx="26">
                  <c:v>4566.0264427606598</c:v>
                </c:pt>
                <c:pt idx="27">
                  <c:v>4325.7554862198103</c:v>
                </c:pt>
                <c:pt idx="28">
                  <c:v>4500.7003257651804</c:v>
                </c:pt>
                <c:pt idx="29">
                  <c:v>4862.0040344830104</c:v>
                </c:pt>
                <c:pt idx="30">
                  <c:v>4706.1791522515496</c:v>
                </c:pt>
                <c:pt idx="31">
                  <c:v>4539.15059157214</c:v>
                </c:pt>
                <c:pt idx="32">
                  <c:v>4523.0564233859504</c:v>
                </c:pt>
                <c:pt idx="33">
                  <c:v>4651.37986759454</c:v>
                </c:pt>
                <c:pt idx="34">
                  <c:v>4876.7178059708003</c:v>
                </c:pt>
                <c:pt idx="35">
                  <c:v>4047.1777216372998</c:v>
                </c:pt>
                <c:pt idx="36">
                  <c:v>3981.47030525223</c:v>
                </c:pt>
                <c:pt idx="37">
                  <c:v>3958.0829348831398</c:v>
                </c:pt>
                <c:pt idx="38">
                  <c:v>4304.0704157624596</c:v>
                </c:pt>
                <c:pt idx="39">
                  <c:v>4458.0566174044297</c:v>
                </c:pt>
                <c:pt idx="40">
                  <c:v>4565.6393334861395</c:v>
                </c:pt>
                <c:pt idx="41">
                  <c:v>4126.1508903051099</c:v>
                </c:pt>
                <c:pt idx="42">
                  <c:v>3685.0530842674302</c:v>
                </c:pt>
                <c:pt idx="43">
                  <c:v>3674.7164462848</c:v>
                </c:pt>
                <c:pt idx="44">
                  <c:v>3552.6787618449998</c:v>
                </c:pt>
                <c:pt idx="45">
                  <c:v>3645.11997884421</c:v>
                </c:pt>
                <c:pt idx="46">
                  <c:v>3786.3079596719799</c:v>
                </c:pt>
                <c:pt idx="47">
                  <c:v>3543.89365289648</c:v>
                </c:pt>
                <c:pt idx="48">
                  <c:v>3972.6830441818001</c:v>
                </c:pt>
                <c:pt idx="49">
                  <c:v>3710.2112931084298</c:v>
                </c:pt>
                <c:pt idx="50">
                  <c:v>3284.0426481601799</c:v>
                </c:pt>
                <c:pt idx="51">
                  <c:v>2110.4445126220198</c:v>
                </c:pt>
                <c:pt idx="52">
                  <c:v>1502.01308377227</c:v>
                </c:pt>
                <c:pt idx="53">
                  <c:v>1687.6761192301699</c:v>
                </c:pt>
                <c:pt idx="54">
                  <c:v>2029.2707681786901</c:v>
                </c:pt>
                <c:pt idx="55">
                  <c:v>2368.1693886153298</c:v>
                </c:pt>
                <c:pt idx="56">
                  <c:v>2473.6767449064</c:v>
                </c:pt>
                <c:pt idx="57">
                  <c:v>2585.2738439843902</c:v>
                </c:pt>
                <c:pt idx="58">
                  <c:v>2723.7725098086598</c:v>
                </c:pt>
                <c:pt idx="59">
                  <c:v>2995.9935716075402</c:v>
                </c:pt>
                <c:pt idx="60">
                  <c:v>3147.0688467744399</c:v>
                </c:pt>
                <c:pt idx="61">
                  <c:v>3247.9945497762801</c:v>
                </c:pt>
                <c:pt idx="62">
                  <c:v>6385.0734308648398</c:v>
                </c:pt>
                <c:pt idx="63">
                  <c:v>3705.1920465574399</c:v>
                </c:pt>
                <c:pt idx="64">
                  <c:v>4244.4380819511498</c:v>
                </c:pt>
                <c:pt idx="65">
                  <c:v>4350.3090443294996</c:v>
                </c:pt>
                <c:pt idx="66">
                  <c:v>4591.8316169142399</c:v>
                </c:pt>
                <c:pt idx="67">
                  <c:v>4805.2903670120904</c:v>
                </c:pt>
                <c:pt idx="68">
                  <c:v>4536.5921792538502</c:v>
                </c:pt>
                <c:pt idx="69">
                  <c:v>4756.50397857809</c:v>
                </c:pt>
                <c:pt idx="70">
                  <c:v>4706.3959301002496</c:v>
                </c:pt>
                <c:pt idx="71">
                  <c:v>4984.2001270053597</c:v>
                </c:pt>
                <c:pt idx="72">
                  <c:v>4883.0849140483497</c:v>
                </c:pt>
                <c:pt idx="73">
                  <c:v>4817.9799842190796</c:v>
                </c:pt>
                <c:pt idx="74">
                  <c:v>5596.0558566776299</c:v>
                </c:pt>
                <c:pt idx="75">
                  <c:v>6613.9937792229903</c:v>
                </c:pt>
                <c:pt idx="76">
                  <c:v>7064.3861966504501</c:v>
                </c:pt>
                <c:pt idx="77">
                  <c:v>8481.6478193726707</c:v>
                </c:pt>
                <c:pt idx="78">
                  <c:v>7789.7137741952602</c:v>
                </c:pt>
                <c:pt idx="79">
                  <c:v>6830.1056370883198</c:v>
                </c:pt>
                <c:pt idx="80">
                  <c:v>6629.3967252945604</c:v>
                </c:pt>
                <c:pt idx="81">
                  <c:v>5458.6682610450098</c:v>
                </c:pt>
              </c:numCache>
            </c:numRef>
          </c:val>
          <c:smooth val="0"/>
          <c:extLst>
            <c:ext xmlns:c16="http://schemas.microsoft.com/office/drawing/2014/chart" uri="{C3380CC4-5D6E-409C-BE32-E72D297353CC}">
              <c16:uniqueId val="{00000000-AE7A-4C37-B70D-195408D407AF}"/>
            </c:ext>
          </c:extLst>
        </c:ser>
        <c:ser>
          <c:idx val="0"/>
          <c:order val="1"/>
          <c:tx>
            <c:strRef>
              <c:f>datos!$T$4</c:f>
              <c:strCache>
                <c:ptCount val="1"/>
                <c:pt idx="0">
                  <c:v>Serie de Tendencia-Ciclo</c:v>
                </c:pt>
              </c:strCache>
            </c:strRef>
          </c:tx>
          <c:spPr>
            <a:ln w="12700">
              <a:solidFill>
                <a:schemeClr val="tx2">
                  <a:lumMod val="75000"/>
                </a:schemeClr>
              </a:solidFill>
              <a:prstDash val="solid"/>
            </a:ln>
            <a:effectLst/>
          </c:spPr>
          <c:marker>
            <c:symbol val="none"/>
          </c:marker>
          <c:cat>
            <c:multiLvlStrRef>
              <c:f>datos!$A$5:$B$86</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2016</c:v>
                  </c:pt>
                  <c:pt idx="12">
                    <c:v>2017</c:v>
                  </c:pt>
                  <c:pt idx="24">
                    <c:v>2018</c:v>
                  </c:pt>
                  <c:pt idx="36">
                    <c:v>2019</c:v>
                  </c:pt>
                  <c:pt idx="48">
                    <c:v>2020</c:v>
                  </c:pt>
                  <c:pt idx="60">
                    <c:v>2021</c:v>
                  </c:pt>
                  <c:pt idx="72">
                    <c:v>2022</c:v>
                  </c:pt>
                </c:lvl>
              </c:multiLvlStrCache>
            </c:multiLvlStrRef>
          </c:cat>
          <c:val>
            <c:numRef>
              <c:f>datos!$T$5:$T$86</c:f>
              <c:numCache>
                <c:formatCode>#,##0.0</c:formatCode>
                <c:ptCount val="82"/>
                <c:pt idx="0">
                  <c:v>2270.471888573461</c:v>
                </c:pt>
                <c:pt idx="1">
                  <c:v>2258.1415525155271</c:v>
                </c:pt>
                <c:pt idx="2">
                  <c:v>2296.0043127320632</c:v>
                </c:pt>
                <c:pt idx="3">
                  <c:v>2371.7704528788181</c:v>
                </c:pt>
                <c:pt idx="4">
                  <c:v>2473.6561562928218</c:v>
                </c:pt>
                <c:pt idx="5">
                  <c:v>2574.172596191484</c:v>
                </c:pt>
                <c:pt idx="6">
                  <c:v>2659.890841653244</c:v>
                </c:pt>
                <c:pt idx="7">
                  <c:v>2735.8452136607812</c:v>
                </c:pt>
                <c:pt idx="8">
                  <c:v>2825.16397568502</c:v>
                </c:pt>
                <c:pt idx="9">
                  <c:v>2942.52160853757</c:v>
                </c:pt>
                <c:pt idx="10">
                  <c:v>3080.71518954168</c:v>
                </c:pt>
                <c:pt idx="11">
                  <c:v>3209.3126421193501</c:v>
                </c:pt>
                <c:pt idx="12">
                  <c:v>3294.2554789762698</c:v>
                </c:pt>
                <c:pt idx="13">
                  <c:v>3311.9453572439197</c:v>
                </c:pt>
                <c:pt idx="14">
                  <c:v>3265.5376004084401</c:v>
                </c:pt>
                <c:pt idx="15">
                  <c:v>3190.91258098346</c:v>
                </c:pt>
                <c:pt idx="16">
                  <c:v>3131.9882441393802</c:v>
                </c:pt>
                <c:pt idx="17">
                  <c:v>3135.3486755577001</c:v>
                </c:pt>
                <c:pt idx="18">
                  <c:v>3234.4387071869396</c:v>
                </c:pt>
                <c:pt idx="19">
                  <c:v>3408.4937791493799</c:v>
                </c:pt>
                <c:pt idx="20">
                  <c:v>3615.2814592507002</c:v>
                </c:pt>
                <c:pt idx="21">
                  <c:v>3821.7916367043999</c:v>
                </c:pt>
                <c:pt idx="22">
                  <c:v>4001.7911303776</c:v>
                </c:pt>
                <c:pt idx="23">
                  <c:v>4138.5334006131998</c:v>
                </c:pt>
                <c:pt idx="24">
                  <c:v>4242.8618739625799</c:v>
                </c:pt>
                <c:pt idx="25">
                  <c:v>4335.6483875803497</c:v>
                </c:pt>
                <c:pt idx="26">
                  <c:v>4428.9628971013699</c:v>
                </c:pt>
                <c:pt idx="27">
                  <c:v>4515.0915761922206</c:v>
                </c:pt>
                <c:pt idx="28">
                  <c:v>4588.97595138005</c:v>
                </c:pt>
                <c:pt idx="29">
                  <c:v>4646.16537111261</c:v>
                </c:pt>
                <c:pt idx="30">
                  <c:v>4672.5305221744602</c:v>
                </c:pt>
                <c:pt idx="31">
                  <c:v>4652.7643923577198</c:v>
                </c:pt>
                <c:pt idx="32">
                  <c:v>4579.5912216696297</c:v>
                </c:pt>
                <c:pt idx="33">
                  <c:v>4450.1468315408201</c:v>
                </c:pt>
                <c:pt idx="34">
                  <c:v>4299.9229707958702</c:v>
                </c:pt>
                <c:pt idx="35">
                  <c:v>4188.3269356907404</c:v>
                </c:pt>
                <c:pt idx="36">
                  <c:v>4150.08250683192</c:v>
                </c:pt>
                <c:pt idx="37">
                  <c:v>4175.41660187057</c:v>
                </c:pt>
                <c:pt idx="38">
                  <c:v>4231.6226974507499</c:v>
                </c:pt>
                <c:pt idx="39">
                  <c:v>4263.6236288770997</c:v>
                </c:pt>
                <c:pt idx="40">
                  <c:v>4219.0119776152696</c:v>
                </c:pt>
                <c:pt idx="41">
                  <c:v>4090.2872242485701</c:v>
                </c:pt>
                <c:pt idx="42">
                  <c:v>3910.4204337177298</c:v>
                </c:pt>
                <c:pt idx="43">
                  <c:v>3745.5256040219101</c:v>
                </c:pt>
                <c:pt idx="44">
                  <c:v>3657.0448241410804</c:v>
                </c:pt>
                <c:pt idx="45">
                  <c:v>3658.9351742142799</c:v>
                </c:pt>
                <c:pt idx="46">
                  <c:v>3702.0170988220398</c:v>
                </c:pt>
                <c:pt idx="47">
                  <c:v>3714.45526437735</c:v>
                </c:pt>
                <c:pt idx="48">
                  <c:v>3635.8228390808599</c:v>
                </c:pt>
                <c:pt idx="49">
                  <c:v>3454.4989421102</c:v>
                </c:pt>
                <c:pt idx="50">
                  <c:v>3205.7864330044399</c:v>
                </c:pt>
                <c:pt idx="51">
                  <c:v>2218.3932027152241</c:v>
                </c:pt>
                <c:pt idx="52">
                  <c:v>2062.8406619919319</c:v>
                </c:pt>
                <c:pt idx="53">
                  <c:v>2004.8043461194261</c:v>
                </c:pt>
                <c:pt idx="54">
                  <c:v>2054.874096629761</c:v>
                </c:pt>
                <c:pt idx="55">
                  <c:v>2196.2065404286659</c:v>
                </c:pt>
                <c:pt idx="56">
                  <c:v>2384.0095439348252</c:v>
                </c:pt>
                <c:pt idx="57">
                  <c:v>2580.9791871839138</c:v>
                </c:pt>
                <c:pt idx="58">
                  <c:v>2766.2682440686981</c:v>
                </c:pt>
                <c:pt idx="59">
                  <c:v>2935.373325881852</c:v>
                </c:pt>
                <c:pt idx="60">
                  <c:v>3100.1731810774172</c:v>
                </c:pt>
                <c:pt idx="61">
                  <c:v>3282.0937375058402</c:v>
                </c:pt>
                <c:pt idx="62">
                  <c:v>3503.1408372833002</c:v>
                </c:pt>
                <c:pt idx="63">
                  <c:v>3759.9973736004204</c:v>
                </c:pt>
                <c:pt idx="64">
                  <c:v>4032.3825049322504</c:v>
                </c:pt>
                <c:pt idx="65">
                  <c:v>4285.0785292147002</c:v>
                </c:pt>
                <c:pt idx="66">
                  <c:v>4489.9248823718799</c:v>
                </c:pt>
                <c:pt idx="67">
                  <c:v>4625.5210044011301</c:v>
                </c:pt>
                <c:pt idx="68">
                  <c:v>4690.4365468303695</c:v>
                </c:pt>
                <c:pt idx="69">
                  <c:v>4711.2263043210996</c:v>
                </c:pt>
                <c:pt idx="70">
                  <c:v>4744.40846745811</c:v>
                </c:pt>
                <c:pt idx="71">
                  <c:v>4859.6912463088102</c:v>
                </c:pt>
                <c:pt idx="72">
                  <c:v>5096.7315796652701</c:v>
                </c:pt>
                <c:pt idx="73">
                  <c:v>5479.89626173124</c:v>
                </c:pt>
                <c:pt idx="74">
                  <c:v>5974.8666917847604</c:v>
                </c:pt>
                <c:pt idx="75">
                  <c:v>6498.2575364653203</c:v>
                </c:pt>
                <c:pt idx="76">
                  <c:v>6933.7617177878901</c:v>
                </c:pt>
                <c:pt idx="77">
                  <c:v>7178.1449323791794</c:v>
                </c:pt>
                <c:pt idx="78">
                  <c:v>7189.3932392341703</c:v>
                </c:pt>
                <c:pt idx="79">
                  <c:v>6997.6809586359195</c:v>
                </c:pt>
                <c:pt idx="80">
                  <c:v>6710.7121224304192</c:v>
                </c:pt>
                <c:pt idx="81">
                  <c:v>6446.0546862308402</c:v>
                </c:pt>
              </c:numCache>
            </c:numRef>
          </c:val>
          <c:smooth val="0"/>
          <c:extLst>
            <c:ext xmlns:c16="http://schemas.microsoft.com/office/drawing/2014/chart" uri="{C3380CC4-5D6E-409C-BE32-E72D297353CC}">
              <c16:uniqueId val="{00000001-AE7A-4C37-B70D-195408D407AF}"/>
            </c:ext>
          </c:extLst>
        </c:ser>
        <c:dLbls>
          <c:showLegendKey val="0"/>
          <c:showVal val="0"/>
          <c:showCatName val="0"/>
          <c:showSerName val="0"/>
          <c:showPercent val="0"/>
          <c:showBubbleSize val="0"/>
        </c:dLbls>
        <c:smooth val="0"/>
        <c:axId val="530005240"/>
        <c:axId val="530005632"/>
      </c:lineChart>
      <c:catAx>
        <c:axId val="53000524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530005632"/>
        <c:crosses val="autoZero"/>
        <c:auto val="1"/>
        <c:lblAlgn val="ctr"/>
        <c:lblOffset val="0"/>
        <c:tickLblSkip val="1"/>
        <c:tickMarkSkip val="1"/>
        <c:noMultiLvlLbl val="1"/>
      </c:catAx>
      <c:valAx>
        <c:axId val="530005632"/>
        <c:scaling>
          <c:orientation val="minMax"/>
          <c:max val="9300"/>
          <c:min val="14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530005240"/>
        <c:crosses val="max"/>
        <c:crossBetween val="between"/>
        <c:majorUnit val="1540"/>
        <c:minorUnit val="1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3.4983764646918849E-3"/>
          <c:y val="0.93832860922146633"/>
          <c:w val="0.99007466307421321"/>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10.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11.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12.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2.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3.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4.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5.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6.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7.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8.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9.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41B21-21F1-4A1D-B314-AA7D62712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bbalanza6</Template>
  <TotalTime>316</TotalTime>
  <Pages>10</Pages>
  <Words>1944</Words>
  <Characters>10696</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Comunicado de Prensa. Balanza Comercial de Mercancías de México</vt:lpstr>
    </vt:vector>
  </TitlesOfParts>
  <Company>INEGI</Company>
  <LinksUpToDate>false</LinksUpToDate>
  <CharactersWithSpaces>12615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Balanza Comercial de Mercancías de México</dc:title>
  <dc:creator>INEGI</dc:creator>
  <cp:keywords>BALANZA SALDO EXPORTACIONES IMPORTACIONES</cp:keywords>
  <cp:lastModifiedBy>GUILLEN MEDINA MOISES</cp:lastModifiedBy>
  <cp:revision>133</cp:revision>
  <cp:lastPrinted>2022-09-26T17:51:00Z</cp:lastPrinted>
  <dcterms:created xsi:type="dcterms:W3CDTF">2022-09-26T17:43:00Z</dcterms:created>
  <dcterms:modified xsi:type="dcterms:W3CDTF">2022-11-25T23:26:00Z</dcterms:modified>
  <cp:category>ESTADÍSTICAS DE COMERCIO EXTERIOR</cp:category>
</cp:coreProperties>
</file>