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16C40" w14:textId="5CFB53DE" w:rsidR="002D5BEB" w:rsidRDefault="002D5BEB" w:rsidP="00A056F0">
      <w:pPr>
        <w:pStyle w:val="Default"/>
        <w:ind w:right="21"/>
        <w:jc w:val="center"/>
        <w:rPr>
          <w:b/>
          <w:bCs/>
          <w:color w:val="auto"/>
        </w:rPr>
      </w:pPr>
    </w:p>
    <w:p w14:paraId="0A71DF09" w14:textId="28475399" w:rsidR="00FB0F70" w:rsidRDefault="001D1D42" w:rsidP="00A056F0">
      <w:pPr>
        <w:pStyle w:val="Default"/>
        <w:ind w:right="21"/>
        <w:jc w:val="center"/>
        <w:rPr>
          <w:b/>
          <w:bCs/>
          <w:color w:val="auto"/>
        </w:rPr>
      </w:pPr>
      <w:bookmarkStart w:id="0" w:name="_GoBack"/>
      <w:bookmarkEnd w:id="0"/>
      <w:r w:rsidRPr="001D1D42">
        <w:rPr>
          <w:b/>
          <w:bCs/>
          <w:color w:val="auto"/>
        </w:rPr>
        <w:t>CENSO NACIONAL DE GOBIERNO</w:t>
      </w:r>
      <w:r w:rsidR="00AC4895">
        <w:rPr>
          <w:b/>
          <w:bCs/>
          <w:color w:val="auto"/>
        </w:rPr>
        <w:t xml:space="preserve"> FEDERAL </w:t>
      </w:r>
      <w:r>
        <w:rPr>
          <w:b/>
          <w:bCs/>
          <w:color w:val="auto"/>
        </w:rPr>
        <w:t>(CN</w:t>
      </w:r>
      <w:r w:rsidR="00AC4895">
        <w:rPr>
          <w:b/>
          <w:bCs/>
          <w:color w:val="auto"/>
        </w:rPr>
        <w:t>GF</w:t>
      </w:r>
      <w:r>
        <w:rPr>
          <w:b/>
          <w:bCs/>
          <w:color w:val="auto"/>
        </w:rPr>
        <w:t>)</w:t>
      </w:r>
      <w:r w:rsidR="00454C8A">
        <w:rPr>
          <w:b/>
          <w:bCs/>
          <w:color w:val="auto"/>
        </w:rPr>
        <w:t xml:space="preserve"> 2021</w:t>
      </w:r>
    </w:p>
    <w:p w14:paraId="0CB811B3" w14:textId="65960E67" w:rsidR="002D5BEB" w:rsidRDefault="002D5BEB" w:rsidP="00462B4C">
      <w:pPr>
        <w:spacing w:after="0" w:line="240" w:lineRule="auto"/>
        <w:ind w:right="284"/>
        <w:jc w:val="both"/>
        <w:rPr>
          <w:rFonts w:ascii="Arial" w:hAnsi="Arial" w:cs="Arial"/>
          <w:b/>
          <w:bCs/>
          <w:color w:val="FF0000"/>
        </w:rPr>
      </w:pPr>
    </w:p>
    <w:p w14:paraId="48B37822" w14:textId="77777777" w:rsidR="000727D9" w:rsidRPr="001D1D42" w:rsidRDefault="000727D9" w:rsidP="00462B4C">
      <w:pPr>
        <w:spacing w:after="0" w:line="240" w:lineRule="auto"/>
        <w:ind w:right="284"/>
        <w:jc w:val="both"/>
        <w:rPr>
          <w:rFonts w:ascii="Arial" w:hAnsi="Arial" w:cs="Arial"/>
          <w:b/>
          <w:bCs/>
          <w:color w:val="FF0000"/>
        </w:rPr>
      </w:pPr>
    </w:p>
    <w:p w14:paraId="44570DCB" w14:textId="77BF3A6C" w:rsidR="00454C8A" w:rsidRPr="00343DAF" w:rsidRDefault="004D6274" w:rsidP="00F63C72">
      <w:pPr>
        <w:pStyle w:val="Prrafodelista1"/>
        <w:numPr>
          <w:ilvl w:val="0"/>
          <w:numId w:val="1"/>
        </w:numPr>
        <w:spacing w:after="100"/>
        <w:ind w:left="568" w:right="590" w:hanging="284"/>
        <w:jc w:val="both"/>
        <w:rPr>
          <w:rFonts w:ascii="Arial" w:hAnsi="Arial" w:cs="Arial"/>
          <w:sz w:val="24"/>
          <w:szCs w:val="24"/>
        </w:rPr>
      </w:pPr>
      <w:r>
        <w:rPr>
          <w:rFonts w:ascii="Arial" w:hAnsi="Arial" w:cs="Arial"/>
          <w:sz w:val="24"/>
          <w:szCs w:val="24"/>
        </w:rPr>
        <w:t>Al cierre de</w:t>
      </w:r>
      <w:r w:rsidRPr="00343DAF">
        <w:rPr>
          <w:rFonts w:ascii="Arial" w:hAnsi="Arial" w:cs="Arial"/>
          <w:sz w:val="24"/>
          <w:szCs w:val="24"/>
        </w:rPr>
        <w:t xml:space="preserve"> </w:t>
      </w:r>
      <w:r w:rsidR="00454C8A" w:rsidRPr="00343DAF">
        <w:rPr>
          <w:rFonts w:ascii="Arial" w:hAnsi="Arial" w:cs="Arial"/>
          <w:sz w:val="24"/>
          <w:szCs w:val="24"/>
        </w:rPr>
        <w:t>2020</w:t>
      </w:r>
      <w:r w:rsidR="000727D9">
        <w:rPr>
          <w:rFonts w:ascii="Arial" w:hAnsi="Arial" w:cs="Arial"/>
          <w:sz w:val="24"/>
          <w:szCs w:val="24"/>
        </w:rPr>
        <w:t xml:space="preserve"> había</w:t>
      </w:r>
      <w:r w:rsidR="00454C8A" w:rsidRPr="00343DAF">
        <w:rPr>
          <w:rFonts w:ascii="Arial" w:hAnsi="Arial" w:cs="Arial"/>
          <w:sz w:val="24"/>
          <w:szCs w:val="24"/>
        </w:rPr>
        <w:t xml:space="preserve"> </w:t>
      </w:r>
      <w:r w:rsidR="00343DAF" w:rsidRPr="00343DAF">
        <w:rPr>
          <w:rFonts w:ascii="Arial" w:hAnsi="Arial" w:cs="Arial"/>
          <w:sz w:val="24"/>
          <w:szCs w:val="24"/>
        </w:rPr>
        <w:t xml:space="preserve">305 titulares al frente de las instituciones de la Administración Pública Federal. Del total, 68.5% fueron hombres y 20.0% mujeres. </w:t>
      </w:r>
      <w:r w:rsidR="006D6264">
        <w:rPr>
          <w:rFonts w:ascii="Arial" w:hAnsi="Arial" w:cs="Arial"/>
          <w:sz w:val="24"/>
          <w:szCs w:val="24"/>
        </w:rPr>
        <w:t>E</w:t>
      </w:r>
      <w:r w:rsidR="001070AE">
        <w:rPr>
          <w:rFonts w:ascii="Arial" w:hAnsi="Arial" w:cs="Arial"/>
          <w:sz w:val="24"/>
          <w:szCs w:val="24"/>
        </w:rPr>
        <w:t>n promedio</w:t>
      </w:r>
      <w:r w:rsidR="00382DB2">
        <w:rPr>
          <w:rFonts w:ascii="Arial" w:hAnsi="Arial" w:cs="Arial"/>
          <w:sz w:val="24"/>
          <w:szCs w:val="24"/>
        </w:rPr>
        <w:t>,</w:t>
      </w:r>
      <w:r w:rsidR="006D6264">
        <w:rPr>
          <w:rFonts w:ascii="Arial" w:hAnsi="Arial" w:cs="Arial"/>
          <w:sz w:val="24"/>
          <w:szCs w:val="24"/>
        </w:rPr>
        <w:t xml:space="preserve"> l</w:t>
      </w:r>
      <w:r w:rsidR="00343DAF" w:rsidRPr="00343DAF">
        <w:rPr>
          <w:rFonts w:ascii="Arial" w:hAnsi="Arial" w:cs="Arial"/>
          <w:sz w:val="24"/>
          <w:szCs w:val="24"/>
        </w:rPr>
        <w:t>os hombres</w:t>
      </w:r>
      <w:r w:rsidR="00382DB2">
        <w:rPr>
          <w:rFonts w:ascii="Arial" w:hAnsi="Arial" w:cs="Arial"/>
          <w:sz w:val="24"/>
          <w:szCs w:val="24"/>
        </w:rPr>
        <w:t xml:space="preserve"> titulares</w:t>
      </w:r>
      <w:r w:rsidR="00343DAF" w:rsidRPr="00343DAF">
        <w:rPr>
          <w:rFonts w:ascii="Arial" w:hAnsi="Arial" w:cs="Arial"/>
          <w:sz w:val="24"/>
          <w:szCs w:val="24"/>
        </w:rPr>
        <w:t xml:space="preserve"> percibieron</w:t>
      </w:r>
      <w:r w:rsidR="001070AE">
        <w:rPr>
          <w:rFonts w:ascii="Arial" w:hAnsi="Arial" w:cs="Arial"/>
          <w:sz w:val="24"/>
          <w:szCs w:val="24"/>
        </w:rPr>
        <w:t xml:space="preserve"> </w:t>
      </w:r>
      <w:r w:rsidR="00343DAF" w:rsidRPr="00343DAF">
        <w:rPr>
          <w:rFonts w:ascii="Arial" w:hAnsi="Arial" w:cs="Arial"/>
          <w:sz w:val="24"/>
          <w:szCs w:val="24"/>
        </w:rPr>
        <w:t>135</w:t>
      </w:r>
      <w:r w:rsidR="00E420C0">
        <w:rPr>
          <w:rFonts w:ascii="Arial" w:hAnsi="Arial" w:cs="Arial"/>
          <w:sz w:val="24"/>
          <w:szCs w:val="24"/>
        </w:rPr>
        <w:t>,</w:t>
      </w:r>
      <w:r w:rsidR="00343DAF" w:rsidRPr="00343DAF">
        <w:rPr>
          <w:rFonts w:ascii="Arial" w:hAnsi="Arial" w:cs="Arial"/>
          <w:sz w:val="24"/>
          <w:szCs w:val="24"/>
        </w:rPr>
        <w:t xml:space="preserve">440.5 pesos, mientras que las mujeres </w:t>
      </w:r>
      <w:r w:rsidR="00CA6D39">
        <w:rPr>
          <w:rFonts w:ascii="Arial" w:hAnsi="Arial" w:cs="Arial"/>
          <w:sz w:val="24"/>
          <w:szCs w:val="24"/>
        </w:rPr>
        <w:t xml:space="preserve">que ocuparon el mismo nivel </w:t>
      </w:r>
      <w:r w:rsidR="00343DAF" w:rsidRPr="00343DAF">
        <w:rPr>
          <w:rFonts w:ascii="Arial" w:hAnsi="Arial" w:cs="Arial"/>
          <w:sz w:val="24"/>
          <w:szCs w:val="24"/>
        </w:rPr>
        <w:t>percibieron 140</w:t>
      </w:r>
      <w:r w:rsidR="00E420C0">
        <w:rPr>
          <w:rFonts w:ascii="Arial" w:hAnsi="Arial" w:cs="Arial"/>
          <w:sz w:val="24"/>
          <w:szCs w:val="24"/>
        </w:rPr>
        <w:t>,</w:t>
      </w:r>
      <w:r w:rsidR="00343DAF" w:rsidRPr="00343DAF">
        <w:rPr>
          <w:rFonts w:ascii="Arial" w:hAnsi="Arial" w:cs="Arial"/>
          <w:sz w:val="24"/>
          <w:szCs w:val="24"/>
        </w:rPr>
        <w:t>982.7 pesos.</w:t>
      </w:r>
    </w:p>
    <w:p w14:paraId="04B8616E" w14:textId="34E11933" w:rsidR="00454C8A" w:rsidRPr="008C0041" w:rsidRDefault="008C0041" w:rsidP="00F63C72">
      <w:pPr>
        <w:pStyle w:val="Prrafodelista1"/>
        <w:numPr>
          <w:ilvl w:val="0"/>
          <w:numId w:val="1"/>
        </w:numPr>
        <w:spacing w:after="100"/>
        <w:ind w:left="568" w:right="590" w:hanging="284"/>
        <w:jc w:val="both"/>
        <w:rPr>
          <w:rFonts w:ascii="Arial" w:hAnsi="Arial" w:cs="Arial"/>
          <w:sz w:val="24"/>
          <w:szCs w:val="24"/>
        </w:rPr>
      </w:pPr>
      <w:r w:rsidRPr="008C0041">
        <w:rPr>
          <w:rFonts w:ascii="Arial" w:hAnsi="Arial" w:cs="Arial"/>
          <w:sz w:val="24"/>
          <w:szCs w:val="24"/>
        </w:rPr>
        <w:t>Durante 2020, el presupuesto total ejercido por las instituciones de la Administración Pública Federal fue de 3</w:t>
      </w:r>
      <w:r w:rsidR="00E420C0">
        <w:rPr>
          <w:rFonts w:ascii="Arial" w:hAnsi="Arial" w:cs="Arial"/>
          <w:sz w:val="24"/>
          <w:szCs w:val="24"/>
        </w:rPr>
        <w:t>,</w:t>
      </w:r>
      <w:r w:rsidRPr="008C0041">
        <w:rPr>
          <w:rFonts w:ascii="Arial" w:hAnsi="Arial" w:cs="Arial"/>
          <w:sz w:val="24"/>
          <w:szCs w:val="24"/>
        </w:rPr>
        <w:t>410</w:t>
      </w:r>
      <w:r w:rsidR="00E420C0">
        <w:rPr>
          <w:rFonts w:ascii="Arial" w:hAnsi="Arial" w:cs="Arial"/>
          <w:sz w:val="24"/>
          <w:szCs w:val="24"/>
        </w:rPr>
        <w:t>,</w:t>
      </w:r>
      <w:r w:rsidRPr="008C0041">
        <w:rPr>
          <w:rFonts w:ascii="Arial" w:hAnsi="Arial" w:cs="Arial"/>
          <w:sz w:val="24"/>
          <w:szCs w:val="24"/>
        </w:rPr>
        <w:t xml:space="preserve">635 </w:t>
      </w:r>
      <w:r w:rsidR="008F6E77">
        <w:rPr>
          <w:rFonts w:ascii="Arial" w:hAnsi="Arial" w:cs="Arial"/>
          <w:sz w:val="24"/>
          <w:szCs w:val="24"/>
        </w:rPr>
        <w:t xml:space="preserve">millones de </w:t>
      </w:r>
      <w:r w:rsidRPr="008C0041">
        <w:rPr>
          <w:rFonts w:ascii="Arial" w:hAnsi="Arial" w:cs="Arial"/>
          <w:sz w:val="24"/>
          <w:szCs w:val="24"/>
        </w:rPr>
        <w:t>pesos</w:t>
      </w:r>
      <w:r w:rsidR="00733D03">
        <w:rPr>
          <w:rFonts w:ascii="Arial" w:hAnsi="Arial" w:cs="Arial"/>
          <w:sz w:val="24"/>
          <w:szCs w:val="24"/>
        </w:rPr>
        <w:t>,</w:t>
      </w:r>
      <w:r w:rsidR="00CA125C">
        <w:rPr>
          <w:rFonts w:ascii="Arial" w:hAnsi="Arial" w:cs="Arial"/>
          <w:sz w:val="24"/>
          <w:szCs w:val="24"/>
        </w:rPr>
        <w:t xml:space="preserve"> </w:t>
      </w:r>
      <w:r w:rsidR="00077E9C">
        <w:rPr>
          <w:rFonts w:ascii="Arial" w:hAnsi="Arial" w:cs="Arial"/>
          <w:sz w:val="24"/>
          <w:szCs w:val="24"/>
        </w:rPr>
        <w:t xml:space="preserve">lo que representa </w:t>
      </w:r>
      <w:r w:rsidR="00CA125C">
        <w:rPr>
          <w:rFonts w:ascii="Arial" w:hAnsi="Arial" w:cs="Arial"/>
          <w:sz w:val="24"/>
          <w:szCs w:val="24"/>
        </w:rPr>
        <w:t xml:space="preserve">un aumento </w:t>
      </w:r>
      <w:r w:rsidRPr="008C0041">
        <w:rPr>
          <w:rFonts w:ascii="Arial" w:hAnsi="Arial" w:cs="Arial"/>
          <w:sz w:val="24"/>
          <w:szCs w:val="24"/>
        </w:rPr>
        <w:t>de 7.0%</w:t>
      </w:r>
      <w:r w:rsidR="00077E9C">
        <w:rPr>
          <w:rFonts w:ascii="Arial" w:hAnsi="Arial" w:cs="Arial"/>
          <w:sz w:val="24"/>
          <w:szCs w:val="24"/>
        </w:rPr>
        <w:t xml:space="preserve"> comparado con 2019</w:t>
      </w:r>
      <w:r w:rsidRPr="008C0041">
        <w:rPr>
          <w:rFonts w:ascii="Arial" w:hAnsi="Arial" w:cs="Arial"/>
          <w:sz w:val="24"/>
          <w:szCs w:val="24"/>
        </w:rPr>
        <w:t>.</w:t>
      </w:r>
      <w:r w:rsidR="00077E9C">
        <w:rPr>
          <w:rFonts w:ascii="Arial" w:hAnsi="Arial" w:cs="Arial"/>
          <w:sz w:val="24"/>
          <w:szCs w:val="24"/>
        </w:rPr>
        <w:t xml:space="preserve"> L</w:t>
      </w:r>
      <w:r w:rsidRPr="008C0041">
        <w:rPr>
          <w:rFonts w:ascii="Arial" w:hAnsi="Arial" w:cs="Arial"/>
          <w:sz w:val="24"/>
          <w:szCs w:val="24"/>
        </w:rPr>
        <w:t>a función que tuvo mayor incremento</w:t>
      </w:r>
      <w:r w:rsidR="008C276D">
        <w:rPr>
          <w:rFonts w:ascii="Arial" w:hAnsi="Arial" w:cs="Arial"/>
          <w:sz w:val="24"/>
          <w:szCs w:val="24"/>
        </w:rPr>
        <w:t xml:space="preserve"> de presupuesto ejercido</w:t>
      </w:r>
      <w:r w:rsidRPr="008C0041">
        <w:rPr>
          <w:rFonts w:ascii="Arial" w:hAnsi="Arial" w:cs="Arial"/>
          <w:sz w:val="24"/>
          <w:szCs w:val="24"/>
        </w:rPr>
        <w:t xml:space="preserve"> fue </w:t>
      </w:r>
      <w:r w:rsidRPr="000727D9">
        <w:rPr>
          <w:rFonts w:ascii="Arial" w:hAnsi="Arial" w:cs="Arial"/>
          <w:i/>
          <w:sz w:val="24"/>
          <w:szCs w:val="24"/>
        </w:rPr>
        <w:t>Turismo</w:t>
      </w:r>
      <w:r w:rsidRPr="008C0041">
        <w:rPr>
          <w:rFonts w:ascii="Arial" w:hAnsi="Arial" w:cs="Arial"/>
          <w:sz w:val="24"/>
          <w:szCs w:val="24"/>
        </w:rPr>
        <w:t xml:space="preserve"> y la función con mayor decremento fue </w:t>
      </w:r>
      <w:r w:rsidRPr="00E420C0">
        <w:rPr>
          <w:rFonts w:ascii="Arial" w:hAnsi="Arial" w:cs="Arial"/>
          <w:i/>
          <w:iCs/>
          <w:sz w:val="24"/>
          <w:szCs w:val="24"/>
        </w:rPr>
        <w:t>Asuntos indígenas</w:t>
      </w:r>
      <w:r w:rsidRPr="008C0041">
        <w:rPr>
          <w:rFonts w:ascii="Arial" w:hAnsi="Arial" w:cs="Arial"/>
          <w:sz w:val="24"/>
          <w:szCs w:val="24"/>
        </w:rPr>
        <w:t>.</w:t>
      </w:r>
    </w:p>
    <w:p w14:paraId="1A057DD7" w14:textId="58A8C0DA" w:rsidR="00FC3AEC" w:rsidRPr="00FC3AEC" w:rsidRDefault="00FC3AEC" w:rsidP="00FC3AEC">
      <w:pPr>
        <w:pStyle w:val="Prrafodelista"/>
        <w:numPr>
          <w:ilvl w:val="0"/>
          <w:numId w:val="1"/>
        </w:numPr>
        <w:ind w:left="567" w:right="709" w:hanging="283"/>
        <w:jc w:val="both"/>
        <w:rPr>
          <w:rFonts w:ascii="Arial" w:eastAsia="Times New Roman" w:hAnsi="Arial" w:cs="Arial"/>
          <w:sz w:val="24"/>
          <w:szCs w:val="24"/>
        </w:rPr>
      </w:pPr>
      <w:r w:rsidRPr="00FC3AEC">
        <w:rPr>
          <w:rFonts w:ascii="Arial" w:eastAsia="Times New Roman" w:hAnsi="Arial" w:cs="Arial"/>
          <w:sz w:val="24"/>
          <w:szCs w:val="24"/>
        </w:rPr>
        <w:t xml:space="preserve">Comparado con 2019, el número de auditorías realizadas disminuyó 39.4%; la cantidad de denuncias recibidas disminuyó 32.0%; </w:t>
      </w:r>
      <w:r w:rsidR="00AC1850" w:rsidRPr="00FC3AEC">
        <w:rPr>
          <w:rFonts w:ascii="Arial" w:eastAsia="Times New Roman" w:hAnsi="Arial" w:cs="Arial"/>
          <w:sz w:val="24"/>
          <w:szCs w:val="24"/>
        </w:rPr>
        <w:t>las investigaciones iniciadas por</w:t>
      </w:r>
      <w:r w:rsidR="00AC1850">
        <w:rPr>
          <w:rFonts w:ascii="Arial" w:eastAsia="Times New Roman" w:hAnsi="Arial" w:cs="Arial"/>
          <w:sz w:val="24"/>
          <w:szCs w:val="24"/>
        </w:rPr>
        <w:t xml:space="preserve"> la</w:t>
      </w:r>
      <w:r w:rsidR="00AC1850" w:rsidRPr="00FC3AEC">
        <w:rPr>
          <w:rFonts w:ascii="Arial" w:eastAsia="Times New Roman" w:hAnsi="Arial" w:cs="Arial"/>
          <w:sz w:val="24"/>
          <w:szCs w:val="24"/>
        </w:rPr>
        <w:t xml:space="preserve"> presunta responsabilidad de faltas administrativas disminuyeron</w:t>
      </w:r>
      <w:r w:rsidRPr="00FC3AEC">
        <w:rPr>
          <w:rFonts w:ascii="Arial" w:eastAsia="Times New Roman" w:hAnsi="Arial" w:cs="Arial"/>
          <w:sz w:val="24"/>
          <w:szCs w:val="24"/>
        </w:rPr>
        <w:t xml:space="preserve"> 23.0%</w:t>
      </w:r>
      <w:r w:rsidR="00897800">
        <w:rPr>
          <w:rFonts w:ascii="Arial" w:eastAsia="Times New Roman" w:hAnsi="Arial" w:cs="Arial"/>
          <w:sz w:val="24"/>
          <w:szCs w:val="24"/>
        </w:rPr>
        <w:t>,</w:t>
      </w:r>
      <w:r w:rsidR="000A3274">
        <w:rPr>
          <w:rFonts w:ascii="Arial" w:eastAsia="Times New Roman" w:hAnsi="Arial" w:cs="Arial"/>
          <w:sz w:val="24"/>
          <w:szCs w:val="24"/>
        </w:rPr>
        <w:t xml:space="preserve"> y la cantidad de servidoras y servidores públicos denunciados ante el Ministerio Público por la presunta comisión de algún delito en el ejercicio de sus funciones aumentó 627.3%.</w:t>
      </w:r>
    </w:p>
    <w:p w14:paraId="46E05D5F" w14:textId="77777777" w:rsidR="00661890" w:rsidRDefault="00661890" w:rsidP="00A056F0">
      <w:pPr>
        <w:spacing w:after="0" w:line="240" w:lineRule="auto"/>
        <w:jc w:val="both"/>
        <w:rPr>
          <w:rFonts w:ascii="Arial" w:hAnsi="Arial" w:cs="Arial"/>
          <w:sz w:val="24"/>
          <w:szCs w:val="24"/>
        </w:rPr>
      </w:pPr>
    </w:p>
    <w:p w14:paraId="52960CE9" w14:textId="68059A82" w:rsidR="009B430B" w:rsidRDefault="00462B4C" w:rsidP="00A056F0">
      <w:pPr>
        <w:spacing w:after="0" w:line="240" w:lineRule="auto"/>
        <w:jc w:val="both"/>
        <w:rPr>
          <w:rFonts w:ascii="Arial" w:hAnsi="Arial" w:cs="Arial"/>
          <w:sz w:val="24"/>
          <w:szCs w:val="24"/>
        </w:rPr>
      </w:pPr>
      <w:r w:rsidRPr="009B5EC5">
        <w:rPr>
          <w:rFonts w:ascii="Arial" w:hAnsi="Arial" w:cs="Arial"/>
          <w:sz w:val="24"/>
          <w:szCs w:val="24"/>
        </w:rPr>
        <w:t xml:space="preserve">El Instituto Nacional de Estadística y Geografía (INEGI) da a conocer el </w:t>
      </w:r>
      <w:r w:rsidR="001D1D42" w:rsidRPr="009B5EC5">
        <w:rPr>
          <w:rFonts w:ascii="Arial" w:hAnsi="Arial" w:cs="Arial"/>
          <w:sz w:val="24"/>
          <w:szCs w:val="24"/>
        </w:rPr>
        <w:t>Censo Nacional de Gobierno</w:t>
      </w:r>
      <w:r w:rsidR="00AC4895">
        <w:rPr>
          <w:rFonts w:ascii="Arial" w:hAnsi="Arial" w:cs="Arial"/>
          <w:sz w:val="24"/>
          <w:szCs w:val="24"/>
        </w:rPr>
        <w:t xml:space="preserve"> Federal </w:t>
      </w:r>
      <w:r w:rsidR="00BF58D2">
        <w:rPr>
          <w:rFonts w:ascii="Arial" w:hAnsi="Arial" w:cs="Arial"/>
          <w:sz w:val="24"/>
          <w:szCs w:val="24"/>
        </w:rPr>
        <w:t>(CN</w:t>
      </w:r>
      <w:r w:rsidR="00AC4895">
        <w:rPr>
          <w:rFonts w:ascii="Arial" w:hAnsi="Arial" w:cs="Arial"/>
          <w:sz w:val="24"/>
          <w:szCs w:val="24"/>
        </w:rPr>
        <w:t>GF</w:t>
      </w:r>
      <w:r w:rsidR="00BF58D2">
        <w:rPr>
          <w:rFonts w:ascii="Arial" w:hAnsi="Arial" w:cs="Arial"/>
          <w:sz w:val="24"/>
          <w:szCs w:val="24"/>
        </w:rPr>
        <w:t xml:space="preserve">) </w:t>
      </w:r>
      <w:r w:rsidR="001D1D42" w:rsidRPr="009B5EC5">
        <w:rPr>
          <w:rFonts w:ascii="Arial" w:hAnsi="Arial" w:cs="Arial"/>
          <w:sz w:val="24"/>
          <w:szCs w:val="24"/>
        </w:rPr>
        <w:t>2021</w:t>
      </w:r>
      <w:r w:rsidR="008B01AD">
        <w:rPr>
          <w:rFonts w:ascii="Arial" w:hAnsi="Arial" w:cs="Arial"/>
          <w:sz w:val="24"/>
          <w:szCs w:val="24"/>
        </w:rPr>
        <w:t>. Este</w:t>
      </w:r>
      <w:r w:rsidR="00D522EA">
        <w:rPr>
          <w:rFonts w:ascii="Arial" w:hAnsi="Arial" w:cs="Arial"/>
          <w:sz w:val="24"/>
          <w:szCs w:val="24"/>
        </w:rPr>
        <w:t xml:space="preserve"> </w:t>
      </w:r>
      <w:r w:rsidRPr="009B5EC5">
        <w:rPr>
          <w:rFonts w:ascii="Arial" w:hAnsi="Arial" w:cs="Arial"/>
          <w:sz w:val="24"/>
          <w:szCs w:val="24"/>
        </w:rPr>
        <w:t xml:space="preserve">programa estadístico ofrece información sobre la gestión y desempeño </w:t>
      </w:r>
      <w:r w:rsidR="00661890" w:rsidRPr="00661890">
        <w:rPr>
          <w:rFonts w:ascii="Arial" w:hAnsi="Arial" w:cs="Arial"/>
          <w:sz w:val="24"/>
          <w:szCs w:val="24"/>
        </w:rPr>
        <w:t xml:space="preserve">de </w:t>
      </w:r>
      <w:r w:rsidR="00FE60BA">
        <w:rPr>
          <w:rFonts w:ascii="Arial" w:hAnsi="Arial" w:cs="Arial"/>
          <w:sz w:val="24"/>
          <w:szCs w:val="24"/>
        </w:rPr>
        <w:t>294</w:t>
      </w:r>
      <w:r w:rsidR="00661890" w:rsidRPr="00661890">
        <w:rPr>
          <w:rFonts w:ascii="Arial" w:hAnsi="Arial" w:cs="Arial"/>
          <w:sz w:val="24"/>
          <w:szCs w:val="24"/>
        </w:rPr>
        <w:t xml:space="preserve"> instituciones que integran la Administración Pública Federal, </w:t>
      </w:r>
      <w:r w:rsidR="00ED51BC" w:rsidRPr="00ED51BC">
        <w:rPr>
          <w:rFonts w:ascii="Arial" w:hAnsi="Arial" w:cs="Arial"/>
          <w:sz w:val="24"/>
          <w:szCs w:val="24"/>
        </w:rPr>
        <w:t xml:space="preserve">así como de las </w:t>
      </w:r>
      <w:r w:rsidR="00ED51BC">
        <w:rPr>
          <w:rFonts w:ascii="Arial" w:hAnsi="Arial" w:cs="Arial"/>
          <w:sz w:val="24"/>
          <w:szCs w:val="24"/>
        </w:rPr>
        <w:t>dos</w:t>
      </w:r>
      <w:r w:rsidR="00ED51BC" w:rsidRPr="00ED51BC">
        <w:rPr>
          <w:rFonts w:ascii="Arial" w:hAnsi="Arial" w:cs="Arial"/>
          <w:sz w:val="24"/>
          <w:szCs w:val="24"/>
        </w:rPr>
        <w:t xml:space="preserve"> Empresas Productivas del Estado y sus empresas subsidiarias</w:t>
      </w:r>
      <w:r w:rsidR="000A2B8B">
        <w:rPr>
          <w:rFonts w:ascii="Arial" w:hAnsi="Arial" w:cs="Arial"/>
          <w:sz w:val="24"/>
          <w:szCs w:val="24"/>
        </w:rPr>
        <w:t>,</w:t>
      </w:r>
      <w:r w:rsidR="00ED51BC">
        <w:rPr>
          <w:rFonts w:ascii="Arial" w:hAnsi="Arial" w:cs="Arial"/>
          <w:sz w:val="24"/>
          <w:szCs w:val="24"/>
        </w:rPr>
        <w:t xml:space="preserve"> </w:t>
      </w:r>
      <w:r w:rsidR="00661890" w:rsidRPr="00661890">
        <w:rPr>
          <w:rFonts w:ascii="Arial" w:hAnsi="Arial" w:cs="Arial"/>
          <w:sz w:val="24"/>
          <w:szCs w:val="24"/>
        </w:rPr>
        <w:t>específicamente en la función de gobierno, con la finalidad de que esta se vincule con el quehacer gubernamental dentro del proceso de diseño, implementación, monitoreo y evaluación de las políticas públicas de alcance nacional en los referidos temas</w:t>
      </w:r>
      <w:r w:rsidR="00FE60BA">
        <w:rPr>
          <w:rStyle w:val="Refdenotaalpie"/>
          <w:rFonts w:ascii="Arial" w:hAnsi="Arial" w:cs="Arial"/>
          <w:sz w:val="24"/>
          <w:szCs w:val="24"/>
        </w:rPr>
        <w:footnoteReference w:id="1"/>
      </w:r>
      <w:r w:rsidR="002E5E21">
        <w:rPr>
          <w:rFonts w:ascii="Arial" w:hAnsi="Arial" w:cs="Arial"/>
          <w:sz w:val="24"/>
          <w:szCs w:val="24"/>
        </w:rPr>
        <w:t>.</w:t>
      </w:r>
    </w:p>
    <w:p w14:paraId="3CEDDA50" w14:textId="77777777" w:rsidR="00661890" w:rsidRPr="008A73DF" w:rsidRDefault="00661890" w:rsidP="00A056F0">
      <w:pPr>
        <w:spacing w:after="0" w:line="240" w:lineRule="auto"/>
        <w:jc w:val="both"/>
        <w:rPr>
          <w:rFonts w:ascii="Arial" w:hAnsi="Arial" w:cs="Arial"/>
          <w:sz w:val="24"/>
          <w:szCs w:val="24"/>
        </w:rPr>
      </w:pPr>
    </w:p>
    <w:p w14:paraId="744CFBA9" w14:textId="61CF5A61" w:rsidR="0005255F" w:rsidRPr="00377C92" w:rsidRDefault="00BF58D2" w:rsidP="0005255F">
      <w:pPr>
        <w:spacing w:after="0" w:line="240" w:lineRule="auto"/>
        <w:jc w:val="both"/>
        <w:rPr>
          <w:rFonts w:ascii="Arial" w:hAnsi="Arial" w:cs="Arial"/>
          <w:b/>
          <w:smallCaps/>
          <w:sz w:val="24"/>
          <w:szCs w:val="24"/>
        </w:rPr>
      </w:pPr>
      <w:r w:rsidRPr="00377C92">
        <w:rPr>
          <w:rFonts w:ascii="Arial" w:hAnsi="Arial" w:cs="Arial"/>
          <w:b/>
          <w:smallCaps/>
          <w:sz w:val="24"/>
          <w:szCs w:val="24"/>
        </w:rPr>
        <w:t>Principales resultados</w:t>
      </w:r>
    </w:p>
    <w:p w14:paraId="1E449190" w14:textId="77777777" w:rsidR="00835584" w:rsidRDefault="00835584" w:rsidP="0005255F">
      <w:pPr>
        <w:spacing w:after="0" w:line="240" w:lineRule="auto"/>
        <w:jc w:val="both"/>
        <w:rPr>
          <w:rFonts w:ascii="Arial Negrita" w:hAnsi="Arial Negrita" w:cs="Arial"/>
          <w:b/>
          <w:bCs/>
          <w:smallCaps/>
          <w:sz w:val="24"/>
          <w:szCs w:val="24"/>
        </w:rPr>
      </w:pPr>
    </w:p>
    <w:p w14:paraId="0B530DCB" w14:textId="48EC3558" w:rsidR="00593C21" w:rsidRPr="0005255F" w:rsidRDefault="000727D9" w:rsidP="002A0589">
      <w:pPr>
        <w:pStyle w:val="Prrafodelista"/>
        <w:numPr>
          <w:ilvl w:val="0"/>
          <w:numId w:val="21"/>
        </w:numPr>
        <w:spacing w:after="0" w:line="240" w:lineRule="auto"/>
        <w:ind w:left="851" w:hanging="851"/>
        <w:jc w:val="both"/>
        <w:rPr>
          <w:rFonts w:ascii="Arial" w:hAnsi="Arial" w:cs="Arial"/>
          <w:b/>
          <w:smallCaps/>
          <w:sz w:val="24"/>
          <w:szCs w:val="24"/>
        </w:rPr>
      </w:pPr>
      <w:r>
        <w:rPr>
          <w:rFonts w:ascii="Arial Negrita" w:hAnsi="Arial Negrita" w:cs="Arial"/>
          <w:b/>
          <w:bCs/>
          <w:smallCaps/>
          <w:sz w:val="24"/>
          <w:szCs w:val="24"/>
        </w:rPr>
        <w:t>Estructura organizacional y recursos</w:t>
      </w:r>
    </w:p>
    <w:p w14:paraId="4D06225E" w14:textId="479115C2" w:rsidR="00A6519D" w:rsidRDefault="00A6519D" w:rsidP="00593C21">
      <w:pPr>
        <w:spacing w:after="0" w:line="240" w:lineRule="auto"/>
        <w:jc w:val="both"/>
        <w:rPr>
          <w:rFonts w:ascii="Arial" w:hAnsi="Arial" w:cs="Arial"/>
          <w:sz w:val="24"/>
          <w:szCs w:val="24"/>
        </w:rPr>
      </w:pPr>
    </w:p>
    <w:p w14:paraId="23FC8227" w14:textId="77777777" w:rsidR="00835584" w:rsidRPr="008A73DF" w:rsidRDefault="00835584" w:rsidP="00593C21">
      <w:pPr>
        <w:spacing w:after="0" w:line="240" w:lineRule="auto"/>
        <w:jc w:val="both"/>
        <w:rPr>
          <w:rFonts w:ascii="Arial" w:hAnsi="Arial" w:cs="Arial"/>
          <w:sz w:val="24"/>
          <w:szCs w:val="24"/>
        </w:rPr>
      </w:pPr>
    </w:p>
    <w:p w14:paraId="378D6565" w14:textId="7877AE9B" w:rsidR="000727D9" w:rsidRDefault="00661890" w:rsidP="0005255F">
      <w:pPr>
        <w:pStyle w:val="Default"/>
        <w:jc w:val="both"/>
      </w:pPr>
      <w:r w:rsidRPr="00661890">
        <w:t xml:space="preserve">Al cierre de 2020, la estructura orgánica de la Administración Pública Federal </w:t>
      </w:r>
      <w:r w:rsidR="002E3D76">
        <w:t>se conformó por</w:t>
      </w:r>
      <w:r w:rsidRPr="00661890">
        <w:t xml:space="preserve"> 310</w:t>
      </w:r>
      <w:r w:rsidR="006A3763">
        <w:rPr>
          <w:rStyle w:val="Refdenotaalpie"/>
        </w:rPr>
        <w:footnoteReference w:id="2"/>
      </w:r>
      <w:r w:rsidR="002E3D76">
        <w:t xml:space="preserve"> instituciones</w:t>
      </w:r>
      <w:r w:rsidR="00280454">
        <w:t xml:space="preserve">, </w:t>
      </w:r>
      <w:r w:rsidR="00680BFC">
        <w:t>2</w:t>
      </w:r>
      <w:r w:rsidR="00280454">
        <w:t xml:space="preserve"> menos que en 2019</w:t>
      </w:r>
      <w:r w:rsidRPr="00661890">
        <w:t>.</w:t>
      </w:r>
    </w:p>
    <w:p w14:paraId="77EFF016" w14:textId="77777777" w:rsidR="000727D9" w:rsidRDefault="000727D9" w:rsidP="0005255F">
      <w:pPr>
        <w:pStyle w:val="Default"/>
        <w:jc w:val="both"/>
      </w:pPr>
    </w:p>
    <w:p w14:paraId="36F0291F" w14:textId="77777777" w:rsidR="000727D9" w:rsidRDefault="000727D9" w:rsidP="0005255F">
      <w:pPr>
        <w:pStyle w:val="Default"/>
        <w:jc w:val="both"/>
      </w:pPr>
    </w:p>
    <w:p w14:paraId="10323599" w14:textId="77777777" w:rsidR="000727D9" w:rsidRDefault="000727D9" w:rsidP="0005255F">
      <w:pPr>
        <w:pStyle w:val="Default"/>
        <w:jc w:val="both"/>
      </w:pPr>
    </w:p>
    <w:p w14:paraId="60C9E2AC" w14:textId="71F56E8B" w:rsidR="00BF58D2" w:rsidRDefault="00661890" w:rsidP="0005255F">
      <w:pPr>
        <w:pStyle w:val="Default"/>
        <w:jc w:val="both"/>
      </w:pPr>
      <w:r w:rsidRPr="00661890">
        <w:t xml:space="preserve">De acuerdo con su clasificación administrativa, 62.2% </w:t>
      </w:r>
      <w:r w:rsidR="007A3A03">
        <w:t>del total de ins</w:t>
      </w:r>
      <w:r w:rsidR="00280454">
        <w:t xml:space="preserve">tituciones </w:t>
      </w:r>
      <w:r w:rsidRPr="00661890">
        <w:t xml:space="preserve">formó parte de la Administración Pública Paraestatal, 32.3% </w:t>
      </w:r>
      <w:r w:rsidR="00280454">
        <w:t xml:space="preserve">pertenecieron </w:t>
      </w:r>
      <w:r w:rsidRPr="00661890">
        <w:t>a la Administración Pública Centralizada y 5.2% a Empresas productivas del Estado y sus subsidiarias</w:t>
      </w:r>
      <w:r>
        <w:rPr>
          <w:rStyle w:val="Refdenotaalpie"/>
        </w:rPr>
        <w:footnoteReference w:id="3"/>
      </w:r>
      <w:r w:rsidRPr="00661890">
        <w:t xml:space="preserve">. </w:t>
      </w:r>
    </w:p>
    <w:p w14:paraId="60C306C0" w14:textId="77777777" w:rsidR="000727D9" w:rsidRDefault="000727D9" w:rsidP="0005255F">
      <w:pPr>
        <w:pStyle w:val="Default"/>
        <w:spacing w:after="10"/>
        <w:ind w:right="284"/>
        <w:jc w:val="center"/>
        <w:rPr>
          <w:bCs/>
          <w:iCs/>
          <w:color w:val="000000" w:themeColor="text1"/>
          <w:sz w:val="20"/>
          <w:szCs w:val="20"/>
        </w:rPr>
      </w:pPr>
    </w:p>
    <w:p w14:paraId="103F0794" w14:textId="7DFFFE12" w:rsidR="00BF58D2" w:rsidRPr="00DE7C9F" w:rsidRDefault="00BF58D2" w:rsidP="0005255F">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1 </w:t>
      </w:r>
    </w:p>
    <w:p w14:paraId="5D1849FE" w14:textId="218DF5E1" w:rsidR="00BF58D2" w:rsidRPr="00DE7C9F" w:rsidRDefault="00661890" w:rsidP="0005255F">
      <w:pPr>
        <w:pStyle w:val="Default"/>
        <w:spacing w:after="10"/>
        <w:ind w:right="284"/>
        <w:jc w:val="center"/>
        <w:rPr>
          <w:b/>
          <w:bCs/>
          <w:iCs/>
          <w:smallCaps/>
          <w:color w:val="000000" w:themeColor="text1"/>
          <w:sz w:val="22"/>
          <w:szCs w:val="22"/>
        </w:rPr>
      </w:pPr>
      <w:r w:rsidRPr="00661890">
        <w:rPr>
          <w:b/>
          <w:bCs/>
          <w:iCs/>
          <w:smallCaps/>
          <w:color w:val="000000" w:themeColor="text1"/>
          <w:sz w:val="22"/>
          <w:szCs w:val="22"/>
        </w:rPr>
        <w:t xml:space="preserve">Instituciones de la Administración Pública Federal, </w:t>
      </w:r>
      <w:r w:rsidR="00835584">
        <w:rPr>
          <w:b/>
          <w:bCs/>
          <w:iCs/>
          <w:smallCaps/>
          <w:color w:val="000000" w:themeColor="text1"/>
          <w:sz w:val="22"/>
          <w:szCs w:val="22"/>
        </w:rPr>
        <w:t>según</w:t>
      </w:r>
      <w:r w:rsidRPr="00661890">
        <w:rPr>
          <w:b/>
          <w:bCs/>
          <w:iCs/>
          <w:smallCaps/>
          <w:color w:val="000000" w:themeColor="text1"/>
          <w:sz w:val="22"/>
          <w:szCs w:val="22"/>
        </w:rPr>
        <w:t xml:space="preserve"> tipo</w:t>
      </w:r>
      <w:r w:rsidR="00BF58D2" w:rsidRPr="00DE7C9F">
        <w:rPr>
          <w:rStyle w:val="Refdenotaalpie"/>
          <w:b/>
          <w:bCs/>
          <w:iCs/>
          <w:smallCaps/>
          <w:color w:val="000000" w:themeColor="text1"/>
          <w:sz w:val="22"/>
          <w:szCs w:val="22"/>
        </w:rPr>
        <w:footnoteReference w:id="4"/>
      </w:r>
    </w:p>
    <w:p w14:paraId="07DB8EBC" w14:textId="77777777" w:rsidR="00BF58D2" w:rsidRDefault="00BF58D2" w:rsidP="00BF58D2">
      <w:pPr>
        <w:pStyle w:val="Default"/>
        <w:ind w:left="-567"/>
        <w:jc w:val="both"/>
      </w:pPr>
    </w:p>
    <w:p w14:paraId="0CFF86A3" w14:textId="16C5BD41" w:rsidR="00BF58D2" w:rsidRDefault="00E1071A" w:rsidP="00835584">
      <w:pPr>
        <w:pStyle w:val="Default"/>
        <w:jc w:val="center"/>
      </w:pPr>
      <w:r>
        <w:rPr>
          <w:noProof/>
        </w:rPr>
        <w:drawing>
          <wp:inline distT="0" distB="0" distL="0" distR="0" wp14:anchorId="3AFA21E2" wp14:editId="4C2A3C0F">
            <wp:extent cx="5581402" cy="2743200"/>
            <wp:effectExtent l="0" t="0" r="635" b="0"/>
            <wp:docPr id="39" name="Gráfico 39">
              <a:extLst xmlns:a="http://schemas.openxmlformats.org/drawingml/2006/main">
                <a:ext uri="{FF2B5EF4-FFF2-40B4-BE49-F238E27FC236}">
                  <a16:creationId xmlns:a16="http://schemas.microsoft.com/office/drawing/2014/main" id="{65234548-4419-4665-BAF9-2E17C4F3B5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BC21C0" w14:textId="77777777" w:rsidR="00835584" w:rsidRDefault="00835584" w:rsidP="00835584">
      <w:pPr>
        <w:autoSpaceDE w:val="0"/>
        <w:autoSpaceDN w:val="0"/>
        <w:adjustRightInd w:val="0"/>
        <w:spacing w:after="0" w:line="240" w:lineRule="auto"/>
        <w:jc w:val="both"/>
        <w:rPr>
          <w:rFonts w:ascii="Arial" w:hAnsi="Arial" w:cs="Arial"/>
          <w:sz w:val="16"/>
          <w:szCs w:val="16"/>
        </w:rPr>
      </w:pPr>
    </w:p>
    <w:p w14:paraId="42FAF508" w14:textId="77777777" w:rsidR="00835584" w:rsidRDefault="00835584" w:rsidP="00835584">
      <w:pPr>
        <w:autoSpaceDE w:val="0"/>
        <w:autoSpaceDN w:val="0"/>
        <w:adjustRightInd w:val="0"/>
        <w:spacing w:after="0" w:line="240" w:lineRule="auto"/>
        <w:jc w:val="both"/>
        <w:rPr>
          <w:rFonts w:ascii="Arial" w:hAnsi="Arial" w:cs="Arial"/>
          <w:sz w:val="16"/>
          <w:szCs w:val="16"/>
        </w:rPr>
      </w:pPr>
    </w:p>
    <w:p w14:paraId="710BB4BC" w14:textId="12820E25" w:rsidR="00835584" w:rsidRPr="001A26DF" w:rsidRDefault="00835584" w:rsidP="008F1049">
      <w:pPr>
        <w:autoSpaceDE w:val="0"/>
        <w:autoSpaceDN w:val="0"/>
        <w:adjustRightInd w:val="0"/>
        <w:spacing w:after="0" w:line="240" w:lineRule="auto"/>
        <w:ind w:left="426" w:hanging="426"/>
        <w:jc w:val="both"/>
        <w:rPr>
          <w:rFonts w:ascii="Arial" w:hAnsi="Arial" w:cs="Arial"/>
          <w:spacing w:val="-2"/>
          <w:sz w:val="16"/>
          <w:szCs w:val="16"/>
        </w:rPr>
      </w:pPr>
      <w:r w:rsidRPr="001A26DF">
        <w:rPr>
          <w:rFonts w:ascii="Arial" w:hAnsi="Arial" w:cs="Arial"/>
          <w:spacing w:val="-2"/>
          <w:sz w:val="16"/>
          <w:szCs w:val="16"/>
        </w:rPr>
        <w:t>Nota: Empresas productivas del Estado y sus subsidiarias</w:t>
      </w:r>
      <w:r w:rsidR="00301274">
        <w:rPr>
          <w:rFonts w:ascii="Arial" w:hAnsi="Arial" w:cs="Arial"/>
          <w:spacing w:val="-2"/>
          <w:sz w:val="16"/>
          <w:szCs w:val="16"/>
        </w:rPr>
        <w:t>,</w:t>
      </w:r>
      <w:r w:rsidRPr="001A26DF">
        <w:rPr>
          <w:rFonts w:ascii="Arial" w:hAnsi="Arial" w:cs="Arial"/>
          <w:spacing w:val="-2"/>
          <w:sz w:val="16"/>
          <w:szCs w:val="16"/>
        </w:rPr>
        <w:t xml:space="preserve"> incluye</w:t>
      </w:r>
      <w:r w:rsidR="00301274">
        <w:rPr>
          <w:rFonts w:ascii="Arial" w:hAnsi="Arial" w:cs="Arial"/>
          <w:spacing w:val="-2"/>
          <w:sz w:val="16"/>
          <w:szCs w:val="16"/>
        </w:rPr>
        <w:t>ndo a</w:t>
      </w:r>
      <w:r w:rsidRPr="001A26DF">
        <w:rPr>
          <w:rFonts w:ascii="Arial" w:hAnsi="Arial" w:cs="Arial"/>
          <w:spacing w:val="-2"/>
          <w:sz w:val="16"/>
          <w:szCs w:val="16"/>
        </w:rPr>
        <w:t xml:space="preserve"> Petróleos Mexicanos (Pemex Exploración y Producción, Pemex Fertilizantes, Pemex Logística, Pemex Transformación Industrial y Pemex Corporativo)</w:t>
      </w:r>
      <w:r w:rsidR="00301274">
        <w:rPr>
          <w:rFonts w:ascii="Arial" w:hAnsi="Arial" w:cs="Arial"/>
          <w:spacing w:val="-2"/>
          <w:sz w:val="16"/>
          <w:szCs w:val="16"/>
        </w:rPr>
        <w:t>,</w:t>
      </w:r>
      <w:r w:rsidRPr="001A26DF">
        <w:rPr>
          <w:rFonts w:ascii="Arial" w:hAnsi="Arial" w:cs="Arial"/>
          <w:spacing w:val="-2"/>
          <w:sz w:val="16"/>
          <w:szCs w:val="16"/>
        </w:rPr>
        <w:t xml:space="preserve"> así como</w:t>
      </w:r>
      <w:r w:rsidR="005A70DF">
        <w:rPr>
          <w:rFonts w:ascii="Arial" w:hAnsi="Arial" w:cs="Arial"/>
          <w:spacing w:val="-2"/>
          <w:sz w:val="16"/>
          <w:szCs w:val="16"/>
        </w:rPr>
        <w:t xml:space="preserve"> a la</w:t>
      </w:r>
      <w:r w:rsidRPr="001A26DF">
        <w:rPr>
          <w:rFonts w:ascii="Arial" w:hAnsi="Arial" w:cs="Arial"/>
          <w:spacing w:val="-2"/>
          <w:sz w:val="16"/>
          <w:szCs w:val="16"/>
        </w:rPr>
        <w:t xml:space="preserve"> Comisión Federal de Electricidad (CFE Generación I, CFE Generación II, CFE Generación III, CFE Generación IV, CFE Generación V, CFE Generación VI, CFE Distribución, CFE Suministrador de Servicios Básicos, CFE Transmisión, CFE Telecomunicaciones e Internet para todos y CFE Corporativo).</w:t>
      </w:r>
    </w:p>
    <w:p w14:paraId="424DE193" w14:textId="79AE6C98" w:rsidR="00835584" w:rsidRDefault="00835584" w:rsidP="000727D9">
      <w:pPr>
        <w:autoSpaceDE w:val="0"/>
        <w:autoSpaceDN w:val="0"/>
        <w:adjustRightInd w:val="0"/>
        <w:spacing w:after="0" w:line="240" w:lineRule="auto"/>
        <w:jc w:val="both"/>
        <w:rPr>
          <w:rFonts w:ascii="Arial" w:hAnsi="Arial" w:cs="Arial"/>
          <w:color w:val="000000"/>
          <w:sz w:val="24"/>
          <w:szCs w:val="24"/>
        </w:rPr>
      </w:pPr>
    </w:p>
    <w:p w14:paraId="19C5395A" w14:textId="77777777" w:rsidR="000727D9" w:rsidRDefault="000727D9" w:rsidP="0005255F">
      <w:pPr>
        <w:autoSpaceDE w:val="0"/>
        <w:autoSpaceDN w:val="0"/>
        <w:adjustRightInd w:val="0"/>
        <w:spacing w:after="0" w:line="240" w:lineRule="auto"/>
        <w:jc w:val="both"/>
        <w:rPr>
          <w:rFonts w:ascii="Arial" w:hAnsi="Arial" w:cs="Arial"/>
          <w:color w:val="000000"/>
          <w:sz w:val="24"/>
          <w:szCs w:val="24"/>
        </w:rPr>
      </w:pPr>
    </w:p>
    <w:p w14:paraId="5538210C"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171D2ECF"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7E7EE33E"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1DCDEA63"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0D02DE4E"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07C68EE9"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338438CB"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3C1F2DBD"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5DDAF901"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7EFD58A5"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77BB0D65"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6B09FEA1"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64612D0C" w14:textId="77777777" w:rsidR="0014054B" w:rsidRDefault="0014054B" w:rsidP="0005255F">
      <w:pPr>
        <w:autoSpaceDE w:val="0"/>
        <w:autoSpaceDN w:val="0"/>
        <w:adjustRightInd w:val="0"/>
        <w:spacing w:after="0" w:line="240" w:lineRule="auto"/>
        <w:jc w:val="both"/>
        <w:rPr>
          <w:rFonts w:ascii="Arial" w:hAnsi="Arial" w:cs="Arial"/>
          <w:color w:val="000000"/>
          <w:sz w:val="24"/>
          <w:szCs w:val="24"/>
        </w:rPr>
      </w:pPr>
    </w:p>
    <w:p w14:paraId="4FBDA66C" w14:textId="531C3FA8" w:rsidR="000727D9" w:rsidRDefault="00835584" w:rsidP="0014054B">
      <w:pPr>
        <w:autoSpaceDE w:val="0"/>
        <w:autoSpaceDN w:val="0"/>
        <w:adjustRightInd w:val="0"/>
        <w:spacing w:after="0" w:line="240" w:lineRule="auto"/>
        <w:jc w:val="both"/>
        <w:rPr>
          <w:bCs/>
          <w:iCs/>
          <w:color w:val="000000" w:themeColor="text1"/>
          <w:sz w:val="20"/>
          <w:szCs w:val="20"/>
        </w:rPr>
      </w:pPr>
      <w:r w:rsidRPr="00835584">
        <w:rPr>
          <w:rFonts w:ascii="Arial" w:hAnsi="Arial" w:cs="Arial"/>
          <w:color w:val="000000"/>
          <w:sz w:val="24"/>
          <w:szCs w:val="24"/>
        </w:rPr>
        <w:lastRenderedPageBreak/>
        <w:t xml:space="preserve">La principal función realizada por las instituciones de la Administración Pública Federal fue </w:t>
      </w:r>
      <w:r w:rsidRPr="008F1049">
        <w:rPr>
          <w:rFonts w:ascii="Arial" w:hAnsi="Arial" w:cs="Arial"/>
          <w:i/>
          <w:iCs/>
          <w:color w:val="000000"/>
          <w:sz w:val="24"/>
          <w:szCs w:val="24"/>
        </w:rPr>
        <w:t>Salud</w:t>
      </w:r>
      <w:r w:rsidRPr="00835584">
        <w:rPr>
          <w:rFonts w:ascii="Arial" w:hAnsi="Arial" w:cs="Arial"/>
          <w:color w:val="000000"/>
          <w:sz w:val="24"/>
          <w:szCs w:val="24"/>
        </w:rPr>
        <w:t xml:space="preserve"> (que concentró 12.9%), seguida de </w:t>
      </w:r>
      <w:r w:rsidRPr="008F1049">
        <w:rPr>
          <w:rFonts w:ascii="Arial" w:hAnsi="Arial" w:cs="Arial"/>
          <w:i/>
          <w:iCs/>
          <w:color w:val="000000"/>
          <w:sz w:val="24"/>
          <w:szCs w:val="24"/>
        </w:rPr>
        <w:t>Comunicaciones y transportes</w:t>
      </w:r>
      <w:r w:rsidRPr="00835584">
        <w:rPr>
          <w:rFonts w:ascii="Arial" w:hAnsi="Arial" w:cs="Arial"/>
          <w:color w:val="000000"/>
          <w:sz w:val="24"/>
          <w:szCs w:val="24"/>
        </w:rPr>
        <w:t xml:space="preserve"> (10.6%).</w:t>
      </w:r>
    </w:p>
    <w:p w14:paraId="3F5B6F12" w14:textId="77777777" w:rsidR="000727D9" w:rsidRDefault="000727D9" w:rsidP="0005255F">
      <w:pPr>
        <w:pStyle w:val="Default"/>
        <w:spacing w:after="10"/>
        <w:ind w:right="284"/>
        <w:jc w:val="center"/>
        <w:rPr>
          <w:bCs/>
          <w:iCs/>
          <w:color w:val="000000" w:themeColor="text1"/>
          <w:sz w:val="20"/>
          <w:szCs w:val="20"/>
        </w:rPr>
      </w:pPr>
    </w:p>
    <w:p w14:paraId="3F37AE31" w14:textId="53F6C8BC" w:rsidR="00DE7C9F" w:rsidRPr="00DE7C9F" w:rsidRDefault="00DE7C9F" w:rsidP="0005255F">
      <w:pPr>
        <w:pStyle w:val="Default"/>
        <w:spacing w:after="10"/>
        <w:ind w:right="284"/>
        <w:jc w:val="center"/>
        <w:rPr>
          <w:bCs/>
          <w:iCs/>
          <w:color w:val="000000" w:themeColor="text1"/>
          <w:sz w:val="20"/>
          <w:szCs w:val="20"/>
        </w:rPr>
      </w:pPr>
      <w:r w:rsidRPr="00DE7C9F">
        <w:rPr>
          <w:bCs/>
          <w:iCs/>
          <w:color w:val="000000" w:themeColor="text1"/>
          <w:sz w:val="20"/>
          <w:szCs w:val="20"/>
        </w:rPr>
        <w:t>Gráfica 2</w:t>
      </w:r>
    </w:p>
    <w:p w14:paraId="30AB25B2" w14:textId="3692E054" w:rsidR="0097157A" w:rsidRDefault="00835584" w:rsidP="00835584">
      <w:pPr>
        <w:autoSpaceDE w:val="0"/>
        <w:autoSpaceDN w:val="0"/>
        <w:adjustRightInd w:val="0"/>
        <w:spacing w:after="0" w:line="240" w:lineRule="auto"/>
        <w:ind w:left="-567"/>
        <w:jc w:val="center"/>
        <w:rPr>
          <w:rFonts w:ascii="Arial Negrita" w:hAnsi="Arial Negrita" w:cs="Arial"/>
          <w:b/>
          <w:bCs/>
          <w:iCs/>
          <w:smallCaps/>
          <w:color w:val="000000" w:themeColor="text1"/>
        </w:rPr>
      </w:pPr>
      <w:r w:rsidRPr="00835584">
        <w:rPr>
          <w:rFonts w:ascii="Arial Negrita" w:hAnsi="Arial Negrita" w:cs="Arial"/>
          <w:b/>
          <w:bCs/>
          <w:iCs/>
          <w:smallCaps/>
          <w:color w:val="000000" w:themeColor="text1"/>
        </w:rPr>
        <w:t xml:space="preserve">Instituciones de la Administración Pública Federal, según </w:t>
      </w:r>
      <w:r w:rsidR="00CD0AAB">
        <w:rPr>
          <w:rFonts w:ascii="Arial Negrita" w:hAnsi="Arial Negrita" w:cs="Arial"/>
          <w:b/>
          <w:bCs/>
          <w:iCs/>
          <w:smallCaps/>
          <w:color w:val="000000" w:themeColor="text1"/>
        </w:rPr>
        <w:t xml:space="preserve">principal </w:t>
      </w:r>
      <w:r w:rsidRPr="00835584">
        <w:rPr>
          <w:rFonts w:ascii="Arial Negrita" w:hAnsi="Arial Negrita" w:cs="Arial"/>
          <w:b/>
          <w:bCs/>
          <w:iCs/>
          <w:smallCaps/>
          <w:color w:val="000000" w:themeColor="text1"/>
        </w:rPr>
        <w:t>función</w:t>
      </w:r>
    </w:p>
    <w:p w14:paraId="13ADCDE3" w14:textId="0E676C1C" w:rsidR="00DE7C9F" w:rsidRPr="000727D9" w:rsidRDefault="00835584" w:rsidP="00835584">
      <w:pPr>
        <w:autoSpaceDE w:val="0"/>
        <w:autoSpaceDN w:val="0"/>
        <w:adjustRightInd w:val="0"/>
        <w:spacing w:after="0" w:line="240" w:lineRule="auto"/>
        <w:ind w:left="-567"/>
        <w:jc w:val="center"/>
        <w:rPr>
          <w:rFonts w:ascii="Arial" w:hAnsi="Arial" w:cs="Arial"/>
          <w:sz w:val="18"/>
          <w:szCs w:val="18"/>
        </w:rPr>
      </w:pPr>
      <w:r w:rsidRPr="000727D9">
        <w:rPr>
          <w:rFonts w:ascii="Arial" w:hAnsi="Arial" w:cs="Arial"/>
          <w:iCs/>
          <w:smallCaps/>
          <w:color w:val="000000" w:themeColor="text1"/>
          <w:sz w:val="18"/>
          <w:szCs w:val="18"/>
        </w:rPr>
        <w:t xml:space="preserve"> 2020</w:t>
      </w:r>
    </w:p>
    <w:p w14:paraId="0DC034D7" w14:textId="5094A6DE" w:rsidR="00DE7C9F" w:rsidRDefault="00DE7C9F" w:rsidP="0005255F">
      <w:pPr>
        <w:autoSpaceDE w:val="0"/>
        <w:autoSpaceDN w:val="0"/>
        <w:adjustRightInd w:val="0"/>
        <w:spacing w:after="0" w:line="240" w:lineRule="auto"/>
        <w:jc w:val="both"/>
        <w:rPr>
          <w:rFonts w:ascii="Arial" w:hAnsi="Arial" w:cs="Arial"/>
          <w:b/>
          <w:bCs/>
          <w:noProof/>
          <w:sz w:val="24"/>
          <w:szCs w:val="24"/>
        </w:rPr>
      </w:pPr>
    </w:p>
    <w:p w14:paraId="59917939" w14:textId="325EE909" w:rsidR="00835584" w:rsidRDefault="00914FCE" w:rsidP="0005255F">
      <w:pPr>
        <w:autoSpaceDE w:val="0"/>
        <w:autoSpaceDN w:val="0"/>
        <w:adjustRightInd w:val="0"/>
        <w:spacing w:after="0" w:line="240" w:lineRule="auto"/>
        <w:jc w:val="both"/>
        <w:rPr>
          <w:rFonts w:ascii="Arial" w:hAnsi="Arial" w:cs="Arial"/>
          <w:b/>
          <w:bCs/>
          <w:noProof/>
          <w:sz w:val="24"/>
          <w:szCs w:val="24"/>
        </w:rPr>
      </w:pPr>
      <w:r>
        <w:rPr>
          <w:noProof/>
        </w:rPr>
        <w:drawing>
          <wp:inline distT="0" distB="0" distL="0" distR="0" wp14:anchorId="7E1EC1ED" wp14:editId="4DAE028D">
            <wp:extent cx="5638800" cy="4752975"/>
            <wp:effectExtent l="0" t="0" r="0" b="0"/>
            <wp:docPr id="6" name="Gráfico 6">
              <a:extLst xmlns:a="http://schemas.openxmlformats.org/drawingml/2006/main">
                <a:ext uri="{FF2B5EF4-FFF2-40B4-BE49-F238E27FC236}">
                  <a16:creationId xmlns:a16="http://schemas.microsoft.com/office/drawing/2014/main" id="{BAC1B249-7FEE-4278-BD66-55F76293D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D464BE" w14:textId="77777777" w:rsidR="00914FCE" w:rsidRDefault="00914FCE" w:rsidP="00914FCE">
      <w:pPr>
        <w:autoSpaceDE w:val="0"/>
        <w:autoSpaceDN w:val="0"/>
        <w:adjustRightInd w:val="0"/>
        <w:spacing w:after="0" w:line="240" w:lineRule="auto"/>
        <w:jc w:val="both"/>
        <w:rPr>
          <w:rFonts w:ascii="Arial" w:hAnsi="Arial" w:cs="Arial"/>
          <w:sz w:val="16"/>
          <w:szCs w:val="16"/>
        </w:rPr>
      </w:pPr>
    </w:p>
    <w:p w14:paraId="5778518F" w14:textId="77777777" w:rsidR="00914FCE" w:rsidRDefault="00914FCE" w:rsidP="00914FCE">
      <w:pPr>
        <w:autoSpaceDE w:val="0"/>
        <w:autoSpaceDN w:val="0"/>
        <w:adjustRightInd w:val="0"/>
        <w:spacing w:after="0" w:line="240" w:lineRule="auto"/>
        <w:jc w:val="both"/>
        <w:rPr>
          <w:rFonts w:ascii="Arial" w:hAnsi="Arial" w:cs="Arial"/>
          <w:sz w:val="16"/>
          <w:szCs w:val="16"/>
        </w:rPr>
      </w:pPr>
    </w:p>
    <w:p w14:paraId="7A6CEA4C" w14:textId="23639976" w:rsidR="00914FCE" w:rsidRPr="001A26DF" w:rsidRDefault="00914FCE" w:rsidP="008F1049">
      <w:pPr>
        <w:autoSpaceDE w:val="0"/>
        <w:autoSpaceDN w:val="0"/>
        <w:adjustRightInd w:val="0"/>
        <w:spacing w:after="0" w:line="240" w:lineRule="auto"/>
        <w:ind w:left="426" w:hanging="426"/>
        <w:jc w:val="both"/>
        <w:rPr>
          <w:rFonts w:ascii="Arial" w:hAnsi="Arial" w:cs="Arial"/>
          <w:spacing w:val="-2"/>
          <w:sz w:val="16"/>
          <w:szCs w:val="16"/>
        </w:rPr>
      </w:pPr>
      <w:r w:rsidRPr="001A26DF">
        <w:rPr>
          <w:rFonts w:ascii="Arial" w:hAnsi="Arial" w:cs="Arial"/>
          <w:spacing w:val="-2"/>
          <w:sz w:val="16"/>
          <w:szCs w:val="16"/>
        </w:rPr>
        <w:t>Nota: Empresas productivas del Estado y sus subsidiarias</w:t>
      </w:r>
      <w:r w:rsidR="00B22982">
        <w:rPr>
          <w:rFonts w:ascii="Arial" w:hAnsi="Arial" w:cs="Arial"/>
          <w:spacing w:val="-2"/>
          <w:sz w:val="16"/>
          <w:szCs w:val="16"/>
        </w:rPr>
        <w:t>,</w:t>
      </w:r>
      <w:r w:rsidRPr="001A26DF">
        <w:rPr>
          <w:rFonts w:ascii="Arial" w:hAnsi="Arial" w:cs="Arial"/>
          <w:spacing w:val="-2"/>
          <w:sz w:val="16"/>
          <w:szCs w:val="16"/>
        </w:rPr>
        <w:t xml:space="preserve"> incluye</w:t>
      </w:r>
      <w:r w:rsidR="00B22982">
        <w:rPr>
          <w:rFonts w:ascii="Arial" w:hAnsi="Arial" w:cs="Arial"/>
          <w:spacing w:val="-2"/>
          <w:sz w:val="16"/>
          <w:szCs w:val="16"/>
        </w:rPr>
        <w:t>ndo a</w:t>
      </w:r>
      <w:r w:rsidRPr="001A26DF">
        <w:rPr>
          <w:rFonts w:ascii="Arial" w:hAnsi="Arial" w:cs="Arial"/>
          <w:spacing w:val="-2"/>
          <w:sz w:val="16"/>
          <w:szCs w:val="16"/>
        </w:rPr>
        <w:t xml:space="preserve"> Petróleos Mexicanos (Pemex Exploración y Producción, Pemex Fertilizantes, Pemex Logística, Pemex Transformación Industrial y Pemex Corporativo)</w:t>
      </w:r>
      <w:r w:rsidR="00B22982">
        <w:rPr>
          <w:rFonts w:ascii="Arial" w:hAnsi="Arial" w:cs="Arial"/>
          <w:spacing w:val="-2"/>
          <w:sz w:val="16"/>
          <w:szCs w:val="16"/>
        </w:rPr>
        <w:t>,</w:t>
      </w:r>
      <w:r w:rsidRPr="001A26DF">
        <w:rPr>
          <w:rFonts w:ascii="Arial" w:hAnsi="Arial" w:cs="Arial"/>
          <w:spacing w:val="-2"/>
          <w:sz w:val="16"/>
          <w:szCs w:val="16"/>
        </w:rPr>
        <w:t xml:space="preserve"> así como </w:t>
      </w:r>
      <w:r w:rsidR="005A70DF">
        <w:rPr>
          <w:rFonts w:ascii="Arial" w:hAnsi="Arial" w:cs="Arial"/>
          <w:spacing w:val="-2"/>
          <w:sz w:val="16"/>
          <w:szCs w:val="16"/>
        </w:rPr>
        <w:t xml:space="preserve">a la </w:t>
      </w:r>
      <w:r w:rsidRPr="001A26DF">
        <w:rPr>
          <w:rFonts w:ascii="Arial" w:hAnsi="Arial" w:cs="Arial"/>
          <w:spacing w:val="-2"/>
          <w:sz w:val="16"/>
          <w:szCs w:val="16"/>
        </w:rPr>
        <w:t>Comisión Federal de Electricidad (CFE Generación I, CFE Generación II, CFE Generación III, CFE Generación IV, CFE Generación V, CFE Generación VI, CFE Distribución, CFE Suministrador de Servicios Básicos, CFE Transmisión, CFE Telecomunicaciones e Internet para todos y CFE Corporativo).</w:t>
      </w:r>
    </w:p>
    <w:p w14:paraId="24F9696A" w14:textId="77777777" w:rsidR="00DE7C9F" w:rsidRDefault="00DE7C9F" w:rsidP="00914FCE">
      <w:pPr>
        <w:pStyle w:val="Default"/>
        <w:spacing w:after="10"/>
        <w:ind w:right="284"/>
        <w:rPr>
          <w:b/>
          <w:bCs/>
          <w:i/>
          <w:iCs/>
          <w:color w:val="706F6F"/>
          <w:sz w:val="18"/>
        </w:rPr>
      </w:pPr>
    </w:p>
    <w:p w14:paraId="67ACB7D5" w14:textId="1E9310DC" w:rsidR="0005255F" w:rsidRDefault="0005255F" w:rsidP="0005255F">
      <w:pPr>
        <w:pStyle w:val="Default"/>
        <w:spacing w:after="10"/>
        <w:ind w:right="284"/>
        <w:jc w:val="center"/>
        <w:rPr>
          <w:bCs/>
          <w:iCs/>
          <w:color w:val="000000" w:themeColor="text1"/>
          <w:sz w:val="20"/>
          <w:szCs w:val="20"/>
        </w:rPr>
      </w:pPr>
    </w:p>
    <w:p w14:paraId="77553ADE" w14:textId="77777777" w:rsidR="00BE75BD" w:rsidRDefault="00BE75BD" w:rsidP="00914FCE">
      <w:pPr>
        <w:pStyle w:val="Default"/>
        <w:spacing w:after="10"/>
        <w:ind w:right="284"/>
        <w:jc w:val="both"/>
      </w:pPr>
    </w:p>
    <w:p w14:paraId="394D037F" w14:textId="77777777" w:rsidR="00BE75BD" w:rsidRDefault="00BE75BD" w:rsidP="00914FCE">
      <w:pPr>
        <w:pStyle w:val="Default"/>
        <w:spacing w:after="10"/>
        <w:ind w:right="284"/>
        <w:jc w:val="both"/>
      </w:pPr>
    </w:p>
    <w:p w14:paraId="71F95CDF" w14:textId="635F8C2A" w:rsidR="00914FCE" w:rsidRDefault="00914FCE" w:rsidP="00DE7C9F">
      <w:pPr>
        <w:pStyle w:val="Default"/>
        <w:spacing w:after="10"/>
        <w:ind w:left="-567" w:right="284"/>
        <w:jc w:val="center"/>
        <w:rPr>
          <w:b/>
          <w:bCs/>
          <w:i/>
          <w:iCs/>
          <w:color w:val="706F6F"/>
          <w:sz w:val="18"/>
        </w:rPr>
      </w:pPr>
    </w:p>
    <w:p w14:paraId="639102F8" w14:textId="4D2BCA85" w:rsidR="000727D9" w:rsidRDefault="000727D9" w:rsidP="00DE7C9F">
      <w:pPr>
        <w:pStyle w:val="Default"/>
        <w:spacing w:after="10"/>
        <w:ind w:left="-567" w:right="284"/>
        <w:jc w:val="center"/>
        <w:rPr>
          <w:b/>
          <w:bCs/>
          <w:i/>
          <w:iCs/>
          <w:color w:val="706F6F"/>
          <w:sz w:val="18"/>
        </w:rPr>
      </w:pPr>
    </w:p>
    <w:p w14:paraId="240535C5" w14:textId="76EC9E28" w:rsidR="000727D9" w:rsidRDefault="000727D9" w:rsidP="00DE7C9F">
      <w:pPr>
        <w:pStyle w:val="Default"/>
        <w:spacing w:after="10"/>
        <w:ind w:left="-567" w:right="284"/>
        <w:jc w:val="center"/>
        <w:rPr>
          <w:b/>
          <w:bCs/>
          <w:i/>
          <w:iCs/>
          <w:color w:val="706F6F"/>
          <w:sz w:val="18"/>
        </w:rPr>
      </w:pPr>
    </w:p>
    <w:p w14:paraId="6E7C4B55" w14:textId="77777777" w:rsidR="000727D9" w:rsidRDefault="000727D9" w:rsidP="00DE7C9F">
      <w:pPr>
        <w:pStyle w:val="Default"/>
        <w:spacing w:after="10"/>
        <w:ind w:left="-567" w:right="284"/>
        <w:jc w:val="center"/>
        <w:rPr>
          <w:b/>
          <w:bCs/>
          <w:i/>
          <w:iCs/>
          <w:color w:val="706F6F"/>
          <w:sz w:val="18"/>
        </w:rPr>
      </w:pPr>
    </w:p>
    <w:p w14:paraId="41714CB3" w14:textId="77777777" w:rsidR="000A2B8B" w:rsidRDefault="000A2B8B" w:rsidP="00596DDC">
      <w:pPr>
        <w:autoSpaceDE w:val="0"/>
        <w:autoSpaceDN w:val="0"/>
        <w:adjustRightInd w:val="0"/>
        <w:spacing w:after="0" w:line="240" w:lineRule="auto"/>
        <w:ind w:right="21"/>
        <w:jc w:val="both"/>
        <w:rPr>
          <w:rFonts w:ascii="Arial" w:hAnsi="Arial" w:cs="Arial"/>
          <w:sz w:val="24"/>
          <w:szCs w:val="24"/>
        </w:rPr>
      </w:pPr>
    </w:p>
    <w:p w14:paraId="138B58A6" w14:textId="70B5DF2A" w:rsidR="00F63C72" w:rsidRDefault="00914FCE" w:rsidP="00596DDC">
      <w:pPr>
        <w:autoSpaceDE w:val="0"/>
        <w:autoSpaceDN w:val="0"/>
        <w:adjustRightInd w:val="0"/>
        <w:spacing w:after="0" w:line="240" w:lineRule="auto"/>
        <w:ind w:right="21"/>
        <w:jc w:val="both"/>
        <w:rPr>
          <w:rFonts w:ascii="Arial" w:hAnsi="Arial" w:cs="Arial"/>
          <w:b/>
          <w:bCs/>
          <w:sz w:val="24"/>
          <w:szCs w:val="24"/>
        </w:rPr>
      </w:pPr>
      <w:r w:rsidRPr="00914FCE">
        <w:rPr>
          <w:rFonts w:ascii="Arial" w:hAnsi="Arial" w:cs="Arial"/>
          <w:sz w:val="24"/>
          <w:szCs w:val="24"/>
        </w:rPr>
        <w:t>En el mismo periodo, 305 titulares se encontraron al frente de las instituciones de la Administración Pública Federal. Del total de titulares, 68.5% fueron hombres y 20.0% mujeres</w:t>
      </w:r>
      <w:r>
        <w:rPr>
          <w:rStyle w:val="Refdenotaalpie"/>
          <w:rFonts w:ascii="Arial" w:hAnsi="Arial" w:cs="Arial"/>
          <w:sz w:val="24"/>
          <w:szCs w:val="24"/>
        </w:rPr>
        <w:footnoteReference w:id="5"/>
      </w:r>
      <w:r w:rsidRPr="00914FCE">
        <w:rPr>
          <w:rFonts w:ascii="Arial" w:hAnsi="Arial" w:cs="Arial"/>
          <w:sz w:val="24"/>
          <w:szCs w:val="24"/>
        </w:rPr>
        <w:t xml:space="preserve">. Comparado con la cifra reportada en 2019, </w:t>
      </w:r>
      <w:r w:rsidR="00337A04">
        <w:rPr>
          <w:rFonts w:ascii="Arial" w:hAnsi="Arial" w:cs="Arial"/>
          <w:sz w:val="24"/>
          <w:szCs w:val="24"/>
        </w:rPr>
        <w:t>en 2020 hubo 8 titulares menos</w:t>
      </w:r>
      <w:r w:rsidRPr="00914FCE">
        <w:rPr>
          <w:rFonts w:ascii="Arial" w:hAnsi="Arial" w:cs="Arial"/>
          <w:sz w:val="24"/>
          <w:szCs w:val="24"/>
        </w:rPr>
        <w:t>.</w:t>
      </w:r>
    </w:p>
    <w:p w14:paraId="116A26FB" w14:textId="5A0F319A" w:rsidR="00F63C72" w:rsidRDefault="00F63C72" w:rsidP="00C7043F">
      <w:pPr>
        <w:autoSpaceDE w:val="0"/>
        <w:autoSpaceDN w:val="0"/>
        <w:adjustRightInd w:val="0"/>
        <w:spacing w:after="0" w:line="240" w:lineRule="auto"/>
        <w:ind w:left="-567"/>
        <w:jc w:val="both"/>
        <w:rPr>
          <w:rFonts w:ascii="Arial" w:hAnsi="Arial" w:cs="Arial"/>
          <w:b/>
          <w:bCs/>
          <w:sz w:val="24"/>
          <w:szCs w:val="24"/>
        </w:rPr>
      </w:pPr>
    </w:p>
    <w:p w14:paraId="13EEC8F3" w14:textId="44EE4627" w:rsidR="004D6274" w:rsidRDefault="004D6274" w:rsidP="00C7043F">
      <w:pPr>
        <w:autoSpaceDE w:val="0"/>
        <w:autoSpaceDN w:val="0"/>
        <w:adjustRightInd w:val="0"/>
        <w:spacing w:after="0" w:line="240" w:lineRule="auto"/>
        <w:ind w:left="-567"/>
        <w:jc w:val="both"/>
        <w:rPr>
          <w:rFonts w:ascii="Arial" w:hAnsi="Arial" w:cs="Arial"/>
          <w:b/>
          <w:bCs/>
          <w:sz w:val="24"/>
          <w:szCs w:val="24"/>
        </w:rPr>
      </w:pPr>
    </w:p>
    <w:p w14:paraId="04062149" w14:textId="77777777" w:rsidR="000A2B8B" w:rsidRDefault="000A2B8B" w:rsidP="00C7043F">
      <w:pPr>
        <w:autoSpaceDE w:val="0"/>
        <w:autoSpaceDN w:val="0"/>
        <w:adjustRightInd w:val="0"/>
        <w:spacing w:after="0" w:line="240" w:lineRule="auto"/>
        <w:ind w:left="-567"/>
        <w:jc w:val="both"/>
        <w:rPr>
          <w:rFonts w:ascii="Arial" w:hAnsi="Arial" w:cs="Arial"/>
          <w:b/>
          <w:bCs/>
          <w:sz w:val="24"/>
          <w:szCs w:val="24"/>
        </w:rPr>
      </w:pPr>
    </w:p>
    <w:p w14:paraId="21990033" w14:textId="285128FE" w:rsidR="00C7043F" w:rsidRPr="00C7043F" w:rsidRDefault="00C7043F" w:rsidP="0005255F">
      <w:pPr>
        <w:autoSpaceDE w:val="0"/>
        <w:autoSpaceDN w:val="0"/>
        <w:adjustRightInd w:val="0"/>
        <w:spacing w:after="0" w:line="240" w:lineRule="auto"/>
        <w:jc w:val="center"/>
        <w:rPr>
          <w:rFonts w:ascii="Arial" w:hAnsi="Arial" w:cs="Arial"/>
          <w:bCs/>
          <w:iCs/>
          <w:color w:val="000000" w:themeColor="text1"/>
          <w:sz w:val="20"/>
          <w:szCs w:val="20"/>
        </w:rPr>
      </w:pPr>
      <w:r w:rsidRPr="00C7043F">
        <w:rPr>
          <w:rFonts w:ascii="Arial" w:hAnsi="Arial" w:cs="Arial"/>
          <w:bCs/>
          <w:iCs/>
          <w:color w:val="000000" w:themeColor="text1"/>
          <w:sz w:val="20"/>
          <w:szCs w:val="20"/>
        </w:rPr>
        <w:t xml:space="preserve">Gráfica </w:t>
      </w:r>
      <w:r w:rsidR="00CD0AAB">
        <w:rPr>
          <w:rFonts w:ascii="Arial" w:hAnsi="Arial" w:cs="Arial"/>
          <w:bCs/>
          <w:iCs/>
          <w:color w:val="000000" w:themeColor="text1"/>
          <w:sz w:val="20"/>
          <w:szCs w:val="20"/>
        </w:rPr>
        <w:t>3</w:t>
      </w:r>
    </w:p>
    <w:p w14:paraId="71C4CDC4" w14:textId="2FB32B78" w:rsidR="00C7043F" w:rsidRDefault="00C7043F" w:rsidP="0005255F">
      <w:pPr>
        <w:autoSpaceDE w:val="0"/>
        <w:autoSpaceDN w:val="0"/>
        <w:adjustRightInd w:val="0"/>
        <w:spacing w:after="0" w:line="240" w:lineRule="auto"/>
        <w:jc w:val="center"/>
        <w:rPr>
          <w:rFonts w:ascii="Arial Negrita" w:hAnsi="Arial Negrita" w:cs="Arial"/>
          <w:b/>
          <w:bCs/>
          <w:iCs/>
          <w:smallCaps/>
          <w:color w:val="000000" w:themeColor="text1"/>
        </w:rPr>
      </w:pPr>
      <w:r w:rsidRPr="00C7043F">
        <w:rPr>
          <w:rFonts w:ascii="Arial" w:hAnsi="Arial" w:cs="Arial"/>
          <w:b/>
          <w:bCs/>
          <w:iCs/>
          <w:color w:val="000000" w:themeColor="text1"/>
          <w:sz w:val="18"/>
          <w:szCs w:val="24"/>
        </w:rPr>
        <w:t xml:space="preserve"> </w:t>
      </w:r>
      <w:r w:rsidR="00CB1E48" w:rsidRPr="00CB1E48">
        <w:rPr>
          <w:rFonts w:ascii="Arial Negrita" w:hAnsi="Arial Negrita" w:cs="Arial"/>
          <w:b/>
          <w:bCs/>
          <w:iCs/>
          <w:smallCaps/>
          <w:color w:val="000000" w:themeColor="text1"/>
        </w:rPr>
        <w:t>Titulares de las instituciones de la Administración Pública Federal</w:t>
      </w:r>
      <w:r w:rsidR="00FE4DB7">
        <w:rPr>
          <w:rStyle w:val="Refdenotaalpie"/>
          <w:rFonts w:ascii="Arial Negrita" w:hAnsi="Arial Negrita" w:cs="Arial"/>
          <w:b/>
          <w:bCs/>
          <w:iCs/>
          <w:smallCaps/>
          <w:color w:val="000000" w:themeColor="text1"/>
        </w:rPr>
        <w:footnoteReference w:id="6"/>
      </w:r>
    </w:p>
    <w:p w14:paraId="15C32EBF" w14:textId="7BE52110" w:rsidR="000A2B8B" w:rsidRDefault="000A2B8B" w:rsidP="0005255F">
      <w:pPr>
        <w:autoSpaceDE w:val="0"/>
        <w:autoSpaceDN w:val="0"/>
        <w:adjustRightInd w:val="0"/>
        <w:spacing w:after="0" w:line="240" w:lineRule="auto"/>
        <w:jc w:val="center"/>
        <w:rPr>
          <w:rFonts w:ascii="Arial Negrita" w:hAnsi="Arial Negrita" w:cs="Arial"/>
          <w:b/>
          <w:bCs/>
          <w:iCs/>
          <w:smallCaps/>
          <w:color w:val="000000" w:themeColor="text1"/>
        </w:rPr>
      </w:pPr>
    </w:p>
    <w:p w14:paraId="20324E30" w14:textId="77777777" w:rsidR="000A2B8B" w:rsidRDefault="000A2B8B" w:rsidP="0005255F">
      <w:pPr>
        <w:autoSpaceDE w:val="0"/>
        <w:autoSpaceDN w:val="0"/>
        <w:adjustRightInd w:val="0"/>
        <w:spacing w:after="0" w:line="240" w:lineRule="auto"/>
        <w:jc w:val="center"/>
        <w:rPr>
          <w:rFonts w:ascii="Arial Negrita" w:hAnsi="Arial Negrita" w:cs="Arial"/>
          <w:b/>
          <w:bCs/>
          <w:iCs/>
          <w:smallCaps/>
          <w:color w:val="000000" w:themeColor="text1"/>
        </w:rPr>
      </w:pPr>
    </w:p>
    <w:p w14:paraId="2B888191" w14:textId="77777777" w:rsidR="004D6274" w:rsidRPr="00C7043F" w:rsidRDefault="004D6274" w:rsidP="0005255F">
      <w:pPr>
        <w:autoSpaceDE w:val="0"/>
        <w:autoSpaceDN w:val="0"/>
        <w:adjustRightInd w:val="0"/>
        <w:spacing w:after="0" w:line="240" w:lineRule="auto"/>
        <w:jc w:val="center"/>
        <w:rPr>
          <w:rFonts w:ascii="Arial Negrita" w:hAnsi="Arial Negrita" w:cs="Arial"/>
          <w:b/>
          <w:bCs/>
          <w:smallCaps/>
          <w:noProof/>
          <w:color w:val="000000" w:themeColor="text1"/>
        </w:rPr>
      </w:pPr>
    </w:p>
    <w:p w14:paraId="15CD443F" w14:textId="6734C05A" w:rsidR="0005255F" w:rsidRDefault="00FE4DB7" w:rsidP="0005255F">
      <w:pPr>
        <w:autoSpaceDE w:val="0"/>
        <w:autoSpaceDN w:val="0"/>
        <w:adjustRightInd w:val="0"/>
        <w:spacing w:after="0" w:line="240" w:lineRule="auto"/>
        <w:jc w:val="center"/>
        <w:rPr>
          <w:rFonts w:ascii="Arial" w:hAnsi="Arial" w:cs="Arial"/>
          <w:b/>
          <w:bCs/>
          <w:sz w:val="24"/>
          <w:szCs w:val="24"/>
        </w:rPr>
      </w:pPr>
      <w:r>
        <w:rPr>
          <w:noProof/>
        </w:rPr>
        <w:drawing>
          <wp:inline distT="0" distB="0" distL="0" distR="0" wp14:anchorId="5DD25E78" wp14:editId="55D18163">
            <wp:extent cx="5753100" cy="2181225"/>
            <wp:effectExtent l="0" t="0" r="0" b="0"/>
            <wp:docPr id="8" name="Gráfico 8">
              <a:extLst xmlns:a="http://schemas.openxmlformats.org/drawingml/2006/main">
                <a:ext uri="{FF2B5EF4-FFF2-40B4-BE49-F238E27FC236}">
                  <a16:creationId xmlns:a16="http://schemas.microsoft.com/office/drawing/2014/main" id="{3794F2E5-6BDC-4B19-A426-E7E810A7A1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C429A3" w14:textId="7A379C32" w:rsidR="004D6274" w:rsidRDefault="004D6274" w:rsidP="0005255F">
      <w:pPr>
        <w:autoSpaceDE w:val="0"/>
        <w:autoSpaceDN w:val="0"/>
        <w:adjustRightInd w:val="0"/>
        <w:spacing w:after="0" w:line="240" w:lineRule="auto"/>
        <w:jc w:val="center"/>
        <w:rPr>
          <w:rFonts w:ascii="Arial" w:hAnsi="Arial" w:cs="Arial"/>
          <w:b/>
          <w:bCs/>
          <w:sz w:val="24"/>
          <w:szCs w:val="24"/>
        </w:rPr>
      </w:pPr>
    </w:p>
    <w:p w14:paraId="42703096" w14:textId="77777777" w:rsidR="000A2B8B" w:rsidRDefault="000A2B8B" w:rsidP="0005255F">
      <w:pPr>
        <w:autoSpaceDE w:val="0"/>
        <w:autoSpaceDN w:val="0"/>
        <w:adjustRightInd w:val="0"/>
        <w:spacing w:after="0" w:line="240" w:lineRule="auto"/>
        <w:jc w:val="center"/>
        <w:rPr>
          <w:rFonts w:ascii="Arial" w:hAnsi="Arial" w:cs="Arial"/>
          <w:b/>
          <w:bCs/>
          <w:sz w:val="24"/>
          <w:szCs w:val="24"/>
        </w:rPr>
      </w:pPr>
    </w:p>
    <w:p w14:paraId="7EF8ECB1" w14:textId="2D8695EA" w:rsidR="00FE4DB7" w:rsidRPr="00FE4DB7" w:rsidRDefault="00FE4DB7" w:rsidP="008F1049">
      <w:pPr>
        <w:pStyle w:val="Prrafodelista"/>
        <w:autoSpaceDE w:val="0"/>
        <w:autoSpaceDN w:val="0"/>
        <w:adjustRightInd w:val="0"/>
        <w:ind w:left="426" w:hanging="426"/>
        <w:jc w:val="both"/>
        <w:rPr>
          <w:rFonts w:ascii="Arial" w:hAnsi="Arial" w:cs="Arial"/>
          <w:sz w:val="16"/>
          <w:szCs w:val="16"/>
        </w:rPr>
      </w:pPr>
      <w:r w:rsidRPr="00FE4DB7">
        <w:rPr>
          <w:rFonts w:ascii="Arial" w:hAnsi="Arial" w:cs="Arial"/>
          <w:sz w:val="16"/>
          <w:szCs w:val="16"/>
        </w:rPr>
        <w:t xml:space="preserve">Nota: se incluye al </w:t>
      </w:r>
      <w:r w:rsidR="000727D9">
        <w:rPr>
          <w:rFonts w:ascii="Arial" w:hAnsi="Arial" w:cs="Arial"/>
          <w:sz w:val="16"/>
          <w:szCs w:val="16"/>
        </w:rPr>
        <w:t>p</w:t>
      </w:r>
      <w:r w:rsidRPr="00FE4DB7">
        <w:rPr>
          <w:rFonts w:ascii="Arial" w:hAnsi="Arial" w:cs="Arial"/>
          <w:sz w:val="16"/>
          <w:szCs w:val="16"/>
        </w:rPr>
        <w:t>residente de la República. En el caso de las Empresas productivas del Estado y sus subsidiarias</w:t>
      </w:r>
      <w:r w:rsidR="00011F93">
        <w:rPr>
          <w:rFonts w:ascii="Arial" w:hAnsi="Arial" w:cs="Arial"/>
          <w:sz w:val="16"/>
          <w:szCs w:val="16"/>
        </w:rPr>
        <w:t xml:space="preserve"> se</w:t>
      </w:r>
      <w:r w:rsidRPr="00FE4DB7">
        <w:rPr>
          <w:rFonts w:ascii="Arial" w:hAnsi="Arial" w:cs="Arial"/>
          <w:sz w:val="16"/>
          <w:szCs w:val="16"/>
        </w:rPr>
        <w:t xml:space="preserve"> incluye</w:t>
      </w:r>
      <w:r w:rsidR="005A70DF">
        <w:rPr>
          <w:rFonts w:ascii="Arial" w:hAnsi="Arial" w:cs="Arial"/>
          <w:sz w:val="16"/>
          <w:szCs w:val="16"/>
        </w:rPr>
        <w:t xml:space="preserve"> a</w:t>
      </w:r>
      <w:r w:rsidRPr="00FE4DB7">
        <w:rPr>
          <w:rFonts w:ascii="Arial" w:hAnsi="Arial" w:cs="Arial"/>
          <w:sz w:val="16"/>
          <w:szCs w:val="16"/>
        </w:rPr>
        <w:t xml:space="preserve"> Petróleos Mexicanos  (Pemex Consolidado, Pemex Exploración y Producción, Pemex Fertilizantes, Pemex Logística, Pemex Transformación Industrial y Pemex Corporativo)</w:t>
      </w:r>
      <w:r w:rsidR="0014054B">
        <w:rPr>
          <w:rFonts w:ascii="Arial" w:hAnsi="Arial" w:cs="Arial"/>
          <w:sz w:val="16"/>
          <w:szCs w:val="16"/>
        </w:rPr>
        <w:t>,</w:t>
      </w:r>
      <w:r w:rsidRPr="00FE4DB7">
        <w:rPr>
          <w:rFonts w:ascii="Arial" w:hAnsi="Arial" w:cs="Arial"/>
          <w:sz w:val="16"/>
          <w:szCs w:val="16"/>
        </w:rPr>
        <w:t xml:space="preserve"> así como</w:t>
      </w:r>
      <w:r w:rsidR="005A70DF">
        <w:rPr>
          <w:rFonts w:ascii="Arial" w:hAnsi="Arial" w:cs="Arial"/>
          <w:sz w:val="16"/>
          <w:szCs w:val="16"/>
        </w:rPr>
        <w:t xml:space="preserve"> a la</w:t>
      </w:r>
      <w:r w:rsidRPr="00FE4DB7">
        <w:rPr>
          <w:rFonts w:ascii="Arial" w:hAnsi="Arial" w:cs="Arial"/>
          <w:sz w:val="16"/>
          <w:szCs w:val="16"/>
        </w:rPr>
        <w:t xml:space="preserve"> Comisión Federal de Electricidad (Comisión Federal de Electricidad Consolidado, CFE Generación I, CFE Generación II, CFE Generación III, CFE Generación IV, CFE Generación V, CFE Generación VI, CFE Distribución, CFE Suministrador de Servicios Básicos, CFE Transmisión, CFE Telecomunicaciones e Internet para todos y CFE Corporativo). Por disposición normativa, dos o más instituciones podrían tener el mismo titular.</w:t>
      </w:r>
    </w:p>
    <w:p w14:paraId="02BC7DCC" w14:textId="77777777" w:rsidR="00CD0AAB" w:rsidRDefault="00CD0AAB" w:rsidP="00596DDC">
      <w:pPr>
        <w:pStyle w:val="Default"/>
        <w:ind w:right="21"/>
        <w:jc w:val="both"/>
      </w:pPr>
    </w:p>
    <w:p w14:paraId="75B4356F" w14:textId="77777777" w:rsidR="00CD0AAB" w:rsidRDefault="00CD0AAB" w:rsidP="00596DDC">
      <w:pPr>
        <w:pStyle w:val="Default"/>
        <w:ind w:right="21"/>
        <w:jc w:val="both"/>
      </w:pPr>
    </w:p>
    <w:p w14:paraId="59399EB0" w14:textId="77777777" w:rsidR="00CD0AAB" w:rsidRDefault="00CD0AAB" w:rsidP="00596DDC">
      <w:pPr>
        <w:pStyle w:val="Default"/>
        <w:ind w:right="21"/>
        <w:jc w:val="both"/>
      </w:pPr>
    </w:p>
    <w:p w14:paraId="47B764F4" w14:textId="77777777" w:rsidR="00CD0AAB" w:rsidRDefault="00CD0AAB" w:rsidP="00596DDC">
      <w:pPr>
        <w:pStyle w:val="Default"/>
        <w:ind w:right="21"/>
        <w:jc w:val="both"/>
      </w:pPr>
    </w:p>
    <w:p w14:paraId="201C37D1" w14:textId="77777777" w:rsidR="00CD0AAB" w:rsidRDefault="00CD0AAB" w:rsidP="00596DDC">
      <w:pPr>
        <w:pStyle w:val="Default"/>
        <w:ind w:right="21"/>
        <w:jc w:val="both"/>
      </w:pPr>
    </w:p>
    <w:p w14:paraId="196BC0A2" w14:textId="77777777" w:rsidR="00CD0AAB" w:rsidRDefault="00CD0AAB" w:rsidP="00596DDC">
      <w:pPr>
        <w:pStyle w:val="Default"/>
        <w:ind w:right="21"/>
        <w:jc w:val="both"/>
      </w:pPr>
    </w:p>
    <w:p w14:paraId="37263861" w14:textId="77777777" w:rsidR="00CD0AAB" w:rsidRDefault="00CD0AAB" w:rsidP="00596DDC">
      <w:pPr>
        <w:pStyle w:val="Default"/>
        <w:ind w:right="21"/>
        <w:jc w:val="both"/>
      </w:pPr>
    </w:p>
    <w:p w14:paraId="4E17E214" w14:textId="77777777" w:rsidR="00CD0AAB" w:rsidRDefault="00CD0AAB" w:rsidP="00596DDC">
      <w:pPr>
        <w:pStyle w:val="Default"/>
        <w:ind w:right="21"/>
        <w:jc w:val="both"/>
      </w:pPr>
    </w:p>
    <w:p w14:paraId="5CA2CD76" w14:textId="77777777" w:rsidR="00CD0AAB" w:rsidRDefault="00CD0AAB" w:rsidP="00596DDC">
      <w:pPr>
        <w:pStyle w:val="Default"/>
        <w:ind w:right="21"/>
        <w:jc w:val="both"/>
      </w:pPr>
    </w:p>
    <w:p w14:paraId="5CD7D738" w14:textId="77777777" w:rsidR="00CD0AAB" w:rsidRDefault="00CD0AAB" w:rsidP="00596DDC">
      <w:pPr>
        <w:pStyle w:val="Default"/>
        <w:ind w:right="21"/>
        <w:jc w:val="both"/>
      </w:pPr>
    </w:p>
    <w:p w14:paraId="42E71E17" w14:textId="77777777" w:rsidR="00CD0AAB" w:rsidRDefault="00CD0AAB" w:rsidP="00596DDC">
      <w:pPr>
        <w:pStyle w:val="Default"/>
        <w:ind w:right="21"/>
        <w:jc w:val="both"/>
      </w:pPr>
    </w:p>
    <w:p w14:paraId="4B5855DD" w14:textId="72CBE0F5" w:rsidR="004B5990" w:rsidRPr="006E65D2" w:rsidRDefault="00FE4DB7" w:rsidP="00596DDC">
      <w:pPr>
        <w:pStyle w:val="Default"/>
        <w:ind w:right="21"/>
        <w:jc w:val="both"/>
        <w:rPr>
          <w:color w:val="000000" w:themeColor="text1"/>
        </w:rPr>
      </w:pPr>
      <w:r w:rsidRPr="00FE4DB7">
        <w:lastRenderedPageBreak/>
        <w:t>De acuerdo con la función principal de las instituciones, los hombres predominan</w:t>
      </w:r>
      <w:r w:rsidR="00CD0AAB">
        <w:t xml:space="preserve"> como titulares</w:t>
      </w:r>
      <w:r w:rsidRPr="00FE4DB7">
        <w:t xml:space="preserve"> en instituciones cuyas principales funciones son: </w:t>
      </w:r>
      <w:r w:rsidRPr="00E86CBC">
        <w:rPr>
          <w:i/>
          <w:iCs/>
        </w:rPr>
        <w:t>Asuntos indígenas, Asuntos jurídicos, Cultura física y/o deporte, Despacho del ejecutivo, Protección civil, Protección y seguridad social, Reinserción social, Seguridad nacional</w:t>
      </w:r>
      <w:r w:rsidRPr="00FE4DB7">
        <w:t xml:space="preserve"> y </w:t>
      </w:r>
      <w:r w:rsidRPr="00E86CBC">
        <w:rPr>
          <w:i/>
          <w:iCs/>
        </w:rPr>
        <w:t>Turismo</w:t>
      </w:r>
      <w:r w:rsidR="002E5494">
        <w:rPr>
          <w:i/>
          <w:iCs/>
        </w:rPr>
        <w:t>.</w:t>
      </w:r>
      <w:r w:rsidRPr="00FE4DB7">
        <w:t xml:space="preserve"> </w:t>
      </w:r>
      <w:r w:rsidR="002E5494">
        <w:t>L</w:t>
      </w:r>
      <w:r w:rsidRPr="00FE4DB7">
        <w:t>as mujeres encabezan</w:t>
      </w:r>
      <w:r w:rsidR="00CD0AAB">
        <w:t xml:space="preserve"> principalmente</w:t>
      </w:r>
      <w:r w:rsidRPr="00FE4DB7">
        <w:t xml:space="preserve"> instituciones orientadas a la </w:t>
      </w:r>
      <w:r w:rsidRPr="00E86CBC">
        <w:rPr>
          <w:i/>
          <w:iCs/>
        </w:rPr>
        <w:t>Igualdad de género y/o derechos de las mujeres.</w:t>
      </w:r>
    </w:p>
    <w:p w14:paraId="35505A76" w14:textId="77777777" w:rsidR="0087144A" w:rsidRDefault="0087144A" w:rsidP="0005255F">
      <w:pPr>
        <w:pStyle w:val="Default"/>
        <w:jc w:val="both"/>
      </w:pPr>
    </w:p>
    <w:p w14:paraId="3075E53A" w14:textId="0D87B874" w:rsidR="004B5990" w:rsidRPr="004B5990" w:rsidRDefault="004B5990" w:rsidP="0005255F">
      <w:pPr>
        <w:pStyle w:val="Default"/>
        <w:spacing w:after="10"/>
        <w:ind w:right="284"/>
        <w:jc w:val="center"/>
        <w:rPr>
          <w:bCs/>
          <w:iCs/>
          <w:color w:val="000000" w:themeColor="text1"/>
          <w:sz w:val="20"/>
          <w:szCs w:val="20"/>
        </w:rPr>
      </w:pPr>
      <w:r w:rsidRPr="004B5990">
        <w:rPr>
          <w:bCs/>
          <w:iCs/>
          <w:color w:val="000000" w:themeColor="text1"/>
          <w:sz w:val="20"/>
          <w:szCs w:val="20"/>
        </w:rPr>
        <w:t xml:space="preserve">Gráfica </w:t>
      </w:r>
      <w:r w:rsidR="00CD0AAB">
        <w:rPr>
          <w:bCs/>
          <w:iCs/>
          <w:color w:val="000000" w:themeColor="text1"/>
          <w:sz w:val="20"/>
          <w:szCs w:val="20"/>
        </w:rPr>
        <w:t>4</w:t>
      </w:r>
    </w:p>
    <w:p w14:paraId="08879DCD" w14:textId="77777777" w:rsidR="00FE4DB7" w:rsidRDefault="00FE4DB7" w:rsidP="0005255F">
      <w:pPr>
        <w:pStyle w:val="Default"/>
        <w:spacing w:after="10"/>
        <w:ind w:right="-283"/>
        <w:jc w:val="center"/>
        <w:rPr>
          <w:rFonts w:ascii="Arial Negrita" w:hAnsi="Arial Negrita"/>
          <w:b/>
          <w:bCs/>
          <w:iCs/>
          <w:smallCaps/>
          <w:color w:val="000000" w:themeColor="text1"/>
          <w:sz w:val="22"/>
          <w:szCs w:val="22"/>
        </w:rPr>
      </w:pPr>
      <w:r w:rsidRPr="00FE4DB7">
        <w:rPr>
          <w:rFonts w:ascii="Arial Negrita" w:hAnsi="Arial Negrita"/>
          <w:b/>
          <w:bCs/>
          <w:iCs/>
          <w:smallCaps/>
          <w:color w:val="000000" w:themeColor="text1"/>
          <w:sz w:val="22"/>
          <w:szCs w:val="22"/>
        </w:rPr>
        <w:t xml:space="preserve">Titulares de las instituciones de la Administración Pública Federal, según función </w:t>
      </w:r>
    </w:p>
    <w:p w14:paraId="6388BCC1" w14:textId="39FEC206" w:rsidR="00201B09" w:rsidRDefault="00FE4DB7" w:rsidP="0005255F">
      <w:pPr>
        <w:pStyle w:val="Default"/>
        <w:spacing w:after="10"/>
        <w:ind w:right="-283"/>
        <w:jc w:val="center"/>
        <w:rPr>
          <w:rFonts w:ascii="Arial Negrita" w:hAnsi="Arial Negrita"/>
          <w:b/>
          <w:bCs/>
          <w:iCs/>
          <w:smallCaps/>
          <w:color w:val="000000" w:themeColor="text1"/>
          <w:sz w:val="22"/>
          <w:szCs w:val="22"/>
        </w:rPr>
      </w:pPr>
      <w:r w:rsidRPr="00FE4DB7">
        <w:rPr>
          <w:rFonts w:ascii="Arial Negrita" w:hAnsi="Arial Negrita"/>
          <w:b/>
          <w:bCs/>
          <w:iCs/>
          <w:smallCaps/>
          <w:color w:val="000000" w:themeColor="text1"/>
          <w:sz w:val="22"/>
          <w:szCs w:val="22"/>
        </w:rPr>
        <w:t xml:space="preserve">principal </w:t>
      </w:r>
    </w:p>
    <w:p w14:paraId="699FC7D7" w14:textId="6ED7B006" w:rsidR="004B5990" w:rsidRPr="00E75578" w:rsidRDefault="00FE4DB7" w:rsidP="0005255F">
      <w:pPr>
        <w:pStyle w:val="Default"/>
        <w:spacing w:after="10"/>
        <w:ind w:right="-283"/>
        <w:jc w:val="center"/>
        <w:rPr>
          <w:iCs/>
          <w:smallCaps/>
          <w:color w:val="000000" w:themeColor="text1"/>
          <w:sz w:val="18"/>
          <w:szCs w:val="18"/>
        </w:rPr>
      </w:pPr>
      <w:r w:rsidRPr="00E75578">
        <w:rPr>
          <w:iCs/>
          <w:smallCaps/>
          <w:color w:val="000000" w:themeColor="text1"/>
          <w:sz w:val="18"/>
          <w:szCs w:val="18"/>
        </w:rPr>
        <w:t>2020</w:t>
      </w:r>
    </w:p>
    <w:p w14:paraId="1EF610AD" w14:textId="5EA0AE22" w:rsidR="00FE4DB7" w:rsidRDefault="00AF4F77" w:rsidP="0005255F">
      <w:pPr>
        <w:pStyle w:val="Default"/>
        <w:spacing w:after="10"/>
        <w:ind w:right="-283"/>
        <w:jc w:val="center"/>
        <w:rPr>
          <w:rFonts w:ascii="Arial Negrita" w:hAnsi="Arial Negrita"/>
          <w:b/>
          <w:bCs/>
          <w:iCs/>
          <w:smallCaps/>
          <w:color w:val="000000" w:themeColor="text1"/>
          <w:sz w:val="22"/>
          <w:szCs w:val="22"/>
        </w:rPr>
      </w:pPr>
      <w:r>
        <w:rPr>
          <w:noProof/>
        </w:rPr>
        <w:drawing>
          <wp:inline distT="0" distB="0" distL="0" distR="0" wp14:anchorId="554531EE" wp14:editId="12F1483C">
            <wp:extent cx="6576060" cy="4781550"/>
            <wp:effectExtent l="0" t="0" r="0" b="0"/>
            <wp:docPr id="9" name="Gráfico 9">
              <a:extLst xmlns:a="http://schemas.openxmlformats.org/drawingml/2006/main">
                <a:ext uri="{FF2B5EF4-FFF2-40B4-BE49-F238E27FC236}">
                  <a16:creationId xmlns:a16="http://schemas.microsoft.com/office/drawing/2014/main" id="{C8BF0D9C-3A78-477E-BA52-936F8DDB9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BA0469" w14:textId="744809FB" w:rsidR="00FE4DB7" w:rsidRDefault="00FE4DB7" w:rsidP="0005255F">
      <w:pPr>
        <w:pStyle w:val="Default"/>
        <w:spacing w:after="10"/>
        <w:ind w:right="-283"/>
        <w:jc w:val="center"/>
        <w:rPr>
          <w:rFonts w:ascii="Arial Negrita" w:hAnsi="Arial Negrita"/>
          <w:b/>
          <w:bCs/>
          <w:iCs/>
          <w:smallCaps/>
          <w:color w:val="000000" w:themeColor="text1"/>
          <w:sz w:val="22"/>
          <w:szCs w:val="22"/>
        </w:rPr>
      </w:pPr>
    </w:p>
    <w:p w14:paraId="0AB3DA39" w14:textId="59124E26" w:rsidR="00FE4DB7" w:rsidRPr="00AF4F77" w:rsidRDefault="00AF4F77" w:rsidP="008F1049">
      <w:pPr>
        <w:pStyle w:val="Prrafodelista"/>
        <w:autoSpaceDE w:val="0"/>
        <w:autoSpaceDN w:val="0"/>
        <w:adjustRightInd w:val="0"/>
        <w:ind w:left="426" w:hanging="426"/>
        <w:jc w:val="both"/>
        <w:rPr>
          <w:rFonts w:ascii="Arial" w:hAnsi="Arial" w:cs="Arial"/>
          <w:sz w:val="16"/>
          <w:szCs w:val="16"/>
        </w:rPr>
      </w:pPr>
      <w:r w:rsidRPr="00AF4F77">
        <w:rPr>
          <w:rFonts w:ascii="Arial" w:hAnsi="Arial" w:cs="Arial"/>
          <w:sz w:val="16"/>
          <w:szCs w:val="16"/>
        </w:rPr>
        <w:t>Nota: no se incluye la categoría No especificado que correspondió en 100% a hombres. No se incluyen las vacantes. En el caso de las Empresas productivas del Estado y sus subsidiarias se incluye</w:t>
      </w:r>
      <w:r w:rsidR="00011F93">
        <w:rPr>
          <w:rFonts w:ascii="Arial" w:hAnsi="Arial" w:cs="Arial"/>
          <w:sz w:val="16"/>
          <w:szCs w:val="16"/>
        </w:rPr>
        <w:t xml:space="preserve"> a</w:t>
      </w:r>
      <w:r w:rsidRPr="00AF4F77">
        <w:rPr>
          <w:rFonts w:ascii="Arial" w:hAnsi="Arial" w:cs="Arial"/>
          <w:sz w:val="16"/>
          <w:szCs w:val="16"/>
        </w:rPr>
        <w:t xml:space="preserve"> Petróleos Mexicanos  (Pemex Consolidado, Pemex Exploración y Producción, Pemex Fertilizantes, Pemex Logística, Pemex Transformación Industrial y Pemex Corporativo)</w:t>
      </w:r>
      <w:r w:rsidR="0014054B">
        <w:rPr>
          <w:rFonts w:ascii="Arial" w:hAnsi="Arial" w:cs="Arial"/>
          <w:sz w:val="16"/>
          <w:szCs w:val="16"/>
        </w:rPr>
        <w:t>,</w:t>
      </w:r>
      <w:r w:rsidRPr="00AF4F77">
        <w:rPr>
          <w:rFonts w:ascii="Arial" w:hAnsi="Arial" w:cs="Arial"/>
          <w:sz w:val="16"/>
          <w:szCs w:val="16"/>
        </w:rPr>
        <w:t xml:space="preserve"> así como</w:t>
      </w:r>
      <w:r w:rsidR="0014054B">
        <w:rPr>
          <w:rFonts w:ascii="Arial" w:hAnsi="Arial" w:cs="Arial"/>
          <w:sz w:val="16"/>
          <w:szCs w:val="16"/>
        </w:rPr>
        <w:t xml:space="preserve"> a la</w:t>
      </w:r>
      <w:r w:rsidRPr="00AF4F77">
        <w:rPr>
          <w:rFonts w:ascii="Arial" w:hAnsi="Arial" w:cs="Arial"/>
          <w:sz w:val="16"/>
          <w:szCs w:val="16"/>
        </w:rPr>
        <w:t xml:space="preserve"> Comisión Federal de Electricidad (Comisión Federal de Electricidad Consolidado, CFE Generación I, CFE Generación II, CFE Generación III, CFE Generación IV, CFE Generación V, CFE Generación VI, CFE Distribución, CFE Suministrador de Servicios Básicos, CFE Transmisión, CFE Telecomunicaciones e Internet para todos y CFE Corporativo). Para los titulares que tienen a su cargo más de una institución, solo se reportan en la</w:t>
      </w:r>
      <w:r>
        <w:rPr>
          <w:rFonts w:ascii="Arial" w:hAnsi="Arial" w:cs="Arial"/>
          <w:sz w:val="16"/>
          <w:szCs w:val="16"/>
        </w:rPr>
        <w:t xml:space="preserve"> </w:t>
      </w:r>
      <w:r w:rsidRPr="00AF4F77">
        <w:rPr>
          <w:rFonts w:ascii="Arial" w:hAnsi="Arial" w:cs="Arial"/>
          <w:sz w:val="16"/>
          <w:szCs w:val="16"/>
        </w:rPr>
        <w:t>función de aquella considerada como principal.</w:t>
      </w:r>
    </w:p>
    <w:p w14:paraId="31C27A9E" w14:textId="2E4CE325" w:rsidR="004B5990" w:rsidRDefault="00FB70F9" w:rsidP="0005255F">
      <w:pPr>
        <w:pStyle w:val="Default"/>
        <w:spacing w:after="10"/>
        <w:jc w:val="both"/>
      </w:pPr>
      <w:r w:rsidRPr="00FB70F9">
        <w:lastRenderedPageBreak/>
        <w:t>En cuanto a sus características sociodemográficas</w:t>
      </w:r>
      <w:r w:rsidR="00670DD0">
        <w:rPr>
          <w:rStyle w:val="Refdenotaalpie"/>
        </w:rPr>
        <w:footnoteReference w:id="7"/>
      </w:r>
      <w:r w:rsidRPr="00FB70F9">
        <w:t>,</w:t>
      </w:r>
      <w:r w:rsidR="00E75578">
        <w:t xml:space="preserve"> </w:t>
      </w:r>
      <w:r w:rsidRPr="00FB70F9">
        <w:t xml:space="preserve">el promedio de edad de los titulares hombres fue de 60.1 años, mientras que </w:t>
      </w:r>
      <w:r w:rsidR="00F230E8">
        <w:t>el de</w:t>
      </w:r>
      <w:r w:rsidR="00F230E8" w:rsidRPr="00FB70F9">
        <w:t xml:space="preserve"> </w:t>
      </w:r>
      <w:r w:rsidRPr="00FB70F9">
        <w:t xml:space="preserve">las titulares mujeres fue de 57.3 años. </w:t>
      </w:r>
    </w:p>
    <w:p w14:paraId="693825BC" w14:textId="77777777" w:rsidR="005101B6" w:rsidRDefault="005101B6" w:rsidP="0005255F">
      <w:pPr>
        <w:pStyle w:val="Default"/>
        <w:spacing w:after="10"/>
        <w:jc w:val="both"/>
      </w:pPr>
    </w:p>
    <w:p w14:paraId="5A9323E8" w14:textId="77777777" w:rsidR="00F63C72" w:rsidRDefault="00F63C72" w:rsidP="0005255F">
      <w:pPr>
        <w:pStyle w:val="Default"/>
        <w:spacing w:after="10"/>
        <w:jc w:val="both"/>
        <w:rPr>
          <w:b/>
          <w:bCs/>
          <w:i/>
          <w:iCs/>
          <w:color w:val="706F6F"/>
          <w:sz w:val="18"/>
        </w:rPr>
      </w:pPr>
    </w:p>
    <w:p w14:paraId="49F55AAE" w14:textId="77777777" w:rsidR="00BE75BD" w:rsidRDefault="00BE75BD" w:rsidP="0005255F">
      <w:pPr>
        <w:pStyle w:val="Default"/>
        <w:spacing w:after="10"/>
        <w:ind w:right="284"/>
        <w:jc w:val="center"/>
        <w:rPr>
          <w:bCs/>
          <w:iCs/>
          <w:color w:val="000000" w:themeColor="text1"/>
          <w:sz w:val="20"/>
          <w:szCs w:val="20"/>
        </w:rPr>
      </w:pPr>
    </w:p>
    <w:p w14:paraId="5CCFBE75" w14:textId="2ABBF543" w:rsidR="00593C21" w:rsidRPr="00593C21" w:rsidRDefault="004B5990" w:rsidP="0005255F">
      <w:pPr>
        <w:pStyle w:val="Default"/>
        <w:spacing w:after="10"/>
        <w:ind w:right="284"/>
        <w:jc w:val="center"/>
        <w:rPr>
          <w:bCs/>
          <w:iCs/>
          <w:color w:val="000000" w:themeColor="text1"/>
          <w:sz w:val="20"/>
          <w:szCs w:val="20"/>
        </w:rPr>
      </w:pPr>
      <w:r w:rsidRPr="00593C21">
        <w:rPr>
          <w:bCs/>
          <w:iCs/>
          <w:color w:val="000000" w:themeColor="text1"/>
          <w:sz w:val="20"/>
          <w:szCs w:val="20"/>
        </w:rPr>
        <w:t xml:space="preserve">Gráfica </w:t>
      </w:r>
      <w:r w:rsidR="006D6264">
        <w:rPr>
          <w:bCs/>
          <w:iCs/>
          <w:color w:val="000000" w:themeColor="text1"/>
          <w:sz w:val="20"/>
          <w:szCs w:val="20"/>
        </w:rPr>
        <w:t>5</w:t>
      </w:r>
    </w:p>
    <w:p w14:paraId="366E34C7" w14:textId="77777777" w:rsidR="00BB34E7" w:rsidRDefault="004B5990" w:rsidP="0005255F">
      <w:pPr>
        <w:pStyle w:val="Default"/>
        <w:spacing w:after="10"/>
        <w:ind w:right="284"/>
        <w:jc w:val="center"/>
        <w:rPr>
          <w:rFonts w:ascii="Arial Negrita" w:hAnsi="Arial Negrita"/>
          <w:b/>
          <w:bCs/>
          <w:iCs/>
          <w:smallCaps/>
          <w:color w:val="000000" w:themeColor="text1"/>
          <w:sz w:val="20"/>
          <w:szCs w:val="20"/>
        </w:rPr>
      </w:pPr>
      <w:r w:rsidRPr="00E63368">
        <w:rPr>
          <w:b/>
          <w:bCs/>
          <w:i/>
          <w:iCs/>
          <w:color w:val="000000" w:themeColor="text1"/>
          <w:sz w:val="22"/>
          <w:szCs w:val="22"/>
        </w:rPr>
        <w:t xml:space="preserve"> </w:t>
      </w:r>
      <w:r w:rsidR="00FB70F9" w:rsidRPr="00E63368">
        <w:rPr>
          <w:rFonts w:ascii="Arial Negrita" w:hAnsi="Arial Negrita"/>
          <w:b/>
          <w:bCs/>
          <w:iCs/>
          <w:smallCaps/>
          <w:color w:val="000000" w:themeColor="text1"/>
          <w:sz w:val="22"/>
          <w:szCs w:val="22"/>
        </w:rPr>
        <w:t>T</w:t>
      </w:r>
      <w:r w:rsidR="00FB70F9" w:rsidRPr="00E63368">
        <w:rPr>
          <w:rFonts w:ascii="Arial Negrita" w:hAnsi="Arial Negrita"/>
          <w:b/>
          <w:bCs/>
          <w:iCs/>
          <w:smallCaps/>
          <w:color w:val="000000" w:themeColor="text1"/>
          <w:sz w:val="20"/>
          <w:szCs w:val="20"/>
        </w:rPr>
        <w:t xml:space="preserve">ITULARES SEGÚN </w:t>
      </w:r>
      <w:r w:rsidR="00E63368" w:rsidRPr="00E63368">
        <w:rPr>
          <w:rFonts w:ascii="Arial Negrita" w:hAnsi="Arial Negrita"/>
          <w:b/>
          <w:bCs/>
          <w:iCs/>
          <w:smallCaps/>
          <w:color w:val="000000" w:themeColor="text1"/>
          <w:sz w:val="20"/>
          <w:szCs w:val="20"/>
        </w:rPr>
        <w:t>RANGO DE EDAD</w:t>
      </w:r>
      <w:r w:rsidR="00E63368">
        <w:rPr>
          <w:rFonts w:ascii="Arial Negrita" w:hAnsi="Arial Negrita"/>
          <w:b/>
          <w:bCs/>
          <w:iCs/>
          <w:smallCaps/>
          <w:color w:val="000000" w:themeColor="text1"/>
          <w:sz w:val="20"/>
          <w:szCs w:val="20"/>
        </w:rPr>
        <w:t xml:space="preserve"> </w:t>
      </w:r>
    </w:p>
    <w:p w14:paraId="0D87FD96" w14:textId="19002A94" w:rsidR="004B5990" w:rsidRPr="00E75578" w:rsidRDefault="004B5990" w:rsidP="0005255F">
      <w:pPr>
        <w:pStyle w:val="Default"/>
        <w:spacing w:after="10"/>
        <w:ind w:right="284"/>
        <w:jc w:val="center"/>
        <w:rPr>
          <w:i/>
          <w:iCs/>
          <w:color w:val="000000" w:themeColor="text1"/>
          <w:sz w:val="18"/>
          <w:szCs w:val="18"/>
        </w:rPr>
      </w:pPr>
      <w:r w:rsidRPr="00E75578">
        <w:rPr>
          <w:iCs/>
          <w:smallCaps/>
          <w:color w:val="000000" w:themeColor="text1"/>
          <w:sz w:val="18"/>
          <w:szCs w:val="18"/>
        </w:rPr>
        <w:t>2020</w:t>
      </w:r>
    </w:p>
    <w:p w14:paraId="7A5390C5" w14:textId="775A9A10" w:rsidR="00FB70F9" w:rsidRDefault="00FB70F9" w:rsidP="00FB70F9">
      <w:pPr>
        <w:pStyle w:val="Default"/>
        <w:spacing w:after="10"/>
        <w:ind w:left="-567"/>
        <w:jc w:val="center"/>
      </w:pPr>
      <w:r>
        <w:rPr>
          <w:noProof/>
        </w:rPr>
        <w:drawing>
          <wp:inline distT="0" distB="0" distL="0" distR="0" wp14:anchorId="69D53E2A" wp14:editId="69FAB047">
            <wp:extent cx="5475605" cy="1962150"/>
            <wp:effectExtent l="0" t="0" r="0" b="0"/>
            <wp:docPr id="10" name="Gráfico 10">
              <a:extLst xmlns:a="http://schemas.openxmlformats.org/drawingml/2006/main">
                <a:ext uri="{FF2B5EF4-FFF2-40B4-BE49-F238E27FC236}">
                  <a16:creationId xmlns:a16="http://schemas.microsoft.com/office/drawing/2014/main" id="{229BFF33-216F-44B7-9C71-28D6793217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5B54B5" w14:textId="77777777" w:rsidR="005101B6" w:rsidRDefault="005101B6" w:rsidP="0005255F">
      <w:pPr>
        <w:pStyle w:val="Default"/>
        <w:spacing w:after="10"/>
        <w:jc w:val="both"/>
      </w:pPr>
    </w:p>
    <w:p w14:paraId="3B0D7D26" w14:textId="3A2B0700" w:rsidR="006E65D2" w:rsidRDefault="005101B6" w:rsidP="0005255F">
      <w:pPr>
        <w:pStyle w:val="Default"/>
        <w:spacing w:after="10"/>
        <w:jc w:val="both"/>
      </w:pPr>
      <w:r w:rsidRPr="00FB70F9">
        <w:t xml:space="preserve">En términos de </w:t>
      </w:r>
      <w:r w:rsidR="00E12E50">
        <w:t>los</w:t>
      </w:r>
      <w:r w:rsidR="00E12E50" w:rsidRPr="00FB70F9">
        <w:t xml:space="preserve"> </w:t>
      </w:r>
      <w:r w:rsidRPr="00FB70F9">
        <w:t>ingresos brutos mensuales</w:t>
      </w:r>
      <w:r w:rsidR="00E12E50">
        <w:t xml:space="preserve"> percibidos por las personas titulares de las instituciones de la Administración Pública Federal, destaca que</w:t>
      </w:r>
      <w:r w:rsidRPr="00FB70F9">
        <w:t xml:space="preserve"> los hombres percibieron en promedio 135</w:t>
      </w:r>
      <w:r>
        <w:t>,</w:t>
      </w:r>
      <w:r w:rsidRPr="00FB70F9">
        <w:t xml:space="preserve">440.5 pesos, mientras que las mujeres </w:t>
      </w:r>
      <w:r w:rsidR="00E75578">
        <w:t>rec</w:t>
      </w:r>
      <w:r w:rsidRPr="00FB70F9">
        <w:t>ibieron 140</w:t>
      </w:r>
      <w:r>
        <w:t>,</w:t>
      </w:r>
      <w:r w:rsidRPr="00FB70F9">
        <w:t>982.7 pesos.</w:t>
      </w:r>
    </w:p>
    <w:p w14:paraId="1D05E9E9" w14:textId="5DD73102" w:rsidR="00BE75BD" w:rsidRDefault="00BE75BD" w:rsidP="0005255F">
      <w:pPr>
        <w:pStyle w:val="Default"/>
        <w:spacing w:after="10"/>
        <w:ind w:right="284"/>
        <w:jc w:val="center"/>
        <w:rPr>
          <w:bCs/>
          <w:iCs/>
          <w:color w:val="000000" w:themeColor="text1"/>
          <w:sz w:val="20"/>
          <w:szCs w:val="20"/>
        </w:rPr>
      </w:pPr>
    </w:p>
    <w:p w14:paraId="23800434" w14:textId="77777777" w:rsidR="005101B6" w:rsidRDefault="005101B6" w:rsidP="0005255F">
      <w:pPr>
        <w:pStyle w:val="Default"/>
        <w:spacing w:after="10"/>
        <w:ind w:right="284"/>
        <w:jc w:val="center"/>
        <w:rPr>
          <w:bCs/>
          <w:iCs/>
          <w:color w:val="000000" w:themeColor="text1"/>
          <w:sz w:val="20"/>
          <w:szCs w:val="20"/>
        </w:rPr>
      </w:pPr>
    </w:p>
    <w:p w14:paraId="209DCE0B" w14:textId="62B3B193" w:rsidR="00593C21" w:rsidRPr="00593C21" w:rsidRDefault="004B5990" w:rsidP="0005255F">
      <w:pPr>
        <w:pStyle w:val="Default"/>
        <w:spacing w:after="10"/>
        <w:ind w:right="284"/>
        <w:jc w:val="center"/>
        <w:rPr>
          <w:bCs/>
          <w:iCs/>
          <w:color w:val="000000" w:themeColor="text1"/>
          <w:sz w:val="20"/>
          <w:szCs w:val="20"/>
        </w:rPr>
      </w:pPr>
      <w:r w:rsidRPr="00593C21">
        <w:rPr>
          <w:bCs/>
          <w:iCs/>
          <w:color w:val="000000" w:themeColor="text1"/>
          <w:sz w:val="20"/>
          <w:szCs w:val="20"/>
        </w:rPr>
        <w:t xml:space="preserve">Gráfica </w:t>
      </w:r>
      <w:r w:rsidR="006D6264">
        <w:rPr>
          <w:bCs/>
          <w:iCs/>
          <w:color w:val="000000" w:themeColor="text1"/>
          <w:sz w:val="20"/>
          <w:szCs w:val="20"/>
        </w:rPr>
        <w:t>6</w:t>
      </w:r>
    </w:p>
    <w:p w14:paraId="260A29E2" w14:textId="77777777" w:rsidR="00BB34E7" w:rsidRDefault="003F1D09" w:rsidP="0005255F">
      <w:pPr>
        <w:pStyle w:val="Default"/>
        <w:spacing w:after="10"/>
        <w:ind w:right="284"/>
        <w:jc w:val="center"/>
        <w:rPr>
          <w:rFonts w:ascii="Arial Negrita" w:hAnsi="Arial Negrita"/>
          <w:b/>
          <w:bCs/>
          <w:iCs/>
          <w:smallCaps/>
          <w:color w:val="000000" w:themeColor="text1"/>
          <w:sz w:val="20"/>
          <w:szCs w:val="20"/>
        </w:rPr>
      </w:pPr>
      <w:r w:rsidRPr="00E63368">
        <w:rPr>
          <w:rFonts w:ascii="Arial Negrita" w:hAnsi="Arial Negrita"/>
          <w:b/>
          <w:bCs/>
          <w:iCs/>
          <w:smallCaps/>
          <w:color w:val="000000" w:themeColor="text1"/>
          <w:sz w:val="22"/>
          <w:szCs w:val="22"/>
        </w:rPr>
        <w:t>T</w:t>
      </w:r>
      <w:r w:rsidRPr="00E63368">
        <w:rPr>
          <w:rFonts w:ascii="Arial Negrita" w:hAnsi="Arial Negrita"/>
          <w:b/>
          <w:bCs/>
          <w:iCs/>
          <w:smallCaps/>
          <w:color w:val="000000" w:themeColor="text1"/>
          <w:sz w:val="20"/>
          <w:szCs w:val="20"/>
        </w:rPr>
        <w:t xml:space="preserve">ITULARES SEGÚN </w:t>
      </w:r>
      <w:r>
        <w:rPr>
          <w:rFonts w:ascii="Arial Negrita" w:hAnsi="Arial Negrita"/>
          <w:b/>
          <w:bCs/>
          <w:iCs/>
          <w:smallCaps/>
          <w:color w:val="000000" w:themeColor="text1"/>
          <w:sz w:val="20"/>
          <w:szCs w:val="20"/>
        </w:rPr>
        <w:t>RANGO DE INGRESOS</w:t>
      </w:r>
    </w:p>
    <w:p w14:paraId="7E81510B" w14:textId="6EF59419" w:rsidR="004B5990" w:rsidRDefault="00BB34E7" w:rsidP="0005255F">
      <w:pPr>
        <w:pStyle w:val="Default"/>
        <w:spacing w:after="10"/>
        <w:ind w:right="284"/>
        <w:jc w:val="center"/>
        <w:rPr>
          <w:b/>
          <w:bCs/>
          <w:i/>
          <w:iCs/>
          <w:color w:val="706F6F"/>
          <w:sz w:val="18"/>
        </w:rPr>
      </w:pPr>
      <w:r w:rsidRPr="00BB34E7">
        <w:rPr>
          <w:iCs/>
          <w:smallCaps/>
          <w:color w:val="000000" w:themeColor="text1"/>
          <w:sz w:val="20"/>
          <w:szCs w:val="20"/>
        </w:rPr>
        <w:t>2020</w:t>
      </w:r>
      <w:r w:rsidR="003F1D09">
        <w:rPr>
          <w:rFonts w:ascii="Arial Negrita" w:hAnsi="Arial Negrita"/>
          <w:b/>
          <w:bCs/>
          <w:iCs/>
          <w:smallCaps/>
          <w:color w:val="000000" w:themeColor="text1"/>
          <w:sz w:val="20"/>
          <w:szCs w:val="20"/>
        </w:rPr>
        <w:t xml:space="preserve"> </w:t>
      </w:r>
    </w:p>
    <w:p w14:paraId="14DCB66C" w14:textId="03564CC8" w:rsidR="003F1D09" w:rsidRDefault="003F1D09" w:rsidP="003F1D09">
      <w:pPr>
        <w:pStyle w:val="Default"/>
        <w:spacing w:after="10"/>
        <w:jc w:val="center"/>
      </w:pPr>
      <w:r>
        <w:rPr>
          <w:noProof/>
        </w:rPr>
        <w:drawing>
          <wp:inline distT="0" distB="0" distL="0" distR="0" wp14:anchorId="20CC4D14" wp14:editId="6F5C9D9B">
            <wp:extent cx="5592445" cy="2162175"/>
            <wp:effectExtent l="0" t="0" r="8255" b="0"/>
            <wp:docPr id="11" name="Gráfico 11">
              <a:extLst xmlns:a="http://schemas.openxmlformats.org/drawingml/2006/main">
                <a:ext uri="{FF2B5EF4-FFF2-40B4-BE49-F238E27FC236}">
                  <a16:creationId xmlns:a16="http://schemas.microsoft.com/office/drawing/2014/main" id="{5F575F52-CBEB-4F0F-80D5-5BB69668F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D4CE5A" w14:textId="2E5DDE24" w:rsidR="005101B6" w:rsidRDefault="005101B6" w:rsidP="005101B6">
      <w:pPr>
        <w:pStyle w:val="Default"/>
        <w:spacing w:after="10"/>
        <w:jc w:val="both"/>
      </w:pPr>
      <w:r w:rsidRPr="00FB70F9">
        <w:lastRenderedPageBreak/>
        <w:t xml:space="preserve">Por lo que respecta a </w:t>
      </w:r>
      <w:r w:rsidR="006D6264">
        <w:t>la</w:t>
      </w:r>
      <w:r w:rsidR="006D6264" w:rsidRPr="00FB70F9">
        <w:t xml:space="preserve"> </w:t>
      </w:r>
      <w:r w:rsidRPr="00FB70F9">
        <w:t>escolaridad</w:t>
      </w:r>
      <w:r w:rsidR="006D6264">
        <w:t xml:space="preserve"> de las y los titulares</w:t>
      </w:r>
      <w:r w:rsidRPr="00FB70F9">
        <w:t xml:space="preserve">, 46.9% de </w:t>
      </w:r>
      <w:r w:rsidR="006D6264">
        <w:t xml:space="preserve">los </w:t>
      </w:r>
      <w:r w:rsidRPr="00FB70F9">
        <w:t xml:space="preserve">hombres y 39.4% de </w:t>
      </w:r>
      <w:r w:rsidR="006D6264">
        <w:t xml:space="preserve">las </w:t>
      </w:r>
      <w:r w:rsidRPr="00FB70F9">
        <w:t>mujeres cont</w:t>
      </w:r>
      <w:r w:rsidR="006D6264">
        <w:t>aron</w:t>
      </w:r>
      <w:r w:rsidRPr="00FB70F9">
        <w:t xml:space="preserve"> con estudios de licenciatura.</w:t>
      </w:r>
    </w:p>
    <w:p w14:paraId="7C280990" w14:textId="77777777" w:rsidR="005101B6" w:rsidRDefault="005101B6" w:rsidP="0005255F">
      <w:pPr>
        <w:pStyle w:val="Default"/>
        <w:spacing w:after="10"/>
        <w:ind w:right="284"/>
        <w:jc w:val="center"/>
        <w:rPr>
          <w:bCs/>
          <w:iCs/>
          <w:color w:val="000000" w:themeColor="text1"/>
          <w:sz w:val="20"/>
          <w:szCs w:val="20"/>
        </w:rPr>
      </w:pPr>
    </w:p>
    <w:p w14:paraId="39D1AB1F" w14:textId="621FD302" w:rsidR="00C41C5C" w:rsidRPr="00C41C5C" w:rsidRDefault="00C41C5C" w:rsidP="0005255F">
      <w:pPr>
        <w:pStyle w:val="Default"/>
        <w:spacing w:after="10"/>
        <w:ind w:right="284"/>
        <w:jc w:val="center"/>
        <w:rPr>
          <w:bCs/>
          <w:iCs/>
          <w:color w:val="000000" w:themeColor="text1"/>
          <w:sz w:val="20"/>
          <w:szCs w:val="20"/>
        </w:rPr>
      </w:pPr>
      <w:r w:rsidRPr="00C41C5C">
        <w:rPr>
          <w:bCs/>
          <w:iCs/>
          <w:color w:val="000000" w:themeColor="text1"/>
          <w:sz w:val="20"/>
          <w:szCs w:val="20"/>
        </w:rPr>
        <w:t xml:space="preserve">Gráfica </w:t>
      </w:r>
      <w:r w:rsidR="006D6264">
        <w:rPr>
          <w:bCs/>
          <w:iCs/>
          <w:color w:val="000000" w:themeColor="text1"/>
          <w:sz w:val="20"/>
          <w:szCs w:val="20"/>
        </w:rPr>
        <w:t>7</w:t>
      </w:r>
      <w:r w:rsidRPr="00C41C5C">
        <w:rPr>
          <w:bCs/>
          <w:iCs/>
          <w:color w:val="000000" w:themeColor="text1"/>
          <w:sz w:val="20"/>
          <w:szCs w:val="20"/>
        </w:rPr>
        <w:t xml:space="preserve"> </w:t>
      </w:r>
    </w:p>
    <w:p w14:paraId="297B20E9" w14:textId="77777777" w:rsidR="00BB34E7" w:rsidRDefault="00F05EA4" w:rsidP="00F05EA4">
      <w:pPr>
        <w:pStyle w:val="Default"/>
        <w:spacing w:after="10"/>
        <w:ind w:right="284"/>
        <w:jc w:val="center"/>
        <w:rPr>
          <w:rFonts w:ascii="Arial Negrita" w:hAnsi="Arial Negrita"/>
          <w:b/>
          <w:bCs/>
          <w:iCs/>
          <w:smallCaps/>
          <w:color w:val="000000" w:themeColor="text1"/>
          <w:sz w:val="20"/>
          <w:szCs w:val="20"/>
        </w:rPr>
      </w:pPr>
      <w:r w:rsidRPr="00E63368">
        <w:rPr>
          <w:rFonts w:ascii="Arial Negrita" w:hAnsi="Arial Negrita"/>
          <w:b/>
          <w:bCs/>
          <w:iCs/>
          <w:smallCaps/>
          <w:color w:val="000000" w:themeColor="text1"/>
          <w:sz w:val="22"/>
          <w:szCs w:val="22"/>
        </w:rPr>
        <w:t>T</w:t>
      </w:r>
      <w:r w:rsidRPr="00E63368">
        <w:rPr>
          <w:rFonts w:ascii="Arial Negrita" w:hAnsi="Arial Negrita"/>
          <w:b/>
          <w:bCs/>
          <w:iCs/>
          <w:smallCaps/>
          <w:color w:val="000000" w:themeColor="text1"/>
          <w:sz w:val="20"/>
          <w:szCs w:val="20"/>
        </w:rPr>
        <w:t xml:space="preserve">ITULARES SEGÚN </w:t>
      </w:r>
      <w:r>
        <w:rPr>
          <w:rFonts w:ascii="Arial Negrita" w:hAnsi="Arial Negrita"/>
          <w:b/>
          <w:bCs/>
          <w:iCs/>
          <w:smallCaps/>
          <w:color w:val="000000" w:themeColor="text1"/>
          <w:sz w:val="20"/>
          <w:szCs w:val="20"/>
        </w:rPr>
        <w:t>ESCOLARIDAD</w:t>
      </w:r>
    </w:p>
    <w:p w14:paraId="168188FC" w14:textId="550DB1F1" w:rsidR="00F05EA4" w:rsidRDefault="00BB34E7" w:rsidP="00F05EA4">
      <w:pPr>
        <w:pStyle w:val="Default"/>
        <w:spacing w:after="10"/>
        <w:ind w:right="284"/>
        <w:jc w:val="center"/>
        <w:rPr>
          <w:b/>
          <w:bCs/>
          <w:i/>
          <w:iCs/>
          <w:color w:val="706F6F"/>
          <w:sz w:val="18"/>
        </w:rPr>
      </w:pPr>
      <w:r w:rsidRPr="00BB34E7">
        <w:rPr>
          <w:iCs/>
          <w:smallCaps/>
          <w:color w:val="000000" w:themeColor="text1"/>
          <w:sz w:val="20"/>
          <w:szCs w:val="20"/>
        </w:rPr>
        <w:t>2020</w:t>
      </w:r>
    </w:p>
    <w:p w14:paraId="6B706517" w14:textId="04582186" w:rsidR="00C41C5C" w:rsidRPr="00C41C5C" w:rsidRDefault="00F05EA4" w:rsidP="0005255F">
      <w:pPr>
        <w:pStyle w:val="Default"/>
        <w:spacing w:after="10"/>
        <w:ind w:right="284"/>
        <w:jc w:val="center"/>
        <w:rPr>
          <w:bCs/>
          <w:iCs/>
          <w:color w:val="000000" w:themeColor="text1"/>
          <w:sz w:val="18"/>
        </w:rPr>
      </w:pPr>
      <w:r>
        <w:rPr>
          <w:noProof/>
        </w:rPr>
        <w:drawing>
          <wp:inline distT="0" distB="0" distL="0" distR="0" wp14:anchorId="440AB1AD" wp14:editId="20C19083">
            <wp:extent cx="5666740" cy="1711842"/>
            <wp:effectExtent l="0" t="0" r="0" b="3175"/>
            <wp:docPr id="12" name="Gráfico 12">
              <a:extLst xmlns:a="http://schemas.openxmlformats.org/drawingml/2006/main">
                <a:ext uri="{FF2B5EF4-FFF2-40B4-BE49-F238E27FC236}">
                  <a16:creationId xmlns:a16="http://schemas.microsoft.com/office/drawing/2014/main" id="{9CB279F0-2F5D-4602-8C7F-A459C49B2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78EC84" w14:textId="77777777" w:rsidR="001A26DF" w:rsidRDefault="001A26DF" w:rsidP="00FD5397">
      <w:pPr>
        <w:pStyle w:val="Default"/>
        <w:spacing w:after="10"/>
        <w:ind w:right="284"/>
        <w:jc w:val="both"/>
        <w:rPr>
          <w:color w:val="auto"/>
          <w:sz w:val="16"/>
          <w:szCs w:val="16"/>
        </w:rPr>
      </w:pPr>
    </w:p>
    <w:p w14:paraId="7C356E1A" w14:textId="77777777" w:rsidR="001A26DF" w:rsidRDefault="001A26DF" w:rsidP="00FD5397">
      <w:pPr>
        <w:pStyle w:val="Default"/>
        <w:spacing w:after="10"/>
        <w:ind w:right="284"/>
        <w:jc w:val="both"/>
        <w:rPr>
          <w:color w:val="auto"/>
          <w:sz w:val="16"/>
          <w:szCs w:val="16"/>
        </w:rPr>
      </w:pPr>
    </w:p>
    <w:p w14:paraId="41AD8529" w14:textId="3650DC2F" w:rsidR="00FD5397" w:rsidRPr="00FD5397" w:rsidRDefault="00FD5397" w:rsidP="00FD5397">
      <w:pPr>
        <w:pStyle w:val="Default"/>
        <w:spacing w:after="10"/>
        <w:ind w:right="284"/>
        <w:jc w:val="both"/>
        <w:rPr>
          <w:color w:val="auto"/>
          <w:sz w:val="16"/>
          <w:szCs w:val="16"/>
        </w:rPr>
      </w:pPr>
      <w:r w:rsidRPr="00FD5397">
        <w:rPr>
          <w:color w:val="auto"/>
          <w:sz w:val="16"/>
          <w:szCs w:val="16"/>
        </w:rPr>
        <w:t>No</w:t>
      </w:r>
      <w:r>
        <w:rPr>
          <w:color w:val="auto"/>
          <w:sz w:val="16"/>
          <w:szCs w:val="16"/>
        </w:rPr>
        <w:t>ta: no</w:t>
      </w:r>
      <w:r w:rsidRPr="00FD5397">
        <w:rPr>
          <w:color w:val="auto"/>
          <w:sz w:val="16"/>
          <w:szCs w:val="16"/>
        </w:rPr>
        <w:t xml:space="preserve"> se incluye la categoría </w:t>
      </w:r>
      <w:r w:rsidRPr="00FD5397">
        <w:rPr>
          <w:i/>
          <w:iCs/>
          <w:color w:val="auto"/>
          <w:sz w:val="16"/>
          <w:szCs w:val="16"/>
        </w:rPr>
        <w:t>no se sabe</w:t>
      </w:r>
      <w:r w:rsidRPr="00FD5397">
        <w:rPr>
          <w:color w:val="auto"/>
          <w:sz w:val="16"/>
          <w:szCs w:val="16"/>
        </w:rPr>
        <w:t xml:space="preserve"> que para los hombres representó 0.4</w:t>
      </w:r>
      <w:r w:rsidR="00A27F92">
        <w:rPr>
          <w:color w:val="auto"/>
          <w:sz w:val="16"/>
          <w:szCs w:val="16"/>
        </w:rPr>
        <w:t>%</w:t>
      </w:r>
      <w:r w:rsidRPr="00FD5397">
        <w:rPr>
          <w:color w:val="auto"/>
          <w:sz w:val="16"/>
          <w:szCs w:val="16"/>
        </w:rPr>
        <w:t>.</w:t>
      </w:r>
    </w:p>
    <w:p w14:paraId="7B3F8EC2" w14:textId="505497AB" w:rsidR="001A26DF" w:rsidRDefault="001A26DF" w:rsidP="0005255F">
      <w:pPr>
        <w:pStyle w:val="Default"/>
        <w:spacing w:after="10"/>
        <w:jc w:val="both"/>
      </w:pPr>
    </w:p>
    <w:p w14:paraId="584B6A3D" w14:textId="77777777" w:rsidR="001A26DF" w:rsidRDefault="001A26DF" w:rsidP="0005255F">
      <w:pPr>
        <w:pStyle w:val="Default"/>
        <w:spacing w:after="10"/>
        <w:jc w:val="both"/>
      </w:pPr>
    </w:p>
    <w:p w14:paraId="0576082C" w14:textId="74247E2C" w:rsidR="008F0A7B" w:rsidRDefault="00FD5397" w:rsidP="0005255F">
      <w:pPr>
        <w:pStyle w:val="Default"/>
        <w:spacing w:after="10"/>
        <w:jc w:val="both"/>
      </w:pPr>
      <w:r w:rsidRPr="00FD5397">
        <w:t>Al cierre de 2020, a nivel nacional se reportaron 1</w:t>
      </w:r>
      <w:r w:rsidR="005101B6">
        <w:t>,</w:t>
      </w:r>
      <w:r w:rsidRPr="00FD5397">
        <w:t>583</w:t>
      </w:r>
      <w:r w:rsidR="005101B6">
        <w:t>,</w:t>
      </w:r>
      <w:r w:rsidRPr="00FD5397">
        <w:t>355 servidoras y servidores públicos adscritos a las instituciones de la Administración Pública Federal</w:t>
      </w:r>
      <w:r w:rsidR="006D6264">
        <w:t>.</w:t>
      </w:r>
      <w:r w:rsidRPr="00FD5397">
        <w:t xml:space="preserve"> </w:t>
      </w:r>
      <w:r w:rsidR="006D6264">
        <w:t>D</w:t>
      </w:r>
      <w:r w:rsidRPr="00FD5397">
        <w:t>e</w:t>
      </w:r>
      <w:r w:rsidR="006D6264">
        <w:t>l total</w:t>
      </w:r>
      <w:r w:rsidRPr="00FD5397">
        <w:t>, 50.1% fueron mujeres y 49.9% hombres. Comparado con la cifra registrada en 2019, la cantidad de personal disminuyó 1.5% en 2020.</w:t>
      </w:r>
    </w:p>
    <w:p w14:paraId="3F185190" w14:textId="4E5B58F8" w:rsidR="00C41C5C" w:rsidRPr="00C41C5C" w:rsidRDefault="00C41C5C" w:rsidP="0005255F">
      <w:pPr>
        <w:pStyle w:val="Default"/>
        <w:spacing w:after="10"/>
        <w:ind w:right="284"/>
        <w:jc w:val="center"/>
        <w:rPr>
          <w:bCs/>
          <w:iCs/>
          <w:color w:val="000000" w:themeColor="text1"/>
          <w:sz w:val="20"/>
          <w:szCs w:val="20"/>
        </w:rPr>
      </w:pPr>
      <w:r w:rsidRPr="00C41C5C">
        <w:rPr>
          <w:bCs/>
          <w:iCs/>
          <w:color w:val="000000" w:themeColor="text1"/>
          <w:sz w:val="20"/>
          <w:szCs w:val="20"/>
        </w:rPr>
        <w:t xml:space="preserve">Gráfica </w:t>
      </w:r>
      <w:r w:rsidR="006D6264">
        <w:rPr>
          <w:bCs/>
          <w:iCs/>
          <w:color w:val="000000" w:themeColor="text1"/>
          <w:sz w:val="20"/>
          <w:szCs w:val="20"/>
        </w:rPr>
        <w:t>8</w:t>
      </w:r>
    </w:p>
    <w:p w14:paraId="4DB78D77" w14:textId="194C49C1" w:rsidR="00C41C5C" w:rsidRPr="000B4BA5" w:rsidRDefault="00C41C5C" w:rsidP="000B4BA5">
      <w:pPr>
        <w:pStyle w:val="Default"/>
        <w:spacing w:after="10"/>
        <w:ind w:right="284"/>
        <w:jc w:val="center"/>
        <w:rPr>
          <w:rFonts w:ascii="Arial Negrita" w:hAnsi="Arial Negrita"/>
          <w:b/>
          <w:bCs/>
          <w:iCs/>
          <w:smallCaps/>
          <w:color w:val="000000" w:themeColor="text1"/>
          <w:sz w:val="22"/>
          <w:szCs w:val="22"/>
        </w:rPr>
      </w:pPr>
      <w:r w:rsidRPr="003575A7">
        <w:rPr>
          <w:b/>
          <w:bCs/>
          <w:i/>
          <w:iCs/>
          <w:color w:val="706F6F"/>
          <w:sz w:val="18"/>
        </w:rPr>
        <w:t xml:space="preserve"> </w:t>
      </w:r>
      <w:r w:rsidR="00FD5397" w:rsidRPr="00FD5397">
        <w:rPr>
          <w:rFonts w:ascii="Arial Negrita" w:hAnsi="Arial Negrita"/>
          <w:b/>
          <w:bCs/>
          <w:iCs/>
          <w:smallCaps/>
          <w:color w:val="000000" w:themeColor="text1"/>
          <w:sz w:val="22"/>
          <w:szCs w:val="22"/>
        </w:rPr>
        <w:t>Personal adscrito a las instituciones de la Administración Pública Federal, según sexo</w:t>
      </w:r>
    </w:p>
    <w:p w14:paraId="62A8E1D6" w14:textId="03ECBE8A" w:rsidR="00FD5397" w:rsidRDefault="00FD5397" w:rsidP="0005255F">
      <w:pPr>
        <w:pStyle w:val="Default"/>
        <w:spacing w:after="10"/>
        <w:ind w:right="284"/>
        <w:jc w:val="center"/>
        <w:rPr>
          <w:bCs/>
          <w:iCs/>
          <w:color w:val="000000" w:themeColor="text1"/>
          <w:sz w:val="18"/>
        </w:rPr>
      </w:pPr>
    </w:p>
    <w:p w14:paraId="66A5A8EE" w14:textId="1743A2E9" w:rsidR="00FD5397" w:rsidRDefault="000B4BA5" w:rsidP="00FD5397">
      <w:pPr>
        <w:pStyle w:val="Default"/>
        <w:spacing w:after="10"/>
        <w:ind w:right="284"/>
        <w:jc w:val="center"/>
        <w:rPr>
          <w:bCs/>
          <w:iCs/>
          <w:color w:val="000000" w:themeColor="text1"/>
          <w:sz w:val="20"/>
          <w:szCs w:val="20"/>
        </w:rPr>
      </w:pPr>
      <w:r>
        <w:rPr>
          <w:noProof/>
        </w:rPr>
        <w:drawing>
          <wp:inline distT="0" distB="0" distL="0" distR="0" wp14:anchorId="18CD7D85" wp14:editId="60378E4F">
            <wp:extent cx="4924425" cy="2847975"/>
            <wp:effectExtent l="0" t="0" r="0" b="0"/>
            <wp:docPr id="13" name="Gráfico 13">
              <a:extLst xmlns:a="http://schemas.openxmlformats.org/drawingml/2006/main">
                <a:ext uri="{FF2B5EF4-FFF2-40B4-BE49-F238E27FC236}">
                  <a16:creationId xmlns:a16="http://schemas.microsoft.com/office/drawing/2014/main" id="{D01CAAEE-6426-4FBC-8C5B-6E984683AC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70B970" w14:textId="63D43AD3" w:rsidR="00FD5397" w:rsidRDefault="000B4BA5" w:rsidP="000B4BA5">
      <w:pPr>
        <w:pStyle w:val="Default"/>
        <w:spacing w:after="10"/>
        <w:ind w:right="284"/>
        <w:jc w:val="both"/>
      </w:pPr>
      <w:r w:rsidRPr="000B4BA5">
        <w:lastRenderedPageBreak/>
        <w:t>En cuanto a su composición, los hombres predomina</w:t>
      </w:r>
      <w:r w:rsidR="003C21E2">
        <w:t>ro</w:t>
      </w:r>
      <w:r w:rsidRPr="000B4BA5">
        <w:t xml:space="preserve">n en instituciones cuya función principal es </w:t>
      </w:r>
      <w:r w:rsidRPr="00E86CBC">
        <w:rPr>
          <w:i/>
          <w:iCs/>
        </w:rPr>
        <w:t>Combustibles y energía</w:t>
      </w:r>
      <w:r w:rsidRPr="000B4BA5">
        <w:t>, mientras que las mujeres predomina</w:t>
      </w:r>
      <w:r w:rsidR="00E747C4">
        <w:t>ro</w:t>
      </w:r>
      <w:r w:rsidRPr="000B4BA5">
        <w:t xml:space="preserve">n en instituciones orientadas a la </w:t>
      </w:r>
      <w:r w:rsidRPr="00E86CBC">
        <w:rPr>
          <w:i/>
          <w:iCs/>
        </w:rPr>
        <w:t>Igualdad de género y/o derechos de las mujeres</w:t>
      </w:r>
      <w:r w:rsidRPr="000B4BA5">
        <w:t>.</w:t>
      </w:r>
    </w:p>
    <w:p w14:paraId="72162ADF" w14:textId="5777B06F" w:rsidR="000B4BA5" w:rsidRDefault="000B4BA5" w:rsidP="000B4BA5">
      <w:pPr>
        <w:pStyle w:val="Default"/>
        <w:spacing w:after="10"/>
        <w:ind w:right="284"/>
        <w:jc w:val="both"/>
      </w:pPr>
    </w:p>
    <w:p w14:paraId="7180E7EB" w14:textId="7DB9E5D1" w:rsidR="000B4BA5" w:rsidRPr="00F40B95" w:rsidRDefault="000B4BA5" w:rsidP="000B4BA5">
      <w:pPr>
        <w:pStyle w:val="Default"/>
        <w:spacing w:after="10"/>
        <w:ind w:right="284"/>
        <w:jc w:val="center"/>
        <w:rPr>
          <w:bCs/>
          <w:iCs/>
          <w:color w:val="000000" w:themeColor="text1"/>
          <w:sz w:val="20"/>
          <w:szCs w:val="20"/>
        </w:rPr>
      </w:pPr>
      <w:r w:rsidRPr="00F40B95">
        <w:rPr>
          <w:bCs/>
          <w:iCs/>
          <w:color w:val="000000" w:themeColor="text1"/>
          <w:sz w:val="20"/>
          <w:szCs w:val="20"/>
        </w:rPr>
        <w:t xml:space="preserve">Gráfica </w:t>
      </w:r>
      <w:r w:rsidR="006D6264">
        <w:rPr>
          <w:bCs/>
          <w:iCs/>
          <w:color w:val="000000" w:themeColor="text1"/>
          <w:sz w:val="20"/>
          <w:szCs w:val="20"/>
        </w:rPr>
        <w:t>9</w:t>
      </w:r>
    </w:p>
    <w:p w14:paraId="09183F66" w14:textId="77777777" w:rsidR="00201B09" w:rsidRDefault="000B4BA5" w:rsidP="000B4BA5">
      <w:pPr>
        <w:pStyle w:val="Default"/>
        <w:spacing w:after="10"/>
        <w:ind w:right="284"/>
        <w:jc w:val="center"/>
        <w:rPr>
          <w:rFonts w:ascii="Arial Negrita" w:hAnsi="Arial Negrita"/>
          <w:b/>
          <w:bCs/>
          <w:iCs/>
          <w:smallCaps/>
          <w:color w:val="000000" w:themeColor="text1"/>
          <w:sz w:val="22"/>
          <w:szCs w:val="22"/>
        </w:rPr>
      </w:pPr>
      <w:r w:rsidRPr="00F40B95">
        <w:rPr>
          <w:b/>
          <w:bCs/>
          <w:i/>
          <w:iCs/>
          <w:color w:val="000000" w:themeColor="text1"/>
          <w:sz w:val="18"/>
        </w:rPr>
        <w:t xml:space="preserve"> </w:t>
      </w:r>
      <w:r w:rsidRPr="000B4BA5">
        <w:rPr>
          <w:rFonts w:ascii="Arial Negrita" w:hAnsi="Arial Negrita"/>
          <w:b/>
          <w:bCs/>
          <w:iCs/>
          <w:smallCaps/>
          <w:color w:val="000000" w:themeColor="text1"/>
          <w:sz w:val="22"/>
          <w:szCs w:val="22"/>
        </w:rPr>
        <w:t xml:space="preserve">Personal adscrito a las instituciones de la Administración Pública Federal, </w:t>
      </w:r>
    </w:p>
    <w:p w14:paraId="45880A5F" w14:textId="643BA719" w:rsidR="00BB34E7" w:rsidRDefault="000B4BA5" w:rsidP="000B4BA5">
      <w:pPr>
        <w:pStyle w:val="Default"/>
        <w:spacing w:after="10"/>
        <w:ind w:right="284"/>
        <w:jc w:val="center"/>
        <w:rPr>
          <w:rFonts w:ascii="Arial Negrita" w:hAnsi="Arial Negrita"/>
          <w:b/>
          <w:bCs/>
          <w:iCs/>
          <w:smallCaps/>
          <w:color w:val="000000" w:themeColor="text1"/>
          <w:sz w:val="22"/>
          <w:szCs w:val="22"/>
        </w:rPr>
      </w:pPr>
      <w:r w:rsidRPr="000B4BA5">
        <w:rPr>
          <w:rFonts w:ascii="Arial Negrita" w:hAnsi="Arial Negrita"/>
          <w:b/>
          <w:bCs/>
          <w:iCs/>
          <w:smallCaps/>
          <w:color w:val="000000" w:themeColor="text1"/>
          <w:sz w:val="22"/>
          <w:szCs w:val="22"/>
        </w:rPr>
        <w:t>según función principal</w:t>
      </w:r>
    </w:p>
    <w:p w14:paraId="431C205C" w14:textId="22B50850" w:rsidR="00FD5397" w:rsidRDefault="00BB34E7" w:rsidP="000B4BA5">
      <w:pPr>
        <w:pStyle w:val="Default"/>
        <w:spacing w:after="10"/>
        <w:ind w:right="284"/>
        <w:jc w:val="center"/>
        <w:rPr>
          <w:bCs/>
          <w:iCs/>
          <w:color w:val="000000" w:themeColor="text1"/>
          <w:sz w:val="20"/>
          <w:szCs w:val="20"/>
        </w:rPr>
      </w:pPr>
      <w:r w:rsidRPr="00BB34E7">
        <w:rPr>
          <w:iCs/>
          <w:smallCaps/>
          <w:color w:val="000000" w:themeColor="text1"/>
          <w:sz w:val="20"/>
          <w:szCs w:val="20"/>
        </w:rPr>
        <w:t>2020</w:t>
      </w:r>
      <w:r w:rsidR="000B4BA5" w:rsidRPr="000B4BA5">
        <w:rPr>
          <w:rFonts w:ascii="Arial Negrita" w:hAnsi="Arial Negrita"/>
          <w:b/>
          <w:bCs/>
          <w:iCs/>
          <w:smallCaps/>
          <w:color w:val="000000" w:themeColor="text1"/>
          <w:sz w:val="22"/>
          <w:szCs w:val="22"/>
        </w:rPr>
        <w:t xml:space="preserve"> </w:t>
      </w:r>
    </w:p>
    <w:p w14:paraId="3CE4B06D" w14:textId="30F6A008" w:rsidR="00FD5397" w:rsidRDefault="000B4BA5" w:rsidP="00FD5397">
      <w:pPr>
        <w:pStyle w:val="Default"/>
        <w:spacing w:after="10"/>
        <w:ind w:right="284"/>
        <w:jc w:val="center"/>
        <w:rPr>
          <w:bCs/>
          <w:iCs/>
          <w:color w:val="000000" w:themeColor="text1"/>
          <w:sz w:val="20"/>
          <w:szCs w:val="20"/>
        </w:rPr>
      </w:pPr>
      <w:r>
        <w:rPr>
          <w:noProof/>
        </w:rPr>
        <w:drawing>
          <wp:inline distT="0" distB="0" distL="0" distR="0" wp14:anchorId="00660DCE" wp14:editId="5F5875D3">
            <wp:extent cx="5805170" cy="4800600"/>
            <wp:effectExtent l="0" t="0" r="5080" b="0"/>
            <wp:docPr id="14" name="Gráfico 14">
              <a:extLst xmlns:a="http://schemas.openxmlformats.org/drawingml/2006/main">
                <a:ext uri="{FF2B5EF4-FFF2-40B4-BE49-F238E27FC236}">
                  <a16:creationId xmlns:a16="http://schemas.microsoft.com/office/drawing/2014/main" id="{5B18E16B-4364-4408-B90D-D54D42C95B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EAE15E" w14:textId="0D30ADA2" w:rsidR="00FD5397" w:rsidRPr="007D3FE9" w:rsidRDefault="007D3FE9" w:rsidP="008F1049">
      <w:pPr>
        <w:pStyle w:val="Default"/>
        <w:spacing w:after="10"/>
        <w:ind w:left="426" w:right="284" w:hanging="426"/>
        <w:jc w:val="both"/>
        <w:rPr>
          <w:bCs/>
          <w:iCs/>
          <w:color w:val="000000" w:themeColor="text1"/>
          <w:sz w:val="16"/>
          <w:szCs w:val="16"/>
        </w:rPr>
      </w:pPr>
      <w:r w:rsidRPr="007D3FE9">
        <w:rPr>
          <w:bCs/>
          <w:iCs/>
          <w:color w:val="000000" w:themeColor="text1"/>
          <w:sz w:val="16"/>
          <w:szCs w:val="16"/>
        </w:rPr>
        <w:t xml:space="preserve">Nota: para la función principal de </w:t>
      </w:r>
      <w:r w:rsidRPr="00B76D72">
        <w:rPr>
          <w:bCs/>
          <w:i/>
          <w:color w:val="000000" w:themeColor="text1"/>
          <w:sz w:val="16"/>
          <w:szCs w:val="16"/>
        </w:rPr>
        <w:t>servicios públicos</w:t>
      </w:r>
      <w:r w:rsidRPr="007D3FE9">
        <w:rPr>
          <w:bCs/>
          <w:iCs/>
          <w:color w:val="000000" w:themeColor="text1"/>
          <w:sz w:val="16"/>
          <w:szCs w:val="16"/>
        </w:rPr>
        <w:t xml:space="preserve"> no se contó con datos o elementos para responder sobre la cantidad de personal. No se incluye la categoría </w:t>
      </w:r>
      <w:r w:rsidRPr="007D3FE9">
        <w:rPr>
          <w:bCs/>
          <w:i/>
          <w:color w:val="000000" w:themeColor="text1"/>
          <w:sz w:val="16"/>
          <w:szCs w:val="16"/>
        </w:rPr>
        <w:t>no especificado</w:t>
      </w:r>
      <w:r w:rsidRPr="007D3FE9">
        <w:rPr>
          <w:bCs/>
          <w:iCs/>
          <w:color w:val="000000" w:themeColor="text1"/>
          <w:sz w:val="16"/>
          <w:szCs w:val="16"/>
        </w:rPr>
        <w:t xml:space="preserve"> que para los hombres representó 64.4% y para las mujeres 35.6</w:t>
      </w:r>
      <w:r w:rsidR="00B76D72">
        <w:rPr>
          <w:bCs/>
          <w:iCs/>
          <w:color w:val="000000" w:themeColor="text1"/>
          <w:sz w:val="16"/>
          <w:szCs w:val="16"/>
        </w:rPr>
        <w:t>%</w:t>
      </w:r>
      <w:r w:rsidRPr="007D3FE9">
        <w:rPr>
          <w:bCs/>
          <w:iCs/>
          <w:color w:val="000000" w:themeColor="text1"/>
          <w:sz w:val="16"/>
          <w:szCs w:val="16"/>
        </w:rPr>
        <w:t>.</w:t>
      </w:r>
    </w:p>
    <w:p w14:paraId="26C5F03A" w14:textId="77777777" w:rsidR="005101B6" w:rsidRDefault="005101B6" w:rsidP="0005255F">
      <w:pPr>
        <w:pStyle w:val="Default"/>
        <w:spacing w:after="10"/>
        <w:jc w:val="both"/>
      </w:pPr>
    </w:p>
    <w:p w14:paraId="47913465" w14:textId="77777777" w:rsidR="005101B6" w:rsidRDefault="005101B6" w:rsidP="0005255F">
      <w:pPr>
        <w:pStyle w:val="Default"/>
        <w:spacing w:after="10"/>
        <w:jc w:val="both"/>
      </w:pPr>
    </w:p>
    <w:p w14:paraId="4C50309F" w14:textId="77777777" w:rsidR="005101B6" w:rsidRDefault="005101B6" w:rsidP="0005255F">
      <w:pPr>
        <w:pStyle w:val="Default"/>
        <w:spacing w:after="10"/>
        <w:jc w:val="both"/>
      </w:pPr>
    </w:p>
    <w:p w14:paraId="573CD21C" w14:textId="77777777" w:rsidR="005101B6" w:rsidRDefault="005101B6" w:rsidP="0005255F">
      <w:pPr>
        <w:pStyle w:val="Default"/>
        <w:spacing w:after="10"/>
        <w:jc w:val="both"/>
      </w:pPr>
    </w:p>
    <w:p w14:paraId="0B2DAA23" w14:textId="77777777" w:rsidR="005101B6" w:rsidRDefault="005101B6" w:rsidP="0005255F">
      <w:pPr>
        <w:pStyle w:val="Default"/>
        <w:spacing w:after="10"/>
        <w:jc w:val="both"/>
      </w:pPr>
    </w:p>
    <w:p w14:paraId="6E856619" w14:textId="77777777" w:rsidR="005101B6" w:rsidRDefault="005101B6" w:rsidP="0005255F">
      <w:pPr>
        <w:pStyle w:val="Default"/>
        <w:spacing w:after="10"/>
        <w:jc w:val="both"/>
      </w:pPr>
    </w:p>
    <w:p w14:paraId="3F078946" w14:textId="77777777" w:rsidR="005101B6" w:rsidRDefault="005101B6" w:rsidP="0005255F">
      <w:pPr>
        <w:pStyle w:val="Default"/>
        <w:spacing w:after="10"/>
        <w:jc w:val="both"/>
      </w:pPr>
    </w:p>
    <w:p w14:paraId="2C1E452A" w14:textId="77777777" w:rsidR="005101B6" w:rsidRDefault="005101B6" w:rsidP="0005255F">
      <w:pPr>
        <w:pStyle w:val="Default"/>
        <w:spacing w:after="10"/>
        <w:jc w:val="both"/>
      </w:pPr>
    </w:p>
    <w:p w14:paraId="511BD6C6" w14:textId="20003074" w:rsidR="00C41C5C" w:rsidRDefault="007D3FE9" w:rsidP="0005255F">
      <w:pPr>
        <w:pStyle w:val="Default"/>
        <w:spacing w:after="10"/>
        <w:jc w:val="both"/>
      </w:pPr>
      <w:r w:rsidRPr="007D3FE9">
        <w:lastRenderedPageBreak/>
        <w:t>A continuación</w:t>
      </w:r>
      <w:r w:rsidR="003D0AD2">
        <w:t>,</w:t>
      </w:r>
      <w:r w:rsidRPr="007D3FE9">
        <w:t xml:space="preserve"> se presentan las funciones que, con respecto a 2019, tuvieron mayor decremento </w:t>
      </w:r>
      <w:r w:rsidR="005101B6">
        <w:t>o</w:t>
      </w:r>
      <w:r w:rsidRPr="007D3FE9">
        <w:t xml:space="preserve"> incremento de personal:</w:t>
      </w:r>
    </w:p>
    <w:p w14:paraId="5D12B555" w14:textId="3F106D93" w:rsidR="003619F1" w:rsidRDefault="003619F1" w:rsidP="0005255F">
      <w:pPr>
        <w:pStyle w:val="Default"/>
        <w:spacing w:after="10"/>
        <w:jc w:val="both"/>
      </w:pPr>
    </w:p>
    <w:p w14:paraId="7448882D" w14:textId="77777777" w:rsidR="00E75578" w:rsidRPr="00C969F2" w:rsidRDefault="00E75578" w:rsidP="0005255F">
      <w:pPr>
        <w:pStyle w:val="Default"/>
        <w:spacing w:after="10"/>
        <w:jc w:val="both"/>
      </w:pPr>
    </w:p>
    <w:p w14:paraId="0F346759" w14:textId="5FB29196" w:rsidR="00F40B95" w:rsidRPr="00F40B95" w:rsidRDefault="00C41C5C" w:rsidP="006E65D2">
      <w:pPr>
        <w:pStyle w:val="Default"/>
        <w:ind w:right="284"/>
        <w:jc w:val="center"/>
        <w:rPr>
          <w:bCs/>
          <w:iCs/>
          <w:color w:val="000000" w:themeColor="text1"/>
          <w:sz w:val="20"/>
          <w:szCs w:val="20"/>
        </w:rPr>
      </w:pPr>
      <w:r w:rsidRPr="00F40B95">
        <w:rPr>
          <w:bCs/>
          <w:iCs/>
          <w:color w:val="000000" w:themeColor="text1"/>
          <w:sz w:val="20"/>
          <w:szCs w:val="20"/>
        </w:rPr>
        <w:t>Gráfica 1</w:t>
      </w:r>
      <w:r w:rsidR="006D6264">
        <w:rPr>
          <w:bCs/>
          <w:iCs/>
          <w:color w:val="000000" w:themeColor="text1"/>
          <w:sz w:val="20"/>
          <w:szCs w:val="20"/>
        </w:rPr>
        <w:t>0</w:t>
      </w:r>
    </w:p>
    <w:p w14:paraId="7E07BAA3" w14:textId="31C36069" w:rsidR="00C41C5C" w:rsidRDefault="007D3FE9" w:rsidP="006E65D2">
      <w:pPr>
        <w:pStyle w:val="Default"/>
        <w:ind w:right="284"/>
        <w:jc w:val="center"/>
        <w:rPr>
          <w:rFonts w:ascii="Arial Negrita" w:hAnsi="Arial Negrita"/>
          <w:b/>
          <w:bCs/>
          <w:iCs/>
          <w:smallCaps/>
          <w:color w:val="000000" w:themeColor="text1"/>
          <w:sz w:val="22"/>
          <w:szCs w:val="22"/>
        </w:rPr>
      </w:pPr>
      <w:r w:rsidRPr="007D3FE9">
        <w:rPr>
          <w:rFonts w:ascii="Arial Negrita" w:hAnsi="Arial Negrita"/>
          <w:b/>
          <w:bCs/>
          <w:iCs/>
          <w:smallCaps/>
          <w:color w:val="000000" w:themeColor="text1"/>
          <w:sz w:val="22"/>
          <w:szCs w:val="22"/>
        </w:rPr>
        <w:t>Funciones con mayor decremento de personal</w:t>
      </w:r>
      <w:r w:rsidR="00C41C5C" w:rsidRPr="00F40B95">
        <w:rPr>
          <w:rFonts w:ascii="Arial Negrita" w:hAnsi="Arial Negrita"/>
          <w:b/>
          <w:bCs/>
          <w:iCs/>
          <w:smallCaps/>
          <w:color w:val="000000" w:themeColor="text1"/>
          <w:sz w:val="22"/>
          <w:szCs w:val="22"/>
        </w:rPr>
        <w:t xml:space="preserve"> </w:t>
      </w:r>
    </w:p>
    <w:p w14:paraId="2F567084" w14:textId="77777777" w:rsidR="003619F1" w:rsidRDefault="003619F1" w:rsidP="006E65D2">
      <w:pPr>
        <w:pStyle w:val="Default"/>
        <w:ind w:right="284"/>
        <w:jc w:val="center"/>
        <w:rPr>
          <w:rFonts w:ascii="Arial Negrita" w:hAnsi="Arial Negrita"/>
          <w:b/>
          <w:bCs/>
          <w:iCs/>
          <w:smallCaps/>
          <w:color w:val="000000" w:themeColor="text1"/>
          <w:sz w:val="22"/>
          <w:szCs w:val="22"/>
        </w:rPr>
      </w:pPr>
    </w:p>
    <w:p w14:paraId="7C83E036" w14:textId="69FA17C7" w:rsidR="00150068" w:rsidRDefault="003C203F" w:rsidP="006E65D2">
      <w:pPr>
        <w:pStyle w:val="Default"/>
        <w:ind w:right="284"/>
        <w:jc w:val="center"/>
        <w:rPr>
          <w:rFonts w:ascii="Arial Negrita" w:hAnsi="Arial Negrita"/>
          <w:b/>
          <w:bCs/>
          <w:iCs/>
          <w:smallCaps/>
          <w:color w:val="000000" w:themeColor="text1"/>
          <w:sz w:val="22"/>
          <w:szCs w:val="22"/>
        </w:rPr>
      </w:pPr>
      <w:r w:rsidRPr="003C203F">
        <w:rPr>
          <w:noProof/>
        </w:rPr>
        <mc:AlternateContent>
          <mc:Choice Requires="wpg">
            <w:drawing>
              <wp:anchor distT="0" distB="0" distL="114300" distR="114300" simplePos="0" relativeHeight="251659264" behindDoc="0" locked="0" layoutInCell="1" allowOverlap="1" wp14:anchorId="7675280B" wp14:editId="603DDC35">
                <wp:simplePos x="0" y="0"/>
                <wp:positionH relativeFrom="column">
                  <wp:posOffset>850871</wp:posOffset>
                </wp:positionH>
                <wp:positionV relativeFrom="paragraph">
                  <wp:posOffset>1766379</wp:posOffset>
                </wp:positionV>
                <wp:extent cx="4483735" cy="266700"/>
                <wp:effectExtent l="0" t="0" r="0" b="0"/>
                <wp:wrapNone/>
                <wp:docPr id="16" name="Grupo 29"/>
                <wp:cNvGraphicFramePr/>
                <a:graphic xmlns:a="http://schemas.openxmlformats.org/drawingml/2006/main">
                  <a:graphicData uri="http://schemas.microsoft.com/office/word/2010/wordprocessingGroup">
                    <wpg:wgp>
                      <wpg:cNvGrpSpPr/>
                      <wpg:grpSpPr>
                        <a:xfrm>
                          <a:off x="0" y="0"/>
                          <a:ext cx="4483735" cy="266700"/>
                          <a:chOff x="385583" y="-12285"/>
                          <a:chExt cx="8643188" cy="343975"/>
                        </a:xfrm>
                      </wpg:grpSpPr>
                      <wps:wsp>
                        <wps:cNvPr id="17" name="CuadroTexto 31"/>
                        <wps:cNvSpPr txBox="1"/>
                        <wps:spPr>
                          <a:xfrm>
                            <a:off x="385583" y="0"/>
                            <a:ext cx="1057910" cy="319405"/>
                          </a:xfrm>
                          <a:prstGeom prst="rect">
                            <a:avLst/>
                          </a:prstGeom>
                          <a:noFill/>
                        </wps:spPr>
                        <wps:txbx>
                          <w:txbxContent>
                            <w:p w14:paraId="5FBEB1C6"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-66.6%</w:t>
                              </w:r>
                            </w:p>
                          </w:txbxContent>
                        </wps:txbx>
                        <wps:bodyPr wrap="square" rtlCol="0">
                          <a:noAutofit/>
                        </wps:bodyPr>
                      </wps:wsp>
                      <wps:wsp>
                        <wps:cNvPr id="18" name="CuadroTexto 32"/>
                        <wps:cNvSpPr txBox="1"/>
                        <wps:spPr>
                          <a:xfrm>
                            <a:off x="2376841" y="0"/>
                            <a:ext cx="1057910" cy="319405"/>
                          </a:xfrm>
                          <a:prstGeom prst="rect">
                            <a:avLst/>
                          </a:prstGeom>
                          <a:noFill/>
                        </wps:spPr>
                        <wps:txbx>
                          <w:txbxContent>
                            <w:p w14:paraId="4E9B1769"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-29.5%</w:t>
                              </w:r>
                            </w:p>
                          </w:txbxContent>
                        </wps:txbx>
                        <wps:bodyPr wrap="square" rtlCol="0">
                          <a:noAutofit/>
                        </wps:bodyPr>
                      </wps:wsp>
                      <wps:wsp>
                        <wps:cNvPr id="19" name="CuadroTexto 33"/>
                        <wps:cNvSpPr txBox="1"/>
                        <wps:spPr>
                          <a:xfrm>
                            <a:off x="4293940" y="12285"/>
                            <a:ext cx="982980" cy="319405"/>
                          </a:xfrm>
                          <a:prstGeom prst="rect">
                            <a:avLst/>
                          </a:prstGeom>
                          <a:noFill/>
                        </wps:spPr>
                        <wps:txbx>
                          <w:txbxContent>
                            <w:p w14:paraId="127010DC"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-4.6%</w:t>
                              </w:r>
                            </w:p>
                          </w:txbxContent>
                        </wps:txbx>
                        <wps:bodyPr wrap="square" rtlCol="0">
                          <a:noAutofit/>
                        </wps:bodyPr>
                      </wps:wsp>
                      <wps:wsp>
                        <wps:cNvPr id="20" name="CuadroTexto 34"/>
                        <wps:cNvSpPr txBox="1"/>
                        <wps:spPr>
                          <a:xfrm>
                            <a:off x="6144751" y="0"/>
                            <a:ext cx="982980" cy="319405"/>
                          </a:xfrm>
                          <a:prstGeom prst="rect">
                            <a:avLst/>
                          </a:prstGeom>
                          <a:noFill/>
                        </wps:spPr>
                        <wps:txbx>
                          <w:txbxContent>
                            <w:p w14:paraId="6BA79E45"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-3.9%</w:t>
                              </w:r>
                            </w:p>
                          </w:txbxContent>
                        </wps:txbx>
                        <wps:bodyPr wrap="square" rtlCol="0">
                          <a:noAutofit/>
                        </wps:bodyPr>
                      </wps:wsp>
                      <wps:wsp>
                        <wps:cNvPr id="21" name="CuadroTexto 35"/>
                        <wps:cNvSpPr txBox="1"/>
                        <wps:spPr>
                          <a:xfrm>
                            <a:off x="8046427" y="-12285"/>
                            <a:ext cx="982344" cy="319405"/>
                          </a:xfrm>
                          <a:prstGeom prst="rect">
                            <a:avLst/>
                          </a:prstGeom>
                          <a:noFill/>
                        </wps:spPr>
                        <wps:txbx>
                          <w:txbxContent>
                            <w:p w14:paraId="1127588B"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-2.2%</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75280B" id="Grupo 29" o:spid="_x0000_s1026" style="position:absolute;left:0;text-align:left;margin-left:67pt;margin-top:139.1pt;width:353.05pt;height:21pt;z-index:251659264;mso-width-relative:margin;mso-height-relative:margin" coordorigin="3855,-122" coordsize="86431,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">
                <v:shapetype id="_x0000_t202" coordsize="21600,21600" o:spt="202" path="m,l,21600r21600,l21600,xe">
                  <v:stroke joinstyle="miter"/>
                  <v:path gradientshapeok="t" o:connecttype="rect"/>
                </v:shapetype>
                <v:shape id="CuadroTexto 31" o:spid="_x0000_s1027" type="#_x0000_t202" style="position:absolute;left:3855;width:10579;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FBEB1C6"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-66.6%</w:t>
                        </w:r>
                      </w:p>
                    </w:txbxContent>
                  </v:textbox>
                </v:shape>
                <v:shape id="CuadroTexto 32" o:spid="_x0000_s1028" type="#_x0000_t202" style="position:absolute;left:23768;width:10579;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E9B1769"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-29.5%</w:t>
                        </w:r>
                      </w:p>
                    </w:txbxContent>
                  </v:textbox>
                </v:shape>
                <v:shape id="CuadroTexto 33" o:spid="_x0000_s1029" type="#_x0000_t202" style="position:absolute;left:42939;top:122;width:9830;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27010DC"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-4.6%</w:t>
                        </w:r>
                      </w:p>
                    </w:txbxContent>
                  </v:textbox>
                </v:shape>
                <v:shape id="CuadroTexto 34" o:spid="_x0000_s1030" type="#_x0000_t202" style="position:absolute;left:61447;width:9830;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BA79E45"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-3.9%</w:t>
                        </w:r>
                      </w:p>
                    </w:txbxContent>
                  </v:textbox>
                </v:shape>
                <v:shape id="CuadroTexto 35" o:spid="_x0000_s1031" type="#_x0000_t202" style="position:absolute;left:80464;top:-122;width:9823;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127588B" w14:textId="77777777" w:rsidR="003C203F" w:rsidRPr="003C203F" w:rsidRDefault="003C203F" w:rsidP="003C203F">
                        <w:pPr>
                          <w:jc w:val="center"/>
                          <w:rPr>
                            <w:rFonts w:ascii="Arial" w:hAnsi="Arial" w:cs="Arial"/>
                            <w:b/>
                            <w:bCs/>
                            <w:color w:val="CE941F"/>
                            <w:kern w:val="24"/>
                            <w:sz w:val="18"/>
                            <w:szCs w:val="18"/>
                          </w:rPr>
                        </w:pPr>
                        <w:r w:rsidRPr="003C203F">
                          <w:rPr>
                            <w:rFonts w:ascii="Arial" w:hAnsi="Arial" w:cs="Arial"/>
                            <w:b/>
                            <w:bCs/>
                            <w:color w:val="CE941F"/>
                            <w:kern w:val="24"/>
                            <w:sz w:val="18"/>
                            <w:szCs w:val="18"/>
                          </w:rPr>
                          <w:t>-2.2%</w:t>
                        </w:r>
                      </w:p>
                    </w:txbxContent>
                  </v:textbox>
                </v:shape>
              </v:group>
            </w:pict>
          </mc:Fallback>
        </mc:AlternateContent>
      </w:r>
      <w:r w:rsidR="00150068">
        <w:rPr>
          <w:noProof/>
        </w:rPr>
        <w:drawing>
          <wp:inline distT="0" distB="0" distL="0" distR="0" wp14:anchorId="6F07FEF3" wp14:editId="6DF295FD">
            <wp:extent cx="5276850" cy="2296632"/>
            <wp:effectExtent l="0" t="0" r="0" b="0"/>
            <wp:docPr id="15" name="Gráfico 15">
              <a:extLst xmlns:a="http://schemas.openxmlformats.org/drawingml/2006/main">
                <a:ext uri="{FF2B5EF4-FFF2-40B4-BE49-F238E27FC236}">
                  <a16:creationId xmlns:a16="http://schemas.microsoft.com/office/drawing/2014/main" id="{CBD7FBDB-883D-494A-93A0-E07D96BB7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73BE50" w14:textId="13BAA415" w:rsidR="00331F39" w:rsidRDefault="00331F39" w:rsidP="006E65D2">
      <w:pPr>
        <w:pStyle w:val="Default"/>
        <w:jc w:val="both"/>
      </w:pPr>
    </w:p>
    <w:p w14:paraId="238630C8" w14:textId="608821B3" w:rsidR="00331F39" w:rsidRPr="00331F39" w:rsidRDefault="00331F39" w:rsidP="006E65D2">
      <w:pPr>
        <w:pStyle w:val="Default"/>
        <w:ind w:right="284"/>
        <w:jc w:val="center"/>
        <w:rPr>
          <w:bCs/>
          <w:iCs/>
          <w:color w:val="000000" w:themeColor="text1"/>
          <w:sz w:val="20"/>
          <w:szCs w:val="20"/>
        </w:rPr>
      </w:pPr>
      <w:r w:rsidRPr="00331F39">
        <w:rPr>
          <w:bCs/>
          <w:iCs/>
          <w:color w:val="000000" w:themeColor="text1"/>
          <w:sz w:val="20"/>
          <w:szCs w:val="20"/>
        </w:rPr>
        <w:t>Gráfica 1</w:t>
      </w:r>
      <w:r w:rsidR="006D6264">
        <w:rPr>
          <w:bCs/>
          <w:iCs/>
          <w:color w:val="000000" w:themeColor="text1"/>
          <w:sz w:val="20"/>
          <w:szCs w:val="20"/>
        </w:rPr>
        <w:t>1</w:t>
      </w:r>
    </w:p>
    <w:p w14:paraId="7B58D914" w14:textId="22273FA9" w:rsidR="00331F39" w:rsidRDefault="00D9662D" w:rsidP="006E65D2">
      <w:pPr>
        <w:pStyle w:val="Default"/>
        <w:ind w:right="284"/>
        <w:jc w:val="center"/>
        <w:rPr>
          <w:rFonts w:ascii="Arial Negrita" w:hAnsi="Arial Negrita"/>
          <w:b/>
          <w:bCs/>
          <w:iCs/>
          <w:smallCaps/>
          <w:color w:val="000000" w:themeColor="text1"/>
          <w:sz w:val="22"/>
          <w:szCs w:val="22"/>
        </w:rPr>
      </w:pPr>
      <w:r w:rsidRPr="00D9662D">
        <w:rPr>
          <w:rFonts w:ascii="Arial Negrita" w:hAnsi="Arial Negrita"/>
          <w:b/>
          <w:bCs/>
          <w:iCs/>
          <w:smallCaps/>
          <w:color w:val="000000" w:themeColor="text1"/>
          <w:sz w:val="22"/>
          <w:szCs w:val="22"/>
        </w:rPr>
        <w:t>Funciones con mayor incremento de personal</w:t>
      </w:r>
    </w:p>
    <w:p w14:paraId="56C209B7" w14:textId="77777777" w:rsidR="003619F1" w:rsidRPr="00331F39" w:rsidRDefault="003619F1" w:rsidP="006E65D2">
      <w:pPr>
        <w:pStyle w:val="Default"/>
        <w:ind w:right="284"/>
        <w:jc w:val="center"/>
        <w:rPr>
          <w:rFonts w:ascii="Arial Negrita" w:hAnsi="Arial Negrita"/>
          <w:b/>
          <w:bCs/>
          <w:iCs/>
          <w:smallCaps/>
          <w:color w:val="000000" w:themeColor="text1"/>
          <w:sz w:val="22"/>
          <w:szCs w:val="22"/>
        </w:rPr>
      </w:pPr>
    </w:p>
    <w:p w14:paraId="032956D7" w14:textId="529AC70D" w:rsidR="00D9662D" w:rsidRDefault="00DF0B1C" w:rsidP="00D9662D">
      <w:pPr>
        <w:pStyle w:val="Default"/>
        <w:spacing w:after="10"/>
        <w:ind w:right="284"/>
        <w:jc w:val="center"/>
        <w:rPr>
          <w:bCs/>
          <w:iCs/>
          <w:color w:val="000000" w:themeColor="text1"/>
          <w:sz w:val="16"/>
        </w:rPr>
      </w:pPr>
      <w:r w:rsidRPr="003C203F">
        <w:rPr>
          <w:noProof/>
        </w:rPr>
        <mc:AlternateContent>
          <mc:Choice Requires="wpg">
            <w:drawing>
              <wp:anchor distT="0" distB="0" distL="114300" distR="114300" simplePos="0" relativeHeight="251661312" behindDoc="0" locked="0" layoutInCell="1" allowOverlap="1" wp14:anchorId="6BE95CB1" wp14:editId="7670CF20">
                <wp:simplePos x="0" y="0"/>
                <wp:positionH relativeFrom="column">
                  <wp:posOffset>861060</wp:posOffset>
                </wp:positionH>
                <wp:positionV relativeFrom="paragraph">
                  <wp:posOffset>2100048</wp:posOffset>
                </wp:positionV>
                <wp:extent cx="4562475" cy="266700"/>
                <wp:effectExtent l="0" t="0" r="0" b="0"/>
                <wp:wrapNone/>
                <wp:docPr id="23" name="Grupo 29"/>
                <wp:cNvGraphicFramePr/>
                <a:graphic xmlns:a="http://schemas.openxmlformats.org/drawingml/2006/main">
                  <a:graphicData uri="http://schemas.microsoft.com/office/word/2010/wordprocessingGroup">
                    <wpg:wgp>
                      <wpg:cNvGrpSpPr/>
                      <wpg:grpSpPr>
                        <a:xfrm>
                          <a:off x="0" y="0"/>
                          <a:ext cx="4562475" cy="266700"/>
                          <a:chOff x="385583" y="-12285"/>
                          <a:chExt cx="8643188" cy="343975"/>
                        </a:xfrm>
                      </wpg:grpSpPr>
                      <wps:wsp>
                        <wps:cNvPr id="25" name="CuadroTexto 31"/>
                        <wps:cNvSpPr txBox="1"/>
                        <wps:spPr>
                          <a:xfrm>
                            <a:off x="385583" y="0"/>
                            <a:ext cx="1057910" cy="319405"/>
                          </a:xfrm>
                          <a:prstGeom prst="rect">
                            <a:avLst/>
                          </a:prstGeom>
                          <a:noFill/>
                        </wps:spPr>
                        <wps:txbx>
                          <w:txbxContent>
                            <w:p w14:paraId="54E02A76" w14:textId="481D963B"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35.1</w:t>
                              </w:r>
                              <w:r w:rsidRPr="003C203F">
                                <w:rPr>
                                  <w:rFonts w:ascii="Arial" w:hAnsi="Arial" w:cs="Arial"/>
                                  <w:b/>
                                  <w:bCs/>
                                  <w:color w:val="CE941F"/>
                                  <w:kern w:val="24"/>
                                  <w:sz w:val="18"/>
                                  <w:szCs w:val="18"/>
                                </w:rPr>
                                <w:t>%</w:t>
                              </w:r>
                            </w:p>
                          </w:txbxContent>
                        </wps:txbx>
                        <wps:bodyPr wrap="square" rtlCol="0">
                          <a:noAutofit/>
                        </wps:bodyPr>
                      </wps:wsp>
                      <wps:wsp>
                        <wps:cNvPr id="26" name="CuadroTexto 32"/>
                        <wps:cNvSpPr txBox="1"/>
                        <wps:spPr>
                          <a:xfrm>
                            <a:off x="2376841" y="0"/>
                            <a:ext cx="1057910" cy="319405"/>
                          </a:xfrm>
                          <a:prstGeom prst="rect">
                            <a:avLst/>
                          </a:prstGeom>
                          <a:noFill/>
                        </wps:spPr>
                        <wps:txbx>
                          <w:txbxContent>
                            <w:p w14:paraId="75C01B71" w14:textId="533D21CA"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26.4</w:t>
                              </w:r>
                              <w:r w:rsidRPr="003C203F">
                                <w:rPr>
                                  <w:rFonts w:ascii="Arial" w:hAnsi="Arial" w:cs="Arial"/>
                                  <w:b/>
                                  <w:bCs/>
                                  <w:color w:val="CE941F"/>
                                  <w:kern w:val="24"/>
                                  <w:sz w:val="18"/>
                                  <w:szCs w:val="18"/>
                                </w:rPr>
                                <w:t>%</w:t>
                              </w:r>
                            </w:p>
                          </w:txbxContent>
                        </wps:txbx>
                        <wps:bodyPr wrap="square" rtlCol="0">
                          <a:noAutofit/>
                        </wps:bodyPr>
                      </wps:wsp>
                      <wps:wsp>
                        <wps:cNvPr id="27" name="CuadroTexto 33"/>
                        <wps:cNvSpPr txBox="1"/>
                        <wps:spPr>
                          <a:xfrm>
                            <a:off x="4293940" y="12285"/>
                            <a:ext cx="982980" cy="319405"/>
                          </a:xfrm>
                          <a:prstGeom prst="rect">
                            <a:avLst/>
                          </a:prstGeom>
                          <a:noFill/>
                        </wps:spPr>
                        <wps:txbx>
                          <w:txbxContent>
                            <w:p w14:paraId="512F2CA3" w14:textId="311656FA"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20</w:t>
                              </w:r>
                              <w:r w:rsidRPr="003C203F">
                                <w:rPr>
                                  <w:rFonts w:ascii="Arial" w:hAnsi="Arial" w:cs="Arial"/>
                                  <w:b/>
                                  <w:bCs/>
                                  <w:color w:val="CE941F"/>
                                  <w:kern w:val="24"/>
                                  <w:sz w:val="18"/>
                                  <w:szCs w:val="18"/>
                                </w:rPr>
                                <w:t>.6%</w:t>
                              </w:r>
                            </w:p>
                          </w:txbxContent>
                        </wps:txbx>
                        <wps:bodyPr wrap="square" rtlCol="0">
                          <a:noAutofit/>
                        </wps:bodyPr>
                      </wps:wsp>
                      <wps:wsp>
                        <wps:cNvPr id="28" name="CuadroTexto 34"/>
                        <wps:cNvSpPr txBox="1"/>
                        <wps:spPr>
                          <a:xfrm>
                            <a:off x="6144751" y="0"/>
                            <a:ext cx="982980" cy="319405"/>
                          </a:xfrm>
                          <a:prstGeom prst="rect">
                            <a:avLst/>
                          </a:prstGeom>
                          <a:noFill/>
                        </wps:spPr>
                        <wps:txbx>
                          <w:txbxContent>
                            <w:p w14:paraId="6891C043" w14:textId="4E1870AA"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14.2</w:t>
                              </w:r>
                              <w:r w:rsidRPr="003C203F">
                                <w:rPr>
                                  <w:rFonts w:ascii="Arial" w:hAnsi="Arial" w:cs="Arial"/>
                                  <w:b/>
                                  <w:bCs/>
                                  <w:color w:val="CE941F"/>
                                  <w:kern w:val="24"/>
                                  <w:sz w:val="18"/>
                                  <w:szCs w:val="18"/>
                                </w:rPr>
                                <w:t>%</w:t>
                              </w:r>
                            </w:p>
                          </w:txbxContent>
                        </wps:txbx>
                        <wps:bodyPr wrap="square" rtlCol="0">
                          <a:noAutofit/>
                        </wps:bodyPr>
                      </wps:wsp>
                      <wps:wsp>
                        <wps:cNvPr id="29" name="CuadroTexto 35"/>
                        <wps:cNvSpPr txBox="1"/>
                        <wps:spPr>
                          <a:xfrm>
                            <a:off x="8046427" y="-12285"/>
                            <a:ext cx="982344" cy="319405"/>
                          </a:xfrm>
                          <a:prstGeom prst="rect">
                            <a:avLst/>
                          </a:prstGeom>
                          <a:noFill/>
                        </wps:spPr>
                        <wps:txbx>
                          <w:txbxContent>
                            <w:p w14:paraId="4E609F64" w14:textId="6D3ECBED"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6.7</w:t>
                              </w:r>
                              <w:r w:rsidRPr="003C203F">
                                <w:rPr>
                                  <w:rFonts w:ascii="Arial" w:hAnsi="Arial" w:cs="Arial"/>
                                  <w:b/>
                                  <w:bCs/>
                                  <w:color w:val="CE941F"/>
                                  <w:kern w:val="24"/>
                                  <w:sz w:val="18"/>
                                  <w:szCs w:val="18"/>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BE95CB1" id="_x0000_s1032" style="position:absolute;left:0;text-align:left;margin-left:67.8pt;margin-top:165.35pt;width:359.25pt;height:21pt;z-index:251661312;mso-width-relative:margin;mso-height-relative:margin" coordorigin="3855,-122" coordsize="86431,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">
                <v:shape id="CuadroTexto 31" o:spid="_x0000_s1033" type="#_x0000_t202" style="position:absolute;left:3855;width:10579;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4E02A76" w14:textId="481D963B"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35.1</w:t>
                        </w:r>
                        <w:r w:rsidRPr="003C203F">
                          <w:rPr>
                            <w:rFonts w:ascii="Arial" w:hAnsi="Arial" w:cs="Arial"/>
                            <w:b/>
                            <w:bCs/>
                            <w:color w:val="CE941F"/>
                            <w:kern w:val="24"/>
                            <w:sz w:val="18"/>
                            <w:szCs w:val="18"/>
                          </w:rPr>
                          <w:t>%</w:t>
                        </w:r>
                      </w:p>
                    </w:txbxContent>
                  </v:textbox>
                </v:shape>
                <v:shape id="CuadroTexto 32" o:spid="_x0000_s1034" type="#_x0000_t202" style="position:absolute;left:23768;width:10579;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5C01B71" w14:textId="533D21CA"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26.4</w:t>
                        </w:r>
                        <w:r w:rsidRPr="003C203F">
                          <w:rPr>
                            <w:rFonts w:ascii="Arial" w:hAnsi="Arial" w:cs="Arial"/>
                            <w:b/>
                            <w:bCs/>
                            <w:color w:val="CE941F"/>
                            <w:kern w:val="24"/>
                            <w:sz w:val="18"/>
                            <w:szCs w:val="18"/>
                          </w:rPr>
                          <w:t>%</w:t>
                        </w:r>
                      </w:p>
                    </w:txbxContent>
                  </v:textbox>
                </v:shape>
                <v:shape id="CuadroTexto 33" o:spid="_x0000_s1035" type="#_x0000_t202" style="position:absolute;left:42939;top:122;width:9830;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12F2CA3" w14:textId="311656FA"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20</w:t>
                        </w:r>
                        <w:r w:rsidRPr="003C203F">
                          <w:rPr>
                            <w:rFonts w:ascii="Arial" w:hAnsi="Arial" w:cs="Arial"/>
                            <w:b/>
                            <w:bCs/>
                            <w:color w:val="CE941F"/>
                            <w:kern w:val="24"/>
                            <w:sz w:val="18"/>
                            <w:szCs w:val="18"/>
                          </w:rPr>
                          <w:t>.6%</w:t>
                        </w:r>
                      </w:p>
                    </w:txbxContent>
                  </v:textbox>
                </v:shape>
                <v:shape id="CuadroTexto 34" o:spid="_x0000_s1036" type="#_x0000_t202" style="position:absolute;left:61447;width:9830;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891C043" w14:textId="4E1870AA"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14.2</w:t>
                        </w:r>
                        <w:r w:rsidRPr="003C203F">
                          <w:rPr>
                            <w:rFonts w:ascii="Arial" w:hAnsi="Arial" w:cs="Arial"/>
                            <w:b/>
                            <w:bCs/>
                            <w:color w:val="CE941F"/>
                            <w:kern w:val="24"/>
                            <w:sz w:val="18"/>
                            <w:szCs w:val="18"/>
                          </w:rPr>
                          <w:t>%</w:t>
                        </w:r>
                      </w:p>
                    </w:txbxContent>
                  </v:textbox>
                </v:shape>
                <v:shape id="CuadroTexto 35" o:spid="_x0000_s1037" type="#_x0000_t202" style="position:absolute;left:80464;top:-122;width:9823;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E609F64" w14:textId="6D3ECBED" w:rsidR="00DF0B1C" w:rsidRPr="003C203F" w:rsidRDefault="00DF0B1C" w:rsidP="00DF0B1C">
                        <w:pPr>
                          <w:jc w:val="center"/>
                          <w:rPr>
                            <w:rFonts w:ascii="Arial" w:hAnsi="Arial" w:cs="Arial"/>
                            <w:b/>
                            <w:bCs/>
                            <w:color w:val="CE941F"/>
                            <w:kern w:val="24"/>
                            <w:sz w:val="18"/>
                            <w:szCs w:val="18"/>
                          </w:rPr>
                        </w:pPr>
                        <w:r>
                          <w:rPr>
                            <w:rFonts w:ascii="Arial" w:hAnsi="Arial" w:cs="Arial"/>
                            <w:b/>
                            <w:bCs/>
                            <w:color w:val="CE941F"/>
                            <w:kern w:val="24"/>
                            <w:sz w:val="18"/>
                            <w:szCs w:val="18"/>
                          </w:rPr>
                          <w:t>6.7</w:t>
                        </w:r>
                        <w:r w:rsidRPr="003C203F">
                          <w:rPr>
                            <w:rFonts w:ascii="Arial" w:hAnsi="Arial" w:cs="Arial"/>
                            <w:b/>
                            <w:bCs/>
                            <w:color w:val="CE941F"/>
                            <w:kern w:val="24"/>
                            <w:sz w:val="18"/>
                            <w:szCs w:val="18"/>
                          </w:rPr>
                          <w:t>%</w:t>
                        </w:r>
                      </w:p>
                    </w:txbxContent>
                  </v:textbox>
                </v:shape>
              </v:group>
            </w:pict>
          </mc:Fallback>
        </mc:AlternateContent>
      </w:r>
      <w:r w:rsidR="00D9662D">
        <w:rPr>
          <w:noProof/>
        </w:rPr>
        <w:drawing>
          <wp:inline distT="0" distB="0" distL="0" distR="0" wp14:anchorId="7C4985BE" wp14:editId="69184421">
            <wp:extent cx="5286375" cy="2371061"/>
            <wp:effectExtent l="0" t="0" r="0" b="0"/>
            <wp:docPr id="22" name="Gráfico 22">
              <a:extLst xmlns:a="http://schemas.openxmlformats.org/drawingml/2006/main">
                <a:ext uri="{FF2B5EF4-FFF2-40B4-BE49-F238E27FC236}">
                  <a16:creationId xmlns:a16="http://schemas.microsoft.com/office/drawing/2014/main" id="{09067D2C-813F-4B87-B9F0-E49C4E6BC5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E3ECCC" w14:textId="28DC7B9D" w:rsidR="00D9662D" w:rsidRDefault="00D9662D" w:rsidP="0005255F">
      <w:pPr>
        <w:pStyle w:val="Default"/>
        <w:spacing w:after="10"/>
        <w:ind w:right="284"/>
        <w:rPr>
          <w:bCs/>
          <w:iCs/>
          <w:color w:val="000000" w:themeColor="text1"/>
          <w:sz w:val="16"/>
        </w:rPr>
      </w:pPr>
    </w:p>
    <w:p w14:paraId="14DD9ADA" w14:textId="6B8B1B14" w:rsidR="00D9662D" w:rsidRDefault="00D9662D" w:rsidP="0005255F">
      <w:pPr>
        <w:pStyle w:val="Default"/>
        <w:spacing w:after="10"/>
        <w:ind w:right="284"/>
        <w:rPr>
          <w:bCs/>
          <w:iCs/>
          <w:color w:val="000000" w:themeColor="text1"/>
          <w:sz w:val="16"/>
        </w:rPr>
      </w:pPr>
    </w:p>
    <w:p w14:paraId="3E407D14" w14:textId="0A0D66C9" w:rsidR="00D9662D" w:rsidRDefault="00D9662D" w:rsidP="0005255F">
      <w:pPr>
        <w:pStyle w:val="Default"/>
        <w:spacing w:after="10"/>
        <w:ind w:right="284"/>
        <w:rPr>
          <w:bCs/>
          <w:iCs/>
          <w:color w:val="000000" w:themeColor="text1"/>
          <w:sz w:val="16"/>
        </w:rPr>
      </w:pPr>
    </w:p>
    <w:p w14:paraId="3F2CD507" w14:textId="604AC126" w:rsidR="00A8720B" w:rsidRDefault="00A8720B" w:rsidP="0005255F">
      <w:pPr>
        <w:pStyle w:val="Default"/>
        <w:spacing w:after="10"/>
        <w:ind w:right="284"/>
        <w:rPr>
          <w:bCs/>
          <w:iCs/>
          <w:color w:val="000000" w:themeColor="text1"/>
          <w:sz w:val="16"/>
        </w:rPr>
      </w:pPr>
    </w:p>
    <w:p w14:paraId="2EE0BF93" w14:textId="7F222C09" w:rsidR="00701F59" w:rsidRDefault="00701F59" w:rsidP="0005255F">
      <w:pPr>
        <w:pStyle w:val="Default"/>
        <w:spacing w:after="10"/>
        <w:ind w:right="284"/>
        <w:rPr>
          <w:bCs/>
          <w:iCs/>
          <w:color w:val="000000" w:themeColor="text1"/>
          <w:sz w:val="16"/>
        </w:rPr>
      </w:pPr>
    </w:p>
    <w:p w14:paraId="5D0059F7" w14:textId="71884CF1" w:rsidR="00701F59" w:rsidRDefault="00701F59" w:rsidP="0005255F">
      <w:pPr>
        <w:pStyle w:val="Default"/>
        <w:spacing w:after="10"/>
        <w:ind w:right="284"/>
        <w:rPr>
          <w:bCs/>
          <w:iCs/>
          <w:color w:val="000000" w:themeColor="text1"/>
          <w:sz w:val="16"/>
        </w:rPr>
      </w:pPr>
    </w:p>
    <w:p w14:paraId="14FCAF31" w14:textId="77777777" w:rsidR="00701F59" w:rsidRDefault="00701F59" w:rsidP="0005255F">
      <w:pPr>
        <w:pStyle w:val="Default"/>
        <w:spacing w:after="10"/>
        <w:ind w:right="284"/>
        <w:rPr>
          <w:bCs/>
          <w:iCs/>
          <w:color w:val="000000" w:themeColor="text1"/>
          <w:sz w:val="16"/>
        </w:rPr>
      </w:pPr>
    </w:p>
    <w:p w14:paraId="1ADCD590" w14:textId="24F9C26A" w:rsidR="00A8720B" w:rsidRDefault="00A8720B" w:rsidP="0005255F">
      <w:pPr>
        <w:pStyle w:val="Default"/>
        <w:spacing w:after="10"/>
        <w:ind w:right="284"/>
        <w:rPr>
          <w:bCs/>
          <w:iCs/>
          <w:color w:val="000000" w:themeColor="text1"/>
          <w:sz w:val="16"/>
        </w:rPr>
      </w:pPr>
    </w:p>
    <w:p w14:paraId="1CA432D4" w14:textId="623EAC15" w:rsidR="00A8720B" w:rsidRDefault="00A8720B" w:rsidP="0005255F">
      <w:pPr>
        <w:pStyle w:val="Default"/>
        <w:spacing w:after="10"/>
        <w:ind w:right="284"/>
        <w:rPr>
          <w:bCs/>
          <w:iCs/>
          <w:color w:val="000000" w:themeColor="text1"/>
          <w:sz w:val="16"/>
        </w:rPr>
      </w:pPr>
    </w:p>
    <w:p w14:paraId="320ED9FA" w14:textId="7ECD0BA8" w:rsidR="00A8720B" w:rsidRDefault="00A8720B" w:rsidP="0005255F">
      <w:pPr>
        <w:pStyle w:val="Default"/>
        <w:spacing w:after="10"/>
        <w:ind w:right="284"/>
        <w:rPr>
          <w:bCs/>
          <w:iCs/>
          <w:color w:val="000000" w:themeColor="text1"/>
          <w:sz w:val="16"/>
        </w:rPr>
      </w:pPr>
    </w:p>
    <w:p w14:paraId="7F0A49DB" w14:textId="48C05004" w:rsidR="00A8720B" w:rsidRDefault="00A8720B" w:rsidP="0005255F">
      <w:pPr>
        <w:pStyle w:val="Default"/>
        <w:spacing w:after="10"/>
        <w:ind w:right="284"/>
        <w:rPr>
          <w:bCs/>
          <w:iCs/>
          <w:color w:val="000000" w:themeColor="text1"/>
          <w:sz w:val="16"/>
        </w:rPr>
      </w:pPr>
    </w:p>
    <w:p w14:paraId="2BCAA829" w14:textId="698C236F" w:rsidR="00331F39" w:rsidRDefault="00DF0B1C" w:rsidP="0005255F">
      <w:pPr>
        <w:pStyle w:val="Default"/>
        <w:spacing w:after="10"/>
        <w:jc w:val="both"/>
      </w:pPr>
      <w:r w:rsidRPr="00DF0B1C">
        <w:lastRenderedPageBreak/>
        <w:t xml:space="preserve">En cuanto a las características sociodemográficas </w:t>
      </w:r>
      <w:r w:rsidR="00304C48">
        <w:t>de</w:t>
      </w:r>
      <w:r w:rsidRPr="00DF0B1C">
        <w:t>l personal de las instituciones de la Administración Pública Federal, se reportó que 27.2% de</w:t>
      </w:r>
      <w:r w:rsidR="005C4567">
        <w:t xml:space="preserve"> los</w:t>
      </w:r>
      <w:r w:rsidRPr="00DF0B1C">
        <w:t xml:space="preserve"> hombres y 42.3% de </w:t>
      </w:r>
      <w:r w:rsidR="005C4567">
        <w:t xml:space="preserve">las </w:t>
      </w:r>
      <w:r w:rsidRPr="00DF0B1C">
        <w:t>mujeres percibieron ingresos brutos mensuales de 5</w:t>
      </w:r>
      <w:r w:rsidR="005101B6">
        <w:t>,</w:t>
      </w:r>
      <w:r w:rsidRPr="00DF0B1C">
        <w:t>001 a 10</w:t>
      </w:r>
      <w:r w:rsidR="005101B6">
        <w:t>,</w:t>
      </w:r>
      <w:r w:rsidRPr="00DF0B1C">
        <w:t>000 pesos. En tanto</w:t>
      </w:r>
      <w:r w:rsidR="00233056">
        <w:t xml:space="preserve"> que</w:t>
      </w:r>
      <w:r w:rsidRPr="00DF0B1C">
        <w:t xml:space="preserve"> 39.0% de </w:t>
      </w:r>
      <w:r w:rsidR="00233056">
        <w:t xml:space="preserve">los </w:t>
      </w:r>
      <w:r w:rsidRPr="00DF0B1C">
        <w:t xml:space="preserve">hombres y 44.4% de </w:t>
      </w:r>
      <w:r w:rsidR="00233056">
        <w:t xml:space="preserve">las </w:t>
      </w:r>
      <w:r w:rsidRPr="00DF0B1C">
        <w:t>mujeres conta</w:t>
      </w:r>
      <w:r w:rsidR="00233056">
        <w:t>ba</w:t>
      </w:r>
      <w:r w:rsidRPr="00DF0B1C">
        <w:t>n con estudios de licenciatura.</w:t>
      </w:r>
    </w:p>
    <w:p w14:paraId="120BF512" w14:textId="77777777" w:rsidR="00DF0B1C" w:rsidRPr="005B46CA" w:rsidRDefault="00DF0B1C" w:rsidP="0005255F">
      <w:pPr>
        <w:pStyle w:val="Default"/>
        <w:spacing w:after="10"/>
        <w:jc w:val="both"/>
        <w:rPr>
          <w:color w:val="000000" w:themeColor="text1"/>
        </w:rPr>
      </w:pPr>
    </w:p>
    <w:p w14:paraId="62B1AAFA" w14:textId="6181B3AE" w:rsidR="005B46CA" w:rsidRPr="005B46CA" w:rsidRDefault="00331F39" w:rsidP="0005255F">
      <w:pPr>
        <w:pStyle w:val="Default"/>
        <w:ind w:right="284"/>
        <w:jc w:val="center"/>
        <w:rPr>
          <w:bCs/>
          <w:iCs/>
          <w:color w:val="000000" w:themeColor="text1"/>
          <w:sz w:val="20"/>
          <w:szCs w:val="20"/>
        </w:rPr>
      </w:pPr>
      <w:r w:rsidRPr="005B46CA">
        <w:rPr>
          <w:bCs/>
          <w:iCs/>
          <w:color w:val="000000" w:themeColor="text1"/>
          <w:sz w:val="20"/>
          <w:szCs w:val="20"/>
        </w:rPr>
        <w:t>Gráfica 1</w:t>
      </w:r>
      <w:r w:rsidR="006D6264">
        <w:rPr>
          <w:bCs/>
          <w:iCs/>
          <w:color w:val="000000" w:themeColor="text1"/>
          <w:sz w:val="20"/>
          <w:szCs w:val="20"/>
        </w:rPr>
        <w:t>2</w:t>
      </w:r>
    </w:p>
    <w:p w14:paraId="51ADAF3C" w14:textId="57FEFA30" w:rsidR="00BB34E7" w:rsidRDefault="00331F39" w:rsidP="00DF0B1C">
      <w:pPr>
        <w:pStyle w:val="Default"/>
        <w:ind w:right="284"/>
        <w:jc w:val="center"/>
        <w:rPr>
          <w:b/>
          <w:bCs/>
          <w:iCs/>
          <w:smallCaps/>
          <w:color w:val="000000" w:themeColor="text1"/>
          <w:sz w:val="22"/>
          <w:szCs w:val="22"/>
        </w:rPr>
      </w:pPr>
      <w:r w:rsidRPr="005B46CA">
        <w:rPr>
          <w:bCs/>
          <w:iCs/>
          <w:color w:val="000000" w:themeColor="text1"/>
          <w:sz w:val="18"/>
        </w:rPr>
        <w:t xml:space="preserve"> </w:t>
      </w:r>
      <w:r w:rsidR="00DF0B1C" w:rsidRPr="00DF0B1C">
        <w:rPr>
          <w:b/>
          <w:bCs/>
          <w:iCs/>
          <w:smallCaps/>
          <w:color w:val="000000" w:themeColor="text1"/>
          <w:sz w:val="22"/>
          <w:szCs w:val="22"/>
        </w:rPr>
        <w:t>Personal de la Administración Pública Federal, según ingresos</w:t>
      </w:r>
      <w:r w:rsidR="00DF0B1C">
        <w:rPr>
          <w:b/>
          <w:bCs/>
          <w:iCs/>
          <w:smallCaps/>
          <w:color w:val="000000" w:themeColor="text1"/>
          <w:sz w:val="22"/>
          <w:szCs w:val="22"/>
        </w:rPr>
        <w:t xml:space="preserve"> </w:t>
      </w:r>
    </w:p>
    <w:p w14:paraId="17629494" w14:textId="39FC3AB9" w:rsidR="00331F39" w:rsidRPr="00E75578" w:rsidRDefault="00BB34E7" w:rsidP="00DF0B1C">
      <w:pPr>
        <w:pStyle w:val="Default"/>
        <w:ind w:right="284"/>
        <w:jc w:val="center"/>
        <w:rPr>
          <w:noProof/>
          <w:sz w:val="18"/>
          <w:szCs w:val="18"/>
        </w:rPr>
      </w:pPr>
      <w:r w:rsidRPr="00E75578">
        <w:rPr>
          <w:iCs/>
          <w:smallCaps/>
          <w:color w:val="000000" w:themeColor="text1"/>
          <w:sz w:val="18"/>
          <w:szCs w:val="18"/>
        </w:rPr>
        <w:t>2020</w:t>
      </w:r>
    </w:p>
    <w:p w14:paraId="484EBDBF" w14:textId="7E8C09A7" w:rsidR="00A8720B" w:rsidRDefault="00A8720B" w:rsidP="00DF0B1C">
      <w:pPr>
        <w:pStyle w:val="Default"/>
        <w:ind w:right="284"/>
        <w:jc w:val="center"/>
      </w:pPr>
      <w:r>
        <w:rPr>
          <w:noProof/>
        </w:rPr>
        <w:drawing>
          <wp:inline distT="0" distB="0" distL="0" distR="0" wp14:anchorId="5D5B34DE" wp14:editId="69F62C99">
            <wp:extent cx="6404610" cy="2609850"/>
            <wp:effectExtent l="0" t="0" r="0" b="0"/>
            <wp:docPr id="30" name="Gráfico 30">
              <a:extLst xmlns:a="http://schemas.openxmlformats.org/drawingml/2006/main">
                <a:ext uri="{FF2B5EF4-FFF2-40B4-BE49-F238E27FC236}">
                  <a16:creationId xmlns:a16="http://schemas.microsoft.com/office/drawing/2014/main" id="{6E91DEF8-72DE-4A11-867C-A62D3A68DC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EAC0D1" w14:textId="77777777" w:rsidR="00331F39" w:rsidRDefault="00331F39" w:rsidP="0005255F">
      <w:pPr>
        <w:pStyle w:val="Default"/>
        <w:spacing w:after="10"/>
        <w:ind w:right="284"/>
        <w:jc w:val="center"/>
        <w:rPr>
          <w:bCs/>
          <w:iCs/>
          <w:color w:val="000000" w:themeColor="text1"/>
          <w:sz w:val="16"/>
          <w:highlight w:val="cyan"/>
        </w:rPr>
      </w:pPr>
    </w:p>
    <w:p w14:paraId="73B0AE83" w14:textId="2CA225DC" w:rsidR="00A8720B" w:rsidRPr="00A8720B" w:rsidRDefault="00A8720B" w:rsidP="00A8720B">
      <w:pPr>
        <w:pStyle w:val="Default"/>
        <w:spacing w:after="10"/>
        <w:ind w:right="284"/>
        <w:jc w:val="both"/>
        <w:rPr>
          <w:bCs/>
          <w:iCs/>
          <w:color w:val="000000" w:themeColor="text1"/>
          <w:sz w:val="16"/>
          <w:szCs w:val="16"/>
        </w:rPr>
      </w:pPr>
      <w:r w:rsidRPr="00A8720B">
        <w:rPr>
          <w:bCs/>
          <w:iCs/>
          <w:color w:val="000000" w:themeColor="text1"/>
          <w:sz w:val="16"/>
          <w:szCs w:val="16"/>
        </w:rPr>
        <w:t>No</w:t>
      </w:r>
      <w:r>
        <w:rPr>
          <w:bCs/>
          <w:iCs/>
          <w:color w:val="000000" w:themeColor="text1"/>
          <w:sz w:val="16"/>
          <w:szCs w:val="16"/>
        </w:rPr>
        <w:t>ta: no</w:t>
      </w:r>
      <w:r w:rsidRPr="00A8720B">
        <w:rPr>
          <w:bCs/>
          <w:iCs/>
          <w:color w:val="000000" w:themeColor="text1"/>
          <w:sz w:val="16"/>
          <w:szCs w:val="16"/>
        </w:rPr>
        <w:t xml:space="preserve"> se incluye la categoría </w:t>
      </w:r>
      <w:r w:rsidR="007922DF" w:rsidRPr="007922DF">
        <w:rPr>
          <w:bCs/>
          <w:i/>
          <w:color w:val="000000" w:themeColor="text1"/>
          <w:sz w:val="16"/>
          <w:szCs w:val="16"/>
        </w:rPr>
        <w:t>n</w:t>
      </w:r>
      <w:r w:rsidRPr="00A8720B">
        <w:rPr>
          <w:bCs/>
          <w:i/>
          <w:iCs/>
          <w:color w:val="000000" w:themeColor="text1"/>
          <w:sz w:val="16"/>
          <w:szCs w:val="16"/>
        </w:rPr>
        <w:t xml:space="preserve">o especificado </w:t>
      </w:r>
      <w:r w:rsidRPr="00A8720B">
        <w:rPr>
          <w:bCs/>
          <w:iCs/>
          <w:color w:val="000000" w:themeColor="text1"/>
          <w:sz w:val="16"/>
          <w:szCs w:val="16"/>
        </w:rPr>
        <w:t>que para los hombres representó 0.4% y para las mujeres 0.2</w:t>
      </w:r>
      <w:r w:rsidR="00D44BDB">
        <w:rPr>
          <w:bCs/>
          <w:iCs/>
          <w:color w:val="000000" w:themeColor="text1"/>
          <w:sz w:val="16"/>
          <w:szCs w:val="16"/>
        </w:rPr>
        <w:t>%</w:t>
      </w:r>
      <w:r w:rsidRPr="00A8720B">
        <w:rPr>
          <w:bCs/>
          <w:iCs/>
          <w:color w:val="000000" w:themeColor="text1"/>
          <w:sz w:val="16"/>
          <w:szCs w:val="16"/>
        </w:rPr>
        <w:t>.</w:t>
      </w:r>
    </w:p>
    <w:p w14:paraId="1A465169" w14:textId="77777777" w:rsidR="000C0160" w:rsidRDefault="000C0160" w:rsidP="000B4BA5">
      <w:pPr>
        <w:pStyle w:val="Default"/>
        <w:spacing w:after="10"/>
        <w:ind w:right="284"/>
        <w:jc w:val="center"/>
        <w:rPr>
          <w:bCs/>
          <w:iCs/>
          <w:color w:val="000000" w:themeColor="text1"/>
          <w:sz w:val="20"/>
          <w:szCs w:val="20"/>
        </w:rPr>
      </w:pPr>
    </w:p>
    <w:p w14:paraId="47353EF9" w14:textId="47D70A61" w:rsidR="005B46CA" w:rsidRPr="005B46CA" w:rsidRDefault="00331F39" w:rsidP="0005255F">
      <w:pPr>
        <w:pStyle w:val="Default"/>
        <w:spacing w:after="10"/>
        <w:ind w:right="284"/>
        <w:jc w:val="center"/>
        <w:rPr>
          <w:bCs/>
          <w:iCs/>
          <w:color w:val="000000" w:themeColor="text1"/>
          <w:sz w:val="20"/>
          <w:szCs w:val="20"/>
        </w:rPr>
      </w:pPr>
      <w:r w:rsidRPr="005B46CA">
        <w:rPr>
          <w:bCs/>
          <w:iCs/>
          <w:color w:val="000000" w:themeColor="text1"/>
          <w:sz w:val="20"/>
          <w:szCs w:val="20"/>
        </w:rPr>
        <w:t>Gráfica 1</w:t>
      </w:r>
      <w:r w:rsidR="006D6264">
        <w:rPr>
          <w:bCs/>
          <w:iCs/>
          <w:color w:val="000000" w:themeColor="text1"/>
          <w:sz w:val="20"/>
          <w:szCs w:val="20"/>
        </w:rPr>
        <w:t>3</w:t>
      </w:r>
    </w:p>
    <w:p w14:paraId="01CD16CB" w14:textId="369EF225" w:rsidR="00BB34E7" w:rsidRDefault="00331F39" w:rsidP="007922DF">
      <w:pPr>
        <w:pStyle w:val="Default"/>
        <w:spacing w:after="10"/>
        <w:ind w:right="284"/>
        <w:jc w:val="center"/>
        <w:rPr>
          <w:rFonts w:ascii="Arial Negrita" w:hAnsi="Arial Negrita"/>
          <w:b/>
          <w:bCs/>
          <w:iCs/>
          <w:smallCaps/>
          <w:color w:val="000000" w:themeColor="text1"/>
          <w:sz w:val="22"/>
          <w:szCs w:val="22"/>
        </w:rPr>
      </w:pPr>
      <w:r w:rsidRPr="005B46CA">
        <w:rPr>
          <w:b/>
          <w:bCs/>
          <w:iCs/>
          <w:color w:val="000000" w:themeColor="text1"/>
          <w:sz w:val="18"/>
        </w:rPr>
        <w:t xml:space="preserve"> </w:t>
      </w:r>
      <w:r w:rsidR="007922DF" w:rsidRPr="007922DF">
        <w:rPr>
          <w:rFonts w:ascii="Arial Negrita" w:hAnsi="Arial Negrita"/>
          <w:b/>
          <w:bCs/>
          <w:iCs/>
          <w:smallCaps/>
          <w:color w:val="000000" w:themeColor="text1"/>
          <w:sz w:val="22"/>
          <w:szCs w:val="22"/>
        </w:rPr>
        <w:t>Personal de la Administración Pública Federal, según escolaridad</w:t>
      </w:r>
    </w:p>
    <w:p w14:paraId="4814A4F9" w14:textId="60ADAB7D" w:rsidR="00331F39" w:rsidRPr="00E75578" w:rsidRDefault="00BB34E7" w:rsidP="007922DF">
      <w:pPr>
        <w:pStyle w:val="Default"/>
        <w:spacing w:after="10"/>
        <w:ind w:right="284"/>
        <w:jc w:val="center"/>
        <w:rPr>
          <w:rFonts w:ascii="Arial Negrita" w:hAnsi="Arial Negrita"/>
          <w:b/>
          <w:bCs/>
          <w:iCs/>
          <w:smallCaps/>
          <w:color w:val="000000" w:themeColor="text1"/>
          <w:sz w:val="18"/>
          <w:szCs w:val="18"/>
        </w:rPr>
      </w:pPr>
      <w:r w:rsidRPr="00E75578">
        <w:rPr>
          <w:iCs/>
          <w:smallCaps/>
          <w:color w:val="000000" w:themeColor="text1"/>
          <w:sz w:val="18"/>
          <w:szCs w:val="18"/>
        </w:rPr>
        <w:t>2020</w:t>
      </w:r>
    </w:p>
    <w:p w14:paraId="12215605" w14:textId="2FF5F14B" w:rsidR="00331F39" w:rsidRDefault="007922DF" w:rsidP="0005255F">
      <w:pPr>
        <w:pStyle w:val="Default"/>
        <w:spacing w:after="10"/>
        <w:ind w:right="284"/>
        <w:jc w:val="center"/>
        <w:rPr>
          <w:b/>
          <w:bCs/>
          <w:i/>
          <w:iCs/>
          <w:color w:val="706F6F"/>
          <w:sz w:val="18"/>
        </w:rPr>
      </w:pPr>
      <w:r>
        <w:rPr>
          <w:noProof/>
        </w:rPr>
        <w:drawing>
          <wp:inline distT="0" distB="0" distL="0" distR="0" wp14:anchorId="0936A703" wp14:editId="1BC6B615">
            <wp:extent cx="4342130" cy="2498651"/>
            <wp:effectExtent l="0" t="0" r="1270" b="0"/>
            <wp:docPr id="32" name="Gráfico 32">
              <a:extLst xmlns:a="http://schemas.openxmlformats.org/drawingml/2006/main">
                <a:ext uri="{FF2B5EF4-FFF2-40B4-BE49-F238E27FC236}">
                  <a16:creationId xmlns:a16="http://schemas.microsoft.com/office/drawing/2014/main" id="{63967388-0381-4F03-ACED-972CA273DB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B4BFDC6" w14:textId="53674225" w:rsidR="007922DF" w:rsidRPr="007922DF" w:rsidRDefault="007922DF" w:rsidP="0005255F">
      <w:pPr>
        <w:pStyle w:val="Default"/>
        <w:spacing w:after="10"/>
        <w:jc w:val="both"/>
        <w:rPr>
          <w:sz w:val="16"/>
          <w:szCs w:val="16"/>
        </w:rPr>
      </w:pPr>
      <w:r w:rsidRPr="007922DF">
        <w:rPr>
          <w:sz w:val="16"/>
          <w:szCs w:val="16"/>
        </w:rPr>
        <w:t>No</w:t>
      </w:r>
      <w:r>
        <w:rPr>
          <w:sz w:val="16"/>
          <w:szCs w:val="16"/>
        </w:rPr>
        <w:t>ta: no</w:t>
      </w:r>
      <w:r w:rsidRPr="007922DF">
        <w:rPr>
          <w:sz w:val="16"/>
          <w:szCs w:val="16"/>
        </w:rPr>
        <w:t xml:space="preserve"> se incluye la categoría </w:t>
      </w:r>
      <w:r>
        <w:rPr>
          <w:i/>
          <w:iCs/>
          <w:sz w:val="16"/>
          <w:szCs w:val="16"/>
        </w:rPr>
        <w:t>n</w:t>
      </w:r>
      <w:r w:rsidRPr="007922DF">
        <w:rPr>
          <w:i/>
          <w:iCs/>
          <w:sz w:val="16"/>
          <w:szCs w:val="16"/>
        </w:rPr>
        <w:t>o especificado</w:t>
      </w:r>
      <w:r w:rsidRPr="007922DF">
        <w:rPr>
          <w:sz w:val="16"/>
          <w:szCs w:val="16"/>
        </w:rPr>
        <w:t xml:space="preserve"> que para los hombres representó 10.7% y para las mujeres 4.4</w:t>
      </w:r>
      <w:r w:rsidR="00D44BDB">
        <w:rPr>
          <w:sz w:val="16"/>
          <w:szCs w:val="16"/>
        </w:rPr>
        <w:t>%</w:t>
      </w:r>
      <w:r w:rsidRPr="007922DF">
        <w:rPr>
          <w:sz w:val="16"/>
          <w:szCs w:val="16"/>
        </w:rPr>
        <w:t>.</w:t>
      </w:r>
    </w:p>
    <w:p w14:paraId="0ED032D2" w14:textId="77777777" w:rsidR="005101B6" w:rsidRDefault="005101B6" w:rsidP="0005255F">
      <w:pPr>
        <w:pStyle w:val="Default"/>
        <w:spacing w:after="10"/>
        <w:jc w:val="both"/>
      </w:pPr>
    </w:p>
    <w:p w14:paraId="48FA95E2" w14:textId="77777777" w:rsidR="00865237" w:rsidRDefault="00865237" w:rsidP="0005255F">
      <w:pPr>
        <w:pStyle w:val="Default"/>
        <w:spacing w:after="10"/>
        <w:jc w:val="both"/>
      </w:pPr>
    </w:p>
    <w:p w14:paraId="6169CEDA" w14:textId="77777777" w:rsidR="00865237" w:rsidRDefault="00865237" w:rsidP="0005255F">
      <w:pPr>
        <w:pStyle w:val="Default"/>
        <w:spacing w:after="10"/>
        <w:jc w:val="both"/>
      </w:pPr>
    </w:p>
    <w:p w14:paraId="36636C3C" w14:textId="4831F6DE" w:rsidR="0084745F" w:rsidRDefault="0084745F" w:rsidP="0005255F">
      <w:pPr>
        <w:pStyle w:val="Default"/>
        <w:spacing w:after="10"/>
        <w:jc w:val="both"/>
      </w:pPr>
      <w:r w:rsidRPr="0084745F">
        <w:t>Al cierre de 2020, 293 instituciones de la Administración Pública Federal contaron con elementos, mecanismos y/o esquemas de profesionalización para su personal. Comparado con 2019, la cantidad de instituciones que contaron con dichos elementos disminuyó 5.5%</w:t>
      </w:r>
      <w:r w:rsidR="00E75578">
        <w:t>.</w:t>
      </w:r>
      <w:r w:rsidRPr="0084745F">
        <w:t xml:space="preserve"> </w:t>
      </w:r>
      <w:r w:rsidR="00E75578">
        <w:t xml:space="preserve">El </w:t>
      </w:r>
      <w:r w:rsidR="00E75578" w:rsidRPr="0084745F">
        <w:t>elemento o esquema de mayor frecuencia</w:t>
      </w:r>
      <w:r w:rsidR="00E75578" w:rsidRPr="00C6440A">
        <w:rPr>
          <w:i/>
          <w:iCs/>
        </w:rPr>
        <w:t xml:space="preserve"> </w:t>
      </w:r>
      <w:r w:rsidR="00E75578" w:rsidRPr="00011F93">
        <w:t>fue</w:t>
      </w:r>
      <w:r w:rsidR="00E75578">
        <w:rPr>
          <w:i/>
          <w:iCs/>
        </w:rPr>
        <w:t xml:space="preserve"> </w:t>
      </w:r>
      <w:r w:rsidRPr="00C6440A">
        <w:rPr>
          <w:i/>
          <w:iCs/>
        </w:rPr>
        <w:t>Mecanismos de evaluación del desempeño</w:t>
      </w:r>
      <w:r w:rsidRPr="0084745F">
        <w:t xml:space="preserve">, seguido de </w:t>
      </w:r>
      <w:r w:rsidR="00604D41">
        <w:rPr>
          <w:i/>
          <w:iCs/>
        </w:rPr>
        <w:t>P</w:t>
      </w:r>
      <w:r w:rsidRPr="00C5763E">
        <w:rPr>
          <w:i/>
          <w:iCs/>
        </w:rPr>
        <w:t>rogramas de estímulos y recompensas</w:t>
      </w:r>
      <w:r w:rsidRPr="0084745F">
        <w:t>.</w:t>
      </w:r>
    </w:p>
    <w:p w14:paraId="5D433779" w14:textId="6134DCA7" w:rsidR="0084745F" w:rsidRDefault="0084745F" w:rsidP="0005255F">
      <w:pPr>
        <w:pStyle w:val="Default"/>
        <w:spacing w:after="10"/>
        <w:jc w:val="both"/>
      </w:pPr>
    </w:p>
    <w:p w14:paraId="4401CFA7" w14:textId="77777777" w:rsidR="00C6440A" w:rsidRDefault="00C6440A" w:rsidP="0005255F">
      <w:pPr>
        <w:pStyle w:val="Default"/>
        <w:spacing w:after="10"/>
        <w:jc w:val="both"/>
      </w:pPr>
    </w:p>
    <w:p w14:paraId="5644A909" w14:textId="63DD7921" w:rsidR="005B46CA" w:rsidRPr="005B46CA" w:rsidRDefault="00331F39" w:rsidP="0005255F">
      <w:pPr>
        <w:pStyle w:val="Default"/>
        <w:spacing w:after="10"/>
        <w:ind w:right="284"/>
        <w:jc w:val="center"/>
        <w:rPr>
          <w:bCs/>
          <w:iCs/>
          <w:color w:val="000000" w:themeColor="text1"/>
          <w:sz w:val="20"/>
          <w:szCs w:val="20"/>
        </w:rPr>
      </w:pPr>
      <w:r w:rsidRPr="005B46CA">
        <w:rPr>
          <w:bCs/>
          <w:iCs/>
          <w:color w:val="000000" w:themeColor="text1"/>
          <w:sz w:val="20"/>
          <w:szCs w:val="20"/>
        </w:rPr>
        <w:t>Gráfica 1</w:t>
      </w:r>
      <w:r w:rsidR="0052392D">
        <w:rPr>
          <w:bCs/>
          <w:iCs/>
          <w:color w:val="000000" w:themeColor="text1"/>
          <w:sz w:val="20"/>
          <w:szCs w:val="20"/>
        </w:rPr>
        <w:t>4</w:t>
      </w:r>
    </w:p>
    <w:p w14:paraId="49F291F6" w14:textId="3FD881CF" w:rsidR="0084745F" w:rsidRPr="0084745F" w:rsidRDefault="00331F39" w:rsidP="0084745F">
      <w:pPr>
        <w:pStyle w:val="Default"/>
        <w:spacing w:after="10"/>
        <w:ind w:right="284"/>
        <w:jc w:val="center"/>
        <w:rPr>
          <w:rFonts w:ascii="Arial Negrita" w:hAnsi="Arial Negrita"/>
          <w:b/>
          <w:bCs/>
          <w:iCs/>
          <w:smallCaps/>
          <w:color w:val="000000" w:themeColor="text1"/>
          <w:sz w:val="22"/>
          <w:szCs w:val="22"/>
        </w:rPr>
      </w:pPr>
      <w:r w:rsidRPr="005B46CA">
        <w:rPr>
          <w:rFonts w:ascii="Arial Negrita" w:hAnsi="Arial Negrita"/>
          <w:b/>
          <w:bCs/>
          <w:iCs/>
          <w:smallCaps/>
          <w:color w:val="000000" w:themeColor="text1"/>
          <w:sz w:val="22"/>
          <w:szCs w:val="22"/>
        </w:rPr>
        <w:t xml:space="preserve"> </w:t>
      </w:r>
      <w:r w:rsidR="0084745F" w:rsidRPr="0084745F">
        <w:rPr>
          <w:rFonts w:ascii="Arial Negrita" w:hAnsi="Arial Negrita"/>
          <w:b/>
          <w:bCs/>
          <w:iCs/>
          <w:smallCaps/>
          <w:color w:val="000000" w:themeColor="text1"/>
          <w:sz w:val="22"/>
          <w:szCs w:val="22"/>
        </w:rPr>
        <w:t xml:space="preserve">Instituciones, según elementos, mecanismos o esquemas </w:t>
      </w:r>
    </w:p>
    <w:p w14:paraId="30787653" w14:textId="3331678C" w:rsidR="00331F39" w:rsidRDefault="0084745F" w:rsidP="0084745F">
      <w:pPr>
        <w:pStyle w:val="Default"/>
        <w:spacing w:after="10"/>
        <w:ind w:right="284"/>
        <w:jc w:val="center"/>
        <w:rPr>
          <w:rFonts w:ascii="Arial Negrita" w:hAnsi="Arial Negrita"/>
          <w:b/>
          <w:bCs/>
          <w:iCs/>
          <w:smallCaps/>
          <w:color w:val="000000" w:themeColor="text1"/>
          <w:sz w:val="22"/>
          <w:szCs w:val="22"/>
        </w:rPr>
      </w:pPr>
      <w:r w:rsidRPr="0084745F">
        <w:rPr>
          <w:rFonts w:ascii="Arial Negrita" w:hAnsi="Arial Negrita"/>
          <w:b/>
          <w:bCs/>
          <w:iCs/>
          <w:smallCaps/>
          <w:color w:val="000000" w:themeColor="text1"/>
          <w:sz w:val="22"/>
          <w:szCs w:val="22"/>
        </w:rPr>
        <w:t>de profesionalización para el personal</w:t>
      </w:r>
    </w:p>
    <w:p w14:paraId="095E4459" w14:textId="77777777" w:rsidR="00865237" w:rsidRDefault="00865237" w:rsidP="0084745F">
      <w:pPr>
        <w:pStyle w:val="Default"/>
        <w:spacing w:after="10"/>
        <w:ind w:right="284"/>
        <w:jc w:val="center"/>
        <w:rPr>
          <w:b/>
          <w:bCs/>
          <w:i/>
          <w:iCs/>
          <w:color w:val="706F6F"/>
          <w:sz w:val="18"/>
        </w:rPr>
      </w:pPr>
    </w:p>
    <w:p w14:paraId="114AFBC4" w14:textId="4DC91FD4" w:rsidR="0084745F" w:rsidRDefault="0084745F" w:rsidP="0005255F">
      <w:pPr>
        <w:pStyle w:val="Default"/>
        <w:spacing w:after="10"/>
        <w:jc w:val="both"/>
        <w:rPr>
          <w:bCs/>
          <w:iCs/>
          <w:color w:val="000000" w:themeColor="text1"/>
          <w:sz w:val="16"/>
        </w:rPr>
      </w:pPr>
      <w:r>
        <w:rPr>
          <w:noProof/>
        </w:rPr>
        <w:drawing>
          <wp:inline distT="0" distB="0" distL="0" distR="0" wp14:anchorId="37D6D45E" wp14:editId="405E680B">
            <wp:extent cx="6246421" cy="5284470"/>
            <wp:effectExtent l="0" t="0" r="2540" b="0"/>
            <wp:docPr id="33" name="Gráfico 33">
              <a:extLst xmlns:a="http://schemas.openxmlformats.org/drawingml/2006/main">
                <a:ext uri="{FF2B5EF4-FFF2-40B4-BE49-F238E27FC236}">
                  <a16:creationId xmlns:a16="http://schemas.microsoft.com/office/drawing/2014/main" id="{EF950ED7-3945-4C9E-B040-AB969BCD0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66B4E4" w14:textId="77777777" w:rsidR="0084745F" w:rsidRDefault="0084745F" w:rsidP="0005255F">
      <w:pPr>
        <w:pStyle w:val="Default"/>
        <w:spacing w:after="10"/>
        <w:jc w:val="both"/>
        <w:rPr>
          <w:bCs/>
          <w:iCs/>
          <w:color w:val="000000" w:themeColor="text1"/>
          <w:sz w:val="16"/>
        </w:rPr>
      </w:pPr>
    </w:p>
    <w:p w14:paraId="430AEFA3" w14:textId="6D7EF7FD" w:rsidR="006B7A41" w:rsidRDefault="006B7A41" w:rsidP="0005255F">
      <w:pPr>
        <w:pStyle w:val="Default"/>
        <w:spacing w:after="10"/>
        <w:jc w:val="both"/>
      </w:pPr>
    </w:p>
    <w:p w14:paraId="3AFCA9AF" w14:textId="0A067352" w:rsidR="005101B6" w:rsidRDefault="005101B6" w:rsidP="0005255F">
      <w:pPr>
        <w:pStyle w:val="Default"/>
        <w:spacing w:after="10"/>
        <w:jc w:val="both"/>
      </w:pPr>
    </w:p>
    <w:p w14:paraId="37907059" w14:textId="36E3F6F3" w:rsidR="0084745F" w:rsidRDefault="006B7A41" w:rsidP="0005255F">
      <w:pPr>
        <w:pStyle w:val="Default"/>
        <w:spacing w:after="10"/>
        <w:jc w:val="both"/>
        <w:rPr>
          <w:bCs/>
          <w:iCs/>
          <w:color w:val="000000" w:themeColor="text1"/>
          <w:sz w:val="16"/>
        </w:rPr>
      </w:pPr>
      <w:r w:rsidRPr="006B7A41">
        <w:lastRenderedPageBreak/>
        <w:t>Durante 2020, el presupuesto total ejercido por las instituciones de la Administración Pública Federal fue de 3</w:t>
      </w:r>
      <w:r w:rsidR="00CD044A">
        <w:t>,</w:t>
      </w:r>
      <w:r w:rsidRPr="006B7A41">
        <w:t>410</w:t>
      </w:r>
      <w:r w:rsidR="00CD044A">
        <w:t>,</w:t>
      </w:r>
      <w:r w:rsidRPr="006B7A41">
        <w:t>635</w:t>
      </w:r>
      <w:r w:rsidR="00CD044A">
        <w:t xml:space="preserve"> </w:t>
      </w:r>
      <w:r w:rsidR="008F6E77">
        <w:t xml:space="preserve">millones de </w:t>
      </w:r>
      <w:r w:rsidRPr="006B7A41">
        <w:t>pesos</w:t>
      </w:r>
      <w:r w:rsidR="00E75578">
        <w:t>, l</w:t>
      </w:r>
      <w:r w:rsidRPr="006B7A41">
        <w:t xml:space="preserve">o </w:t>
      </w:r>
      <w:r w:rsidR="00E75578">
        <w:t>que</w:t>
      </w:r>
      <w:r w:rsidRPr="006B7A41">
        <w:t xml:space="preserve"> representa un aumento de 7.0% con respecto a 2019.</w:t>
      </w:r>
    </w:p>
    <w:p w14:paraId="580B4039" w14:textId="77777777" w:rsidR="006B7A41" w:rsidRDefault="006B7A41" w:rsidP="0084745F">
      <w:pPr>
        <w:pStyle w:val="Default"/>
        <w:spacing w:after="10"/>
        <w:ind w:right="284"/>
        <w:jc w:val="center"/>
        <w:rPr>
          <w:bCs/>
          <w:iCs/>
          <w:color w:val="000000" w:themeColor="text1"/>
          <w:sz w:val="20"/>
          <w:szCs w:val="20"/>
        </w:rPr>
      </w:pPr>
    </w:p>
    <w:p w14:paraId="3C279964" w14:textId="14882378" w:rsidR="0084745F" w:rsidRPr="00C41C5C" w:rsidRDefault="0084745F" w:rsidP="0084745F">
      <w:pPr>
        <w:pStyle w:val="Default"/>
        <w:spacing w:after="10"/>
        <w:ind w:right="284"/>
        <w:jc w:val="center"/>
        <w:rPr>
          <w:bCs/>
          <w:iCs/>
          <w:color w:val="000000" w:themeColor="text1"/>
          <w:sz w:val="20"/>
          <w:szCs w:val="20"/>
        </w:rPr>
      </w:pPr>
      <w:r w:rsidRPr="00C41C5C">
        <w:rPr>
          <w:bCs/>
          <w:iCs/>
          <w:color w:val="000000" w:themeColor="text1"/>
          <w:sz w:val="20"/>
          <w:szCs w:val="20"/>
        </w:rPr>
        <w:t xml:space="preserve">Gráfica </w:t>
      </w:r>
      <w:r w:rsidR="006B7A41">
        <w:rPr>
          <w:bCs/>
          <w:iCs/>
          <w:color w:val="000000" w:themeColor="text1"/>
          <w:sz w:val="20"/>
          <w:szCs w:val="20"/>
        </w:rPr>
        <w:t>1</w:t>
      </w:r>
      <w:r w:rsidR="0052392D">
        <w:rPr>
          <w:bCs/>
          <w:iCs/>
          <w:color w:val="000000" w:themeColor="text1"/>
          <w:sz w:val="20"/>
          <w:szCs w:val="20"/>
        </w:rPr>
        <w:t>5</w:t>
      </w:r>
    </w:p>
    <w:p w14:paraId="563458CF" w14:textId="3175FAA2" w:rsidR="0084745F" w:rsidRPr="00F40B95" w:rsidRDefault="0084745F" w:rsidP="0084745F">
      <w:pPr>
        <w:pStyle w:val="Default"/>
        <w:spacing w:after="10"/>
        <w:ind w:right="284"/>
        <w:jc w:val="center"/>
        <w:rPr>
          <w:rFonts w:ascii="Arial Negrita" w:hAnsi="Arial Negrita"/>
          <w:b/>
          <w:bCs/>
          <w:iCs/>
          <w:smallCaps/>
          <w:color w:val="000000" w:themeColor="text1"/>
          <w:sz w:val="22"/>
          <w:szCs w:val="22"/>
        </w:rPr>
      </w:pPr>
      <w:r w:rsidRPr="003575A7">
        <w:rPr>
          <w:b/>
          <w:bCs/>
          <w:i/>
          <w:iCs/>
          <w:color w:val="706F6F"/>
          <w:sz w:val="18"/>
        </w:rPr>
        <w:t xml:space="preserve"> </w:t>
      </w:r>
      <w:r w:rsidRPr="00C41C5C">
        <w:rPr>
          <w:rFonts w:ascii="Arial Negrita" w:hAnsi="Arial Negrita"/>
          <w:b/>
          <w:bCs/>
          <w:iCs/>
          <w:smallCaps/>
          <w:color w:val="000000" w:themeColor="text1"/>
          <w:sz w:val="22"/>
          <w:szCs w:val="22"/>
        </w:rPr>
        <w:t xml:space="preserve">Presupuesto </w:t>
      </w:r>
      <w:r w:rsidR="006B7A41" w:rsidRPr="006B7A41">
        <w:rPr>
          <w:rFonts w:ascii="Arial Negrita" w:hAnsi="Arial Negrita"/>
          <w:b/>
          <w:bCs/>
          <w:iCs/>
          <w:smallCaps/>
          <w:color w:val="000000" w:themeColor="text1"/>
          <w:sz w:val="22"/>
          <w:szCs w:val="22"/>
        </w:rPr>
        <w:t>ejercido por las instituciones de la Administración Pública Federal</w:t>
      </w:r>
    </w:p>
    <w:p w14:paraId="313FE1FB" w14:textId="77777777" w:rsidR="0084745F" w:rsidRPr="00F40B95" w:rsidRDefault="0084745F" w:rsidP="0084745F">
      <w:pPr>
        <w:pStyle w:val="Default"/>
        <w:spacing w:after="10"/>
        <w:ind w:right="284"/>
        <w:jc w:val="center"/>
        <w:rPr>
          <w:color w:val="000000" w:themeColor="text1"/>
        </w:rPr>
      </w:pPr>
      <w:r w:rsidRPr="00F40B95">
        <w:rPr>
          <w:bCs/>
          <w:iCs/>
          <w:color w:val="000000" w:themeColor="text1"/>
          <w:sz w:val="18"/>
        </w:rPr>
        <w:t>(Millones de pesos)</w:t>
      </w:r>
    </w:p>
    <w:p w14:paraId="7ACD196B" w14:textId="5A41A7D8" w:rsidR="0084745F" w:rsidRDefault="006B7A41" w:rsidP="006B7A41">
      <w:pPr>
        <w:pStyle w:val="Default"/>
        <w:spacing w:after="10"/>
        <w:jc w:val="center"/>
      </w:pPr>
      <w:r>
        <w:rPr>
          <w:noProof/>
        </w:rPr>
        <w:drawing>
          <wp:inline distT="0" distB="0" distL="0" distR="0" wp14:anchorId="23D0E8EE" wp14:editId="646FA30F">
            <wp:extent cx="4181475" cy="1552575"/>
            <wp:effectExtent l="0" t="0" r="0" b="0"/>
            <wp:docPr id="35" name="Gráfico 35">
              <a:extLst xmlns:a="http://schemas.openxmlformats.org/drawingml/2006/main">
                <a:ext uri="{FF2B5EF4-FFF2-40B4-BE49-F238E27FC236}">
                  <a16:creationId xmlns:a16="http://schemas.microsoft.com/office/drawing/2014/main" id="{CD352F2E-587C-4038-A280-35B4FA1040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9B0BFC" w14:textId="77777777" w:rsidR="0084745F" w:rsidRDefault="0084745F" w:rsidP="0005255F">
      <w:pPr>
        <w:pStyle w:val="Default"/>
        <w:spacing w:after="10"/>
        <w:jc w:val="both"/>
        <w:rPr>
          <w:bCs/>
          <w:iCs/>
          <w:color w:val="000000" w:themeColor="text1"/>
          <w:sz w:val="16"/>
        </w:rPr>
      </w:pPr>
    </w:p>
    <w:p w14:paraId="186FABCC" w14:textId="5F834A4F" w:rsidR="006B7A41" w:rsidRPr="006B7A41" w:rsidRDefault="006B7A41" w:rsidP="006B7A41">
      <w:pPr>
        <w:pStyle w:val="Default"/>
        <w:spacing w:after="10"/>
        <w:ind w:right="284"/>
        <w:jc w:val="both"/>
        <w:rPr>
          <w:sz w:val="16"/>
          <w:szCs w:val="16"/>
        </w:rPr>
      </w:pPr>
      <w:r w:rsidRPr="006B7A41">
        <w:rPr>
          <w:sz w:val="16"/>
          <w:szCs w:val="16"/>
        </w:rPr>
        <w:t>Nota: incluye todos los conceptos del clasificador por objeto del gasto</w:t>
      </w:r>
      <w:r>
        <w:rPr>
          <w:sz w:val="16"/>
          <w:szCs w:val="16"/>
        </w:rPr>
        <w:t>.</w:t>
      </w:r>
    </w:p>
    <w:p w14:paraId="2C8366AC" w14:textId="57B837B5" w:rsidR="00331F39" w:rsidRDefault="00331F39" w:rsidP="0005255F">
      <w:pPr>
        <w:pStyle w:val="Default"/>
        <w:spacing w:after="10"/>
        <w:ind w:right="284"/>
        <w:jc w:val="center"/>
      </w:pPr>
    </w:p>
    <w:p w14:paraId="4D4A7AA5" w14:textId="5916463E" w:rsidR="00331F39" w:rsidRDefault="006B7A41" w:rsidP="006E65D2">
      <w:pPr>
        <w:pStyle w:val="Default"/>
        <w:jc w:val="both"/>
      </w:pPr>
      <w:r w:rsidRPr="006B7A41">
        <w:t xml:space="preserve">Del total de presupuesto ejercido durante 2020, 34.6% se destinó a la función de </w:t>
      </w:r>
      <w:r w:rsidRPr="001D64FF">
        <w:rPr>
          <w:i/>
        </w:rPr>
        <w:t>Protección y seguridad social</w:t>
      </w:r>
      <w:r w:rsidRPr="006B7A41">
        <w:t xml:space="preserve">. En comparación con el presupuesto ejercido en 2019, la función que tuvo mayor incremento fue </w:t>
      </w:r>
      <w:r w:rsidRPr="001D64FF">
        <w:rPr>
          <w:i/>
        </w:rPr>
        <w:t>Turismo</w:t>
      </w:r>
      <w:r w:rsidRPr="006B7A41">
        <w:t xml:space="preserve"> y la función con mayor decremento fue </w:t>
      </w:r>
      <w:r w:rsidRPr="001D64FF">
        <w:rPr>
          <w:i/>
        </w:rPr>
        <w:t>Asuntos indígenas</w:t>
      </w:r>
      <w:r w:rsidRPr="006B7A41">
        <w:t>.</w:t>
      </w:r>
    </w:p>
    <w:p w14:paraId="4691A552" w14:textId="5C800ABC" w:rsidR="006B7A41" w:rsidRDefault="006B7A41" w:rsidP="006E65D2">
      <w:pPr>
        <w:pStyle w:val="Default"/>
        <w:jc w:val="both"/>
      </w:pPr>
    </w:p>
    <w:p w14:paraId="6A33AF54" w14:textId="45C5785A" w:rsidR="004200B8" w:rsidRPr="004200B8" w:rsidRDefault="00331F39" w:rsidP="008F1049">
      <w:pPr>
        <w:pStyle w:val="Default"/>
        <w:ind w:left="426" w:hanging="426"/>
        <w:jc w:val="center"/>
        <w:rPr>
          <w:bCs/>
          <w:iCs/>
          <w:color w:val="000000" w:themeColor="text1"/>
          <w:sz w:val="20"/>
          <w:szCs w:val="20"/>
        </w:rPr>
      </w:pPr>
      <w:r w:rsidRPr="004200B8">
        <w:rPr>
          <w:bCs/>
          <w:iCs/>
          <w:color w:val="000000" w:themeColor="text1"/>
          <w:sz w:val="20"/>
          <w:szCs w:val="20"/>
        </w:rPr>
        <w:t>Gráfica 1</w:t>
      </w:r>
      <w:r w:rsidR="0052392D">
        <w:rPr>
          <w:bCs/>
          <w:iCs/>
          <w:color w:val="000000" w:themeColor="text1"/>
          <w:sz w:val="20"/>
          <w:szCs w:val="20"/>
        </w:rPr>
        <w:t>6</w:t>
      </w:r>
    </w:p>
    <w:p w14:paraId="2FBE0325" w14:textId="77777777" w:rsidR="006B7A41" w:rsidRDefault="00331F39" w:rsidP="006B7A41">
      <w:pPr>
        <w:pStyle w:val="Default"/>
        <w:spacing w:after="10"/>
        <w:ind w:right="284"/>
        <w:jc w:val="center"/>
        <w:rPr>
          <w:rFonts w:ascii="Arial Negrita" w:hAnsi="Arial Negrita"/>
          <w:b/>
          <w:bCs/>
          <w:iCs/>
          <w:smallCaps/>
          <w:color w:val="000000" w:themeColor="text1"/>
          <w:sz w:val="22"/>
          <w:szCs w:val="22"/>
        </w:rPr>
      </w:pPr>
      <w:r w:rsidRPr="004200B8">
        <w:rPr>
          <w:b/>
          <w:bCs/>
          <w:iCs/>
          <w:color w:val="000000" w:themeColor="text1"/>
          <w:sz w:val="18"/>
        </w:rPr>
        <w:t xml:space="preserve"> </w:t>
      </w:r>
      <w:r w:rsidR="006B7A41" w:rsidRPr="006B7A41">
        <w:rPr>
          <w:rFonts w:ascii="Arial Negrita" w:hAnsi="Arial Negrita"/>
          <w:b/>
          <w:bCs/>
          <w:iCs/>
          <w:smallCaps/>
          <w:color w:val="000000" w:themeColor="text1"/>
          <w:sz w:val="22"/>
          <w:szCs w:val="22"/>
        </w:rPr>
        <w:t xml:space="preserve">Presupuesto ejercido por las instituciones de la Administración Pública Federal, </w:t>
      </w:r>
    </w:p>
    <w:p w14:paraId="20C8CA68" w14:textId="29330E55" w:rsidR="006B7A41" w:rsidRPr="00F40B95" w:rsidRDefault="006B7A41" w:rsidP="006B7A41">
      <w:pPr>
        <w:pStyle w:val="Default"/>
        <w:spacing w:after="10"/>
        <w:ind w:right="284"/>
        <w:jc w:val="center"/>
        <w:rPr>
          <w:rFonts w:ascii="Arial Negrita" w:hAnsi="Arial Negrita"/>
          <w:b/>
          <w:bCs/>
          <w:iCs/>
          <w:smallCaps/>
          <w:color w:val="000000" w:themeColor="text1"/>
          <w:sz w:val="22"/>
          <w:szCs w:val="22"/>
        </w:rPr>
      </w:pPr>
      <w:r w:rsidRPr="006B7A41">
        <w:rPr>
          <w:rFonts w:ascii="Arial Negrita" w:hAnsi="Arial Negrita"/>
          <w:b/>
          <w:bCs/>
          <w:iCs/>
          <w:smallCaps/>
          <w:color w:val="000000" w:themeColor="text1"/>
          <w:sz w:val="22"/>
          <w:szCs w:val="22"/>
        </w:rPr>
        <w:t xml:space="preserve">según </w:t>
      </w:r>
      <w:r w:rsidR="0052392D">
        <w:rPr>
          <w:rFonts w:ascii="Arial Negrita" w:hAnsi="Arial Negrita"/>
          <w:b/>
          <w:bCs/>
          <w:iCs/>
          <w:smallCaps/>
          <w:color w:val="000000" w:themeColor="text1"/>
          <w:sz w:val="22"/>
          <w:szCs w:val="22"/>
        </w:rPr>
        <w:t xml:space="preserve">principal </w:t>
      </w:r>
      <w:r w:rsidRPr="006B7A41">
        <w:rPr>
          <w:rFonts w:ascii="Arial Negrita" w:hAnsi="Arial Negrita"/>
          <w:b/>
          <w:bCs/>
          <w:iCs/>
          <w:smallCaps/>
          <w:color w:val="000000" w:themeColor="text1"/>
          <w:sz w:val="22"/>
          <w:szCs w:val="22"/>
        </w:rPr>
        <w:t>función</w:t>
      </w:r>
    </w:p>
    <w:p w14:paraId="5209C794" w14:textId="62858F15" w:rsidR="006B7A41" w:rsidRPr="00F40B95" w:rsidRDefault="006B7A41" w:rsidP="006B7A41">
      <w:pPr>
        <w:pStyle w:val="Default"/>
        <w:spacing w:after="10"/>
        <w:ind w:right="284"/>
        <w:jc w:val="center"/>
        <w:rPr>
          <w:color w:val="000000" w:themeColor="text1"/>
        </w:rPr>
      </w:pPr>
      <w:r w:rsidRPr="00F40B95">
        <w:rPr>
          <w:bCs/>
          <w:iCs/>
          <w:color w:val="000000" w:themeColor="text1"/>
          <w:sz w:val="18"/>
        </w:rPr>
        <w:t>(</w:t>
      </w:r>
      <w:r w:rsidR="000A458A">
        <w:rPr>
          <w:bCs/>
          <w:iCs/>
          <w:color w:val="000000" w:themeColor="text1"/>
          <w:sz w:val="18"/>
        </w:rPr>
        <w:t>Participación en el total</w:t>
      </w:r>
      <w:r w:rsidRPr="00F40B95">
        <w:rPr>
          <w:bCs/>
          <w:iCs/>
          <w:color w:val="000000" w:themeColor="text1"/>
          <w:sz w:val="18"/>
        </w:rPr>
        <w:t>)</w:t>
      </w:r>
    </w:p>
    <w:p w14:paraId="25748062" w14:textId="16B565FC" w:rsidR="00603AC9" w:rsidRDefault="00603AC9" w:rsidP="006B7A41">
      <w:pPr>
        <w:pStyle w:val="Default"/>
        <w:jc w:val="center"/>
      </w:pPr>
      <w:r>
        <w:rPr>
          <w:noProof/>
        </w:rPr>
        <w:drawing>
          <wp:inline distT="0" distB="0" distL="0" distR="0" wp14:anchorId="48161F7B" wp14:editId="1E5FDB64">
            <wp:extent cx="6591300" cy="3136605"/>
            <wp:effectExtent l="0" t="0" r="0" b="6985"/>
            <wp:docPr id="37" name="Gráfico 37">
              <a:extLst xmlns:a="http://schemas.openxmlformats.org/drawingml/2006/main">
                <a:ext uri="{FF2B5EF4-FFF2-40B4-BE49-F238E27FC236}">
                  <a16:creationId xmlns:a16="http://schemas.microsoft.com/office/drawing/2014/main" id="{FDEB3DD4-DCA5-4BA4-BCB4-8E837E07A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5D42737" w14:textId="524C6625" w:rsidR="004200B8" w:rsidRPr="0009319A" w:rsidRDefault="0009319A" w:rsidP="008F1049">
      <w:pPr>
        <w:pStyle w:val="Default"/>
        <w:spacing w:after="10"/>
        <w:ind w:left="426" w:hanging="426"/>
        <w:jc w:val="both"/>
        <w:rPr>
          <w:sz w:val="16"/>
          <w:szCs w:val="16"/>
        </w:rPr>
      </w:pPr>
      <w:r w:rsidRPr="0009319A">
        <w:rPr>
          <w:sz w:val="16"/>
          <w:szCs w:val="16"/>
        </w:rPr>
        <w:t xml:space="preserve">Nota: no se incluyen las categorías </w:t>
      </w:r>
      <w:r>
        <w:rPr>
          <w:i/>
          <w:iCs/>
          <w:sz w:val="16"/>
          <w:szCs w:val="16"/>
        </w:rPr>
        <w:t>o</w:t>
      </w:r>
      <w:r w:rsidRPr="0009319A">
        <w:rPr>
          <w:i/>
          <w:iCs/>
          <w:sz w:val="16"/>
          <w:szCs w:val="16"/>
        </w:rPr>
        <w:t>tra función</w:t>
      </w:r>
      <w:r w:rsidRPr="0009319A">
        <w:rPr>
          <w:sz w:val="16"/>
          <w:szCs w:val="16"/>
        </w:rPr>
        <w:t xml:space="preserve"> (que para 2019 representó 0.003%) y </w:t>
      </w:r>
      <w:r>
        <w:rPr>
          <w:sz w:val="16"/>
          <w:szCs w:val="16"/>
        </w:rPr>
        <w:t>n</w:t>
      </w:r>
      <w:r w:rsidRPr="0009319A">
        <w:rPr>
          <w:i/>
          <w:iCs/>
          <w:sz w:val="16"/>
          <w:szCs w:val="16"/>
        </w:rPr>
        <w:t>o especificado</w:t>
      </w:r>
      <w:r w:rsidRPr="0009319A">
        <w:rPr>
          <w:sz w:val="16"/>
          <w:szCs w:val="16"/>
        </w:rPr>
        <w:t xml:space="preserve"> (que en 2020 representó 0.1%). La suma </w:t>
      </w:r>
      <w:r w:rsidR="008F1049">
        <w:rPr>
          <w:sz w:val="16"/>
          <w:szCs w:val="16"/>
        </w:rPr>
        <w:t xml:space="preserve">   </w:t>
      </w:r>
      <w:r w:rsidRPr="0009319A">
        <w:rPr>
          <w:sz w:val="16"/>
          <w:szCs w:val="16"/>
        </w:rPr>
        <w:t>de los porcentajes puede ser distinta al 100%, debido al redondeo de los decimales.</w:t>
      </w:r>
    </w:p>
    <w:p w14:paraId="3096CA86" w14:textId="38CF0B6B" w:rsidR="00C633BA" w:rsidRDefault="00ED349F" w:rsidP="00C633BA">
      <w:pPr>
        <w:pStyle w:val="Default"/>
        <w:numPr>
          <w:ilvl w:val="0"/>
          <w:numId w:val="21"/>
        </w:numPr>
        <w:ind w:hanging="720"/>
        <w:jc w:val="both"/>
      </w:pPr>
      <w:r w:rsidRPr="00ED349F">
        <w:rPr>
          <w:rFonts w:ascii="Arial Negrita" w:hAnsi="Arial Negrita"/>
          <w:b/>
          <w:bCs/>
          <w:smallCaps/>
        </w:rPr>
        <w:lastRenderedPageBreak/>
        <w:t>Trámites y servicios</w:t>
      </w:r>
    </w:p>
    <w:p w14:paraId="64C68F8E" w14:textId="77777777" w:rsidR="0009319A" w:rsidRDefault="0009319A" w:rsidP="006E65D2">
      <w:pPr>
        <w:pStyle w:val="Default"/>
        <w:jc w:val="both"/>
      </w:pPr>
    </w:p>
    <w:p w14:paraId="0A1FAF0D" w14:textId="41CC2065" w:rsidR="00331F39" w:rsidRDefault="001D64FF" w:rsidP="006E65D2">
      <w:pPr>
        <w:pStyle w:val="Default"/>
        <w:jc w:val="both"/>
      </w:pPr>
      <w:r>
        <w:t>En</w:t>
      </w:r>
      <w:r w:rsidR="00ED349F" w:rsidRPr="00ED349F">
        <w:t xml:space="preserve"> 2020, la cantidad de solicitudes de trámites y servicios recibidas por las instituciones de la Administración Pública Federal fue de 357</w:t>
      </w:r>
      <w:r w:rsidR="00925875">
        <w:t>,</w:t>
      </w:r>
      <w:r w:rsidR="00ED349F" w:rsidRPr="00ED349F">
        <w:t>845</w:t>
      </w:r>
      <w:r w:rsidR="00925875">
        <w:t>,</w:t>
      </w:r>
      <w:r w:rsidR="00ED349F" w:rsidRPr="00ED349F">
        <w:t>114. Comparado con 2019</w:t>
      </w:r>
      <w:r w:rsidR="0052392D">
        <w:t>,</w:t>
      </w:r>
      <w:r w:rsidR="00ED349F" w:rsidRPr="00ED349F">
        <w:t xml:space="preserve"> aumentó 4.3%. </w:t>
      </w:r>
    </w:p>
    <w:p w14:paraId="46C7CEFD" w14:textId="77777777" w:rsidR="00452765" w:rsidRDefault="00452765" w:rsidP="006E65D2">
      <w:pPr>
        <w:pStyle w:val="Default"/>
        <w:jc w:val="center"/>
        <w:rPr>
          <w:bCs/>
          <w:iCs/>
          <w:color w:val="000000" w:themeColor="text1"/>
          <w:sz w:val="20"/>
          <w:szCs w:val="20"/>
        </w:rPr>
      </w:pPr>
    </w:p>
    <w:p w14:paraId="7E67955D" w14:textId="7D88C9C8" w:rsidR="004200B8" w:rsidRPr="004200B8" w:rsidRDefault="00331F39" w:rsidP="006E65D2">
      <w:pPr>
        <w:pStyle w:val="Default"/>
        <w:jc w:val="center"/>
        <w:rPr>
          <w:bCs/>
          <w:iCs/>
          <w:color w:val="000000" w:themeColor="text1"/>
          <w:sz w:val="20"/>
          <w:szCs w:val="20"/>
        </w:rPr>
      </w:pPr>
      <w:r w:rsidRPr="004200B8">
        <w:rPr>
          <w:bCs/>
          <w:iCs/>
          <w:color w:val="000000" w:themeColor="text1"/>
          <w:sz w:val="20"/>
          <w:szCs w:val="20"/>
        </w:rPr>
        <w:t>Gráfica 1</w:t>
      </w:r>
      <w:r w:rsidR="0052392D">
        <w:rPr>
          <w:bCs/>
          <w:iCs/>
          <w:color w:val="000000" w:themeColor="text1"/>
          <w:sz w:val="20"/>
          <w:szCs w:val="20"/>
        </w:rPr>
        <w:t>7</w:t>
      </w:r>
    </w:p>
    <w:p w14:paraId="3533645B" w14:textId="4D17C70F" w:rsidR="005850E1" w:rsidRDefault="001052CA" w:rsidP="005850E1">
      <w:pPr>
        <w:pStyle w:val="Default"/>
        <w:jc w:val="center"/>
        <w:rPr>
          <w:b/>
          <w:bCs/>
          <w:i/>
          <w:iCs/>
          <w:color w:val="706F6F"/>
          <w:sz w:val="18"/>
        </w:rPr>
      </w:pPr>
      <w:r w:rsidRPr="001052CA">
        <w:rPr>
          <w:rFonts w:ascii="Arial Negrita" w:hAnsi="Arial Negrita"/>
          <w:b/>
          <w:bCs/>
          <w:iCs/>
          <w:smallCaps/>
          <w:color w:val="000000" w:themeColor="text1"/>
          <w:sz w:val="22"/>
          <w:szCs w:val="22"/>
        </w:rPr>
        <w:t>Solicitudes de trámites y servicios recibidas por las instituciones de la Administración Pública Federal</w:t>
      </w:r>
    </w:p>
    <w:p w14:paraId="559DC950" w14:textId="4E29D093" w:rsidR="00331F39" w:rsidRDefault="001052CA" w:rsidP="0005255F">
      <w:pPr>
        <w:pStyle w:val="Default"/>
        <w:spacing w:after="10"/>
        <w:jc w:val="center"/>
        <w:rPr>
          <w:b/>
          <w:bCs/>
          <w:i/>
          <w:iCs/>
          <w:color w:val="706F6F"/>
          <w:sz w:val="18"/>
        </w:rPr>
      </w:pPr>
      <w:r>
        <w:rPr>
          <w:noProof/>
        </w:rPr>
        <w:drawing>
          <wp:inline distT="0" distB="0" distL="0" distR="0" wp14:anchorId="20E393EA" wp14:editId="7078322D">
            <wp:extent cx="3629025" cy="1567543"/>
            <wp:effectExtent l="0" t="0" r="0" b="0"/>
            <wp:docPr id="50" name="Gráfico 50">
              <a:extLst xmlns:a="http://schemas.openxmlformats.org/drawingml/2006/main">
                <a:ext uri="{FF2B5EF4-FFF2-40B4-BE49-F238E27FC236}">
                  <a16:creationId xmlns:a16="http://schemas.microsoft.com/office/drawing/2014/main" id="{C3302C6B-BA79-4A01-936C-7CE239AECD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E4114A" w14:textId="243C7812" w:rsidR="005850E1" w:rsidRDefault="005850E1" w:rsidP="00452765">
      <w:pPr>
        <w:pStyle w:val="Default"/>
        <w:jc w:val="both"/>
      </w:pPr>
    </w:p>
    <w:p w14:paraId="3ED71A6A" w14:textId="77777777" w:rsidR="005850E1" w:rsidRPr="005850E1" w:rsidRDefault="005850E1" w:rsidP="00452765">
      <w:pPr>
        <w:pStyle w:val="Default"/>
        <w:jc w:val="both"/>
        <w:rPr>
          <w:sz w:val="20"/>
          <w:szCs w:val="20"/>
        </w:rPr>
      </w:pPr>
    </w:p>
    <w:p w14:paraId="4AA6D671" w14:textId="79F5EC32" w:rsidR="00452765" w:rsidRDefault="00C27D33" w:rsidP="00452765">
      <w:pPr>
        <w:pStyle w:val="Default"/>
        <w:jc w:val="both"/>
      </w:pPr>
      <w:r>
        <w:t>La</w:t>
      </w:r>
      <w:r w:rsidR="00B840F4">
        <w:t xml:space="preserve"> </w:t>
      </w:r>
      <w:r w:rsidR="00452765" w:rsidRPr="00C5763E">
        <w:rPr>
          <w:i/>
          <w:iCs/>
        </w:rPr>
        <w:t>Consulta e impresión de la constancia de la Clave Única de Registro de Población</w:t>
      </w:r>
      <w:r w:rsidR="00452765" w:rsidRPr="00ED349F">
        <w:t xml:space="preserve"> </w:t>
      </w:r>
      <w:r w:rsidR="00B840F4">
        <w:t xml:space="preserve">destaca </w:t>
      </w:r>
      <w:r w:rsidR="00452765" w:rsidRPr="00ED349F">
        <w:t>como el trámite o servicio de mayor frecuencia al concentrar 47.9% del total</w:t>
      </w:r>
      <w:r w:rsidR="00452765" w:rsidRPr="00CC5883">
        <w:t>.</w:t>
      </w:r>
    </w:p>
    <w:p w14:paraId="1E3DF9DA" w14:textId="77777777" w:rsidR="00452765" w:rsidRDefault="00452765" w:rsidP="00452765">
      <w:pPr>
        <w:pStyle w:val="Default"/>
        <w:jc w:val="center"/>
        <w:rPr>
          <w:color w:val="000000" w:themeColor="text1"/>
          <w:sz w:val="20"/>
          <w:szCs w:val="20"/>
        </w:rPr>
      </w:pPr>
    </w:p>
    <w:p w14:paraId="07398B63" w14:textId="03B1F984" w:rsidR="00452765" w:rsidRPr="004200B8" w:rsidRDefault="00452765" w:rsidP="00452765">
      <w:pPr>
        <w:pStyle w:val="Default"/>
        <w:jc w:val="center"/>
        <w:rPr>
          <w:color w:val="000000" w:themeColor="text1"/>
          <w:sz w:val="20"/>
          <w:szCs w:val="20"/>
        </w:rPr>
      </w:pPr>
      <w:r w:rsidRPr="004200B8">
        <w:rPr>
          <w:color w:val="000000" w:themeColor="text1"/>
          <w:sz w:val="20"/>
          <w:szCs w:val="20"/>
        </w:rPr>
        <w:t>Gráfica 1</w:t>
      </w:r>
      <w:r w:rsidR="00A11210">
        <w:rPr>
          <w:color w:val="000000" w:themeColor="text1"/>
          <w:sz w:val="20"/>
          <w:szCs w:val="20"/>
        </w:rPr>
        <w:t>8</w:t>
      </w:r>
      <w:r w:rsidRPr="004200B8">
        <w:rPr>
          <w:color w:val="000000" w:themeColor="text1"/>
          <w:sz w:val="20"/>
          <w:szCs w:val="20"/>
        </w:rPr>
        <w:t xml:space="preserve"> </w:t>
      </w:r>
    </w:p>
    <w:p w14:paraId="653BB4CC" w14:textId="1D21448D" w:rsidR="00452765" w:rsidRPr="00452765" w:rsidRDefault="00452765" w:rsidP="00452765">
      <w:pPr>
        <w:pStyle w:val="Default"/>
        <w:jc w:val="center"/>
        <w:rPr>
          <w:rFonts w:ascii="Arial Negrita" w:hAnsi="Arial Negrita"/>
          <w:b/>
          <w:smallCaps/>
          <w:color w:val="000000" w:themeColor="text1"/>
          <w:sz w:val="22"/>
          <w:szCs w:val="22"/>
        </w:rPr>
      </w:pPr>
      <w:r w:rsidRPr="00452765">
        <w:rPr>
          <w:rFonts w:ascii="Arial Negrita" w:hAnsi="Arial Negrita"/>
          <w:b/>
          <w:smallCaps/>
          <w:color w:val="000000" w:themeColor="text1"/>
          <w:sz w:val="22"/>
          <w:szCs w:val="22"/>
        </w:rPr>
        <w:t xml:space="preserve">Principales solicitudes de trámites y servicios recibidas por las instituciones </w:t>
      </w:r>
    </w:p>
    <w:p w14:paraId="67B9E6BB" w14:textId="77777777" w:rsidR="00BB34E7" w:rsidRDefault="00452765" w:rsidP="00452765">
      <w:pPr>
        <w:pStyle w:val="Default"/>
        <w:jc w:val="center"/>
        <w:rPr>
          <w:rFonts w:ascii="Arial Negrita" w:hAnsi="Arial Negrita"/>
          <w:b/>
          <w:smallCaps/>
          <w:color w:val="000000" w:themeColor="text1"/>
          <w:sz w:val="22"/>
          <w:szCs w:val="22"/>
        </w:rPr>
      </w:pPr>
      <w:r w:rsidRPr="00452765">
        <w:rPr>
          <w:rFonts w:ascii="Arial Negrita" w:hAnsi="Arial Negrita"/>
          <w:b/>
          <w:smallCaps/>
          <w:color w:val="000000" w:themeColor="text1"/>
          <w:sz w:val="22"/>
          <w:szCs w:val="22"/>
        </w:rPr>
        <w:t>de la Administración Pública Federal</w:t>
      </w:r>
      <w:r>
        <w:rPr>
          <w:rFonts w:ascii="Arial Negrita" w:hAnsi="Arial Negrita"/>
          <w:b/>
          <w:smallCaps/>
          <w:color w:val="000000" w:themeColor="text1"/>
          <w:sz w:val="22"/>
          <w:szCs w:val="22"/>
        </w:rPr>
        <w:t xml:space="preserve"> </w:t>
      </w:r>
    </w:p>
    <w:p w14:paraId="45A5152E" w14:textId="7398A0A7" w:rsidR="00452765" w:rsidRPr="0091602A" w:rsidRDefault="00BB34E7" w:rsidP="00452765">
      <w:pPr>
        <w:pStyle w:val="Default"/>
        <w:jc w:val="center"/>
        <w:rPr>
          <w:rFonts w:ascii="Arial Negrita" w:hAnsi="Arial Negrita"/>
          <w:b/>
          <w:smallCaps/>
          <w:color w:val="000000" w:themeColor="text1"/>
          <w:sz w:val="22"/>
          <w:szCs w:val="22"/>
        </w:rPr>
      </w:pPr>
      <w:r w:rsidRPr="00BB34E7">
        <w:rPr>
          <w:iCs/>
          <w:smallCaps/>
          <w:color w:val="000000" w:themeColor="text1"/>
          <w:sz w:val="20"/>
          <w:szCs w:val="20"/>
        </w:rPr>
        <w:t>2020</w:t>
      </w:r>
    </w:p>
    <w:p w14:paraId="2140DAA2" w14:textId="4CC60405" w:rsidR="00331F39" w:rsidRDefault="00FD58E6" w:rsidP="0005255F">
      <w:pPr>
        <w:pStyle w:val="Default"/>
        <w:spacing w:after="10"/>
        <w:jc w:val="center"/>
      </w:pPr>
      <w:r>
        <w:rPr>
          <w:noProof/>
        </w:rPr>
        <w:drawing>
          <wp:inline distT="0" distB="0" distL="0" distR="0" wp14:anchorId="63950DBA" wp14:editId="1BB755FD">
            <wp:extent cx="6404610" cy="2998382"/>
            <wp:effectExtent l="0" t="0" r="0" b="0"/>
            <wp:docPr id="52" name="Gráfico 52">
              <a:extLst xmlns:a="http://schemas.openxmlformats.org/drawingml/2006/main">
                <a:ext uri="{FF2B5EF4-FFF2-40B4-BE49-F238E27FC236}">
                  <a16:creationId xmlns:a16="http://schemas.microsoft.com/office/drawing/2014/main" id="{FC5990BB-BC30-463C-B5D5-7C9FDC44B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9393067" w14:textId="068F387A" w:rsidR="00331F39" w:rsidRDefault="00331F39" w:rsidP="008F1049">
      <w:pPr>
        <w:pStyle w:val="Default"/>
        <w:spacing w:after="10"/>
        <w:ind w:left="426" w:hanging="426"/>
        <w:rPr>
          <w:color w:val="000000" w:themeColor="text1"/>
          <w:sz w:val="16"/>
        </w:rPr>
      </w:pPr>
      <w:r w:rsidRPr="00B80F63">
        <w:rPr>
          <w:color w:val="000000" w:themeColor="text1"/>
          <w:sz w:val="16"/>
        </w:rPr>
        <w:t xml:space="preserve">Nota: </w:t>
      </w:r>
      <w:r w:rsidR="008F089E">
        <w:rPr>
          <w:sz w:val="16"/>
          <w:szCs w:val="16"/>
        </w:rPr>
        <w:t>s</w:t>
      </w:r>
      <w:r w:rsidR="008F089E" w:rsidRPr="00510747">
        <w:rPr>
          <w:sz w:val="16"/>
          <w:szCs w:val="16"/>
        </w:rPr>
        <w:t>e muestran las diez principales solicitudes recibidas, de acuerdo con la mayor frecuencia de registros</w:t>
      </w:r>
      <w:r w:rsidR="008F089E">
        <w:rPr>
          <w:color w:val="000000" w:themeColor="text1"/>
          <w:sz w:val="16"/>
        </w:rPr>
        <w:t>. L</w:t>
      </w:r>
      <w:r w:rsidR="00510747" w:rsidRPr="00510747">
        <w:rPr>
          <w:color w:val="000000" w:themeColor="text1"/>
          <w:sz w:val="16"/>
        </w:rPr>
        <w:t>as cifras corresponden con los</w:t>
      </w:r>
      <w:r w:rsidR="008F089E">
        <w:rPr>
          <w:color w:val="000000" w:themeColor="text1"/>
          <w:sz w:val="16"/>
        </w:rPr>
        <w:t xml:space="preserve"> </w:t>
      </w:r>
      <w:r w:rsidR="00510747" w:rsidRPr="00510747">
        <w:rPr>
          <w:color w:val="000000" w:themeColor="text1"/>
          <w:sz w:val="16"/>
        </w:rPr>
        <w:t xml:space="preserve">registros que las instituciones tienen inscritos en el Catálogo </w:t>
      </w:r>
      <w:r w:rsidR="0052392D">
        <w:rPr>
          <w:color w:val="000000" w:themeColor="text1"/>
          <w:sz w:val="16"/>
        </w:rPr>
        <w:t>N</w:t>
      </w:r>
      <w:r w:rsidR="00510747" w:rsidRPr="00510747">
        <w:rPr>
          <w:color w:val="000000" w:themeColor="text1"/>
          <w:sz w:val="16"/>
        </w:rPr>
        <w:t>acional</w:t>
      </w:r>
      <w:r w:rsidR="00A11210">
        <w:rPr>
          <w:color w:val="000000" w:themeColor="text1"/>
          <w:sz w:val="16"/>
        </w:rPr>
        <w:t xml:space="preserve"> de Regulaciones, Trámites y Servicios</w:t>
      </w:r>
      <w:r w:rsidR="00510747" w:rsidRPr="00510747">
        <w:rPr>
          <w:color w:val="000000" w:themeColor="text1"/>
          <w:sz w:val="16"/>
        </w:rPr>
        <w:t xml:space="preserve"> </w:t>
      </w:r>
      <w:r w:rsidR="005576A2">
        <w:rPr>
          <w:color w:val="000000" w:themeColor="text1"/>
          <w:sz w:val="16"/>
        </w:rPr>
        <w:t>(</w:t>
      </w:r>
      <w:r w:rsidR="00510747" w:rsidRPr="00510747">
        <w:rPr>
          <w:color w:val="000000" w:themeColor="text1"/>
          <w:sz w:val="16"/>
        </w:rPr>
        <w:t>https://catalogonacional.gob.mx/).</w:t>
      </w:r>
    </w:p>
    <w:p w14:paraId="46ADD235" w14:textId="549A21F7" w:rsidR="00F63C72" w:rsidRDefault="00F63C72" w:rsidP="0005255F">
      <w:pPr>
        <w:pStyle w:val="Default"/>
        <w:spacing w:after="10"/>
        <w:ind w:left="426" w:hanging="426"/>
        <w:rPr>
          <w:bCs/>
          <w:iCs/>
          <w:color w:val="000000" w:themeColor="text1"/>
          <w:sz w:val="16"/>
        </w:rPr>
      </w:pPr>
    </w:p>
    <w:p w14:paraId="79B7A0FA" w14:textId="06C302F6" w:rsidR="004200B8" w:rsidRPr="004200B8" w:rsidRDefault="00FD0DC7" w:rsidP="0005255F">
      <w:pPr>
        <w:pStyle w:val="Prrafodelista"/>
        <w:numPr>
          <w:ilvl w:val="0"/>
          <w:numId w:val="20"/>
        </w:numPr>
        <w:autoSpaceDE w:val="0"/>
        <w:autoSpaceDN w:val="0"/>
        <w:adjustRightInd w:val="0"/>
        <w:spacing w:after="0" w:line="240" w:lineRule="auto"/>
        <w:ind w:left="0" w:firstLine="0"/>
        <w:rPr>
          <w:rFonts w:ascii="Arial Negrita" w:hAnsi="Arial Negrita" w:cs="Arial"/>
          <w:b/>
          <w:bCs/>
          <w:smallCaps/>
          <w:sz w:val="24"/>
          <w:szCs w:val="24"/>
        </w:rPr>
      </w:pPr>
      <w:r w:rsidRPr="00FD0DC7">
        <w:rPr>
          <w:rFonts w:ascii="Arial Negrita" w:hAnsi="Arial Negrita" w:cs="Arial"/>
          <w:b/>
          <w:bCs/>
          <w:smallCaps/>
          <w:sz w:val="24"/>
          <w:szCs w:val="24"/>
        </w:rPr>
        <w:lastRenderedPageBreak/>
        <w:t>Planeación y evaluación</w:t>
      </w:r>
    </w:p>
    <w:p w14:paraId="14A79048" w14:textId="77777777" w:rsidR="004200B8" w:rsidRPr="00A32F3F" w:rsidRDefault="004200B8" w:rsidP="0005255F">
      <w:pPr>
        <w:pStyle w:val="Default"/>
        <w:jc w:val="both"/>
        <w:rPr>
          <w:color w:val="FF0000"/>
        </w:rPr>
      </w:pPr>
    </w:p>
    <w:p w14:paraId="7B56DE90" w14:textId="1BFDFE14" w:rsidR="004200B8" w:rsidRDefault="001D64FF" w:rsidP="0005255F">
      <w:pPr>
        <w:pStyle w:val="Default"/>
        <w:jc w:val="both"/>
        <w:rPr>
          <w:color w:val="auto"/>
        </w:rPr>
      </w:pPr>
      <w:r>
        <w:rPr>
          <w:color w:val="auto"/>
        </w:rPr>
        <w:t>En</w:t>
      </w:r>
      <w:r w:rsidR="00FD0DC7" w:rsidRPr="00FD0DC7">
        <w:rPr>
          <w:color w:val="auto"/>
        </w:rPr>
        <w:t xml:space="preserve"> 2020, a 61 instituciones de la Administración Pública Federal les realizaron </w:t>
      </w:r>
      <w:r>
        <w:rPr>
          <w:color w:val="auto"/>
        </w:rPr>
        <w:t>(</w:t>
      </w:r>
      <w:r w:rsidR="00FD0DC7" w:rsidRPr="00FD0DC7">
        <w:rPr>
          <w:color w:val="auto"/>
        </w:rPr>
        <w:t>o se encontraban en proceso</w:t>
      </w:r>
      <w:r>
        <w:rPr>
          <w:color w:val="auto"/>
        </w:rPr>
        <w:t>)</w:t>
      </w:r>
      <w:r w:rsidR="00FD0DC7" w:rsidRPr="00FD0DC7">
        <w:rPr>
          <w:color w:val="auto"/>
        </w:rPr>
        <w:t xml:space="preserve"> 170 evaluaciones conforme al Programa Anual de Evaluación</w:t>
      </w:r>
      <w:r w:rsidR="00CA6CF6">
        <w:rPr>
          <w:color w:val="auto"/>
        </w:rPr>
        <w:t xml:space="preserve"> realizado </w:t>
      </w:r>
      <w:r w:rsidR="00CA6CF6" w:rsidRPr="001D64FF">
        <w:rPr>
          <w:color w:val="auto"/>
        </w:rPr>
        <w:t xml:space="preserve">por la </w:t>
      </w:r>
      <w:r w:rsidR="00CA6CF6" w:rsidRPr="001D64FF">
        <w:rPr>
          <w:iCs/>
          <w:color w:val="auto"/>
        </w:rPr>
        <w:t>Secretaría de Hacienda y Crédito Público</w:t>
      </w:r>
      <w:r w:rsidR="00FD0DC7" w:rsidRPr="00FD0DC7">
        <w:rPr>
          <w:color w:val="auto"/>
        </w:rPr>
        <w:t xml:space="preserve">. Según el tipo de evaluación realizada, 75.3% correspondió a </w:t>
      </w:r>
      <w:r w:rsidR="00FD0DC7" w:rsidRPr="00C5763E">
        <w:rPr>
          <w:i/>
          <w:iCs/>
          <w:color w:val="auto"/>
        </w:rPr>
        <w:t>Ficha inicial de monitoreo y evaluación</w:t>
      </w:r>
      <w:r w:rsidR="00A11210">
        <w:rPr>
          <w:color w:val="auto"/>
        </w:rPr>
        <w:t>, mientras que</w:t>
      </w:r>
      <w:r w:rsidR="00FD0DC7" w:rsidRPr="00FD0DC7">
        <w:rPr>
          <w:color w:val="auto"/>
        </w:rPr>
        <w:t xml:space="preserve"> 24.7% a </w:t>
      </w:r>
      <w:r w:rsidR="00FD0DC7" w:rsidRPr="00C5763E">
        <w:rPr>
          <w:i/>
          <w:iCs/>
          <w:color w:val="auto"/>
        </w:rPr>
        <w:t>Evaluación de programas presupuestarios</w:t>
      </w:r>
      <w:r w:rsidR="00FD0DC7" w:rsidRPr="00FD0DC7">
        <w:rPr>
          <w:color w:val="auto"/>
        </w:rPr>
        <w:t xml:space="preserve">.  </w:t>
      </w:r>
    </w:p>
    <w:p w14:paraId="79A24BEF" w14:textId="77777777" w:rsidR="004200B8" w:rsidRPr="00A32F3F" w:rsidRDefault="004200B8" w:rsidP="0005255F">
      <w:pPr>
        <w:pStyle w:val="Default"/>
        <w:jc w:val="both"/>
        <w:rPr>
          <w:color w:val="FF0000"/>
        </w:rPr>
      </w:pPr>
    </w:p>
    <w:p w14:paraId="1424CCF9" w14:textId="38687711" w:rsidR="00DA7442" w:rsidRDefault="004200B8" w:rsidP="00DA7442">
      <w:pPr>
        <w:pStyle w:val="Default"/>
        <w:jc w:val="center"/>
        <w:rPr>
          <w:color w:val="000000" w:themeColor="text1"/>
          <w:sz w:val="20"/>
          <w:szCs w:val="20"/>
        </w:rPr>
      </w:pPr>
      <w:r w:rsidRPr="004200B8">
        <w:rPr>
          <w:color w:val="000000" w:themeColor="text1"/>
          <w:sz w:val="20"/>
          <w:szCs w:val="20"/>
        </w:rPr>
        <w:t xml:space="preserve">Gráfica </w:t>
      </w:r>
      <w:r w:rsidR="00A11210">
        <w:rPr>
          <w:color w:val="000000" w:themeColor="text1"/>
          <w:sz w:val="20"/>
          <w:szCs w:val="20"/>
        </w:rPr>
        <w:t>19</w:t>
      </w:r>
      <w:r w:rsidRPr="004200B8">
        <w:rPr>
          <w:color w:val="000000" w:themeColor="text1"/>
          <w:sz w:val="20"/>
          <w:szCs w:val="20"/>
        </w:rPr>
        <w:t xml:space="preserve"> </w:t>
      </w:r>
    </w:p>
    <w:p w14:paraId="6AC74E23" w14:textId="6C124418" w:rsidR="00BB34E7" w:rsidRDefault="00DA7442" w:rsidP="00DA7442">
      <w:pPr>
        <w:pStyle w:val="Default"/>
        <w:jc w:val="center"/>
        <w:rPr>
          <w:rFonts w:ascii="Arial Negrita" w:hAnsi="Arial Negrita"/>
          <w:b/>
          <w:smallCaps/>
          <w:color w:val="000000" w:themeColor="text1"/>
          <w:sz w:val="22"/>
          <w:szCs w:val="22"/>
        </w:rPr>
      </w:pPr>
      <w:r w:rsidRPr="00DA7442">
        <w:rPr>
          <w:rFonts w:ascii="Arial Negrita" w:hAnsi="Arial Negrita"/>
          <w:b/>
          <w:smallCaps/>
          <w:color w:val="000000" w:themeColor="text1"/>
          <w:sz w:val="22"/>
          <w:szCs w:val="22"/>
        </w:rPr>
        <w:t>Evaluaciones de desempeño realizadas o en proceso de realización</w:t>
      </w:r>
    </w:p>
    <w:p w14:paraId="4E2C7F59" w14:textId="1E4A06E5" w:rsidR="004200B8" w:rsidRPr="001D64FF" w:rsidRDefault="00BB34E7" w:rsidP="00DA7442">
      <w:pPr>
        <w:pStyle w:val="Default"/>
        <w:jc w:val="center"/>
        <w:rPr>
          <w:b/>
          <w:i/>
          <w:color w:val="706F6F"/>
          <w:sz w:val="18"/>
          <w:szCs w:val="18"/>
        </w:rPr>
      </w:pPr>
      <w:r w:rsidRPr="001D64FF">
        <w:rPr>
          <w:iCs/>
          <w:smallCaps/>
          <w:color w:val="000000" w:themeColor="text1"/>
          <w:sz w:val="18"/>
          <w:szCs w:val="18"/>
        </w:rPr>
        <w:t>2020</w:t>
      </w:r>
    </w:p>
    <w:p w14:paraId="2DE19771" w14:textId="2B311ACA" w:rsidR="00CD044A" w:rsidRDefault="00DA7442" w:rsidP="00E45DB7">
      <w:pPr>
        <w:tabs>
          <w:tab w:val="left" w:pos="5460"/>
        </w:tabs>
        <w:spacing w:after="0"/>
        <w:jc w:val="center"/>
        <w:rPr>
          <w:rFonts w:ascii="Arial Negrita" w:hAnsi="Arial Negrita" w:cs="Arial"/>
          <w:b/>
          <w:bCs/>
          <w:smallCaps/>
          <w:sz w:val="24"/>
          <w:szCs w:val="24"/>
        </w:rPr>
      </w:pPr>
      <w:r>
        <w:rPr>
          <w:noProof/>
        </w:rPr>
        <w:drawing>
          <wp:inline distT="0" distB="0" distL="0" distR="0" wp14:anchorId="757F54EF" wp14:editId="126CAE1A">
            <wp:extent cx="4905375" cy="2752725"/>
            <wp:effectExtent l="0" t="0" r="0" b="0"/>
            <wp:docPr id="1" name="Gráfico 1">
              <a:extLst xmlns:a="http://schemas.openxmlformats.org/drawingml/2006/main">
                <a:ext uri="{FF2B5EF4-FFF2-40B4-BE49-F238E27FC236}">
                  <a16:creationId xmlns:a16="http://schemas.microsoft.com/office/drawing/2014/main" id="{30005EA9-9544-4BB5-8177-8977ACAF9A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200B8" w:rsidRPr="00F52E29">
        <w:rPr>
          <w:rFonts w:ascii="Arial" w:hAnsi="Arial" w:cs="Arial"/>
          <w:sz w:val="16"/>
          <w:szCs w:val="16"/>
        </w:rPr>
        <w:t>.</w:t>
      </w:r>
    </w:p>
    <w:p w14:paraId="19BEB0DC" w14:textId="4393A9B6" w:rsidR="00CD044A" w:rsidRDefault="00CD044A" w:rsidP="00CD044A">
      <w:pPr>
        <w:pStyle w:val="Prrafodelista"/>
        <w:autoSpaceDE w:val="0"/>
        <w:autoSpaceDN w:val="0"/>
        <w:adjustRightInd w:val="0"/>
        <w:spacing w:after="0" w:line="240" w:lineRule="auto"/>
        <w:ind w:left="0"/>
        <w:rPr>
          <w:rFonts w:ascii="Arial Negrita" w:hAnsi="Arial Negrita" w:cs="Arial"/>
          <w:b/>
          <w:bCs/>
          <w:smallCaps/>
          <w:sz w:val="24"/>
          <w:szCs w:val="24"/>
        </w:rPr>
      </w:pPr>
    </w:p>
    <w:p w14:paraId="17491C24" w14:textId="322D4A3E" w:rsidR="00442960" w:rsidRPr="004200B8" w:rsidRDefault="00442960" w:rsidP="00442960">
      <w:pPr>
        <w:pStyle w:val="Prrafodelista"/>
        <w:numPr>
          <w:ilvl w:val="0"/>
          <w:numId w:val="20"/>
        </w:numPr>
        <w:autoSpaceDE w:val="0"/>
        <w:autoSpaceDN w:val="0"/>
        <w:adjustRightInd w:val="0"/>
        <w:spacing w:after="0" w:line="240" w:lineRule="auto"/>
        <w:ind w:left="0" w:firstLine="0"/>
        <w:rPr>
          <w:rFonts w:ascii="Arial Negrita" w:hAnsi="Arial Negrita" w:cs="Arial"/>
          <w:b/>
          <w:bCs/>
          <w:smallCaps/>
          <w:sz w:val="24"/>
          <w:szCs w:val="24"/>
        </w:rPr>
      </w:pPr>
      <w:r w:rsidRPr="00442960">
        <w:rPr>
          <w:rFonts w:ascii="Arial Negrita" w:hAnsi="Arial Negrita" w:cs="Arial"/>
          <w:b/>
          <w:bCs/>
          <w:smallCaps/>
          <w:sz w:val="24"/>
          <w:szCs w:val="24"/>
        </w:rPr>
        <w:t>Control interno y anticorrupción</w:t>
      </w:r>
    </w:p>
    <w:p w14:paraId="6AC94E38" w14:textId="77777777" w:rsidR="00442960" w:rsidRPr="00A32F3F" w:rsidRDefault="00442960" w:rsidP="00442960">
      <w:pPr>
        <w:pStyle w:val="Default"/>
        <w:jc w:val="both"/>
        <w:rPr>
          <w:color w:val="FF0000"/>
        </w:rPr>
      </w:pPr>
    </w:p>
    <w:p w14:paraId="3089682E" w14:textId="59642B53" w:rsidR="00442960" w:rsidRDefault="00442960" w:rsidP="00306AB2">
      <w:pPr>
        <w:spacing w:after="0" w:line="240" w:lineRule="auto"/>
        <w:jc w:val="both"/>
        <w:rPr>
          <w:rFonts w:ascii="Arial" w:hAnsi="Arial" w:cs="Arial"/>
          <w:sz w:val="24"/>
          <w:szCs w:val="24"/>
        </w:rPr>
      </w:pPr>
      <w:r w:rsidRPr="00442960">
        <w:rPr>
          <w:rFonts w:ascii="Arial" w:hAnsi="Arial" w:cs="Arial"/>
          <w:sz w:val="24"/>
          <w:szCs w:val="24"/>
        </w:rPr>
        <w:t>Al cierre de 2020, 280 instituciones de la Administración Pública Federal contaron con</w:t>
      </w:r>
      <w:r w:rsidR="001D64FF">
        <w:rPr>
          <w:rFonts w:ascii="Arial" w:hAnsi="Arial" w:cs="Arial"/>
          <w:sz w:val="24"/>
          <w:szCs w:val="24"/>
        </w:rPr>
        <w:t xml:space="preserve"> un</w:t>
      </w:r>
      <w:r w:rsidRPr="00442960">
        <w:rPr>
          <w:rFonts w:ascii="Arial" w:hAnsi="Arial" w:cs="Arial"/>
          <w:sz w:val="24"/>
          <w:szCs w:val="24"/>
        </w:rPr>
        <w:t xml:space="preserve"> órgano interno de control </w:t>
      </w:r>
      <w:proofErr w:type="spellStart"/>
      <w:r w:rsidRPr="00442960">
        <w:rPr>
          <w:rFonts w:ascii="Arial" w:hAnsi="Arial" w:cs="Arial"/>
          <w:sz w:val="24"/>
          <w:szCs w:val="24"/>
        </w:rPr>
        <w:t>u</w:t>
      </w:r>
      <w:proofErr w:type="spellEnd"/>
      <w:r w:rsidRPr="00442960">
        <w:rPr>
          <w:rFonts w:ascii="Arial" w:hAnsi="Arial" w:cs="Arial"/>
          <w:sz w:val="24"/>
          <w:szCs w:val="24"/>
        </w:rPr>
        <w:t xml:space="preserve"> homólogo, un aumento de 8.9% respecto a la cantidad reportada en 2019.</w:t>
      </w:r>
    </w:p>
    <w:p w14:paraId="57584EA0" w14:textId="71CD2265" w:rsidR="00442960" w:rsidRDefault="00442960" w:rsidP="00306AB2">
      <w:pPr>
        <w:spacing w:after="0" w:line="240" w:lineRule="auto"/>
        <w:jc w:val="both"/>
        <w:rPr>
          <w:rFonts w:ascii="Arial" w:hAnsi="Arial" w:cs="Arial"/>
          <w:sz w:val="24"/>
          <w:szCs w:val="24"/>
        </w:rPr>
      </w:pPr>
    </w:p>
    <w:p w14:paraId="1F02BE74" w14:textId="1AACA86F" w:rsidR="00442960" w:rsidRDefault="00442960" w:rsidP="00442960">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A11210">
        <w:rPr>
          <w:color w:val="000000" w:themeColor="text1"/>
          <w:sz w:val="20"/>
          <w:szCs w:val="20"/>
        </w:rPr>
        <w:t>0</w:t>
      </w:r>
    </w:p>
    <w:p w14:paraId="00765CA4" w14:textId="77777777" w:rsidR="00865237" w:rsidRDefault="00442960" w:rsidP="00442960">
      <w:pPr>
        <w:pStyle w:val="Default"/>
        <w:spacing w:after="10"/>
        <w:ind w:right="284"/>
        <w:jc w:val="center"/>
        <w:rPr>
          <w:rFonts w:ascii="Arial Negrita" w:hAnsi="Arial Negrita"/>
          <w:b/>
          <w:bCs/>
          <w:iCs/>
          <w:smallCaps/>
          <w:color w:val="000000" w:themeColor="text1"/>
          <w:sz w:val="22"/>
          <w:szCs w:val="22"/>
        </w:rPr>
      </w:pPr>
      <w:r w:rsidRPr="00190DDF">
        <w:rPr>
          <w:rFonts w:ascii="Arial Negrita" w:hAnsi="Arial Negrita"/>
          <w:b/>
          <w:bCs/>
          <w:iCs/>
          <w:smallCaps/>
          <w:color w:val="000000" w:themeColor="text1"/>
          <w:sz w:val="22"/>
          <w:szCs w:val="22"/>
        </w:rPr>
        <w:t xml:space="preserve">Instituciones de la Administración Pública Federal, según existencia de órgano interno </w:t>
      </w:r>
    </w:p>
    <w:p w14:paraId="177349D6" w14:textId="0070BFAF" w:rsidR="00442960" w:rsidRPr="00190DDF" w:rsidRDefault="00442960" w:rsidP="00442960">
      <w:pPr>
        <w:pStyle w:val="Default"/>
        <w:spacing w:after="10"/>
        <w:ind w:right="284"/>
        <w:jc w:val="center"/>
        <w:rPr>
          <w:rFonts w:ascii="Arial Negrita" w:hAnsi="Arial Negrita"/>
          <w:b/>
          <w:bCs/>
          <w:iCs/>
          <w:smallCaps/>
          <w:color w:val="000000" w:themeColor="text1"/>
          <w:sz w:val="22"/>
          <w:szCs w:val="22"/>
        </w:rPr>
      </w:pPr>
      <w:r w:rsidRPr="00190DDF">
        <w:rPr>
          <w:rFonts w:ascii="Arial Negrita" w:hAnsi="Arial Negrita"/>
          <w:b/>
          <w:bCs/>
          <w:iCs/>
          <w:smallCaps/>
          <w:color w:val="000000" w:themeColor="text1"/>
          <w:sz w:val="22"/>
          <w:szCs w:val="22"/>
        </w:rPr>
        <w:t>de control</w:t>
      </w:r>
    </w:p>
    <w:p w14:paraId="3CE44892" w14:textId="77777777" w:rsidR="00442960" w:rsidRDefault="00442960" w:rsidP="00442960">
      <w:pPr>
        <w:spacing w:after="0"/>
        <w:ind w:left="-567"/>
        <w:jc w:val="center"/>
        <w:rPr>
          <w:rFonts w:ascii="Arial" w:hAnsi="Arial" w:cs="Arial"/>
          <w:b/>
          <w:bCs/>
          <w:iCs/>
          <w:noProof/>
          <w:color w:val="000000" w:themeColor="text1"/>
          <w:sz w:val="24"/>
          <w:szCs w:val="24"/>
          <w:lang w:eastAsia="es-MX"/>
        </w:rPr>
      </w:pPr>
      <w:r w:rsidRPr="00190DDF">
        <w:rPr>
          <w:rFonts w:ascii="Arial" w:hAnsi="Arial" w:cs="Arial"/>
          <w:b/>
          <w:bCs/>
          <w:iCs/>
          <w:noProof/>
          <w:color w:val="000000" w:themeColor="text1"/>
          <w:sz w:val="24"/>
          <w:szCs w:val="24"/>
          <w:lang w:eastAsia="es-MX"/>
        </w:rPr>
        <w:drawing>
          <wp:inline distT="0" distB="0" distL="0" distR="0" wp14:anchorId="0326D421" wp14:editId="22A39EBD">
            <wp:extent cx="4762500" cy="1485900"/>
            <wp:effectExtent l="0" t="0" r="0" b="0"/>
            <wp:docPr id="41" name="Gráfico 41">
              <a:extLst xmlns:a="http://schemas.openxmlformats.org/drawingml/2006/main">
                <a:ext uri="{FF2B5EF4-FFF2-40B4-BE49-F238E27FC236}">
                  <a16:creationId xmlns:a16="http://schemas.microsoft.com/office/drawing/2014/main" id="{563D6C4E-DA3C-4580-817F-F257915A3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D991140" w14:textId="5B40A367" w:rsidR="00442960" w:rsidRPr="00442960" w:rsidRDefault="00442960" w:rsidP="00442960">
      <w:pPr>
        <w:spacing w:after="0"/>
        <w:jc w:val="both"/>
        <w:rPr>
          <w:rFonts w:ascii="Arial" w:hAnsi="Arial" w:cs="Arial"/>
          <w:sz w:val="24"/>
          <w:szCs w:val="24"/>
        </w:rPr>
      </w:pPr>
      <w:r w:rsidRPr="00190DDF">
        <w:rPr>
          <w:rFonts w:ascii="Arial" w:hAnsi="Arial" w:cs="Arial"/>
          <w:bCs/>
          <w:iCs/>
          <w:noProof/>
          <w:color w:val="000000" w:themeColor="text1"/>
          <w:sz w:val="24"/>
          <w:szCs w:val="24"/>
          <w:lang w:eastAsia="es-MX"/>
        </w:rPr>
        <w:lastRenderedPageBreak/>
        <w:t xml:space="preserve">En </w:t>
      </w:r>
      <w:r w:rsidRPr="00442960">
        <w:rPr>
          <w:rFonts w:ascii="Arial" w:hAnsi="Arial" w:cs="Arial"/>
          <w:sz w:val="24"/>
          <w:szCs w:val="24"/>
        </w:rPr>
        <w:t>el mismo periodo</w:t>
      </w:r>
      <w:r w:rsidR="001D64FF">
        <w:rPr>
          <w:rFonts w:ascii="Arial" w:hAnsi="Arial" w:cs="Arial"/>
          <w:sz w:val="24"/>
          <w:szCs w:val="24"/>
        </w:rPr>
        <w:t>,</w:t>
      </w:r>
      <w:r w:rsidRPr="00442960">
        <w:rPr>
          <w:rFonts w:ascii="Arial" w:hAnsi="Arial" w:cs="Arial"/>
          <w:sz w:val="24"/>
          <w:szCs w:val="24"/>
        </w:rPr>
        <w:t xml:space="preserve"> la cantidad de servidoras y servidores públicos adscritos a dichos órganos fue de 4,927. Comparado con 2019, esta cifra representó una disminución de 8.4%. Del total del personal, 51.5% </w:t>
      </w:r>
      <w:r w:rsidR="001D64FF">
        <w:rPr>
          <w:rFonts w:ascii="Arial" w:hAnsi="Arial" w:cs="Arial"/>
          <w:sz w:val="24"/>
          <w:szCs w:val="24"/>
        </w:rPr>
        <w:t>eran</w:t>
      </w:r>
      <w:r w:rsidRPr="00442960">
        <w:rPr>
          <w:rFonts w:ascii="Arial" w:hAnsi="Arial" w:cs="Arial"/>
          <w:sz w:val="24"/>
          <w:szCs w:val="24"/>
        </w:rPr>
        <w:t xml:space="preserve"> mujeres y 48.5% hombres.</w:t>
      </w:r>
    </w:p>
    <w:p w14:paraId="7B8C536B" w14:textId="77777777" w:rsidR="008A678C" w:rsidRDefault="008A678C" w:rsidP="00442960">
      <w:pPr>
        <w:spacing w:after="0"/>
        <w:ind w:left="-567"/>
        <w:jc w:val="both"/>
        <w:rPr>
          <w:rFonts w:ascii="Arial" w:hAnsi="Arial" w:cs="Arial"/>
          <w:bCs/>
          <w:iCs/>
          <w:noProof/>
          <w:color w:val="000000" w:themeColor="text1"/>
          <w:sz w:val="24"/>
          <w:szCs w:val="24"/>
          <w:lang w:eastAsia="es-MX"/>
        </w:rPr>
      </w:pPr>
    </w:p>
    <w:p w14:paraId="3546B956" w14:textId="6CC67B52" w:rsidR="00442960" w:rsidRDefault="00442960" w:rsidP="00442960">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A11210">
        <w:rPr>
          <w:color w:val="000000" w:themeColor="text1"/>
          <w:sz w:val="20"/>
          <w:szCs w:val="20"/>
        </w:rPr>
        <w:t>1</w:t>
      </w:r>
    </w:p>
    <w:p w14:paraId="64BB8936" w14:textId="77777777" w:rsidR="00865237" w:rsidRDefault="00442960" w:rsidP="00442960">
      <w:pPr>
        <w:spacing w:after="0"/>
        <w:jc w:val="center"/>
        <w:rPr>
          <w:rFonts w:ascii="Arial Negrita" w:hAnsi="Arial Negrita" w:cs="Arial"/>
          <w:b/>
          <w:bCs/>
          <w:iCs/>
          <w:smallCaps/>
          <w:color w:val="000000" w:themeColor="text1"/>
        </w:rPr>
      </w:pPr>
      <w:r w:rsidRPr="00CC598A">
        <w:rPr>
          <w:rFonts w:ascii="Arial Negrita" w:hAnsi="Arial Negrita" w:cs="Arial"/>
          <w:b/>
          <w:bCs/>
          <w:iCs/>
          <w:smallCaps/>
          <w:color w:val="000000" w:themeColor="text1"/>
        </w:rPr>
        <w:t xml:space="preserve">Personal adscrito a los órganos internos de control de las instituciones </w:t>
      </w:r>
    </w:p>
    <w:p w14:paraId="41BEEC4D" w14:textId="57CCBEAB" w:rsidR="00442960" w:rsidRDefault="00442960" w:rsidP="00442960">
      <w:pPr>
        <w:spacing w:after="0"/>
        <w:jc w:val="center"/>
        <w:rPr>
          <w:rFonts w:ascii="Arial" w:hAnsi="Arial" w:cs="Arial"/>
          <w:bCs/>
          <w:iCs/>
          <w:noProof/>
          <w:color w:val="000000" w:themeColor="text1"/>
          <w:sz w:val="24"/>
          <w:szCs w:val="24"/>
          <w:lang w:eastAsia="es-MX"/>
        </w:rPr>
      </w:pPr>
      <w:r w:rsidRPr="00CC598A">
        <w:rPr>
          <w:rFonts w:ascii="Arial Negrita" w:hAnsi="Arial Negrita" w:cs="Arial"/>
          <w:b/>
          <w:bCs/>
          <w:iCs/>
          <w:smallCaps/>
          <w:color w:val="000000" w:themeColor="text1"/>
        </w:rPr>
        <w:t>de la Administración Pública Federal</w:t>
      </w:r>
    </w:p>
    <w:p w14:paraId="547C0AE8" w14:textId="77777777" w:rsidR="00442960" w:rsidRDefault="00442960" w:rsidP="00442960">
      <w:pPr>
        <w:spacing w:after="0"/>
        <w:ind w:left="-567"/>
        <w:jc w:val="both"/>
        <w:rPr>
          <w:rFonts w:ascii="Arial" w:hAnsi="Arial" w:cs="Arial"/>
          <w:bCs/>
          <w:iCs/>
          <w:noProof/>
          <w:color w:val="000000" w:themeColor="text1"/>
          <w:sz w:val="24"/>
          <w:szCs w:val="24"/>
          <w:lang w:eastAsia="es-MX"/>
        </w:rPr>
      </w:pPr>
    </w:p>
    <w:p w14:paraId="35BB4451" w14:textId="77777777" w:rsidR="00442960" w:rsidRDefault="00442960" w:rsidP="00442960">
      <w:pPr>
        <w:spacing w:after="0"/>
        <w:ind w:left="-567"/>
        <w:jc w:val="center"/>
        <w:rPr>
          <w:rFonts w:ascii="Arial" w:hAnsi="Arial" w:cs="Arial"/>
          <w:bCs/>
          <w:iCs/>
          <w:noProof/>
          <w:color w:val="000000" w:themeColor="text1"/>
          <w:sz w:val="24"/>
          <w:szCs w:val="24"/>
          <w:lang w:eastAsia="es-MX"/>
        </w:rPr>
      </w:pPr>
      <w:r w:rsidRPr="00CC598A">
        <w:rPr>
          <w:rFonts w:ascii="Arial" w:hAnsi="Arial" w:cs="Arial"/>
          <w:bCs/>
          <w:iCs/>
          <w:noProof/>
          <w:color w:val="000000" w:themeColor="text1"/>
          <w:sz w:val="24"/>
          <w:szCs w:val="24"/>
          <w:lang w:eastAsia="es-MX"/>
        </w:rPr>
        <w:drawing>
          <wp:inline distT="0" distB="0" distL="0" distR="0" wp14:anchorId="5F67C782" wp14:editId="7671C3C3">
            <wp:extent cx="4715008" cy="2094614"/>
            <wp:effectExtent l="0" t="0" r="0" b="1270"/>
            <wp:docPr id="42" name="Gráfico 42">
              <a:extLst xmlns:a="http://schemas.openxmlformats.org/drawingml/2006/main">
                <a:ext uri="{FF2B5EF4-FFF2-40B4-BE49-F238E27FC236}">
                  <a16:creationId xmlns:a16="http://schemas.microsoft.com/office/drawing/2014/main" id="{229B9935-273C-4A24-9B0F-EBDE7277E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38AFB0" w14:textId="77777777" w:rsidR="00442960" w:rsidRDefault="00442960" w:rsidP="00442960">
      <w:pPr>
        <w:spacing w:after="0"/>
        <w:ind w:left="-567"/>
        <w:jc w:val="both"/>
        <w:rPr>
          <w:rFonts w:ascii="Arial" w:hAnsi="Arial" w:cs="Arial"/>
          <w:bCs/>
          <w:iCs/>
          <w:noProof/>
          <w:color w:val="000000" w:themeColor="text1"/>
          <w:sz w:val="24"/>
          <w:szCs w:val="24"/>
          <w:lang w:eastAsia="es-MX"/>
        </w:rPr>
      </w:pPr>
    </w:p>
    <w:p w14:paraId="55B8F217" w14:textId="77777777" w:rsidR="00442960" w:rsidRDefault="00442960" w:rsidP="00442960">
      <w:pPr>
        <w:spacing w:after="0"/>
        <w:ind w:left="-567"/>
        <w:jc w:val="both"/>
        <w:rPr>
          <w:rFonts w:ascii="Arial" w:hAnsi="Arial" w:cs="Arial"/>
          <w:bCs/>
          <w:iCs/>
          <w:noProof/>
          <w:color w:val="000000" w:themeColor="text1"/>
          <w:sz w:val="24"/>
          <w:szCs w:val="24"/>
          <w:lang w:eastAsia="es-MX"/>
        </w:rPr>
      </w:pPr>
    </w:p>
    <w:p w14:paraId="33D7191E" w14:textId="72DF01F1" w:rsidR="00A11210" w:rsidRDefault="001D64FF" w:rsidP="00A11210">
      <w:pPr>
        <w:spacing w:after="0"/>
        <w:jc w:val="both"/>
        <w:rPr>
          <w:rFonts w:ascii="Arial" w:hAnsi="Arial" w:cs="Arial"/>
          <w:bCs/>
          <w:iCs/>
          <w:noProof/>
          <w:color w:val="000000" w:themeColor="text1"/>
          <w:sz w:val="24"/>
          <w:szCs w:val="24"/>
          <w:lang w:eastAsia="es-MX"/>
        </w:rPr>
      </w:pPr>
      <w:r>
        <w:rPr>
          <w:rFonts w:ascii="Arial" w:hAnsi="Arial" w:cs="Arial"/>
          <w:bCs/>
          <w:iCs/>
          <w:noProof/>
          <w:color w:val="000000" w:themeColor="text1"/>
          <w:sz w:val="24"/>
          <w:szCs w:val="24"/>
          <w:lang w:eastAsia="es-MX"/>
        </w:rPr>
        <w:t>En</w:t>
      </w:r>
      <w:r w:rsidR="00442960" w:rsidRPr="00CC598A">
        <w:rPr>
          <w:rFonts w:ascii="Arial" w:hAnsi="Arial" w:cs="Arial"/>
          <w:bCs/>
          <w:iCs/>
          <w:noProof/>
          <w:color w:val="000000" w:themeColor="text1"/>
          <w:sz w:val="24"/>
          <w:szCs w:val="24"/>
          <w:lang w:eastAsia="es-MX"/>
        </w:rPr>
        <w:t xml:space="preserve"> 2020 se aplicaron 1</w:t>
      </w:r>
      <w:r w:rsidR="00442960">
        <w:rPr>
          <w:rFonts w:ascii="Arial" w:hAnsi="Arial" w:cs="Arial"/>
          <w:bCs/>
          <w:iCs/>
          <w:noProof/>
          <w:color w:val="000000" w:themeColor="text1"/>
          <w:sz w:val="24"/>
          <w:szCs w:val="24"/>
          <w:lang w:eastAsia="es-MX"/>
        </w:rPr>
        <w:t>,</w:t>
      </w:r>
      <w:r w:rsidR="00442960" w:rsidRPr="00CC598A">
        <w:rPr>
          <w:rFonts w:ascii="Arial" w:hAnsi="Arial" w:cs="Arial"/>
          <w:bCs/>
          <w:iCs/>
          <w:noProof/>
          <w:color w:val="000000" w:themeColor="text1"/>
          <w:sz w:val="24"/>
          <w:szCs w:val="24"/>
          <w:lang w:eastAsia="es-MX"/>
        </w:rPr>
        <w:t xml:space="preserve">768 auditorías a las instituciones de la Administración Pública Federal por parte de las autoridades de control, vigilancia o fiscalización. </w:t>
      </w:r>
      <w:r w:rsidR="00A11210" w:rsidRPr="00CC598A">
        <w:rPr>
          <w:rFonts w:ascii="Arial" w:hAnsi="Arial" w:cs="Arial"/>
          <w:bCs/>
          <w:iCs/>
          <w:noProof/>
          <w:color w:val="000000" w:themeColor="text1"/>
          <w:sz w:val="24"/>
          <w:szCs w:val="24"/>
          <w:lang w:eastAsia="es-MX"/>
        </w:rPr>
        <w:t>Con respecto a 201</w:t>
      </w:r>
      <w:r w:rsidR="00A11210">
        <w:rPr>
          <w:rFonts w:ascii="Arial" w:hAnsi="Arial" w:cs="Arial"/>
          <w:bCs/>
          <w:iCs/>
          <w:noProof/>
          <w:color w:val="000000" w:themeColor="text1"/>
          <w:sz w:val="24"/>
          <w:szCs w:val="24"/>
          <w:lang w:eastAsia="es-MX"/>
        </w:rPr>
        <w:t>9</w:t>
      </w:r>
      <w:r w:rsidR="00A11210" w:rsidRPr="00CC598A">
        <w:rPr>
          <w:rFonts w:ascii="Arial" w:hAnsi="Arial" w:cs="Arial"/>
          <w:bCs/>
          <w:iCs/>
          <w:noProof/>
          <w:color w:val="000000" w:themeColor="text1"/>
          <w:sz w:val="24"/>
          <w:szCs w:val="24"/>
          <w:lang w:eastAsia="es-MX"/>
        </w:rPr>
        <w:t>, en 20</w:t>
      </w:r>
      <w:r w:rsidR="00A11210">
        <w:rPr>
          <w:rFonts w:ascii="Arial" w:hAnsi="Arial" w:cs="Arial"/>
          <w:bCs/>
          <w:iCs/>
          <w:noProof/>
          <w:color w:val="000000" w:themeColor="text1"/>
          <w:sz w:val="24"/>
          <w:szCs w:val="24"/>
          <w:lang w:eastAsia="es-MX"/>
        </w:rPr>
        <w:t>20</w:t>
      </w:r>
      <w:r w:rsidR="00A11210" w:rsidRPr="00CC598A">
        <w:rPr>
          <w:rFonts w:ascii="Arial" w:hAnsi="Arial" w:cs="Arial"/>
          <w:bCs/>
          <w:iCs/>
          <w:noProof/>
          <w:color w:val="000000" w:themeColor="text1"/>
          <w:sz w:val="24"/>
          <w:szCs w:val="24"/>
          <w:lang w:eastAsia="es-MX"/>
        </w:rPr>
        <w:t xml:space="preserve"> la cantidad de auditorías realizadas </w:t>
      </w:r>
      <w:r w:rsidR="00A11210">
        <w:rPr>
          <w:rFonts w:ascii="Arial" w:hAnsi="Arial" w:cs="Arial"/>
          <w:bCs/>
          <w:iCs/>
          <w:noProof/>
          <w:color w:val="000000" w:themeColor="text1"/>
          <w:sz w:val="24"/>
          <w:szCs w:val="24"/>
          <w:lang w:eastAsia="es-MX"/>
        </w:rPr>
        <w:t xml:space="preserve">presentó </w:t>
      </w:r>
      <w:r w:rsidR="00A11210" w:rsidRPr="00CC598A">
        <w:rPr>
          <w:rFonts w:ascii="Arial" w:hAnsi="Arial" w:cs="Arial"/>
          <w:bCs/>
          <w:iCs/>
          <w:noProof/>
          <w:color w:val="000000" w:themeColor="text1"/>
          <w:sz w:val="24"/>
          <w:szCs w:val="24"/>
          <w:lang w:eastAsia="es-MX"/>
        </w:rPr>
        <w:t>una disminución de 39.4%</w:t>
      </w:r>
      <w:r w:rsidR="00A11210">
        <w:rPr>
          <w:rFonts w:ascii="Arial" w:hAnsi="Arial" w:cs="Arial"/>
          <w:bCs/>
          <w:iCs/>
          <w:noProof/>
          <w:color w:val="000000" w:themeColor="text1"/>
          <w:sz w:val="24"/>
          <w:szCs w:val="24"/>
          <w:lang w:eastAsia="es-MX"/>
        </w:rPr>
        <w:t>.</w:t>
      </w:r>
    </w:p>
    <w:p w14:paraId="5975DF48" w14:textId="77777777" w:rsidR="00442960" w:rsidRDefault="00442960" w:rsidP="00442960">
      <w:pPr>
        <w:pStyle w:val="Default"/>
        <w:jc w:val="center"/>
        <w:rPr>
          <w:color w:val="000000" w:themeColor="text1"/>
          <w:sz w:val="20"/>
          <w:szCs w:val="20"/>
        </w:rPr>
      </w:pPr>
    </w:p>
    <w:p w14:paraId="6EA402C9" w14:textId="78FA2FD1" w:rsidR="00442960" w:rsidRDefault="00442960" w:rsidP="00442960">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A11210">
        <w:rPr>
          <w:color w:val="000000" w:themeColor="text1"/>
          <w:sz w:val="20"/>
          <w:szCs w:val="20"/>
        </w:rPr>
        <w:t>2</w:t>
      </w:r>
    </w:p>
    <w:p w14:paraId="249B3821" w14:textId="77777777" w:rsidR="00A11210" w:rsidRDefault="00A11210" w:rsidP="00A11210">
      <w:pPr>
        <w:spacing w:after="0"/>
        <w:jc w:val="center"/>
        <w:rPr>
          <w:rFonts w:ascii="Arial Negrita" w:hAnsi="Arial Negrita" w:cs="Arial"/>
          <w:b/>
          <w:bCs/>
          <w:iCs/>
          <w:smallCaps/>
          <w:color w:val="000000" w:themeColor="text1"/>
        </w:rPr>
      </w:pPr>
      <w:r w:rsidRPr="00CC598A">
        <w:rPr>
          <w:rFonts w:ascii="Arial Negrita" w:hAnsi="Arial Negrita" w:cs="Arial"/>
          <w:b/>
          <w:bCs/>
          <w:iCs/>
          <w:smallCaps/>
          <w:color w:val="000000" w:themeColor="text1"/>
        </w:rPr>
        <w:t>Auditorías realizadas a las instituciones de la Administración Pública Federal</w:t>
      </w:r>
    </w:p>
    <w:p w14:paraId="71C51A15" w14:textId="77777777" w:rsidR="00A11210" w:rsidRDefault="00A11210" w:rsidP="00A11210">
      <w:pPr>
        <w:spacing w:after="0"/>
        <w:jc w:val="center"/>
        <w:rPr>
          <w:rFonts w:ascii="Arial Negrita" w:hAnsi="Arial Negrita" w:cs="Arial"/>
          <w:b/>
          <w:bCs/>
          <w:iCs/>
          <w:smallCaps/>
          <w:color w:val="000000" w:themeColor="text1"/>
        </w:rPr>
      </w:pPr>
    </w:p>
    <w:p w14:paraId="31869E80" w14:textId="77777777" w:rsidR="00A11210" w:rsidRDefault="00A11210" w:rsidP="00A11210">
      <w:pPr>
        <w:spacing w:after="0"/>
        <w:ind w:left="-567"/>
        <w:jc w:val="center"/>
        <w:rPr>
          <w:rFonts w:ascii="Arial" w:hAnsi="Arial" w:cs="Arial"/>
          <w:bCs/>
          <w:iCs/>
          <w:noProof/>
          <w:color w:val="000000" w:themeColor="text1"/>
          <w:sz w:val="24"/>
          <w:szCs w:val="24"/>
          <w:lang w:eastAsia="es-MX"/>
        </w:rPr>
      </w:pPr>
      <w:r w:rsidRPr="00CC598A">
        <w:rPr>
          <w:rFonts w:ascii="Arial" w:hAnsi="Arial" w:cs="Arial"/>
          <w:bCs/>
          <w:iCs/>
          <w:noProof/>
          <w:color w:val="000000" w:themeColor="text1"/>
          <w:sz w:val="24"/>
          <w:szCs w:val="24"/>
          <w:lang w:eastAsia="es-MX"/>
        </w:rPr>
        <w:drawing>
          <wp:inline distT="0" distB="0" distL="0" distR="0" wp14:anchorId="5DFFD461" wp14:editId="3A837CCF">
            <wp:extent cx="5091917" cy="2371725"/>
            <wp:effectExtent l="0" t="0" r="0" b="0"/>
            <wp:docPr id="24" name="Gráfico 24">
              <a:extLst xmlns:a="http://schemas.openxmlformats.org/drawingml/2006/main">
                <a:ext uri="{FF2B5EF4-FFF2-40B4-BE49-F238E27FC236}">
                  <a16:creationId xmlns:a16="http://schemas.microsoft.com/office/drawing/2014/main" id="{944C4A47-917C-493A-81EE-233F85BFF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7B6C8B" w14:textId="77777777" w:rsidR="00A11210" w:rsidRDefault="00A11210" w:rsidP="00A11210">
      <w:pPr>
        <w:spacing w:after="0"/>
        <w:ind w:left="-567"/>
        <w:jc w:val="both"/>
        <w:rPr>
          <w:rFonts w:ascii="Arial" w:hAnsi="Arial" w:cs="Arial"/>
          <w:bCs/>
          <w:iCs/>
          <w:noProof/>
          <w:color w:val="000000" w:themeColor="text1"/>
          <w:sz w:val="24"/>
          <w:szCs w:val="24"/>
          <w:lang w:eastAsia="es-MX"/>
        </w:rPr>
      </w:pPr>
    </w:p>
    <w:p w14:paraId="743BBB5F" w14:textId="77777777" w:rsidR="00E45DB7" w:rsidRDefault="00E45DB7" w:rsidP="00A11210">
      <w:pPr>
        <w:spacing w:after="0"/>
        <w:jc w:val="both"/>
        <w:rPr>
          <w:rFonts w:ascii="Arial" w:hAnsi="Arial" w:cs="Arial"/>
          <w:bCs/>
          <w:iCs/>
          <w:noProof/>
          <w:color w:val="000000" w:themeColor="text1"/>
          <w:sz w:val="24"/>
          <w:szCs w:val="24"/>
          <w:lang w:eastAsia="es-MX"/>
        </w:rPr>
      </w:pPr>
    </w:p>
    <w:p w14:paraId="2AA71BD5" w14:textId="7A0D8888" w:rsidR="00A11210" w:rsidRDefault="00A11210" w:rsidP="00A11210">
      <w:pPr>
        <w:spacing w:after="0"/>
        <w:jc w:val="both"/>
        <w:rPr>
          <w:rFonts w:ascii="Arial" w:hAnsi="Arial" w:cs="Arial"/>
          <w:bCs/>
          <w:iCs/>
          <w:noProof/>
          <w:color w:val="000000" w:themeColor="text1"/>
          <w:sz w:val="24"/>
          <w:szCs w:val="24"/>
          <w:lang w:eastAsia="es-MX"/>
        </w:rPr>
      </w:pPr>
      <w:r w:rsidRPr="00CC598A">
        <w:rPr>
          <w:rFonts w:ascii="Arial" w:hAnsi="Arial" w:cs="Arial"/>
          <w:bCs/>
          <w:iCs/>
          <w:noProof/>
          <w:color w:val="000000" w:themeColor="text1"/>
          <w:sz w:val="24"/>
          <w:szCs w:val="24"/>
          <w:lang w:eastAsia="es-MX"/>
        </w:rPr>
        <w:t xml:space="preserve">Del total de auditorías aplicadas, 74.4% se realizaron por el </w:t>
      </w:r>
      <w:r w:rsidRPr="00A831A5">
        <w:rPr>
          <w:rFonts w:ascii="Arial" w:hAnsi="Arial" w:cs="Arial"/>
          <w:bCs/>
          <w:i/>
          <w:iCs/>
          <w:noProof/>
          <w:color w:val="000000" w:themeColor="text1"/>
          <w:sz w:val="24"/>
          <w:szCs w:val="24"/>
          <w:lang w:eastAsia="es-MX"/>
        </w:rPr>
        <w:t>órgano interno de control de la institución</w:t>
      </w:r>
      <w:r>
        <w:rPr>
          <w:rFonts w:ascii="Arial" w:hAnsi="Arial" w:cs="Arial"/>
          <w:bCs/>
          <w:iCs/>
          <w:noProof/>
          <w:color w:val="000000" w:themeColor="text1"/>
          <w:sz w:val="24"/>
          <w:szCs w:val="24"/>
          <w:lang w:eastAsia="es-MX"/>
        </w:rPr>
        <w:t>.</w:t>
      </w:r>
    </w:p>
    <w:p w14:paraId="0B722BD6" w14:textId="77777777" w:rsidR="00442960" w:rsidRDefault="00442960" w:rsidP="00442960">
      <w:pPr>
        <w:spacing w:after="0"/>
        <w:jc w:val="both"/>
        <w:rPr>
          <w:rFonts w:ascii="Arial" w:hAnsi="Arial" w:cs="Arial"/>
          <w:bCs/>
          <w:iCs/>
          <w:noProof/>
          <w:color w:val="000000" w:themeColor="text1"/>
          <w:sz w:val="24"/>
          <w:szCs w:val="24"/>
          <w:lang w:eastAsia="es-MX"/>
        </w:rPr>
      </w:pPr>
    </w:p>
    <w:p w14:paraId="3EA3FE13" w14:textId="71BAE196" w:rsidR="00442960" w:rsidRDefault="00442960" w:rsidP="00442960">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A11210">
        <w:rPr>
          <w:color w:val="000000" w:themeColor="text1"/>
          <w:sz w:val="20"/>
          <w:szCs w:val="20"/>
        </w:rPr>
        <w:t>3</w:t>
      </w:r>
    </w:p>
    <w:p w14:paraId="7A97CDB1" w14:textId="32900FFE" w:rsidR="00A11210" w:rsidRDefault="00A11210" w:rsidP="00E45DB7">
      <w:pPr>
        <w:spacing w:after="0"/>
        <w:jc w:val="center"/>
        <w:rPr>
          <w:rFonts w:ascii="Arial Negrita" w:hAnsi="Arial Negrita" w:cs="Arial"/>
          <w:b/>
          <w:bCs/>
          <w:iCs/>
          <w:smallCaps/>
          <w:color w:val="000000" w:themeColor="text1"/>
        </w:rPr>
      </w:pPr>
      <w:r w:rsidRPr="00CC598A">
        <w:rPr>
          <w:rFonts w:ascii="Arial Negrita" w:hAnsi="Arial Negrita" w:cs="Arial"/>
          <w:b/>
          <w:bCs/>
          <w:iCs/>
          <w:smallCaps/>
          <w:color w:val="000000" w:themeColor="text1"/>
        </w:rPr>
        <w:t>Auditorías realizadas a las instituciones de la Administración Pública Federal</w:t>
      </w:r>
    </w:p>
    <w:p w14:paraId="2CBAEAF9" w14:textId="6108E2EB" w:rsidR="00A11210" w:rsidRPr="001D1002" w:rsidRDefault="001D1002" w:rsidP="001D1002">
      <w:pPr>
        <w:spacing w:after="0"/>
        <w:jc w:val="center"/>
        <w:rPr>
          <w:rFonts w:ascii="Arial" w:hAnsi="Arial" w:cs="Arial"/>
          <w:bCs/>
          <w:iCs/>
          <w:smallCaps/>
          <w:color w:val="000000" w:themeColor="text1"/>
          <w:sz w:val="18"/>
        </w:rPr>
      </w:pPr>
      <w:r w:rsidRPr="00C07FC0">
        <w:rPr>
          <w:rFonts w:ascii="Arial" w:hAnsi="Arial" w:cs="Arial"/>
          <w:bCs/>
          <w:iCs/>
          <w:smallCaps/>
          <w:color w:val="000000" w:themeColor="text1"/>
          <w:sz w:val="18"/>
        </w:rPr>
        <w:t>2020</w:t>
      </w:r>
    </w:p>
    <w:p w14:paraId="19D52D0C" w14:textId="58FFDFF6" w:rsidR="00A11210" w:rsidRDefault="001D1002" w:rsidP="0004016B">
      <w:pPr>
        <w:spacing w:after="0"/>
        <w:ind w:left="-567"/>
        <w:jc w:val="center"/>
        <w:rPr>
          <w:rFonts w:ascii="Arial" w:hAnsi="Arial" w:cs="Arial"/>
          <w:bCs/>
          <w:iCs/>
          <w:noProof/>
          <w:color w:val="000000" w:themeColor="text1"/>
          <w:sz w:val="24"/>
          <w:szCs w:val="24"/>
          <w:lang w:eastAsia="es-MX"/>
        </w:rPr>
      </w:pPr>
      <w:r w:rsidRPr="00CC598A">
        <w:rPr>
          <w:rFonts w:ascii="Arial" w:hAnsi="Arial" w:cs="Arial"/>
          <w:bCs/>
          <w:iCs/>
          <w:noProof/>
          <w:color w:val="000000" w:themeColor="text1"/>
          <w:sz w:val="24"/>
          <w:szCs w:val="24"/>
          <w:lang w:eastAsia="es-MX"/>
        </w:rPr>
        <w:drawing>
          <wp:inline distT="0" distB="0" distL="0" distR="0" wp14:anchorId="2FDF87EE" wp14:editId="78C0238B">
            <wp:extent cx="4826975" cy="2139315"/>
            <wp:effectExtent l="0" t="0" r="0" b="0"/>
            <wp:docPr id="43" name="Gráfico 43">
              <a:extLst xmlns:a="http://schemas.openxmlformats.org/drawingml/2006/main">
                <a:ext uri="{FF2B5EF4-FFF2-40B4-BE49-F238E27FC236}">
                  <a16:creationId xmlns:a16="http://schemas.microsoft.com/office/drawing/2014/main" id="{AE9564A1-66A3-4CA5-8FDF-E999B8F0C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22DEFFD" w14:textId="337350C3" w:rsidR="00A11210" w:rsidRDefault="00A11210" w:rsidP="00A11210">
      <w:pPr>
        <w:spacing w:after="0"/>
        <w:ind w:left="-567"/>
        <w:jc w:val="center"/>
        <w:rPr>
          <w:rFonts w:ascii="Arial" w:hAnsi="Arial" w:cs="Arial"/>
          <w:bCs/>
          <w:iCs/>
          <w:noProof/>
          <w:color w:val="000000" w:themeColor="text1"/>
          <w:sz w:val="24"/>
          <w:szCs w:val="24"/>
          <w:lang w:eastAsia="es-MX"/>
        </w:rPr>
      </w:pPr>
    </w:p>
    <w:p w14:paraId="575C9374" w14:textId="77777777" w:rsidR="00A11210" w:rsidRDefault="00A11210" w:rsidP="00A11210">
      <w:pPr>
        <w:spacing w:after="0"/>
        <w:ind w:left="-567"/>
        <w:jc w:val="center"/>
        <w:rPr>
          <w:rFonts w:ascii="Arial" w:hAnsi="Arial" w:cs="Arial"/>
          <w:bCs/>
          <w:iCs/>
          <w:noProof/>
          <w:color w:val="000000" w:themeColor="text1"/>
          <w:sz w:val="24"/>
          <w:szCs w:val="24"/>
          <w:lang w:eastAsia="es-MX"/>
        </w:rPr>
      </w:pPr>
    </w:p>
    <w:p w14:paraId="358513FE" w14:textId="77777777" w:rsidR="00C06989" w:rsidRDefault="007A2E2F" w:rsidP="00C06989">
      <w:pPr>
        <w:spacing w:after="0"/>
        <w:jc w:val="both"/>
        <w:rPr>
          <w:rFonts w:ascii="Arial" w:hAnsi="Arial" w:cs="Arial"/>
          <w:bCs/>
          <w:iCs/>
          <w:noProof/>
          <w:color w:val="000000" w:themeColor="text1"/>
          <w:sz w:val="24"/>
          <w:szCs w:val="24"/>
          <w:lang w:eastAsia="es-MX"/>
        </w:rPr>
      </w:pPr>
      <w:r w:rsidRPr="00CC598A">
        <w:rPr>
          <w:rFonts w:ascii="Arial" w:hAnsi="Arial" w:cs="Arial"/>
          <w:bCs/>
          <w:iCs/>
          <w:noProof/>
          <w:color w:val="000000" w:themeColor="text1"/>
          <w:sz w:val="24"/>
          <w:szCs w:val="24"/>
          <w:lang w:eastAsia="es-MX"/>
        </w:rPr>
        <w:t>Durante 2020, se recibieron 22</w:t>
      </w:r>
      <w:r>
        <w:rPr>
          <w:rFonts w:ascii="Arial" w:hAnsi="Arial" w:cs="Arial"/>
          <w:bCs/>
          <w:iCs/>
          <w:noProof/>
          <w:color w:val="000000" w:themeColor="text1"/>
          <w:sz w:val="24"/>
          <w:szCs w:val="24"/>
          <w:lang w:eastAsia="es-MX"/>
        </w:rPr>
        <w:t>,</w:t>
      </w:r>
      <w:r w:rsidRPr="00CC598A">
        <w:rPr>
          <w:rFonts w:ascii="Arial" w:hAnsi="Arial" w:cs="Arial"/>
          <w:bCs/>
          <w:iCs/>
          <w:noProof/>
          <w:color w:val="000000" w:themeColor="text1"/>
          <w:sz w:val="24"/>
          <w:szCs w:val="24"/>
          <w:lang w:eastAsia="es-MX"/>
        </w:rPr>
        <w:t xml:space="preserve">891 denuncias derivadas del incumplimiento de las obligaciones de las y los servidores públicos. </w:t>
      </w:r>
      <w:r w:rsidR="00C06989" w:rsidRPr="00B46C44">
        <w:rPr>
          <w:rFonts w:ascii="Arial" w:hAnsi="Arial" w:cs="Arial"/>
          <w:bCs/>
          <w:iCs/>
          <w:noProof/>
          <w:color w:val="000000" w:themeColor="text1"/>
          <w:sz w:val="24"/>
          <w:szCs w:val="24"/>
          <w:lang w:eastAsia="es-MX"/>
        </w:rPr>
        <w:t>Con respecto a lo reportado en 201</w:t>
      </w:r>
      <w:r w:rsidR="00C06989">
        <w:rPr>
          <w:rFonts w:ascii="Arial" w:hAnsi="Arial" w:cs="Arial"/>
          <w:bCs/>
          <w:iCs/>
          <w:noProof/>
          <w:color w:val="000000" w:themeColor="text1"/>
          <w:sz w:val="24"/>
          <w:szCs w:val="24"/>
          <w:lang w:eastAsia="es-MX"/>
        </w:rPr>
        <w:t>9</w:t>
      </w:r>
      <w:r w:rsidR="00C06989" w:rsidRPr="00B46C44">
        <w:rPr>
          <w:rFonts w:ascii="Arial" w:hAnsi="Arial" w:cs="Arial"/>
          <w:bCs/>
          <w:iCs/>
          <w:noProof/>
          <w:color w:val="000000" w:themeColor="text1"/>
          <w:sz w:val="24"/>
          <w:szCs w:val="24"/>
          <w:lang w:eastAsia="es-MX"/>
        </w:rPr>
        <w:t xml:space="preserve">, la cantidad de denuncias recibidas </w:t>
      </w:r>
      <w:r w:rsidR="00C06989">
        <w:rPr>
          <w:rFonts w:ascii="Arial" w:hAnsi="Arial" w:cs="Arial"/>
          <w:bCs/>
          <w:iCs/>
          <w:noProof/>
          <w:color w:val="000000" w:themeColor="text1"/>
          <w:sz w:val="24"/>
          <w:szCs w:val="24"/>
          <w:lang w:eastAsia="es-MX"/>
        </w:rPr>
        <w:t>disminuyó</w:t>
      </w:r>
      <w:r w:rsidR="00C06989" w:rsidRPr="00B46C44">
        <w:rPr>
          <w:rFonts w:ascii="Arial" w:hAnsi="Arial" w:cs="Arial"/>
          <w:bCs/>
          <w:iCs/>
          <w:noProof/>
          <w:color w:val="000000" w:themeColor="text1"/>
          <w:sz w:val="24"/>
          <w:szCs w:val="24"/>
          <w:lang w:eastAsia="es-MX"/>
        </w:rPr>
        <w:t xml:space="preserve"> </w:t>
      </w:r>
      <w:r w:rsidR="00C06989">
        <w:rPr>
          <w:rFonts w:ascii="Arial" w:hAnsi="Arial" w:cs="Arial"/>
          <w:bCs/>
          <w:iCs/>
          <w:noProof/>
          <w:color w:val="000000" w:themeColor="text1"/>
          <w:sz w:val="24"/>
          <w:szCs w:val="24"/>
          <w:lang w:eastAsia="es-MX"/>
        </w:rPr>
        <w:t>32.0%.</w:t>
      </w:r>
    </w:p>
    <w:p w14:paraId="074FDB6A" w14:textId="77777777" w:rsidR="007A2E2F" w:rsidRDefault="007A2E2F" w:rsidP="007A2E2F">
      <w:pPr>
        <w:pStyle w:val="Default"/>
        <w:jc w:val="center"/>
        <w:rPr>
          <w:color w:val="000000" w:themeColor="text1"/>
          <w:sz w:val="20"/>
          <w:szCs w:val="20"/>
        </w:rPr>
      </w:pPr>
    </w:p>
    <w:p w14:paraId="265E3B92" w14:textId="4C5B0B38" w:rsidR="007A2E2F" w:rsidRDefault="007A2E2F" w:rsidP="007A2E2F">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C06989">
        <w:rPr>
          <w:color w:val="000000" w:themeColor="text1"/>
          <w:sz w:val="20"/>
          <w:szCs w:val="20"/>
        </w:rPr>
        <w:t>4</w:t>
      </w:r>
    </w:p>
    <w:p w14:paraId="5DA8B58F" w14:textId="77777777" w:rsidR="00C06989" w:rsidRDefault="00C06989" w:rsidP="00C06989">
      <w:pPr>
        <w:spacing w:after="0"/>
        <w:jc w:val="center"/>
        <w:rPr>
          <w:rFonts w:ascii="Arial" w:hAnsi="Arial" w:cs="Arial"/>
          <w:bCs/>
          <w:iCs/>
          <w:noProof/>
          <w:color w:val="000000" w:themeColor="text1"/>
          <w:sz w:val="24"/>
          <w:szCs w:val="24"/>
          <w:lang w:eastAsia="es-MX"/>
        </w:rPr>
      </w:pPr>
      <w:r w:rsidRPr="00B46C44">
        <w:rPr>
          <w:rFonts w:ascii="Arial Negrita" w:hAnsi="Arial Negrita" w:cs="Arial"/>
          <w:b/>
          <w:bCs/>
          <w:iCs/>
          <w:smallCaps/>
          <w:color w:val="000000" w:themeColor="text1"/>
        </w:rPr>
        <w:t>Denuncias recibidas por incumplimiento de obligaciones de las y los servidores públicos</w:t>
      </w:r>
    </w:p>
    <w:p w14:paraId="2C4A098A" w14:textId="77777777" w:rsidR="00C06989" w:rsidRDefault="00C06989" w:rsidP="00C06989">
      <w:pPr>
        <w:spacing w:after="0"/>
        <w:jc w:val="center"/>
        <w:rPr>
          <w:rFonts w:ascii="Arial" w:hAnsi="Arial" w:cs="Arial"/>
          <w:bCs/>
          <w:iCs/>
          <w:noProof/>
          <w:color w:val="000000" w:themeColor="text1"/>
          <w:sz w:val="24"/>
          <w:szCs w:val="24"/>
          <w:lang w:eastAsia="es-MX"/>
        </w:rPr>
      </w:pPr>
      <w:r w:rsidRPr="00BB561C">
        <w:rPr>
          <w:rFonts w:ascii="Arial" w:hAnsi="Arial" w:cs="Arial"/>
          <w:bCs/>
          <w:iCs/>
          <w:noProof/>
          <w:color w:val="000000" w:themeColor="text1"/>
          <w:sz w:val="24"/>
          <w:szCs w:val="24"/>
          <w:lang w:eastAsia="es-MX"/>
        </w:rPr>
        <w:drawing>
          <wp:inline distT="0" distB="0" distL="0" distR="0" wp14:anchorId="13E8B863" wp14:editId="7211EF34">
            <wp:extent cx="4944110" cy="2173185"/>
            <wp:effectExtent l="0" t="0" r="8890" b="0"/>
            <wp:docPr id="31" name="Gráfico 31">
              <a:extLst xmlns:a="http://schemas.openxmlformats.org/drawingml/2006/main">
                <a:ext uri="{FF2B5EF4-FFF2-40B4-BE49-F238E27FC236}">
                  <a16:creationId xmlns:a16="http://schemas.microsoft.com/office/drawing/2014/main" id="{95938256-5F46-4793-BCB1-F280F132C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23AB29E" w14:textId="77777777" w:rsidR="005850E1" w:rsidRDefault="005850E1" w:rsidP="00C06989">
      <w:pPr>
        <w:rPr>
          <w:rFonts w:ascii="Arial" w:hAnsi="Arial" w:cs="Arial"/>
          <w:bCs/>
          <w:iCs/>
          <w:noProof/>
          <w:color w:val="000000" w:themeColor="text1"/>
          <w:sz w:val="24"/>
          <w:szCs w:val="24"/>
          <w:lang w:eastAsia="es-MX"/>
        </w:rPr>
      </w:pPr>
    </w:p>
    <w:p w14:paraId="3D50F8EF" w14:textId="77777777" w:rsidR="005850E1" w:rsidRDefault="005850E1" w:rsidP="00C06989">
      <w:pPr>
        <w:rPr>
          <w:rFonts w:ascii="Arial" w:hAnsi="Arial" w:cs="Arial"/>
          <w:bCs/>
          <w:iCs/>
          <w:noProof/>
          <w:color w:val="000000" w:themeColor="text1"/>
          <w:sz w:val="24"/>
          <w:szCs w:val="24"/>
          <w:lang w:eastAsia="es-MX"/>
        </w:rPr>
      </w:pPr>
    </w:p>
    <w:p w14:paraId="71364D86" w14:textId="705A5EE1" w:rsidR="007A2E2F" w:rsidRDefault="00C06989" w:rsidP="00C06989">
      <w:pPr>
        <w:rPr>
          <w:color w:val="000000" w:themeColor="text1"/>
          <w:sz w:val="20"/>
          <w:szCs w:val="20"/>
        </w:rPr>
      </w:pPr>
      <w:r w:rsidRPr="00CC598A">
        <w:rPr>
          <w:rFonts w:ascii="Arial" w:hAnsi="Arial" w:cs="Arial"/>
          <w:bCs/>
          <w:iCs/>
          <w:noProof/>
          <w:color w:val="000000" w:themeColor="text1"/>
          <w:sz w:val="24"/>
          <w:szCs w:val="24"/>
          <w:lang w:eastAsia="es-MX"/>
        </w:rPr>
        <w:lastRenderedPageBreak/>
        <w:t xml:space="preserve">De acuerdo con el medio de recepción, 34.6% fue </w:t>
      </w:r>
      <w:r>
        <w:rPr>
          <w:rFonts w:ascii="Arial" w:hAnsi="Arial" w:cs="Arial"/>
          <w:bCs/>
          <w:i/>
          <w:iCs/>
          <w:noProof/>
          <w:color w:val="000000" w:themeColor="text1"/>
          <w:sz w:val="24"/>
          <w:szCs w:val="24"/>
          <w:lang w:eastAsia="es-MX"/>
        </w:rPr>
        <w:t>E</w:t>
      </w:r>
      <w:r w:rsidRPr="00A831A5">
        <w:rPr>
          <w:rFonts w:ascii="Arial" w:hAnsi="Arial" w:cs="Arial"/>
          <w:bCs/>
          <w:i/>
          <w:iCs/>
          <w:noProof/>
          <w:color w:val="000000" w:themeColor="text1"/>
          <w:sz w:val="24"/>
          <w:szCs w:val="24"/>
          <w:lang w:eastAsia="es-MX"/>
        </w:rPr>
        <w:t>scrito mediante oficio</w:t>
      </w:r>
      <w:r>
        <w:rPr>
          <w:rFonts w:ascii="Arial" w:hAnsi="Arial" w:cs="Arial"/>
          <w:bCs/>
          <w:i/>
          <w:iCs/>
          <w:noProof/>
          <w:color w:val="000000" w:themeColor="text1"/>
          <w:sz w:val="24"/>
          <w:szCs w:val="24"/>
          <w:lang w:eastAsia="es-MX"/>
        </w:rPr>
        <w:t xml:space="preserve"> </w:t>
      </w:r>
      <w:r w:rsidRPr="00837AB2">
        <w:rPr>
          <w:rFonts w:ascii="Arial" w:hAnsi="Arial" w:cs="Arial"/>
          <w:bCs/>
          <w:noProof/>
          <w:color w:val="000000" w:themeColor="text1"/>
          <w:sz w:val="24"/>
          <w:szCs w:val="24"/>
          <w:lang w:eastAsia="es-MX"/>
        </w:rPr>
        <w:t xml:space="preserve">y 31.9% por medio de </w:t>
      </w:r>
      <w:r w:rsidR="00E45DB7">
        <w:rPr>
          <w:rFonts w:ascii="Arial" w:hAnsi="Arial" w:cs="Arial"/>
          <w:bCs/>
          <w:i/>
          <w:iCs/>
          <w:noProof/>
          <w:color w:val="000000" w:themeColor="text1"/>
          <w:sz w:val="24"/>
          <w:szCs w:val="24"/>
          <w:lang w:eastAsia="es-MX"/>
        </w:rPr>
        <w:t>C</w:t>
      </w:r>
      <w:r>
        <w:rPr>
          <w:rFonts w:ascii="Arial" w:hAnsi="Arial" w:cs="Arial"/>
          <w:bCs/>
          <w:i/>
          <w:iCs/>
          <w:noProof/>
          <w:color w:val="000000" w:themeColor="text1"/>
          <w:sz w:val="24"/>
          <w:szCs w:val="24"/>
          <w:lang w:eastAsia="es-MX"/>
        </w:rPr>
        <w:t>orreo electrónico</w:t>
      </w:r>
      <w:r w:rsidRPr="00CC598A">
        <w:rPr>
          <w:rFonts w:ascii="Arial" w:hAnsi="Arial" w:cs="Arial"/>
          <w:bCs/>
          <w:iCs/>
          <w:noProof/>
          <w:color w:val="000000" w:themeColor="text1"/>
          <w:sz w:val="24"/>
          <w:szCs w:val="24"/>
          <w:lang w:eastAsia="es-MX"/>
        </w:rPr>
        <w:t>.</w:t>
      </w:r>
    </w:p>
    <w:p w14:paraId="1BDDC35B" w14:textId="54CAB46E" w:rsidR="007A2E2F" w:rsidRDefault="007A2E2F" w:rsidP="007A2E2F">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C06989">
        <w:rPr>
          <w:color w:val="000000" w:themeColor="text1"/>
          <w:sz w:val="20"/>
          <w:szCs w:val="20"/>
        </w:rPr>
        <w:t>5</w:t>
      </w:r>
    </w:p>
    <w:p w14:paraId="26C11495" w14:textId="3AF48D0B" w:rsidR="00C06989" w:rsidRDefault="00C06989" w:rsidP="00C06989">
      <w:pPr>
        <w:spacing w:after="0"/>
        <w:jc w:val="center"/>
        <w:rPr>
          <w:rFonts w:ascii="Arial Negrita" w:hAnsi="Arial Negrita" w:cs="Arial"/>
          <w:b/>
          <w:bCs/>
          <w:iCs/>
          <w:smallCaps/>
          <w:color w:val="000000" w:themeColor="text1"/>
        </w:rPr>
      </w:pPr>
      <w:r w:rsidRPr="00B46C44">
        <w:rPr>
          <w:rFonts w:ascii="Arial Negrita" w:hAnsi="Arial Negrita" w:cs="Arial"/>
          <w:b/>
          <w:bCs/>
          <w:iCs/>
          <w:smallCaps/>
          <w:color w:val="000000" w:themeColor="text1"/>
        </w:rPr>
        <w:t xml:space="preserve">Denuncias recibidas por incumplimiento de obligaciones de las y los servidores públicos, </w:t>
      </w:r>
    </w:p>
    <w:p w14:paraId="583F57D1" w14:textId="0CF6DDCB" w:rsidR="00C06989" w:rsidRDefault="00C06989" w:rsidP="00C06989">
      <w:pPr>
        <w:spacing w:after="0"/>
        <w:jc w:val="center"/>
        <w:rPr>
          <w:rFonts w:ascii="Arial" w:hAnsi="Arial" w:cs="Arial"/>
          <w:bCs/>
          <w:iCs/>
          <w:smallCaps/>
          <w:color w:val="000000" w:themeColor="text1"/>
          <w:sz w:val="18"/>
        </w:rPr>
      </w:pPr>
      <w:r w:rsidRPr="00C07FC0">
        <w:rPr>
          <w:rFonts w:ascii="Arial" w:hAnsi="Arial" w:cs="Arial"/>
          <w:bCs/>
          <w:iCs/>
          <w:smallCaps/>
          <w:color w:val="000000" w:themeColor="text1"/>
          <w:sz w:val="18"/>
        </w:rPr>
        <w:t>2020</w:t>
      </w:r>
    </w:p>
    <w:p w14:paraId="75A77D33" w14:textId="77777777" w:rsidR="0004016B" w:rsidRPr="00C07FC0" w:rsidRDefault="0004016B" w:rsidP="00C06989">
      <w:pPr>
        <w:spacing w:after="0"/>
        <w:jc w:val="center"/>
        <w:rPr>
          <w:rFonts w:ascii="Arial" w:hAnsi="Arial" w:cs="Arial"/>
          <w:bCs/>
          <w:iCs/>
          <w:smallCaps/>
          <w:color w:val="000000" w:themeColor="text1"/>
          <w:sz w:val="18"/>
        </w:rPr>
      </w:pPr>
    </w:p>
    <w:p w14:paraId="1118D5E7" w14:textId="1E9B8EE3" w:rsidR="00C06989" w:rsidRPr="00CC598A" w:rsidRDefault="0004016B" w:rsidP="00C06989">
      <w:pPr>
        <w:spacing w:after="0"/>
        <w:jc w:val="center"/>
        <w:rPr>
          <w:rFonts w:ascii="Arial" w:hAnsi="Arial" w:cs="Arial"/>
          <w:bCs/>
          <w:iCs/>
          <w:noProof/>
          <w:color w:val="000000" w:themeColor="text1"/>
          <w:sz w:val="24"/>
          <w:szCs w:val="24"/>
          <w:lang w:eastAsia="es-MX"/>
        </w:rPr>
      </w:pPr>
      <w:r w:rsidRPr="00731BEE">
        <w:rPr>
          <w:rFonts w:ascii="Arial" w:hAnsi="Arial" w:cs="Arial"/>
          <w:bCs/>
          <w:iCs/>
          <w:noProof/>
          <w:color w:val="000000" w:themeColor="text1"/>
          <w:sz w:val="24"/>
          <w:szCs w:val="24"/>
          <w:lang w:eastAsia="es-MX"/>
        </w:rPr>
        <w:drawing>
          <wp:inline distT="0" distB="0" distL="0" distR="0" wp14:anchorId="50C56338" wp14:editId="4DDF55E1">
            <wp:extent cx="5426710" cy="2458192"/>
            <wp:effectExtent l="0" t="0" r="2540" b="0"/>
            <wp:docPr id="44" name="Gráfico 44">
              <a:extLst xmlns:a="http://schemas.openxmlformats.org/drawingml/2006/main">
                <a:ext uri="{FF2B5EF4-FFF2-40B4-BE49-F238E27FC236}">
                  <a16:creationId xmlns:a16="http://schemas.microsoft.com/office/drawing/2014/main" id="{7F1363C2-AF5D-4F21-856F-895EEB444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AACA9B2" w14:textId="77777777" w:rsidR="0004016B" w:rsidRDefault="0004016B" w:rsidP="00C06989">
      <w:pPr>
        <w:spacing w:after="0"/>
        <w:jc w:val="both"/>
        <w:rPr>
          <w:rFonts w:ascii="Arial" w:hAnsi="Arial" w:cs="Arial"/>
          <w:bCs/>
          <w:iCs/>
          <w:noProof/>
          <w:color w:val="000000" w:themeColor="text1"/>
          <w:sz w:val="24"/>
          <w:szCs w:val="24"/>
          <w:lang w:eastAsia="es-MX"/>
        </w:rPr>
      </w:pPr>
    </w:p>
    <w:p w14:paraId="6DC96AFF" w14:textId="6960DFD2" w:rsidR="00C06989" w:rsidRDefault="00E45DB7" w:rsidP="00C06989">
      <w:pPr>
        <w:spacing w:after="0"/>
        <w:jc w:val="both"/>
        <w:rPr>
          <w:rFonts w:ascii="Arial" w:hAnsi="Arial" w:cs="Arial"/>
          <w:bCs/>
          <w:iCs/>
          <w:noProof/>
          <w:color w:val="000000" w:themeColor="text1"/>
          <w:sz w:val="24"/>
          <w:szCs w:val="24"/>
          <w:lang w:eastAsia="es-MX"/>
        </w:rPr>
      </w:pPr>
      <w:r>
        <w:rPr>
          <w:rFonts w:ascii="Arial" w:hAnsi="Arial" w:cs="Arial"/>
          <w:bCs/>
          <w:iCs/>
          <w:noProof/>
          <w:color w:val="000000" w:themeColor="text1"/>
          <w:sz w:val="24"/>
          <w:szCs w:val="24"/>
          <w:lang w:eastAsia="es-MX"/>
        </w:rPr>
        <w:t>En</w:t>
      </w:r>
      <w:r w:rsidR="00BA5230" w:rsidRPr="00BB561C">
        <w:rPr>
          <w:rFonts w:ascii="Arial" w:hAnsi="Arial" w:cs="Arial"/>
          <w:bCs/>
          <w:iCs/>
          <w:noProof/>
          <w:color w:val="000000" w:themeColor="text1"/>
          <w:sz w:val="24"/>
          <w:szCs w:val="24"/>
          <w:lang w:eastAsia="es-MX"/>
        </w:rPr>
        <w:t xml:space="preserve"> 20</w:t>
      </w:r>
      <w:r w:rsidR="00BA5230">
        <w:rPr>
          <w:rFonts w:ascii="Arial" w:hAnsi="Arial" w:cs="Arial"/>
          <w:bCs/>
          <w:iCs/>
          <w:noProof/>
          <w:color w:val="000000" w:themeColor="text1"/>
          <w:sz w:val="24"/>
          <w:szCs w:val="24"/>
          <w:lang w:eastAsia="es-MX"/>
        </w:rPr>
        <w:t>20, se iniciaron</w:t>
      </w:r>
      <w:r w:rsidR="00BA5230" w:rsidRPr="00BB561C">
        <w:rPr>
          <w:rFonts w:ascii="Arial" w:hAnsi="Arial" w:cs="Arial"/>
          <w:bCs/>
          <w:iCs/>
          <w:noProof/>
          <w:color w:val="000000" w:themeColor="text1"/>
          <w:sz w:val="24"/>
          <w:szCs w:val="24"/>
          <w:lang w:eastAsia="es-MX"/>
        </w:rPr>
        <w:t xml:space="preserve"> </w:t>
      </w:r>
      <w:r w:rsidR="0081084A">
        <w:rPr>
          <w:rFonts w:ascii="Arial" w:hAnsi="Arial" w:cs="Arial"/>
          <w:bCs/>
          <w:iCs/>
          <w:noProof/>
          <w:color w:val="000000" w:themeColor="text1"/>
          <w:sz w:val="24"/>
          <w:szCs w:val="24"/>
          <w:lang w:eastAsia="es-MX"/>
        </w:rPr>
        <w:t xml:space="preserve">por parte de la autoridad facultada para investigar </w:t>
      </w:r>
      <w:r w:rsidR="00BA5230" w:rsidRPr="00BB561C">
        <w:rPr>
          <w:rFonts w:ascii="Arial" w:hAnsi="Arial" w:cs="Arial"/>
          <w:bCs/>
          <w:iCs/>
          <w:noProof/>
          <w:color w:val="000000" w:themeColor="text1"/>
          <w:sz w:val="24"/>
          <w:szCs w:val="24"/>
          <w:lang w:eastAsia="es-MX"/>
        </w:rPr>
        <w:t>22</w:t>
      </w:r>
      <w:r w:rsidR="00BA5230">
        <w:rPr>
          <w:rFonts w:ascii="Arial" w:hAnsi="Arial" w:cs="Arial"/>
          <w:bCs/>
          <w:iCs/>
          <w:noProof/>
          <w:color w:val="000000" w:themeColor="text1"/>
          <w:sz w:val="24"/>
          <w:szCs w:val="24"/>
          <w:lang w:eastAsia="es-MX"/>
        </w:rPr>
        <w:t>,</w:t>
      </w:r>
      <w:r w:rsidR="00BA5230" w:rsidRPr="00BB561C">
        <w:rPr>
          <w:rFonts w:ascii="Arial" w:hAnsi="Arial" w:cs="Arial"/>
          <w:bCs/>
          <w:iCs/>
          <w:noProof/>
          <w:color w:val="000000" w:themeColor="text1"/>
          <w:sz w:val="24"/>
          <w:szCs w:val="24"/>
          <w:lang w:eastAsia="es-MX"/>
        </w:rPr>
        <w:t>889</w:t>
      </w:r>
      <w:r w:rsidR="007A2E2F" w:rsidRPr="00BB561C">
        <w:rPr>
          <w:rFonts w:ascii="Arial" w:hAnsi="Arial" w:cs="Arial"/>
          <w:bCs/>
          <w:iCs/>
          <w:noProof/>
          <w:color w:val="000000" w:themeColor="text1"/>
          <w:sz w:val="24"/>
          <w:szCs w:val="24"/>
          <w:lang w:eastAsia="es-MX"/>
        </w:rPr>
        <w:t xml:space="preserve"> investigaciones </w:t>
      </w:r>
      <w:r w:rsidR="0081084A">
        <w:rPr>
          <w:rFonts w:ascii="Arial" w:hAnsi="Arial" w:cs="Arial"/>
          <w:bCs/>
          <w:iCs/>
          <w:noProof/>
          <w:color w:val="000000" w:themeColor="text1"/>
          <w:sz w:val="24"/>
          <w:szCs w:val="24"/>
          <w:lang w:eastAsia="es-MX"/>
        </w:rPr>
        <w:t>derivad</w:t>
      </w:r>
      <w:r>
        <w:rPr>
          <w:rFonts w:ascii="Arial" w:hAnsi="Arial" w:cs="Arial"/>
          <w:bCs/>
          <w:iCs/>
          <w:noProof/>
          <w:color w:val="000000" w:themeColor="text1"/>
          <w:sz w:val="24"/>
          <w:szCs w:val="24"/>
          <w:lang w:eastAsia="es-MX"/>
        </w:rPr>
        <w:t>as</w:t>
      </w:r>
      <w:r w:rsidR="0081084A">
        <w:rPr>
          <w:rFonts w:ascii="Arial" w:hAnsi="Arial" w:cs="Arial"/>
          <w:bCs/>
          <w:iCs/>
          <w:noProof/>
          <w:color w:val="000000" w:themeColor="text1"/>
          <w:sz w:val="24"/>
          <w:szCs w:val="24"/>
          <w:lang w:eastAsia="es-MX"/>
        </w:rPr>
        <w:t xml:space="preserve"> de</w:t>
      </w:r>
      <w:r w:rsidR="007A2E2F" w:rsidRPr="00BB561C">
        <w:rPr>
          <w:rFonts w:ascii="Arial" w:hAnsi="Arial" w:cs="Arial"/>
          <w:bCs/>
          <w:iCs/>
          <w:noProof/>
          <w:color w:val="000000" w:themeColor="text1"/>
          <w:sz w:val="24"/>
          <w:szCs w:val="24"/>
          <w:lang w:eastAsia="es-MX"/>
        </w:rPr>
        <w:t xml:space="preserve"> la presunta responsabilidad de faltas administrativas cometidas por</w:t>
      </w:r>
      <w:r w:rsidR="007A2E2F">
        <w:rPr>
          <w:rFonts w:ascii="Arial" w:hAnsi="Arial" w:cs="Arial"/>
          <w:bCs/>
          <w:iCs/>
          <w:noProof/>
          <w:color w:val="000000" w:themeColor="text1"/>
          <w:sz w:val="24"/>
          <w:szCs w:val="24"/>
          <w:lang w:eastAsia="es-MX"/>
        </w:rPr>
        <w:t xml:space="preserve"> las y </w:t>
      </w:r>
      <w:r w:rsidR="007A2E2F" w:rsidRPr="00BB561C">
        <w:rPr>
          <w:rFonts w:ascii="Arial" w:hAnsi="Arial" w:cs="Arial"/>
          <w:bCs/>
          <w:iCs/>
          <w:noProof/>
          <w:color w:val="000000" w:themeColor="text1"/>
          <w:sz w:val="24"/>
          <w:szCs w:val="24"/>
          <w:lang w:eastAsia="es-MX"/>
        </w:rPr>
        <w:t xml:space="preserve">los servidores públicos adscritos a las instituciones de la Administración Pública Federal. </w:t>
      </w:r>
      <w:r w:rsidR="00C06989" w:rsidRPr="00C07FC0">
        <w:rPr>
          <w:rFonts w:ascii="Arial" w:hAnsi="Arial" w:cs="Arial"/>
          <w:bCs/>
          <w:iCs/>
          <w:noProof/>
          <w:color w:val="000000" w:themeColor="text1"/>
          <w:sz w:val="24"/>
          <w:szCs w:val="24"/>
          <w:lang w:eastAsia="es-MX"/>
        </w:rPr>
        <w:t xml:space="preserve">Comparado con 2019, </w:t>
      </w:r>
      <w:r w:rsidR="00537036">
        <w:rPr>
          <w:rFonts w:ascii="Arial" w:hAnsi="Arial" w:cs="Arial"/>
          <w:bCs/>
          <w:iCs/>
          <w:noProof/>
          <w:color w:val="000000" w:themeColor="text1"/>
          <w:sz w:val="24"/>
          <w:szCs w:val="24"/>
          <w:lang w:eastAsia="es-MX"/>
        </w:rPr>
        <w:t>lo anterior implica</w:t>
      </w:r>
      <w:r w:rsidR="00C06989" w:rsidRPr="00C07FC0">
        <w:rPr>
          <w:rFonts w:ascii="Arial" w:hAnsi="Arial" w:cs="Arial"/>
          <w:bCs/>
          <w:iCs/>
          <w:noProof/>
          <w:color w:val="000000" w:themeColor="text1"/>
          <w:sz w:val="24"/>
          <w:szCs w:val="24"/>
          <w:lang w:eastAsia="es-MX"/>
        </w:rPr>
        <w:t xml:space="preserve"> una disminución de 23.0% en la cantidad de investigaciones iniciadas.</w:t>
      </w:r>
    </w:p>
    <w:p w14:paraId="267BD530" w14:textId="67C17518" w:rsidR="007A2E2F" w:rsidRDefault="007A2E2F" w:rsidP="007A2E2F">
      <w:pPr>
        <w:spacing w:after="0"/>
        <w:jc w:val="both"/>
        <w:rPr>
          <w:rFonts w:ascii="Arial" w:hAnsi="Arial" w:cs="Arial"/>
          <w:bCs/>
          <w:iCs/>
          <w:noProof/>
          <w:color w:val="000000" w:themeColor="text1"/>
          <w:sz w:val="24"/>
          <w:szCs w:val="24"/>
          <w:lang w:eastAsia="es-MX"/>
        </w:rPr>
      </w:pPr>
    </w:p>
    <w:p w14:paraId="255BB721" w14:textId="556BAD25" w:rsidR="0091200E" w:rsidRDefault="0091200E" w:rsidP="0091200E">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C06989">
        <w:rPr>
          <w:color w:val="000000" w:themeColor="text1"/>
          <w:sz w:val="20"/>
          <w:szCs w:val="20"/>
        </w:rPr>
        <w:t>6</w:t>
      </w:r>
    </w:p>
    <w:p w14:paraId="10ABD0E1" w14:textId="77777777" w:rsidR="00C06989" w:rsidRDefault="00C06989" w:rsidP="00C06989">
      <w:pPr>
        <w:spacing w:after="0"/>
        <w:jc w:val="center"/>
        <w:rPr>
          <w:rFonts w:ascii="Arial Negrita" w:hAnsi="Arial Negrita" w:cs="Arial"/>
          <w:b/>
          <w:bCs/>
          <w:iCs/>
          <w:smallCaps/>
          <w:color w:val="000000" w:themeColor="text1"/>
        </w:rPr>
      </w:pPr>
      <w:r w:rsidRPr="00C07FC0">
        <w:rPr>
          <w:rFonts w:ascii="Arial Negrita" w:hAnsi="Arial Negrita" w:cs="Arial"/>
          <w:b/>
          <w:bCs/>
          <w:iCs/>
          <w:smallCaps/>
          <w:color w:val="000000" w:themeColor="text1"/>
        </w:rPr>
        <w:t>Investigaciones iniciadas por la presunta responsabilidad de faltas administrativas</w:t>
      </w:r>
    </w:p>
    <w:p w14:paraId="2A78F871" w14:textId="77777777" w:rsidR="00C06989" w:rsidRDefault="00C06989" w:rsidP="00C06989">
      <w:pPr>
        <w:spacing w:after="0"/>
        <w:jc w:val="center"/>
        <w:rPr>
          <w:rFonts w:ascii="Arial Negrita" w:hAnsi="Arial Negrita" w:cs="Arial"/>
          <w:b/>
          <w:bCs/>
          <w:iCs/>
          <w:smallCaps/>
          <w:color w:val="000000" w:themeColor="text1"/>
        </w:rPr>
      </w:pPr>
    </w:p>
    <w:p w14:paraId="7DDFE36F" w14:textId="77777777" w:rsidR="00C06989" w:rsidRDefault="00C06989" w:rsidP="00C06989">
      <w:pPr>
        <w:spacing w:after="0"/>
        <w:jc w:val="center"/>
        <w:rPr>
          <w:rFonts w:ascii="Arial Negrita" w:hAnsi="Arial Negrita" w:cs="Arial"/>
          <w:b/>
          <w:bCs/>
          <w:iCs/>
          <w:smallCaps/>
          <w:color w:val="000000" w:themeColor="text1"/>
        </w:rPr>
      </w:pPr>
    </w:p>
    <w:p w14:paraId="1125181B" w14:textId="77777777" w:rsidR="00C06989" w:rsidRDefault="00C06989" w:rsidP="00C06989">
      <w:pPr>
        <w:spacing w:after="0"/>
        <w:jc w:val="center"/>
        <w:rPr>
          <w:rFonts w:ascii="Arial Negrita" w:hAnsi="Arial Negrita" w:cs="Arial"/>
          <w:b/>
          <w:bCs/>
          <w:iCs/>
          <w:smallCaps/>
          <w:color w:val="000000" w:themeColor="text1"/>
        </w:rPr>
      </w:pPr>
      <w:r w:rsidRPr="00C07FC0">
        <w:rPr>
          <w:rFonts w:ascii="Arial Negrita" w:hAnsi="Arial Negrita" w:cs="Arial"/>
          <w:b/>
          <w:bCs/>
          <w:iCs/>
          <w:smallCaps/>
          <w:noProof/>
          <w:color w:val="000000" w:themeColor="text1"/>
        </w:rPr>
        <w:drawing>
          <wp:inline distT="0" distB="0" distL="0" distR="0" wp14:anchorId="2F4D66F3" wp14:editId="47733F62">
            <wp:extent cx="5762446" cy="2027208"/>
            <wp:effectExtent l="0" t="0" r="0" b="0"/>
            <wp:docPr id="36" name="Gráfico 36">
              <a:extLst xmlns:a="http://schemas.openxmlformats.org/drawingml/2006/main">
                <a:ext uri="{FF2B5EF4-FFF2-40B4-BE49-F238E27FC236}">
                  <a16:creationId xmlns:a16="http://schemas.microsoft.com/office/drawing/2014/main" id="{822D9308-CB7E-43D3-B9EF-319FD884F9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71A842C" w14:textId="77777777" w:rsidR="00C06989" w:rsidRDefault="00C06989" w:rsidP="00C06989">
      <w:pPr>
        <w:spacing w:after="0"/>
        <w:jc w:val="center"/>
        <w:rPr>
          <w:rFonts w:ascii="Arial Negrita" w:hAnsi="Arial Negrita" w:cs="Arial"/>
          <w:b/>
          <w:bCs/>
          <w:iCs/>
          <w:smallCaps/>
          <w:color w:val="000000" w:themeColor="text1"/>
        </w:rPr>
      </w:pPr>
    </w:p>
    <w:p w14:paraId="279405DC" w14:textId="7ADF459A" w:rsidR="00C06989" w:rsidRDefault="00BA5230" w:rsidP="00C06989">
      <w:pPr>
        <w:spacing w:after="0"/>
        <w:jc w:val="both"/>
        <w:rPr>
          <w:rFonts w:ascii="Arial" w:hAnsi="Arial" w:cs="Arial"/>
          <w:bCs/>
          <w:iCs/>
          <w:noProof/>
          <w:color w:val="000000" w:themeColor="text1"/>
          <w:sz w:val="24"/>
          <w:szCs w:val="24"/>
          <w:lang w:eastAsia="es-MX"/>
        </w:rPr>
      </w:pPr>
      <w:r>
        <w:rPr>
          <w:rFonts w:ascii="Arial" w:hAnsi="Arial" w:cs="Arial"/>
          <w:bCs/>
          <w:iCs/>
          <w:noProof/>
          <w:color w:val="000000" w:themeColor="text1"/>
          <w:sz w:val="24"/>
          <w:szCs w:val="24"/>
          <w:lang w:eastAsia="es-MX"/>
        </w:rPr>
        <w:lastRenderedPageBreak/>
        <w:t>En este mismo periodo</w:t>
      </w:r>
      <w:r w:rsidR="00C06989" w:rsidRPr="00BB561C">
        <w:rPr>
          <w:rFonts w:ascii="Arial" w:hAnsi="Arial" w:cs="Arial"/>
          <w:bCs/>
          <w:iCs/>
          <w:noProof/>
          <w:color w:val="000000" w:themeColor="text1"/>
          <w:sz w:val="24"/>
          <w:szCs w:val="24"/>
          <w:lang w:eastAsia="es-MX"/>
        </w:rPr>
        <w:t xml:space="preserve"> se concluyeron</w:t>
      </w:r>
      <w:r w:rsidR="00C06989">
        <w:rPr>
          <w:rFonts w:ascii="Arial" w:hAnsi="Arial" w:cs="Arial"/>
          <w:bCs/>
          <w:iCs/>
          <w:noProof/>
          <w:color w:val="000000" w:themeColor="text1"/>
          <w:sz w:val="24"/>
          <w:szCs w:val="24"/>
          <w:lang w:eastAsia="es-MX"/>
        </w:rPr>
        <w:t xml:space="preserve"> </w:t>
      </w:r>
      <w:r w:rsidR="00C06989" w:rsidRPr="00BB561C">
        <w:rPr>
          <w:rFonts w:ascii="Arial" w:hAnsi="Arial" w:cs="Arial"/>
          <w:bCs/>
          <w:iCs/>
          <w:noProof/>
          <w:color w:val="000000" w:themeColor="text1"/>
          <w:sz w:val="24"/>
          <w:szCs w:val="24"/>
          <w:lang w:eastAsia="es-MX"/>
        </w:rPr>
        <w:t>9</w:t>
      </w:r>
      <w:r w:rsidR="00C06989">
        <w:rPr>
          <w:rFonts w:ascii="Arial" w:hAnsi="Arial" w:cs="Arial"/>
          <w:bCs/>
          <w:iCs/>
          <w:noProof/>
          <w:color w:val="000000" w:themeColor="text1"/>
          <w:sz w:val="24"/>
          <w:szCs w:val="24"/>
          <w:lang w:eastAsia="es-MX"/>
        </w:rPr>
        <w:t>,</w:t>
      </w:r>
      <w:r w:rsidR="00C06989" w:rsidRPr="00BB561C">
        <w:rPr>
          <w:rFonts w:ascii="Arial" w:hAnsi="Arial" w:cs="Arial"/>
          <w:bCs/>
          <w:iCs/>
          <w:noProof/>
          <w:color w:val="000000" w:themeColor="text1"/>
          <w:sz w:val="24"/>
          <w:szCs w:val="24"/>
          <w:lang w:eastAsia="es-MX"/>
        </w:rPr>
        <w:t>058 investigaciones</w:t>
      </w:r>
      <w:r w:rsidR="00C06989">
        <w:rPr>
          <w:rFonts w:ascii="Arial" w:hAnsi="Arial" w:cs="Arial"/>
          <w:bCs/>
          <w:iCs/>
          <w:noProof/>
          <w:color w:val="000000" w:themeColor="text1"/>
          <w:sz w:val="24"/>
          <w:szCs w:val="24"/>
          <w:lang w:eastAsia="es-MX"/>
        </w:rPr>
        <w:t>.</w:t>
      </w:r>
      <w:r w:rsidR="00C06989" w:rsidRPr="00BB561C">
        <w:rPr>
          <w:rFonts w:ascii="Arial" w:hAnsi="Arial" w:cs="Arial"/>
          <w:bCs/>
          <w:iCs/>
          <w:noProof/>
          <w:color w:val="000000" w:themeColor="text1"/>
          <w:sz w:val="24"/>
          <w:szCs w:val="24"/>
          <w:lang w:eastAsia="es-MX"/>
        </w:rPr>
        <w:t xml:space="preserve"> </w:t>
      </w:r>
      <w:r w:rsidR="00C06989">
        <w:rPr>
          <w:rFonts w:ascii="Arial" w:hAnsi="Arial" w:cs="Arial"/>
          <w:bCs/>
          <w:iCs/>
          <w:noProof/>
          <w:color w:val="000000" w:themeColor="text1"/>
          <w:sz w:val="24"/>
          <w:szCs w:val="24"/>
          <w:lang w:eastAsia="es-MX"/>
        </w:rPr>
        <w:t>D</w:t>
      </w:r>
      <w:r w:rsidR="00C06989" w:rsidRPr="00BB561C">
        <w:rPr>
          <w:rFonts w:ascii="Arial" w:hAnsi="Arial" w:cs="Arial"/>
          <w:bCs/>
          <w:iCs/>
          <w:noProof/>
          <w:color w:val="000000" w:themeColor="text1"/>
          <w:sz w:val="24"/>
          <w:szCs w:val="24"/>
          <w:lang w:eastAsia="es-MX"/>
        </w:rPr>
        <w:t xml:space="preserve">e acuerdo con el tipo de conclusión, la más frecuente </w:t>
      </w:r>
      <w:r w:rsidR="00C06989" w:rsidRPr="00CD044A">
        <w:rPr>
          <w:rFonts w:ascii="Arial" w:hAnsi="Arial" w:cs="Arial"/>
          <w:bCs/>
          <w:noProof/>
          <w:color w:val="000000" w:themeColor="text1"/>
          <w:sz w:val="24"/>
          <w:szCs w:val="24"/>
          <w:lang w:eastAsia="es-MX"/>
        </w:rPr>
        <w:t>fue</w:t>
      </w:r>
      <w:r w:rsidR="00C06989" w:rsidRPr="00A831A5">
        <w:rPr>
          <w:rFonts w:ascii="Arial" w:hAnsi="Arial" w:cs="Arial"/>
          <w:bCs/>
          <w:i/>
          <w:iCs/>
          <w:noProof/>
          <w:color w:val="000000" w:themeColor="text1"/>
          <w:sz w:val="24"/>
          <w:szCs w:val="24"/>
          <w:lang w:eastAsia="es-MX"/>
        </w:rPr>
        <w:t xml:space="preserve"> Acuerdos de conclusión y archivo del expediente</w:t>
      </w:r>
      <w:r w:rsidR="00C06989" w:rsidRPr="00BB561C">
        <w:rPr>
          <w:rFonts w:ascii="Arial" w:hAnsi="Arial" w:cs="Arial"/>
          <w:bCs/>
          <w:iCs/>
          <w:noProof/>
          <w:color w:val="000000" w:themeColor="text1"/>
          <w:sz w:val="24"/>
          <w:szCs w:val="24"/>
          <w:lang w:eastAsia="es-MX"/>
        </w:rPr>
        <w:t>.</w:t>
      </w:r>
    </w:p>
    <w:p w14:paraId="2420C82C" w14:textId="77777777" w:rsidR="008F1049" w:rsidRDefault="008F1049" w:rsidP="007A2E2F">
      <w:pPr>
        <w:spacing w:after="0"/>
        <w:jc w:val="both"/>
        <w:rPr>
          <w:rFonts w:ascii="Arial" w:hAnsi="Arial" w:cs="Arial"/>
          <w:bCs/>
          <w:iCs/>
          <w:noProof/>
          <w:color w:val="000000" w:themeColor="text1"/>
          <w:sz w:val="24"/>
          <w:szCs w:val="24"/>
          <w:lang w:eastAsia="es-MX"/>
        </w:rPr>
      </w:pPr>
    </w:p>
    <w:p w14:paraId="1C61A03D" w14:textId="77777777" w:rsidR="0091200E" w:rsidRDefault="0091200E" w:rsidP="007A2E2F">
      <w:pPr>
        <w:spacing w:after="0"/>
        <w:jc w:val="both"/>
        <w:rPr>
          <w:rFonts w:ascii="Arial" w:hAnsi="Arial" w:cs="Arial"/>
          <w:bCs/>
          <w:iCs/>
          <w:noProof/>
          <w:color w:val="000000" w:themeColor="text1"/>
          <w:sz w:val="24"/>
          <w:szCs w:val="24"/>
          <w:lang w:eastAsia="es-MX"/>
        </w:rPr>
      </w:pPr>
    </w:p>
    <w:p w14:paraId="6979DC6D" w14:textId="3EB55D68" w:rsidR="0091200E" w:rsidRDefault="0091200E" w:rsidP="0091200E">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BA5230">
        <w:rPr>
          <w:color w:val="000000" w:themeColor="text1"/>
          <w:sz w:val="20"/>
          <w:szCs w:val="20"/>
        </w:rPr>
        <w:t>7</w:t>
      </w:r>
    </w:p>
    <w:p w14:paraId="0BFD1E6E" w14:textId="77777777" w:rsidR="00E45DB7" w:rsidRDefault="00C06989" w:rsidP="00E45DB7">
      <w:pPr>
        <w:spacing w:after="0"/>
        <w:jc w:val="center"/>
        <w:rPr>
          <w:rFonts w:ascii="Arial Negrita" w:hAnsi="Arial Negrita" w:cs="Arial"/>
          <w:b/>
          <w:bCs/>
          <w:iCs/>
          <w:smallCaps/>
          <w:color w:val="000000" w:themeColor="text1"/>
        </w:rPr>
      </w:pPr>
      <w:r w:rsidRPr="00BB561C">
        <w:rPr>
          <w:rFonts w:ascii="Arial Negrita" w:hAnsi="Arial Negrita" w:cs="Arial"/>
          <w:b/>
          <w:bCs/>
          <w:iCs/>
          <w:smallCaps/>
          <w:color w:val="000000" w:themeColor="text1"/>
        </w:rPr>
        <w:t>Investigaciones concluidas por la presunta responsabilidad de faltas administrativas</w:t>
      </w:r>
    </w:p>
    <w:p w14:paraId="3F45376D" w14:textId="4C12E58D" w:rsidR="00C06989" w:rsidRPr="00E45DB7" w:rsidRDefault="00C06989" w:rsidP="00E45DB7">
      <w:pPr>
        <w:spacing w:after="0"/>
        <w:jc w:val="center"/>
        <w:rPr>
          <w:rFonts w:ascii="Arial Negrita" w:hAnsi="Arial Negrita" w:cs="Arial"/>
          <w:b/>
          <w:bCs/>
          <w:iCs/>
          <w:smallCaps/>
          <w:color w:val="000000" w:themeColor="text1"/>
          <w:sz w:val="18"/>
          <w:szCs w:val="18"/>
        </w:rPr>
      </w:pPr>
      <w:r w:rsidRPr="00E45DB7">
        <w:rPr>
          <w:rFonts w:ascii="Arial" w:hAnsi="Arial" w:cs="Arial"/>
          <w:iCs/>
          <w:smallCaps/>
          <w:color w:val="000000" w:themeColor="text1"/>
          <w:sz w:val="18"/>
          <w:szCs w:val="18"/>
        </w:rPr>
        <w:t>2020</w:t>
      </w:r>
    </w:p>
    <w:p w14:paraId="5D6C341A" w14:textId="77777777" w:rsidR="00C06989" w:rsidRDefault="00C06989" w:rsidP="00C06989">
      <w:pPr>
        <w:spacing w:after="0"/>
        <w:jc w:val="center"/>
        <w:rPr>
          <w:rFonts w:ascii="Arial" w:hAnsi="Arial" w:cs="Arial"/>
          <w:bCs/>
          <w:iCs/>
          <w:noProof/>
          <w:color w:val="000000" w:themeColor="text1"/>
          <w:sz w:val="24"/>
          <w:szCs w:val="24"/>
          <w:lang w:eastAsia="es-MX"/>
        </w:rPr>
      </w:pPr>
      <w:r w:rsidRPr="00BB561C">
        <w:rPr>
          <w:rFonts w:ascii="Arial" w:hAnsi="Arial" w:cs="Arial"/>
          <w:bCs/>
          <w:iCs/>
          <w:noProof/>
          <w:color w:val="000000" w:themeColor="text1"/>
          <w:sz w:val="24"/>
          <w:szCs w:val="24"/>
          <w:lang w:eastAsia="es-MX"/>
        </w:rPr>
        <w:drawing>
          <wp:inline distT="0" distB="0" distL="0" distR="0" wp14:anchorId="1B17ABAE" wp14:editId="7621EAB4">
            <wp:extent cx="4274288" cy="2354580"/>
            <wp:effectExtent l="0" t="0" r="0" b="7620"/>
            <wp:docPr id="38" name="Gráfico 38">
              <a:extLst xmlns:a="http://schemas.openxmlformats.org/drawingml/2006/main">
                <a:ext uri="{FF2B5EF4-FFF2-40B4-BE49-F238E27FC236}">
                  <a16:creationId xmlns:a16="http://schemas.microsoft.com/office/drawing/2014/main" id="{1F0465DF-6885-496B-91CE-1EBAC4D89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40CB34A" w14:textId="4CC216CB" w:rsidR="007A2E2F" w:rsidRDefault="007A2E2F" w:rsidP="007A2E2F">
      <w:pPr>
        <w:spacing w:after="0"/>
        <w:jc w:val="both"/>
        <w:rPr>
          <w:rFonts w:ascii="Arial" w:hAnsi="Arial" w:cs="Arial"/>
          <w:bCs/>
          <w:iCs/>
          <w:noProof/>
          <w:color w:val="000000" w:themeColor="text1"/>
          <w:sz w:val="24"/>
          <w:szCs w:val="24"/>
          <w:lang w:eastAsia="es-MX"/>
        </w:rPr>
      </w:pPr>
      <w:r w:rsidRPr="00C07FC0">
        <w:rPr>
          <w:rFonts w:ascii="Arial" w:hAnsi="Arial" w:cs="Arial"/>
          <w:bCs/>
          <w:iCs/>
          <w:noProof/>
          <w:color w:val="000000" w:themeColor="text1"/>
          <w:sz w:val="24"/>
          <w:szCs w:val="24"/>
          <w:lang w:eastAsia="es-MX"/>
        </w:rPr>
        <w:t>Durante 2020 se registraron 2</w:t>
      </w:r>
      <w:r>
        <w:rPr>
          <w:rFonts w:ascii="Arial" w:hAnsi="Arial" w:cs="Arial"/>
          <w:bCs/>
          <w:iCs/>
          <w:noProof/>
          <w:color w:val="000000" w:themeColor="text1"/>
          <w:sz w:val="24"/>
          <w:szCs w:val="24"/>
          <w:lang w:eastAsia="es-MX"/>
        </w:rPr>
        <w:t>,</w:t>
      </w:r>
      <w:r w:rsidRPr="00C07FC0">
        <w:rPr>
          <w:rFonts w:ascii="Arial" w:hAnsi="Arial" w:cs="Arial"/>
          <w:bCs/>
          <w:iCs/>
          <w:noProof/>
          <w:color w:val="000000" w:themeColor="text1"/>
          <w:sz w:val="24"/>
          <w:szCs w:val="24"/>
          <w:lang w:eastAsia="es-MX"/>
        </w:rPr>
        <w:t>869 procedimientos de responsabilidad administrativa iniciados, mientras que 2</w:t>
      </w:r>
      <w:r w:rsidR="00865237">
        <w:rPr>
          <w:rFonts w:ascii="Arial" w:hAnsi="Arial" w:cs="Arial"/>
          <w:bCs/>
          <w:iCs/>
          <w:noProof/>
          <w:color w:val="000000" w:themeColor="text1"/>
          <w:sz w:val="24"/>
          <w:szCs w:val="24"/>
          <w:lang w:eastAsia="es-MX"/>
        </w:rPr>
        <w:t>,</w:t>
      </w:r>
      <w:r w:rsidRPr="00C07FC0">
        <w:rPr>
          <w:rFonts w:ascii="Arial" w:hAnsi="Arial" w:cs="Arial"/>
          <w:bCs/>
          <w:iCs/>
          <w:noProof/>
          <w:color w:val="000000" w:themeColor="text1"/>
          <w:sz w:val="24"/>
          <w:szCs w:val="24"/>
          <w:lang w:eastAsia="es-MX"/>
        </w:rPr>
        <w:t xml:space="preserve">222 fueron concluidos. </w:t>
      </w:r>
      <w:r w:rsidR="00BA5230">
        <w:rPr>
          <w:rFonts w:ascii="Arial" w:hAnsi="Arial" w:cs="Arial"/>
          <w:bCs/>
          <w:iCs/>
          <w:noProof/>
          <w:color w:val="000000" w:themeColor="text1"/>
          <w:sz w:val="24"/>
          <w:szCs w:val="24"/>
          <w:lang w:eastAsia="es-MX"/>
        </w:rPr>
        <w:t>En comparación con 2019, los procedimientos iniciados registrados disminuyeron</w:t>
      </w:r>
      <w:r w:rsidRPr="00C07FC0">
        <w:rPr>
          <w:rFonts w:ascii="Arial" w:hAnsi="Arial" w:cs="Arial"/>
          <w:bCs/>
          <w:iCs/>
          <w:noProof/>
          <w:color w:val="000000" w:themeColor="text1"/>
          <w:sz w:val="24"/>
          <w:szCs w:val="24"/>
          <w:lang w:eastAsia="es-MX"/>
        </w:rPr>
        <w:t xml:space="preserve"> 81.3% </w:t>
      </w:r>
      <w:r w:rsidR="00E45DB7">
        <w:rPr>
          <w:rFonts w:ascii="Arial" w:hAnsi="Arial" w:cs="Arial"/>
          <w:bCs/>
          <w:iCs/>
          <w:noProof/>
          <w:color w:val="000000" w:themeColor="text1"/>
          <w:sz w:val="24"/>
          <w:szCs w:val="24"/>
          <w:lang w:eastAsia="es-MX"/>
        </w:rPr>
        <w:t>y</w:t>
      </w:r>
      <w:r w:rsidRPr="00C07FC0">
        <w:rPr>
          <w:rFonts w:ascii="Arial" w:hAnsi="Arial" w:cs="Arial"/>
          <w:bCs/>
          <w:iCs/>
          <w:noProof/>
          <w:color w:val="000000" w:themeColor="text1"/>
          <w:sz w:val="24"/>
          <w:szCs w:val="24"/>
          <w:lang w:eastAsia="es-MX"/>
        </w:rPr>
        <w:t xml:space="preserve"> la cifra de procedimientos concluidos </w:t>
      </w:r>
      <w:r w:rsidR="00E45DB7">
        <w:rPr>
          <w:rFonts w:ascii="Arial" w:hAnsi="Arial" w:cs="Arial"/>
          <w:bCs/>
          <w:iCs/>
          <w:noProof/>
          <w:color w:val="000000" w:themeColor="text1"/>
          <w:sz w:val="24"/>
          <w:szCs w:val="24"/>
          <w:lang w:eastAsia="es-MX"/>
        </w:rPr>
        <w:t>bajó</w:t>
      </w:r>
      <w:r w:rsidRPr="00C07FC0">
        <w:rPr>
          <w:rFonts w:ascii="Arial" w:hAnsi="Arial" w:cs="Arial"/>
          <w:bCs/>
          <w:iCs/>
          <w:noProof/>
          <w:color w:val="000000" w:themeColor="text1"/>
          <w:sz w:val="24"/>
          <w:szCs w:val="24"/>
          <w:lang w:eastAsia="es-MX"/>
        </w:rPr>
        <w:t xml:space="preserve"> 89.3%.</w:t>
      </w:r>
    </w:p>
    <w:p w14:paraId="10F8F8FF" w14:textId="3A74F8BF" w:rsidR="0091200E" w:rsidRDefault="0091200E" w:rsidP="007A2E2F">
      <w:pPr>
        <w:spacing w:after="0"/>
        <w:jc w:val="both"/>
        <w:rPr>
          <w:rFonts w:ascii="Arial Negrita" w:hAnsi="Arial Negrita" w:cs="Arial"/>
          <w:b/>
          <w:bCs/>
          <w:iCs/>
          <w:smallCaps/>
          <w:color w:val="000000" w:themeColor="text1"/>
        </w:rPr>
      </w:pPr>
    </w:p>
    <w:p w14:paraId="6A83EA4F" w14:textId="2D9EB595" w:rsidR="0091200E" w:rsidRDefault="0091200E" w:rsidP="0091200E">
      <w:pPr>
        <w:pStyle w:val="Default"/>
        <w:jc w:val="center"/>
        <w:rPr>
          <w:color w:val="000000" w:themeColor="text1"/>
          <w:sz w:val="20"/>
          <w:szCs w:val="20"/>
        </w:rPr>
      </w:pPr>
      <w:r w:rsidRPr="004200B8">
        <w:rPr>
          <w:color w:val="000000" w:themeColor="text1"/>
          <w:sz w:val="20"/>
          <w:szCs w:val="20"/>
        </w:rPr>
        <w:t xml:space="preserve">Gráfica </w:t>
      </w:r>
      <w:r>
        <w:rPr>
          <w:color w:val="000000" w:themeColor="text1"/>
          <w:sz w:val="20"/>
          <w:szCs w:val="20"/>
        </w:rPr>
        <w:t>2</w:t>
      </w:r>
      <w:r w:rsidR="00BA5230">
        <w:rPr>
          <w:color w:val="000000" w:themeColor="text1"/>
          <w:sz w:val="20"/>
          <w:szCs w:val="20"/>
        </w:rPr>
        <w:t>8</w:t>
      </w:r>
    </w:p>
    <w:p w14:paraId="3A83726D" w14:textId="77777777" w:rsidR="007A2E2F" w:rsidRDefault="007A2E2F" w:rsidP="007A2E2F">
      <w:pPr>
        <w:spacing w:after="0"/>
        <w:jc w:val="center"/>
        <w:rPr>
          <w:rFonts w:ascii="Arial Negrita" w:hAnsi="Arial Negrita" w:cs="Arial"/>
          <w:b/>
          <w:bCs/>
          <w:iCs/>
          <w:smallCaps/>
          <w:color w:val="000000" w:themeColor="text1"/>
        </w:rPr>
      </w:pPr>
      <w:r w:rsidRPr="00C07FC0">
        <w:rPr>
          <w:rFonts w:ascii="Arial Negrita" w:hAnsi="Arial Negrita" w:cs="Arial"/>
          <w:b/>
          <w:bCs/>
          <w:iCs/>
          <w:smallCaps/>
          <w:color w:val="000000" w:themeColor="text1"/>
        </w:rPr>
        <w:t>Procedimientos de responsabilidad administrativa iniciados y concluidos</w:t>
      </w:r>
    </w:p>
    <w:p w14:paraId="5FC982BB" w14:textId="77777777" w:rsidR="007A2E2F" w:rsidRDefault="007A2E2F" w:rsidP="007A2E2F">
      <w:pPr>
        <w:spacing w:after="0"/>
        <w:jc w:val="center"/>
        <w:rPr>
          <w:rFonts w:ascii="Arial Negrita" w:hAnsi="Arial Negrita" w:cs="Arial"/>
          <w:b/>
          <w:bCs/>
          <w:iCs/>
          <w:smallCaps/>
          <w:color w:val="000000" w:themeColor="text1"/>
        </w:rPr>
      </w:pPr>
      <w:r>
        <w:rPr>
          <w:noProof/>
        </w:rPr>
        <w:drawing>
          <wp:inline distT="0" distB="0" distL="0" distR="0" wp14:anchorId="5823355E" wp14:editId="46F130A8">
            <wp:extent cx="5261610" cy="2339162"/>
            <wp:effectExtent l="0" t="0" r="0" b="4445"/>
            <wp:docPr id="51" name="Gráfico 51">
              <a:extLst xmlns:a="http://schemas.openxmlformats.org/drawingml/2006/main">
                <a:ext uri="{FF2B5EF4-FFF2-40B4-BE49-F238E27FC236}">
                  <a16:creationId xmlns:a16="http://schemas.microsoft.com/office/drawing/2014/main" id="{056F55E6-6D6B-40DF-9F0B-2CF6257E3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0A9368B" w14:textId="20C45EA9" w:rsidR="007A2E2F" w:rsidRDefault="007A2E2F" w:rsidP="0091200E">
      <w:pPr>
        <w:pStyle w:val="Default"/>
        <w:spacing w:after="10"/>
        <w:ind w:left="426" w:right="21" w:hanging="426"/>
        <w:jc w:val="both"/>
        <w:rPr>
          <w:color w:val="000000" w:themeColor="text1"/>
          <w:sz w:val="16"/>
        </w:rPr>
      </w:pPr>
      <w:r>
        <w:rPr>
          <w:color w:val="000000" w:themeColor="text1"/>
          <w:sz w:val="16"/>
        </w:rPr>
        <w:t>N</w:t>
      </w:r>
      <w:r w:rsidRPr="00A831A5">
        <w:rPr>
          <w:color w:val="000000" w:themeColor="text1"/>
          <w:sz w:val="16"/>
        </w:rPr>
        <w:t>ota:</w:t>
      </w:r>
      <w:r w:rsidR="0091200E">
        <w:rPr>
          <w:color w:val="000000" w:themeColor="text1"/>
          <w:sz w:val="16"/>
        </w:rPr>
        <w:t xml:space="preserve"> </w:t>
      </w:r>
      <w:r>
        <w:rPr>
          <w:color w:val="000000" w:themeColor="text1"/>
          <w:sz w:val="16"/>
        </w:rPr>
        <w:t>para 2019, l</w:t>
      </w:r>
      <w:r w:rsidRPr="00A831A5">
        <w:rPr>
          <w:color w:val="000000" w:themeColor="text1"/>
          <w:sz w:val="16"/>
        </w:rPr>
        <w:t>a cantidad de procedimientos concluidos es mayor a la de procedimientos iniciados debido a que se incluyen los procedimientos iniciados en años anteriores. Los procedimientos concluidos comenzaron a captarse a partir de 2019</w:t>
      </w:r>
      <w:r>
        <w:rPr>
          <w:color w:val="000000" w:themeColor="text1"/>
          <w:sz w:val="16"/>
        </w:rPr>
        <w:t>.</w:t>
      </w:r>
    </w:p>
    <w:p w14:paraId="069E60F2" w14:textId="77777777" w:rsidR="007A2E2F" w:rsidRDefault="007A2E2F" w:rsidP="007A2E2F">
      <w:pPr>
        <w:pStyle w:val="Default"/>
        <w:spacing w:after="10"/>
        <w:ind w:hanging="426"/>
        <w:jc w:val="both"/>
        <w:rPr>
          <w:color w:val="000000" w:themeColor="text1"/>
          <w:sz w:val="16"/>
        </w:rPr>
      </w:pPr>
    </w:p>
    <w:p w14:paraId="04F9CD5A" w14:textId="77777777" w:rsidR="007A2E2F" w:rsidRPr="00A831A5" w:rsidRDefault="007A2E2F" w:rsidP="007A2E2F">
      <w:pPr>
        <w:spacing w:after="0"/>
        <w:jc w:val="both"/>
        <w:rPr>
          <w:rFonts w:ascii="Arial" w:hAnsi="Arial" w:cs="Arial"/>
          <w:bCs/>
          <w:iCs/>
          <w:noProof/>
          <w:color w:val="000000" w:themeColor="text1"/>
          <w:sz w:val="24"/>
          <w:szCs w:val="24"/>
          <w:lang w:eastAsia="es-MX"/>
        </w:rPr>
      </w:pPr>
    </w:p>
    <w:p w14:paraId="7E47BA53" w14:textId="18CB1623" w:rsidR="007A2E2F" w:rsidRDefault="007A2E2F" w:rsidP="007A2E2F">
      <w:pPr>
        <w:spacing w:after="0"/>
        <w:jc w:val="both"/>
        <w:rPr>
          <w:color w:val="000000" w:themeColor="text1"/>
          <w:sz w:val="16"/>
        </w:rPr>
      </w:pPr>
      <w:r>
        <w:rPr>
          <w:rFonts w:ascii="Arial" w:hAnsi="Arial" w:cs="Arial"/>
          <w:bCs/>
          <w:iCs/>
          <w:noProof/>
          <w:color w:val="000000" w:themeColor="text1"/>
          <w:sz w:val="24"/>
          <w:szCs w:val="24"/>
          <w:lang w:eastAsia="es-MX"/>
        </w:rPr>
        <w:lastRenderedPageBreak/>
        <w:t xml:space="preserve">Respecto </w:t>
      </w:r>
      <w:r w:rsidR="00990306">
        <w:rPr>
          <w:rFonts w:ascii="Arial" w:hAnsi="Arial" w:cs="Arial"/>
          <w:bCs/>
          <w:iCs/>
          <w:noProof/>
          <w:color w:val="000000" w:themeColor="text1"/>
          <w:sz w:val="24"/>
          <w:szCs w:val="24"/>
          <w:lang w:eastAsia="es-MX"/>
        </w:rPr>
        <w:t xml:space="preserve">a </w:t>
      </w:r>
      <w:r>
        <w:rPr>
          <w:rFonts w:ascii="Arial" w:hAnsi="Arial" w:cs="Arial"/>
          <w:bCs/>
          <w:iCs/>
          <w:noProof/>
          <w:color w:val="000000" w:themeColor="text1"/>
          <w:sz w:val="24"/>
          <w:szCs w:val="24"/>
          <w:lang w:eastAsia="es-MX"/>
        </w:rPr>
        <w:t xml:space="preserve">los procedimientos concluidos, </w:t>
      </w:r>
      <w:r w:rsidR="00644807">
        <w:rPr>
          <w:rFonts w:ascii="Arial" w:hAnsi="Arial" w:cs="Arial"/>
          <w:bCs/>
          <w:iCs/>
          <w:noProof/>
          <w:color w:val="000000" w:themeColor="text1"/>
          <w:sz w:val="24"/>
          <w:szCs w:val="24"/>
          <w:lang w:eastAsia="es-MX"/>
        </w:rPr>
        <w:t>el de mayor frecuencia fue</w:t>
      </w:r>
      <w:r w:rsidR="00CD32C2">
        <w:rPr>
          <w:rFonts w:ascii="Arial" w:hAnsi="Arial" w:cs="Arial"/>
          <w:bCs/>
          <w:iCs/>
          <w:noProof/>
          <w:color w:val="000000" w:themeColor="text1"/>
          <w:sz w:val="24"/>
          <w:szCs w:val="24"/>
          <w:lang w:eastAsia="es-MX"/>
        </w:rPr>
        <w:t xml:space="preserve"> </w:t>
      </w:r>
      <w:r w:rsidRPr="00A831A5">
        <w:rPr>
          <w:rFonts w:ascii="Arial" w:hAnsi="Arial" w:cs="Arial"/>
          <w:bCs/>
          <w:i/>
          <w:iCs/>
          <w:noProof/>
          <w:color w:val="000000" w:themeColor="text1"/>
          <w:sz w:val="24"/>
          <w:szCs w:val="24"/>
          <w:lang w:eastAsia="es-MX"/>
        </w:rPr>
        <w:t>Resolución de existencia de responsabilidad administrativa</w:t>
      </w:r>
      <w:r w:rsidRPr="00A831A5">
        <w:rPr>
          <w:color w:val="000000" w:themeColor="text1"/>
          <w:sz w:val="16"/>
        </w:rPr>
        <w:t>.</w:t>
      </w:r>
    </w:p>
    <w:p w14:paraId="444CA822" w14:textId="77777777" w:rsidR="00BA5230" w:rsidRDefault="00BA5230" w:rsidP="007A2E2F">
      <w:pPr>
        <w:spacing w:after="0"/>
        <w:jc w:val="both"/>
        <w:rPr>
          <w:color w:val="000000" w:themeColor="text1"/>
          <w:sz w:val="16"/>
        </w:rPr>
      </w:pPr>
    </w:p>
    <w:p w14:paraId="20C4110B" w14:textId="6817E921" w:rsidR="007A2E2F" w:rsidRDefault="0091200E" w:rsidP="0091200E">
      <w:pPr>
        <w:pStyle w:val="Default"/>
        <w:jc w:val="center"/>
        <w:rPr>
          <w:color w:val="000000" w:themeColor="text1"/>
          <w:sz w:val="16"/>
        </w:rPr>
      </w:pPr>
      <w:r w:rsidRPr="004200B8">
        <w:rPr>
          <w:color w:val="000000" w:themeColor="text1"/>
          <w:sz w:val="20"/>
          <w:szCs w:val="20"/>
        </w:rPr>
        <w:t xml:space="preserve">Gráfica </w:t>
      </w:r>
      <w:r w:rsidR="00BA5230">
        <w:rPr>
          <w:color w:val="000000" w:themeColor="text1"/>
          <w:sz w:val="20"/>
          <w:szCs w:val="20"/>
        </w:rPr>
        <w:t>29</w:t>
      </w:r>
    </w:p>
    <w:p w14:paraId="1D69C263" w14:textId="236BE04E" w:rsidR="00AF0337" w:rsidRPr="00E45DB7" w:rsidRDefault="007A2E2F" w:rsidP="00E45DB7">
      <w:pPr>
        <w:spacing w:after="0"/>
        <w:jc w:val="center"/>
        <w:rPr>
          <w:rFonts w:ascii="Arial Negrita" w:hAnsi="Arial Negrita" w:cs="Arial"/>
          <w:b/>
          <w:bCs/>
          <w:iCs/>
          <w:smallCaps/>
          <w:color w:val="000000" w:themeColor="text1"/>
        </w:rPr>
      </w:pPr>
      <w:r w:rsidRPr="00A831A5">
        <w:rPr>
          <w:rFonts w:ascii="Arial Negrita" w:hAnsi="Arial Negrita" w:cs="Arial"/>
          <w:b/>
          <w:bCs/>
          <w:iCs/>
          <w:smallCaps/>
          <w:color w:val="000000" w:themeColor="text1"/>
        </w:rPr>
        <w:t>Procedimientos de responsabilidad</w:t>
      </w:r>
      <w:r w:rsidR="00BA5230">
        <w:rPr>
          <w:rFonts w:ascii="Arial Negrita" w:hAnsi="Arial Negrita" w:cs="Arial"/>
          <w:b/>
          <w:bCs/>
          <w:iCs/>
          <w:smallCaps/>
          <w:color w:val="000000" w:themeColor="text1"/>
        </w:rPr>
        <w:t xml:space="preserve"> administrativa</w:t>
      </w:r>
      <w:r w:rsidRPr="00A831A5">
        <w:rPr>
          <w:rFonts w:ascii="Arial Negrita" w:hAnsi="Arial Negrita" w:cs="Arial"/>
          <w:b/>
          <w:bCs/>
          <w:iCs/>
          <w:smallCaps/>
          <w:color w:val="000000" w:themeColor="text1"/>
        </w:rPr>
        <w:t xml:space="preserve"> concluidos</w:t>
      </w:r>
    </w:p>
    <w:p w14:paraId="458D3103" w14:textId="4B83C998" w:rsidR="007A2E2F" w:rsidRPr="00E45DB7" w:rsidRDefault="00AF0337" w:rsidP="007A2E2F">
      <w:pPr>
        <w:spacing w:after="0"/>
        <w:jc w:val="center"/>
        <w:rPr>
          <w:rFonts w:ascii="Arial" w:hAnsi="Arial" w:cs="Arial"/>
          <w:bCs/>
          <w:iCs/>
          <w:smallCaps/>
          <w:color w:val="000000" w:themeColor="text1"/>
          <w:sz w:val="18"/>
          <w:szCs w:val="18"/>
        </w:rPr>
      </w:pPr>
      <w:r w:rsidRPr="00E45DB7">
        <w:rPr>
          <w:rFonts w:ascii="Arial" w:hAnsi="Arial" w:cs="Arial"/>
          <w:iCs/>
          <w:smallCaps/>
          <w:color w:val="000000" w:themeColor="text1"/>
          <w:sz w:val="18"/>
          <w:szCs w:val="18"/>
        </w:rPr>
        <w:t>2020</w:t>
      </w:r>
    </w:p>
    <w:p w14:paraId="12F31D54" w14:textId="0DE58E92" w:rsidR="00442960" w:rsidRDefault="007A2E2F" w:rsidP="007A2E2F">
      <w:pPr>
        <w:spacing w:before="46" w:after="0" w:line="276" w:lineRule="auto"/>
        <w:ind w:right="601" w:hanging="28"/>
        <w:jc w:val="both"/>
        <w:rPr>
          <w:rFonts w:ascii="Arial" w:hAnsi="Arial" w:cs="Arial"/>
          <w:sz w:val="24"/>
          <w:szCs w:val="24"/>
        </w:rPr>
      </w:pPr>
      <w:r>
        <w:rPr>
          <w:noProof/>
        </w:rPr>
        <w:drawing>
          <wp:inline distT="0" distB="0" distL="0" distR="0" wp14:anchorId="3958B2B8" wp14:editId="3F4010D0">
            <wp:extent cx="6404610" cy="2417326"/>
            <wp:effectExtent l="0" t="0" r="0" b="2540"/>
            <wp:docPr id="53" name="Gráfico 53">
              <a:extLst xmlns:a="http://schemas.openxmlformats.org/drawingml/2006/main">
                <a:ext uri="{FF2B5EF4-FFF2-40B4-BE49-F238E27FC236}">
                  <a16:creationId xmlns:a16="http://schemas.microsoft.com/office/drawing/2014/main" id="{65DB09B2-90D6-4DB9-86B9-BD4A1DFC4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114F8BC" w14:textId="77777777" w:rsidR="003E15DF" w:rsidRDefault="003E15DF" w:rsidP="003E15DF">
      <w:pPr>
        <w:spacing w:after="0"/>
        <w:ind w:left="-567"/>
        <w:jc w:val="right"/>
        <w:rPr>
          <w:rFonts w:ascii="Arial" w:hAnsi="Arial" w:cs="Arial"/>
          <w:bCs/>
          <w:iCs/>
          <w:smallCaps/>
          <w:color w:val="000000" w:themeColor="text1"/>
          <w:sz w:val="18"/>
        </w:rPr>
      </w:pPr>
    </w:p>
    <w:p w14:paraId="6CD6A4DD" w14:textId="59CD581B" w:rsidR="00E77A06" w:rsidRDefault="00E45DB7" w:rsidP="00837AB2">
      <w:pPr>
        <w:jc w:val="both"/>
        <w:rPr>
          <w:rFonts w:ascii="Arial" w:eastAsia="Times New Roman" w:hAnsi="Arial"/>
        </w:rPr>
      </w:pPr>
      <w:r>
        <w:rPr>
          <w:rFonts w:ascii="Arial" w:hAnsi="Arial" w:cs="Arial"/>
          <w:bCs/>
          <w:iCs/>
          <w:noProof/>
          <w:color w:val="000000" w:themeColor="text1"/>
          <w:sz w:val="24"/>
          <w:szCs w:val="24"/>
          <w:lang w:eastAsia="es-MX"/>
        </w:rPr>
        <w:t>En</w:t>
      </w:r>
      <w:r w:rsidR="00AA3B53">
        <w:rPr>
          <w:rFonts w:ascii="Arial" w:hAnsi="Arial" w:cs="Arial"/>
          <w:bCs/>
          <w:iCs/>
          <w:noProof/>
          <w:color w:val="000000" w:themeColor="text1"/>
          <w:sz w:val="24"/>
          <w:szCs w:val="24"/>
          <w:lang w:eastAsia="es-MX"/>
        </w:rPr>
        <w:t xml:space="preserve"> 2020, 640 servidoras y servidores públicos fueron denunciados ante el Ministerio Público por la presunta comisión de algún delito en el ejercicio de sus funciones. </w:t>
      </w:r>
      <w:r>
        <w:rPr>
          <w:rFonts w:ascii="Arial" w:hAnsi="Arial" w:cs="Arial"/>
          <w:bCs/>
          <w:iCs/>
          <w:noProof/>
          <w:color w:val="000000" w:themeColor="text1"/>
          <w:sz w:val="24"/>
          <w:szCs w:val="24"/>
          <w:lang w:eastAsia="es-MX"/>
        </w:rPr>
        <w:t>L</w:t>
      </w:r>
      <w:r w:rsidR="00AA3B53">
        <w:rPr>
          <w:rFonts w:ascii="Arial" w:hAnsi="Arial" w:cs="Arial"/>
          <w:bCs/>
          <w:iCs/>
          <w:noProof/>
          <w:color w:val="000000" w:themeColor="text1"/>
          <w:sz w:val="24"/>
          <w:szCs w:val="24"/>
          <w:lang w:eastAsia="es-MX"/>
        </w:rPr>
        <w:t>a cantidad de servidores públicos denunciados aumentó 627% en 2020</w:t>
      </w:r>
      <w:r w:rsidR="003854E8">
        <w:rPr>
          <w:rStyle w:val="Refdenotaalpie"/>
          <w:rFonts w:ascii="Arial" w:hAnsi="Arial" w:cs="Arial"/>
          <w:bCs/>
          <w:iCs/>
          <w:noProof/>
          <w:color w:val="000000" w:themeColor="text1"/>
          <w:sz w:val="24"/>
          <w:szCs w:val="24"/>
          <w:lang w:eastAsia="es-MX"/>
        </w:rPr>
        <w:footnoteReference w:id="8"/>
      </w:r>
      <w:r>
        <w:rPr>
          <w:rFonts w:ascii="Arial" w:hAnsi="Arial" w:cs="Arial"/>
          <w:bCs/>
          <w:iCs/>
          <w:noProof/>
          <w:color w:val="000000" w:themeColor="text1"/>
          <w:sz w:val="24"/>
          <w:szCs w:val="24"/>
          <w:lang w:eastAsia="es-MX"/>
        </w:rPr>
        <w:t xml:space="preserve"> con respecto a 2019.</w:t>
      </w:r>
      <w:r w:rsidR="00AA3B53">
        <w:rPr>
          <w:rFonts w:ascii="Arial" w:hAnsi="Arial" w:cs="Arial"/>
          <w:bCs/>
          <w:iCs/>
          <w:noProof/>
          <w:color w:val="000000" w:themeColor="text1"/>
          <w:sz w:val="24"/>
          <w:szCs w:val="24"/>
          <w:lang w:eastAsia="es-MX"/>
        </w:rPr>
        <w:t xml:space="preserve">  </w:t>
      </w:r>
    </w:p>
    <w:p w14:paraId="3E0E3050" w14:textId="5549E35D" w:rsidR="00AA3B53" w:rsidRDefault="00AA3B53" w:rsidP="00AA3B53">
      <w:pPr>
        <w:pStyle w:val="Default"/>
        <w:jc w:val="center"/>
        <w:rPr>
          <w:color w:val="000000" w:themeColor="text1"/>
          <w:sz w:val="16"/>
        </w:rPr>
      </w:pPr>
      <w:r w:rsidRPr="004200B8">
        <w:rPr>
          <w:color w:val="000000" w:themeColor="text1"/>
          <w:sz w:val="20"/>
          <w:szCs w:val="20"/>
        </w:rPr>
        <w:t xml:space="preserve">Gráfica </w:t>
      </w:r>
      <w:r>
        <w:rPr>
          <w:color w:val="000000" w:themeColor="text1"/>
          <w:sz w:val="20"/>
          <w:szCs w:val="20"/>
        </w:rPr>
        <w:t>30</w:t>
      </w:r>
    </w:p>
    <w:p w14:paraId="0323B92F" w14:textId="77777777" w:rsidR="002131C2" w:rsidRDefault="00AA3B53" w:rsidP="00AA3B53">
      <w:pPr>
        <w:spacing w:after="0"/>
        <w:jc w:val="center"/>
        <w:rPr>
          <w:rFonts w:ascii="Arial Negrita" w:hAnsi="Arial Negrita" w:cs="Arial"/>
          <w:b/>
          <w:bCs/>
          <w:iCs/>
          <w:smallCaps/>
          <w:color w:val="000000" w:themeColor="text1"/>
        </w:rPr>
      </w:pPr>
      <w:r>
        <w:rPr>
          <w:rFonts w:ascii="Arial Negrita" w:hAnsi="Arial Negrita" w:cs="Arial"/>
          <w:b/>
          <w:bCs/>
          <w:iCs/>
          <w:smallCaps/>
          <w:color w:val="000000" w:themeColor="text1"/>
        </w:rPr>
        <w:t xml:space="preserve">Servidoras y servidores públicos denunciados </w:t>
      </w:r>
      <w:r w:rsidR="002131C2">
        <w:rPr>
          <w:rFonts w:ascii="Arial Negrita" w:hAnsi="Arial Negrita" w:cs="Arial"/>
          <w:b/>
          <w:bCs/>
          <w:iCs/>
          <w:smallCaps/>
          <w:color w:val="000000" w:themeColor="text1"/>
        </w:rPr>
        <w:t xml:space="preserve">ante el ministerio público </w:t>
      </w:r>
    </w:p>
    <w:p w14:paraId="15EA00E8" w14:textId="0D4AAF0E" w:rsidR="00AA3B53" w:rsidRDefault="00AA3B53" w:rsidP="00AA3B53">
      <w:pPr>
        <w:spacing w:after="0"/>
        <w:jc w:val="center"/>
        <w:rPr>
          <w:rFonts w:ascii="Arial Negrita" w:hAnsi="Arial Negrita" w:cs="Arial"/>
          <w:b/>
          <w:bCs/>
          <w:iCs/>
          <w:smallCaps/>
          <w:color w:val="000000" w:themeColor="text1"/>
        </w:rPr>
      </w:pPr>
      <w:r>
        <w:rPr>
          <w:rFonts w:ascii="Arial Negrita" w:hAnsi="Arial Negrita" w:cs="Arial"/>
          <w:b/>
          <w:bCs/>
          <w:iCs/>
          <w:smallCaps/>
          <w:color w:val="000000" w:themeColor="text1"/>
        </w:rPr>
        <w:t>por la</w:t>
      </w:r>
      <w:r w:rsidR="0076507A">
        <w:rPr>
          <w:rFonts w:ascii="Arial Negrita" w:hAnsi="Arial Negrita" w:cs="Arial"/>
          <w:b/>
          <w:bCs/>
          <w:iCs/>
          <w:smallCaps/>
          <w:color w:val="000000" w:themeColor="text1"/>
        </w:rPr>
        <w:t xml:space="preserve"> </w:t>
      </w:r>
      <w:r>
        <w:rPr>
          <w:rFonts w:ascii="Arial Negrita" w:hAnsi="Arial Negrita" w:cs="Arial"/>
          <w:b/>
          <w:bCs/>
          <w:iCs/>
          <w:smallCaps/>
          <w:color w:val="000000" w:themeColor="text1"/>
        </w:rPr>
        <w:t>presunta comisión de algún delito en el ejercicio de sus funciones</w:t>
      </w:r>
    </w:p>
    <w:p w14:paraId="0EFBFF86" w14:textId="77777777" w:rsidR="00865237" w:rsidRDefault="00865237" w:rsidP="00AA3B53">
      <w:pPr>
        <w:spacing w:after="0"/>
        <w:jc w:val="center"/>
        <w:rPr>
          <w:rFonts w:ascii="Arial Negrita" w:hAnsi="Arial Negrita" w:cs="Arial"/>
          <w:b/>
          <w:iCs/>
          <w:smallCaps/>
          <w:color w:val="000000" w:themeColor="text1"/>
        </w:rPr>
      </w:pPr>
    </w:p>
    <w:p w14:paraId="7D043AED" w14:textId="1146F95E" w:rsidR="00AA3B53" w:rsidRDefault="0004016B" w:rsidP="0004016B">
      <w:pPr>
        <w:spacing w:after="0" w:line="240" w:lineRule="auto"/>
        <w:jc w:val="center"/>
        <w:rPr>
          <w:rFonts w:ascii="Arial" w:eastAsia="Times New Roman" w:hAnsi="Arial" w:cs="Arial"/>
          <w:sz w:val="24"/>
          <w:szCs w:val="24"/>
        </w:rPr>
      </w:pPr>
      <w:r>
        <w:rPr>
          <w:noProof/>
        </w:rPr>
        <w:drawing>
          <wp:inline distT="0" distB="0" distL="0" distR="0" wp14:anchorId="6AD9401F" wp14:editId="5E21213A">
            <wp:extent cx="4595495" cy="1686296"/>
            <wp:effectExtent l="0" t="0" r="0" b="0"/>
            <wp:docPr id="57" name="Gráfico 57">
              <a:extLst xmlns:a="http://schemas.openxmlformats.org/drawingml/2006/main">
                <a:ext uri="{FF2B5EF4-FFF2-40B4-BE49-F238E27FC236}">
                  <a16:creationId xmlns:a16="http://schemas.microsoft.com/office/drawing/2014/main" id="{6FBFE0BD-ECE8-4AC3-82CA-11773FC506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B93A3CF" w14:textId="4A18D34C" w:rsidR="00AA3B53" w:rsidRDefault="00AA3B53" w:rsidP="00306AB2">
      <w:pPr>
        <w:spacing w:after="0" w:line="240" w:lineRule="auto"/>
        <w:jc w:val="both"/>
        <w:rPr>
          <w:rFonts w:ascii="Arial" w:eastAsia="Times New Roman" w:hAnsi="Arial" w:cs="Arial"/>
          <w:sz w:val="24"/>
          <w:szCs w:val="24"/>
        </w:rPr>
      </w:pPr>
    </w:p>
    <w:p w14:paraId="02294B59" w14:textId="77777777" w:rsidR="000A2B8B" w:rsidRDefault="000A2B8B" w:rsidP="003854E8">
      <w:pPr>
        <w:spacing w:after="0" w:line="240" w:lineRule="auto"/>
        <w:jc w:val="both"/>
        <w:rPr>
          <w:rFonts w:ascii="Arial" w:eastAsia="Times New Roman" w:hAnsi="Arial" w:cs="Arial"/>
          <w:sz w:val="24"/>
          <w:szCs w:val="24"/>
        </w:rPr>
      </w:pPr>
    </w:p>
    <w:p w14:paraId="76712B79" w14:textId="77777777" w:rsidR="000A2B8B" w:rsidRDefault="000A2B8B" w:rsidP="003854E8">
      <w:pPr>
        <w:spacing w:after="0" w:line="240" w:lineRule="auto"/>
        <w:jc w:val="both"/>
        <w:rPr>
          <w:rFonts w:ascii="Arial" w:eastAsia="Times New Roman" w:hAnsi="Arial" w:cs="Arial"/>
          <w:sz w:val="24"/>
          <w:szCs w:val="24"/>
        </w:rPr>
      </w:pPr>
    </w:p>
    <w:p w14:paraId="32027A7E" w14:textId="77777777" w:rsidR="000A2B8B" w:rsidRDefault="000A2B8B" w:rsidP="003854E8">
      <w:pPr>
        <w:spacing w:after="0" w:line="240" w:lineRule="auto"/>
        <w:jc w:val="both"/>
        <w:rPr>
          <w:rFonts w:ascii="Arial" w:eastAsia="Times New Roman" w:hAnsi="Arial" w:cs="Arial"/>
          <w:sz w:val="24"/>
          <w:szCs w:val="24"/>
        </w:rPr>
      </w:pPr>
    </w:p>
    <w:p w14:paraId="7B138D8C" w14:textId="6E9DACFE" w:rsidR="003854E8" w:rsidRPr="003854E8" w:rsidRDefault="003854E8" w:rsidP="003854E8">
      <w:pPr>
        <w:spacing w:after="0" w:line="240" w:lineRule="auto"/>
        <w:jc w:val="both"/>
        <w:rPr>
          <w:rFonts w:ascii="Arial" w:eastAsia="Times New Roman" w:hAnsi="Arial" w:cs="Arial"/>
          <w:sz w:val="24"/>
          <w:szCs w:val="24"/>
        </w:rPr>
      </w:pPr>
      <w:r w:rsidRPr="003854E8">
        <w:rPr>
          <w:rFonts w:ascii="Arial" w:eastAsia="Times New Roman" w:hAnsi="Arial" w:cs="Arial"/>
          <w:sz w:val="24"/>
          <w:szCs w:val="24"/>
        </w:rPr>
        <w:lastRenderedPageBreak/>
        <w:t xml:space="preserve">De acuerdo con el tipo de presunto delito asociado, </w:t>
      </w:r>
      <w:r w:rsidRPr="003854E8">
        <w:rPr>
          <w:rFonts w:ascii="Arial" w:eastAsia="Times New Roman" w:hAnsi="Arial" w:cs="Arial"/>
          <w:i/>
          <w:iCs/>
          <w:sz w:val="24"/>
          <w:szCs w:val="24"/>
        </w:rPr>
        <w:t>Abuso de autoridad</w:t>
      </w:r>
      <w:r w:rsidRPr="003854E8">
        <w:rPr>
          <w:rFonts w:ascii="Arial" w:eastAsia="Times New Roman" w:hAnsi="Arial" w:cs="Arial"/>
          <w:sz w:val="24"/>
          <w:szCs w:val="24"/>
        </w:rPr>
        <w:t xml:space="preserve"> fue el de mayor frecuencia (118).</w:t>
      </w:r>
    </w:p>
    <w:p w14:paraId="382A25C0" w14:textId="77777777" w:rsidR="003854E8" w:rsidRPr="003854E8" w:rsidRDefault="003854E8" w:rsidP="003854E8">
      <w:pPr>
        <w:spacing w:after="0" w:line="240" w:lineRule="auto"/>
        <w:jc w:val="both"/>
        <w:rPr>
          <w:rFonts w:ascii="Arial" w:eastAsia="Times New Roman" w:hAnsi="Arial" w:cs="Arial"/>
          <w:sz w:val="24"/>
          <w:szCs w:val="24"/>
        </w:rPr>
      </w:pPr>
    </w:p>
    <w:p w14:paraId="43F71430" w14:textId="77777777" w:rsidR="003854E8" w:rsidRPr="003854E8" w:rsidRDefault="003854E8" w:rsidP="003854E8">
      <w:pPr>
        <w:pStyle w:val="Default"/>
        <w:jc w:val="center"/>
        <w:rPr>
          <w:color w:val="000000" w:themeColor="text1"/>
          <w:sz w:val="16"/>
        </w:rPr>
      </w:pPr>
      <w:r w:rsidRPr="003854E8">
        <w:rPr>
          <w:color w:val="000000" w:themeColor="text1"/>
          <w:sz w:val="20"/>
          <w:szCs w:val="20"/>
        </w:rPr>
        <w:t>Gráfica 31</w:t>
      </w:r>
    </w:p>
    <w:p w14:paraId="78CE3C51" w14:textId="67729416" w:rsidR="003854E8" w:rsidRPr="003854E8" w:rsidRDefault="003854E8" w:rsidP="003854E8">
      <w:pPr>
        <w:spacing w:after="0" w:line="240" w:lineRule="auto"/>
        <w:jc w:val="center"/>
        <w:rPr>
          <w:rFonts w:ascii="Arial Negrita" w:hAnsi="Arial Negrita" w:cs="Arial"/>
          <w:b/>
          <w:bCs/>
          <w:iCs/>
          <w:smallCaps/>
          <w:color w:val="000000" w:themeColor="text1"/>
        </w:rPr>
      </w:pPr>
      <w:r w:rsidRPr="003854E8">
        <w:rPr>
          <w:rFonts w:ascii="Arial Negrita" w:hAnsi="Arial Negrita" w:cs="Arial"/>
          <w:b/>
          <w:bCs/>
          <w:iCs/>
          <w:smallCaps/>
          <w:color w:val="000000" w:themeColor="text1"/>
        </w:rPr>
        <w:t>Servidoras y servidores públicos denunciados</w:t>
      </w:r>
      <w:r w:rsidR="00B96A29">
        <w:rPr>
          <w:rFonts w:ascii="Arial Negrita" w:hAnsi="Arial Negrita" w:cs="Arial"/>
          <w:b/>
          <w:bCs/>
          <w:iCs/>
          <w:smallCaps/>
          <w:color w:val="000000" w:themeColor="text1"/>
        </w:rPr>
        <w:t xml:space="preserve"> ante el ministerio público</w:t>
      </w:r>
      <w:r w:rsidRPr="003854E8">
        <w:rPr>
          <w:rFonts w:ascii="Arial Negrita" w:hAnsi="Arial Negrita" w:cs="Arial"/>
          <w:b/>
          <w:bCs/>
          <w:iCs/>
          <w:smallCaps/>
          <w:color w:val="000000" w:themeColor="text1"/>
        </w:rPr>
        <w:t xml:space="preserve"> por la presunta comisión de algún delito en el ejercicio de sus funciones, según tipo de delito</w:t>
      </w:r>
    </w:p>
    <w:p w14:paraId="1AECE930" w14:textId="77777777" w:rsidR="003854E8" w:rsidRPr="00E45DB7" w:rsidRDefault="003854E8" w:rsidP="003854E8">
      <w:pPr>
        <w:spacing w:after="0" w:line="240" w:lineRule="auto"/>
        <w:jc w:val="center"/>
        <w:rPr>
          <w:rFonts w:ascii="Arial" w:hAnsi="Arial" w:cs="Arial"/>
          <w:bCs/>
          <w:iCs/>
          <w:smallCaps/>
          <w:color w:val="000000" w:themeColor="text1"/>
          <w:sz w:val="18"/>
          <w:szCs w:val="18"/>
        </w:rPr>
      </w:pPr>
      <w:r w:rsidRPr="00E45DB7">
        <w:rPr>
          <w:rFonts w:ascii="Arial" w:hAnsi="Arial" w:cs="Arial"/>
          <w:bCs/>
          <w:iCs/>
          <w:smallCaps/>
          <w:color w:val="000000" w:themeColor="text1"/>
          <w:sz w:val="18"/>
          <w:szCs w:val="18"/>
        </w:rPr>
        <w:t>2020</w:t>
      </w:r>
    </w:p>
    <w:p w14:paraId="0DBA905C" w14:textId="77777777" w:rsidR="003854E8" w:rsidRDefault="003854E8" w:rsidP="003854E8">
      <w:pPr>
        <w:spacing w:after="0" w:line="240" w:lineRule="auto"/>
        <w:jc w:val="right"/>
        <w:rPr>
          <w:rFonts w:ascii="Arial" w:eastAsia="Times New Roman" w:hAnsi="Arial" w:cs="Arial"/>
          <w:szCs w:val="24"/>
        </w:rPr>
      </w:pPr>
      <w:r w:rsidRPr="007924ED">
        <w:rPr>
          <w:rFonts w:ascii="Arial" w:eastAsia="Times New Roman" w:hAnsi="Arial" w:cs="Arial"/>
          <w:noProof/>
          <w:szCs w:val="24"/>
        </w:rPr>
        <w:drawing>
          <wp:inline distT="0" distB="0" distL="0" distR="0" wp14:anchorId="4940DC8F" wp14:editId="567272A1">
            <wp:extent cx="5472430" cy="2245056"/>
            <wp:effectExtent l="0" t="0" r="0" b="0"/>
            <wp:docPr id="56" name="Gráfico 56">
              <a:extLst xmlns:a="http://schemas.openxmlformats.org/drawingml/2006/main">
                <a:ext uri="{FF2B5EF4-FFF2-40B4-BE49-F238E27FC236}">
                  <a16:creationId xmlns:a16="http://schemas.microsoft.com/office/drawing/2014/main" id="{9DF50649-782C-403D-8A57-496DB6F760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5FB316D" w14:textId="77777777" w:rsidR="00846462" w:rsidRDefault="00846462" w:rsidP="00306AB2">
      <w:pPr>
        <w:spacing w:after="0" w:line="240" w:lineRule="auto"/>
        <w:jc w:val="both"/>
        <w:rPr>
          <w:rFonts w:ascii="Arial" w:eastAsia="Times New Roman" w:hAnsi="Arial" w:cs="Arial"/>
          <w:sz w:val="24"/>
          <w:szCs w:val="24"/>
        </w:rPr>
      </w:pPr>
    </w:p>
    <w:p w14:paraId="0BC80101" w14:textId="77777777" w:rsidR="00846462" w:rsidRDefault="00846462" w:rsidP="00306AB2">
      <w:pPr>
        <w:spacing w:after="0" w:line="240" w:lineRule="auto"/>
        <w:jc w:val="both"/>
        <w:rPr>
          <w:rFonts w:ascii="Arial" w:eastAsia="Times New Roman" w:hAnsi="Arial" w:cs="Arial"/>
          <w:sz w:val="24"/>
          <w:szCs w:val="24"/>
        </w:rPr>
      </w:pPr>
    </w:p>
    <w:p w14:paraId="61453156" w14:textId="60A3ED00" w:rsidR="00462B4C" w:rsidRPr="00D115C8" w:rsidRDefault="00D115C8" w:rsidP="00306AB2">
      <w:pPr>
        <w:spacing w:after="0" w:line="240" w:lineRule="auto"/>
        <w:jc w:val="both"/>
        <w:rPr>
          <w:rStyle w:val="Hipervnculo"/>
          <w:rFonts w:ascii="Arial" w:hAnsi="Arial" w:cs="Arial"/>
          <w:color w:val="auto"/>
          <w:spacing w:val="-2"/>
          <w:sz w:val="24"/>
          <w:szCs w:val="24"/>
          <w:u w:val="none"/>
        </w:rPr>
      </w:pPr>
      <w:r w:rsidRPr="00D115C8">
        <w:rPr>
          <w:rFonts w:ascii="Arial" w:eastAsia="Times New Roman" w:hAnsi="Arial" w:cs="Arial"/>
          <w:sz w:val="24"/>
          <w:szCs w:val="24"/>
        </w:rPr>
        <w:t>Puede obtener más información sobre los resultados publicados en este reporte en la página de internet del Instituto</w:t>
      </w:r>
      <w:r w:rsidR="00462B4C" w:rsidRPr="00D115C8">
        <w:rPr>
          <w:rFonts w:ascii="Arial" w:hAnsi="Arial" w:cs="Arial"/>
          <w:spacing w:val="-2"/>
          <w:sz w:val="24"/>
          <w:szCs w:val="24"/>
        </w:rPr>
        <w:t>:</w:t>
      </w:r>
      <w:r>
        <w:rPr>
          <w:rFonts w:ascii="Arial" w:hAnsi="Arial" w:cs="Arial"/>
          <w:spacing w:val="-2"/>
          <w:sz w:val="24"/>
          <w:szCs w:val="24"/>
        </w:rPr>
        <w:t xml:space="preserve"> </w:t>
      </w:r>
      <w:hyperlink r:id="rId39" w:history="1">
        <w:r w:rsidR="003E7FCF" w:rsidRPr="00B4107A">
          <w:rPr>
            <w:rStyle w:val="Hipervnculo"/>
            <w:rFonts w:ascii="Arial" w:hAnsi="Arial" w:cs="Arial"/>
            <w:spacing w:val="-2"/>
            <w:sz w:val="24"/>
            <w:szCs w:val="24"/>
          </w:rPr>
          <w:t>https://www.inegi.org.mx/programas/cngf/2021/</w:t>
        </w:r>
      </w:hyperlink>
    </w:p>
    <w:p w14:paraId="79DB93F8" w14:textId="07E7B87A" w:rsidR="00A056F0" w:rsidRDefault="00A056F0" w:rsidP="00306AB2">
      <w:pPr>
        <w:spacing w:after="0" w:line="240" w:lineRule="auto"/>
        <w:jc w:val="both"/>
        <w:rPr>
          <w:rFonts w:ascii="Arial" w:hAnsi="Arial" w:cs="Arial"/>
          <w:color w:val="FF0000"/>
          <w:spacing w:val="-2"/>
          <w:sz w:val="24"/>
          <w:szCs w:val="24"/>
        </w:rPr>
      </w:pPr>
    </w:p>
    <w:p w14:paraId="5F9CC393" w14:textId="1C07B6C8" w:rsidR="00E77A06" w:rsidRDefault="00E77A06" w:rsidP="00306AB2">
      <w:pPr>
        <w:spacing w:after="0" w:line="240" w:lineRule="auto"/>
        <w:jc w:val="both"/>
        <w:rPr>
          <w:rFonts w:ascii="Arial" w:hAnsi="Arial" w:cs="Arial"/>
          <w:color w:val="FF0000"/>
          <w:spacing w:val="-2"/>
          <w:sz w:val="24"/>
          <w:szCs w:val="24"/>
        </w:rPr>
      </w:pPr>
    </w:p>
    <w:p w14:paraId="6EFBE6AD" w14:textId="50CD7AC0" w:rsidR="00E77A06" w:rsidRDefault="00E77A06" w:rsidP="00306AB2">
      <w:pPr>
        <w:spacing w:after="0" w:line="240" w:lineRule="auto"/>
        <w:jc w:val="both"/>
        <w:rPr>
          <w:rFonts w:ascii="Arial" w:hAnsi="Arial" w:cs="Arial"/>
          <w:color w:val="FF0000"/>
          <w:spacing w:val="-2"/>
          <w:sz w:val="24"/>
          <w:szCs w:val="24"/>
        </w:rPr>
      </w:pPr>
    </w:p>
    <w:p w14:paraId="75EAF3FC" w14:textId="519EFB63" w:rsidR="00E77A06" w:rsidRDefault="00E77A06" w:rsidP="00306AB2">
      <w:pPr>
        <w:spacing w:after="0" w:line="240" w:lineRule="auto"/>
        <w:jc w:val="both"/>
        <w:rPr>
          <w:rFonts w:ascii="Arial" w:hAnsi="Arial" w:cs="Arial"/>
          <w:color w:val="FF0000"/>
          <w:spacing w:val="-2"/>
          <w:sz w:val="24"/>
          <w:szCs w:val="24"/>
        </w:rPr>
      </w:pPr>
    </w:p>
    <w:p w14:paraId="5B1EF415" w14:textId="4D86B1C7" w:rsidR="00E77A06" w:rsidRDefault="00E77A06" w:rsidP="00306AB2">
      <w:pPr>
        <w:spacing w:after="0" w:line="240" w:lineRule="auto"/>
        <w:jc w:val="both"/>
        <w:rPr>
          <w:rFonts w:ascii="Arial" w:hAnsi="Arial" w:cs="Arial"/>
          <w:color w:val="FF0000"/>
          <w:spacing w:val="-2"/>
          <w:sz w:val="24"/>
          <w:szCs w:val="24"/>
        </w:rPr>
      </w:pPr>
    </w:p>
    <w:p w14:paraId="435F0B91" w14:textId="304B7F36" w:rsidR="00E77A06" w:rsidRDefault="00E77A06" w:rsidP="00306AB2">
      <w:pPr>
        <w:spacing w:after="0" w:line="240" w:lineRule="auto"/>
        <w:jc w:val="both"/>
        <w:rPr>
          <w:rFonts w:ascii="Arial" w:hAnsi="Arial" w:cs="Arial"/>
          <w:color w:val="FF0000"/>
          <w:spacing w:val="-2"/>
          <w:sz w:val="24"/>
          <w:szCs w:val="24"/>
        </w:rPr>
      </w:pPr>
    </w:p>
    <w:p w14:paraId="5B5C03AC" w14:textId="77777777" w:rsidR="00E77A06" w:rsidRDefault="00E77A06" w:rsidP="00306AB2">
      <w:pPr>
        <w:spacing w:after="0" w:line="240" w:lineRule="auto"/>
        <w:jc w:val="both"/>
        <w:rPr>
          <w:rFonts w:ascii="Arial" w:hAnsi="Arial" w:cs="Arial"/>
          <w:color w:val="FF0000"/>
          <w:spacing w:val="-2"/>
          <w:sz w:val="24"/>
          <w:szCs w:val="24"/>
        </w:rPr>
      </w:pPr>
    </w:p>
    <w:p w14:paraId="477F0931" w14:textId="77777777" w:rsidR="00A056F0" w:rsidRPr="00270E17" w:rsidRDefault="00A056F0" w:rsidP="00A056F0">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Para consultas de medios y periodistas, contactar a: </w:t>
      </w:r>
      <w:hyperlink r:id="rId40" w:history="1">
        <w:r w:rsidRPr="00270E17">
          <w:rPr>
            <w:rStyle w:val="Hipervnculo"/>
            <w:rFonts w:ascii="Arial" w:hAnsi="Arial" w:cs="Arial"/>
            <w:sz w:val="22"/>
            <w:szCs w:val="22"/>
          </w:rPr>
          <w:t>comunicacionsocial@inegi.org.mx</w:t>
        </w:r>
      </w:hyperlink>
      <w:r w:rsidRPr="00270E17">
        <w:rPr>
          <w:rFonts w:ascii="Arial" w:hAnsi="Arial" w:cs="Arial"/>
          <w:sz w:val="22"/>
          <w:szCs w:val="22"/>
        </w:rPr>
        <w:t xml:space="preserve"> </w:t>
      </w:r>
    </w:p>
    <w:p w14:paraId="12D3F262" w14:textId="77777777" w:rsidR="00A056F0" w:rsidRPr="00270E17" w:rsidRDefault="00A056F0" w:rsidP="00A056F0">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o llamar al teléfono (55) 52-78-10-00, </w:t>
      </w:r>
      <w:proofErr w:type="spellStart"/>
      <w:r w:rsidRPr="00270E17">
        <w:rPr>
          <w:rFonts w:ascii="Arial" w:hAnsi="Arial" w:cs="Arial"/>
          <w:sz w:val="22"/>
          <w:szCs w:val="22"/>
        </w:rPr>
        <w:t>exts</w:t>
      </w:r>
      <w:proofErr w:type="spellEnd"/>
      <w:r w:rsidRPr="00270E17">
        <w:rPr>
          <w:rFonts w:ascii="Arial" w:hAnsi="Arial" w:cs="Arial"/>
          <w:sz w:val="22"/>
          <w:szCs w:val="22"/>
        </w:rPr>
        <w:t>. 1134, 1260 y 1241.</w:t>
      </w:r>
    </w:p>
    <w:p w14:paraId="68066281" w14:textId="77777777" w:rsidR="00A056F0" w:rsidRPr="00270E17" w:rsidRDefault="00A056F0" w:rsidP="00A056F0">
      <w:pPr>
        <w:pStyle w:val="NormalWeb"/>
        <w:spacing w:before="0" w:beforeAutospacing="0" w:after="0" w:afterAutospacing="0"/>
        <w:contextualSpacing/>
        <w:jc w:val="center"/>
        <w:rPr>
          <w:rFonts w:ascii="Arial" w:hAnsi="Arial" w:cs="Arial"/>
          <w:sz w:val="22"/>
          <w:szCs w:val="22"/>
        </w:rPr>
      </w:pPr>
    </w:p>
    <w:p w14:paraId="57FDE4F3" w14:textId="77E6F071" w:rsidR="00A056F0" w:rsidRDefault="00A056F0" w:rsidP="00A056F0">
      <w:pPr>
        <w:contextualSpacing/>
        <w:jc w:val="center"/>
        <w:rPr>
          <w:rFonts w:ascii="Arial" w:hAnsi="Arial" w:cs="Arial"/>
        </w:rPr>
      </w:pPr>
      <w:r w:rsidRPr="00270E17">
        <w:rPr>
          <w:rFonts w:ascii="Arial" w:hAnsi="Arial" w:cs="Arial"/>
        </w:rPr>
        <w:t>Dirección de Atención a Medios/Dirección General Adjunta de Comunicación</w:t>
      </w:r>
    </w:p>
    <w:p w14:paraId="71A3253F" w14:textId="77777777" w:rsidR="00D115C8" w:rsidRPr="00270E17" w:rsidRDefault="00D115C8" w:rsidP="00A056F0">
      <w:pPr>
        <w:contextualSpacing/>
        <w:jc w:val="center"/>
        <w:rPr>
          <w:rFonts w:ascii="Arial" w:hAnsi="Arial" w:cs="Arial"/>
        </w:rPr>
      </w:pPr>
    </w:p>
    <w:p w14:paraId="4245224F" w14:textId="77777777" w:rsidR="00A056F0" w:rsidRPr="00270E17" w:rsidRDefault="00A056F0" w:rsidP="00A056F0">
      <w:pPr>
        <w:contextualSpacing/>
        <w:jc w:val="center"/>
        <w:rPr>
          <w:rFonts w:ascii="Arial" w:hAnsi="Arial" w:cs="Arial"/>
          <w:sz w:val="16"/>
          <w:szCs w:val="24"/>
        </w:rPr>
      </w:pPr>
    </w:p>
    <w:p w14:paraId="7141F6FB" w14:textId="77777777" w:rsidR="00A056F0" w:rsidRPr="00270E17" w:rsidRDefault="00A056F0" w:rsidP="00A056F0">
      <w:pPr>
        <w:ind w:left="-425" w:right="-516"/>
        <w:contextualSpacing/>
        <w:jc w:val="center"/>
        <w:rPr>
          <w:noProof/>
          <w:lang w:eastAsia="es-MX"/>
        </w:rPr>
        <w:sectPr w:rsidR="00A056F0" w:rsidRPr="00270E17" w:rsidSect="0005255F">
          <w:headerReference w:type="even" r:id="rId41"/>
          <w:headerReference w:type="default" r:id="rId42"/>
          <w:footerReference w:type="even" r:id="rId43"/>
          <w:footerReference w:type="default" r:id="rId44"/>
          <w:headerReference w:type="first" r:id="rId45"/>
          <w:footerReference w:type="first" r:id="rId46"/>
          <w:type w:val="continuous"/>
          <w:pgSz w:w="12240" w:h="15840"/>
          <w:pgMar w:top="1702" w:right="1020" w:bottom="993" w:left="1134" w:header="426" w:footer="413" w:gutter="0"/>
          <w:pgNumType w:start="1"/>
          <w:cols w:space="720"/>
        </w:sectPr>
      </w:pPr>
      <w:r w:rsidRPr="00270E17">
        <w:rPr>
          <w:noProof/>
          <w:lang w:eastAsia="es-MX"/>
        </w:rPr>
        <w:drawing>
          <wp:inline distT="0" distB="0" distL="0" distR="0" wp14:anchorId="0AACE390" wp14:editId="25A2BFD7">
            <wp:extent cx="266700" cy="278296"/>
            <wp:effectExtent l="0" t="0" r="0" b="7620"/>
            <wp:docPr id="83" name="Imagen 83" descr="C:\Users\saladeprensa\Desktop\NVOS LOGOS\F.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8314" cy="279980"/>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6FA65B3E" wp14:editId="5C0745F1">
            <wp:extent cx="285750" cy="285750"/>
            <wp:effectExtent l="0" t="0" r="0" b="0"/>
            <wp:docPr id="4" name="Imagen 4" descr="C:\Users\saladeprensa\Desktop\NVOS LOGOS\I.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1E132876" wp14:editId="6003FEA6">
            <wp:extent cx="276225" cy="276225"/>
            <wp:effectExtent l="0" t="0" r="9525" b="9525"/>
            <wp:docPr id="84" name="Imagen 84" descr="C:\Users\saladeprensa\Desktop\NVOS LOGOS\T.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144D0099" wp14:editId="691C9C56">
            <wp:extent cx="285750" cy="285750"/>
            <wp:effectExtent l="0" t="0" r="0" b="0"/>
            <wp:docPr id="85" name="Imagen 85" descr="C:\Users\saladeprensa\Desktop\NVOS LOGOS\Y.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sz w:val="14"/>
          <w:szCs w:val="18"/>
          <w:lang w:eastAsia="es-MX"/>
        </w:rPr>
        <w:drawing>
          <wp:inline distT="0" distB="0" distL="0" distR="0" wp14:anchorId="09A67646" wp14:editId="5214058A">
            <wp:extent cx="2291293" cy="274955"/>
            <wp:effectExtent l="0" t="0" r="0" b="0"/>
            <wp:docPr id="86" name="Imagen 86">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08128" cy="276975"/>
                    </a:xfrm>
                    <a:prstGeom prst="rect">
                      <a:avLst/>
                    </a:prstGeom>
                    <a:noFill/>
                    <a:ln>
                      <a:noFill/>
                    </a:ln>
                  </pic:spPr>
                </pic:pic>
              </a:graphicData>
            </a:graphic>
          </wp:inline>
        </w:drawing>
      </w:r>
    </w:p>
    <w:p w14:paraId="479BB138" w14:textId="3AEA815E" w:rsidR="001D60CA" w:rsidRDefault="001D60CA" w:rsidP="00E45DB7">
      <w:pPr>
        <w:spacing w:after="0" w:line="240" w:lineRule="auto"/>
        <w:jc w:val="both"/>
        <w:rPr>
          <w:rFonts w:ascii="Arial" w:hAnsi="Arial" w:cs="Arial"/>
          <w:color w:val="FF0000"/>
          <w:spacing w:val="-2"/>
          <w:sz w:val="24"/>
          <w:szCs w:val="24"/>
        </w:rPr>
      </w:pPr>
    </w:p>
    <w:p w14:paraId="5171CCB0" w14:textId="15C6581A" w:rsidR="001D60CA" w:rsidRDefault="001D60CA" w:rsidP="00797111">
      <w:pPr>
        <w:spacing w:after="0" w:line="240" w:lineRule="auto"/>
        <w:ind w:left="-567"/>
        <w:jc w:val="both"/>
        <w:rPr>
          <w:rFonts w:ascii="Arial" w:hAnsi="Arial" w:cs="Arial"/>
          <w:color w:val="FF0000"/>
          <w:spacing w:val="-2"/>
          <w:sz w:val="24"/>
          <w:szCs w:val="24"/>
        </w:rPr>
      </w:pPr>
    </w:p>
    <w:p w14:paraId="752EA0F4" w14:textId="18E1A3BC" w:rsidR="001D60CA" w:rsidRDefault="001D60CA" w:rsidP="00797111">
      <w:pPr>
        <w:spacing w:after="0" w:line="240" w:lineRule="auto"/>
        <w:ind w:left="-567"/>
        <w:jc w:val="both"/>
        <w:rPr>
          <w:rFonts w:ascii="Arial" w:hAnsi="Arial" w:cs="Arial"/>
          <w:color w:val="FF0000"/>
          <w:spacing w:val="-2"/>
          <w:sz w:val="24"/>
          <w:szCs w:val="24"/>
        </w:rPr>
      </w:pPr>
    </w:p>
    <w:p w14:paraId="235316C6" w14:textId="459D7B9A" w:rsidR="001D60CA" w:rsidRDefault="001D60CA" w:rsidP="00797111">
      <w:pPr>
        <w:spacing w:after="0" w:line="240" w:lineRule="auto"/>
        <w:ind w:left="-567"/>
        <w:jc w:val="both"/>
        <w:rPr>
          <w:rFonts w:ascii="Arial" w:hAnsi="Arial" w:cs="Arial"/>
          <w:color w:val="FF0000"/>
          <w:spacing w:val="-2"/>
          <w:sz w:val="24"/>
          <w:szCs w:val="24"/>
        </w:rPr>
      </w:pPr>
    </w:p>
    <w:p w14:paraId="459B9C56" w14:textId="7DC95D77" w:rsidR="001D60CA" w:rsidRDefault="001D60CA" w:rsidP="00797111">
      <w:pPr>
        <w:spacing w:after="0" w:line="240" w:lineRule="auto"/>
        <w:ind w:left="-567"/>
        <w:jc w:val="both"/>
        <w:rPr>
          <w:rFonts w:ascii="Arial" w:hAnsi="Arial" w:cs="Arial"/>
          <w:color w:val="FF0000"/>
          <w:spacing w:val="-2"/>
          <w:sz w:val="24"/>
          <w:szCs w:val="24"/>
        </w:rPr>
      </w:pPr>
    </w:p>
    <w:p w14:paraId="31139059" w14:textId="56957262" w:rsidR="001D60CA" w:rsidRDefault="001D60CA" w:rsidP="00797111">
      <w:pPr>
        <w:spacing w:after="0" w:line="240" w:lineRule="auto"/>
        <w:ind w:left="-567"/>
        <w:jc w:val="both"/>
        <w:rPr>
          <w:rFonts w:ascii="Arial" w:hAnsi="Arial" w:cs="Arial"/>
          <w:color w:val="FF0000"/>
          <w:spacing w:val="-2"/>
          <w:sz w:val="24"/>
          <w:szCs w:val="24"/>
        </w:rPr>
      </w:pPr>
    </w:p>
    <w:p w14:paraId="3E520174" w14:textId="6B0E8F89" w:rsidR="001D60CA" w:rsidRDefault="001D60CA" w:rsidP="00797111">
      <w:pPr>
        <w:spacing w:after="0" w:line="240" w:lineRule="auto"/>
        <w:ind w:left="-567"/>
        <w:jc w:val="both"/>
        <w:rPr>
          <w:rFonts w:ascii="Arial" w:hAnsi="Arial" w:cs="Arial"/>
          <w:color w:val="FF0000"/>
          <w:spacing w:val="-2"/>
          <w:sz w:val="24"/>
          <w:szCs w:val="24"/>
        </w:rPr>
      </w:pPr>
    </w:p>
    <w:p w14:paraId="7DF4C105" w14:textId="1C6E0C3A" w:rsidR="00BF58D2" w:rsidRPr="001D0E9F" w:rsidRDefault="00D115C8" w:rsidP="00462B4C">
      <w:pPr>
        <w:pStyle w:val="Default"/>
        <w:ind w:left="-567"/>
        <w:jc w:val="center"/>
        <w:rPr>
          <w:b/>
          <w:bCs/>
          <w:color w:val="000000" w:themeColor="text1"/>
        </w:rPr>
      </w:pPr>
      <w:r w:rsidRPr="001D0E9F">
        <w:rPr>
          <w:b/>
          <w:bCs/>
          <w:color w:val="000000" w:themeColor="text1"/>
        </w:rPr>
        <w:lastRenderedPageBreak/>
        <w:t>ANEXO</w:t>
      </w:r>
    </w:p>
    <w:p w14:paraId="44D7D9A6" w14:textId="27C58135" w:rsidR="00D115C8" w:rsidRPr="001D0E9F" w:rsidRDefault="00D115C8" w:rsidP="00462B4C">
      <w:pPr>
        <w:pStyle w:val="Default"/>
        <w:ind w:left="-567"/>
        <w:jc w:val="center"/>
        <w:rPr>
          <w:b/>
          <w:bCs/>
          <w:color w:val="000000" w:themeColor="text1"/>
        </w:rPr>
      </w:pPr>
    </w:p>
    <w:p w14:paraId="5EFAA82B" w14:textId="3D1AB624" w:rsidR="00D115C8" w:rsidRPr="001D0E9F" w:rsidRDefault="00D115C8" w:rsidP="00462B4C">
      <w:pPr>
        <w:pStyle w:val="Default"/>
        <w:ind w:left="-567"/>
        <w:jc w:val="center"/>
        <w:rPr>
          <w:b/>
          <w:bCs/>
          <w:color w:val="000000" w:themeColor="text1"/>
        </w:rPr>
      </w:pPr>
      <w:r w:rsidRPr="001D0E9F">
        <w:rPr>
          <w:b/>
          <w:bCs/>
          <w:color w:val="000000" w:themeColor="text1"/>
        </w:rPr>
        <w:t>NOTA TÉCNICA</w:t>
      </w:r>
    </w:p>
    <w:p w14:paraId="6098E72B" w14:textId="77777777" w:rsidR="00BF58D2" w:rsidRPr="001D0E9F" w:rsidRDefault="00BF58D2" w:rsidP="00BF58D2">
      <w:pPr>
        <w:autoSpaceDE w:val="0"/>
        <w:autoSpaceDN w:val="0"/>
        <w:adjustRightInd w:val="0"/>
        <w:spacing w:after="0" w:line="240" w:lineRule="auto"/>
        <w:ind w:left="-567"/>
        <w:jc w:val="center"/>
        <w:rPr>
          <w:rFonts w:ascii="Arial" w:hAnsi="Arial" w:cs="Arial"/>
          <w:b/>
          <w:bCs/>
          <w:sz w:val="24"/>
          <w:szCs w:val="24"/>
        </w:rPr>
      </w:pPr>
    </w:p>
    <w:p w14:paraId="64E9387B" w14:textId="331E69F5" w:rsidR="00BF58D2" w:rsidRPr="001D0E9F" w:rsidRDefault="00D115C8" w:rsidP="00E45DB7">
      <w:pPr>
        <w:pStyle w:val="Prrafodelista"/>
        <w:autoSpaceDE w:val="0"/>
        <w:autoSpaceDN w:val="0"/>
        <w:adjustRightInd w:val="0"/>
        <w:spacing w:after="0" w:line="240" w:lineRule="auto"/>
        <w:ind w:left="-567"/>
        <w:jc w:val="both"/>
        <w:rPr>
          <w:rFonts w:ascii="Arial" w:hAnsi="Arial" w:cs="Arial"/>
          <w:bCs/>
          <w:sz w:val="24"/>
          <w:szCs w:val="24"/>
        </w:rPr>
      </w:pPr>
      <w:r w:rsidRPr="001D0E9F">
        <w:rPr>
          <w:rFonts w:ascii="Arial" w:hAnsi="Arial" w:cs="Arial"/>
          <w:bCs/>
          <w:sz w:val="24"/>
          <w:szCs w:val="24"/>
        </w:rPr>
        <w:t xml:space="preserve">El Censo Nacional de </w:t>
      </w:r>
      <w:r w:rsidR="00E70C23">
        <w:rPr>
          <w:rFonts w:ascii="Arial" w:hAnsi="Arial" w:cs="Arial"/>
          <w:bCs/>
          <w:sz w:val="24"/>
          <w:szCs w:val="24"/>
        </w:rPr>
        <w:t>Gobierno Federal</w:t>
      </w:r>
      <w:r w:rsidRPr="001D0E9F">
        <w:rPr>
          <w:rFonts w:ascii="Arial" w:hAnsi="Arial" w:cs="Arial"/>
          <w:bCs/>
          <w:sz w:val="24"/>
          <w:szCs w:val="24"/>
        </w:rPr>
        <w:t xml:space="preserve"> (CNG</w:t>
      </w:r>
      <w:r w:rsidR="00E70C23">
        <w:rPr>
          <w:rFonts w:ascii="Arial" w:hAnsi="Arial" w:cs="Arial"/>
          <w:bCs/>
          <w:sz w:val="24"/>
          <w:szCs w:val="24"/>
        </w:rPr>
        <w:t>F</w:t>
      </w:r>
      <w:r w:rsidRPr="001D0E9F">
        <w:rPr>
          <w:rFonts w:ascii="Arial" w:hAnsi="Arial" w:cs="Arial"/>
          <w:bCs/>
          <w:sz w:val="24"/>
          <w:szCs w:val="24"/>
        </w:rPr>
        <w:t>) es u</w:t>
      </w:r>
      <w:r w:rsidR="00BF58D2" w:rsidRPr="001D0E9F">
        <w:rPr>
          <w:rFonts w:ascii="Arial" w:hAnsi="Arial" w:cs="Arial"/>
          <w:bCs/>
          <w:sz w:val="24"/>
          <w:szCs w:val="24"/>
        </w:rPr>
        <w:t xml:space="preserve">n programa estadístico que se realiza en el ámbito </w:t>
      </w:r>
      <w:r w:rsidR="00E70C23">
        <w:rPr>
          <w:rFonts w:ascii="Arial" w:hAnsi="Arial" w:cs="Arial"/>
          <w:bCs/>
          <w:sz w:val="24"/>
          <w:szCs w:val="24"/>
        </w:rPr>
        <w:t>federal</w:t>
      </w:r>
      <w:r w:rsidR="00BF58D2" w:rsidRPr="001D0E9F">
        <w:rPr>
          <w:rFonts w:ascii="Arial" w:hAnsi="Arial" w:cs="Arial"/>
          <w:bCs/>
          <w:sz w:val="24"/>
          <w:szCs w:val="24"/>
        </w:rPr>
        <w:t xml:space="preserve"> del Estado mexicano</w:t>
      </w:r>
      <w:r w:rsidRPr="001D0E9F">
        <w:rPr>
          <w:rFonts w:ascii="Arial" w:hAnsi="Arial" w:cs="Arial"/>
          <w:bCs/>
          <w:sz w:val="24"/>
          <w:szCs w:val="24"/>
        </w:rPr>
        <w:t xml:space="preserve"> y </w:t>
      </w:r>
      <w:r w:rsidR="00BF58D2" w:rsidRPr="001D0E9F">
        <w:rPr>
          <w:rFonts w:ascii="Arial" w:hAnsi="Arial" w:cs="Arial"/>
          <w:bCs/>
          <w:sz w:val="24"/>
          <w:szCs w:val="24"/>
        </w:rPr>
        <w:t>ofrec</w:t>
      </w:r>
      <w:r w:rsidRPr="001D0E9F">
        <w:rPr>
          <w:rFonts w:ascii="Arial" w:hAnsi="Arial" w:cs="Arial"/>
          <w:bCs/>
          <w:sz w:val="24"/>
          <w:szCs w:val="24"/>
        </w:rPr>
        <w:t>e</w:t>
      </w:r>
      <w:r w:rsidR="00BF58D2" w:rsidRPr="001D0E9F">
        <w:rPr>
          <w:rFonts w:ascii="Arial" w:hAnsi="Arial" w:cs="Arial"/>
          <w:bCs/>
          <w:sz w:val="24"/>
          <w:szCs w:val="24"/>
        </w:rPr>
        <w:t xml:space="preserve"> información sobre la estructura, organización, recursos y ejercicio de la función de las instituciones que integran a la </w:t>
      </w:r>
      <w:r w:rsidR="00E70C23" w:rsidRPr="00E70C23">
        <w:rPr>
          <w:rFonts w:ascii="Arial" w:hAnsi="Arial" w:cs="Arial"/>
          <w:bCs/>
          <w:sz w:val="24"/>
          <w:szCs w:val="24"/>
        </w:rPr>
        <w:t>Administración Pública Federal</w:t>
      </w:r>
      <w:r w:rsidR="00B96A29">
        <w:rPr>
          <w:rStyle w:val="Refdenotaalpie"/>
          <w:rFonts w:ascii="Arial" w:hAnsi="Arial" w:cs="Arial"/>
          <w:sz w:val="24"/>
          <w:szCs w:val="24"/>
        </w:rPr>
        <w:footnoteReference w:id="9"/>
      </w:r>
      <w:r w:rsidR="0076507A">
        <w:rPr>
          <w:rFonts w:ascii="Arial" w:hAnsi="Arial" w:cs="Arial"/>
          <w:bCs/>
          <w:sz w:val="24"/>
          <w:szCs w:val="24"/>
        </w:rPr>
        <w:t>.</w:t>
      </w:r>
    </w:p>
    <w:p w14:paraId="6228BB0C" w14:textId="77777777" w:rsidR="00BF58D2" w:rsidRPr="001D0E9F" w:rsidRDefault="00BF58D2" w:rsidP="00E45DB7">
      <w:pPr>
        <w:pStyle w:val="Prrafodelista"/>
        <w:autoSpaceDE w:val="0"/>
        <w:autoSpaceDN w:val="0"/>
        <w:adjustRightInd w:val="0"/>
        <w:spacing w:after="0" w:line="240" w:lineRule="auto"/>
        <w:ind w:left="709"/>
        <w:jc w:val="both"/>
        <w:rPr>
          <w:rFonts w:ascii="Arial" w:hAnsi="Arial" w:cs="Arial"/>
          <w:b/>
          <w:bCs/>
          <w:color w:val="FF0000"/>
          <w:sz w:val="24"/>
          <w:szCs w:val="24"/>
        </w:rPr>
      </w:pPr>
    </w:p>
    <w:p w14:paraId="5535F47A" w14:textId="12DB3B56" w:rsidR="00D115C8" w:rsidRPr="001D0E9F" w:rsidRDefault="008828B3" w:rsidP="00E45DB7">
      <w:pPr>
        <w:spacing w:after="0" w:line="240" w:lineRule="auto"/>
        <w:ind w:left="-567"/>
        <w:jc w:val="both"/>
        <w:rPr>
          <w:rFonts w:ascii="Arial" w:hAnsi="Arial" w:cs="Arial"/>
          <w:sz w:val="24"/>
          <w:szCs w:val="24"/>
        </w:rPr>
      </w:pPr>
      <w:r w:rsidRPr="001D0E9F">
        <w:rPr>
          <w:rFonts w:ascii="Arial" w:hAnsi="Arial" w:cs="Arial"/>
          <w:sz w:val="24"/>
          <w:szCs w:val="24"/>
        </w:rPr>
        <w:t>Los resultados del CNG</w:t>
      </w:r>
      <w:r w:rsidR="00E70C23">
        <w:rPr>
          <w:rFonts w:ascii="Arial" w:hAnsi="Arial" w:cs="Arial"/>
          <w:sz w:val="24"/>
          <w:szCs w:val="24"/>
        </w:rPr>
        <w:t>F</w:t>
      </w:r>
      <w:r w:rsidRPr="001D0E9F">
        <w:rPr>
          <w:rFonts w:ascii="Arial" w:hAnsi="Arial" w:cs="Arial"/>
          <w:sz w:val="24"/>
          <w:szCs w:val="24"/>
        </w:rPr>
        <w:t xml:space="preserve"> 2021 integran información correspondiente a </w:t>
      </w:r>
      <w:r w:rsidR="00E70C23" w:rsidRPr="00E70C23">
        <w:rPr>
          <w:rFonts w:ascii="Arial" w:hAnsi="Arial" w:cs="Arial"/>
          <w:sz w:val="24"/>
          <w:szCs w:val="24"/>
        </w:rPr>
        <w:t>2020</w:t>
      </w:r>
      <w:r w:rsidR="00846462">
        <w:rPr>
          <w:rStyle w:val="Refdenotaalpie"/>
          <w:rFonts w:ascii="Arial" w:hAnsi="Arial" w:cs="Arial"/>
          <w:sz w:val="24"/>
          <w:szCs w:val="24"/>
        </w:rPr>
        <w:footnoteReference w:id="10"/>
      </w:r>
      <w:r w:rsidR="0076507A">
        <w:rPr>
          <w:rFonts w:ascii="Arial" w:hAnsi="Arial" w:cs="Arial"/>
          <w:sz w:val="24"/>
          <w:szCs w:val="24"/>
        </w:rPr>
        <w:t>.</w:t>
      </w:r>
    </w:p>
    <w:p w14:paraId="0E651286" w14:textId="5684536E" w:rsidR="00D115C8" w:rsidRPr="001D0E9F" w:rsidRDefault="00D115C8" w:rsidP="00E45DB7">
      <w:pPr>
        <w:spacing w:after="0" w:line="240" w:lineRule="auto"/>
        <w:ind w:left="-567"/>
        <w:jc w:val="both"/>
        <w:rPr>
          <w:rFonts w:ascii="Arial" w:hAnsi="Arial" w:cs="Arial"/>
          <w:sz w:val="24"/>
          <w:szCs w:val="24"/>
        </w:rPr>
      </w:pPr>
    </w:p>
    <w:p w14:paraId="5AE59E6C" w14:textId="64768313" w:rsidR="00D115C8" w:rsidRPr="001D0E9F" w:rsidRDefault="00D115C8" w:rsidP="00E45DB7">
      <w:pPr>
        <w:ind w:left="-567"/>
        <w:jc w:val="both"/>
        <w:rPr>
          <w:rFonts w:ascii="Arial" w:hAnsi="Arial" w:cs="Arial"/>
          <w:sz w:val="24"/>
          <w:szCs w:val="24"/>
        </w:rPr>
      </w:pPr>
      <w:r w:rsidRPr="001D0E9F">
        <w:rPr>
          <w:rFonts w:ascii="Arial" w:hAnsi="Arial" w:cs="Arial"/>
          <w:sz w:val="24"/>
          <w:szCs w:val="24"/>
        </w:rPr>
        <w:t xml:space="preserve">La unidad de análisis son las instituciones que integran a la Administración Pública </w:t>
      </w:r>
      <w:r w:rsidR="00E70C23">
        <w:rPr>
          <w:rFonts w:ascii="Arial" w:hAnsi="Arial" w:cs="Arial"/>
          <w:sz w:val="24"/>
          <w:szCs w:val="24"/>
        </w:rPr>
        <w:t>Centralizada</w:t>
      </w:r>
      <w:r w:rsidR="002F5D3F">
        <w:rPr>
          <w:rFonts w:ascii="Arial" w:hAnsi="Arial" w:cs="Arial"/>
          <w:sz w:val="24"/>
          <w:szCs w:val="24"/>
        </w:rPr>
        <w:t xml:space="preserve"> y</w:t>
      </w:r>
      <w:r w:rsidR="00E70C23">
        <w:rPr>
          <w:rFonts w:ascii="Arial" w:hAnsi="Arial" w:cs="Arial"/>
          <w:sz w:val="24"/>
          <w:szCs w:val="24"/>
        </w:rPr>
        <w:t xml:space="preserve"> Paraestatal, así como </w:t>
      </w:r>
      <w:r w:rsidR="00E70C23" w:rsidRPr="00E70C23">
        <w:rPr>
          <w:rFonts w:ascii="Arial" w:hAnsi="Arial" w:cs="Arial"/>
          <w:sz w:val="24"/>
          <w:szCs w:val="24"/>
        </w:rPr>
        <w:t>Empresas productivas del Estado y sus empresas subsidiarias</w:t>
      </w:r>
      <w:r w:rsidR="0076507A">
        <w:rPr>
          <w:rFonts w:ascii="Arial" w:hAnsi="Arial" w:cs="Arial"/>
          <w:sz w:val="24"/>
          <w:szCs w:val="24"/>
        </w:rPr>
        <w:t>.</w:t>
      </w:r>
    </w:p>
    <w:p w14:paraId="60F9B602" w14:textId="436E7C65" w:rsidR="00D115C8" w:rsidRDefault="001D60CA" w:rsidP="008828B3">
      <w:pPr>
        <w:spacing w:after="0" w:line="240" w:lineRule="auto"/>
        <w:ind w:left="-567"/>
        <w:jc w:val="both"/>
        <w:rPr>
          <w:rFonts w:ascii="Arial" w:hAnsi="Arial" w:cs="Arial"/>
          <w:sz w:val="24"/>
          <w:szCs w:val="24"/>
        </w:rPr>
      </w:pPr>
      <w:r>
        <w:rPr>
          <w:rFonts w:ascii="Arial" w:hAnsi="Arial" w:cs="Arial"/>
          <w:sz w:val="24"/>
          <w:szCs w:val="24"/>
        </w:rPr>
        <w:t>El CNGF se compone de siete cuestionarios divididos en cinco módulos, conforme a los temas que aborda el programa estadístico.</w:t>
      </w:r>
    </w:p>
    <w:p w14:paraId="0C1E77DA" w14:textId="77777777" w:rsidR="001D60CA" w:rsidRPr="001D0E9F" w:rsidRDefault="001D60CA" w:rsidP="008828B3">
      <w:pPr>
        <w:spacing w:after="0" w:line="240" w:lineRule="auto"/>
        <w:ind w:left="-567"/>
        <w:jc w:val="both"/>
        <w:rPr>
          <w:rFonts w:ascii="Arial" w:hAnsi="Arial" w:cs="Arial"/>
          <w:sz w:val="24"/>
          <w:szCs w:val="24"/>
        </w:rPr>
      </w:pPr>
    </w:p>
    <w:p w14:paraId="4B792A12" w14:textId="74B1FEE7" w:rsidR="008828B3" w:rsidRDefault="00D115C8" w:rsidP="008828B3">
      <w:pPr>
        <w:spacing w:after="0" w:line="240" w:lineRule="auto"/>
        <w:ind w:left="-567"/>
        <w:jc w:val="both"/>
        <w:rPr>
          <w:rFonts w:ascii="Arial" w:hAnsi="Arial" w:cs="Arial"/>
          <w:sz w:val="24"/>
          <w:szCs w:val="24"/>
        </w:rPr>
      </w:pPr>
      <w:r w:rsidRPr="001D0E9F">
        <w:rPr>
          <w:rFonts w:ascii="Arial" w:hAnsi="Arial" w:cs="Arial"/>
          <w:sz w:val="24"/>
          <w:szCs w:val="24"/>
        </w:rPr>
        <w:t xml:space="preserve">Los resultados se </w:t>
      </w:r>
      <w:r w:rsidR="008828B3" w:rsidRPr="001D0E9F">
        <w:rPr>
          <w:rFonts w:ascii="Arial" w:hAnsi="Arial" w:cs="Arial"/>
          <w:sz w:val="24"/>
          <w:szCs w:val="24"/>
        </w:rPr>
        <w:t>presenta</w:t>
      </w:r>
      <w:r w:rsidRPr="001D0E9F">
        <w:rPr>
          <w:rFonts w:ascii="Arial" w:hAnsi="Arial" w:cs="Arial"/>
          <w:sz w:val="24"/>
          <w:szCs w:val="24"/>
        </w:rPr>
        <w:t>n</w:t>
      </w:r>
      <w:r w:rsidR="008828B3" w:rsidRPr="001D0E9F">
        <w:rPr>
          <w:rFonts w:ascii="Arial" w:hAnsi="Arial" w:cs="Arial"/>
          <w:sz w:val="24"/>
          <w:szCs w:val="24"/>
        </w:rPr>
        <w:t xml:space="preserve"> </w:t>
      </w:r>
      <w:r w:rsidR="00590A70">
        <w:rPr>
          <w:rFonts w:ascii="Arial" w:hAnsi="Arial" w:cs="Arial"/>
          <w:sz w:val="24"/>
          <w:szCs w:val="24"/>
        </w:rPr>
        <w:t>en</w:t>
      </w:r>
      <w:r w:rsidR="00590A70" w:rsidRPr="00D115C8">
        <w:rPr>
          <w:rFonts w:ascii="Arial" w:eastAsia="Times New Roman" w:hAnsi="Arial" w:cs="Arial"/>
          <w:sz w:val="24"/>
          <w:szCs w:val="24"/>
        </w:rPr>
        <w:t xml:space="preserve"> la página de internet del Instituto</w:t>
      </w:r>
      <w:r w:rsidR="00590A70" w:rsidRPr="00D115C8">
        <w:rPr>
          <w:rFonts w:ascii="Arial" w:hAnsi="Arial" w:cs="Arial"/>
          <w:spacing w:val="-2"/>
          <w:sz w:val="24"/>
          <w:szCs w:val="24"/>
        </w:rPr>
        <w:t>:</w:t>
      </w:r>
      <w:r w:rsidR="00590A70">
        <w:rPr>
          <w:rFonts w:ascii="Arial" w:hAnsi="Arial" w:cs="Arial"/>
          <w:spacing w:val="-2"/>
          <w:sz w:val="24"/>
          <w:szCs w:val="24"/>
        </w:rPr>
        <w:t xml:space="preserve"> </w:t>
      </w:r>
      <w:hyperlink r:id="rId57" w:history="1">
        <w:r w:rsidR="003E7FCF" w:rsidRPr="00B4107A">
          <w:rPr>
            <w:rStyle w:val="Hipervnculo"/>
            <w:rFonts w:ascii="Arial" w:hAnsi="Arial" w:cs="Arial"/>
            <w:spacing w:val="-2"/>
            <w:sz w:val="24"/>
            <w:szCs w:val="24"/>
          </w:rPr>
          <w:t>https://www.inegi.org.mx/programas/cngf/2021/</w:t>
        </w:r>
      </w:hyperlink>
      <w:r w:rsidR="00590A70">
        <w:rPr>
          <w:rFonts w:ascii="Arial" w:hAnsi="Arial" w:cs="Arial"/>
          <w:sz w:val="24"/>
          <w:szCs w:val="24"/>
        </w:rPr>
        <w:t xml:space="preserve"> </w:t>
      </w:r>
      <w:r w:rsidR="008828B3" w:rsidRPr="001D0E9F">
        <w:rPr>
          <w:rFonts w:ascii="Arial" w:hAnsi="Arial" w:cs="Arial"/>
          <w:sz w:val="24"/>
          <w:szCs w:val="24"/>
        </w:rPr>
        <w:t xml:space="preserve">mediante cuadros estadísticos organizados en </w:t>
      </w:r>
      <w:bookmarkStart w:id="1" w:name="_Hlk58488204"/>
      <w:r w:rsidR="008828B3" w:rsidRPr="001D0E9F">
        <w:rPr>
          <w:rFonts w:ascii="Arial" w:hAnsi="Arial" w:cs="Arial"/>
          <w:sz w:val="24"/>
          <w:szCs w:val="24"/>
        </w:rPr>
        <w:t xml:space="preserve">los siguientes apartados: </w:t>
      </w:r>
      <w:bookmarkEnd w:id="1"/>
      <w:r w:rsidR="008828B3" w:rsidRPr="001D0E9F">
        <w:rPr>
          <w:rFonts w:ascii="Arial" w:hAnsi="Arial" w:cs="Arial"/>
          <w:sz w:val="24"/>
          <w:szCs w:val="24"/>
        </w:rPr>
        <w:t>Estructura organizacional y recursos; Trámites y servicios; Control interno y anticorrupción; Administración de archivos y gestión documental</w:t>
      </w:r>
      <w:r w:rsidR="002F5D3F">
        <w:rPr>
          <w:rFonts w:ascii="Arial" w:hAnsi="Arial" w:cs="Arial"/>
          <w:sz w:val="24"/>
          <w:szCs w:val="24"/>
        </w:rPr>
        <w:t>.</w:t>
      </w:r>
    </w:p>
    <w:p w14:paraId="6B8CE0F9" w14:textId="169F9071" w:rsidR="002F5D3F" w:rsidRDefault="002F5D3F" w:rsidP="008828B3">
      <w:pPr>
        <w:spacing w:after="0" w:line="240" w:lineRule="auto"/>
        <w:ind w:left="-567"/>
        <w:jc w:val="both"/>
        <w:rPr>
          <w:rFonts w:ascii="Arial" w:hAnsi="Arial" w:cs="Arial"/>
          <w:sz w:val="24"/>
          <w:szCs w:val="24"/>
        </w:rPr>
      </w:pPr>
    </w:p>
    <w:p w14:paraId="4D11DA55" w14:textId="4A22812E" w:rsidR="00462B4C" w:rsidRPr="001D0E9F" w:rsidRDefault="00462B4C" w:rsidP="00462B4C">
      <w:pPr>
        <w:spacing w:after="0"/>
        <w:ind w:left="-567"/>
        <w:rPr>
          <w:rFonts w:ascii="Arial Negrita" w:hAnsi="Arial Negrita" w:cs="Arial"/>
          <w:b/>
          <w:bCs/>
          <w:iCs/>
          <w:smallCaps/>
          <w:noProof/>
          <w:sz w:val="24"/>
          <w:szCs w:val="24"/>
          <w:lang w:eastAsia="es-MX"/>
        </w:rPr>
      </w:pPr>
      <w:r w:rsidRPr="001D0E9F">
        <w:rPr>
          <w:rFonts w:ascii="Arial Negrita" w:hAnsi="Arial Negrita" w:cs="Arial"/>
          <w:b/>
          <w:bCs/>
          <w:iCs/>
          <w:smallCaps/>
          <w:noProof/>
          <w:sz w:val="24"/>
          <w:szCs w:val="24"/>
          <w:lang w:eastAsia="es-MX"/>
        </w:rPr>
        <w:t>Productos y documentos del CN</w:t>
      </w:r>
      <w:r w:rsidR="00636233" w:rsidRPr="001D0E9F">
        <w:rPr>
          <w:rFonts w:ascii="Arial Negrita" w:hAnsi="Arial Negrita" w:cs="Arial"/>
          <w:b/>
          <w:bCs/>
          <w:iCs/>
          <w:smallCaps/>
          <w:noProof/>
          <w:sz w:val="24"/>
          <w:szCs w:val="24"/>
          <w:lang w:eastAsia="es-MX"/>
        </w:rPr>
        <w:t>G</w:t>
      </w:r>
      <w:r w:rsidR="003E7FCF">
        <w:rPr>
          <w:rFonts w:ascii="Arial Negrita" w:hAnsi="Arial Negrita" w:cs="Arial"/>
          <w:b/>
          <w:bCs/>
          <w:iCs/>
          <w:smallCaps/>
          <w:noProof/>
          <w:sz w:val="24"/>
          <w:szCs w:val="24"/>
          <w:lang w:eastAsia="es-MX"/>
        </w:rPr>
        <w:t>F</w:t>
      </w:r>
      <w:r w:rsidRPr="001D0E9F">
        <w:rPr>
          <w:rFonts w:ascii="Arial Negrita" w:hAnsi="Arial Negrita" w:cs="Arial"/>
          <w:b/>
          <w:bCs/>
          <w:iCs/>
          <w:smallCaps/>
          <w:noProof/>
          <w:sz w:val="24"/>
          <w:szCs w:val="24"/>
          <w:lang w:eastAsia="es-MX"/>
        </w:rPr>
        <w:t xml:space="preserve"> 2021</w:t>
      </w:r>
    </w:p>
    <w:p w14:paraId="40F1D1B6" w14:textId="77777777" w:rsidR="00462B4C" w:rsidRPr="00642A24" w:rsidRDefault="00462B4C" w:rsidP="00462B4C">
      <w:pPr>
        <w:autoSpaceDE w:val="0"/>
        <w:autoSpaceDN w:val="0"/>
        <w:adjustRightInd w:val="0"/>
        <w:spacing w:after="0" w:line="240" w:lineRule="auto"/>
        <w:rPr>
          <w:rFonts w:ascii="Arial" w:hAnsi="Arial" w:cs="Arial"/>
        </w:rPr>
      </w:pPr>
    </w:p>
    <w:p w14:paraId="1806FD00" w14:textId="4F7F833E" w:rsidR="00462B4C" w:rsidRPr="00642A24" w:rsidRDefault="00462B4C" w:rsidP="00462B4C">
      <w:pPr>
        <w:autoSpaceDE w:val="0"/>
        <w:autoSpaceDN w:val="0"/>
        <w:adjustRightInd w:val="0"/>
        <w:spacing w:after="0" w:line="240" w:lineRule="auto"/>
        <w:ind w:left="-567"/>
        <w:jc w:val="both"/>
        <w:rPr>
          <w:rFonts w:ascii="Arial" w:hAnsi="Arial" w:cs="Arial"/>
          <w:sz w:val="24"/>
          <w:szCs w:val="24"/>
        </w:rPr>
      </w:pPr>
      <w:r w:rsidRPr="00642A24">
        <w:rPr>
          <w:rFonts w:ascii="Arial" w:hAnsi="Arial" w:cs="Arial"/>
          <w:sz w:val="24"/>
          <w:szCs w:val="24"/>
        </w:rPr>
        <w:t>Los productos y documentos derivados del CN</w:t>
      </w:r>
      <w:r w:rsidR="00636233">
        <w:rPr>
          <w:rFonts w:ascii="Arial" w:hAnsi="Arial" w:cs="Arial"/>
          <w:sz w:val="24"/>
          <w:szCs w:val="24"/>
        </w:rPr>
        <w:t>G</w:t>
      </w:r>
      <w:r w:rsidR="003E7FCF">
        <w:rPr>
          <w:rFonts w:ascii="Arial" w:hAnsi="Arial" w:cs="Arial"/>
          <w:sz w:val="24"/>
          <w:szCs w:val="24"/>
        </w:rPr>
        <w:t>F</w:t>
      </w:r>
      <w:r w:rsidRPr="00642A24">
        <w:rPr>
          <w:rFonts w:ascii="Arial" w:hAnsi="Arial" w:cs="Arial"/>
          <w:sz w:val="24"/>
          <w:szCs w:val="24"/>
        </w:rPr>
        <w:t xml:space="preserve"> 2021 que el INEGI pone a disposición de los usuarios son los siguientes: </w:t>
      </w:r>
    </w:p>
    <w:p w14:paraId="5F24A038" w14:textId="77777777" w:rsidR="00462B4C" w:rsidRPr="00642A24" w:rsidRDefault="00462B4C" w:rsidP="00462B4C">
      <w:p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 xml:space="preserve"> </w:t>
      </w:r>
    </w:p>
    <w:p w14:paraId="1B237F87"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Presentación de resultados</w:t>
      </w:r>
    </w:p>
    <w:p w14:paraId="3BE02932"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Cuestionarios</w:t>
      </w:r>
    </w:p>
    <w:p w14:paraId="21994420"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Glosario</w:t>
      </w:r>
    </w:p>
    <w:p w14:paraId="0FD734C1" w14:textId="6330147F" w:rsidR="00462B4C"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Documento de diseño</w:t>
      </w:r>
    </w:p>
    <w:p w14:paraId="3EEBA7A4" w14:textId="085DD41A" w:rsidR="00AD7337" w:rsidRPr="003E15DF" w:rsidRDefault="003E15DF" w:rsidP="003E15DF">
      <w:pPr>
        <w:pStyle w:val="Prrafodelista"/>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Tabulados predefinidos</w:t>
      </w:r>
    </w:p>
    <w:sectPr w:rsidR="00AD7337" w:rsidRPr="003E15DF" w:rsidSect="00EC31DB">
      <w:headerReference w:type="default" r:id="rId58"/>
      <w:footerReference w:type="default" r:id="rId59"/>
      <w:type w:val="continuous"/>
      <w:pgSz w:w="12240" w:h="15840"/>
      <w:pgMar w:top="993" w:right="1183" w:bottom="1135" w:left="1701" w:header="284"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B6DC" w16cex:dateUtc="2022-04-01T23:37:00Z"/>
  <w16cex:commentExtensible w16cex:durableId="25F1606A" w16cex:dateUtc="2022-04-01T17:28:00Z"/>
  <w16cex:commentExtensible w16cex:durableId="25F1B76D" w16cex:dateUtc="2022-04-01T23:39:00Z"/>
  <w16cex:commentExtensible w16cex:durableId="25F16386" w16cex:dateUtc="2022-04-01T17:41:00Z"/>
  <w16cex:commentExtensible w16cex:durableId="25F1681B" w16cex:dateUtc="2022-04-01T18:01:00Z"/>
  <w16cex:commentExtensible w16cex:durableId="25F16961" w16cex:dateUtc="2022-04-01T18:06:00Z"/>
  <w16cex:commentExtensible w16cex:durableId="25F1B9D4" w16cex:dateUtc="2022-04-01T23:50:00Z"/>
  <w16cex:commentExtensible w16cex:durableId="25F16A77" w16cex:dateUtc="2022-04-01T18:11:00Z"/>
  <w16cex:commentExtensible w16cex:durableId="25F1BA69" w16cex:dateUtc="2022-04-01T23:52:00Z"/>
  <w16cex:commentExtensible w16cex:durableId="25F16B3C" w16cex:dateUtc="2022-04-01T18:14:00Z"/>
  <w16cex:commentExtensible w16cex:durableId="25F1BA8F" w16cex:dateUtc="2022-04-01T2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EEFC" w14:textId="77777777" w:rsidR="00273AD1" w:rsidRDefault="00273AD1" w:rsidP="00462B4C">
      <w:pPr>
        <w:spacing w:after="0" w:line="240" w:lineRule="auto"/>
      </w:pPr>
      <w:r>
        <w:separator/>
      </w:r>
    </w:p>
  </w:endnote>
  <w:endnote w:type="continuationSeparator" w:id="0">
    <w:p w14:paraId="71C9517B" w14:textId="77777777" w:rsidR="00273AD1" w:rsidRDefault="00273AD1" w:rsidP="0046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Arial Negri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153D" w14:textId="77777777" w:rsidR="002A0589" w:rsidRDefault="002A05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2907" w14:textId="77777777" w:rsidR="00454C8A" w:rsidRDefault="00454C8A"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p>
  <w:p w14:paraId="3B878F0D" w14:textId="65778423" w:rsidR="00454C8A" w:rsidRPr="007A0634" w:rsidRDefault="00454C8A" w:rsidP="001D0E9F">
    <w:pPr>
      <w:pStyle w:val="Piedepgina"/>
      <w:tabs>
        <w:tab w:val="clear" w:pos="4419"/>
        <w:tab w:val="clear" w:pos="8838"/>
        <w:tab w:val="left" w:pos="9781"/>
        <w:tab w:val="left" w:pos="10065"/>
      </w:tabs>
      <w:ind w:left="-709" w:firstLine="4537"/>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F62E" w14:textId="77777777" w:rsidR="002A0589" w:rsidRDefault="002A058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815D" w14:textId="77777777" w:rsidR="00454C8A" w:rsidRDefault="00454C8A"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p>
  <w:p w14:paraId="0B987566" w14:textId="77777777" w:rsidR="00454C8A" w:rsidRPr="007A0634" w:rsidRDefault="00454C8A"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B3A66" w14:textId="77777777" w:rsidR="00273AD1" w:rsidRDefault="00273AD1" w:rsidP="00462B4C">
      <w:pPr>
        <w:spacing w:after="0" w:line="240" w:lineRule="auto"/>
      </w:pPr>
      <w:r>
        <w:separator/>
      </w:r>
    </w:p>
  </w:footnote>
  <w:footnote w:type="continuationSeparator" w:id="0">
    <w:p w14:paraId="20D7ADAA" w14:textId="77777777" w:rsidR="00273AD1" w:rsidRDefault="00273AD1" w:rsidP="00462B4C">
      <w:pPr>
        <w:spacing w:after="0" w:line="240" w:lineRule="auto"/>
      </w:pPr>
      <w:r>
        <w:continuationSeparator/>
      </w:r>
    </w:p>
  </w:footnote>
  <w:footnote w:id="1">
    <w:p w14:paraId="243E23AC" w14:textId="62E81F27" w:rsidR="00FE60BA" w:rsidRPr="002E5E21" w:rsidRDefault="00FE60BA" w:rsidP="002E5E21">
      <w:pPr>
        <w:pStyle w:val="Textonotapie"/>
        <w:jc w:val="both"/>
        <w:rPr>
          <w:rFonts w:ascii="Arial" w:hAnsi="Arial" w:cs="Arial"/>
          <w:sz w:val="16"/>
          <w:szCs w:val="16"/>
        </w:rPr>
      </w:pPr>
      <w:r w:rsidRPr="002E5E21">
        <w:rPr>
          <w:rStyle w:val="Refdenotaalpie"/>
          <w:rFonts w:ascii="Arial" w:hAnsi="Arial" w:cs="Arial"/>
          <w:sz w:val="16"/>
          <w:szCs w:val="16"/>
        </w:rPr>
        <w:footnoteRef/>
      </w:r>
      <w:r w:rsidRPr="002E5E21">
        <w:rPr>
          <w:rFonts w:ascii="Arial" w:hAnsi="Arial" w:cs="Arial"/>
          <w:sz w:val="16"/>
          <w:szCs w:val="16"/>
        </w:rPr>
        <w:t xml:space="preserve"> </w:t>
      </w:r>
      <w:r w:rsidR="00611BD4" w:rsidRPr="002E5E21">
        <w:rPr>
          <w:rFonts w:ascii="Arial" w:hAnsi="Arial" w:cs="Arial"/>
          <w:sz w:val="16"/>
          <w:szCs w:val="16"/>
        </w:rPr>
        <w:t>El levantamiento del CNGF 2021 no incluye las siguientes instituciones debido a que se extinguieron: Instituto Nacional de Ciencias Penales, Consejo de Promoción Turística de México, S.A. de C.V.</w:t>
      </w:r>
      <w:r w:rsidR="000727D9">
        <w:rPr>
          <w:rFonts w:ascii="Arial" w:hAnsi="Arial" w:cs="Arial"/>
          <w:sz w:val="16"/>
          <w:szCs w:val="16"/>
        </w:rPr>
        <w:t>,</w:t>
      </w:r>
      <w:r w:rsidR="002E5E21" w:rsidRPr="002E5E21">
        <w:rPr>
          <w:rFonts w:ascii="Arial" w:hAnsi="Arial" w:cs="Arial"/>
          <w:sz w:val="16"/>
          <w:szCs w:val="16"/>
        </w:rPr>
        <w:t xml:space="preserve"> Policía Federal y ProMéxico. </w:t>
      </w:r>
    </w:p>
  </w:footnote>
  <w:footnote w:id="2">
    <w:p w14:paraId="22725623" w14:textId="4B0B0CF7" w:rsidR="006A3763" w:rsidRDefault="006A3763">
      <w:pPr>
        <w:pStyle w:val="Textonotapie"/>
      </w:pPr>
      <w:r>
        <w:rPr>
          <w:rStyle w:val="Refdenotaalpie"/>
        </w:rPr>
        <w:footnoteRef/>
      </w:r>
      <w:r>
        <w:t xml:space="preserve"> </w:t>
      </w:r>
      <w:r w:rsidRPr="00E1071A">
        <w:rPr>
          <w:rFonts w:ascii="Arial" w:hAnsi="Arial" w:cs="Arial"/>
          <w:sz w:val="16"/>
          <w:szCs w:val="16"/>
        </w:rPr>
        <w:t>Por institución se refiere a aquellas organizaciones públicas que forman parte de la Administración Pública Federal y, en consecuencia, se encuentran previstas en la respectiva ley orgánica; mismas que fueron creadas para el ejercicio de las atribuciones y despacho de los asuntos que corresponden al titular del Poder Ejecutivo Federal</w:t>
      </w:r>
      <w:r>
        <w:rPr>
          <w:rFonts w:ascii="Arial" w:hAnsi="Arial" w:cs="Arial"/>
          <w:sz w:val="16"/>
          <w:szCs w:val="16"/>
        </w:rPr>
        <w:t>.</w:t>
      </w:r>
    </w:p>
  </w:footnote>
  <w:footnote w:id="3">
    <w:p w14:paraId="717C0BCE" w14:textId="618C2E48" w:rsidR="00661890" w:rsidRPr="00661890" w:rsidRDefault="00661890">
      <w:pPr>
        <w:pStyle w:val="Textonotapie"/>
        <w:rPr>
          <w:rFonts w:ascii="Arial" w:hAnsi="Arial" w:cs="Arial"/>
          <w:sz w:val="16"/>
          <w:szCs w:val="16"/>
        </w:rPr>
      </w:pPr>
      <w:r w:rsidRPr="00661890">
        <w:rPr>
          <w:rStyle w:val="Refdenotaalpie"/>
          <w:rFonts w:ascii="Arial" w:hAnsi="Arial" w:cs="Arial"/>
          <w:sz w:val="16"/>
          <w:szCs w:val="16"/>
        </w:rPr>
        <w:footnoteRef/>
      </w:r>
      <w:r w:rsidRPr="00661890">
        <w:rPr>
          <w:rFonts w:ascii="Arial" w:hAnsi="Arial" w:cs="Arial"/>
          <w:sz w:val="16"/>
          <w:szCs w:val="16"/>
        </w:rPr>
        <w:t xml:space="preserve"> No se incluye la categoría </w:t>
      </w:r>
      <w:r w:rsidR="00835584">
        <w:rPr>
          <w:rFonts w:ascii="Arial" w:hAnsi="Arial" w:cs="Arial"/>
          <w:i/>
          <w:iCs/>
          <w:sz w:val="16"/>
          <w:szCs w:val="16"/>
        </w:rPr>
        <w:t>n</w:t>
      </w:r>
      <w:r w:rsidRPr="00835584">
        <w:rPr>
          <w:rFonts w:ascii="Arial" w:hAnsi="Arial" w:cs="Arial"/>
          <w:i/>
          <w:iCs/>
          <w:sz w:val="16"/>
          <w:szCs w:val="16"/>
        </w:rPr>
        <w:t>o especificado</w:t>
      </w:r>
      <w:r w:rsidRPr="00661890">
        <w:rPr>
          <w:rFonts w:ascii="Arial" w:hAnsi="Arial" w:cs="Arial"/>
          <w:sz w:val="16"/>
          <w:szCs w:val="16"/>
        </w:rPr>
        <w:t xml:space="preserve"> que correspondió a 0.3</w:t>
      </w:r>
      <w:r w:rsidR="00A27F92">
        <w:rPr>
          <w:rFonts w:ascii="Arial" w:hAnsi="Arial" w:cs="Arial"/>
          <w:sz w:val="16"/>
          <w:szCs w:val="16"/>
        </w:rPr>
        <w:t>%</w:t>
      </w:r>
      <w:r w:rsidRPr="00661890">
        <w:rPr>
          <w:rFonts w:ascii="Arial" w:hAnsi="Arial" w:cs="Arial"/>
          <w:sz w:val="16"/>
          <w:szCs w:val="16"/>
        </w:rPr>
        <w:t>.</w:t>
      </w:r>
    </w:p>
  </w:footnote>
  <w:footnote w:id="4">
    <w:p w14:paraId="527571F6" w14:textId="22654DBA" w:rsidR="00454C8A" w:rsidRPr="00F70B2E" w:rsidRDefault="00454C8A" w:rsidP="00661890">
      <w:pPr>
        <w:pStyle w:val="Textonotapie"/>
        <w:ind w:left="284" w:hanging="284"/>
        <w:jc w:val="both"/>
        <w:rPr>
          <w:rFonts w:ascii="Arial" w:hAnsi="Arial" w:cs="Arial"/>
          <w:sz w:val="16"/>
          <w:szCs w:val="16"/>
        </w:rPr>
      </w:pPr>
      <w:r w:rsidRPr="00F70B2E">
        <w:rPr>
          <w:rStyle w:val="Refdenotaalpie"/>
          <w:rFonts w:ascii="Arial" w:hAnsi="Arial" w:cs="Arial"/>
          <w:sz w:val="16"/>
          <w:szCs w:val="16"/>
        </w:rPr>
        <w:footnoteRef/>
      </w:r>
      <w:r w:rsidRPr="00F70B2E">
        <w:rPr>
          <w:rFonts w:ascii="Arial" w:hAnsi="Arial" w:cs="Arial"/>
          <w:sz w:val="16"/>
          <w:szCs w:val="16"/>
        </w:rPr>
        <w:t xml:space="preserve"> </w:t>
      </w:r>
      <w:r>
        <w:rPr>
          <w:rFonts w:ascii="Arial" w:hAnsi="Arial" w:cs="Arial"/>
          <w:sz w:val="16"/>
          <w:szCs w:val="16"/>
        </w:rPr>
        <w:t xml:space="preserve"> </w:t>
      </w:r>
      <w:r w:rsidR="00661890" w:rsidRPr="00661890">
        <w:rPr>
          <w:rFonts w:ascii="Arial" w:hAnsi="Arial" w:cs="Arial"/>
          <w:sz w:val="16"/>
          <w:szCs w:val="16"/>
        </w:rPr>
        <w:t xml:space="preserve">Para 2017 y 2020 no se incluye la categoría </w:t>
      </w:r>
      <w:r w:rsidR="00304C48">
        <w:rPr>
          <w:rFonts w:ascii="Arial" w:hAnsi="Arial" w:cs="Arial"/>
          <w:i/>
          <w:iCs/>
          <w:sz w:val="16"/>
          <w:szCs w:val="16"/>
        </w:rPr>
        <w:t>n</w:t>
      </w:r>
      <w:r w:rsidR="00661890" w:rsidRPr="00304C48">
        <w:rPr>
          <w:rFonts w:ascii="Arial" w:hAnsi="Arial" w:cs="Arial"/>
          <w:i/>
          <w:iCs/>
          <w:sz w:val="16"/>
          <w:szCs w:val="16"/>
        </w:rPr>
        <w:t>o especificado</w:t>
      </w:r>
      <w:r w:rsidR="00661890" w:rsidRPr="00661890">
        <w:rPr>
          <w:rFonts w:ascii="Arial" w:hAnsi="Arial" w:cs="Arial"/>
          <w:sz w:val="16"/>
          <w:szCs w:val="16"/>
        </w:rPr>
        <w:t xml:space="preserve"> que </w:t>
      </w:r>
      <w:r w:rsidR="00B22982">
        <w:rPr>
          <w:rFonts w:ascii="Arial" w:hAnsi="Arial" w:cs="Arial"/>
          <w:sz w:val="16"/>
          <w:szCs w:val="16"/>
        </w:rPr>
        <w:t>incluy</w:t>
      </w:r>
      <w:r w:rsidR="00DE44C8">
        <w:rPr>
          <w:rFonts w:ascii="Arial" w:hAnsi="Arial" w:cs="Arial"/>
          <w:sz w:val="16"/>
          <w:szCs w:val="16"/>
        </w:rPr>
        <w:t>ó</w:t>
      </w:r>
      <w:r w:rsidR="00A04B91">
        <w:rPr>
          <w:rFonts w:ascii="Arial" w:hAnsi="Arial" w:cs="Arial"/>
          <w:sz w:val="16"/>
          <w:szCs w:val="16"/>
        </w:rPr>
        <w:t xml:space="preserve"> solo a </w:t>
      </w:r>
      <w:r w:rsidR="00661890" w:rsidRPr="00661890">
        <w:rPr>
          <w:rFonts w:ascii="Arial" w:hAnsi="Arial" w:cs="Arial"/>
          <w:sz w:val="16"/>
          <w:szCs w:val="16"/>
        </w:rPr>
        <w:t>una institución</w:t>
      </w:r>
      <w:r w:rsidRPr="00F70B2E">
        <w:rPr>
          <w:rFonts w:ascii="Arial" w:hAnsi="Arial" w:cs="Arial"/>
          <w:sz w:val="16"/>
          <w:szCs w:val="16"/>
        </w:rPr>
        <w:t>.</w:t>
      </w:r>
    </w:p>
  </w:footnote>
  <w:footnote w:id="5">
    <w:p w14:paraId="1C951271" w14:textId="5A50D26B" w:rsidR="00914FCE" w:rsidRPr="00FE4DB7" w:rsidRDefault="00914FCE">
      <w:pPr>
        <w:pStyle w:val="Textonotapie"/>
        <w:rPr>
          <w:rFonts w:ascii="Arial" w:hAnsi="Arial" w:cs="Arial"/>
          <w:sz w:val="16"/>
          <w:szCs w:val="16"/>
        </w:rPr>
      </w:pPr>
      <w:r w:rsidRPr="00FE4DB7">
        <w:rPr>
          <w:rStyle w:val="Refdenotaalpie"/>
          <w:rFonts w:ascii="Arial" w:hAnsi="Arial" w:cs="Arial"/>
          <w:sz w:val="16"/>
          <w:szCs w:val="16"/>
        </w:rPr>
        <w:footnoteRef/>
      </w:r>
      <w:r w:rsidRPr="00FE4DB7">
        <w:rPr>
          <w:rFonts w:ascii="Arial" w:hAnsi="Arial" w:cs="Arial"/>
          <w:sz w:val="16"/>
          <w:szCs w:val="16"/>
        </w:rPr>
        <w:t xml:space="preserve"> </w:t>
      </w:r>
      <w:r w:rsidR="00DA1743" w:rsidRPr="00FE4DB7">
        <w:rPr>
          <w:rFonts w:ascii="Arial" w:hAnsi="Arial" w:cs="Arial"/>
          <w:sz w:val="16"/>
          <w:szCs w:val="16"/>
        </w:rPr>
        <w:t xml:space="preserve">La categoría </w:t>
      </w:r>
      <w:r w:rsidR="00A1200D" w:rsidRPr="00A1200D">
        <w:rPr>
          <w:rFonts w:ascii="Arial" w:hAnsi="Arial" w:cs="Arial"/>
          <w:i/>
          <w:iCs/>
          <w:sz w:val="16"/>
          <w:szCs w:val="16"/>
        </w:rPr>
        <w:t>v</w:t>
      </w:r>
      <w:r w:rsidR="00DA1743" w:rsidRPr="00A1200D">
        <w:rPr>
          <w:rFonts w:ascii="Arial" w:hAnsi="Arial" w:cs="Arial"/>
          <w:i/>
          <w:iCs/>
          <w:sz w:val="16"/>
          <w:szCs w:val="16"/>
        </w:rPr>
        <w:t>acante</w:t>
      </w:r>
      <w:r w:rsidR="00DA1743" w:rsidRPr="00FE4DB7">
        <w:rPr>
          <w:rFonts w:ascii="Arial" w:hAnsi="Arial" w:cs="Arial"/>
          <w:sz w:val="16"/>
          <w:szCs w:val="16"/>
        </w:rPr>
        <w:t xml:space="preserve"> representó 9.5%, mientras que para la categoría </w:t>
      </w:r>
      <w:r w:rsidR="00CB1E48" w:rsidRPr="00FE4DB7">
        <w:rPr>
          <w:rFonts w:ascii="Arial" w:hAnsi="Arial" w:cs="Arial"/>
          <w:i/>
          <w:iCs/>
          <w:sz w:val="16"/>
          <w:szCs w:val="16"/>
        </w:rPr>
        <w:t>n</w:t>
      </w:r>
      <w:r w:rsidR="00DA1743" w:rsidRPr="00FE4DB7">
        <w:rPr>
          <w:rFonts w:ascii="Arial" w:hAnsi="Arial" w:cs="Arial"/>
          <w:i/>
          <w:iCs/>
          <w:sz w:val="16"/>
          <w:szCs w:val="16"/>
        </w:rPr>
        <w:t>o especificado</w:t>
      </w:r>
      <w:r w:rsidR="00CB1E48" w:rsidRPr="00FE4DB7">
        <w:rPr>
          <w:rFonts w:ascii="Arial" w:hAnsi="Arial" w:cs="Arial"/>
          <w:i/>
          <w:iCs/>
          <w:sz w:val="16"/>
          <w:szCs w:val="16"/>
        </w:rPr>
        <w:t xml:space="preserve"> </w:t>
      </w:r>
      <w:r w:rsidR="00CB1E48" w:rsidRPr="00FE4DB7">
        <w:rPr>
          <w:rFonts w:ascii="Arial" w:hAnsi="Arial" w:cs="Arial"/>
          <w:sz w:val="16"/>
          <w:szCs w:val="16"/>
        </w:rPr>
        <w:t>representó</w:t>
      </w:r>
      <w:r w:rsidR="00DA1743" w:rsidRPr="00FE4DB7">
        <w:rPr>
          <w:rFonts w:ascii="Arial" w:hAnsi="Arial" w:cs="Arial"/>
          <w:sz w:val="16"/>
          <w:szCs w:val="16"/>
        </w:rPr>
        <w:t xml:space="preserve"> 2.0</w:t>
      </w:r>
      <w:r w:rsidR="00A27F92">
        <w:rPr>
          <w:rFonts w:ascii="Arial" w:hAnsi="Arial" w:cs="Arial"/>
          <w:sz w:val="16"/>
          <w:szCs w:val="16"/>
        </w:rPr>
        <w:t>%</w:t>
      </w:r>
      <w:r w:rsidR="00DA1743" w:rsidRPr="00FE4DB7">
        <w:rPr>
          <w:rFonts w:ascii="Arial" w:hAnsi="Arial" w:cs="Arial"/>
          <w:sz w:val="16"/>
          <w:szCs w:val="16"/>
        </w:rPr>
        <w:t>.</w:t>
      </w:r>
    </w:p>
  </w:footnote>
  <w:footnote w:id="6">
    <w:p w14:paraId="3124A33B" w14:textId="0D8D59D9" w:rsidR="00FE4DB7" w:rsidRDefault="00FE4DB7">
      <w:pPr>
        <w:pStyle w:val="Textonotapie"/>
      </w:pPr>
      <w:r w:rsidRPr="00FE4DB7">
        <w:rPr>
          <w:rStyle w:val="Refdenotaalpie"/>
          <w:rFonts w:ascii="Arial" w:hAnsi="Arial" w:cs="Arial"/>
          <w:sz w:val="16"/>
          <w:szCs w:val="16"/>
        </w:rPr>
        <w:footnoteRef/>
      </w:r>
      <w:r w:rsidRPr="00FE4DB7">
        <w:rPr>
          <w:rFonts w:ascii="Arial" w:hAnsi="Arial" w:cs="Arial"/>
          <w:sz w:val="16"/>
          <w:szCs w:val="16"/>
        </w:rPr>
        <w:t xml:space="preserve"> La categoría </w:t>
      </w:r>
      <w:r w:rsidR="00A1200D" w:rsidRPr="00A1200D">
        <w:rPr>
          <w:rFonts w:ascii="Arial" w:hAnsi="Arial" w:cs="Arial"/>
          <w:i/>
          <w:iCs/>
          <w:sz w:val="16"/>
          <w:szCs w:val="16"/>
        </w:rPr>
        <w:t>v</w:t>
      </w:r>
      <w:r w:rsidRPr="00A1200D">
        <w:rPr>
          <w:rFonts w:ascii="Arial" w:hAnsi="Arial" w:cs="Arial"/>
          <w:i/>
          <w:iCs/>
          <w:sz w:val="16"/>
          <w:szCs w:val="16"/>
        </w:rPr>
        <w:t>acante</w:t>
      </w:r>
      <w:r w:rsidRPr="00FE4DB7">
        <w:rPr>
          <w:rFonts w:ascii="Arial" w:hAnsi="Arial" w:cs="Arial"/>
          <w:sz w:val="16"/>
          <w:szCs w:val="16"/>
        </w:rPr>
        <w:t xml:space="preserve"> presentó la siguiente distribución: 17 registros en 2016, 13 en 2017, 36 en 2018, 19 en 2019 y 29 en 2020.</w:t>
      </w:r>
    </w:p>
  </w:footnote>
  <w:footnote w:id="7">
    <w:p w14:paraId="3D9CD509" w14:textId="67A573D3" w:rsidR="00670DD0" w:rsidRPr="00670DD0" w:rsidRDefault="00670DD0" w:rsidP="00670DD0">
      <w:pPr>
        <w:pStyle w:val="Textonotapie"/>
        <w:jc w:val="both"/>
        <w:rPr>
          <w:rFonts w:ascii="Arial" w:hAnsi="Arial" w:cs="Arial"/>
          <w:sz w:val="16"/>
          <w:szCs w:val="16"/>
        </w:rPr>
      </w:pPr>
      <w:r w:rsidRPr="00670DD0">
        <w:rPr>
          <w:rStyle w:val="Refdenotaalpie"/>
          <w:rFonts w:ascii="Arial" w:hAnsi="Arial" w:cs="Arial"/>
          <w:sz w:val="16"/>
          <w:szCs w:val="16"/>
        </w:rPr>
        <w:footnoteRef/>
      </w:r>
      <w:r w:rsidRPr="00670DD0">
        <w:rPr>
          <w:rFonts w:ascii="Arial" w:hAnsi="Arial" w:cs="Arial"/>
          <w:sz w:val="16"/>
          <w:szCs w:val="16"/>
        </w:rPr>
        <w:t xml:space="preserve"> La</w:t>
      </w:r>
      <w:r w:rsidR="00501EA6">
        <w:rPr>
          <w:rFonts w:ascii="Arial" w:hAnsi="Arial" w:cs="Arial"/>
          <w:sz w:val="16"/>
          <w:szCs w:val="16"/>
        </w:rPr>
        <w:t>s</w:t>
      </w:r>
      <w:r w:rsidRPr="00670DD0">
        <w:rPr>
          <w:rFonts w:ascii="Arial" w:hAnsi="Arial" w:cs="Arial"/>
          <w:sz w:val="16"/>
          <w:szCs w:val="16"/>
        </w:rPr>
        <w:t xml:space="preserve"> distribuci</w:t>
      </w:r>
      <w:r w:rsidR="00501EA6">
        <w:rPr>
          <w:rFonts w:ascii="Arial" w:hAnsi="Arial" w:cs="Arial"/>
          <w:sz w:val="16"/>
          <w:szCs w:val="16"/>
        </w:rPr>
        <w:t>ones</w:t>
      </w:r>
      <w:r w:rsidRPr="00670DD0">
        <w:rPr>
          <w:rFonts w:ascii="Arial" w:hAnsi="Arial" w:cs="Arial"/>
          <w:sz w:val="16"/>
          <w:szCs w:val="16"/>
        </w:rPr>
        <w:t xml:space="preserve"> se realiz</w:t>
      </w:r>
      <w:r w:rsidR="00501EA6">
        <w:rPr>
          <w:rFonts w:ascii="Arial" w:hAnsi="Arial" w:cs="Arial"/>
          <w:sz w:val="16"/>
          <w:szCs w:val="16"/>
        </w:rPr>
        <w:t>aron</w:t>
      </w:r>
      <w:r w:rsidRPr="00670DD0">
        <w:rPr>
          <w:rFonts w:ascii="Arial" w:hAnsi="Arial" w:cs="Arial"/>
          <w:sz w:val="16"/>
          <w:szCs w:val="16"/>
        </w:rPr>
        <w:t xml:space="preserve"> considerando 270 titulares para los que se especificó el sexo. Se incluye al </w:t>
      </w:r>
      <w:r w:rsidR="00E75578">
        <w:rPr>
          <w:rFonts w:ascii="Arial" w:hAnsi="Arial" w:cs="Arial"/>
          <w:sz w:val="16"/>
          <w:szCs w:val="16"/>
        </w:rPr>
        <w:t>p</w:t>
      </w:r>
      <w:r w:rsidRPr="00670DD0">
        <w:rPr>
          <w:rFonts w:ascii="Arial" w:hAnsi="Arial" w:cs="Arial"/>
          <w:sz w:val="16"/>
          <w:szCs w:val="16"/>
        </w:rPr>
        <w:t>residente de la República. En el caso de las Empresas productivas del Estado y sus subsidiarias se incluye</w:t>
      </w:r>
      <w:r w:rsidR="00011F93">
        <w:rPr>
          <w:rFonts w:ascii="Arial" w:hAnsi="Arial" w:cs="Arial"/>
          <w:sz w:val="16"/>
          <w:szCs w:val="16"/>
        </w:rPr>
        <w:t xml:space="preserve"> a</w:t>
      </w:r>
      <w:r w:rsidRPr="00670DD0">
        <w:rPr>
          <w:rFonts w:ascii="Arial" w:hAnsi="Arial" w:cs="Arial"/>
          <w:sz w:val="16"/>
          <w:szCs w:val="16"/>
        </w:rPr>
        <w:t xml:space="preserve"> Petróleos Mexicanos  (Pemex Consolidado, Pemex Exploración y Producción, Pemex Fertilizantes, Pemex Logística, Pemex Transformación Industrial y Pemex Corporativo)</w:t>
      </w:r>
      <w:r w:rsidR="00011F93">
        <w:rPr>
          <w:rFonts w:ascii="Arial" w:hAnsi="Arial" w:cs="Arial"/>
          <w:sz w:val="16"/>
          <w:szCs w:val="16"/>
        </w:rPr>
        <w:t>,</w:t>
      </w:r>
      <w:r w:rsidRPr="00670DD0">
        <w:rPr>
          <w:rFonts w:ascii="Arial" w:hAnsi="Arial" w:cs="Arial"/>
          <w:sz w:val="16"/>
          <w:szCs w:val="16"/>
        </w:rPr>
        <w:t xml:space="preserve"> así como </w:t>
      </w:r>
      <w:r w:rsidR="00011F93">
        <w:rPr>
          <w:rFonts w:ascii="Arial" w:hAnsi="Arial" w:cs="Arial"/>
          <w:sz w:val="16"/>
          <w:szCs w:val="16"/>
        </w:rPr>
        <w:t xml:space="preserve">a la </w:t>
      </w:r>
      <w:r w:rsidRPr="00670DD0">
        <w:rPr>
          <w:rFonts w:ascii="Arial" w:hAnsi="Arial" w:cs="Arial"/>
          <w:sz w:val="16"/>
          <w:szCs w:val="16"/>
        </w:rPr>
        <w:t>Comisión Federal de Electricidad (Comisión Federal de Electricidad Consolidado, CFE Generación I, CFE Generación II, CFE Generación III, CFE Generación IV, CFE Generación V, CFE Generación VI, CFE Distribución, CFE Suministrador de Servicios Básicos, CFE Transmisión, CFE Telecomunicaciones e Internet para todos y CFE Corporativo). Por disposición normativa, dos o más instituciones podrían tener el mismo titular.</w:t>
      </w:r>
    </w:p>
  </w:footnote>
  <w:footnote w:id="8">
    <w:p w14:paraId="1ADFB2A3" w14:textId="50294D55" w:rsidR="003854E8" w:rsidRPr="003854E8" w:rsidRDefault="003854E8" w:rsidP="003854E8">
      <w:pPr>
        <w:pStyle w:val="Textonotapie"/>
        <w:jc w:val="both"/>
        <w:rPr>
          <w:rFonts w:ascii="Arial" w:hAnsi="Arial" w:cs="Arial"/>
          <w:sz w:val="16"/>
          <w:szCs w:val="16"/>
        </w:rPr>
      </w:pPr>
      <w:r w:rsidRPr="003854E8">
        <w:rPr>
          <w:rStyle w:val="Refdenotaalpie"/>
          <w:rFonts w:ascii="Arial" w:hAnsi="Arial" w:cs="Arial"/>
          <w:sz w:val="16"/>
          <w:szCs w:val="16"/>
        </w:rPr>
        <w:footnoteRef/>
      </w:r>
      <w:r w:rsidRPr="003854E8">
        <w:rPr>
          <w:rFonts w:ascii="Arial" w:hAnsi="Arial" w:cs="Arial"/>
          <w:sz w:val="16"/>
          <w:szCs w:val="16"/>
        </w:rPr>
        <w:t xml:space="preserve"> Para el periodo referido, no se incluye información de Petróleos Mexicanos y Comisión Federal de Electricidad, toda vez que no se presentaron denuncias derivado de algún presunto delito cometido por sus servidores públicos.</w:t>
      </w:r>
    </w:p>
  </w:footnote>
  <w:footnote w:id="9">
    <w:p w14:paraId="5AA62347" w14:textId="32A43861" w:rsidR="00B96A29" w:rsidRPr="0076507A" w:rsidRDefault="00B96A29" w:rsidP="0076507A">
      <w:pPr>
        <w:pStyle w:val="Textonotapie"/>
        <w:ind w:left="-567"/>
        <w:jc w:val="both"/>
        <w:rPr>
          <w:rFonts w:ascii="Arial" w:hAnsi="Arial" w:cs="Arial"/>
          <w:sz w:val="16"/>
          <w:szCs w:val="16"/>
        </w:rPr>
      </w:pPr>
      <w:r w:rsidRPr="0076507A">
        <w:rPr>
          <w:rStyle w:val="Refdenotaalpie"/>
          <w:rFonts w:ascii="Arial" w:hAnsi="Arial" w:cs="Arial"/>
          <w:sz w:val="16"/>
          <w:szCs w:val="16"/>
        </w:rPr>
        <w:footnoteRef/>
      </w:r>
      <w:r w:rsidRPr="0076507A">
        <w:rPr>
          <w:rFonts w:ascii="Arial" w:hAnsi="Arial" w:cs="Arial"/>
          <w:sz w:val="16"/>
          <w:szCs w:val="16"/>
        </w:rPr>
        <w:t xml:space="preserve"> Las instituciones que participaron en la integración y provisión de información fueron la Secretaría de la Función Pública, la Secretaría de Hacienda y Crédito Público, el Instituto de Administración y Avalúos de Bienes Nacionales, la Comisión Nacional de Mejora Regulatoria, Petróleos Mexicanos, la Comisión Federal de Electricidad, y el Archivo General de la Nación.</w:t>
      </w:r>
    </w:p>
  </w:footnote>
  <w:footnote w:id="10">
    <w:p w14:paraId="7F802004" w14:textId="11F69633" w:rsidR="00846462" w:rsidRDefault="00846462" w:rsidP="00846462">
      <w:pPr>
        <w:pStyle w:val="Textonotapie"/>
        <w:ind w:left="-567"/>
        <w:jc w:val="both"/>
      </w:pPr>
      <w:r>
        <w:rPr>
          <w:rStyle w:val="Refdenotaalpie"/>
        </w:rPr>
        <w:footnoteRef/>
      </w:r>
      <w:r>
        <w:t xml:space="preserve"> </w:t>
      </w:r>
      <w:r w:rsidRPr="0076507A">
        <w:rPr>
          <w:rFonts w:ascii="Arial" w:hAnsi="Arial" w:cs="Arial"/>
          <w:sz w:val="16"/>
          <w:szCs w:val="16"/>
        </w:rPr>
        <w:t>Para la edición 2021 no se contó con datos relacionados con la cantidad de auditorías aplicadas por la Secretaría de la Función Pública, la cantidad de servidores públicos sancionados, según tipo de falta administrativa asociada, y la cantidad de sanciones impuestas a los servidores públicos, según su tipo.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1423" w14:textId="77777777" w:rsidR="002A0589" w:rsidRDefault="002A05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0F4A" w14:textId="77777777" w:rsidR="00377C92" w:rsidRDefault="00377C92" w:rsidP="00377C92">
    <w:pPr>
      <w:tabs>
        <w:tab w:val="left" w:pos="5103"/>
      </w:tabs>
      <w:spacing w:after="0" w:line="240" w:lineRule="auto"/>
      <w:ind w:right="51"/>
      <w:jc w:val="right"/>
      <w:rPr>
        <w:rFonts w:ascii="Arial" w:hAnsi="Arial"/>
        <w:b/>
        <w:color w:val="002060"/>
        <w:sz w:val="24"/>
      </w:rPr>
    </w:pPr>
  </w:p>
  <w:p w14:paraId="25728568" w14:textId="45A8FC95" w:rsidR="00377C92" w:rsidRPr="00CE3882" w:rsidRDefault="00377C92" w:rsidP="00377C92">
    <w:pPr>
      <w:tabs>
        <w:tab w:val="left" w:pos="5103"/>
      </w:tabs>
      <w:spacing w:after="0" w:line="240" w:lineRule="auto"/>
      <w:ind w:right="51"/>
      <w:jc w:val="right"/>
      <w:rPr>
        <w:rFonts w:ascii="Arial" w:eastAsia="Arial" w:hAnsi="Arial" w:cs="Arial"/>
        <w:sz w:val="24"/>
        <w:szCs w:val="24"/>
      </w:rPr>
    </w:pPr>
    <w:r w:rsidRPr="00CE3882">
      <w:rPr>
        <w:noProof/>
        <w:lang w:eastAsia="es-MX"/>
      </w:rPr>
      <w:drawing>
        <wp:anchor distT="0" distB="0" distL="114300" distR="114300" simplePos="0" relativeHeight="251659264" behindDoc="0" locked="0" layoutInCell="1" allowOverlap="1" wp14:anchorId="5E3BF986" wp14:editId="3DE06DC9">
          <wp:simplePos x="0" y="0"/>
          <wp:positionH relativeFrom="margin">
            <wp:align>left</wp:align>
          </wp:positionH>
          <wp:positionV relativeFrom="margin">
            <wp:posOffset>-951783</wp:posOffset>
          </wp:positionV>
          <wp:extent cx="847725" cy="828675"/>
          <wp:effectExtent l="0" t="0" r="9525" b="9525"/>
          <wp:wrapSquare wrapText="bothSides"/>
          <wp:docPr id="96" name="Imagen 9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n 96" descr="Logotip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191" r="-1191"/>
                  <a:stretch/>
                </pic:blipFill>
                <pic:spPr bwMode="auto">
                  <a:xfrm>
                    <a:off x="0" y="0"/>
                    <a:ext cx="8477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w:t>
    </w:r>
    <w:r w:rsidRPr="00E75578">
      <w:rPr>
        <w:rFonts w:ascii="Arial" w:hAnsi="Arial"/>
        <w:b/>
        <w:color w:val="002060"/>
        <w:spacing w:val="-11"/>
        <w:sz w:val="24"/>
      </w:rPr>
      <w:t>P</w:t>
    </w:r>
    <w:r w:rsidRPr="00E75578">
      <w:rPr>
        <w:rFonts w:ascii="Arial" w:hAnsi="Arial"/>
        <w:b/>
        <w:color w:val="002060"/>
        <w:spacing w:val="-1"/>
        <w:sz w:val="24"/>
      </w:rPr>
      <w:t>RENSA</w:t>
    </w:r>
    <w:r w:rsidRPr="00E75578">
      <w:rPr>
        <w:rFonts w:ascii="Arial" w:hAnsi="Arial"/>
        <w:b/>
        <w:color w:val="002060"/>
        <w:spacing w:val="-11"/>
        <w:sz w:val="24"/>
      </w:rPr>
      <w:t xml:space="preserve"> </w:t>
    </w:r>
    <w:r w:rsidRPr="00E75578">
      <w:rPr>
        <w:rFonts w:ascii="Arial" w:hAnsi="Arial"/>
        <w:b/>
        <w:color w:val="002060"/>
        <w:sz w:val="24"/>
      </w:rPr>
      <w:t xml:space="preserve">NÚM. </w:t>
    </w:r>
    <w:r w:rsidR="000727D9" w:rsidRPr="00E75578">
      <w:rPr>
        <w:rFonts w:ascii="Arial" w:hAnsi="Arial"/>
        <w:b/>
        <w:color w:val="002060"/>
        <w:sz w:val="24"/>
      </w:rPr>
      <w:t>17</w:t>
    </w:r>
    <w:r w:rsidR="002A0589">
      <w:rPr>
        <w:rFonts w:ascii="Arial" w:hAnsi="Arial"/>
        <w:b/>
        <w:color w:val="002060"/>
        <w:sz w:val="24"/>
      </w:rPr>
      <w:t>7</w:t>
    </w:r>
    <w:r w:rsidRPr="00E75578">
      <w:rPr>
        <w:rFonts w:ascii="Arial" w:hAnsi="Arial"/>
        <w:b/>
        <w:color w:val="002060"/>
        <w:sz w:val="24"/>
      </w:rPr>
      <w:t>/22</w:t>
    </w:r>
  </w:p>
  <w:p w14:paraId="3574BD53" w14:textId="7EEEC2BB" w:rsidR="00377C92" w:rsidRPr="00BA6E95" w:rsidRDefault="00377C92" w:rsidP="00377C92">
    <w:pPr>
      <w:tabs>
        <w:tab w:val="center" w:pos="5018"/>
        <w:tab w:val="right" w:pos="10037"/>
      </w:tabs>
      <w:spacing w:after="0" w:line="240" w:lineRule="auto"/>
      <w:ind w:right="51"/>
      <w:jc w:val="right"/>
      <w:rPr>
        <w:rFonts w:ascii="Arial"/>
        <w:b/>
        <w:color w:val="002060"/>
        <w:sz w:val="24"/>
      </w:rPr>
    </w:pPr>
    <w:r>
      <w:rPr>
        <w:rFonts w:ascii="Arial"/>
        <w:b/>
        <w:color w:val="002060"/>
        <w:spacing w:val="-6"/>
        <w:sz w:val="24"/>
      </w:rPr>
      <w:t>4</w:t>
    </w:r>
    <w:r w:rsidRPr="00DE6EFC">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Pr>
        <w:rFonts w:ascii="Arial"/>
        <w:b/>
        <w:color w:val="002060"/>
        <w:spacing w:val="-5"/>
        <w:sz w:val="24"/>
      </w:rPr>
      <w:t>ABRIL</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2</w:t>
    </w:r>
  </w:p>
  <w:p w14:paraId="5A8FEB1F" w14:textId="3029672C" w:rsidR="00377C92" w:rsidRDefault="00377C92" w:rsidP="00377C92">
    <w:pPr>
      <w:spacing w:after="0" w:line="240" w:lineRule="auto"/>
      <w:ind w:right="51"/>
      <w:jc w:val="right"/>
      <w:rPr>
        <w:rFonts w:ascii="Arial" w:hAnsi="Arial"/>
        <w:b/>
        <w:color w:val="002060"/>
        <w:sz w:val="24"/>
      </w:rPr>
    </w:pPr>
    <w:r w:rsidRPr="000727D9">
      <w:rPr>
        <w:rFonts w:ascii="Arial" w:hAnsi="Arial"/>
        <w:b/>
        <w:color w:val="002060"/>
        <w:sz w:val="24"/>
      </w:rPr>
      <w:t>PÁGINA</w:t>
    </w:r>
    <w:r w:rsidRPr="000727D9">
      <w:rPr>
        <w:rFonts w:ascii="Arial" w:hAnsi="Arial"/>
        <w:b/>
        <w:color w:val="002060"/>
        <w:spacing w:val="-13"/>
        <w:sz w:val="24"/>
      </w:rPr>
      <w:t xml:space="preserve"> </w:t>
    </w:r>
    <w:r w:rsidRPr="000727D9">
      <w:fldChar w:fldCharType="begin"/>
    </w:r>
    <w:r w:rsidRPr="000727D9">
      <w:rPr>
        <w:rFonts w:ascii="Arial" w:hAnsi="Arial"/>
        <w:b/>
        <w:color w:val="002060"/>
        <w:sz w:val="24"/>
      </w:rPr>
      <w:instrText xml:space="preserve"> PAGE </w:instrText>
    </w:r>
    <w:r w:rsidRPr="000727D9">
      <w:fldChar w:fldCharType="separate"/>
    </w:r>
    <w:r w:rsidRPr="000727D9">
      <w:t>2</w:t>
    </w:r>
    <w:r w:rsidRPr="000727D9">
      <w:fldChar w:fldCharType="end"/>
    </w:r>
    <w:r w:rsidRPr="000727D9">
      <w:rPr>
        <w:rFonts w:ascii="Arial" w:hAnsi="Arial"/>
        <w:b/>
        <w:color w:val="002060"/>
        <w:sz w:val="24"/>
      </w:rPr>
      <w:t>/</w:t>
    </w:r>
    <w:r w:rsidR="000727D9" w:rsidRPr="000727D9">
      <w:rPr>
        <w:rFonts w:ascii="Arial" w:hAnsi="Arial"/>
        <w:b/>
        <w:color w:val="002060"/>
        <w:sz w:val="24"/>
      </w:rPr>
      <w:t>2</w:t>
    </w:r>
    <w:r w:rsidR="00E45DB7">
      <w:rPr>
        <w:rFonts w:ascii="Arial" w:hAnsi="Arial"/>
        <w:b/>
        <w:color w:val="002060"/>
        <w:sz w:val="24"/>
      </w:rPr>
      <w:t>1</w:t>
    </w:r>
  </w:p>
  <w:p w14:paraId="65255C1E" w14:textId="0A3AF43C" w:rsidR="00454C8A" w:rsidRPr="00CE3882" w:rsidRDefault="00454C8A" w:rsidP="00A056F0">
    <w:pPr>
      <w:tabs>
        <w:tab w:val="left" w:pos="5103"/>
      </w:tabs>
      <w:spacing w:after="0" w:line="240" w:lineRule="auto"/>
      <w:ind w:right="51"/>
      <w:jc w:val="right"/>
      <w:rPr>
        <w:rFonts w:ascii="Arial" w:eastAsia="Arial" w:hAnsi="Arial" w:cs="Arial"/>
        <w:sz w:val="24"/>
        <w:szCs w:val="24"/>
      </w:rPr>
    </w:pPr>
    <w:r w:rsidRPr="00DE6EFC">
      <w:rPr>
        <w:rFonts w:ascii="Arial" w:hAnsi="Arial"/>
        <w:b/>
        <w:color w:val="002060"/>
        <w:sz w:val="24"/>
      </w:rPr>
      <w:t xml:space="preserve"> </w:t>
    </w:r>
  </w:p>
  <w:p w14:paraId="092AA8FC" w14:textId="122FC5A2" w:rsidR="00454C8A" w:rsidRDefault="00454C8A" w:rsidP="0005255F">
    <w:pPr>
      <w:tabs>
        <w:tab w:val="left" w:pos="555"/>
        <w:tab w:val="left" w:pos="2790"/>
      </w:tabs>
      <w:ind w:right="4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44A1767B" w14:textId="77777777" w:rsidR="00454C8A" w:rsidRDefault="00454C8A">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BF25" w14:textId="77777777" w:rsidR="002A0589" w:rsidRDefault="002A058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892E" w14:textId="456C346F" w:rsidR="00454C8A" w:rsidRDefault="00454C8A" w:rsidP="00EC31DB">
    <w:pPr>
      <w:pStyle w:val="Encabezado"/>
      <w:ind w:left="-567"/>
      <w:jc w:val="center"/>
      <w:rPr>
        <w:noProof/>
      </w:rPr>
    </w:pPr>
    <w:r>
      <w:rPr>
        <w:noProof/>
        <w:lang w:eastAsia="es-MX"/>
      </w:rPr>
      <w:drawing>
        <wp:inline distT="0" distB="0" distL="0" distR="0" wp14:anchorId="2DBA87B7" wp14:editId="67F537D7">
          <wp:extent cx="678606" cy="704850"/>
          <wp:effectExtent l="0" t="0" r="762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p w14:paraId="06595FBD" w14:textId="77777777" w:rsidR="00454C8A" w:rsidRDefault="00454C8A" w:rsidP="00E92F6E">
    <w:pPr>
      <w:pStyle w:val="Encabezado"/>
      <w:tabs>
        <w:tab w:val="clear" w:pos="4419"/>
        <w:tab w:val="clear" w:pos="8838"/>
      </w:tabs>
      <w:rPr>
        <w:b/>
        <w:color w:val="000000"/>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E5D"/>
    <w:multiLevelType w:val="hybridMultilevel"/>
    <w:tmpl w:val="26EA66C0"/>
    <w:lvl w:ilvl="0" w:tplc="2EA499D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0C444AC2"/>
    <w:multiLevelType w:val="hybridMultilevel"/>
    <w:tmpl w:val="ACBC1B6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1A211631"/>
    <w:multiLevelType w:val="hybridMultilevel"/>
    <w:tmpl w:val="AF4A4D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 w15:restartNumberingAfterBreak="0">
    <w:nsid w:val="1BC7633C"/>
    <w:multiLevelType w:val="hybridMultilevel"/>
    <w:tmpl w:val="2BC0C7F6"/>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228235E"/>
    <w:multiLevelType w:val="hybridMultilevel"/>
    <w:tmpl w:val="2A42B02A"/>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7"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1560FF"/>
    <w:multiLevelType w:val="hybridMultilevel"/>
    <w:tmpl w:val="C7EAD7F0"/>
    <w:lvl w:ilvl="0" w:tplc="78F0162E">
      <w:start w:val="2"/>
      <w:numFmt w:val="bullet"/>
      <w:lvlText w:val="•"/>
      <w:lvlJc w:val="left"/>
      <w:pPr>
        <w:ind w:left="0" w:hanging="5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895A99"/>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A64197"/>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6"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8C62B1"/>
    <w:multiLevelType w:val="hybridMultilevel"/>
    <w:tmpl w:val="F966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AD2DF2"/>
    <w:multiLevelType w:val="hybridMultilevel"/>
    <w:tmpl w:val="CE007318"/>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0" w15:restartNumberingAfterBreak="0">
    <w:nsid w:val="7BDA2D0F"/>
    <w:multiLevelType w:val="hybridMultilevel"/>
    <w:tmpl w:val="C0D2AE0E"/>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18"/>
  </w:num>
  <w:num w:numId="2">
    <w:abstractNumId w:val="8"/>
  </w:num>
  <w:num w:numId="3">
    <w:abstractNumId w:val="9"/>
  </w:num>
  <w:num w:numId="4">
    <w:abstractNumId w:val="11"/>
  </w:num>
  <w:num w:numId="5">
    <w:abstractNumId w:val="7"/>
  </w:num>
  <w:num w:numId="6">
    <w:abstractNumId w:val="16"/>
  </w:num>
  <w:num w:numId="7">
    <w:abstractNumId w:val="14"/>
  </w:num>
  <w:num w:numId="8">
    <w:abstractNumId w:val="12"/>
  </w:num>
  <w:num w:numId="9">
    <w:abstractNumId w:val="3"/>
  </w:num>
  <w:num w:numId="10">
    <w:abstractNumId w:val="6"/>
  </w:num>
  <w:num w:numId="11">
    <w:abstractNumId w:val="17"/>
  </w:num>
  <w:num w:numId="12">
    <w:abstractNumId w:val="15"/>
  </w:num>
  <w:num w:numId="13">
    <w:abstractNumId w:val="10"/>
  </w:num>
  <w:num w:numId="14">
    <w:abstractNumId w:val="4"/>
  </w:num>
  <w:num w:numId="15">
    <w:abstractNumId w:val="19"/>
  </w:num>
  <w:num w:numId="16">
    <w:abstractNumId w:val="5"/>
  </w:num>
  <w:num w:numId="17">
    <w:abstractNumId w:val="0"/>
  </w:num>
  <w:num w:numId="18">
    <w:abstractNumId w:val="13"/>
  </w:num>
  <w:num w:numId="19">
    <w:abstractNumId w:val="2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C"/>
    <w:rsid w:val="00000424"/>
    <w:rsid w:val="00004767"/>
    <w:rsid w:val="00011744"/>
    <w:rsid w:val="00011F93"/>
    <w:rsid w:val="0001317A"/>
    <w:rsid w:val="000145D3"/>
    <w:rsid w:val="000156A1"/>
    <w:rsid w:val="0001725F"/>
    <w:rsid w:val="00021552"/>
    <w:rsid w:val="00021F34"/>
    <w:rsid w:val="00023577"/>
    <w:rsid w:val="0002391F"/>
    <w:rsid w:val="00025559"/>
    <w:rsid w:val="00025E4A"/>
    <w:rsid w:val="00027B5B"/>
    <w:rsid w:val="000326DE"/>
    <w:rsid w:val="00032FDA"/>
    <w:rsid w:val="00037758"/>
    <w:rsid w:val="0004016B"/>
    <w:rsid w:val="000417A0"/>
    <w:rsid w:val="00043E92"/>
    <w:rsid w:val="0004453A"/>
    <w:rsid w:val="00044F1F"/>
    <w:rsid w:val="00045D1B"/>
    <w:rsid w:val="00047BDB"/>
    <w:rsid w:val="00050129"/>
    <w:rsid w:val="0005255F"/>
    <w:rsid w:val="00052760"/>
    <w:rsid w:val="00052D31"/>
    <w:rsid w:val="0005371D"/>
    <w:rsid w:val="00056897"/>
    <w:rsid w:val="00061667"/>
    <w:rsid w:val="00066358"/>
    <w:rsid w:val="0007094E"/>
    <w:rsid w:val="000713F6"/>
    <w:rsid w:val="000727D9"/>
    <w:rsid w:val="000744B9"/>
    <w:rsid w:val="0007632A"/>
    <w:rsid w:val="00077E9C"/>
    <w:rsid w:val="00080A4B"/>
    <w:rsid w:val="00081222"/>
    <w:rsid w:val="000924F1"/>
    <w:rsid w:val="0009319A"/>
    <w:rsid w:val="000959B2"/>
    <w:rsid w:val="00096014"/>
    <w:rsid w:val="00096C2C"/>
    <w:rsid w:val="000A1D50"/>
    <w:rsid w:val="000A2B8B"/>
    <w:rsid w:val="000A2C8B"/>
    <w:rsid w:val="000A3274"/>
    <w:rsid w:val="000A458A"/>
    <w:rsid w:val="000B1A99"/>
    <w:rsid w:val="000B2CE2"/>
    <w:rsid w:val="000B4BA5"/>
    <w:rsid w:val="000B4C41"/>
    <w:rsid w:val="000B5202"/>
    <w:rsid w:val="000C0160"/>
    <w:rsid w:val="000C4770"/>
    <w:rsid w:val="000C64FF"/>
    <w:rsid w:val="000C70C9"/>
    <w:rsid w:val="000D159F"/>
    <w:rsid w:val="000D1BB1"/>
    <w:rsid w:val="000D2A09"/>
    <w:rsid w:val="000D48F4"/>
    <w:rsid w:val="000D4D4A"/>
    <w:rsid w:val="000E338D"/>
    <w:rsid w:val="000E6128"/>
    <w:rsid w:val="000E6C7B"/>
    <w:rsid w:val="000F0009"/>
    <w:rsid w:val="000F1099"/>
    <w:rsid w:val="000F3073"/>
    <w:rsid w:val="000F3463"/>
    <w:rsid w:val="000F6C90"/>
    <w:rsid w:val="001031EA"/>
    <w:rsid w:val="00104C25"/>
    <w:rsid w:val="001052CA"/>
    <w:rsid w:val="001070AE"/>
    <w:rsid w:val="00113525"/>
    <w:rsid w:val="001169D7"/>
    <w:rsid w:val="0012004A"/>
    <w:rsid w:val="00124D53"/>
    <w:rsid w:val="00133253"/>
    <w:rsid w:val="001334A9"/>
    <w:rsid w:val="001343BD"/>
    <w:rsid w:val="00136CA7"/>
    <w:rsid w:val="00137C5D"/>
    <w:rsid w:val="00137EFF"/>
    <w:rsid w:val="0014054B"/>
    <w:rsid w:val="00141F28"/>
    <w:rsid w:val="001438E6"/>
    <w:rsid w:val="00145D38"/>
    <w:rsid w:val="00150068"/>
    <w:rsid w:val="00152589"/>
    <w:rsid w:val="00154244"/>
    <w:rsid w:val="00160141"/>
    <w:rsid w:val="00161BE7"/>
    <w:rsid w:val="00164E86"/>
    <w:rsid w:val="00166F47"/>
    <w:rsid w:val="0017112E"/>
    <w:rsid w:val="00182C4B"/>
    <w:rsid w:val="00183139"/>
    <w:rsid w:val="001954A6"/>
    <w:rsid w:val="001974AD"/>
    <w:rsid w:val="00197664"/>
    <w:rsid w:val="00197895"/>
    <w:rsid w:val="001A00C9"/>
    <w:rsid w:val="001A07B0"/>
    <w:rsid w:val="001A0984"/>
    <w:rsid w:val="001A26DF"/>
    <w:rsid w:val="001A3B97"/>
    <w:rsid w:val="001A3C70"/>
    <w:rsid w:val="001A52EA"/>
    <w:rsid w:val="001A60A7"/>
    <w:rsid w:val="001B0DB8"/>
    <w:rsid w:val="001B1BA0"/>
    <w:rsid w:val="001B5642"/>
    <w:rsid w:val="001B79F7"/>
    <w:rsid w:val="001B7F80"/>
    <w:rsid w:val="001C014F"/>
    <w:rsid w:val="001C0E99"/>
    <w:rsid w:val="001C4720"/>
    <w:rsid w:val="001C7766"/>
    <w:rsid w:val="001D0E9F"/>
    <w:rsid w:val="001D1002"/>
    <w:rsid w:val="001D1D42"/>
    <w:rsid w:val="001D3C6A"/>
    <w:rsid w:val="001D60CA"/>
    <w:rsid w:val="001D64FF"/>
    <w:rsid w:val="001E1818"/>
    <w:rsid w:val="001E2DF3"/>
    <w:rsid w:val="001E637B"/>
    <w:rsid w:val="001E6791"/>
    <w:rsid w:val="001E7447"/>
    <w:rsid w:val="001F0D06"/>
    <w:rsid w:val="001F36B5"/>
    <w:rsid w:val="00200655"/>
    <w:rsid w:val="00200F59"/>
    <w:rsid w:val="00201B09"/>
    <w:rsid w:val="00202125"/>
    <w:rsid w:val="00210D8E"/>
    <w:rsid w:val="002131C2"/>
    <w:rsid w:val="0021373E"/>
    <w:rsid w:val="00214D52"/>
    <w:rsid w:val="0021523A"/>
    <w:rsid w:val="00215340"/>
    <w:rsid w:val="00216F44"/>
    <w:rsid w:val="00217D18"/>
    <w:rsid w:val="002218F5"/>
    <w:rsid w:val="00224323"/>
    <w:rsid w:val="00226238"/>
    <w:rsid w:val="00227BE2"/>
    <w:rsid w:val="00233056"/>
    <w:rsid w:val="00234BDF"/>
    <w:rsid w:val="00236341"/>
    <w:rsid w:val="0024196D"/>
    <w:rsid w:val="00243E34"/>
    <w:rsid w:val="00244C05"/>
    <w:rsid w:val="00251230"/>
    <w:rsid w:val="00251B05"/>
    <w:rsid w:val="002532D0"/>
    <w:rsid w:val="002549A4"/>
    <w:rsid w:val="00256126"/>
    <w:rsid w:val="00256B7F"/>
    <w:rsid w:val="00256FA3"/>
    <w:rsid w:val="00261092"/>
    <w:rsid w:val="00264509"/>
    <w:rsid w:val="00266964"/>
    <w:rsid w:val="00267985"/>
    <w:rsid w:val="00270200"/>
    <w:rsid w:val="0027360F"/>
    <w:rsid w:val="00273AD1"/>
    <w:rsid w:val="00274DD5"/>
    <w:rsid w:val="002754A1"/>
    <w:rsid w:val="00275C00"/>
    <w:rsid w:val="00277C48"/>
    <w:rsid w:val="00280454"/>
    <w:rsid w:val="002848A9"/>
    <w:rsid w:val="002856BB"/>
    <w:rsid w:val="0028651B"/>
    <w:rsid w:val="00291060"/>
    <w:rsid w:val="0029243D"/>
    <w:rsid w:val="0029375D"/>
    <w:rsid w:val="002A0153"/>
    <w:rsid w:val="002A0589"/>
    <w:rsid w:val="002A0EFE"/>
    <w:rsid w:val="002A440B"/>
    <w:rsid w:val="002A4CD4"/>
    <w:rsid w:val="002A6232"/>
    <w:rsid w:val="002A6561"/>
    <w:rsid w:val="002B336B"/>
    <w:rsid w:val="002B340D"/>
    <w:rsid w:val="002B41A7"/>
    <w:rsid w:val="002C13A8"/>
    <w:rsid w:val="002C3641"/>
    <w:rsid w:val="002C6E81"/>
    <w:rsid w:val="002C774E"/>
    <w:rsid w:val="002D2220"/>
    <w:rsid w:val="002D3678"/>
    <w:rsid w:val="002D51D7"/>
    <w:rsid w:val="002D5239"/>
    <w:rsid w:val="002D5BA5"/>
    <w:rsid w:val="002D5BEB"/>
    <w:rsid w:val="002D6C52"/>
    <w:rsid w:val="002E291A"/>
    <w:rsid w:val="002E2F97"/>
    <w:rsid w:val="002E3D76"/>
    <w:rsid w:val="002E5494"/>
    <w:rsid w:val="002E5E21"/>
    <w:rsid w:val="002E783A"/>
    <w:rsid w:val="002F306F"/>
    <w:rsid w:val="002F3337"/>
    <w:rsid w:val="002F38D4"/>
    <w:rsid w:val="002F496C"/>
    <w:rsid w:val="002F5D3F"/>
    <w:rsid w:val="002F6130"/>
    <w:rsid w:val="002F6B53"/>
    <w:rsid w:val="00301274"/>
    <w:rsid w:val="00301C9B"/>
    <w:rsid w:val="00302749"/>
    <w:rsid w:val="003036A8"/>
    <w:rsid w:val="00304933"/>
    <w:rsid w:val="00304C48"/>
    <w:rsid w:val="00305889"/>
    <w:rsid w:val="00306AB2"/>
    <w:rsid w:val="00306F72"/>
    <w:rsid w:val="003110A5"/>
    <w:rsid w:val="0032002F"/>
    <w:rsid w:val="0032003B"/>
    <w:rsid w:val="00321F87"/>
    <w:rsid w:val="0032486D"/>
    <w:rsid w:val="00331F39"/>
    <w:rsid w:val="00332B46"/>
    <w:rsid w:val="00333EFB"/>
    <w:rsid w:val="003354DE"/>
    <w:rsid w:val="00337A04"/>
    <w:rsid w:val="00340CA7"/>
    <w:rsid w:val="00343DAF"/>
    <w:rsid w:val="003440CC"/>
    <w:rsid w:val="00344F41"/>
    <w:rsid w:val="00346473"/>
    <w:rsid w:val="00347488"/>
    <w:rsid w:val="003510A9"/>
    <w:rsid w:val="00354280"/>
    <w:rsid w:val="00356E28"/>
    <w:rsid w:val="00357681"/>
    <w:rsid w:val="003601C2"/>
    <w:rsid w:val="003619F1"/>
    <w:rsid w:val="003629F3"/>
    <w:rsid w:val="003644B2"/>
    <w:rsid w:val="003650F7"/>
    <w:rsid w:val="003651DF"/>
    <w:rsid w:val="00377C92"/>
    <w:rsid w:val="00377E61"/>
    <w:rsid w:val="003809FA"/>
    <w:rsid w:val="00380B69"/>
    <w:rsid w:val="00380CE2"/>
    <w:rsid w:val="00381FD0"/>
    <w:rsid w:val="0038250C"/>
    <w:rsid w:val="00382DB2"/>
    <w:rsid w:val="00382F57"/>
    <w:rsid w:val="003854E8"/>
    <w:rsid w:val="00387E40"/>
    <w:rsid w:val="00387F5B"/>
    <w:rsid w:val="003907CB"/>
    <w:rsid w:val="00394663"/>
    <w:rsid w:val="00394C43"/>
    <w:rsid w:val="00394CEA"/>
    <w:rsid w:val="00397AEB"/>
    <w:rsid w:val="003A0A26"/>
    <w:rsid w:val="003A3D39"/>
    <w:rsid w:val="003A48DA"/>
    <w:rsid w:val="003A5753"/>
    <w:rsid w:val="003B0879"/>
    <w:rsid w:val="003B09EE"/>
    <w:rsid w:val="003B5D3E"/>
    <w:rsid w:val="003B60FE"/>
    <w:rsid w:val="003B78BC"/>
    <w:rsid w:val="003C203F"/>
    <w:rsid w:val="003C21E2"/>
    <w:rsid w:val="003C6F85"/>
    <w:rsid w:val="003D0AD2"/>
    <w:rsid w:val="003D2B32"/>
    <w:rsid w:val="003D3004"/>
    <w:rsid w:val="003E0FB1"/>
    <w:rsid w:val="003E15DF"/>
    <w:rsid w:val="003E2CB0"/>
    <w:rsid w:val="003E2ECF"/>
    <w:rsid w:val="003E4507"/>
    <w:rsid w:val="003E4F85"/>
    <w:rsid w:val="003E5A57"/>
    <w:rsid w:val="003E7C88"/>
    <w:rsid w:val="003E7FCF"/>
    <w:rsid w:val="003F1D09"/>
    <w:rsid w:val="003F3ECA"/>
    <w:rsid w:val="00400079"/>
    <w:rsid w:val="00400CE9"/>
    <w:rsid w:val="00402B43"/>
    <w:rsid w:val="00412421"/>
    <w:rsid w:val="00414994"/>
    <w:rsid w:val="00415467"/>
    <w:rsid w:val="004200B8"/>
    <w:rsid w:val="00421804"/>
    <w:rsid w:val="004220A4"/>
    <w:rsid w:val="00422BC6"/>
    <w:rsid w:val="00423CD9"/>
    <w:rsid w:val="00423DE4"/>
    <w:rsid w:val="00430CDA"/>
    <w:rsid w:val="00435E14"/>
    <w:rsid w:val="00442960"/>
    <w:rsid w:val="00444235"/>
    <w:rsid w:val="00444EB9"/>
    <w:rsid w:val="00451CAC"/>
    <w:rsid w:val="00452765"/>
    <w:rsid w:val="00454C8A"/>
    <w:rsid w:val="00457367"/>
    <w:rsid w:val="004575FC"/>
    <w:rsid w:val="00462B4C"/>
    <w:rsid w:val="00463620"/>
    <w:rsid w:val="0047280B"/>
    <w:rsid w:val="00476682"/>
    <w:rsid w:val="00477EFD"/>
    <w:rsid w:val="00480527"/>
    <w:rsid w:val="0048275D"/>
    <w:rsid w:val="0048402F"/>
    <w:rsid w:val="00484D7F"/>
    <w:rsid w:val="0048564E"/>
    <w:rsid w:val="00486FD5"/>
    <w:rsid w:val="0048706C"/>
    <w:rsid w:val="00490ECD"/>
    <w:rsid w:val="004917B4"/>
    <w:rsid w:val="004944E6"/>
    <w:rsid w:val="00494C6D"/>
    <w:rsid w:val="00495BE7"/>
    <w:rsid w:val="004A075A"/>
    <w:rsid w:val="004A3334"/>
    <w:rsid w:val="004A3AC9"/>
    <w:rsid w:val="004A62EE"/>
    <w:rsid w:val="004B2DEE"/>
    <w:rsid w:val="004B5990"/>
    <w:rsid w:val="004C041F"/>
    <w:rsid w:val="004C6811"/>
    <w:rsid w:val="004D6274"/>
    <w:rsid w:val="004D6E31"/>
    <w:rsid w:val="004D70BE"/>
    <w:rsid w:val="004E266F"/>
    <w:rsid w:val="004E62AD"/>
    <w:rsid w:val="004F0217"/>
    <w:rsid w:val="004F254F"/>
    <w:rsid w:val="005007CE"/>
    <w:rsid w:val="00501D8E"/>
    <w:rsid w:val="00501EA6"/>
    <w:rsid w:val="005043B1"/>
    <w:rsid w:val="005101B6"/>
    <w:rsid w:val="00510747"/>
    <w:rsid w:val="005118F3"/>
    <w:rsid w:val="00514679"/>
    <w:rsid w:val="0051585D"/>
    <w:rsid w:val="00515AD7"/>
    <w:rsid w:val="00516740"/>
    <w:rsid w:val="00517C84"/>
    <w:rsid w:val="005227A3"/>
    <w:rsid w:val="0052392D"/>
    <w:rsid w:val="00527595"/>
    <w:rsid w:val="00531931"/>
    <w:rsid w:val="00535568"/>
    <w:rsid w:val="00535978"/>
    <w:rsid w:val="005368A9"/>
    <w:rsid w:val="00537036"/>
    <w:rsid w:val="00542C81"/>
    <w:rsid w:val="00544097"/>
    <w:rsid w:val="00545426"/>
    <w:rsid w:val="00552358"/>
    <w:rsid w:val="005561E4"/>
    <w:rsid w:val="005576A2"/>
    <w:rsid w:val="0056165D"/>
    <w:rsid w:val="005641E3"/>
    <w:rsid w:val="005677E5"/>
    <w:rsid w:val="00570D16"/>
    <w:rsid w:val="0057288B"/>
    <w:rsid w:val="00576475"/>
    <w:rsid w:val="0058060D"/>
    <w:rsid w:val="00581A0B"/>
    <w:rsid w:val="00582531"/>
    <w:rsid w:val="005850E1"/>
    <w:rsid w:val="00585DF3"/>
    <w:rsid w:val="00587C1F"/>
    <w:rsid w:val="005905BB"/>
    <w:rsid w:val="00590A70"/>
    <w:rsid w:val="00590B88"/>
    <w:rsid w:val="005927BC"/>
    <w:rsid w:val="00593C21"/>
    <w:rsid w:val="00596713"/>
    <w:rsid w:val="00596B89"/>
    <w:rsid w:val="00596DDC"/>
    <w:rsid w:val="005A3136"/>
    <w:rsid w:val="005A70DF"/>
    <w:rsid w:val="005B1764"/>
    <w:rsid w:val="005B24E1"/>
    <w:rsid w:val="005B46CA"/>
    <w:rsid w:val="005B4A2C"/>
    <w:rsid w:val="005B5626"/>
    <w:rsid w:val="005B6311"/>
    <w:rsid w:val="005B6510"/>
    <w:rsid w:val="005B780A"/>
    <w:rsid w:val="005C1835"/>
    <w:rsid w:val="005C1F8A"/>
    <w:rsid w:val="005C2379"/>
    <w:rsid w:val="005C4321"/>
    <w:rsid w:val="005C4567"/>
    <w:rsid w:val="005C62E5"/>
    <w:rsid w:val="005D248D"/>
    <w:rsid w:val="005D60F4"/>
    <w:rsid w:val="005E17BE"/>
    <w:rsid w:val="005E2CE9"/>
    <w:rsid w:val="005E3384"/>
    <w:rsid w:val="005E3446"/>
    <w:rsid w:val="005E34F7"/>
    <w:rsid w:val="005E5359"/>
    <w:rsid w:val="005E567D"/>
    <w:rsid w:val="005E57BB"/>
    <w:rsid w:val="005E5AA3"/>
    <w:rsid w:val="005E6200"/>
    <w:rsid w:val="005F0473"/>
    <w:rsid w:val="005F26AF"/>
    <w:rsid w:val="005F5E68"/>
    <w:rsid w:val="005F7176"/>
    <w:rsid w:val="00603AC9"/>
    <w:rsid w:val="00604D41"/>
    <w:rsid w:val="00605A52"/>
    <w:rsid w:val="00607951"/>
    <w:rsid w:val="006109A2"/>
    <w:rsid w:val="00611BD4"/>
    <w:rsid w:val="00612545"/>
    <w:rsid w:val="00613111"/>
    <w:rsid w:val="00613BC5"/>
    <w:rsid w:val="0061469C"/>
    <w:rsid w:val="006148D1"/>
    <w:rsid w:val="006154D2"/>
    <w:rsid w:val="00617A01"/>
    <w:rsid w:val="00621477"/>
    <w:rsid w:val="006236C7"/>
    <w:rsid w:val="00626E24"/>
    <w:rsid w:val="00627B62"/>
    <w:rsid w:val="00633DEE"/>
    <w:rsid w:val="0063577A"/>
    <w:rsid w:val="006357FD"/>
    <w:rsid w:val="00636233"/>
    <w:rsid w:val="006362A7"/>
    <w:rsid w:val="006370B6"/>
    <w:rsid w:val="00642A24"/>
    <w:rsid w:val="00642C2B"/>
    <w:rsid w:val="006435B5"/>
    <w:rsid w:val="00643CA4"/>
    <w:rsid w:val="00644807"/>
    <w:rsid w:val="006503A8"/>
    <w:rsid w:val="00651BA8"/>
    <w:rsid w:val="00661890"/>
    <w:rsid w:val="00661AFC"/>
    <w:rsid w:val="00670DD0"/>
    <w:rsid w:val="00671EFC"/>
    <w:rsid w:val="00674A94"/>
    <w:rsid w:val="00674C12"/>
    <w:rsid w:val="00677FE1"/>
    <w:rsid w:val="00680BFC"/>
    <w:rsid w:val="006814BE"/>
    <w:rsid w:val="00684BBD"/>
    <w:rsid w:val="0068636C"/>
    <w:rsid w:val="00686C92"/>
    <w:rsid w:val="00687F19"/>
    <w:rsid w:val="006A06C9"/>
    <w:rsid w:val="006A22E3"/>
    <w:rsid w:val="006A3763"/>
    <w:rsid w:val="006B1714"/>
    <w:rsid w:val="006B3154"/>
    <w:rsid w:val="006B4A07"/>
    <w:rsid w:val="006B683D"/>
    <w:rsid w:val="006B7003"/>
    <w:rsid w:val="006B7A41"/>
    <w:rsid w:val="006B7F26"/>
    <w:rsid w:val="006C1678"/>
    <w:rsid w:val="006C20E2"/>
    <w:rsid w:val="006C2338"/>
    <w:rsid w:val="006C4844"/>
    <w:rsid w:val="006C7459"/>
    <w:rsid w:val="006C7637"/>
    <w:rsid w:val="006D0D6D"/>
    <w:rsid w:val="006D26E3"/>
    <w:rsid w:val="006D49CF"/>
    <w:rsid w:val="006D5928"/>
    <w:rsid w:val="006D6264"/>
    <w:rsid w:val="006E0139"/>
    <w:rsid w:val="006E34AC"/>
    <w:rsid w:val="006E3666"/>
    <w:rsid w:val="006E3B14"/>
    <w:rsid w:val="006E65D2"/>
    <w:rsid w:val="006E760A"/>
    <w:rsid w:val="006F3917"/>
    <w:rsid w:val="006F3C9E"/>
    <w:rsid w:val="006F5294"/>
    <w:rsid w:val="00701F59"/>
    <w:rsid w:val="00703017"/>
    <w:rsid w:val="00705DC8"/>
    <w:rsid w:val="00706894"/>
    <w:rsid w:val="00712BB7"/>
    <w:rsid w:val="007131E7"/>
    <w:rsid w:val="00713231"/>
    <w:rsid w:val="007206E7"/>
    <w:rsid w:val="00722E37"/>
    <w:rsid w:val="00725F60"/>
    <w:rsid w:val="00725FC9"/>
    <w:rsid w:val="00730739"/>
    <w:rsid w:val="007333A9"/>
    <w:rsid w:val="00733D03"/>
    <w:rsid w:val="00734FD0"/>
    <w:rsid w:val="00736A46"/>
    <w:rsid w:val="00737EBC"/>
    <w:rsid w:val="0074164C"/>
    <w:rsid w:val="0074620B"/>
    <w:rsid w:val="00750393"/>
    <w:rsid w:val="00751E33"/>
    <w:rsid w:val="007520A9"/>
    <w:rsid w:val="007527EC"/>
    <w:rsid w:val="007550D9"/>
    <w:rsid w:val="007565F1"/>
    <w:rsid w:val="007601FE"/>
    <w:rsid w:val="0076199B"/>
    <w:rsid w:val="0076507A"/>
    <w:rsid w:val="00765880"/>
    <w:rsid w:val="0077003B"/>
    <w:rsid w:val="00775E95"/>
    <w:rsid w:val="007765E4"/>
    <w:rsid w:val="00781DDE"/>
    <w:rsid w:val="00782983"/>
    <w:rsid w:val="0078343C"/>
    <w:rsid w:val="00784E93"/>
    <w:rsid w:val="00786F89"/>
    <w:rsid w:val="00791A77"/>
    <w:rsid w:val="00792176"/>
    <w:rsid w:val="007922DF"/>
    <w:rsid w:val="00792C46"/>
    <w:rsid w:val="00797111"/>
    <w:rsid w:val="007975F5"/>
    <w:rsid w:val="007A0B82"/>
    <w:rsid w:val="007A2E2F"/>
    <w:rsid w:val="007A3A03"/>
    <w:rsid w:val="007A5263"/>
    <w:rsid w:val="007A6F0F"/>
    <w:rsid w:val="007B4314"/>
    <w:rsid w:val="007B7B6F"/>
    <w:rsid w:val="007C0EA4"/>
    <w:rsid w:val="007C26FF"/>
    <w:rsid w:val="007C2A14"/>
    <w:rsid w:val="007C459B"/>
    <w:rsid w:val="007C59E4"/>
    <w:rsid w:val="007C6348"/>
    <w:rsid w:val="007C64AC"/>
    <w:rsid w:val="007C7B82"/>
    <w:rsid w:val="007D3309"/>
    <w:rsid w:val="007D3E05"/>
    <w:rsid w:val="007D3FE9"/>
    <w:rsid w:val="007E0D54"/>
    <w:rsid w:val="007E1E21"/>
    <w:rsid w:val="007E2895"/>
    <w:rsid w:val="007E2F12"/>
    <w:rsid w:val="007F23F1"/>
    <w:rsid w:val="007F4D19"/>
    <w:rsid w:val="007F50AE"/>
    <w:rsid w:val="007F78D3"/>
    <w:rsid w:val="00800F43"/>
    <w:rsid w:val="0080449E"/>
    <w:rsid w:val="00807B87"/>
    <w:rsid w:val="0081084A"/>
    <w:rsid w:val="00815E13"/>
    <w:rsid w:val="00821A96"/>
    <w:rsid w:val="0082251A"/>
    <w:rsid w:val="008257BC"/>
    <w:rsid w:val="00826F27"/>
    <w:rsid w:val="008270D3"/>
    <w:rsid w:val="0083196E"/>
    <w:rsid w:val="00834A05"/>
    <w:rsid w:val="00835584"/>
    <w:rsid w:val="00837AB2"/>
    <w:rsid w:val="008413E3"/>
    <w:rsid w:val="008430C5"/>
    <w:rsid w:val="008437CA"/>
    <w:rsid w:val="0084406B"/>
    <w:rsid w:val="008447C1"/>
    <w:rsid w:val="00846462"/>
    <w:rsid w:val="0084745F"/>
    <w:rsid w:val="00850019"/>
    <w:rsid w:val="00854915"/>
    <w:rsid w:val="0085505D"/>
    <w:rsid w:val="00855A6C"/>
    <w:rsid w:val="00857C80"/>
    <w:rsid w:val="00860C72"/>
    <w:rsid w:val="008619E3"/>
    <w:rsid w:val="0086501B"/>
    <w:rsid w:val="00865237"/>
    <w:rsid w:val="00866104"/>
    <w:rsid w:val="00867F2B"/>
    <w:rsid w:val="00871072"/>
    <w:rsid w:val="0087144A"/>
    <w:rsid w:val="00871923"/>
    <w:rsid w:val="00873989"/>
    <w:rsid w:val="00874A21"/>
    <w:rsid w:val="008757D7"/>
    <w:rsid w:val="00880D31"/>
    <w:rsid w:val="00881516"/>
    <w:rsid w:val="008828B3"/>
    <w:rsid w:val="00883283"/>
    <w:rsid w:val="00883855"/>
    <w:rsid w:val="0088495D"/>
    <w:rsid w:val="008850A2"/>
    <w:rsid w:val="00897800"/>
    <w:rsid w:val="008A1695"/>
    <w:rsid w:val="008A2817"/>
    <w:rsid w:val="008A655E"/>
    <w:rsid w:val="008A66BF"/>
    <w:rsid w:val="008A678C"/>
    <w:rsid w:val="008A73DF"/>
    <w:rsid w:val="008B01AD"/>
    <w:rsid w:val="008B70EC"/>
    <w:rsid w:val="008C0041"/>
    <w:rsid w:val="008C276D"/>
    <w:rsid w:val="008C4C35"/>
    <w:rsid w:val="008C57E3"/>
    <w:rsid w:val="008C6DEB"/>
    <w:rsid w:val="008D1B1D"/>
    <w:rsid w:val="008D47F2"/>
    <w:rsid w:val="008D6F3F"/>
    <w:rsid w:val="008E1E7F"/>
    <w:rsid w:val="008E3DB2"/>
    <w:rsid w:val="008E41B1"/>
    <w:rsid w:val="008E4FEA"/>
    <w:rsid w:val="008E7311"/>
    <w:rsid w:val="008E7484"/>
    <w:rsid w:val="008F0753"/>
    <w:rsid w:val="008F089E"/>
    <w:rsid w:val="008F0A7B"/>
    <w:rsid w:val="008F1049"/>
    <w:rsid w:val="008F168A"/>
    <w:rsid w:val="008F53FE"/>
    <w:rsid w:val="008F57FF"/>
    <w:rsid w:val="008F6E77"/>
    <w:rsid w:val="00900835"/>
    <w:rsid w:val="0090133B"/>
    <w:rsid w:val="00901427"/>
    <w:rsid w:val="00901B98"/>
    <w:rsid w:val="009026B0"/>
    <w:rsid w:val="00903DD3"/>
    <w:rsid w:val="009057A5"/>
    <w:rsid w:val="0090773B"/>
    <w:rsid w:val="0091200E"/>
    <w:rsid w:val="00914CE5"/>
    <w:rsid w:val="00914FCE"/>
    <w:rsid w:val="0091550C"/>
    <w:rsid w:val="0091602A"/>
    <w:rsid w:val="0091790B"/>
    <w:rsid w:val="00920A1F"/>
    <w:rsid w:val="00922BCC"/>
    <w:rsid w:val="00922F57"/>
    <w:rsid w:val="00925875"/>
    <w:rsid w:val="009331D4"/>
    <w:rsid w:val="0093377A"/>
    <w:rsid w:val="00934B9C"/>
    <w:rsid w:val="0093604B"/>
    <w:rsid w:val="009362E4"/>
    <w:rsid w:val="00937D21"/>
    <w:rsid w:val="009457FB"/>
    <w:rsid w:val="00950BE1"/>
    <w:rsid w:val="0095155F"/>
    <w:rsid w:val="009525B6"/>
    <w:rsid w:val="009545B3"/>
    <w:rsid w:val="00955454"/>
    <w:rsid w:val="00955775"/>
    <w:rsid w:val="00960E1C"/>
    <w:rsid w:val="00961185"/>
    <w:rsid w:val="00962069"/>
    <w:rsid w:val="009640D3"/>
    <w:rsid w:val="00966124"/>
    <w:rsid w:val="00966DA8"/>
    <w:rsid w:val="0097157A"/>
    <w:rsid w:val="00974884"/>
    <w:rsid w:val="00980EA2"/>
    <w:rsid w:val="00983466"/>
    <w:rsid w:val="00985895"/>
    <w:rsid w:val="00987445"/>
    <w:rsid w:val="009902F3"/>
    <w:rsid w:val="00990306"/>
    <w:rsid w:val="009920E2"/>
    <w:rsid w:val="0099288A"/>
    <w:rsid w:val="009A0078"/>
    <w:rsid w:val="009A2D7B"/>
    <w:rsid w:val="009A2E84"/>
    <w:rsid w:val="009A3553"/>
    <w:rsid w:val="009A3731"/>
    <w:rsid w:val="009A57ED"/>
    <w:rsid w:val="009A7F66"/>
    <w:rsid w:val="009B353D"/>
    <w:rsid w:val="009B430B"/>
    <w:rsid w:val="009B5EC5"/>
    <w:rsid w:val="009B79C5"/>
    <w:rsid w:val="009B7BC4"/>
    <w:rsid w:val="009C240C"/>
    <w:rsid w:val="009C56F0"/>
    <w:rsid w:val="009C6220"/>
    <w:rsid w:val="009C6482"/>
    <w:rsid w:val="009D2A93"/>
    <w:rsid w:val="009D45E0"/>
    <w:rsid w:val="009F0A36"/>
    <w:rsid w:val="009F58E3"/>
    <w:rsid w:val="00A045F3"/>
    <w:rsid w:val="00A04B91"/>
    <w:rsid w:val="00A053A2"/>
    <w:rsid w:val="00A056F0"/>
    <w:rsid w:val="00A05E5C"/>
    <w:rsid w:val="00A07CD2"/>
    <w:rsid w:val="00A111B0"/>
    <w:rsid w:val="00A11210"/>
    <w:rsid w:val="00A1200D"/>
    <w:rsid w:val="00A154A8"/>
    <w:rsid w:val="00A16BC4"/>
    <w:rsid w:val="00A17DE0"/>
    <w:rsid w:val="00A20986"/>
    <w:rsid w:val="00A20D6C"/>
    <w:rsid w:val="00A24D8C"/>
    <w:rsid w:val="00A25517"/>
    <w:rsid w:val="00A26342"/>
    <w:rsid w:val="00A26B36"/>
    <w:rsid w:val="00A26C1B"/>
    <w:rsid w:val="00A27F92"/>
    <w:rsid w:val="00A30607"/>
    <w:rsid w:val="00A352E6"/>
    <w:rsid w:val="00A35EDB"/>
    <w:rsid w:val="00A41423"/>
    <w:rsid w:val="00A45B73"/>
    <w:rsid w:val="00A4677D"/>
    <w:rsid w:val="00A4721A"/>
    <w:rsid w:val="00A47FF7"/>
    <w:rsid w:val="00A51DE6"/>
    <w:rsid w:val="00A53E16"/>
    <w:rsid w:val="00A54D28"/>
    <w:rsid w:val="00A54E17"/>
    <w:rsid w:val="00A6372F"/>
    <w:rsid w:val="00A64C7F"/>
    <w:rsid w:val="00A6519D"/>
    <w:rsid w:val="00A65BF5"/>
    <w:rsid w:val="00A75216"/>
    <w:rsid w:val="00A75484"/>
    <w:rsid w:val="00A75BA4"/>
    <w:rsid w:val="00A80F38"/>
    <w:rsid w:val="00A8231F"/>
    <w:rsid w:val="00A8720B"/>
    <w:rsid w:val="00A90F03"/>
    <w:rsid w:val="00A9121C"/>
    <w:rsid w:val="00A9192D"/>
    <w:rsid w:val="00A92A04"/>
    <w:rsid w:val="00A951AF"/>
    <w:rsid w:val="00A95346"/>
    <w:rsid w:val="00A95C6F"/>
    <w:rsid w:val="00A96D0E"/>
    <w:rsid w:val="00AA3057"/>
    <w:rsid w:val="00AA37EA"/>
    <w:rsid w:val="00AA3B53"/>
    <w:rsid w:val="00AB0BE3"/>
    <w:rsid w:val="00AB2952"/>
    <w:rsid w:val="00AB42CD"/>
    <w:rsid w:val="00AB438D"/>
    <w:rsid w:val="00AB61EF"/>
    <w:rsid w:val="00AB6AB6"/>
    <w:rsid w:val="00AC1850"/>
    <w:rsid w:val="00AC384B"/>
    <w:rsid w:val="00AC4895"/>
    <w:rsid w:val="00AC53F1"/>
    <w:rsid w:val="00AC7442"/>
    <w:rsid w:val="00AD7337"/>
    <w:rsid w:val="00AD7609"/>
    <w:rsid w:val="00AE2D9F"/>
    <w:rsid w:val="00AF0337"/>
    <w:rsid w:val="00AF1C82"/>
    <w:rsid w:val="00AF2BBD"/>
    <w:rsid w:val="00AF3C18"/>
    <w:rsid w:val="00AF419A"/>
    <w:rsid w:val="00AF4F77"/>
    <w:rsid w:val="00AF5DA3"/>
    <w:rsid w:val="00B00F0D"/>
    <w:rsid w:val="00B010C2"/>
    <w:rsid w:val="00B02B61"/>
    <w:rsid w:val="00B03EA5"/>
    <w:rsid w:val="00B047F6"/>
    <w:rsid w:val="00B04EC3"/>
    <w:rsid w:val="00B10E41"/>
    <w:rsid w:val="00B152D6"/>
    <w:rsid w:val="00B22982"/>
    <w:rsid w:val="00B2421F"/>
    <w:rsid w:val="00B24319"/>
    <w:rsid w:val="00B26696"/>
    <w:rsid w:val="00B307F0"/>
    <w:rsid w:val="00B336DF"/>
    <w:rsid w:val="00B3444D"/>
    <w:rsid w:val="00B34FED"/>
    <w:rsid w:val="00B369CA"/>
    <w:rsid w:val="00B41A14"/>
    <w:rsid w:val="00B43640"/>
    <w:rsid w:val="00B46B7B"/>
    <w:rsid w:val="00B47B66"/>
    <w:rsid w:val="00B51A2A"/>
    <w:rsid w:val="00B52647"/>
    <w:rsid w:val="00B5292C"/>
    <w:rsid w:val="00B52FC8"/>
    <w:rsid w:val="00B537E1"/>
    <w:rsid w:val="00B55551"/>
    <w:rsid w:val="00B65F8E"/>
    <w:rsid w:val="00B67178"/>
    <w:rsid w:val="00B76612"/>
    <w:rsid w:val="00B76CE9"/>
    <w:rsid w:val="00B76D72"/>
    <w:rsid w:val="00B81965"/>
    <w:rsid w:val="00B835EF"/>
    <w:rsid w:val="00B840F4"/>
    <w:rsid w:val="00B8621D"/>
    <w:rsid w:val="00B9105C"/>
    <w:rsid w:val="00B9375D"/>
    <w:rsid w:val="00B93D45"/>
    <w:rsid w:val="00B9528D"/>
    <w:rsid w:val="00B96A29"/>
    <w:rsid w:val="00B96C40"/>
    <w:rsid w:val="00B96E38"/>
    <w:rsid w:val="00BA4BAC"/>
    <w:rsid w:val="00BA5230"/>
    <w:rsid w:val="00BA590C"/>
    <w:rsid w:val="00BA77BF"/>
    <w:rsid w:val="00BB00D8"/>
    <w:rsid w:val="00BB00DF"/>
    <w:rsid w:val="00BB2CB7"/>
    <w:rsid w:val="00BB2EA5"/>
    <w:rsid w:val="00BB34E7"/>
    <w:rsid w:val="00BB3660"/>
    <w:rsid w:val="00BC0098"/>
    <w:rsid w:val="00BC1528"/>
    <w:rsid w:val="00BC2821"/>
    <w:rsid w:val="00BC42CF"/>
    <w:rsid w:val="00BC4D40"/>
    <w:rsid w:val="00BC7ACD"/>
    <w:rsid w:val="00BD0C52"/>
    <w:rsid w:val="00BD1C16"/>
    <w:rsid w:val="00BD3E57"/>
    <w:rsid w:val="00BD6130"/>
    <w:rsid w:val="00BD70B9"/>
    <w:rsid w:val="00BD76BF"/>
    <w:rsid w:val="00BE75BD"/>
    <w:rsid w:val="00BF149A"/>
    <w:rsid w:val="00BF2110"/>
    <w:rsid w:val="00BF2776"/>
    <w:rsid w:val="00BF5620"/>
    <w:rsid w:val="00BF58D2"/>
    <w:rsid w:val="00C062B3"/>
    <w:rsid w:val="00C06989"/>
    <w:rsid w:val="00C07DB4"/>
    <w:rsid w:val="00C07E27"/>
    <w:rsid w:val="00C10AC4"/>
    <w:rsid w:val="00C10F3F"/>
    <w:rsid w:val="00C15CBD"/>
    <w:rsid w:val="00C25E45"/>
    <w:rsid w:val="00C264F7"/>
    <w:rsid w:val="00C27D33"/>
    <w:rsid w:val="00C300D2"/>
    <w:rsid w:val="00C31601"/>
    <w:rsid w:val="00C32822"/>
    <w:rsid w:val="00C32D7F"/>
    <w:rsid w:val="00C33921"/>
    <w:rsid w:val="00C34209"/>
    <w:rsid w:val="00C371BD"/>
    <w:rsid w:val="00C40D73"/>
    <w:rsid w:val="00C41C5C"/>
    <w:rsid w:val="00C4275B"/>
    <w:rsid w:val="00C427A1"/>
    <w:rsid w:val="00C43763"/>
    <w:rsid w:val="00C52DD6"/>
    <w:rsid w:val="00C5731D"/>
    <w:rsid w:val="00C5763E"/>
    <w:rsid w:val="00C627D8"/>
    <w:rsid w:val="00C633BA"/>
    <w:rsid w:val="00C6440A"/>
    <w:rsid w:val="00C675D2"/>
    <w:rsid w:val="00C7043F"/>
    <w:rsid w:val="00C707DE"/>
    <w:rsid w:val="00C7102D"/>
    <w:rsid w:val="00C7226C"/>
    <w:rsid w:val="00C763B5"/>
    <w:rsid w:val="00C76CD3"/>
    <w:rsid w:val="00C803B4"/>
    <w:rsid w:val="00C80E04"/>
    <w:rsid w:val="00C81CB0"/>
    <w:rsid w:val="00C84F08"/>
    <w:rsid w:val="00C869B2"/>
    <w:rsid w:val="00C86EF1"/>
    <w:rsid w:val="00C90311"/>
    <w:rsid w:val="00C92427"/>
    <w:rsid w:val="00C95E37"/>
    <w:rsid w:val="00C96112"/>
    <w:rsid w:val="00C966B5"/>
    <w:rsid w:val="00C969F2"/>
    <w:rsid w:val="00C96AD7"/>
    <w:rsid w:val="00CA125C"/>
    <w:rsid w:val="00CA6CF6"/>
    <w:rsid w:val="00CA6D39"/>
    <w:rsid w:val="00CA7190"/>
    <w:rsid w:val="00CA73D4"/>
    <w:rsid w:val="00CB1E48"/>
    <w:rsid w:val="00CC190F"/>
    <w:rsid w:val="00CC26B3"/>
    <w:rsid w:val="00CC374D"/>
    <w:rsid w:val="00CC5B57"/>
    <w:rsid w:val="00CC67C8"/>
    <w:rsid w:val="00CD044A"/>
    <w:rsid w:val="00CD055D"/>
    <w:rsid w:val="00CD0AAB"/>
    <w:rsid w:val="00CD32C2"/>
    <w:rsid w:val="00CD51F0"/>
    <w:rsid w:val="00CD5FF0"/>
    <w:rsid w:val="00CD75E0"/>
    <w:rsid w:val="00CE08FD"/>
    <w:rsid w:val="00CE130F"/>
    <w:rsid w:val="00CE2E45"/>
    <w:rsid w:val="00CE30D8"/>
    <w:rsid w:val="00CE315D"/>
    <w:rsid w:val="00CE5E54"/>
    <w:rsid w:val="00CE78FE"/>
    <w:rsid w:val="00CF2C2B"/>
    <w:rsid w:val="00CF4F26"/>
    <w:rsid w:val="00CF52F4"/>
    <w:rsid w:val="00CF6F7E"/>
    <w:rsid w:val="00D021F7"/>
    <w:rsid w:val="00D030A4"/>
    <w:rsid w:val="00D05549"/>
    <w:rsid w:val="00D0686D"/>
    <w:rsid w:val="00D10C1D"/>
    <w:rsid w:val="00D115C8"/>
    <w:rsid w:val="00D12641"/>
    <w:rsid w:val="00D138DB"/>
    <w:rsid w:val="00D146C5"/>
    <w:rsid w:val="00D178CF"/>
    <w:rsid w:val="00D278F3"/>
    <w:rsid w:val="00D30DF7"/>
    <w:rsid w:val="00D34ACC"/>
    <w:rsid w:val="00D35075"/>
    <w:rsid w:val="00D35908"/>
    <w:rsid w:val="00D3649B"/>
    <w:rsid w:val="00D36824"/>
    <w:rsid w:val="00D42030"/>
    <w:rsid w:val="00D44BDB"/>
    <w:rsid w:val="00D45A26"/>
    <w:rsid w:val="00D4732F"/>
    <w:rsid w:val="00D47367"/>
    <w:rsid w:val="00D510AE"/>
    <w:rsid w:val="00D522EA"/>
    <w:rsid w:val="00D529D8"/>
    <w:rsid w:val="00D55055"/>
    <w:rsid w:val="00D57DC7"/>
    <w:rsid w:val="00D57ED6"/>
    <w:rsid w:val="00D61F5B"/>
    <w:rsid w:val="00D62B23"/>
    <w:rsid w:val="00D62F85"/>
    <w:rsid w:val="00D637AC"/>
    <w:rsid w:val="00D639CC"/>
    <w:rsid w:val="00D63B3C"/>
    <w:rsid w:val="00D65AA4"/>
    <w:rsid w:val="00D849AC"/>
    <w:rsid w:val="00D855E7"/>
    <w:rsid w:val="00D94F02"/>
    <w:rsid w:val="00D958AF"/>
    <w:rsid w:val="00D95A34"/>
    <w:rsid w:val="00D9619C"/>
    <w:rsid w:val="00D9648A"/>
    <w:rsid w:val="00D9662D"/>
    <w:rsid w:val="00DA1743"/>
    <w:rsid w:val="00DA1D98"/>
    <w:rsid w:val="00DA3443"/>
    <w:rsid w:val="00DA65B3"/>
    <w:rsid w:val="00DA7442"/>
    <w:rsid w:val="00DB380E"/>
    <w:rsid w:val="00DC048D"/>
    <w:rsid w:val="00DC2367"/>
    <w:rsid w:val="00DC3237"/>
    <w:rsid w:val="00DD17DB"/>
    <w:rsid w:val="00DD2EA8"/>
    <w:rsid w:val="00DD49C8"/>
    <w:rsid w:val="00DE3FBE"/>
    <w:rsid w:val="00DE44C8"/>
    <w:rsid w:val="00DE6BD1"/>
    <w:rsid w:val="00DE7248"/>
    <w:rsid w:val="00DE7C9F"/>
    <w:rsid w:val="00DF00A0"/>
    <w:rsid w:val="00DF0B1C"/>
    <w:rsid w:val="00DF0FA7"/>
    <w:rsid w:val="00DF54B4"/>
    <w:rsid w:val="00DF7DDE"/>
    <w:rsid w:val="00E0135D"/>
    <w:rsid w:val="00E03375"/>
    <w:rsid w:val="00E05F6C"/>
    <w:rsid w:val="00E061EE"/>
    <w:rsid w:val="00E07188"/>
    <w:rsid w:val="00E071C8"/>
    <w:rsid w:val="00E102A3"/>
    <w:rsid w:val="00E1071A"/>
    <w:rsid w:val="00E12E50"/>
    <w:rsid w:val="00E13E3C"/>
    <w:rsid w:val="00E15B22"/>
    <w:rsid w:val="00E21CA4"/>
    <w:rsid w:val="00E245A4"/>
    <w:rsid w:val="00E26399"/>
    <w:rsid w:val="00E36C81"/>
    <w:rsid w:val="00E377E2"/>
    <w:rsid w:val="00E37DA8"/>
    <w:rsid w:val="00E41392"/>
    <w:rsid w:val="00E420C0"/>
    <w:rsid w:val="00E43DEB"/>
    <w:rsid w:val="00E44391"/>
    <w:rsid w:val="00E44BB2"/>
    <w:rsid w:val="00E45DB7"/>
    <w:rsid w:val="00E5033F"/>
    <w:rsid w:val="00E51825"/>
    <w:rsid w:val="00E53293"/>
    <w:rsid w:val="00E54423"/>
    <w:rsid w:val="00E55BB4"/>
    <w:rsid w:val="00E561EC"/>
    <w:rsid w:val="00E563F2"/>
    <w:rsid w:val="00E605D2"/>
    <w:rsid w:val="00E615CA"/>
    <w:rsid w:val="00E62055"/>
    <w:rsid w:val="00E63368"/>
    <w:rsid w:val="00E644F6"/>
    <w:rsid w:val="00E666C2"/>
    <w:rsid w:val="00E70C23"/>
    <w:rsid w:val="00E73E02"/>
    <w:rsid w:val="00E747C4"/>
    <w:rsid w:val="00E74BF4"/>
    <w:rsid w:val="00E75578"/>
    <w:rsid w:val="00E76086"/>
    <w:rsid w:val="00E7773C"/>
    <w:rsid w:val="00E77A06"/>
    <w:rsid w:val="00E809EC"/>
    <w:rsid w:val="00E81B3F"/>
    <w:rsid w:val="00E81C2D"/>
    <w:rsid w:val="00E85CF0"/>
    <w:rsid w:val="00E8677F"/>
    <w:rsid w:val="00E86CBC"/>
    <w:rsid w:val="00E92F6E"/>
    <w:rsid w:val="00E94C8E"/>
    <w:rsid w:val="00EA07D5"/>
    <w:rsid w:val="00EA1A5E"/>
    <w:rsid w:val="00EA1FEC"/>
    <w:rsid w:val="00EA2F2D"/>
    <w:rsid w:val="00EA3E73"/>
    <w:rsid w:val="00EA6967"/>
    <w:rsid w:val="00EB1188"/>
    <w:rsid w:val="00EB25C3"/>
    <w:rsid w:val="00EB2FAE"/>
    <w:rsid w:val="00EB3553"/>
    <w:rsid w:val="00EB65A5"/>
    <w:rsid w:val="00EB6C28"/>
    <w:rsid w:val="00EB7359"/>
    <w:rsid w:val="00EC0255"/>
    <w:rsid w:val="00EC0716"/>
    <w:rsid w:val="00EC279F"/>
    <w:rsid w:val="00EC31DB"/>
    <w:rsid w:val="00EC3BFF"/>
    <w:rsid w:val="00EC58D1"/>
    <w:rsid w:val="00EC7361"/>
    <w:rsid w:val="00ED0353"/>
    <w:rsid w:val="00ED349F"/>
    <w:rsid w:val="00ED51BC"/>
    <w:rsid w:val="00ED53B3"/>
    <w:rsid w:val="00EE03BD"/>
    <w:rsid w:val="00EE1B15"/>
    <w:rsid w:val="00EE2CCB"/>
    <w:rsid w:val="00EE4B20"/>
    <w:rsid w:val="00EF3095"/>
    <w:rsid w:val="00EF59F8"/>
    <w:rsid w:val="00EF78FF"/>
    <w:rsid w:val="00F05EA4"/>
    <w:rsid w:val="00F1187B"/>
    <w:rsid w:val="00F12E1C"/>
    <w:rsid w:val="00F14AC1"/>
    <w:rsid w:val="00F152C8"/>
    <w:rsid w:val="00F20D21"/>
    <w:rsid w:val="00F230E8"/>
    <w:rsid w:val="00F2376F"/>
    <w:rsid w:val="00F239E3"/>
    <w:rsid w:val="00F23EBA"/>
    <w:rsid w:val="00F2445F"/>
    <w:rsid w:val="00F25387"/>
    <w:rsid w:val="00F31301"/>
    <w:rsid w:val="00F33CD9"/>
    <w:rsid w:val="00F34715"/>
    <w:rsid w:val="00F376E6"/>
    <w:rsid w:val="00F40B95"/>
    <w:rsid w:val="00F443AF"/>
    <w:rsid w:val="00F452B0"/>
    <w:rsid w:val="00F50502"/>
    <w:rsid w:val="00F52E29"/>
    <w:rsid w:val="00F62307"/>
    <w:rsid w:val="00F62B33"/>
    <w:rsid w:val="00F63C72"/>
    <w:rsid w:val="00F64229"/>
    <w:rsid w:val="00F64DB9"/>
    <w:rsid w:val="00F65CD5"/>
    <w:rsid w:val="00F67D3E"/>
    <w:rsid w:val="00F77BC3"/>
    <w:rsid w:val="00F8481D"/>
    <w:rsid w:val="00F8789E"/>
    <w:rsid w:val="00F87E28"/>
    <w:rsid w:val="00F90A12"/>
    <w:rsid w:val="00F93A3C"/>
    <w:rsid w:val="00F943F2"/>
    <w:rsid w:val="00F962A2"/>
    <w:rsid w:val="00F9697F"/>
    <w:rsid w:val="00FA7905"/>
    <w:rsid w:val="00FB07FA"/>
    <w:rsid w:val="00FB0F70"/>
    <w:rsid w:val="00FB380D"/>
    <w:rsid w:val="00FB70F9"/>
    <w:rsid w:val="00FC0BBF"/>
    <w:rsid w:val="00FC1143"/>
    <w:rsid w:val="00FC195A"/>
    <w:rsid w:val="00FC1972"/>
    <w:rsid w:val="00FC3158"/>
    <w:rsid w:val="00FC3AEC"/>
    <w:rsid w:val="00FC42B1"/>
    <w:rsid w:val="00FC671A"/>
    <w:rsid w:val="00FD0DC7"/>
    <w:rsid w:val="00FD11FD"/>
    <w:rsid w:val="00FD45F0"/>
    <w:rsid w:val="00FD5397"/>
    <w:rsid w:val="00FD58E6"/>
    <w:rsid w:val="00FD7C50"/>
    <w:rsid w:val="00FE122F"/>
    <w:rsid w:val="00FE2670"/>
    <w:rsid w:val="00FE2C48"/>
    <w:rsid w:val="00FE4DB7"/>
    <w:rsid w:val="00FE60BA"/>
    <w:rsid w:val="00FE61BF"/>
    <w:rsid w:val="00FF0B02"/>
    <w:rsid w:val="00FF2705"/>
    <w:rsid w:val="00FF4C00"/>
    <w:rsid w:val="00FF65CA"/>
    <w:rsid w:val="00FF6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ECBA"/>
  <w15:chartTrackingRefBased/>
  <w15:docId w15:val="{6048B151-CE42-4C87-9ED4-34E1FA43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before="46" w:line="276" w:lineRule="auto"/>
        <w:ind w:left="567" w:right="601" w:hanging="2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427"/>
    <w:pPr>
      <w:spacing w:before="0" w:after="160" w:line="259" w:lineRule="auto"/>
      <w:ind w:left="0" w:right="0"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62B4C"/>
    <w:pPr>
      <w:autoSpaceDE w:val="0"/>
      <w:autoSpaceDN w:val="0"/>
      <w:adjustRightInd w:val="0"/>
      <w:spacing w:before="0" w:line="240" w:lineRule="auto"/>
      <w:ind w:left="0" w:right="0" w:firstLine="0"/>
      <w:jc w:val="left"/>
    </w:pPr>
    <w:rPr>
      <w:rFonts w:ascii="Arial" w:hAnsi="Arial" w:cs="Arial"/>
      <w:color w:val="000000"/>
      <w:sz w:val="24"/>
      <w:szCs w:val="24"/>
    </w:rPr>
  </w:style>
  <w:style w:type="paragraph" w:styleId="Prrafodelista">
    <w:name w:val="List Paragraph"/>
    <w:basedOn w:val="Normal"/>
    <w:uiPriority w:val="34"/>
    <w:qFormat/>
    <w:rsid w:val="00462B4C"/>
    <w:pPr>
      <w:ind w:left="720"/>
      <w:contextualSpacing/>
    </w:pPr>
  </w:style>
  <w:style w:type="paragraph" w:styleId="Textonotapie">
    <w:name w:val="footnote text"/>
    <w:basedOn w:val="Normal"/>
    <w:link w:val="TextonotapieCar"/>
    <w:unhideWhenUsed/>
    <w:rsid w:val="00462B4C"/>
    <w:pPr>
      <w:spacing w:after="0" w:line="240" w:lineRule="auto"/>
    </w:pPr>
    <w:rPr>
      <w:sz w:val="20"/>
      <w:szCs w:val="20"/>
    </w:rPr>
  </w:style>
  <w:style w:type="character" w:customStyle="1" w:styleId="TextonotapieCar">
    <w:name w:val="Texto nota pie Car"/>
    <w:basedOn w:val="Fuentedeprrafopredeter"/>
    <w:link w:val="Textonotapie"/>
    <w:rsid w:val="00462B4C"/>
    <w:rPr>
      <w:sz w:val="20"/>
      <w:szCs w:val="20"/>
    </w:rPr>
  </w:style>
  <w:style w:type="character" w:styleId="Refdenotaalpie">
    <w:name w:val="footnote reference"/>
    <w:basedOn w:val="Fuentedeprrafopredeter"/>
    <w:unhideWhenUsed/>
    <w:rsid w:val="00462B4C"/>
    <w:rPr>
      <w:vertAlign w:val="superscript"/>
    </w:rPr>
  </w:style>
  <w:style w:type="paragraph" w:styleId="NormalWeb">
    <w:name w:val="Normal (Web)"/>
    <w:basedOn w:val="Normal"/>
    <w:uiPriority w:val="99"/>
    <w:unhideWhenUsed/>
    <w:rsid w:val="00462B4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rsid w:val="00462B4C"/>
    <w:rPr>
      <w:color w:val="0000FF"/>
      <w:u w:val="single"/>
    </w:rPr>
  </w:style>
  <w:style w:type="paragraph" w:styleId="Encabezado">
    <w:name w:val="header"/>
    <w:basedOn w:val="Normal"/>
    <w:link w:val="EncabezadoCar"/>
    <w:uiPriority w:val="99"/>
    <w:unhideWhenUsed/>
    <w:rsid w:val="00462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2B4C"/>
  </w:style>
  <w:style w:type="paragraph" w:styleId="Piedepgina">
    <w:name w:val="footer"/>
    <w:basedOn w:val="Normal"/>
    <w:link w:val="PiedepginaCar"/>
    <w:uiPriority w:val="99"/>
    <w:unhideWhenUsed/>
    <w:rsid w:val="00462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2B4C"/>
  </w:style>
  <w:style w:type="paragraph" w:styleId="Textocomentario">
    <w:name w:val="annotation text"/>
    <w:basedOn w:val="Normal"/>
    <w:link w:val="TextocomentarioCar"/>
    <w:uiPriority w:val="99"/>
    <w:unhideWhenUsed/>
    <w:rsid w:val="00462B4C"/>
    <w:pPr>
      <w:spacing w:line="240" w:lineRule="auto"/>
    </w:pPr>
    <w:rPr>
      <w:sz w:val="20"/>
      <w:szCs w:val="20"/>
    </w:rPr>
  </w:style>
  <w:style w:type="character" w:customStyle="1" w:styleId="TextocomentarioCar">
    <w:name w:val="Texto comentario Car"/>
    <w:basedOn w:val="Fuentedeprrafopredeter"/>
    <w:link w:val="Textocomentario"/>
    <w:uiPriority w:val="99"/>
    <w:rsid w:val="00462B4C"/>
    <w:rPr>
      <w:sz w:val="20"/>
      <w:szCs w:val="20"/>
    </w:rPr>
  </w:style>
  <w:style w:type="character" w:customStyle="1" w:styleId="AsuntodelcomentarioCar">
    <w:name w:val="Asunto del comentario Car"/>
    <w:basedOn w:val="TextocomentarioCar"/>
    <w:link w:val="Asuntodelcomentario"/>
    <w:uiPriority w:val="99"/>
    <w:semiHidden/>
    <w:rsid w:val="00462B4C"/>
    <w:rPr>
      <w:b/>
      <w:bCs/>
      <w:sz w:val="20"/>
      <w:szCs w:val="20"/>
    </w:rPr>
  </w:style>
  <w:style w:type="paragraph" w:styleId="Asuntodelcomentario">
    <w:name w:val="annotation subject"/>
    <w:basedOn w:val="Textocomentario"/>
    <w:next w:val="Textocomentario"/>
    <w:link w:val="AsuntodelcomentarioCar"/>
    <w:uiPriority w:val="99"/>
    <w:semiHidden/>
    <w:unhideWhenUsed/>
    <w:rsid w:val="00462B4C"/>
    <w:rPr>
      <w:b/>
      <w:bCs/>
    </w:rPr>
  </w:style>
  <w:style w:type="character" w:customStyle="1" w:styleId="TextodegloboCar">
    <w:name w:val="Texto de globo Car"/>
    <w:basedOn w:val="Fuentedeprrafopredeter"/>
    <w:link w:val="Textodeglobo"/>
    <w:uiPriority w:val="99"/>
    <w:semiHidden/>
    <w:rsid w:val="00462B4C"/>
    <w:rPr>
      <w:rFonts w:ascii="Segoe UI" w:hAnsi="Segoe UI" w:cs="Segoe UI"/>
      <w:sz w:val="18"/>
      <w:szCs w:val="18"/>
    </w:rPr>
  </w:style>
  <w:style w:type="paragraph" w:styleId="Textodeglobo">
    <w:name w:val="Balloon Text"/>
    <w:basedOn w:val="Normal"/>
    <w:link w:val="TextodegloboCar"/>
    <w:uiPriority w:val="99"/>
    <w:semiHidden/>
    <w:unhideWhenUsed/>
    <w:rsid w:val="00462B4C"/>
    <w:pPr>
      <w:spacing w:after="0" w:line="240" w:lineRule="auto"/>
    </w:pPr>
    <w:rPr>
      <w:rFonts w:ascii="Segoe UI" w:hAnsi="Segoe UI" w:cs="Segoe UI"/>
      <w:sz w:val="18"/>
      <w:szCs w:val="18"/>
    </w:rPr>
  </w:style>
  <w:style w:type="character" w:customStyle="1" w:styleId="Mencinsinresolver1">
    <w:name w:val="Mención sin resolver1"/>
    <w:basedOn w:val="Fuentedeprrafopredeter"/>
    <w:uiPriority w:val="99"/>
    <w:rsid w:val="00462B4C"/>
    <w:rPr>
      <w:color w:val="605E5C"/>
      <w:shd w:val="clear" w:color="auto" w:fill="E1DFDD"/>
    </w:rPr>
  </w:style>
  <w:style w:type="character" w:customStyle="1" w:styleId="TextonotaalfinalCar">
    <w:name w:val="Texto nota al final Car"/>
    <w:basedOn w:val="Fuentedeprrafopredeter"/>
    <w:link w:val="Textonotaalfinal"/>
    <w:uiPriority w:val="99"/>
    <w:semiHidden/>
    <w:rsid w:val="00462B4C"/>
    <w:rPr>
      <w:sz w:val="20"/>
      <w:szCs w:val="20"/>
    </w:rPr>
  </w:style>
  <w:style w:type="paragraph" w:styleId="Textonotaalfinal">
    <w:name w:val="endnote text"/>
    <w:basedOn w:val="Normal"/>
    <w:link w:val="TextonotaalfinalCar"/>
    <w:uiPriority w:val="99"/>
    <w:semiHidden/>
    <w:unhideWhenUsed/>
    <w:rsid w:val="00462B4C"/>
    <w:pPr>
      <w:spacing w:after="0" w:line="240" w:lineRule="auto"/>
    </w:pPr>
    <w:rPr>
      <w:sz w:val="20"/>
      <w:szCs w:val="20"/>
    </w:rPr>
  </w:style>
  <w:style w:type="character" w:styleId="Mencinsinresolver">
    <w:name w:val="Unresolved Mention"/>
    <w:basedOn w:val="Fuentedeprrafopredeter"/>
    <w:uiPriority w:val="99"/>
    <w:semiHidden/>
    <w:unhideWhenUsed/>
    <w:rsid w:val="00642A24"/>
    <w:rPr>
      <w:color w:val="605E5C"/>
      <w:shd w:val="clear" w:color="auto" w:fill="E1DFDD"/>
    </w:rPr>
  </w:style>
  <w:style w:type="paragraph" w:styleId="Revisin">
    <w:name w:val="Revision"/>
    <w:hidden/>
    <w:uiPriority w:val="99"/>
    <w:semiHidden/>
    <w:rsid w:val="00C371BD"/>
    <w:pPr>
      <w:spacing w:before="0" w:line="240" w:lineRule="auto"/>
      <w:ind w:left="0" w:right="0" w:firstLine="0"/>
      <w:jc w:val="left"/>
    </w:pPr>
  </w:style>
  <w:style w:type="character" w:styleId="Refdecomentario">
    <w:name w:val="annotation reference"/>
    <w:basedOn w:val="Fuentedeprrafopredeter"/>
    <w:uiPriority w:val="99"/>
    <w:semiHidden/>
    <w:unhideWhenUsed/>
    <w:rsid w:val="00C371BD"/>
    <w:rPr>
      <w:sz w:val="16"/>
      <w:szCs w:val="16"/>
    </w:rPr>
  </w:style>
  <w:style w:type="paragraph" w:customStyle="1" w:styleId="Prrafodelista1">
    <w:name w:val="Párrafo de lista1"/>
    <w:basedOn w:val="Normal"/>
    <w:rsid w:val="00454C8A"/>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184">
      <w:bodyDiv w:val="1"/>
      <w:marLeft w:val="0"/>
      <w:marRight w:val="0"/>
      <w:marTop w:val="0"/>
      <w:marBottom w:val="0"/>
      <w:divBdr>
        <w:top w:val="none" w:sz="0" w:space="0" w:color="auto"/>
        <w:left w:val="none" w:sz="0" w:space="0" w:color="auto"/>
        <w:bottom w:val="none" w:sz="0" w:space="0" w:color="auto"/>
        <w:right w:val="none" w:sz="0" w:space="0" w:color="auto"/>
      </w:divBdr>
    </w:div>
    <w:div w:id="33312957">
      <w:bodyDiv w:val="1"/>
      <w:marLeft w:val="0"/>
      <w:marRight w:val="0"/>
      <w:marTop w:val="0"/>
      <w:marBottom w:val="0"/>
      <w:divBdr>
        <w:top w:val="none" w:sz="0" w:space="0" w:color="auto"/>
        <w:left w:val="none" w:sz="0" w:space="0" w:color="auto"/>
        <w:bottom w:val="none" w:sz="0" w:space="0" w:color="auto"/>
        <w:right w:val="none" w:sz="0" w:space="0" w:color="auto"/>
      </w:divBdr>
    </w:div>
    <w:div w:id="34425712">
      <w:bodyDiv w:val="1"/>
      <w:marLeft w:val="0"/>
      <w:marRight w:val="0"/>
      <w:marTop w:val="0"/>
      <w:marBottom w:val="0"/>
      <w:divBdr>
        <w:top w:val="none" w:sz="0" w:space="0" w:color="auto"/>
        <w:left w:val="none" w:sz="0" w:space="0" w:color="auto"/>
        <w:bottom w:val="none" w:sz="0" w:space="0" w:color="auto"/>
        <w:right w:val="none" w:sz="0" w:space="0" w:color="auto"/>
      </w:divBdr>
    </w:div>
    <w:div w:id="71398345">
      <w:bodyDiv w:val="1"/>
      <w:marLeft w:val="0"/>
      <w:marRight w:val="0"/>
      <w:marTop w:val="0"/>
      <w:marBottom w:val="0"/>
      <w:divBdr>
        <w:top w:val="none" w:sz="0" w:space="0" w:color="auto"/>
        <w:left w:val="none" w:sz="0" w:space="0" w:color="auto"/>
        <w:bottom w:val="none" w:sz="0" w:space="0" w:color="auto"/>
        <w:right w:val="none" w:sz="0" w:space="0" w:color="auto"/>
      </w:divBdr>
    </w:div>
    <w:div w:id="113601208">
      <w:bodyDiv w:val="1"/>
      <w:marLeft w:val="0"/>
      <w:marRight w:val="0"/>
      <w:marTop w:val="0"/>
      <w:marBottom w:val="0"/>
      <w:divBdr>
        <w:top w:val="none" w:sz="0" w:space="0" w:color="auto"/>
        <w:left w:val="none" w:sz="0" w:space="0" w:color="auto"/>
        <w:bottom w:val="none" w:sz="0" w:space="0" w:color="auto"/>
        <w:right w:val="none" w:sz="0" w:space="0" w:color="auto"/>
      </w:divBdr>
    </w:div>
    <w:div w:id="134300931">
      <w:bodyDiv w:val="1"/>
      <w:marLeft w:val="0"/>
      <w:marRight w:val="0"/>
      <w:marTop w:val="0"/>
      <w:marBottom w:val="0"/>
      <w:divBdr>
        <w:top w:val="none" w:sz="0" w:space="0" w:color="auto"/>
        <w:left w:val="none" w:sz="0" w:space="0" w:color="auto"/>
        <w:bottom w:val="none" w:sz="0" w:space="0" w:color="auto"/>
        <w:right w:val="none" w:sz="0" w:space="0" w:color="auto"/>
      </w:divBdr>
    </w:div>
    <w:div w:id="174654839">
      <w:bodyDiv w:val="1"/>
      <w:marLeft w:val="0"/>
      <w:marRight w:val="0"/>
      <w:marTop w:val="0"/>
      <w:marBottom w:val="0"/>
      <w:divBdr>
        <w:top w:val="none" w:sz="0" w:space="0" w:color="auto"/>
        <w:left w:val="none" w:sz="0" w:space="0" w:color="auto"/>
        <w:bottom w:val="none" w:sz="0" w:space="0" w:color="auto"/>
        <w:right w:val="none" w:sz="0" w:space="0" w:color="auto"/>
      </w:divBdr>
    </w:div>
    <w:div w:id="178742542">
      <w:bodyDiv w:val="1"/>
      <w:marLeft w:val="0"/>
      <w:marRight w:val="0"/>
      <w:marTop w:val="0"/>
      <w:marBottom w:val="0"/>
      <w:divBdr>
        <w:top w:val="none" w:sz="0" w:space="0" w:color="auto"/>
        <w:left w:val="none" w:sz="0" w:space="0" w:color="auto"/>
        <w:bottom w:val="none" w:sz="0" w:space="0" w:color="auto"/>
        <w:right w:val="none" w:sz="0" w:space="0" w:color="auto"/>
      </w:divBdr>
    </w:div>
    <w:div w:id="178934855">
      <w:bodyDiv w:val="1"/>
      <w:marLeft w:val="0"/>
      <w:marRight w:val="0"/>
      <w:marTop w:val="0"/>
      <w:marBottom w:val="0"/>
      <w:divBdr>
        <w:top w:val="none" w:sz="0" w:space="0" w:color="auto"/>
        <w:left w:val="none" w:sz="0" w:space="0" w:color="auto"/>
        <w:bottom w:val="none" w:sz="0" w:space="0" w:color="auto"/>
        <w:right w:val="none" w:sz="0" w:space="0" w:color="auto"/>
      </w:divBdr>
    </w:div>
    <w:div w:id="251860142">
      <w:bodyDiv w:val="1"/>
      <w:marLeft w:val="0"/>
      <w:marRight w:val="0"/>
      <w:marTop w:val="0"/>
      <w:marBottom w:val="0"/>
      <w:divBdr>
        <w:top w:val="none" w:sz="0" w:space="0" w:color="auto"/>
        <w:left w:val="none" w:sz="0" w:space="0" w:color="auto"/>
        <w:bottom w:val="none" w:sz="0" w:space="0" w:color="auto"/>
        <w:right w:val="none" w:sz="0" w:space="0" w:color="auto"/>
      </w:divBdr>
    </w:div>
    <w:div w:id="274797397">
      <w:bodyDiv w:val="1"/>
      <w:marLeft w:val="0"/>
      <w:marRight w:val="0"/>
      <w:marTop w:val="0"/>
      <w:marBottom w:val="0"/>
      <w:divBdr>
        <w:top w:val="none" w:sz="0" w:space="0" w:color="auto"/>
        <w:left w:val="none" w:sz="0" w:space="0" w:color="auto"/>
        <w:bottom w:val="none" w:sz="0" w:space="0" w:color="auto"/>
        <w:right w:val="none" w:sz="0" w:space="0" w:color="auto"/>
      </w:divBdr>
    </w:div>
    <w:div w:id="304624732">
      <w:bodyDiv w:val="1"/>
      <w:marLeft w:val="0"/>
      <w:marRight w:val="0"/>
      <w:marTop w:val="0"/>
      <w:marBottom w:val="0"/>
      <w:divBdr>
        <w:top w:val="none" w:sz="0" w:space="0" w:color="auto"/>
        <w:left w:val="none" w:sz="0" w:space="0" w:color="auto"/>
        <w:bottom w:val="none" w:sz="0" w:space="0" w:color="auto"/>
        <w:right w:val="none" w:sz="0" w:space="0" w:color="auto"/>
      </w:divBdr>
    </w:div>
    <w:div w:id="307980553">
      <w:bodyDiv w:val="1"/>
      <w:marLeft w:val="0"/>
      <w:marRight w:val="0"/>
      <w:marTop w:val="0"/>
      <w:marBottom w:val="0"/>
      <w:divBdr>
        <w:top w:val="none" w:sz="0" w:space="0" w:color="auto"/>
        <w:left w:val="none" w:sz="0" w:space="0" w:color="auto"/>
        <w:bottom w:val="none" w:sz="0" w:space="0" w:color="auto"/>
        <w:right w:val="none" w:sz="0" w:space="0" w:color="auto"/>
      </w:divBdr>
    </w:div>
    <w:div w:id="371006748">
      <w:bodyDiv w:val="1"/>
      <w:marLeft w:val="0"/>
      <w:marRight w:val="0"/>
      <w:marTop w:val="0"/>
      <w:marBottom w:val="0"/>
      <w:divBdr>
        <w:top w:val="none" w:sz="0" w:space="0" w:color="auto"/>
        <w:left w:val="none" w:sz="0" w:space="0" w:color="auto"/>
        <w:bottom w:val="none" w:sz="0" w:space="0" w:color="auto"/>
        <w:right w:val="none" w:sz="0" w:space="0" w:color="auto"/>
      </w:divBdr>
    </w:div>
    <w:div w:id="399134358">
      <w:bodyDiv w:val="1"/>
      <w:marLeft w:val="0"/>
      <w:marRight w:val="0"/>
      <w:marTop w:val="0"/>
      <w:marBottom w:val="0"/>
      <w:divBdr>
        <w:top w:val="none" w:sz="0" w:space="0" w:color="auto"/>
        <w:left w:val="none" w:sz="0" w:space="0" w:color="auto"/>
        <w:bottom w:val="none" w:sz="0" w:space="0" w:color="auto"/>
        <w:right w:val="none" w:sz="0" w:space="0" w:color="auto"/>
      </w:divBdr>
    </w:div>
    <w:div w:id="579752217">
      <w:bodyDiv w:val="1"/>
      <w:marLeft w:val="0"/>
      <w:marRight w:val="0"/>
      <w:marTop w:val="0"/>
      <w:marBottom w:val="0"/>
      <w:divBdr>
        <w:top w:val="none" w:sz="0" w:space="0" w:color="auto"/>
        <w:left w:val="none" w:sz="0" w:space="0" w:color="auto"/>
        <w:bottom w:val="none" w:sz="0" w:space="0" w:color="auto"/>
        <w:right w:val="none" w:sz="0" w:space="0" w:color="auto"/>
      </w:divBdr>
    </w:div>
    <w:div w:id="583611906">
      <w:bodyDiv w:val="1"/>
      <w:marLeft w:val="0"/>
      <w:marRight w:val="0"/>
      <w:marTop w:val="0"/>
      <w:marBottom w:val="0"/>
      <w:divBdr>
        <w:top w:val="none" w:sz="0" w:space="0" w:color="auto"/>
        <w:left w:val="none" w:sz="0" w:space="0" w:color="auto"/>
        <w:bottom w:val="none" w:sz="0" w:space="0" w:color="auto"/>
        <w:right w:val="none" w:sz="0" w:space="0" w:color="auto"/>
      </w:divBdr>
    </w:div>
    <w:div w:id="587888182">
      <w:bodyDiv w:val="1"/>
      <w:marLeft w:val="0"/>
      <w:marRight w:val="0"/>
      <w:marTop w:val="0"/>
      <w:marBottom w:val="0"/>
      <w:divBdr>
        <w:top w:val="none" w:sz="0" w:space="0" w:color="auto"/>
        <w:left w:val="none" w:sz="0" w:space="0" w:color="auto"/>
        <w:bottom w:val="none" w:sz="0" w:space="0" w:color="auto"/>
        <w:right w:val="none" w:sz="0" w:space="0" w:color="auto"/>
      </w:divBdr>
    </w:div>
    <w:div w:id="598952608">
      <w:bodyDiv w:val="1"/>
      <w:marLeft w:val="0"/>
      <w:marRight w:val="0"/>
      <w:marTop w:val="0"/>
      <w:marBottom w:val="0"/>
      <w:divBdr>
        <w:top w:val="none" w:sz="0" w:space="0" w:color="auto"/>
        <w:left w:val="none" w:sz="0" w:space="0" w:color="auto"/>
        <w:bottom w:val="none" w:sz="0" w:space="0" w:color="auto"/>
        <w:right w:val="none" w:sz="0" w:space="0" w:color="auto"/>
      </w:divBdr>
    </w:div>
    <w:div w:id="680015490">
      <w:bodyDiv w:val="1"/>
      <w:marLeft w:val="0"/>
      <w:marRight w:val="0"/>
      <w:marTop w:val="0"/>
      <w:marBottom w:val="0"/>
      <w:divBdr>
        <w:top w:val="none" w:sz="0" w:space="0" w:color="auto"/>
        <w:left w:val="none" w:sz="0" w:space="0" w:color="auto"/>
        <w:bottom w:val="none" w:sz="0" w:space="0" w:color="auto"/>
        <w:right w:val="none" w:sz="0" w:space="0" w:color="auto"/>
      </w:divBdr>
    </w:div>
    <w:div w:id="692998959">
      <w:bodyDiv w:val="1"/>
      <w:marLeft w:val="0"/>
      <w:marRight w:val="0"/>
      <w:marTop w:val="0"/>
      <w:marBottom w:val="0"/>
      <w:divBdr>
        <w:top w:val="none" w:sz="0" w:space="0" w:color="auto"/>
        <w:left w:val="none" w:sz="0" w:space="0" w:color="auto"/>
        <w:bottom w:val="none" w:sz="0" w:space="0" w:color="auto"/>
        <w:right w:val="none" w:sz="0" w:space="0" w:color="auto"/>
      </w:divBdr>
    </w:div>
    <w:div w:id="757366353">
      <w:bodyDiv w:val="1"/>
      <w:marLeft w:val="0"/>
      <w:marRight w:val="0"/>
      <w:marTop w:val="0"/>
      <w:marBottom w:val="0"/>
      <w:divBdr>
        <w:top w:val="none" w:sz="0" w:space="0" w:color="auto"/>
        <w:left w:val="none" w:sz="0" w:space="0" w:color="auto"/>
        <w:bottom w:val="none" w:sz="0" w:space="0" w:color="auto"/>
        <w:right w:val="none" w:sz="0" w:space="0" w:color="auto"/>
      </w:divBdr>
    </w:div>
    <w:div w:id="759641938">
      <w:bodyDiv w:val="1"/>
      <w:marLeft w:val="0"/>
      <w:marRight w:val="0"/>
      <w:marTop w:val="0"/>
      <w:marBottom w:val="0"/>
      <w:divBdr>
        <w:top w:val="none" w:sz="0" w:space="0" w:color="auto"/>
        <w:left w:val="none" w:sz="0" w:space="0" w:color="auto"/>
        <w:bottom w:val="none" w:sz="0" w:space="0" w:color="auto"/>
        <w:right w:val="none" w:sz="0" w:space="0" w:color="auto"/>
      </w:divBdr>
    </w:div>
    <w:div w:id="771172693">
      <w:bodyDiv w:val="1"/>
      <w:marLeft w:val="0"/>
      <w:marRight w:val="0"/>
      <w:marTop w:val="0"/>
      <w:marBottom w:val="0"/>
      <w:divBdr>
        <w:top w:val="none" w:sz="0" w:space="0" w:color="auto"/>
        <w:left w:val="none" w:sz="0" w:space="0" w:color="auto"/>
        <w:bottom w:val="none" w:sz="0" w:space="0" w:color="auto"/>
        <w:right w:val="none" w:sz="0" w:space="0" w:color="auto"/>
      </w:divBdr>
    </w:div>
    <w:div w:id="842014555">
      <w:bodyDiv w:val="1"/>
      <w:marLeft w:val="0"/>
      <w:marRight w:val="0"/>
      <w:marTop w:val="0"/>
      <w:marBottom w:val="0"/>
      <w:divBdr>
        <w:top w:val="none" w:sz="0" w:space="0" w:color="auto"/>
        <w:left w:val="none" w:sz="0" w:space="0" w:color="auto"/>
        <w:bottom w:val="none" w:sz="0" w:space="0" w:color="auto"/>
        <w:right w:val="none" w:sz="0" w:space="0" w:color="auto"/>
      </w:divBdr>
    </w:div>
    <w:div w:id="848909999">
      <w:bodyDiv w:val="1"/>
      <w:marLeft w:val="0"/>
      <w:marRight w:val="0"/>
      <w:marTop w:val="0"/>
      <w:marBottom w:val="0"/>
      <w:divBdr>
        <w:top w:val="none" w:sz="0" w:space="0" w:color="auto"/>
        <w:left w:val="none" w:sz="0" w:space="0" w:color="auto"/>
        <w:bottom w:val="none" w:sz="0" w:space="0" w:color="auto"/>
        <w:right w:val="none" w:sz="0" w:space="0" w:color="auto"/>
      </w:divBdr>
    </w:div>
    <w:div w:id="892958597">
      <w:bodyDiv w:val="1"/>
      <w:marLeft w:val="0"/>
      <w:marRight w:val="0"/>
      <w:marTop w:val="0"/>
      <w:marBottom w:val="0"/>
      <w:divBdr>
        <w:top w:val="none" w:sz="0" w:space="0" w:color="auto"/>
        <w:left w:val="none" w:sz="0" w:space="0" w:color="auto"/>
        <w:bottom w:val="none" w:sz="0" w:space="0" w:color="auto"/>
        <w:right w:val="none" w:sz="0" w:space="0" w:color="auto"/>
      </w:divBdr>
    </w:div>
    <w:div w:id="904680177">
      <w:bodyDiv w:val="1"/>
      <w:marLeft w:val="0"/>
      <w:marRight w:val="0"/>
      <w:marTop w:val="0"/>
      <w:marBottom w:val="0"/>
      <w:divBdr>
        <w:top w:val="none" w:sz="0" w:space="0" w:color="auto"/>
        <w:left w:val="none" w:sz="0" w:space="0" w:color="auto"/>
        <w:bottom w:val="none" w:sz="0" w:space="0" w:color="auto"/>
        <w:right w:val="none" w:sz="0" w:space="0" w:color="auto"/>
      </w:divBdr>
    </w:div>
    <w:div w:id="923760218">
      <w:bodyDiv w:val="1"/>
      <w:marLeft w:val="0"/>
      <w:marRight w:val="0"/>
      <w:marTop w:val="0"/>
      <w:marBottom w:val="0"/>
      <w:divBdr>
        <w:top w:val="none" w:sz="0" w:space="0" w:color="auto"/>
        <w:left w:val="none" w:sz="0" w:space="0" w:color="auto"/>
        <w:bottom w:val="none" w:sz="0" w:space="0" w:color="auto"/>
        <w:right w:val="none" w:sz="0" w:space="0" w:color="auto"/>
      </w:divBdr>
    </w:div>
    <w:div w:id="928125596">
      <w:bodyDiv w:val="1"/>
      <w:marLeft w:val="0"/>
      <w:marRight w:val="0"/>
      <w:marTop w:val="0"/>
      <w:marBottom w:val="0"/>
      <w:divBdr>
        <w:top w:val="none" w:sz="0" w:space="0" w:color="auto"/>
        <w:left w:val="none" w:sz="0" w:space="0" w:color="auto"/>
        <w:bottom w:val="none" w:sz="0" w:space="0" w:color="auto"/>
        <w:right w:val="none" w:sz="0" w:space="0" w:color="auto"/>
      </w:divBdr>
    </w:div>
    <w:div w:id="951013779">
      <w:bodyDiv w:val="1"/>
      <w:marLeft w:val="0"/>
      <w:marRight w:val="0"/>
      <w:marTop w:val="0"/>
      <w:marBottom w:val="0"/>
      <w:divBdr>
        <w:top w:val="none" w:sz="0" w:space="0" w:color="auto"/>
        <w:left w:val="none" w:sz="0" w:space="0" w:color="auto"/>
        <w:bottom w:val="none" w:sz="0" w:space="0" w:color="auto"/>
        <w:right w:val="none" w:sz="0" w:space="0" w:color="auto"/>
      </w:divBdr>
    </w:div>
    <w:div w:id="963002028">
      <w:bodyDiv w:val="1"/>
      <w:marLeft w:val="0"/>
      <w:marRight w:val="0"/>
      <w:marTop w:val="0"/>
      <w:marBottom w:val="0"/>
      <w:divBdr>
        <w:top w:val="none" w:sz="0" w:space="0" w:color="auto"/>
        <w:left w:val="none" w:sz="0" w:space="0" w:color="auto"/>
        <w:bottom w:val="none" w:sz="0" w:space="0" w:color="auto"/>
        <w:right w:val="none" w:sz="0" w:space="0" w:color="auto"/>
      </w:divBdr>
    </w:div>
    <w:div w:id="979260747">
      <w:bodyDiv w:val="1"/>
      <w:marLeft w:val="0"/>
      <w:marRight w:val="0"/>
      <w:marTop w:val="0"/>
      <w:marBottom w:val="0"/>
      <w:divBdr>
        <w:top w:val="none" w:sz="0" w:space="0" w:color="auto"/>
        <w:left w:val="none" w:sz="0" w:space="0" w:color="auto"/>
        <w:bottom w:val="none" w:sz="0" w:space="0" w:color="auto"/>
        <w:right w:val="none" w:sz="0" w:space="0" w:color="auto"/>
      </w:divBdr>
    </w:div>
    <w:div w:id="1044599404">
      <w:bodyDiv w:val="1"/>
      <w:marLeft w:val="0"/>
      <w:marRight w:val="0"/>
      <w:marTop w:val="0"/>
      <w:marBottom w:val="0"/>
      <w:divBdr>
        <w:top w:val="none" w:sz="0" w:space="0" w:color="auto"/>
        <w:left w:val="none" w:sz="0" w:space="0" w:color="auto"/>
        <w:bottom w:val="none" w:sz="0" w:space="0" w:color="auto"/>
        <w:right w:val="none" w:sz="0" w:space="0" w:color="auto"/>
      </w:divBdr>
    </w:div>
    <w:div w:id="1179850681">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204027598">
      <w:bodyDiv w:val="1"/>
      <w:marLeft w:val="0"/>
      <w:marRight w:val="0"/>
      <w:marTop w:val="0"/>
      <w:marBottom w:val="0"/>
      <w:divBdr>
        <w:top w:val="none" w:sz="0" w:space="0" w:color="auto"/>
        <w:left w:val="none" w:sz="0" w:space="0" w:color="auto"/>
        <w:bottom w:val="none" w:sz="0" w:space="0" w:color="auto"/>
        <w:right w:val="none" w:sz="0" w:space="0" w:color="auto"/>
      </w:divBdr>
    </w:div>
    <w:div w:id="1238783448">
      <w:bodyDiv w:val="1"/>
      <w:marLeft w:val="0"/>
      <w:marRight w:val="0"/>
      <w:marTop w:val="0"/>
      <w:marBottom w:val="0"/>
      <w:divBdr>
        <w:top w:val="none" w:sz="0" w:space="0" w:color="auto"/>
        <w:left w:val="none" w:sz="0" w:space="0" w:color="auto"/>
        <w:bottom w:val="none" w:sz="0" w:space="0" w:color="auto"/>
        <w:right w:val="none" w:sz="0" w:space="0" w:color="auto"/>
      </w:divBdr>
    </w:div>
    <w:div w:id="1281303263">
      <w:bodyDiv w:val="1"/>
      <w:marLeft w:val="0"/>
      <w:marRight w:val="0"/>
      <w:marTop w:val="0"/>
      <w:marBottom w:val="0"/>
      <w:divBdr>
        <w:top w:val="none" w:sz="0" w:space="0" w:color="auto"/>
        <w:left w:val="none" w:sz="0" w:space="0" w:color="auto"/>
        <w:bottom w:val="none" w:sz="0" w:space="0" w:color="auto"/>
        <w:right w:val="none" w:sz="0" w:space="0" w:color="auto"/>
      </w:divBdr>
    </w:div>
    <w:div w:id="1321276604">
      <w:bodyDiv w:val="1"/>
      <w:marLeft w:val="0"/>
      <w:marRight w:val="0"/>
      <w:marTop w:val="0"/>
      <w:marBottom w:val="0"/>
      <w:divBdr>
        <w:top w:val="none" w:sz="0" w:space="0" w:color="auto"/>
        <w:left w:val="none" w:sz="0" w:space="0" w:color="auto"/>
        <w:bottom w:val="none" w:sz="0" w:space="0" w:color="auto"/>
        <w:right w:val="none" w:sz="0" w:space="0" w:color="auto"/>
      </w:divBdr>
    </w:div>
    <w:div w:id="1326276520">
      <w:bodyDiv w:val="1"/>
      <w:marLeft w:val="0"/>
      <w:marRight w:val="0"/>
      <w:marTop w:val="0"/>
      <w:marBottom w:val="0"/>
      <w:divBdr>
        <w:top w:val="none" w:sz="0" w:space="0" w:color="auto"/>
        <w:left w:val="none" w:sz="0" w:space="0" w:color="auto"/>
        <w:bottom w:val="none" w:sz="0" w:space="0" w:color="auto"/>
        <w:right w:val="none" w:sz="0" w:space="0" w:color="auto"/>
      </w:divBdr>
    </w:div>
    <w:div w:id="1355688970">
      <w:bodyDiv w:val="1"/>
      <w:marLeft w:val="0"/>
      <w:marRight w:val="0"/>
      <w:marTop w:val="0"/>
      <w:marBottom w:val="0"/>
      <w:divBdr>
        <w:top w:val="none" w:sz="0" w:space="0" w:color="auto"/>
        <w:left w:val="none" w:sz="0" w:space="0" w:color="auto"/>
        <w:bottom w:val="none" w:sz="0" w:space="0" w:color="auto"/>
        <w:right w:val="none" w:sz="0" w:space="0" w:color="auto"/>
      </w:divBdr>
    </w:div>
    <w:div w:id="1358502748">
      <w:bodyDiv w:val="1"/>
      <w:marLeft w:val="0"/>
      <w:marRight w:val="0"/>
      <w:marTop w:val="0"/>
      <w:marBottom w:val="0"/>
      <w:divBdr>
        <w:top w:val="none" w:sz="0" w:space="0" w:color="auto"/>
        <w:left w:val="none" w:sz="0" w:space="0" w:color="auto"/>
        <w:bottom w:val="none" w:sz="0" w:space="0" w:color="auto"/>
        <w:right w:val="none" w:sz="0" w:space="0" w:color="auto"/>
      </w:divBdr>
    </w:div>
    <w:div w:id="1363433705">
      <w:bodyDiv w:val="1"/>
      <w:marLeft w:val="0"/>
      <w:marRight w:val="0"/>
      <w:marTop w:val="0"/>
      <w:marBottom w:val="0"/>
      <w:divBdr>
        <w:top w:val="none" w:sz="0" w:space="0" w:color="auto"/>
        <w:left w:val="none" w:sz="0" w:space="0" w:color="auto"/>
        <w:bottom w:val="none" w:sz="0" w:space="0" w:color="auto"/>
        <w:right w:val="none" w:sz="0" w:space="0" w:color="auto"/>
      </w:divBdr>
    </w:div>
    <w:div w:id="1367566331">
      <w:bodyDiv w:val="1"/>
      <w:marLeft w:val="0"/>
      <w:marRight w:val="0"/>
      <w:marTop w:val="0"/>
      <w:marBottom w:val="0"/>
      <w:divBdr>
        <w:top w:val="none" w:sz="0" w:space="0" w:color="auto"/>
        <w:left w:val="none" w:sz="0" w:space="0" w:color="auto"/>
        <w:bottom w:val="none" w:sz="0" w:space="0" w:color="auto"/>
        <w:right w:val="none" w:sz="0" w:space="0" w:color="auto"/>
      </w:divBdr>
    </w:div>
    <w:div w:id="1387414160">
      <w:bodyDiv w:val="1"/>
      <w:marLeft w:val="0"/>
      <w:marRight w:val="0"/>
      <w:marTop w:val="0"/>
      <w:marBottom w:val="0"/>
      <w:divBdr>
        <w:top w:val="none" w:sz="0" w:space="0" w:color="auto"/>
        <w:left w:val="none" w:sz="0" w:space="0" w:color="auto"/>
        <w:bottom w:val="none" w:sz="0" w:space="0" w:color="auto"/>
        <w:right w:val="none" w:sz="0" w:space="0" w:color="auto"/>
      </w:divBdr>
    </w:div>
    <w:div w:id="1426344453">
      <w:bodyDiv w:val="1"/>
      <w:marLeft w:val="0"/>
      <w:marRight w:val="0"/>
      <w:marTop w:val="0"/>
      <w:marBottom w:val="0"/>
      <w:divBdr>
        <w:top w:val="none" w:sz="0" w:space="0" w:color="auto"/>
        <w:left w:val="none" w:sz="0" w:space="0" w:color="auto"/>
        <w:bottom w:val="none" w:sz="0" w:space="0" w:color="auto"/>
        <w:right w:val="none" w:sz="0" w:space="0" w:color="auto"/>
      </w:divBdr>
    </w:div>
    <w:div w:id="1449809395">
      <w:bodyDiv w:val="1"/>
      <w:marLeft w:val="0"/>
      <w:marRight w:val="0"/>
      <w:marTop w:val="0"/>
      <w:marBottom w:val="0"/>
      <w:divBdr>
        <w:top w:val="none" w:sz="0" w:space="0" w:color="auto"/>
        <w:left w:val="none" w:sz="0" w:space="0" w:color="auto"/>
        <w:bottom w:val="none" w:sz="0" w:space="0" w:color="auto"/>
        <w:right w:val="none" w:sz="0" w:space="0" w:color="auto"/>
      </w:divBdr>
    </w:div>
    <w:div w:id="1451822295">
      <w:bodyDiv w:val="1"/>
      <w:marLeft w:val="0"/>
      <w:marRight w:val="0"/>
      <w:marTop w:val="0"/>
      <w:marBottom w:val="0"/>
      <w:divBdr>
        <w:top w:val="none" w:sz="0" w:space="0" w:color="auto"/>
        <w:left w:val="none" w:sz="0" w:space="0" w:color="auto"/>
        <w:bottom w:val="none" w:sz="0" w:space="0" w:color="auto"/>
        <w:right w:val="none" w:sz="0" w:space="0" w:color="auto"/>
      </w:divBdr>
    </w:div>
    <w:div w:id="1511985749">
      <w:bodyDiv w:val="1"/>
      <w:marLeft w:val="0"/>
      <w:marRight w:val="0"/>
      <w:marTop w:val="0"/>
      <w:marBottom w:val="0"/>
      <w:divBdr>
        <w:top w:val="none" w:sz="0" w:space="0" w:color="auto"/>
        <w:left w:val="none" w:sz="0" w:space="0" w:color="auto"/>
        <w:bottom w:val="none" w:sz="0" w:space="0" w:color="auto"/>
        <w:right w:val="none" w:sz="0" w:space="0" w:color="auto"/>
      </w:divBdr>
    </w:div>
    <w:div w:id="1527863144">
      <w:bodyDiv w:val="1"/>
      <w:marLeft w:val="0"/>
      <w:marRight w:val="0"/>
      <w:marTop w:val="0"/>
      <w:marBottom w:val="0"/>
      <w:divBdr>
        <w:top w:val="none" w:sz="0" w:space="0" w:color="auto"/>
        <w:left w:val="none" w:sz="0" w:space="0" w:color="auto"/>
        <w:bottom w:val="none" w:sz="0" w:space="0" w:color="auto"/>
        <w:right w:val="none" w:sz="0" w:space="0" w:color="auto"/>
      </w:divBdr>
    </w:div>
    <w:div w:id="1567447446">
      <w:bodyDiv w:val="1"/>
      <w:marLeft w:val="0"/>
      <w:marRight w:val="0"/>
      <w:marTop w:val="0"/>
      <w:marBottom w:val="0"/>
      <w:divBdr>
        <w:top w:val="none" w:sz="0" w:space="0" w:color="auto"/>
        <w:left w:val="none" w:sz="0" w:space="0" w:color="auto"/>
        <w:bottom w:val="none" w:sz="0" w:space="0" w:color="auto"/>
        <w:right w:val="none" w:sz="0" w:space="0" w:color="auto"/>
      </w:divBdr>
    </w:div>
    <w:div w:id="1570383087">
      <w:bodyDiv w:val="1"/>
      <w:marLeft w:val="0"/>
      <w:marRight w:val="0"/>
      <w:marTop w:val="0"/>
      <w:marBottom w:val="0"/>
      <w:divBdr>
        <w:top w:val="none" w:sz="0" w:space="0" w:color="auto"/>
        <w:left w:val="none" w:sz="0" w:space="0" w:color="auto"/>
        <w:bottom w:val="none" w:sz="0" w:space="0" w:color="auto"/>
        <w:right w:val="none" w:sz="0" w:space="0" w:color="auto"/>
      </w:divBdr>
    </w:div>
    <w:div w:id="1617517541">
      <w:bodyDiv w:val="1"/>
      <w:marLeft w:val="0"/>
      <w:marRight w:val="0"/>
      <w:marTop w:val="0"/>
      <w:marBottom w:val="0"/>
      <w:divBdr>
        <w:top w:val="none" w:sz="0" w:space="0" w:color="auto"/>
        <w:left w:val="none" w:sz="0" w:space="0" w:color="auto"/>
        <w:bottom w:val="none" w:sz="0" w:space="0" w:color="auto"/>
        <w:right w:val="none" w:sz="0" w:space="0" w:color="auto"/>
      </w:divBdr>
    </w:div>
    <w:div w:id="1634289400">
      <w:bodyDiv w:val="1"/>
      <w:marLeft w:val="0"/>
      <w:marRight w:val="0"/>
      <w:marTop w:val="0"/>
      <w:marBottom w:val="0"/>
      <w:divBdr>
        <w:top w:val="none" w:sz="0" w:space="0" w:color="auto"/>
        <w:left w:val="none" w:sz="0" w:space="0" w:color="auto"/>
        <w:bottom w:val="none" w:sz="0" w:space="0" w:color="auto"/>
        <w:right w:val="none" w:sz="0" w:space="0" w:color="auto"/>
      </w:divBdr>
    </w:div>
    <w:div w:id="1634553880">
      <w:bodyDiv w:val="1"/>
      <w:marLeft w:val="0"/>
      <w:marRight w:val="0"/>
      <w:marTop w:val="0"/>
      <w:marBottom w:val="0"/>
      <w:divBdr>
        <w:top w:val="none" w:sz="0" w:space="0" w:color="auto"/>
        <w:left w:val="none" w:sz="0" w:space="0" w:color="auto"/>
        <w:bottom w:val="none" w:sz="0" w:space="0" w:color="auto"/>
        <w:right w:val="none" w:sz="0" w:space="0" w:color="auto"/>
      </w:divBdr>
    </w:div>
    <w:div w:id="1636981488">
      <w:bodyDiv w:val="1"/>
      <w:marLeft w:val="0"/>
      <w:marRight w:val="0"/>
      <w:marTop w:val="0"/>
      <w:marBottom w:val="0"/>
      <w:divBdr>
        <w:top w:val="none" w:sz="0" w:space="0" w:color="auto"/>
        <w:left w:val="none" w:sz="0" w:space="0" w:color="auto"/>
        <w:bottom w:val="none" w:sz="0" w:space="0" w:color="auto"/>
        <w:right w:val="none" w:sz="0" w:space="0" w:color="auto"/>
      </w:divBdr>
    </w:div>
    <w:div w:id="1654144663">
      <w:bodyDiv w:val="1"/>
      <w:marLeft w:val="0"/>
      <w:marRight w:val="0"/>
      <w:marTop w:val="0"/>
      <w:marBottom w:val="0"/>
      <w:divBdr>
        <w:top w:val="none" w:sz="0" w:space="0" w:color="auto"/>
        <w:left w:val="none" w:sz="0" w:space="0" w:color="auto"/>
        <w:bottom w:val="none" w:sz="0" w:space="0" w:color="auto"/>
        <w:right w:val="none" w:sz="0" w:space="0" w:color="auto"/>
      </w:divBdr>
    </w:div>
    <w:div w:id="1665743512">
      <w:bodyDiv w:val="1"/>
      <w:marLeft w:val="0"/>
      <w:marRight w:val="0"/>
      <w:marTop w:val="0"/>
      <w:marBottom w:val="0"/>
      <w:divBdr>
        <w:top w:val="none" w:sz="0" w:space="0" w:color="auto"/>
        <w:left w:val="none" w:sz="0" w:space="0" w:color="auto"/>
        <w:bottom w:val="none" w:sz="0" w:space="0" w:color="auto"/>
        <w:right w:val="none" w:sz="0" w:space="0" w:color="auto"/>
      </w:divBdr>
    </w:div>
    <w:div w:id="1688218041">
      <w:bodyDiv w:val="1"/>
      <w:marLeft w:val="0"/>
      <w:marRight w:val="0"/>
      <w:marTop w:val="0"/>
      <w:marBottom w:val="0"/>
      <w:divBdr>
        <w:top w:val="none" w:sz="0" w:space="0" w:color="auto"/>
        <w:left w:val="none" w:sz="0" w:space="0" w:color="auto"/>
        <w:bottom w:val="none" w:sz="0" w:space="0" w:color="auto"/>
        <w:right w:val="none" w:sz="0" w:space="0" w:color="auto"/>
      </w:divBdr>
    </w:div>
    <w:div w:id="1701852794">
      <w:bodyDiv w:val="1"/>
      <w:marLeft w:val="0"/>
      <w:marRight w:val="0"/>
      <w:marTop w:val="0"/>
      <w:marBottom w:val="0"/>
      <w:divBdr>
        <w:top w:val="none" w:sz="0" w:space="0" w:color="auto"/>
        <w:left w:val="none" w:sz="0" w:space="0" w:color="auto"/>
        <w:bottom w:val="none" w:sz="0" w:space="0" w:color="auto"/>
        <w:right w:val="none" w:sz="0" w:space="0" w:color="auto"/>
      </w:divBdr>
    </w:div>
    <w:div w:id="1876235454">
      <w:bodyDiv w:val="1"/>
      <w:marLeft w:val="0"/>
      <w:marRight w:val="0"/>
      <w:marTop w:val="0"/>
      <w:marBottom w:val="0"/>
      <w:divBdr>
        <w:top w:val="none" w:sz="0" w:space="0" w:color="auto"/>
        <w:left w:val="none" w:sz="0" w:space="0" w:color="auto"/>
        <w:bottom w:val="none" w:sz="0" w:space="0" w:color="auto"/>
        <w:right w:val="none" w:sz="0" w:space="0" w:color="auto"/>
      </w:divBdr>
    </w:div>
    <w:div w:id="1910532369">
      <w:bodyDiv w:val="1"/>
      <w:marLeft w:val="0"/>
      <w:marRight w:val="0"/>
      <w:marTop w:val="0"/>
      <w:marBottom w:val="0"/>
      <w:divBdr>
        <w:top w:val="none" w:sz="0" w:space="0" w:color="auto"/>
        <w:left w:val="none" w:sz="0" w:space="0" w:color="auto"/>
        <w:bottom w:val="none" w:sz="0" w:space="0" w:color="auto"/>
        <w:right w:val="none" w:sz="0" w:space="0" w:color="auto"/>
      </w:divBdr>
    </w:div>
    <w:div w:id="1926449412">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71129394">
      <w:bodyDiv w:val="1"/>
      <w:marLeft w:val="0"/>
      <w:marRight w:val="0"/>
      <w:marTop w:val="0"/>
      <w:marBottom w:val="0"/>
      <w:divBdr>
        <w:top w:val="none" w:sz="0" w:space="0" w:color="auto"/>
        <w:left w:val="none" w:sz="0" w:space="0" w:color="auto"/>
        <w:bottom w:val="none" w:sz="0" w:space="0" w:color="auto"/>
        <w:right w:val="none" w:sz="0" w:space="0" w:color="auto"/>
      </w:divBdr>
    </w:div>
    <w:div w:id="1988244015">
      <w:bodyDiv w:val="1"/>
      <w:marLeft w:val="0"/>
      <w:marRight w:val="0"/>
      <w:marTop w:val="0"/>
      <w:marBottom w:val="0"/>
      <w:divBdr>
        <w:top w:val="none" w:sz="0" w:space="0" w:color="auto"/>
        <w:left w:val="none" w:sz="0" w:space="0" w:color="auto"/>
        <w:bottom w:val="none" w:sz="0" w:space="0" w:color="auto"/>
        <w:right w:val="none" w:sz="0" w:space="0" w:color="auto"/>
      </w:divBdr>
    </w:div>
    <w:div w:id="1994404403">
      <w:bodyDiv w:val="1"/>
      <w:marLeft w:val="0"/>
      <w:marRight w:val="0"/>
      <w:marTop w:val="0"/>
      <w:marBottom w:val="0"/>
      <w:divBdr>
        <w:top w:val="none" w:sz="0" w:space="0" w:color="auto"/>
        <w:left w:val="none" w:sz="0" w:space="0" w:color="auto"/>
        <w:bottom w:val="none" w:sz="0" w:space="0" w:color="auto"/>
        <w:right w:val="none" w:sz="0" w:space="0" w:color="auto"/>
      </w:divBdr>
    </w:div>
    <w:div w:id="1996251781">
      <w:bodyDiv w:val="1"/>
      <w:marLeft w:val="0"/>
      <w:marRight w:val="0"/>
      <w:marTop w:val="0"/>
      <w:marBottom w:val="0"/>
      <w:divBdr>
        <w:top w:val="none" w:sz="0" w:space="0" w:color="auto"/>
        <w:left w:val="none" w:sz="0" w:space="0" w:color="auto"/>
        <w:bottom w:val="none" w:sz="0" w:space="0" w:color="auto"/>
        <w:right w:val="none" w:sz="0" w:space="0" w:color="auto"/>
      </w:divBdr>
    </w:div>
    <w:div w:id="2037801908">
      <w:bodyDiv w:val="1"/>
      <w:marLeft w:val="0"/>
      <w:marRight w:val="0"/>
      <w:marTop w:val="0"/>
      <w:marBottom w:val="0"/>
      <w:divBdr>
        <w:top w:val="none" w:sz="0" w:space="0" w:color="auto"/>
        <w:left w:val="none" w:sz="0" w:space="0" w:color="auto"/>
        <w:bottom w:val="none" w:sz="0" w:space="0" w:color="auto"/>
        <w:right w:val="none" w:sz="0" w:space="0" w:color="auto"/>
      </w:divBdr>
    </w:div>
    <w:div w:id="20594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yperlink" Target="https://www.inegi.org.mx/programas/cngf/2021/" TargetMode="Externa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header" Target="header2.xml"/><Relationship Id="rId47" Type="http://schemas.openxmlformats.org/officeDocument/2006/relationships/hyperlink" Target="https://www.facebook.com/INEGIInforma/" TargetMode="External"/><Relationship Id="rId50" Type="http://schemas.openxmlformats.org/officeDocument/2006/relationships/image" Target="media/image3.jpeg"/><Relationship Id="rId55"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hyperlink" Target="mailto:comunicacionsocial@inegi.org.mx" TargetMode="External"/><Relationship Id="rId45" Type="http://schemas.openxmlformats.org/officeDocument/2006/relationships/header" Target="header3.xml"/><Relationship Id="rId53" Type="http://schemas.openxmlformats.org/officeDocument/2006/relationships/hyperlink" Target="https://www.youtube.com/user/INEGIInforma" TargetMode="External"/><Relationship Id="rId58" Type="http://schemas.openxmlformats.org/officeDocument/2006/relationships/header" Target="header4.xml"/><Relationship Id="rId66"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footer" Target="footer1.xml"/><Relationship Id="rId48" Type="http://schemas.openxmlformats.org/officeDocument/2006/relationships/image" Target="media/image2.jpeg"/><Relationship Id="rId56" Type="http://schemas.openxmlformats.org/officeDocument/2006/relationships/image" Target="media/image6.png"/><Relationship Id="rId8" Type="http://schemas.openxmlformats.org/officeDocument/2006/relationships/chart" Target="charts/chart1.xml"/><Relationship Id="rId51" Type="http://schemas.openxmlformats.org/officeDocument/2006/relationships/hyperlink" Target="https://twitter.com/INEGI_INFORMA"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footer" Target="footer3.xml"/><Relationship Id="rId59" Type="http://schemas.openxmlformats.org/officeDocument/2006/relationships/footer" Target="footer4.xml"/><Relationship Id="rId20" Type="http://schemas.openxmlformats.org/officeDocument/2006/relationships/chart" Target="charts/chart13.xml"/><Relationship Id="rId41" Type="http://schemas.openxmlformats.org/officeDocument/2006/relationships/header" Target="header1.xml"/><Relationship Id="rId54"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hyperlink" Target="https://www.instagram.com/inegi_informa/" TargetMode="External"/><Relationship Id="rId57" Type="http://schemas.openxmlformats.org/officeDocument/2006/relationships/hyperlink" Target="https://www.inegi.org.mx/programas/cngf/2021/" TargetMode="Externa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footer" Target="footer2.xml"/><Relationship Id="rId52" Type="http://schemas.openxmlformats.org/officeDocument/2006/relationships/image" Target="media/image4.jpe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adriana.callejas\Desktop\Censos_2022\BD_GOF_202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adriana.callejas\Desktop\Censos_2022\GOF_2021\BD_GOF_2021.xlsx" TargetMode="External"/><Relationship Id="rId2" Type="http://schemas.microsoft.com/office/2011/relationships/chartColorStyle" Target="colors31.xml"/><Relationship Id="rId1" Type="http://schemas.microsoft.com/office/2011/relationships/chartStyle" Target="style3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2\CNGF%202021\BD%20CNGF%20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Instituciones!$B$31</c:f>
              <c:strCache>
                <c:ptCount val="1"/>
                <c:pt idx="0">
                  <c:v>Administración 
central</c:v>
                </c:pt>
              </c:strCache>
            </c:strRef>
          </c:tx>
          <c:spPr>
            <a:solidFill>
              <a:srgbClr val="08497F"/>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Instituciones!$A$32:$A$36</c:f>
              <c:numCache>
                <c:formatCode>General</c:formatCode>
                <c:ptCount val="5"/>
                <c:pt idx="0">
                  <c:v>2016</c:v>
                </c:pt>
                <c:pt idx="1">
                  <c:v>2017</c:v>
                </c:pt>
                <c:pt idx="2">
                  <c:v>2018</c:v>
                </c:pt>
                <c:pt idx="3">
                  <c:v>2019</c:v>
                </c:pt>
                <c:pt idx="4">
                  <c:v>2020</c:v>
                </c:pt>
              </c:numCache>
            </c:numRef>
          </c:cat>
          <c:val>
            <c:numRef>
              <c:f>Instituciones!$B$32:$B$36</c:f>
              <c:numCache>
                <c:formatCode>General</c:formatCode>
                <c:ptCount val="5"/>
                <c:pt idx="0">
                  <c:v>110</c:v>
                </c:pt>
                <c:pt idx="1">
                  <c:v>111</c:v>
                </c:pt>
                <c:pt idx="2">
                  <c:v>109</c:v>
                </c:pt>
                <c:pt idx="3">
                  <c:v>102</c:v>
                </c:pt>
                <c:pt idx="4">
                  <c:v>100</c:v>
                </c:pt>
              </c:numCache>
            </c:numRef>
          </c:val>
          <c:extLst>
            <c:ext xmlns:c16="http://schemas.microsoft.com/office/drawing/2014/chart" uri="{C3380CC4-5D6E-409C-BE32-E72D297353CC}">
              <c16:uniqueId val="{00000000-B99E-423A-A904-71446E22A8C3}"/>
            </c:ext>
          </c:extLst>
        </c:ser>
        <c:ser>
          <c:idx val="1"/>
          <c:order val="1"/>
          <c:tx>
            <c:strRef>
              <c:f>Instituciones!$C$31</c:f>
              <c:strCache>
                <c:ptCount val="1"/>
                <c:pt idx="0">
                  <c:v>Administración 
paraestatal</c:v>
                </c:pt>
              </c:strCache>
            </c:strRef>
          </c:tx>
          <c:spPr>
            <a:solidFill>
              <a:srgbClr val="C12686"/>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Instituciones!$A$32:$A$36</c:f>
              <c:numCache>
                <c:formatCode>General</c:formatCode>
                <c:ptCount val="5"/>
                <c:pt idx="0">
                  <c:v>2016</c:v>
                </c:pt>
                <c:pt idx="1">
                  <c:v>2017</c:v>
                </c:pt>
                <c:pt idx="2">
                  <c:v>2018</c:v>
                </c:pt>
                <c:pt idx="3">
                  <c:v>2019</c:v>
                </c:pt>
                <c:pt idx="4">
                  <c:v>2020</c:v>
                </c:pt>
              </c:numCache>
            </c:numRef>
          </c:cat>
          <c:val>
            <c:numRef>
              <c:f>Instituciones!$C$32:$C$36</c:f>
              <c:numCache>
                <c:formatCode>General</c:formatCode>
                <c:ptCount val="5"/>
                <c:pt idx="0">
                  <c:v>191</c:v>
                </c:pt>
                <c:pt idx="1">
                  <c:v>193</c:v>
                </c:pt>
                <c:pt idx="2">
                  <c:v>190</c:v>
                </c:pt>
                <c:pt idx="3">
                  <c:v>194</c:v>
                </c:pt>
                <c:pt idx="4">
                  <c:v>193</c:v>
                </c:pt>
              </c:numCache>
            </c:numRef>
          </c:val>
          <c:extLst>
            <c:ext xmlns:c16="http://schemas.microsoft.com/office/drawing/2014/chart" uri="{C3380CC4-5D6E-409C-BE32-E72D297353CC}">
              <c16:uniqueId val="{00000001-B99E-423A-A904-71446E22A8C3}"/>
            </c:ext>
          </c:extLst>
        </c:ser>
        <c:ser>
          <c:idx val="2"/>
          <c:order val="2"/>
          <c:tx>
            <c:strRef>
              <c:f>Instituciones!$D$31</c:f>
              <c:strCache>
                <c:ptCount val="1"/>
                <c:pt idx="0">
                  <c:v>Empresas productivas 
del Estado y sus 
subsidiarias</c:v>
                </c:pt>
              </c:strCache>
            </c:strRef>
          </c:tx>
          <c:spPr>
            <a:solidFill>
              <a:srgbClr val="706F6F"/>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Instituciones!$A$32:$A$36</c:f>
              <c:numCache>
                <c:formatCode>General</c:formatCode>
                <c:ptCount val="5"/>
                <c:pt idx="0">
                  <c:v>2016</c:v>
                </c:pt>
                <c:pt idx="1">
                  <c:v>2017</c:v>
                </c:pt>
                <c:pt idx="2">
                  <c:v>2018</c:v>
                </c:pt>
                <c:pt idx="3">
                  <c:v>2019</c:v>
                </c:pt>
                <c:pt idx="4">
                  <c:v>2020</c:v>
                </c:pt>
              </c:numCache>
            </c:numRef>
          </c:cat>
          <c:val>
            <c:numRef>
              <c:f>Instituciones!$D$32:$D$36</c:f>
              <c:numCache>
                <c:formatCode>General</c:formatCode>
                <c:ptCount val="5"/>
                <c:pt idx="0">
                  <c:v>18</c:v>
                </c:pt>
                <c:pt idx="1">
                  <c:v>18</c:v>
                </c:pt>
                <c:pt idx="2">
                  <c:v>17</c:v>
                </c:pt>
                <c:pt idx="3">
                  <c:v>16</c:v>
                </c:pt>
                <c:pt idx="4">
                  <c:v>16</c:v>
                </c:pt>
              </c:numCache>
            </c:numRef>
          </c:val>
          <c:extLst>
            <c:ext xmlns:c16="http://schemas.microsoft.com/office/drawing/2014/chart" uri="{C3380CC4-5D6E-409C-BE32-E72D297353CC}">
              <c16:uniqueId val="{00000002-B99E-423A-A904-71446E22A8C3}"/>
            </c:ext>
          </c:extLst>
        </c:ser>
        <c:dLbls>
          <c:showLegendKey val="0"/>
          <c:showVal val="0"/>
          <c:showCatName val="0"/>
          <c:showSerName val="0"/>
          <c:showPercent val="0"/>
          <c:showBubbleSize val="0"/>
        </c:dLbls>
        <c:gapWidth val="70"/>
        <c:axId val="352872431"/>
        <c:axId val="352869103"/>
      </c:barChart>
      <c:lineChart>
        <c:grouping val="standard"/>
        <c:varyColors val="0"/>
        <c:ser>
          <c:idx val="3"/>
          <c:order val="3"/>
          <c:tx>
            <c:strRef>
              <c:f>Instituciones!$E$31</c:f>
              <c:strCache>
                <c:ptCount val="1"/>
                <c:pt idx="0">
                  <c:v>Total</c:v>
                </c:pt>
              </c:strCache>
            </c:strRef>
          </c:tx>
          <c:spPr>
            <a:ln w="28575" cap="rnd">
              <a:solidFill>
                <a:srgbClr val="CE941F"/>
              </a:solidFill>
              <a:round/>
            </a:ln>
            <a:effectLst>
              <a:outerShdw blurRad="50800" dist="38100" dir="2700000" algn="tl" rotWithShape="0">
                <a:prstClr val="black">
                  <a:alpha val="40000"/>
                </a:prstClr>
              </a:outerShdw>
            </a:effectLst>
          </c:spPr>
          <c:marker>
            <c:symbol val="diamond"/>
            <c:size val="10"/>
            <c:spPr>
              <a:solidFill>
                <a:srgbClr val="CE941F"/>
              </a:solidFill>
              <a:ln w="9525">
                <a:solidFill>
                  <a:srgbClr val="CE941F"/>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Instituciones!$A$32:$A$36</c:f>
              <c:numCache>
                <c:formatCode>General</c:formatCode>
                <c:ptCount val="5"/>
                <c:pt idx="0">
                  <c:v>2016</c:v>
                </c:pt>
                <c:pt idx="1">
                  <c:v>2017</c:v>
                </c:pt>
                <c:pt idx="2">
                  <c:v>2018</c:v>
                </c:pt>
                <c:pt idx="3">
                  <c:v>2019</c:v>
                </c:pt>
                <c:pt idx="4">
                  <c:v>2020</c:v>
                </c:pt>
              </c:numCache>
            </c:numRef>
          </c:cat>
          <c:val>
            <c:numRef>
              <c:f>Instituciones!$E$32:$E$36</c:f>
              <c:numCache>
                <c:formatCode>General</c:formatCode>
                <c:ptCount val="5"/>
                <c:pt idx="0">
                  <c:v>319</c:v>
                </c:pt>
                <c:pt idx="1">
                  <c:v>323</c:v>
                </c:pt>
                <c:pt idx="2">
                  <c:v>316</c:v>
                </c:pt>
                <c:pt idx="3">
                  <c:v>312</c:v>
                </c:pt>
                <c:pt idx="4">
                  <c:v>310</c:v>
                </c:pt>
              </c:numCache>
            </c:numRef>
          </c:val>
          <c:smooth val="0"/>
          <c:extLst>
            <c:ext xmlns:c16="http://schemas.microsoft.com/office/drawing/2014/chart" uri="{C3380CC4-5D6E-409C-BE32-E72D297353CC}">
              <c16:uniqueId val="{00000003-B99E-423A-A904-71446E22A8C3}"/>
            </c:ext>
          </c:extLst>
        </c:ser>
        <c:dLbls>
          <c:showLegendKey val="0"/>
          <c:showVal val="0"/>
          <c:showCatName val="0"/>
          <c:showSerName val="0"/>
          <c:showPercent val="0"/>
          <c:showBubbleSize val="0"/>
        </c:dLbls>
        <c:marker val="1"/>
        <c:smooth val="0"/>
        <c:axId val="352872431"/>
        <c:axId val="352869103"/>
      </c:lineChart>
      <c:catAx>
        <c:axId val="35287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869103"/>
        <c:crosses val="autoZero"/>
        <c:auto val="1"/>
        <c:lblAlgn val="ctr"/>
        <c:lblOffset val="100"/>
        <c:noMultiLvlLbl val="0"/>
      </c:catAx>
      <c:valAx>
        <c:axId val="352869103"/>
        <c:scaling>
          <c:orientation val="minMax"/>
        </c:scaling>
        <c:delete val="1"/>
        <c:axPos val="l"/>
        <c:numFmt formatCode="General" sourceLinked="1"/>
        <c:majorTickMark val="none"/>
        <c:minorTickMark val="none"/>
        <c:tickLblPos val="nextTo"/>
        <c:crossAx val="35287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474127557160047E-2"/>
          <c:y val="0"/>
          <c:w val="0.94705174488567989"/>
          <c:h val="0.56162455779984022"/>
        </c:manualLayout>
      </c:layout>
      <c:barChart>
        <c:barDir val="col"/>
        <c:grouping val="clustered"/>
        <c:varyColors val="0"/>
        <c:ser>
          <c:idx val="0"/>
          <c:order val="0"/>
          <c:tx>
            <c:strRef>
              <c:f>Personal!$AW$20</c:f>
              <c:strCache>
                <c:ptCount val="1"/>
                <c:pt idx="0">
                  <c:v>2019</c:v>
                </c:pt>
              </c:strCache>
            </c:strRef>
          </c:tx>
          <c:spPr>
            <a:solidFill>
              <a:srgbClr val="706F6F"/>
            </a:solidFill>
            <a:ln>
              <a:noFill/>
            </a:ln>
            <a:effectLst>
              <a:outerShdw blurRad="50800" dist="38100" dir="2700000" algn="tl" rotWithShape="0">
                <a:prstClr val="black">
                  <a:alpha val="40000"/>
                </a:prstClr>
              </a:outerShdw>
            </a:effectLst>
          </c:spPr>
          <c:invertIfNegative val="0"/>
          <c:dLbls>
            <c:dLbl>
              <c:idx val="3"/>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AB-49A6-99E8-3B402DDCFF3B}"/>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Personal!$AV$21:$AV$25</c:f>
              <c:strCache>
                <c:ptCount val="5"/>
                <c:pt idx="0">
                  <c:v>Seguridad pública 
o seguridad 
ciudadana</c:v>
                </c:pt>
                <c:pt idx="1">
                  <c:v>Agricultura y 
desarrollo 
rural</c:v>
                </c:pt>
                <c:pt idx="2">
                  <c:v>Reinserción 
social</c:v>
                </c:pt>
                <c:pt idx="3">
                  <c:v>Combustibles 
y energía</c:v>
                </c:pt>
                <c:pt idx="4">
                  <c:v>Relaciones 
exteriores</c:v>
                </c:pt>
              </c:strCache>
            </c:strRef>
          </c:cat>
          <c:val>
            <c:numRef>
              <c:f>Personal!$AW$21:$AW$25</c:f>
              <c:numCache>
                <c:formatCode>#,##0</c:formatCode>
                <c:ptCount val="5"/>
                <c:pt idx="0">
                  <c:v>96622</c:v>
                </c:pt>
                <c:pt idx="1">
                  <c:v>28739</c:v>
                </c:pt>
                <c:pt idx="2">
                  <c:v>9462</c:v>
                </c:pt>
                <c:pt idx="3">
                  <c:v>256330</c:v>
                </c:pt>
                <c:pt idx="4">
                  <c:v>3973</c:v>
                </c:pt>
              </c:numCache>
            </c:numRef>
          </c:val>
          <c:extLst>
            <c:ext xmlns:c16="http://schemas.microsoft.com/office/drawing/2014/chart" uri="{C3380CC4-5D6E-409C-BE32-E72D297353CC}">
              <c16:uniqueId val="{00000001-96AB-49A6-99E8-3B402DDCFF3B}"/>
            </c:ext>
          </c:extLst>
        </c:ser>
        <c:ser>
          <c:idx val="1"/>
          <c:order val="1"/>
          <c:tx>
            <c:strRef>
              <c:f>Personal!$AX$20</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dLbl>
              <c:idx val="3"/>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AB-49A6-99E8-3B402DDCFF3B}"/>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Personal!$AV$21:$AV$25</c:f>
              <c:strCache>
                <c:ptCount val="5"/>
                <c:pt idx="0">
                  <c:v>Seguridad pública 
o seguridad 
ciudadana</c:v>
                </c:pt>
                <c:pt idx="1">
                  <c:v>Agricultura y 
desarrollo 
rural</c:v>
                </c:pt>
                <c:pt idx="2">
                  <c:v>Reinserción 
social</c:v>
                </c:pt>
                <c:pt idx="3">
                  <c:v>Combustibles 
y energía</c:v>
                </c:pt>
                <c:pt idx="4">
                  <c:v>Relaciones 
exteriores</c:v>
                </c:pt>
              </c:strCache>
            </c:strRef>
          </c:cat>
          <c:val>
            <c:numRef>
              <c:f>Personal!$AX$21:$AX$25</c:f>
              <c:numCache>
                <c:formatCode>#,##0</c:formatCode>
                <c:ptCount val="5"/>
                <c:pt idx="0">
                  <c:v>32313</c:v>
                </c:pt>
                <c:pt idx="1">
                  <c:v>20247</c:v>
                </c:pt>
                <c:pt idx="2">
                  <c:v>9031</c:v>
                </c:pt>
                <c:pt idx="3">
                  <c:v>246357</c:v>
                </c:pt>
                <c:pt idx="4">
                  <c:v>3887</c:v>
                </c:pt>
              </c:numCache>
            </c:numRef>
          </c:val>
          <c:extLst>
            <c:ext xmlns:c16="http://schemas.microsoft.com/office/drawing/2014/chart" uri="{C3380CC4-5D6E-409C-BE32-E72D297353CC}">
              <c16:uniqueId val="{00000003-96AB-49A6-99E8-3B402DDCFF3B}"/>
            </c:ext>
          </c:extLst>
        </c:ser>
        <c:dLbls>
          <c:showLegendKey val="0"/>
          <c:showVal val="0"/>
          <c:showCatName val="0"/>
          <c:showSerName val="0"/>
          <c:showPercent val="0"/>
          <c:showBubbleSize val="0"/>
        </c:dLbls>
        <c:gapWidth val="70"/>
        <c:overlap val="-27"/>
        <c:axId val="941231248"/>
        <c:axId val="941224592"/>
      </c:barChart>
      <c:catAx>
        <c:axId val="94123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41224592"/>
        <c:crosses val="autoZero"/>
        <c:auto val="1"/>
        <c:lblAlgn val="ctr"/>
        <c:lblOffset val="100"/>
        <c:noMultiLvlLbl val="0"/>
      </c:catAx>
      <c:valAx>
        <c:axId val="941224592"/>
        <c:scaling>
          <c:orientation val="minMax"/>
        </c:scaling>
        <c:delete val="1"/>
        <c:axPos val="l"/>
        <c:numFmt formatCode="#,##0" sourceLinked="1"/>
        <c:majorTickMark val="none"/>
        <c:minorTickMark val="none"/>
        <c:tickLblPos val="nextTo"/>
        <c:crossAx val="941231248"/>
        <c:crosses val="autoZero"/>
        <c:crossBetween val="between"/>
      </c:valAx>
      <c:spPr>
        <a:noFill/>
        <a:ln>
          <a:noFill/>
        </a:ln>
        <a:effectLst/>
      </c:spPr>
    </c:plotArea>
    <c:legend>
      <c:legendPos val="b"/>
      <c:layout>
        <c:manualLayout>
          <c:xMode val="edge"/>
          <c:yMode val="edge"/>
          <c:x val="0.83001620284829014"/>
          <c:y val="4.703940491951792E-3"/>
          <c:w val="0.1678855756748818"/>
          <c:h val="8.82164134903491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828828828828829E-2"/>
          <c:y val="0.14902033575832488"/>
          <c:w val="0.94714714714714709"/>
          <c:h val="0.52884882380356657"/>
        </c:manualLayout>
      </c:layout>
      <c:barChart>
        <c:barDir val="col"/>
        <c:grouping val="clustered"/>
        <c:varyColors val="0"/>
        <c:ser>
          <c:idx val="0"/>
          <c:order val="0"/>
          <c:tx>
            <c:strRef>
              <c:f>Personal!$AW$6</c:f>
              <c:strCache>
                <c:ptCount val="1"/>
                <c:pt idx="0">
                  <c:v>2019</c:v>
                </c:pt>
              </c:strCache>
            </c:strRef>
          </c:tx>
          <c:spPr>
            <a:solidFill>
              <a:srgbClr val="706F6F"/>
            </a:solidFill>
            <a:ln>
              <a:noFill/>
            </a:ln>
            <a:effectLst>
              <a:outerShdw blurRad="50800" dist="38100" dir="2700000" algn="tl" rotWithShape="0">
                <a:prstClr val="black">
                  <a:alpha val="40000"/>
                </a:prstClr>
              </a:outerShdw>
            </a:effectLst>
          </c:spPr>
          <c:invertIfNegative val="0"/>
          <c:dLbls>
            <c:dLbl>
              <c:idx val="4"/>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0D-4394-A106-D3868B5E0277}"/>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Personal!$AV$7:$AV$11</c:f>
              <c:strCache>
                <c:ptCount val="5"/>
                <c:pt idx="0">
                  <c:v>Arte, cultura y otras 
manifestaciones 
sociales</c:v>
                </c:pt>
                <c:pt idx="1">
                  <c:v>Desarrollo 
social</c:v>
                </c:pt>
                <c:pt idx="2">
                  <c:v>Turismo</c:v>
                </c:pt>
                <c:pt idx="3">
                  <c:v>Seguridad 
nacional</c:v>
                </c:pt>
                <c:pt idx="4">
                  <c:v>Protección 
y seguridad 
social</c:v>
                </c:pt>
              </c:strCache>
            </c:strRef>
          </c:cat>
          <c:val>
            <c:numRef>
              <c:f>Personal!$AW$7:$AW$11</c:f>
              <c:numCache>
                <c:formatCode>#,##0</c:formatCode>
                <c:ptCount val="5"/>
                <c:pt idx="0">
                  <c:v>13506</c:v>
                </c:pt>
                <c:pt idx="1">
                  <c:v>35392</c:v>
                </c:pt>
                <c:pt idx="2">
                  <c:v>4597</c:v>
                </c:pt>
                <c:pt idx="3">
                  <c:v>6254</c:v>
                </c:pt>
                <c:pt idx="4">
                  <c:v>533880</c:v>
                </c:pt>
              </c:numCache>
            </c:numRef>
          </c:val>
          <c:extLst>
            <c:ext xmlns:c16="http://schemas.microsoft.com/office/drawing/2014/chart" uri="{C3380CC4-5D6E-409C-BE32-E72D297353CC}">
              <c16:uniqueId val="{00000001-4B0D-4394-A106-D3868B5E0277}"/>
            </c:ext>
          </c:extLst>
        </c:ser>
        <c:ser>
          <c:idx val="1"/>
          <c:order val="1"/>
          <c:tx>
            <c:strRef>
              <c:f>Personal!$AX$6</c:f>
              <c:strCache>
                <c:ptCount val="1"/>
                <c:pt idx="0">
                  <c:v>2020</c:v>
                </c:pt>
              </c:strCache>
            </c:strRef>
          </c:tx>
          <c:spPr>
            <a:solidFill>
              <a:srgbClr val="C12686"/>
            </a:solidFill>
            <a:ln>
              <a:noFill/>
            </a:ln>
            <a:effectLst/>
          </c:spPr>
          <c:invertIfNegative val="0"/>
          <c:dPt>
            <c:idx val="4"/>
            <c:invertIfNegative val="0"/>
            <c:bubble3D val="0"/>
            <c:spPr>
              <a:solidFill>
                <a:srgbClr val="C1268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2-4B0D-4394-A106-D3868B5E0277}"/>
              </c:ext>
            </c:extLst>
          </c:dPt>
          <c:dLbls>
            <c:dLbl>
              <c:idx val="4"/>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0D-4394-A106-D3868B5E0277}"/>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Personal!$AV$7:$AV$11</c:f>
              <c:strCache>
                <c:ptCount val="5"/>
                <c:pt idx="0">
                  <c:v>Arte, cultura y otras 
manifestaciones 
sociales</c:v>
                </c:pt>
                <c:pt idx="1">
                  <c:v>Desarrollo 
social</c:v>
                </c:pt>
                <c:pt idx="2">
                  <c:v>Turismo</c:v>
                </c:pt>
                <c:pt idx="3">
                  <c:v>Seguridad 
nacional</c:v>
                </c:pt>
                <c:pt idx="4">
                  <c:v>Protección 
y seguridad 
social</c:v>
                </c:pt>
              </c:strCache>
            </c:strRef>
          </c:cat>
          <c:val>
            <c:numRef>
              <c:f>Personal!$AX$7:$AX$11</c:f>
              <c:numCache>
                <c:formatCode>#,##0</c:formatCode>
                <c:ptCount val="5"/>
                <c:pt idx="0">
                  <c:v>18242</c:v>
                </c:pt>
                <c:pt idx="1">
                  <c:v>44720</c:v>
                </c:pt>
                <c:pt idx="2">
                  <c:v>5542</c:v>
                </c:pt>
                <c:pt idx="3">
                  <c:v>7141</c:v>
                </c:pt>
                <c:pt idx="4">
                  <c:v>569507</c:v>
                </c:pt>
              </c:numCache>
            </c:numRef>
          </c:val>
          <c:extLst>
            <c:ext xmlns:c16="http://schemas.microsoft.com/office/drawing/2014/chart" uri="{C3380CC4-5D6E-409C-BE32-E72D297353CC}">
              <c16:uniqueId val="{00000003-4B0D-4394-A106-D3868B5E0277}"/>
            </c:ext>
          </c:extLst>
        </c:ser>
        <c:dLbls>
          <c:showLegendKey val="0"/>
          <c:showVal val="0"/>
          <c:showCatName val="0"/>
          <c:showSerName val="0"/>
          <c:showPercent val="0"/>
          <c:showBubbleSize val="0"/>
        </c:dLbls>
        <c:gapWidth val="70"/>
        <c:overlap val="-27"/>
        <c:axId val="868504944"/>
        <c:axId val="875222816"/>
      </c:barChart>
      <c:catAx>
        <c:axId val="86850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75222816"/>
        <c:crosses val="autoZero"/>
        <c:auto val="1"/>
        <c:lblAlgn val="ctr"/>
        <c:lblOffset val="100"/>
        <c:noMultiLvlLbl val="0"/>
      </c:catAx>
      <c:valAx>
        <c:axId val="875222816"/>
        <c:scaling>
          <c:orientation val="minMax"/>
        </c:scaling>
        <c:delete val="1"/>
        <c:axPos val="l"/>
        <c:numFmt formatCode="#,##0" sourceLinked="1"/>
        <c:majorTickMark val="none"/>
        <c:minorTickMark val="none"/>
        <c:tickLblPos val="nextTo"/>
        <c:crossAx val="868504944"/>
        <c:crosses val="autoZero"/>
        <c:crossBetween val="between"/>
      </c:valAx>
      <c:spPr>
        <a:noFill/>
        <a:ln>
          <a:noFill/>
        </a:ln>
        <a:effectLst/>
      </c:spPr>
    </c:plotArea>
    <c:legend>
      <c:legendPos val="b"/>
      <c:layout>
        <c:manualLayout>
          <c:xMode val="edge"/>
          <c:yMode val="edge"/>
          <c:x val="0.82942167364214603"/>
          <c:y val="5.4546490019848895E-4"/>
          <c:w val="0.16758307914213427"/>
          <c:h val="9.93740034832094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750440425164197"/>
          <c:y val="2.5292470212549083E-2"/>
          <c:w val="0.72249559574835809"/>
          <c:h val="0.95011561248582299"/>
        </c:manualLayout>
      </c:layout>
      <c:barChart>
        <c:barDir val="bar"/>
        <c:grouping val="stacked"/>
        <c:varyColors val="0"/>
        <c:ser>
          <c:idx val="0"/>
          <c:order val="0"/>
          <c:tx>
            <c:strRef>
              <c:f>Personal!$BL$43</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dLbl>
              <c:idx val="0"/>
              <c:tx>
                <c:rich>
                  <a:bodyPr/>
                  <a:lstStyle/>
                  <a:p>
                    <a:r>
                      <a:rPr lang="en-US"/>
                      <a:t>15.1%</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40-4D92-92CD-B1EB6CEDA3FB}"/>
                </c:ext>
              </c:extLst>
            </c:dLbl>
            <c:dLbl>
              <c:idx val="1"/>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27.2%</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40-4D92-92CD-B1EB6CEDA3FB}"/>
                </c:ext>
              </c:extLst>
            </c:dLbl>
            <c:dLbl>
              <c:idx val="2"/>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16.6%</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40-4D92-92CD-B1EB6CEDA3FB}"/>
                </c:ext>
              </c:extLst>
            </c:dLbl>
            <c:dLbl>
              <c:idx val="3"/>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6.1%</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40-4D92-92CD-B1EB6CEDA3FB}"/>
                </c:ext>
              </c:extLst>
            </c:dLbl>
            <c:dLbl>
              <c:idx val="4"/>
              <c:tx>
                <c:rich>
                  <a:bodyPr/>
                  <a:lstStyle/>
                  <a:p>
                    <a:r>
                      <a:rPr lang="en-US"/>
                      <a:t>5.2%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40-4D92-92CD-B1EB6CEDA3FB}"/>
                </c:ext>
              </c:extLst>
            </c:dLbl>
            <c:dLbl>
              <c:idx val="5"/>
              <c:tx>
                <c:rich>
                  <a:bodyPr/>
                  <a:lstStyle/>
                  <a:p>
                    <a:r>
                      <a:rPr lang="en-US"/>
                      <a:t>4.4%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40-4D92-92CD-B1EB6CEDA3FB}"/>
                </c:ext>
              </c:extLst>
            </c:dLbl>
            <c:dLbl>
              <c:idx val="6"/>
              <c:tx>
                <c:rich>
                  <a:bodyPr/>
                  <a:lstStyle/>
                  <a:p>
                    <a:r>
                      <a:rPr lang="en-US"/>
                      <a:t>6.4%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40-4D92-92CD-B1EB6CEDA3FB}"/>
                </c:ext>
              </c:extLst>
            </c:dLbl>
            <c:dLbl>
              <c:idx val="7"/>
              <c:tx>
                <c:rich>
                  <a:bodyPr/>
                  <a:lstStyle/>
                  <a:p>
                    <a:r>
                      <a:rPr lang="en-US"/>
                      <a:t>6.2%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40-4D92-92CD-B1EB6CEDA3FB}"/>
                </c:ext>
              </c:extLst>
            </c:dLbl>
            <c:dLbl>
              <c:idx val="8"/>
              <c:tx>
                <c:rich>
                  <a:bodyPr/>
                  <a:lstStyle/>
                  <a:p>
                    <a:r>
                      <a:rPr lang="en-US"/>
                      <a:t>3.4%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40-4D92-92CD-B1EB6CEDA3FB}"/>
                </c:ext>
              </c:extLst>
            </c:dLbl>
            <c:dLbl>
              <c:idx val="9"/>
              <c:tx>
                <c:rich>
                  <a:bodyPr/>
                  <a:lstStyle/>
                  <a:p>
                    <a:r>
                      <a:rPr lang="en-US"/>
                      <a:t>2.1%</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40-4D92-92CD-B1EB6CEDA3FB}"/>
                </c:ext>
              </c:extLst>
            </c:dLbl>
            <c:dLbl>
              <c:idx val="10"/>
              <c:tx>
                <c:rich>
                  <a:bodyPr/>
                  <a:lstStyle/>
                  <a:p>
                    <a:r>
                      <a:rPr lang="en-US"/>
                      <a:t>1.8%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440-4D92-92CD-B1EB6CEDA3FB}"/>
                </c:ext>
              </c:extLst>
            </c:dLbl>
            <c:dLbl>
              <c:idx val="11"/>
              <c:tx>
                <c:rich>
                  <a:bodyPr/>
                  <a:lstStyle/>
                  <a:p>
                    <a:r>
                      <a:rPr lang="en-US"/>
                      <a:t>0.7%</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440-4D92-92CD-B1EB6CEDA3FB}"/>
                </c:ext>
              </c:extLst>
            </c:dLbl>
            <c:dLbl>
              <c:idx val="12"/>
              <c:tx>
                <c:rich>
                  <a:bodyPr/>
                  <a:lstStyle/>
                  <a:p>
                    <a:r>
                      <a:rPr lang="en-US"/>
                      <a:t>0.6%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440-4D92-92CD-B1EB6CEDA3FB}"/>
                </c:ext>
              </c:extLst>
            </c:dLbl>
            <c:dLbl>
              <c:idx val="13"/>
              <c:tx>
                <c:rich>
                  <a:bodyPr/>
                  <a:lstStyle/>
                  <a:p>
                    <a:r>
                      <a:rPr lang="en-US"/>
                      <a:t>0.2%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440-4D92-92CD-B1EB6CEDA3FB}"/>
                </c:ext>
              </c:extLst>
            </c:dLbl>
            <c:dLbl>
              <c:idx val="14"/>
              <c:tx>
                <c:rich>
                  <a:bodyPr/>
                  <a:lstStyle/>
                  <a:p>
                    <a:r>
                      <a:rPr lang="en-US"/>
                      <a:t>3.6%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440-4D92-92CD-B1EB6CEDA3F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Personal!$BK$44:$BK$58</c:f>
              <c:strCache>
                <c:ptCount val="15"/>
                <c:pt idx="0">
                  <c:v>De 1 a 5,000 pesos</c:v>
                </c:pt>
                <c:pt idx="1">
                  <c:v>De 5,001 a 10,000 pesos</c:v>
                </c:pt>
                <c:pt idx="2">
                  <c:v>De 10,001 a 15,000 pesos</c:v>
                </c:pt>
                <c:pt idx="3">
                  <c:v>De 15,001 a 20,000 pesos</c:v>
                </c:pt>
                <c:pt idx="4">
                  <c:v>De 20,001 a 25,000 pesos</c:v>
                </c:pt>
                <c:pt idx="5">
                  <c:v>De 25,001 a 30,000 pesos</c:v>
                </c:pt>
                <c:pt idx="6">
                  <c:v>De 30,001 a 35,000 pesos</c:v>
                </c:pt>
                <c:pt idx="7">
                  <c:v>De 35,001 a 40,000 pesos</c:v>
                </c:pt>
                <c:pt idx="8">
                  <c:v>De 40,001 a 45,000 pesos</c:v>
                </c:pt>
                <c:pt idx="9">
                  <c:v>De 45,001 a 50,000 pesos</c:v>
                </c:pt>
                <c:pt idx="10">
                  <c:v>De 50,001 a 55,000 pesos</c:v>
                </c:pt>
                <c:pt idx="11">
                  <c:v>De 55,001 a 60,000 pesos</c:v>
                </c:pt>
                <c:pt idx="12">
                  <c:v>De 60,001 a 65,000 pesos</c:v>
                </c:pt>
                <c:pt idx="13">
                  <c:v>De 65,001 a 70,000 pesos</c:v>
                </c:pt>
                <c:pt idx="14">
                  <c:v>Más de 70,000 pesos</c:v>
                </c:pt>
              </c:strCache>
            </c:strRef>
          </c:cat>
          <c:val>
            <c:numRef>
              <c:f>Personal!$BL$44:$BL$58</c:f>
              <c:numCache>
                <c:formatCode>0.0%</c:formatCode>
                <c:ptCount val="15"/>
                <c:pt idx="0">
                  <c:v>-5.1327096270047001E-2</c:v>
                </c:pt>
                <c:pt idx="1">
                  <c:v>-0.27169853377930803</c:v>
                </c:pt>
                <c:pt idx="2">
                  <c:v>-6.6001968132465005E-2</c:v>
                </c:pt>
                <c:pt idx="3">
                  <c:v>-6.0999999999999999E-2</c:v>
                </c:pt>
                <c:pt idx="4">
                  <c:v>-5.2272027822351297E-2</c:v>
                </c:pt>
                <c:pt idx="5">
                  <c:v>-4.3561078597382702E-2</c:v>
                </c:pt>
                <c:pt idx="6">
                  <c:v>-6.3718605184268598E-2</c:v>
                </c:pt>
                <c:pt idx="7">
                  <c:v>-6.2011370587691399E-2</c:v>
                </c:pt>
                <c:pt idx="8">
                  <c:v>-3.3771076051728702E-2</c:v>
                </c:pt>
                <c:pt idx="9">
                  <c:v>-2.12847066988694E-2</c:v>
                </c:pt>
                <c:pt idx="10">
                  <c:v>-7.6194715931614003E-3</c:v>
                </c:pt>
                <c:pt idx="11">
                  <c:v>-7.0265115295327502E-3</c:v>
                </c:pt>
                <c:pt idx="12">
                  <c:v>-5.8980649230414598E-3</c:v>
                </c:pt>
                <c:pt idx="13">
                  <c:v>-2E-3</c:v>
                </c:pt>
                <c:pt idx="14">
                  <c:v>-3.6124222847307597E-2</c:v>
                </c:pt>
              </c:numCache>
            </c:numRef>
          </c:val>
          <c:extLst>
            <c:ext xmlns:c16="http://schemas.microsoft.com/office/drawing/2014/chart" uri="{C3380CC4-5D6E-409C-BE32-E72D297353CC}">
              <c16:uniqueId val="{0000000F-A440-4D92-92CD-B1EB6CEDA3FB}"/>
            </c:ext>
          </c:extLst>
        </c:ser>
        <c:ser>
          <c:idx val="1"/>
          <c:order val="1"/>
          <c:tx>
            <c:strRef>
              <c:f>Personal!$BM$43</c:f>
              <c:strCache>
                <c:ptCount val="1"/>
                <c:pt idx="0">
                  <c:v>Mujeres</c:v>
                </c:pt>
              </c:strCache>
            </c:strRef>
          </c:tx>
          <c:spPr>
            <a:solidFill>
              <a:srgbClr val="6F9CC0"/>
            </a:solidFill>
            <a:ln>
              <a:noFill/>
            </a:ln>
            <a:effectLst>
              <a:outerShdw blurRad="50800" dist="38100" dir="2700000" algn="tl" rotWithShape="0">
                <a:prstClr val="black">
                  <a:alpha val="40000"/>
                </a:prstClr>
              </a:outerShdw>
            </a:effectLst>
          </c:spPr>
          <c:invertIfNegative val="0"/>
          <c:dLbls>
            <c:dLbl>
              <c:idx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440-4D92-92CD-B1EB6CEDA3FB}"/>
                </c:ext>
              </c:extLst>
            </c:dLbl>
            <c:dLbl>
              <c:idx val="1"/>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440-4D92-92CD-B1EB6CEDA3FB}"/>
                </c:ext>
              </c:extLst>
            </c:dLbl>
            <c:dLbl>
              <c:idx val="2"/>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440-4D92-92CD-B1EB6CEDA3FB}"/>
                </c:ext>
              </c:extLst>
            </c:dLbl>
            <c:dLbl>
              <c:idx val="3"/>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440-4D92-92CD-B1EB6CEDA3F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Personal!$BK$44:$BK$58</c:f>
              <c:strCache>
                <c:ptCount val="15"/>
                <c:pt idx="0">
                  <c:v>De 1 a 5,000 pesos</c:v>
                </c:pt>
                <c:pt idx="1">
                  <c:v>De 5,001 a 10,000 pesos</c:v>
                </c:pt>
                <c:pt idx="2">
                  <c:v>De 10,001 a 15,000 pesos</c:v>
                </c:pt>
                <c:pt idx="3">
                  <c:v>De 15,001 a 20,000 pesos</c:v>
                </c:pt>
                <c:pt idx="4">
                  <c:v>De 20,001 a 25,000 pesos</c:v>
                </c:pt>
                <c:pt idx="5">
                  <c:v>De 25,001 a 30,000 pesos</c:v>
                </c:pt>
                <c:pt idx="6">
                  <c:v>De 30,001 a 35,000 pesos</c:v>
                </c:pt>
                <c:pt idx="7">
                  <c:v>De 35,001 a 40,000 pesos</c:v>
                </c:pt>
                <c:pt idx="8">
                  <c:v>De 40,001 a 45,000 pesos</c:v>
                </c:pt>
                <c:pt idx="9">
                  <c:v>De 45,001 a 50,000 pesos</c:v>
                </c:pt>
                <c:pt idx="10">
                  <c:v>De 50,001 a 55,000 pesos</c:v>
                </c:pt>
                <c:pt idx="11">
                  <c:v>De 55,001 a 60,000 pesos</c:v>
                </c:pt>
                <c:pt idx="12">
                  <c:v>De 60,001 a 65,000 pesos</c:v>
                </c:pt>
                <c:pt idx="13">
                  <c:v>De 65,001 a 70,000 pesos</c:v>
                </c:pt>
                <c:pt idx="14">
                  <c:v>Más de 70,000 pesos</c:v>
                </c:pt>
              </c:strCache>
            </c:strRef>
          </c:cat>
          <c:val>
            <c:numRef>
              <c:f>Personal!$BM$44:$BM$58</c:f>
              <c:numCache>
                <c:formatCode>0.0%</c:formatCode>
                <c:ptCount val="15"/>
                <c:pt idx="0">
                  <c:v>0.15133022749548361</c:v>
                </c:pt>
                <c:pt idx="1">
                  <c:v>0.42312799361027192</c:v>
                </c:pt>
                <c:pt idx="2">
                  <c:v>0.20059613945531096</c:v>
                </c:pt>
                <c:pt idx="3">
                  <c:v>5.3042805634853245E-2</c:v>
                </c:pt>
                <c:pt idx="4">
                  <c:v>3.605812233708839E-2</c:v>
                </c:pt>
                <c:pt idx="5">
                  <c:v>2.9726345282158399E-2</c:v>
                </c:pt>
                <c:pt idx="6">
                  <c:v>3.5928362481008447E-2</c:v>
                </c:pt>
                <c:pt idx="7">
                  <c:v>2.5746623094230852E-2</c:v>
                </c:pt>
                <c:pt idx="8">
                  <c:v>1.0999999999999999E-2</c:v>
                </c:pt>
                <c:pt idx="9">
                  <c:v>6.9830959441856246E-3</c:v>
                </c:pt>
                <c:pt idx="10">
                  <c:v>4.6121440107637687E-3</c:v>
                </c:pt>
                <c:pt idx="11">
                  <c:v>2.6594471474248337E-3</c:v>
                </c:pt>
                <c:pt idx="12">
                  <c:v>2.3633931068540921E-3</c:v>
                </c:pt>
                <c:pt idx="13">
                  <c:v>9.2595625455104346E-4</c:v>
                </c:pt>
                <c:pt idx="14">
                  <c:v>1.3357706349666277E-2</c:v>
                </c:pt>
              </c:numCache>
            </c:numRef>
          </c:val>
          <c:extLst>
            <c:ext xmlns:c16="http://schemas.microsoft.com/office/drawing/2014/chart" uri="{C3380CC4-5D6E-409C-BE32-E72D297353CC}">
              <c16:uniqueId val="{00000013-A440-4D92-92CD-B1EB6CEDA3FB}"/>
            </c:ext>
          </c:extLst>
        </c:ser>
        <c:dLbls>
          <c:showLegendKey val="0"/>
          <c:showVal val="0"/>
          <c:showCatName val="0"/>
          <c:showSerName val="0"/>
          <c:showPercent val="0"/>
          <c:showBubbleSize val="0"/>
        </c:dLbls>
        <c:gapWidth val="70"/>
        <c:overlap val="100"/>
        <c:axId val="941220848"/>
        <c:axId val="941215024"/>
      </c:barChart>
      <c:catAx>
        <c:axId val="94122084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41215024"/>
        <c:crosses val="autoZero"/>
        <c:auto val="1"/>
        <c:lblAlgn val="ctr"/>
        <c:lblOffset val="100"/>
        <c:noMultiLvlLbl val="0"/>
      </c:catAx>
      <c:valAx>
        <c:axId val="941215024"/>
        <c:scaling>
          <c:orientation val="minMax"/>
        </c:scaling>
        <c:delete val="1"/>
        <c:axPos val="b"/>
        <c:numFmt formatCode="0.0%" sourceLinked="1"/>
        <c:majorTickMark val="none"/>
        <c:minorTickMark val="none"/>
        <c:tickLblPos val="nextTo"/>
        <c:crossAx val="941220848"/>
        <c:crosses val="autoZero"/>
        <c:crossBetween val="between"/>
      </c:valAx>
      <c:spPr>
        <a:noFill/>
        <a:ln>
          <a:noFill/>
        </a:ln>
        <a:effectLst/>
      </c:spPr>
    </c:plotArea>
    <c:legend>
      <c:legendPos val="b"/>
      <c:layout>
        <c:manualLayout>
          <c:xMode val="edge"/>
          <c:yMode val="edge"/>
          <c:x val="0.8962008615669026"/>
          <c:y val="0.31296527415341091"/>
          <c:w val="0.10190721995562571"/>
          <c:h val="0.1369174017537950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Personal!$CF$30</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dLbl>
              <c:idx val="0"/>
              <c:tx>
                <c:rich>
                  <a:bodyPr/>
                  <a:lstStyle/>
                  <a:p>
                    <a:r>
                      <a:rPr lang="en-US"/>
                      <a:t>2.8%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AB-46D7-8594-F397EAF8099A}"/>
                </c:ext>
              </c:extLst>
            </c:dLbl>
            <c:dLbl>
              <c:idx val="1"/>
              <c:tx>
                <c:rich>
                  <a:bodyPr/>
                  <a:lstStyle/>
                  <a:p>
                    <a:r>
                      <a:rPr lang="en-US"/>
                      <a:t>1.6%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AB-46D7-8594-F397EAF8099A}"/>
                </c:ext>
              </c:extLst>
            </c:dLbl>
            <c:dLbl>
              <c:idx val="2"/>
              <c:tx>
                <c:rich>
                  <a:bodyPr/>
                  <a:lstStyle/>
                  <a:p>
                    <a:r>
                      <a:rPr lang="en-US"/>
                      <a:t>13.0%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AB-46D7-8594-F397EAF8099A}"/>
                </c:ext>
              </c:extLst>
            </c:dLbl>
            <c:dLbl>
              <c:idx val="3"/>
              <c:tx>
                <c:rich>
                  <a:bodyPr/>
                  <a:lstStyle/>
                  <a:p>
                    <a:r>
                      <a:rPr lang="en-US"/>
                      <a:t>14.0%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AB-46D7-8594-F397EAF8099A}"/>
                </c:ext>
              </c:extLst>
            </c:dLbl>
            <c:dLbl>
              <c:idx val="4"/>
              <c:tx>
                <c:rich>
                  <a:bodyPr/>
                  <a:lstStyle/>
                  <a:p>
                    <a:r>
                      <a:rPr lang="en-US"/>
                      <a:t>9.0%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AB-46D7-8594-F397EAF8099A}"/>
                </c:ext>
              </c:extLst>
            </c:dLbl>
            <c:dLbl>
              <c:idx val="5"/>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39.0%</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AB-46D7-8594-F397EAF8099A}"/>
                </c:ext>
              </c:extLst>
            </c:dLbl>
            <c:dLbl>
              <c:idx val="6"/>
              <c:tx>
                <c:rich>
                  <a:bodyPr/>
                  <a:lstStyle/>
                  <a:p>
                    <a:r>
                      <a:rPr lang="en-US"/>
                      <a:t>8.8%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AB-46D7-8594-F397EAF8099A}"/>
                </c:ext>
              </c:extLst>
            </c:dLbl>
            <c:dLbl>
              <c:idx val="7"/>
              <c:tx>
                <c:rich>
                  <a:bodyPr/>
                  <a:lstStyle/>
                  <a:p>
                    <a:r>
                      <a:rPr lang="en-US"/>
                      <a:t>1.1%</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AB-46D7-8594-F397EAF8099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Personal!$CE$31:$CE$38</c:f>
              <c:strCache>
                <c:ptCount val="8"/>
                <c:pt idx="0">
                  <c:v>Ninguno</c:v>
                </c:pt>
                <c:pt idx="1">
                  <c:v>Preescolar 
o primaria</c:v>
                </c:pt>
                <c:pt idx="2">
                  <c:v>Secundaria</c:v>
                </c:pt>
                <c:pt idx="3">
                  <c:v>Preparatoria</c:v>
                </c:pt>
                <c:pt idx="4">
                  <c:v>Carrera técnica 
o carrera comercial</c:v>
                </c:pt>
                <c:pt idx="5">
                  <c:v>Licenciatura</c:v>
                </c:pt>
                <c:pt idx="6">
                  <c:v>Maestría</c:v>
                </c:pt>
                <c:pt idx="7">
                  <c:v>Doctorado</c:v>
                </c:pt>
              </c:strCache>
            </c:strRef>
          </c:cat>
          <c:val>
            <c:numRef>
              <c:f>Personal!$CF$31:$CF$38</c:f>
              <c:numCache>
                <c:formatCode>0.0%</c:formatCode>
                <c:ptCount val="8"/>
                <c:pt idx="0">
                  <c:v>-2.77729580625674E-2</c:v>
                </c:pt>
                <c:pt idx="1">
                  <c:v>-6.1452719860279996E-3</c:v>
                </c:pt>
                <c:pt idx="2">
                  <c:v>-3.0398274527883001E-2</c:v>
                </c:pt>
                <c:pt idx="3">
                  <c:v>-3.9651283402209997E-2</c:v>
                </c:pt>
                <c:pt idx="4">
                  <c:v>-9.0268129552256202E-2</c:v>
                </c:pt>
                <c:pt idx="5">
                  <c:v>-0.39026901609841202</c:v>
                </c:pt>
                <c:pt idx="6">
                  <c:v>-8.7764269910243498E-2</c:v>
                </c:pt>
                <c:pt idx="7">
                  <c:v>-6.3475438238759995E-4</c:v>
                </c:pt>
              </c:numCache>
            </c:numRef>
          </c:val>
          <c:extLst>
            <c:ext xmlns:c16="http://schemas.microsoft.com/office/drawing/2014/chart" uri="{C3380CC4-5D6E-409C-BE32-E72D297353CC}">
              <c16:uniqueId val="{00000008-E6AB-46D7-8594-F397EAF8099A}"/>
            </c:ext>
          </c:extLst>
        </c:ser>
        <c:ser>
          <c:idx val="1"/>
          <c:order val="1"/>
          <c:tx>
            <c:strRef>
              <c:f>Personal!$CG$30</c:f>
              <c:strCache>
                <c:ptCount val="1"/>
                <c:pt idx="0">
                  <c:v>Mujeres</c:v>
                </c:pt>
              </c:strCache>
            </c:strRef>
          </c:tx>
          <c:spPr>
            <a:solidFill>
              <a:srgbClr val="6F9CC0"/>
            </a:solidFill>
            <a:ln>
              <a:noFill/>
            </a:ln>
            <a:effectLst>
              <a:outerShdw blurRad="50800" dist="38100" dir="2700000" algn="tl" rotWithShape="0">
                <a:prstClr val="black">
                  <a:alpha val="40000"/>
                </a:prstClr>
              </a:outerShdw>
            </a:effectLst>
          </c:spPr>
          <c:invertIfNegative val="0"/>
          <c:dLbls>
            <c:dLbl>
              <c:idx val="4"/>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6="http://schemas.microsoft.com/office/drawing/2014/chart" uri="{C3380CC4-5D6E-409C-BE32-E72D297353CC}">
                  <c16:uniqueId val="{0000000C-E6AB-46D7-8594-F397EAF8099A}"/>
                </c:ext>
              </c:extLst>
            </c:dLbl>
            <c:dLbl>
              <c:idx val="5"/>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AB-46D7-8594-F397EAF8099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Personal!$CE$31:$CE$38</c:f>
              <c:strCache>
                <c:ptCount val="8"/>
                <c:pt idx="0">
                  <c:v>Ninguno</c:v>
                </c:pt>
                <c:pt idx="1">
                  <c:v>Preescolar 
o primaria</c:v>
                </c:pt>
                <c:pt idx="2">
                  <c:v>Secundaria</c:v>
                </c:pt>
                <c:pt idx="3">
                  <c:v>Preparatoria</c:v>
                </c:pt>
                <c:pt idx="4">
                  <c:v>Carrera técnica 
o carrera comercial</c:v>
                </c:pt>
                <c:pt idx="5">
                  <c:v>Licenciatura</c:v>
                </c:pt>
                <c:pt idx="6">
                  <c:v>Maestría</c:v>
                </c:pt>
                <c:pt idx="7">
                  <c:v>Doctorado</c:v>
                </c:pt>
              </c:strCache>
            </c:strRef>
          </c:cat>
          <c:val>
            <c:numRef>
              <c:f>Personal!$CG$31:$CG$38</c:f>
              <c:numCache>
                <c:formatCode>0.0%</c:formatCode>
                <c:ptCount val="8"/>
                <c:pt idx="0">
                  <c:v>4.2849728008224001E-2</c:v>
                </c:pt>
                <c:pt idx="1">
                  <c:v>7.4807186932300627E-3</c:v>
                </c:pt>
                <c:pt idx="2">
                  <c:v>0.10276980601531419</c:v>
                </c:pt>
                <c:pt idx="3">
                  <c:v>0.1108212161144104</c:v>
                </c:pt>
                <c:pt idx="4">
                  <c:v>0.15900243646176368</c:v>
                </c:pt>
                <c:pt idx="5">
                  <c:v>0.44370563913658045</c:v>
                </c:pt>
                <c:pt idx="6">
                  <c:v>8.3008513758324159E-2</c:v>
                </c:pt>
                <c:pt idx="7">
                  <c:v>6.4237427781711166E-3</c:v>
                </c:pt>
              </c:numCache>
            </c:numRef>
          </c:val>
          <c:extLst>
            <c:ext xmlns:c16="http://schemas.microsoft.com/office/drawing/2014/chart" uri="{C3380CC4-5D6E-409C-BE32-E72D297353CC}">
              <c16:uniqueId val="{0000000A-E6AB-46D7-8594-F397EAF8099A}"/>
            </c:ext>
          </c:extLst>
        </c:ser>
        <c:dLbls>
          <c:showLegendKey val="0"/>
          <c:showVal val="0"/>
          <c:showCatName val="0"/>
          <c:showSerName val="0"/>
          <c:showPercent val="0"/>
          <c:showBubbleSize val="0"/>
        </c:dLbls>
        <c:gapWidth val="70"/>
        <c:overlap val="100"/>
        <c:axId val="504059776"/>
        <c:axId val="504047712"/>
      </c:barChart>
      <c:catAx>
        <c:axId val="5040597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04047712"/>
        <c:crosses val="autoZero"/>
        <c:auto val="1"/>
        <c:lblAlgn val="ctr"/>
        <c:lblOffset val="100"/>
        <c:noMultiLvlLbl val="0"/>
      </c:catAx>
      <c:valAx>
        <c:axId val="504047712"/>
        <c:scaling>
          <c:orientation val="minMax"/>
        </c:scaling>
        <c:delete val="1"/>
        <c:axPos val="b"/>
        <c:numFmt formatCode="0.0%" sourceLinked="1"/>
        <c:majorTickMark val="none"/>
        <c:minorTickMark val="none"/>
        <c:tickLblPos val="nextTo"/>
        <c:crossAx val="504059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56261372236446"/>
          <c:y val="3.8800705467372132E-2"/>
          <c:w val="0.73187897525079304"/>
          <c:h val="0.91236123262369995"/>
        </c:manualLayout>
      </c:layout>
      <c:barChart>
        <c:barDir val="bar"/>
        <c:grouping val="clustered"/>
        <c:varyColors val="0"/>
        <c:ser>
          <c:idx val="0"/>
          <c:order val="0"/>
          <c:tx>
            <c:strRef>
              <c:f>Personal!$FV$4</c:f>
              <c:strCache>
                <c:ptCount val="1"/>
                <c:pt idx="0">
                  <c:v>2019</c:v>
                </c:pt>
              </c:strCache>
            </c:strRef>
          </c:tx>
          <c:spPr>
            <a:solidFill>
              <a:srgbClr val="706F6F"/>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Personal!$FU$5:$FU$17</c:f>
              <c:strCache>
                <c:ptCount val="13"/>
                <c:pt idx="0">
                  <c:v>Mecanismos de evaluación 
del desempeño</c:v>
                </c:pt>
                <c:pt idx="1">
                  <c:v>Programas de estímulos 
y recompensas</c:v>
                </c:pt>
                <c:pt idx="2">
                  <c:v>Programas de capacitación</c:v>
                </c:pt>
                <c:pt idx="3">
                  <c:v>Reclutamiento, selección 
e inducción</c:v>
                </c:pt>
                <c:pt idx="4">
                  <c:v>Servicio civil de carrera </c:v>
                </c:pt>
                <c:pt idx="5">
                  <c:v>Diseño y selección 
de pruebas de ingreso</c:v>
                </c:pt>
                <c:pt idx="6">
                  <c:v>Diseño y validación 
de competencias</c:v>
                </c:pt>
                <c:pt idx="7">
                  <c:v>Evaluación de impacto 
de la capacitación</c:v>
                </c:pt>
                <c:pt idx="8">
                  <c:v>Diseño curricular</c:v>
                </c:pt>
                <c:pt idx="9">
                  <c:v>Actualización de perfiles 
de puesto</c:v>
                </c:pt>
                <c:pt idx="10">
                  <c:v>Separación del servicio</c:v>
                </c:pt>
                <c:pt idx="11">
                  <c:v>Concursos públicos y abiertos 
para la contratación</c:v>
                </c:pt>
                <c:pt idx="12">
                  <c:v>Otros</c:v>
                </c:pt>
              </c:strCache>
            </c:strRef>
          </c:cat>
          <c:val>
            <c:numRef>
              <c:f>Personal!$FV$5:$FV$17</c:f>
              <c:numCache>
                <c:formatCode>General</c:formatCode>
                <c:ptCount val="13"/>
                <c:pt idx="0">
                  <c:v>248</c:v>
                </c:pt>
                <c:pt idx="1">
                  <c:v>235</c:v>
                </c:pt>
                <c:pt idx="2">
                  <c:v>289</c:v>
                </c:pt>
                <c:pt idx="3">
                  <c:v>91</c:v>
                </c:pt>
                <c:pt idx="4">
                  <c:v>78</c:v>
                </c:pt>
                <c:pt idx="5">
                  <c:v>90</c:v>
                </c:pt>
                <c:pt idx="6">
                  <c:v>161</c:v>
                </c:pt>
                <c:pt idx="7">
                  <c:v>286</c:v>
                </c:pt>
                <c:pt idx="8">
                  <c:v>90</c:v>
                </c:pt>
                <c:pt idx="9">
                  <c:v>89</c:v>
                </c:pt>
                <c:pt idx="10">
                  <c:v>89</c:v>
                </c:pt>
                <c:pt idx="11">
                  <c:v>77</c:v>
                </c:pt>
                <c:pt idx="12">
                  <c:v>20</c:v>
                </c:pt>
              </c:numCache>
            </c:numRef>
          </c:val>
          <c:extLst>
            <c:ext xmlns:c16="http://schemas.microsoft.com/office/drawing/2014/chart" uri="{C3380CC4-5D6E-409C-BE32-E72D297353CC}">
              <c16:uniqueId val="{00000000-B43F-4A0C-9884-CF9C39D0A326}"/>
            </c:ext>
          </c:extLst>
        </c:ser>
        <c:ser>
          <c:idx val="1"/>
          <c:order val="1"/>
          <c:tx>
            <c:strRef>
              <c:f>Personal!$FW$4</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Personal!$FU$5:$FU$17</c:f>
              <c:strCache>
                <c:ptCount val="13"/>
                <c:pt idx="0">
                  <c:v>Mecanismos de evaluación 
del desempeño</c:v>
                </c:pt>
                <c:pt idx="1">
                  <c:v>Programas de estímulos 
y recompensas</c:v>
                </c:pt>
                <c:pt idx="2">
                  <c:v>Programas de capacitación</c:v>
                </c:pt>
                <c:pt idx="3">
                  <c:v>Reclutamiento, selección 
e inducción</c:v>
                </c:pt>
                <c:pt idx="4">
                  <c:v>Servicio civil de carrera </c:v>
                </c:pt>
                <c:pt idx="5">
                  <c:v>Diseño y selección 
de pruebas de ingreso</c:v>
                </c:pt>
                <c:pt idx="6">
                  <c:v>Diseño y validación 
de competencias</c:v>
                </c:pt>
                <c:pt idx="7">
                  <c:v>Evaluación de impacto 
de la capacitación</c:v>
                </c:pt>
                <c:pt idx="8">
                  <c:v>Diseño curricular</c:v>
                </c:pt>
                <c:pt idx="9">
                  <c:v>Actualización de perfiles 
de puesto</c:v>
                </c:pt>
                <c:pt idx="10">
                  <c:v>Separación del servicio</c:v>
                </c:pt>
                <c:pt idx="11">
                  <c:v>Concursos públicos y abiertos 
para la contratación</c:v>
                </c:pt>
                <c:pt idx="12">
                  <c:v>Otros</c:v>
                </c:pt>
              </c:strCache>
            </c:strRef>
          </c:cat>
          <c:val>
            <c:numRef>
              <c:f>Personal!$FW$5:$FW$17</c:f>
              <c:numCache>
                <c:formatCode>General</c:formatCode>
                <c:ptCount val="13"/>
                <c:pt idx="0">
                  <c:v>244</c:v>
                </c:pt>
                <c:pt idx="1">
                  <c:v>241</c:v>
                </c:pt>
                <c:pt idx="2">
                  <c:v>126</c:v>
                </c:pt>
                <c:pt idx="3">
                  <c:v>88</c:v>
                </c:pt>
                <c:pt idx="4">
                  <c:v>87</c:v>
                </c:pt>
                <c:pt idx="5">
                  <c:v>87</c:v>
                </c:pt>
                <c:pt idx="6">
                  <c:v>87</c:v>
                </c:pt>
                <c:pt idx="7">
                  <c:v>87</c:v>
                </c:pt>
                <c:pt idx="8">
                  <c:v>86</c:v>
                </c:pt>
                <c:pt idx="9">
                  <c:v>82</c:v>
                </c:pt>
                <c:pt idx="10">
                  <c:v>82</c:v>
                </c:pt>
                <c:pt idx="11">
                  <c:v>72</c:v>
                </c:pt>
                <c:pt idx="12">
                  <c:v>75</c:v>
                </c:pt>
              </c:numCache>
            </c:numRef>
          </c:val>
          <c:extLst>
            <c:ext xmlns:c16="http://schemas.microsoft.com/office/drawing/2014/chart" uri="{C3380CC4-5D6E-409C-BE32-E72D297353CC}">
              <c16:uniqueId val="{00000001-B43F-4A0C-9884-CF9C39D0A326}"/>
            </c:ext>
          </c:extLst>
        </c:ser>
        <c:dLbls>
          <c:showLegendKey val="0"/>
          <c:showVal val="0"/>
          <c:showCatName val="0"/>
          <c:showSerName val="0"/>
          <c:showPercent val="0"/>
          <c:showBubbleSize val="0"/>
        </c:dLbls>
        <c:gapWidth val="70"/>
        <c:axId val="261252319"/>
        <c:axId val="261260223"/>
      </c:barChart>
      <c:catAx>
        <c:axId val="26125231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1260223"/>
        <c:crosses val="autoZero"/>
        <c:auto val="1"/>
        <c:lblAlgn val="ctr"/>
        <c:lblOffset val="100"/>
        <c:noMultiLvlLbl val="0"/>
      </c:catAx>
      <c:valAx>
        <c:axId val="261260223"/>
        <c:scaling>
          <c:orientation val="minMax"/>
        </c:scaling>
        <c:delete val="1"/>
        <c:axPos val="t"/>
        <c:numFmt formatCode="General" sourceLinked="1"/>
        <c:majorTickMark val="none"/>
        <c:minorTickMark val="none"/>
        <c:tickLblPos val="nextTo"/>
        <c:crossAx val="261252319"/>
        <c:crosses val="autoZero"/>
        <c:crossBetween val="between"/>
      </c:valAx>
      <c:spPr>
        <a:noFill/>
        <a:ln>
          <a:noFill/>
        </a:ln>
        <a:effectLst/>
      </c:spPr>
    </c:plotArea>
    <c:legend>
      <c:legendPos val="b"/>
      <c:layout>
        <c:manualLayout>
          <c:xMode val="edge"/>
          <c:yMode val="edge"/>
          <c:x val="0.9232929166062831"/>
          <c:y val="2.3083225707898072E-3"/>
          <c:w val="7.3659565560439913E-2"/>
          <c:h val="9.469344109764057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Presupuesto!$B$3</c:f>
              <c:strCache>
                <c:ptCount val="1"/>
                <c:pt idx="0">
                  <c:v>Presupuesto</c:v>
                </c:pt>
              </c:strCache>
            </c:strRef>
          </c:tx>
          <c:spPr>
            <a:ln w="28575" cap="rnd">
              <a:solidFill>
                <a:srgbClr val="BAB4B4"/>
              </a:solidFill>
              <a:round/>
            </a:ln>
            <a:effectLst>
              <a:outerShdw blurRad="50800" dist="38100" dir="2700000" algn="tl" rotWithShape="0">
                <a:prstClr val="black">
                  <a:alpha val="40000"/>
                </a:prstClr>
              </a:outerShdw>
            </a:effectLst>
          </c:spPr>
          <c:marker>
            <c:symbol val="diamond"/>
            <c:size val="10"/>
            <c:spPr>
              <a:solidFill>
                <a:srgbClr val="BAB4B4"/>
              </a:solidFill>
              <a:ln w="9525">
                <a:solidFill>
                  <a:srgbClr val="BAB4B4"/>
                </a:solidFill>
              </a:ln>
              <a:effectLst>
                <a:outerShdw blurRad="50800" dist="38100" dir="2700000" algn="tl" rotWithShape="0">
                  <a:prstClr val="black">
                    <a:alpha val="40000"/>
                  </a:prstClr>
                </a:outerShdw>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A5-4157-8B1B-2364F656E81B}"/>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A5-4157-8B1B-2364F656E81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Presupuesto!$A$4:$A$6</c:f>
              <c:numCache>
                <c:formatCode>General</c:formatCode>
                <c:ptCount val="3"/>
                <c:pt idx="0">
                  <c:v>2018</c:v>
                </c:pt>
                <c:pt idx="1">
                  <c:v>2019</c:v>
                </c:pt>
                <c:pt idx="2">
                  <c:v>2020</c:v>
                </c:pt>
              </c:numCache>
            </c:numRef>
          </c:cat>
          <c:val>
            <c:numRef>
              <c:f>Presupuesto!$B$4:$B$6</c:f>
              <c:numCache>
                <c:formatCode>#,##0</c:formatCode>
                <c:ptCount val="3"/>
                <c:pt idx="0">
                  <c:v>3117240</c:v>
                </c:pt>
                <c:pt idx="1">
                  <c:v>3186808.7398641594</c:v>
                </c:pt>
                <c:pt idx="2">
                  <c:v>3410635.4886073601</c:v>
                </c:pt>
              </c:numCache>
            </c:numRef>
          </c:val>
          <c:smooth val="0"/>
          <c:extLst>
            <c:ext xmlns:c16="http://schemas.microsoft.com/office/drawing/2014/chart" uri="{C3380CC4-5D6E-409C-BE32-E72D297353CC}">
              <c16:uniqueId val="{00000001-CEA5-4157-8B1B-2364F656E81B}"/>
            </c:ext>
          </c:extLst>
        </c:ser>
        <c:dLbls>
          <c:showLegendKey val="0"/>
          <c:showVal val="0"/>
          <c:showCatName val="0"/>
          <c:showSerName val="0"/>
          <c:showPercent val="0"/>
          <c:showBubbleSize val="0"/>
        </c:dLbls>
        <c:marker val="1"/>
        <c:smooth val="0"/>
        <c:axId val="261268959"/>
        <c:axId val="261304319"/>
      </c:lineChart>
      <c:catAx>
        <c:axId val="261268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1304319"/>
        <c:crosses val="autoZero"/>
        <c:auto val="1"/>
        <c:lblAlgn val="ctr"/>
        <c:lblOffset val="100"/>
        <c:noMultiLvlLbl val="0"/>
      </c:catAx>
      <c:valAx>
        <c:axId val="261304319"/>
        <c:scaling>
          <c:orientation val="minMax"/>
          <c:max val="3420000"/>
          <c:min val="2900000"/>
        </c:scaling>
        <c:delete val="1"/>
        <c:axPos val="l"/>
        <c:numFmt formatCode="#,##0" sourceLinked="1"/>
        <c:majorTickMark val="none"/>
        <c:minorTickMark val="none"/>
        <c:tickLblPos val="nextTo"/>
        <c:crossAx val="2612689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81241324608368E-2"/>
          <c:y val="3.7761757638173701E-2"/>
          <c:w val="0.95637517350783263"/>
          <c:h val="0.31688202505061175"/>
        </c:manualLayout>
      </c:layout>
      <c:lineChart>
        <c:grouping val="standard"/>
        <c:varyColors val="0"/>
        <c:ser>
          <c:idx val="0"/>
          <c:order val="0"/>
          <c:tx>
            <c:strRef>
              <c:f>Presupuesto!$AR$4</c:f>
              <c:strCache>
                <c:ptCount val="1"/>
                <c:pt idx="0">
                  <c:v>2019</c:v>
                </c:pt>
              </c:strCache>
            </c:strRef>
          </c:tx>
          <c:spPr>
            <a:ln w="28575" cap="rnd">
              <a:noFill/>
              <a:round/>
            </a:ln>
            <a:effectLst/>
          </c:spPr>
          <c:marker>
            <c:symbol val="circle"/>
            <c:size val="10"/>
            <c:spPr>
              <a:solidFill>
                <a:srgbClr val="CE941F"/>
              </a:solidFill>
              <a:ln w="9525">
                <a:noFill/>
              </a:ln>
              <a:effectLst/>
            </c:spPr>
          </c:marker>
          <c:dLbls>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9A-40D5-9E2B-59AC2614BDE5}"/>
                </c:ext>
              </c:extLst>
            </c:dLbl>
            <c:dLbl>
              <c:idx val="20"/>
              <c:layout>
                <c:manualLayout>
                  <c:x val="-4.2249632090786339E-2"/>
                  <c:y val="3.2291815795752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59A-40D5-9E2B-59AC2614BDE5}"/>
                </c:ext>
              </c:extLst>
            </c:dLbl>
            <c:dLbl>
              <c:idx val="22"/>
              <c:layout>
                <c:manualLayout>
                  <c:x val="-3.6469285269977093E-2"/>
                  <c:y val="3.9867573371510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59A-40D5-9E2B-59AC2614BDE5}"/>
                </c:ext>
              </c:extLst>
            </c:dLbl>
            <c:dLbl>
              <c:idx val="23"/>
              <c:layout>
                <c:manualLayout>
                  <c:x val="-4.4075220366240349E-2"/>
                  <c:y val="6.2594846098783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59A-40D5-9E2B-59AC2614BDE5}"/>
                </c:ext>
              </c:extLst>
            </c:dLbl>
            <c:dLbl>
              <c:idx val="24"/>
              <c:layout>
                <c:manualLayout>
                  <c:x val="-4.2148438092637262E-2"/>
                  <c:y val="3.6079694583631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59A-40D5-9E2B-59AC2614BDE5}"/>
                </c:ext>
              </c:extLst>
            </c:dLbl>
            <c:dLbl>
              <c:idx val="25"/>
              <c:layout>
                <c:manualLayout>
                  <c:x val="-8.3898472228684977E-5"/>
                  <c:y val="6.2594846098783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59A-40D5-9E2B-59AC2614BDE5}"/>
                </c:ext>
              </c:extLst>
            </c:dLbl>
            <c:spPr>
              <a:noFill/>
              <a:ln>
                <a:noFill/>
              </a:ln>
              <a:effectLst/>
            </c:spPr>
            <c:txPr>
              <a:bodyPr rot="0" spcFirstLastPara="1" vertOverflow="ellipsis" vert="horz" wrap="square" anchor="ctr" anchorCtr="1"/>
              <a:lstStyle/>
              <a:p>
                <a:pPr>
                  <a:defRPr sz="700" b="0" i="0" u="none" strike="noStrike" kern="1200" baseline="0">
                    <a:solidFill>
                      <a:srgbClr val="CE941F"/>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Presupuesto!$AQ$5:$AQ$30</c:f>
              <c:strCache>
                <c:ptCount val="26"/>
                <c:pt idx="0">
                  <c:v>Protección y seguridad social          </c:v>
                </c:pt>
                <c:pt idx="1">
                  <c:v>Combustibles y energía          </c:v>
                </c:pt>
                <c:pt idx="2">
                  <c:v>Educación          </c:v>
                </c:pt>
                <c:pt idx="3">
                  <c:v>Desarrollo social          </c:v>
                </c:pt>
                <c:pt idx="4">
                  <c:v>Seguridad nacional          </c:v>
                </c:pt>
                <c:pt idx="5">
                  <c:v>Salud          </c:v>
                </c:pt>
                <c:pt idx="6">
                  <c:v>Asuntos financieros 
        y hacendarios          </c:v>
                </c:pt>
                <c:pt idx="7">
                  <c:v>Comunicaciones y transportes          </c:v>
                </c:pt>
                <c:pt idx="8">
                  <c:v>Gobierno y política interior          </c:v>
                </c:pt>
                <c:pt idx="9">
                  <c:v>Agricultura y desarrollo rural          </c:v>
                </c:pt>
                <c:pt idx="10">
                  <c:v>Economía          </c:v>
                </c:pt>
                <c:pt idx="11">
                  <c:v>      Seguridad pública 
o seguridad ciudadana          </c:v>
                </c:pt>
                <c:pt idx="12">
                  <c:v>Trabajo          </c:v>
                </c:pt>
                <c:pt idx="13">
                  <c:v>Ciencia, tecnología e innovación          </c:v>
                </c:pt>
                <c:pt idx="14">
                  <c:v>Reinserción social          </c:v>
                </c:pt>
                <c:pt idx="15">
                  <c:v>                 Desarrollo agrario, 
territorial,urbano y vivienda           </c:v>
                </c:pt>
                <c:pt idx="16">
                  <c:v>Turismo          </c:v>
                </c:pt>
                <c:pt idx="17">
                  <c:v>Relaciones exteriores          </c:v>
                </c:pt>
                <c:pt idx="18">
                  <c:v>        Arte, cultura y otras 
manifestaciones sociales          </c:v>
                </c:pt>
                <c:pt idx="19">
                  <c:v>Asuntos indígenas          </c:v>
                </c:pt>
                <c:pt idx="20">
                  <c:v>Función pública          </c:v>
                </c:pt>
                <c:pt idx="21">
                  <c:v>   Igualdad de género y/o 
derechos de las mujeres          </c:v>
                </c:pt>
                <c:pt idx="22">
                  <c:v>Despacho del ejecutivo          </c:v>
                </c:pt>
                <c:pt idx="23">
                  <c:v>Asuntos jurídicos          </c:v>
                </c:pt>
                <c:pt idx="24">
                  <c:v>Protección civil          </c:v>
                </c:pt>
                <c:pt idx="25">
                  <c:v>Cultura física y/o deporte          </c:v>
                </c:pt>
              </c:strCache>
            </c:strRef>
          </c:cat>
          <c:val>
            <c:numRef>
              <c:f>Presupuesto!$AR$5:$AR$30</c:f>
              <c:numCache>
                <c:formatCode>0.0%</c:formatCode>
                <c:ptCount val="26"/>
                <c:pt idx="0">
                  <c:v>0.34123489727888523</c:v>
                </c:pt>
                <c:pt idx="1">
                  <c:v>0.30854207646509485</c:v>
                </c:pt>
                <c:pt idx="2">
                  <c:v>0.10253870360605609</c:v>
                </c:pt>
                <c:pt idx="3">
                  <c:v>4.8185180442612774E-2</c:v>
                </c:pt>
                <c:pt idx="4">
                  <c:v>4.6100116492005822E-2</c:v>
                </c:pt>
                <c:pt idx="5">
                  <c:v>3.816766166678854E-2</c:v>
                </c:pt>
                <c:pt idx="6">
                  <c:v>1.5312514122482312E-2</c:v>
                </c:pt>
                <c:pt idx="7">
                  <c:v>2.1085801015709626E-2</c:v>
                </c:pt>
                <c:pt idx="8">
                  <c:v>1.4789811868248187E-2</c:v>
                </c:pt>
                <c:pt idx="9">
                  <c:v>1.6892513604922107E-2</c:v>
                </c:pt>
                <c:pt idx="10">
                  <c:v>3.1908334298039625E-3</c:v>
                </c:pt>
                <c:pt idx="11">
                  <c:v>6.0000000000000001E-3</c:v>
                </c:pt>
                <c:pt idx="12">
                  <c:v>8.4980676261338442E-3</c:v>
                </c:pt>
                <c:pt idx="13">
                  <c:v>7.9209215886190867E-3</c:v>
                </c:pt>
                <c:pt idx="14">
                  <c:v>4.7260529943889858E-3</c:v>
                </c:pt>
                <c:pt idx="15">
                  <c:v>5.644849349235437E-3</c:v>
                </c:pt>
                <c:pt idx="16">
                  <c:v>9.1621592638297452E-4</c:v>
                </c:pt>
                <c:pt idx="17">
                  <c:v>3.8793802916634959E-3</c:v>
                </c:pt>
                <c:pt idx="18">
                  <c:v>4.1582698063093873E-3</c:v>
                </c:pt>
                <c:pt idx="19">
                  <c:v>1.7017479054174951E-3</c:v>
                </c:pt>
                <c:pt idx="20" formatCode="0.00%">
                  <c:v>4.9526433164209197E-4</c:v>
                </c:pt>
                <c:pt idx="21" formatCode="0.00%">
                  <c:v>2.1988209266046789E-4</c:v>
                </c:pt>
                <c:pt idx="22" formatCode="0.00%">
                  <c:v>2.2291977364800425E-4</c:v>
                </c:pt>
                <c:pt idx="23" formatCode="0.000%">
                  <c:v>4.6190549884168625E-5</c:v>
                </c:pt>
                <c:pt idx="24" formatCode="0.000%">
                  <c:v>8.9134402653893844E-6</c:v>
                </c:pt>
                <c:pt idx="25" formatCode="0.0000%">
                  <c:v>1.7340450623452081E-6</c:v>
                </c:pt>
              </c:numCache>
            </c:numRef>
          </c:val>
          <c:smooth val="0"/>
          <c:extLst>
            <c:ext xmlns:c16="http://schemas.microsoft.com/office/drawing/2014/chart" uri="{C3380CC4-5D6E-409C-BE32-E72D297353CC}">
              <c16:uniqueId val="{00000000-F59A-40D5-9E2B-59AC2614BDE5}"/>
            </c:ext>
          </c:extLst>
        </c:ser>
        <c:ser>
          <c:idx val="1"/>
          <c:order val="1"/>
          <c:tx>
            <c:strRef>
              <c:f>Presupuesto!$AS$4</c:f>
              <c:strCache>
                <c:ptCount val="1"/>
                <c:pt idx="0">
                  <c:v>2020</c:v>
                </c:pt>
              </c:strCache>
            </c:strRef>
          </c:tx>
          <c:spPr>
            <a:ln w="28575" cap="rnd">
              <a:noFill/>
              <a:round/>
            </a:ln>
            <a:effectLst/>
          </c:spPr>
          <c:marker>
            <c:symbol val="circle"/>
            <c:size val="10"/>
            <c:spPr>
              <a:solidFill>
                <a:srgbClr val="08497F"/>
              </a:solidFill>
              <a:ln w="9525">
                <a:noFill/>
              </a:ln>
              <a:effectLst/>
            </c:spPr>
          </c:marker>
          <c:dLbls>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9A-40D5-9E2B-59AC2614BDE5}"/>
                </c:ext>
              </c:extLst>
            </c:dLbl>
            <c:dLbl>
              <c:idx val="19"/>
              <c:layout>
                <c:manualLayout>
                  <c:x val="-3.6570327552986656E-2"/>
                  <c:y val="-3.9867275113338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59A-40D5-9E2B-59AC2614BDE5}"/>
                </c:ext>
              </c:extLst>
            </c:dLbl>
            <c:dLbl>
              <c:idx val="20"/>
              <c:layout>
                <c:manualLayout>
                  <c:x val="-3.8396067543580173E-2"/>
                  <c:y val="-4.36553030303031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9817031541577537E-2"/>
                      <c:h val="4.1856060606060598E-2"/>
                    </c:manualLayout>
                  </c15:layout>
                </c:ext>
                <c:ext xmlns:c16="http://schemas.microsoft.com/office/drawing/2014/chart" uri="{C3380CC4-5D6E-409C-BE32-E72D297353CC}">
                  <c16:uniqueId val="{00000006-F59A-40D5-9E2B-59AC2614BDE5}"/>
                </c:ext>
              </c:extLst>
            </c:dLbl>
            <c:dLbl>
              <c:idx val="21"/>
              <c:layout>
                <c:manualLayout>
                  <c:x val="-3.4542502996374153E-2"/>
                  <c:y val="-3.60793963254593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9A-40D5-9E2B-59AC2614BDE5}"/>
                </c:ext>
              </c:extLst>
            </c:dLbl>
            <c:dLbl>
              <c:idx val="22"/>
              <c:layout>
                <c:manualLayout>
                  <c:x val="-3.2615720722770927E-2"/>
                  <c:y val="-3.2291517537580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9A-40D5-9E2B-59AC2614BDE5}"/>
                </c:ext>
              </c:extLst>
            </c:dLbl>
            <c:dLbl>
              <c:idx val="23"/>
              <c:layout>
                <c:manualLayout>
                  <c:x val="-4.0221655819034183E-2"/>
                  <c:y val="-5.50187902648532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9A-40D5-9E2B-59AC2614BDE5}"/>
                </c:ext>
              </c:extLst>
            </c:dLbl>
            <c:dLbl>
              <c:idx val="24"/>
              <c:layout>
                <c:manualLayout>
                  <c:x val="-3.6368091271828017E-2"/>
                  <c:y val="-3.2291517537580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59A-40D5-9E2B-59AC2614BDE5}"/>
                </c:ext>
              </c:extLst>
            </c:dLbl>
            <c:dLbl>
              <c:idx val="25"/>
              <c:layout>
                <c:manualLayout>
                  <c:x val="-8.3898472228684977E-5"/>
                  <c:y val="-5.8806669052732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59A-40D5-9E2B-59AC2614BDE5}"/>
                </c:ext>
              </c:extLst>
            </c:dLbl>
            <c:spPr>
              <a:noFill/>
              <a:ln>
                <a:noFill/>
              </a:ln>
              <a:effectLst/>
            </c:spPr>
            <c:txPr>
              <a:bodyPr rot="0" spcFirstLastPara="1" vertOverflow="ellipsis" vert="horz" wrap="square" anchor="ctr" anchorCtr="1"/>
              <a:lstStyle/>
              <a:p>
                <a:pPr>
                  <a:defRPr sz="700" b="0" i="0" u="none" strike="noStrike" kern="1200" baseline="0">
                    <a:solidFill>
                      <a:srgbClr val="08497F"/>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Presupuesto!$AQ$5:$AQ$30</c:f>
              <c:strCache>
                <c:ptCount val="26"/>
                <c:pt idx="0">
                  <c:v>Protección y seguridad social          </c:v>
                </c:pt>
                <c:pt idx="1">
                  <c:v>Combustibles y energía          </c:v>
                </c:pt>
                <c:pt idx="2">
                  <c:v>Educación          </c:v>
                </c:pt>
                <c:pt idx="3">
                  <c:v>Desarrollo social          </c:v>
                </c:pt>
                <c:pt idx="4">
                  <c:v>Seguridad nacional          </c:v>
                </c:pt>
                <c:pt idx="5">
                  <c:v>Salud          </c:v>
                </c:pt>
                <c:pt idx="6">
                  <c:v>Asuntos financieros 
        y hacendarios          </c:v>
                </c:pt>
                <c:pt idx="7">
                  <c:v>Comunicaciones y transportes          </c:v>
                </c:pt>
                <c:pt idx="8">
                  <c:v>Gobierno y política interior          </c:v>
                </c:pt>
                <c:pt idx="9">
                  <c:v>Agricultura y desarrollo rural          </c:v>
                </c:pt>
                <c:pt idx="10">
                  <c:v>Economía          </c:v>
                </c:pt>
                <c:pt idx="11">
                  <c:v>      Seguridad pública 
o seguridad ciudadana          </c:v>
                </c:pt>
                <c:pt idx="12">
                  <c:v>Trabajo          </c:v>
                </c:pt>
                <c:pt idx="13">
                  <c:v>Ciencia, tecnología e innovación          </c:v>
                </c:pt>
                <c:pt idx="14">
                  <c:v>Reinserción social          </c:v>
                </c:pt>
                <c:pt idx="15">
                  <c:v>                 Desarrollo agrario, 
territorial,urbano y vivienda           </c:v>
                </c:pt>
                <c:pt idx="16">
                  <c:v>Turismo          </c:v>
                </c:pt>
                <c:pt idx="17">
                  <c:v>Relaciones exteriores          </c:v>
                </c:pt>
                <c:pt idx="18">
                  <c:v>        Arte, cultura y otras 
manifestaciones sociales          </c:v>
                </c:pt>
                <c:pt idx="19">
                  <c:v>Asuntos indígenas          </c:v>
                </c:pt>
                <c:pt idx="20">
                  <c:v>Función pública          </c:v>
                </c:pt>
                <c:pt idx="21">
                  <c:v>   Igualdad de género y/o 
derechos de las mujeres          </c:v>
                </c:pt>
                <c:pt idx="22">
                  <c:v>Despacho del ejecutivo          </c:v>
                </c:pt>
                <c:pt idx="23">
                  <c:v>Asuntos jurídicos          </c:v>
                </c:pt>
                <c:pt idx="24">
                  <c:v>Protección civil          </c:v>
                </c:pt>
                <c:pt idx="25">
                  <c:v>Cultura física y/o deporte          </c:v>
                </c:pt>
              </c:strCache>
            </c:strRef>
          </c:cat>
          <c:val>
            <c:numRef>
              <c:f>Presupuesto!$AS$5:$AS$30</c:f>
              <c:numCache>
                <c:formatCode>0.0%</c:formatCode>
                <c:ptCount val="26"/>
                <c:pt idx="0">
                  <c:v>0.34591167762549752</c:v>
                </c:pt>
                <c:pt idx="1">
                  <c:v>0.26920820539358503</c:v>
                </c:pt>
                <c:pt idx="2">
                  <c:v>0.11017131905168476</c:v>
                </c:pt>
                <c:pt idx="3">
                  <c:v>5.3846472127869874E-2</c:v>
                </c:pt>
                <c:pt idx="4">
                  <c:v>4.9571217367407647E-2</c:v>
                </c:pt>
                <c:pt idx="5">
                  <c:v>4.5802863829924254E-2</c:v>
                </c:pt>
                <c:pt idx="6">
                  <c:v>2.1999999999999999E-2</c:v>
                </c:pt>
                <c:pt idx="7">
                  <c:v>1.7356503237923374E-2</c:v>
                </c:pt>
                <c:pt idx="8">
                  <c:v>1.2844207065518858E-2</c:v>
                </c:pt>
                <c:pt idx="9">
                  <c:v>1.2111197140945882E-2</c:v>
                </c:pt>
                <c:pt idx="10">
                  <c:v>1.2013870468606134E-2</c:v>
                </c:pt>
                <c:pt idx="11">
                  <c:v>8.2738589143140952E-3</c:v>
                </c:pt>
                <c:pt idx="12">
                  <c:v>8.1945654080325322E-3</c:v>
                </c:pt>
                <c:pt idx="13">
                  <c:v>8.0000000000000002E-3</c:v>
                </c:pt>
                <c:pt idx="14">
                  <c:v>7.1146534606892735E-3</c:v>
                </c:pt>
                <c:pt idx="15">
                  <c:v>4.0325776239887572E-3</c:v>
                </c:pt>
                <c:pt idx="16">
                  <c:v>4.0214972432572977E-3</c:v>
                </c:pt>
                <c:pt idx="17">
                  <c:v>3.7900652613534502E-3</c:v>
                </c:pt>
                <c:pt idx="18">
                  <c:v>3.5641805619848355E-3</c:v>
                </c:pt>
                <c:pt idx="19">
                  <c:v>7.963177909020659E-4</c:v>
                </c:pt>
                <c:pt idx="20" formatCode="0.00%">
                  <c:v>4.8159334971931779E-4</c:v>
                </c:pt>
                <c:pt idx="21" formatCode="0.00%">
                  <c:v>1.6064664637724835E-4</c:v>
                </c:pt>
                <c:pt idx="22" formatCode="0.00%">
                  <c:v>1.5078463576299352E-4</c:v>
                </c:pt>
                <c:pt idx="23" formatCode="0.000%">
                  <c:v>4.0932158123119694E-5</c:v>
                </c:pt>
                <c:pt idx="24" formatCode="0.000%">
                  <c:v>1.6627477327738738E-5</c:v>
                </c:pt>
                <c:pt idx="25" formatCode="0.0000%">
                  <c:v>1.7674399096988842E-6</c:v>
                </c:pt>
              </c:numCache>
            </c:numRef>
          </c:val>
          <c:smooth val="0"/>
          <c:extLst>
            <c:ext xmlns:c16="http://schemas.microsoft.com/office/drawing/2014/chart" uri="{C3380CC4-5D6E-409C-BE32-E72D297353CC}">
              <c16:uniqueId val="{00000001-F59A-40D5-9E2B-59AC2614BDE5}"/>
            </c:ext>
          </c:extLst>
        </c:ser>
        <c:dLbls>
          <c:showLegendKey val="0"/>
          <c:showVal val="0"/>
          <c:showCatName val="0"/>
          <c:showSerName val="0"/>
          <c:showPercent val="0"/>
          <c:showBubbleSize val="0"/>
        </c:dLbls>
        <c:marker val="1"/>
        <c:smooth val="0"/>
        <c:axId val="251190255"/>
        <c:axId val="251172367"/>
      </c:lineChart>
      <c:catAx>
        <c:axId val="251190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1172367"/>
        <c:crosses val="autoZero"/>
        <c:auto val="1"/>
        <c:lblAlgn val="ctr"/>
        <c:lblOffset val="100"/>
        <c:noMultiLvlLbl val="0"/>
      </c:catAx>
      <c:valAx>
        <c:axId val="251172367"/>
        <c:scaling>
          <c:orientation val="minMax"/>
        </c:scaling>
        <c:delete val="1"/>
        <c:axPos val="l"/>
        <c:numFmt formatCode="0.0%" sourceLinked="1"/>
        <c:majorTickMark val="none"/>
        <c:minorTickMark val="none"/>
        <c:tickLblPos val="nextTo"/>
        <c:crossAx val="251190255"/>
        <c:crosses val="autoZero"/>
        <c:crossBetween val="between"/>
      </c:valAx>
      <c:spPr>
        <a:noFill/>
        <a:ln>
          <a:noFill/>
        </a:ln>
        <a:effectLst/>
      </c:spPr>
    </c:plotArea>
    <c:legend>
      <c:legendPos val="b"/>
      <c:layout>
        <c:manualLayout>
          <c:xMode val="edge"/>
          <c:yMode val="edge"/>
          <c:x val="0.87475755744690153"/>
          <c:y val="1.194852063946557E-2"/>
          <c:w val="0.12298141494954416"/>
          <c:h val="5.623329754235265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495188101487311E-2"/>
          <c:y val="0.14357508390867674"/>
          <c:w val="0.92300962379702534"/>
          <c:h val="0.71747214742403553"/>
        </c:manualLayout>
      </c:layout>
      <c:barChart>
        <c:barDir val="col"/>
        <c:grouping val="clustered"/>
        <c:varyColors val="0"/>
        <c:ser>
          <c:idx val="0"/>
          <c:order val="0"/>
          <c:tx>
            <c:strRef>
              <c:f>Trámites!$L$4</c:f>
              <c:strCache>
                <c:ptCount val="1"/>
                <c:pt idx="0">
                  <c:v>Total</c:v>
                </c:pt>
              </c:strCache>
            </c:strRef>
          </c:tx>
          <c:spPr>
            <a:solidFill>
              <a:schemeClr val="accent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706F6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D66D-4E12-9BB9-D5CC9DAA9C81}"/>
              </c:ext>
            </c:extLst>
          </c:dPt>
          <c:dPt>
            <c:idx val="1"/>
            <c:invertIfNegative val="0"/>
            <c:bubble3D val="0"/>
            <c:spPr>
              <a:solidFill>
                <a:srgbClr val="C1268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D66D-4E12-9BB9-D5CC9DAA9C81}"/>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Trámites!$K$5:$K$6</c:f>
              <c:numCache>
                <c:formatCode>General</c:formatCode>
                <c:ptCount val="2"/>
                <c:pt idx="0">
                  <c:v>2019</c:v>
                </c:pt>
                <c:pt idx="1">
                  <c:v>2020</c:v>
                </c:pt>
              </c:numCache>
            </c:numRef>
          </c:cat>
          <c:val>
            <c:numRef>
              <c:f>Trámites!$L$5:$L$6</c:f>
              <c:numCache>
                <c:formatCode>#,##0</c:formatCode>
                <c:ptCount val="2"/>
                <c:pt idx="0">
                  <c:v>342973226</c:v>
                </c:pt>
                <c:pt idx="1">
                  <c:v>357845114</c:v>
                </c:pt>
              </c:numCache>
            </c:numRef>
          </c:val>
          <c:extLst>
            <c:ext xmlns:c16="http://schemas.microsoft.com/office/drawing/2014/chart" uri="{C3380CC4-5D6E-409C-BE32-E72D297353CC}">
              <c16:uniqueId val="{00000004-D66D-4E12-9BB9-D5CC9DAA9C81}"/>
            </c:ext>
          </c:extLst>
        </c:ser>
        <c:dLbls>
          <c:showLegendKey val="0"/>
          <c:showVal val="0"/>
          <c:showCatName val="0"/>
          <c:showSerName val="0"/>
          <c:showPercent val="0"/>
          <c:showBubbleSize val="0"/>
        </c:dLbls>
        <c:gapWidth val="70"/>
        <c:overlap val="-27"/>
        <c:axId val="1960722543"/>
        <c:axId val="1960721711"/>
      </c:barChart>
      <c:catAx>
        <c:axId val="1960722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60721711"/>
        <c:crosses val="autoZero"/>
        <c:auto val="1"/>
        <c:lblAlgn val="ctr"/>
        <c:lblOffset val="100"/>
        <c:noMultiLvlLbl val="0"/>
      </c:catAx>
      <c:valAx>
        <c:axId val="1960721711"/>
        <c:scaling>
          <c:orientation val="minMax"/>
          <c:min val="0"/>
        </c:scaling>
        <c:delete val="1"/>
        <c:axPos val="l"/>
        <c:numFmt formatCode="#,##0" sourceLinked="1"/>
        <c:majorTickMark val="none"/>
        <c:minorTickMark val="none"/>
        <c:tickLblPos val="nextTo"/>
        <c:crossAx val="19607225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596479595641212E-2"/>
          <c:y val="0"/>
          <c:w val="0.9648070408087176"/>
          <c:h val="0.48650630597267169"/>
        </c:manualLayout>
      </c:layout>
      <c:barChart>
        <c:barDir val="col"/>
        <c:grouping val="clustered"/>
        <c:varyColors val="0"/>
        <c:ser>
          <c:idx val="0"/>
          <c:order val="0"/>
          <c:spPr>
            <a:solidFill>
              <a:srgbClr val="FEDE8F"/>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E941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86C7-4636-9CC8-B1A52C8E4F48}"/>
              </c:ext>
            </c:extLst>
          </c:dPt>
          <c:dLbls>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C7-4636-9CC8-B1A52C8E4F48}"/>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Trámites!$U$25:$U$34</c:f>
              <c:strCache>
                <c:ptCount val="10"/>
                <c:pt idx="0">
                  <c:v>Consulta e impresión 
de la constancia de la 
Clave Única de Registro 
de Población</c:v>
                </c:pt>
                <c:pt idx="1">
                  <c:v>Pago de premios a 
concursantes (premios 
de hasta $9.999,99 brutos)</c:v>
                </c:pt>
                <c:pt idx="2">
                  <c:v>Solicitud de constancia de 
vigencia de derechos para 
recibir servicios médicos </c:v>
                </c:pt>
                <c:pt idx="3">
                  <c:v>Facturación de 
comprobantes por pago 
de peaje en plaza de cobro</c:v>
                </c:pt>
                <c:pt idx="4">
                  <c:v>Solicitud de constancia de 
semanas cotizadas en el IMSS 
(constancia de semanas cotizadas)</c:v>
                </c:pt>
                <c:pt idx="5">
                  <c:v>Cita médica telefónica 
e internet en el ISSSTE</c:v>
                </c:pt>
                <c:pt idx="6">
                  <c:v>Acreditación de educación 
básica para adultos</c:v>
                </c:pt>
                <c:pt idx="7">
                  <c:v>Conservación de 
boletos cancelados</c:v>
                </c:pt>
                <c:pt idx="8">
                  <c:v>Solicitud de registro y 
actualización de derechohabientes 
(para actualización de datos 
de esposa(o))</c:v>
                </c:pt>
                <c:pt idx="9">
                  <c:v>Solicitud de registro y 
actualización de derechohabientes 
(para actualización de datos 
de concubina(rio))</c:v>
                </c:pt>
              </c:strCache>
            </c:strRef>
          </c:cat>
          <c:val>
            <c:numRef>
              <c:f>Trámites!$V$25:$V$34</c:f>
              <c:numCache>
                <c:formatCode>#,##0</c:formatCode>
                <c:ptCount val="10"/>
                <c:pt idx="0">
                  <c:v>171264028</c:v>
                </c:pt>
                <c:pt idx="1">
                  <c:v>53209472</c:v>
                </c:pt>
                <c:pt idx="2">
                  <c:v>15356478</c:v>
                </c:pt>
                <c:pt idx="3">
                  <c:v>9875020</c:v>
                </c:pt>
                <c:pt idx="4">
                  <c:v>8204929</c:v>
                </c:pt>
                <c:pt idx="5">
                  <c:v>8173602</c:v>
                </c:pt>
                <c:pt idx="6">
                  <c:v>5982578</c:v>
                </c:pt>
                <c:pt idx="7">
                  <c:v>5137869</c:v>
                </c:pt>
                <c:pt idx="8">
                  <c:v>4146880</c:v>
                </c:pt>
                <c:pt idx="9">
                  <c:v>4146880</c:v>
                </c:pt>
              </c:numCache>
            </c:numRef>
          </c:val>
          <c:extLst>
            <c:ext xmlns:c16="http://schemas.microsoft.com/office/drawing/2014/chart" uri="{C3380CC4-5D6E-409C-BE32-E72D297353CC}">
              <c16:uniqueId val="{00000002-86C7-4636-9CC8-B1A52C8E4F48}"/>
            </c:ext>
          </c:extLst>
        </c:ser>
        <c:dLbls>
          <c:showLegendKey val="0"/>
          <c:showVal val="0"/>
          <c:showCatName val="0"/>
          <c:showSerName val="0"/>
          <c:showPercent val="0"/>
          <c:showBubbleSize val="0"/>
        </c:dLbls>
        <c:gapWidth val="70"/>
        <c:overlap val="-27"/>
        <c:axId val="779785359"/>
        <c:axId val="779784527"/>
      </c:barChart>
      <c:catAx>
        <c:axId val="779785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79784527"/>
        <c:crosses val="autoZero"/>
        <c:auto val="1"/>
        <c:lblAlgn val="ctr"/>
        <c:lblOffset val="100"/>
        <c:noMultiLvlLbl val="0"/>
      </c:catAx>
      <c:valAx>
        <c:axId val="779784527"/>
        <c:scaling>
          <c:orientation val="minMax"/>
        </c:scaling>
        <c:delete val="1"/>
        <c:axPos val="l"/>
        <c:numFmt formatCode="#,##0" sourceLinked="1"/>
        <c:majorTickMark val="none"/>
        <c:minorTickMark val="none"/>
        <c:tickLblPos val="nextTo"/>
        <c:crossAx val="779785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198331940128388"/>
          <c:y val="6.9532237673830599E-2"/>
          <c:w val="0.59017915054683712"/>
          <c:h val="0.93046776232616946"/>
        </c:manualLayout>
      </c:layout>
      <c:barChart>
        <c:barDir val="bar"/>
        <c:grouping val="clustered"/>
        <c:varyColors val="0"/>
        <c:ser>
          <c:idx val="0"/>
          <c:order val="0"/>
          <c:spPr>
            <a:solidFill>
              <a:srgbClr val="B9D4EA"/>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8267A"/>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9028-42A4-BBBF-9B10F716392D}"/>
              </c:ext>
            </c:extLst>
          </c:dPt>
          <c:dPt>
            <c:idx val="1"/>
            <c:invertIfNegative val="0"/>
            <c:bubble3D val="0"/>
            <c:spPr>
              <a:solidFill>
                <a:srgbClr val="08497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9028-42A4-BBBF-9B10F716392D}"/>
              </c:ext>
            </c:extLst>
          </c:dPt>
          <c:dPt>
            <c:idx val="2"/>
            <c:invertIfNegative val="0"/>
            <c:bubble3D val="0"/>
            <c:spPr>
              <a:solidFill>
                <a:srgbClr val="B9D4EA"/>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9028-42A4-BBBF-9B10F716392D}"/>
              </c:ext>
            </c:extLst>
          </c:dPt>
          <c:dPt>
            <c:idx val="3"/>
            <c:invertIfNegative val="0"/>
            <c:bubble3D val="0"/>
            <c:spPr>
              <a:solidFill>
                <a:srgbClr val="B9D4EA"/>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9028-42A4-BBBF-9B10F716392D}"/>
              </c:ext>
            </c:extLst>
          </c:dPt>
          <c:dPt>
            <c:idx val="4"/>
            <c:invertIfNegative val="0"/>
            <c:bubble3D val="0"/>
            <c:spPr>
              <a:solidFill>
                <a:srgbClr val="B9D4EA"/>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9028-42A4-BBBF-9B10F716392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Evaluación!$AC$22:$AD$26</c:f>
              <c:multiLvlStrCache>
                <c:ptCount val="5"/>
                <c:lvl>
                  <c:pt idx="0">
                    <c:v>Ficha inicial de monitoreo 
y evaluación</c:v>
                  </c:pt>
                  <c:pt idx="1">
                    <c:v>Evaluación en materia 
de diseño</c:v>
                  </c:pt>
                  <c:pt idx="2">
                    <c:v>Evaluación de consistencia 
y resultados</c:v>
                  </c:pt>
                  <c:pt idx="3">
                    <c:v>Evaluación 
de procesos</c:v>
                  </c:pt>
                  <c:pt idx="4">
                    <c:v>Evaluaciones 
específicas</c:v>
                  </c:pt>
                </c:lvl>
                <c:lvl>
                  <c:pt idx="1">
                    <c:v>Evaluación de programas presupuestarios</c:v>
                  </c:pt>
                </c:lvl>
              </c:multiLvlStrCache>
            </c:multiLvlStrRef>
          </c:cat>
          <c:val>
            <c:numRef>
              <c:f>Evaluación!$AE$22:$AE$26</c:f>
              <c:numCache>
                <c:formatCode>General</c:formatCode>
                <c:ptCount val="5"/>
                <c:pt idx="0">
                  <c:v>128</c:v>
                </c:pt>
                <c:pt idx="1">
                  <c:v>31</c:v>
                </c:pt>
                <c:pt idx="2">
                  <c:v>6</c:v>
                </c:pt>
                <c:pt idx="3">
                  <c:v>3</c:v>
                </c:pt>
                <c:pt idx="4">
                  <c:v>2</c:v>
                </c:pt>
              </c:numCache>
            </c:numRef>
          </c:val>
          <c:extLst>
            <c:ext xmlns:c16="http://schemas.microsoft.com/office/drawing/2014/chart" uri="{C3380CC4-5D6E-409C-BE32-E72D297353CC}">
              <c16:uniqueId val="{0000000A-9028-42A4-BBBF-9B10F716392D}"/>
            </c:ext>
          </c:extLst>
        </c:ser>
        <c:dLbls>
          <c:showLegendKey val="0"/>
          <c:showVal val="0"/>
          <c:showCatName val="0"/>
          <c:showSerName val="0"/>
          <c:showPercent val="0"/>
          <c:showBubbleSize val="0"/>
        </c:dLbls>
        <c:gapWidth val="70"/>
        <c:axId val="1618850239"/>
        <c:axId val="1618850655"/>
      </c:barChart>
      <c:catAx>
        <c:axId val="161885023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18850655"/>
        <c:crosses val="autoZero"/>
        <c:auto val="1"/>
        <c:lblAlgn val="ctr"/>
        <c:lblOffset val="100"/>
        <c:noMultiLvlLbl val="0"/>
      </c:catAx>
      <c:valAx>
        <c:axId val="1618850655"/>
        <c:scaling>
          <c:orientation val="minMax"/>
        </c:scaling>
        <c:delete val="1"/>
        <c:axPos val="t"/>
        <c:numFmt formatCode="General" sourceLinked="1"/>
        <c:majorTickMark val="none"/>
        <c:minorTickMark val="none"/>
        <c:tickLblPos val="nextTo"/>
        <c:crossAx val="16188502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6F9CC0"/>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8497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AA1C-47F6-929E-7592142A8CD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Instituciones!$AJ$5:$AJ$31</c:f>
              <c:strCache>
                <c:ptCount val="27"/>
                <c:pt idx="0">
                  <c:v>Salud</c:v>
                </c:pt>
                <c:pt idx="1">
                  <c:v>Comunicaciones y transportes</c:v>
                </c:pt>
                <c:pt idx="2">
                  <c:v>Educación</c:v>
                </c:pt>
                <c:pt idx="3">
                  <c:v>Ciencia, tecnología e innovación</c:v>
                </c:pt>
                <c:pt idx="4">
                  <c:v>Combustibles y energía</c:v>
                </c:pt>
                <c:pt idx="5">
                  <c:v>Asuntos financieros y hacendarios</c:v>
                </c:pt>
                <c:pt idx="6">
                  <c:v>Agricultura y desarrollo rural</c:v>
                </c:pt>
                <c:pt idx="7">
                  <c:v>Gobierno y política interior</c:v>
                </c:pt>
                <c:pt idx="8">
                  <c:v>Arte, cultura y otras manifestaciones sociales</c:v>
                </c:pt>
                <c:pt idx="9">
                  <c:v>Desarrollo social</c:v>
                </c:pt>
                <c:pt idx="10">
                  <c:v>Desarrollo agrario, territorial, urbano y vivienda</c:v>
                </c:pt>
                <c:pt idx="11">
                  <c:v>Economía</c:v>
                </c:pt>
                <c:pt idx="12">
                  <c:v>Turismo</c:v>
                </c:pt>
                <c:pt idx="13">
                  <c:v>Relaciones exteriores</c:v>
                </c:pt>
                <c:pt idx="14">
                  <c:v>Seguridad pública o seguridad ciudadana</c:v>
                </c:pt>
                <c:pt idx="15">
                  <c:v>Trabajo</c:v>
                </c:pt>
                <c:pt idx="16">
                  <c:v>Seguridad nacional</c:v>
                </c:pt>
                <c:pt idx="17">
                  <c:v>Función pública</c:v>
                </c:pt>
                <c:pt idx="18">
                  <c:v>Protección y seguridad social</c:v>
                </c:pt>
                <c:pt idx="19">
                  <c:v>Asuntos indígenas</c:v>
                </c:pt>
                <c:pt idx="20">
                  <c:v>Asuntos jurídicos</c:v>
                </c:pt>
                <c:pt idx="21">
                  <c:v>Cultura física y/o deporte</c:v>
                </c:pt>
                <c:pt idx="22">
                  <c:v>Despacho del ejecutivo</c:v>
                </c:pt>
                <c:pt idx="23">
                  <c:v>Igualdad de género y/o derechos de las mujeres</c:v>
                </c:pt>
                <c:pt idx="24">
                  <c:v>Protección civil</c:v>
                </c:pt>
                <c:pt idx="25">
                  <c:v>Reinserción social</c:v>
                </c:pt>
                <c:pt idx="26">
                  <c:v>Servicios públicos</c:v>
                </c:pt>
              </c:strCache>
            </c:strRef>
          </c:cat>
          <c:val>
            <c:numRef>
              <c:f>Instituciones!$AK$5:$AK$31</c:f>
              <c:numCache>
                <c:formatCode>General</c:formatCode>
                <c:ptCount val="27"/>
                <c:pt idx="0">
                  <c:v>40</c:v>
                </c:pt>
                <c:pt idx="1">
                  <c:v>33</c:v>
                </c:pt>
                <c:pt idx="2">
                  <c:v>30</c:v>
                </c:pt>
                <c:pt idx="3">
                  <c:v>28</c:v>
                </c:pt>
                <c:pt idx="4">
                  <c:v>28</c:v>
                </c:pt>
                <c:pt idx="5">
                  <c:v>24</c:v>
                </c:pt>
                <c:pt idx="6">
                  <c:v>21</c:v>
                </c:pt>
                <c:pt idx="7">
                  <c:v>21</c:v>
                </c:pt>
                <c:pt idx="8">
                  <c:v>16</c:v>
                </c:pt>
                <c:pt idx="9">
                  <c:v>10</c:v>
                </c:pt>
                <c:pt idx="10">
                  <c:v>8</c:v>
                </c:pt>
                <c:pt idx="11">
                  <c:v>8</c:v>
                </c:pt>
                <c:pt idx="12">
                  <c:v>7</c:v>
                </c:pt>
                <c:pt idx="13">
                  <c:v>6</c:v>
                </c:pt>
                <c:pt idx="14">
                  <c:v>6</c:v>
                </c:pt>
                <c:pt idx="15">
                  <c:v>6</c:v>
                </c:pt>
                <c:pt idx="16">
                  <c:v>4</c:v>
                </c:pt>
                <c:pt idx="17">
                  <c:v>3</c:v>
                </c:pt>
                <c:pt idx="18">
                  <c:v>2</c:v>
                </c:pt>
                <c:pt idx="19">
                  <c:v>1</c:v>
                </c:pt>
                <c:pt idx="20">
                  <c:v>1</c:v>
                </c:pt>
                <c:pt idx="21">
                  <c:v>1</c:v>
                </c:pt>
                <c:pt idx="22">
                  <c:v>1</c:v>
                </c:pt>
                <c:pt idx="23">
                  <c:v>1</c:v>
                </c:pt>
                <c:pt idx="24">
                  <c:v>1</c:v>
                </c:pt>
                <c:pt idx="25">
                  <c:v>1</c:v>
                </c:pt>
                <c:pt idx="26">
                  <c:v>1</c:v>
                </c:pt>
              </c:numCache>
            </c:numRef>
          </c:val>
          <c:extLst>
            <c:ext xmlns:c16="http://schemas.microsoft.com/office/drawing/2014/chart" uri="{C3380CC4-5D6E-409C-BE32-E72D297353CC}">
              <c16:uniqueId val="{00000002-AA1C-47F6-929E-7592142A8CD3}"/>
            </c:ext>
          </c:extLst>
        </c:ser>
        <c:dLbls>
          <c:showLegendKey val="0"/>
          <c:showVal val="0"/>
          <c:showCatName val="0"/>
          <c:showSerName val="0"/>
          <c:showPercent val="0"/>
          <c:showBubbleSize val="0"/>
        </c:dLbls>
        <c:gapWidth val="70"/>
        <c:axId val="504026912"/>
        <c:axId val="504016096"/>
      </c:barChart>
      <c:catAx>
        <c:axId val="5040269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04016096"/>
        <c:crosses val="autoZero"/>
        <c:auto val="1"/>
        <c:lblAlgn val="ctr"/>
        <c:lblOffset val="100"/>
        <c:noMultiLvlLbl val="0"/>
      </c:catAx>
      <c:valAx>
        <c:axId val="504016096"/>
        <c:scaling>
          <c:orientation val="minMax"/>
        </c:scaling>
        <c:delete val="1"/>
        <c:axPos val="t"/>
        <c:numFmt formatCode="General" sourceLinked="1"/>
        <c:majorTickMark val="none"/>
        <c:minorTickMark val="none"/>
        <c:tickLblPos val="nextTo"/>
        <c:crossAx val="50402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8E61A5"/>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706F6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AF93-4108-A1B5-1EC0B59F2D50}"/>
              </c:ext>
            </c:extLst>
          </c:dPt>
          <c:dPt>
            <c:idx val="1"/>
            <c:invertIfNegative val="0"/>
            <c:bubble3D val="0"/>
            <c:spPr>
              <a:solidFill>
                <a:srgbClr val="C1268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AF93-4108-A1B5-1EC0B59F2D50}"/>
              </c:ext>
            </c:extLst>
          </c:dPt>
          <c:dLbls>
            <c:spPr>
              <a:noFill/>
              <a:ln>
                <a:noFill/>
              </a:ln>
              <a:effectLst/>
            </c:spPr>
            <c:txPr>
              <a:bodyPr rot="0" spcFirstLastPara="1" vertOverflow="ellipsis" vert="horz" wrap="square" lIns="38100" tIns="19050" rIns="38100" bIns="19050" anchor="ctr" anchorCtr="0">
                <a:spAutoFit/>
              </a:bodyPr>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ppt!$G$3:$G$4</c:f>
              <c:numCache>
                <c:formatCode>0</c:formatCode>
                <c:ptCount val="2"/>
                <c:pt idx="0">
                  <c:v>2019</c:v>
                </c:pt>
                <c:pt idx="1">
                  <c:v>2020</c:v>
                </c:pt>
              </c:numCache>
            </c:numRef>
          </c:cat>
          <c:val>
            <c:numRef>
              <c:f>ppt!$H$3:$H$4</c:f>
              <c:numCache>
                <c:formatCode>#,##0</c:formatCode>
                <c:ptCount val="2"/>
                <c:pt idx="0">
                  <c:v>257</c:v>
                </c:pt>
                <c:pt idx="1">
                  <c:v>280</c:v>
                </c:pt>
              </c:numCache>
            </c:numRef>
          </c:val>
          <c:extLst>
            <c:ext xmlns:c16="http://schemas.microsoft.com/office/drawing/2014/chart" uri="{C3380CC4-5D6E-409C-BE32-E72D297353CC}">
              <c16:uniqueId val="{00000004-AF93-4108-A1B5-1EC0B59F2D50}"/>
            </c:ext>
          </c:extLst>
        </c:ser>
        <c:dLbls>
          <c:dLblPos val="outEnd"/>
          <c:showLegendKey val="0"/>
          <c:showVal val="1"/>
          <c:showCatName val="0"/>
          <c:showSerName val="0"/>
          <c:showPercent val="0"/>
          <c:showBubbleSize val="0"/>
        </c:dLbls>
        <c:gapWidth val="150"/>
        <c:overlap val="-27"/>
        <c:axId val="962671439"/>
        <c:axId val="958784367"/>
      </c:barChart>
      <c:catAx>
        <c:axId val="962671439"/>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58784367"/>
        <c:crosses val="autoZero"/>
        <c:auto val="1"/>
        <c:lblAlgn val="ctr"/>
        <c:lblOffset val="100"/>
        <c:noMultiLvlLbl val="0"/>
      </c:catAx>
      <c:valAx>
        <c:axId val="958784367"/>
        <c:scaling>
          <c:orientation val="minMax"/>
        </c:scaling>
        <c:delete val="1"/>
        <c:axPos val="l"/>
        <c:numFmt formatCode="#,##0" sourceLinked="1"/>
        <c:majorTickMark val="none"/>
        <c:minorTickMark val="none"/>
        <c:tickLblPos val="nextTo"/>
        <c:crossAx val="96267143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705498740180822E-2"/>
          <c:y val="0.13709456332526093"/>
          <c:w val="0.95858900251963841"/>
          <c:h val="0.74995659760460232"/>
        </c:manualLayout>
      </c:layout>
      <c:lineChart>
        <c:grouping val="standard"/>
        <c:varyColors val="0"/>
        <c:ser>
          <c:idx val="0"/>
          <c:order val="0"/>
          <c:spPr>
            <a:ln w="57150" cap="rnd">
              <a:solidFill>
                <a:srgbClr val="08497F"/>
              </a:solidFill>
              <a:round/>
            </a:ln>
            <a:effectLst>
              <a:outerShdw blurRad="50800" dist="38100" dir="2700000" algn="tl" rotWithShape="0">
                <a:prstClr val="black">
                  <a:alpha val="40000"/>
                </a:prstClr>
              </a:outerShdw>
            </a:effectLst>
          </c:spPr>
          <c:marker>
            <c:symbol val="diamond"/>
            <c:size val="8"/>
            <c:spPr>
              <a:solidFill>
                <a:srgbClr val="08497F"/>
              </a:solidFill>
              <a:ln w="0">
                <a:solidFill>
                  <a:srgbClr val="08497F"/>
                </a:solidFill>
              </a:ln>
              <a:effectLst>
                <a:outerShdw blurRad="50800" dist="38100" dir="2700000" algn="tl" rotWithShape="0">
                  <a:prstClr val="black">
                    <a:alpha val="40000"/>
                  </a:prstClr>
                </a:outerShdw>
              </a:effectLst>
            </c:spPr>
          </c:marker>
          <c:dPt>
            <c:idx val="1"/>
            <c:marker>
              <c:symbol val="diamond"/>
              <c:size val="8"/>
              <c:spPr>
                <a:solidFill>
                  <a:srgbClr val="08497F"/>
                </a:solidFill>
                <a:ln w="0">
                  <a:solidFill>
                    <a:srgbClr val="08497F"/>
                  </a:solidFill>
                </a:ln>
                <a:effectLst>
                  <a:outerShdw blurRad="50800" dist="38100" dir="2700000" algn="tl" rotWithShape="0">
                    <a:prstClr val="black">
                      <a:alpha val="40000"/>
                    </a:prstClr>
                  </a:outerShdw>
                </a:effectLst>
              </c:spPr>
            </c:marker>
            <c:bubble3D val="0"/>
            <c:spPr>
              <a:ln w="31750" cap="rnd">
                <a:solidFill>
                  <a:srgbClr val="08497F"/>
                </a:solidFill>
                <a:round/>
              </a:ln>
              <a:effectLst>
                <a:outerShdw blurRad="50800" dist="38100" dir="2700000" algn="tl" rotWithShape="0">
                  <a:prstClr val="black">
                    <a:alpha val="40000"/>
                  </a:prstClr>
                </a:outerShdw>
              </a:effectLst>
            </c:spPr>
            <c:extLst>
              <c:ext xmlns:c16="http://schemas.microsoft.com/office/drawing/2014/chart" uri="{C3380CC4-5D6E-409C-BE32-E72D297353CC}">
                <c16:uniqueId val="{00000001-6DF1-4268-ACC5-2E27124A54D0}"/>
              </c:ext>
            </c:extLst>
          </c:dPt>
          <c:dPt>
            <c:idx val="2"/>
            <c:marker>
              <c:symbol val="diamond"/>
              <c:size val="8"/>
              <c:spPr>
                <a:solidFill>
                  <a:srgbClr val="08497F"/>
                </a:solidFill>
                <a:ln w="0">
                  <a:solidFill>
                    <a:srgbClr val="08497F"/>
                  </a:solidFill>
                </a:ln>
                <a:effectLst>
                  <a:outerShdw blurRad="50800" dist="38100" dir="2700000" algn="tl" rotWithShape="0">
                    <a:prstClr val="black">
                      <a:alpha val="40000"/>
                    </a:prstClr>
                  </a:outerShdw>
                </a:effectLst>
              </c:spPr>
            </c:marker>
            <c:bubble3D val="0"/>
            <c:spPr>
              <a:ln w="31750" cap="rnd">
                <a:solidFill>
                  <a:srgbClr val="08497F"/>
                </a:solidFill>
                <a:round/>
              </a:ln>
              <a:effectLst>
                <a:outerShdw blurRad="50800" dist="38100" dir="2700000" algn="tl" rotWithShape="0">
                  <a:prstClr val="black">
                    <a:alpha val="40000"/>
                  </a:prstClr>
                </a:outerShdw>
              </a:effectLst>
            </c:spPr>
            <c:extLst>
              <c:ext xmlns:c16="http://schemas.microsoft.com/office/drawing/2014/chart" uri="{C3380CC4-5D6E-409C-BE32-E72D297353CC}">
                <c16:uniqueId val="{00000003-6DF1-4268-ACC5-2E27124A54D0}"/>
              </c:ext>
            </c:extLst>
          </c:dPt>
          <c:dPt>
            <c:idx val="3"/>
            <c:marker>
              <c:symbol val="diamond"/>
              <c:size val="8"/>
              <c:spPr>
                <a:solidFill>
                  <a:srgbClr val="08497F"/>
                </a:solidFill>
                <a:ln w="0">
                  <a:solidFill>
                    <a:srgbClr val="08497F"/>
                  </a:solidFill>
                </a:ln>
                <a:effectLst>
                  <a:outerShdw blurRad="50800" dist="38100" dir="2700000" algn="tl" rotWithShape="0">
                    <a:prstClr val="black">
                      <a:alpha val="40000"/>
                    </a:prstClr>
                  </a:outerShdw>
                </a:effectLst>
              </c:spPr>
            </c:marker>
            <c:bubble3D val="0"/>
            <c:spPr>
              <a:ln w="31750" cap="rnd">
                <a:solidFill>
                  <a:srgbClr val="08497F"/>
                </a:solidFill>
                <a:round/>
              </a:ln>
              <a:effectLst>
                <a:outerShdw blurRad="50800" dist="38100" dir="2700000" algn="tl" rotWithShape="0">
                  <a:prstClr val="black">
                    <a:alpha val="40000"/>
                  </a:prstClr>
                </a:outerShdw>
              </a:effectLst>
            </c:spPr>
            <c:extLst>
              <c:ext xmlns:c16="http://schemas.microsoft.com/office/drawing/2014/chart" uri="{C3380CC4-5D6E-409C-BE32-E72D297353CC}">
                <c16:uniqueId val="{00000005-6DF1-4268-ACC5-2E27124A54D0}"/>
              </c:ext>
            </c:extLst>
          </c:dPt>
          <c:dPt>
            <c:idx val="4"/>
            <c:marker>
              <c:symbol val="diamond"/>
              <c:size val="8"/>
              <c:spPr>
                <a:solidFill>
                  <a:srgbClr val="08497F"/>
                </a:solidFill>
                <a:ln w="0">
                  <a:solidFill>
                    <a:srgbClr val="08497F"/>
                  </a:solidFill>
                </a:ln>
                <a:effectLst>
                  <a:outerShdw blurRad="50800" dist="38100" dir="2700000" algn="tl" rotWithShape="0">
                    <a:prstClr val="black">
                      <a:alpha val="40000"/>
                    </a:prstClr>
                  </a:outerShdw>
                </a:effectLst>
              </c:spPr>
            </c:marker>
            <c:bubble3D val="0"/>
            <c:spPr>
              <a:ln w="31750" cap="rnd">
                <a:solidFill>
                  <a:srgbClr val="08497F"/>
                </a:solidFill>
                <a:round/>
              </a:ln>
              <a:effectLst>
                <a:outerShdw blurRad="50800" dist="38100" dir="2700000" algn="tl" rotWithShape="0">
                  <a:prstClr val="black">
                    <a:alpha val="40000"/>
                  </a:prstClr>
                </a:outerShdw>
              </a:effectLst>
            </c:spPr>
            <c:extLst>
              <c:ext xmlns:c16="http://schemas.microsoft.com/office/drawing/2014/chart" uri="{C3380CC4-5D6E-409C-BE32-E72D297353CC}">
                <c16:uniqueId val="{00000007-6DF1-4268-ACC5-2E27124A54D0}"/>
              </c:ext>
            </c:extLst>
          </c:dPt>
          <c:dLbls>
            <c:spPr>
              <a:noFill/>
              <a:ln>
                <a:noFill/>
              </a:ln>
              <a:effectLst/>
            </c:spPr>
            <c:txPr>
              <a:bodyPr rot="0" spcFirstLastPara="1" vertOverflow="ellipsis" vert="horz" wrap="square" lIns="38100" tIns="19050" rIns="38100" bIns="19050" anchor="ctr" anchorCtr="0">
                <a:spAutoFit/>
              </a:bodyPr>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ppt!$F$11:$F$15</c:f>
              <c:numCache>
                <c:formatCode>0</c:formatCode>
                <c:ptCount val="5"/>
                <c:pt idx="0">
                  <c:v>2016</c:v>
                </c:pt>
                <c:pt idx="1">
                  <c:v>2017</c:v>
                </c:pt>
                <c:pt idx="2">
                  <c:v>2018</c:v>
                </c:pt>
                <c:pt idx="3">
                  <c:v>2019</c:v>
                </c:pt>
                <c:pt idx="4">
                  <c:v>2020</c:v>
                </c:pt>
              </c:numCache>
            </c:numRef>
          </c:cat>
          <c:val>
            <c:numRef>
              <c:f>ppt!$G$11:$G$15</c:f>
              <c:numCache>
                <c:formatCode>#,##0</c:formatCode>
                <c:ptCount val="5"/>
                <c:pt idx="0">
                  <c:v>6533</c:v>
                </c:pt>
                <c:pt idx="1">
                  <c:v>6386</c:v>
                </c:pt>
                <c:pt idx="2">
                  <c:v>6087</c:v>
                </c:pt>
                <c:pt idx="3">
                  <c:v>5381</c:v>
                </c:pt>
                <c:pt idx="4">
                  <c:v>4927</c:v>
                </c:pt>
              </c:numCache>
            </c:numRef>
          </c:val>
          <c:smooth val="0"/>
          <c:extLst>
            <c:ext xmlns:c16="http://schemas.microsoft.com/office/drawing/2014/chart" uri="{C3380CC4-5D6E-409C-BE32-E72D297353CC}">
              <c16:uniqueId val="{00000008-6DF1-4268-ACC5-2E27124A54D0}"/>
            </c:ext>
          </c:extLst>
        </c:ser>
        <c:dLbls>
          <c:dLblPos val="t"/>
          <c:showLegendKey val="0"/>
          <c:showVal val="1"/>
          <c:showCatName val="0"/>
          <c:showSerName val="0"/>
          <c:showPercent val="0"/>
          <c:showBubbleSize val="0"/>
        </c:dLbls>
        <c:marker val="1"/>
        <c:smooth val="0"/>
        <c:axId val="906036367"/>
        <c:axId val="1316327247"/>
      </c:lineChart>
      <c:catAx>
        <c:axId val="906036367"/>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316327247"/>
        <c:crosses val="autoZero"/>
        <c:auto val="1"/>
        <c:lblAlgn val="ctr"/>
        <c:lblOffset val="100"/>
        <c:noMultiLvlLbl val="0"/>
      </c:catAx>
      <c:valAx>
        <c:axId val="1316327247"/>
        <c:scaling>
          <c:orientation val="minMax"/>
        </c:scaling>
        <c:delete val="1"/>
        <c:axPos val="l"/>
        <c:numFmt formatCode="#,##0" sourceLinked="1"/>
        <c:majorTickMark val="none"/>
        <c:minorTickMark val="none"/>
        <c:tickLblPos val="nextTo"/>
        <c:crossAx val="90603636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089588098111116E-2"/>
          <c:y val="9.6594408406541335E-2"/>
          <c:w val="0.98291041190188888"/>
          <c:h val="0.80206824756719775"/>
        </c:manualLayout>
      </c:layout>
      <c:lineChart>
        <c:grouping val="stacked"/>
        <c:varyColors val="0"/>
        <c:ser>
          <c:idx val="0"/>
          <c:order val="0"/>
          <c:spPr>
            <a:ln w="38100" cap="rnd">
              <a:solidFill>
                <a:srgbClr val="EC68A0"/>
              </a:solidFill>
              <a:round/>
            </a:ln>
            <a:effectLst>
              <a:outerShdw blurRad="50800" dist="38100" dir="2700000" algn="tl" rotWithShape="0">
                <a:prstClr val="black">
                  <a:alpha val="40000"/>
                </a:prstClr>
              </a:outerShdw>
            </a:effectLst>
          </c:spPr>
          <c:marker>
            <c:symbol val="diamond"/>
            <c:size val="5"/>
            <c:spPr>
              <a:solidFill>
                <a:srgbClr val="EC68A0"/>
              </a:solidFill>
              <a:ln w="57150">
                <a:solidFill>
                  <a:srgbClr val="EC68A0"/>
                </a:solidFill>
              </a:ln>
              <a:effectLst>
                <a:outerShdw blurRad="50800" dist="38100" dir="2700000" algn="tl" rotWithShape="0">
                  <a:prstClr val="black">
                    <a:alpha val="40000"/>
                  </a:prstClr>
                </a:outerShdw>
              </a:effectLst>
            </c:spPr>
          </c:marker>
          <c:dLbls>
            <c:dLbl>
              <c:idx val="2"/>
              <c:layout>
                <c:manualLayout>
                  <c:x val="-4.4648360087441052E-2"/>
                  <c:y val="6.49548324531722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1F-44D0-A72D-DB750DE13F3C}"/>
                </c:ext>
              </c:extLst>
            </c:dLbl>
            <c:dLbl>
              <c:idx val="4"/>
              <c:layout>
                <c:manualLayout>
                  <c:x val="-2.9890019876279702E-2"/>
                  <c:y val="-5.5727543311466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1F-44D0-A72D-DB750DE13F3C}"/>
                </c:ext>
              </c:extLst>
            </c:dLbl>
            <c:spPr>
              <a:noFill/>
              <a:ln>
                <a:noFill/>
              </a:ln>
              <a:effectLst/>
            </c:spPr>
            <c:txPr>
              <a:bodyPr rot="0" spcFirstLastPara="1" vertOverflow="ellipsis" vert="horz" wrap="square" lIns="38100" tIns="19050" rIns="38100" bIns="19050" anchor="ctr" anchorCtr="0">
                <a:spAutoFit/>
              </a:bodyPr>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ppt!$H$62:$H$66</c:f>
              <c:numCache>
                <c:formatCode>0</c:formatCode>
                <c:ptCount val="5"/>
                <c:pt idx="0">
                  <c:v>2016</c:v>
                </c:pt>
                <c:pt idx="1">
                  <c:v>2017</c:v>
                </c:pt>
                <c:pt idx="2">
                  <c:v>2018</c:v>
                </c:pt>
                <c:pt idx="3">
                  <c:v>2019</c:v>
                </c:pt>
                <c:pt idx="4">
                  <c:v>2020</c:v>
                </c:pt>
              </c:numCache>
            </c:numRef>
          </c:cat>
          <c:val>
            <c:numRef>
              <c:f>ppt!$I$62:$I$66</c:f>
              <c:numCache>
                <c:formatCode>#,##0</c:formatCode>
                <c:ptCount val="5"/>
                <c:pt idx="0">
                  <c:v>3979</c:v>
                </c:pt>
                <c:pt idx="1">
                  <c:v>4042</c:v>
                </c:pt>
                <c:pt idx="2">
                  <c:v>2610</c:v>
                </c:pt>
                <c:pt idx="3">
                  <c:v>2919</c:v>
                </c:pt>
                <c:pt idx="4">
                  <c:v>1768</c:v>
                </c:pt>
              </c:numCache>
            </c:numRef>
          </c:val>
          <c:smooth val="0"/>
          <c:extLst>
            <c:ext xmlns:c16="http://schemas.microsoft.com/office/drawing/2014/chart" uri="{C3380CC4-5D6E-409C-BE32-E72D297353CC}">
              <c16:uniqueId val="{00000002-421F-44D0-A72D-DB750DE13F3C}"/>
            </c:ext>
          </c:extLst>
        </c:ser>
        <c:dLbls>
          <c:dLblPos val="t"/>
          <c:showLegendKey val="0"/>
          <c:showVal val="1"/>
          <c:showCatName val="0"/>
          <c:showSerName val="0"/>
          <c:showPercent val="0"/>
          <c:showBubbleSize val="0"/>
        </c:dLbls>
        <c:marker val="1"/>
        <c:smooth val="0"/>
        <c:axId val="2072449136"/>
        <c:axId val="2083290512"/>
      </c:lineChart>
      <c:catAx>
        <c:axId val="207244913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083290512"/>
        <c:crosses val="autoZero"/>
        <c:auto val="1"/>
        <c:lblAlgn val="ctr"/>
        <c:lblOffset val="100"/>
        <c:noMultiLvlLbl val="0"/>
      </c:catAx>
      <c:valAx>
        <c:axId val="2083290512"/>
        <c:scaling>
          <c:orientation val="minMax"/>
        </c:scaling>
        <c:delete val="1"/>
        <c:axPos val="l"/>
        <c:numFmt formatCode="#,##0" sourceLinked="1"/>
        <c:majorTickMark val="none"/>
        <c:minorTickMark val="none"/>
        <c:tickLblPos val="nextTo"/>
        <c:crossAx val="2072449136"/>
        <c:crosses val="autoZero"/>
        <c:crossBetween val="between"/>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293954164231563E-2"/>
          <c:y val="9.2485549132947972E-2"/>
          <c:w val="0.97541209167153686"/>
          <c:h val="0.74331396436717101"/>
        </c:manualLayout>
      </c:layout>
      <c:barChart>
        <c:barDir val="col"/>
        <c:grouping val="clustered"/>
        <c:varyColors val="0"/>
        <c:ser>
          <c:idx val="0"/>
          <c:order val="0"/>
          <c:tx>
            <c:strRef>
              <c:f>ppt!$I$70</c:f>
              <c:strCache>
                <c:ptCount val="1"/>
                <c:pt idx="0">
                  <c:v>total </c:v>
                </c:pt>
              </c:strCache>
            </c:strRef>
          </c:tx>
          <c:spPr>
            <a:solidFill>
              <a:srgbClr val="EC68A0"/>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E941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9D49-4FCF-AECF-3370BD5D6C86}"/>
              </c:ext>
            </c:extLst>
          </c:dPt>
          <c:dPt>
            <c:idx val="1"/>
            <c:invertIfNegative val="0"/>
            <c:bubble3D val="0"/>
            <c:spPr>
              <a:solidFill>
                <a:srgbClr val="FEDE8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9D49-4FCF-AECF-3370BD5D6C86}"/>
              </c:ext>
            </c:extLst>
          </c:dPt>
          <c:dPt>
            <c:idx val="2"/>
            <c:invertIfNegative val="0"/>
            <c:bubble3D val="0"/>
            <c:spPr>
              <a:solidFill>
                <a:srgbClr val="BAB4B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9D49-4FCF-AECF-3370BD5D6C86}"/>
              </c:ext>
            </c:extLst>
          </c:dPt>
          <c:dLbls>
            <c:spPr>
              <a:noFill/>
              <a:ln>
                <a:noFill/>
              </a:ln>
              <a:effectLst/>
            </c:spPr>
            <c:txPr>
              <a:bodyPr rot="0" spcFirstLastPara="1" vertOverflow="ellipsis" vert="horz" wrap="square" lIns="38100" tIns="19050" rIns="38100" bIns="19050" anchor="ctr" anchorCtr="0">
                <a:spAutoFit/>
              </a:bodyPr>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ppt!$H$71:$H$73</c:f>
              <c:strCache>
                <c:ptCount val="3"/>
                <c:pt idx="0">
                  <c:v>Órgano interno de control de la institución</c:v>
                </c:pt>
                <c:pt idx="1">
                  <c:v>Auditoría Superior de la Federación</c:v>
                </c:pt>
                <c:pt idx="2">
                  <c:v>Otra autoridad</c:v>
                </c:pt>
              </c:strCache>
            </c:strRef>
          </c:cat>
          <c:val>
            <c:numRef>
              <c:f>ppt!$I$71:$I$73</c:f>
              <c:numCache>
                <c:formatCode>#,##0</c:formatCode>
                <c:ptCount val="3"/>
                <c:pt idx="0">
                  <c:v>1315</c:v>
                </c:pt>
                <c:pt idx="1">
                  <c:v>412</c:v>
                </c:pt>
                <c:pt idx="2">
                  <c:v>41</c:v>
                </c:pt>
              </c:numCache>
            </c:numRef>
          </c:val>
          <c:extLst>
            <c:ext xmlns:c16="http://schemas.microsoft.com/office/drawing/2014/chart" uri="{C3380CC4-5D6E-409C-BE32-E72D297353CC}">
              <c16:uniqueId val="{00000006-9D49-4FCF-AECF-3370BD5D6C86}"/>
            </c:ext>
          </c:extLst>
        </c:ser>
        <c:dLbls>
          <c:dLblPos val="outEnd"/>
          <c:showLegendKey val="0"/>
          <c:showVal val="1"/>
          <c:showCatName val="0"/>
          <c:showSerName val="0"/>
          <c:showPercent val="0"/>
          <c:showBubbleSize val="0"/>
        </c:dLbls>
        <c:gapWidth val="90"/>
        <c:overlap val="-27"/>
        <c:axId val="82766240"/>
        <c:axId val="1862035568"/>
      </c:barChart>
      <c:catAx>
        <c:axId val="8276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862035568"/>
        <c:crosses val="autoZero"/>
        <c:auto val="1"/>
        <c:lblAlgn val="ctr"/>
        <c:lblOffset val="100"/>
        <c:noMultiLvlLbl val="0"/>
      </c:catAx>
      <c:valAx>
        <c:axId val="1862035568"/>
        <c:scaling>
          <c:orientation val="minMax"/>
        </c:scaling>
        <c:delete val="1"/>
        <c:axPos val="l"/>
        <c:numFmt formatCode="#,##0" sourceLinked="1"/>
        <c:majorTickMark val="none"/>
        <c:minorTickMark val="none"/>
        <c:tickLblPos val="nextTo"/>
        <c:crossAx val="827662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311525315978672E-2"/>
          <c:y val="2.5209321277370925E-2"/>
          <c:w val="0.96337694936804263"/>
          <c:h val="0.85123071834294817"/>
        </c:manualLayout>
      </c:layout>
      <c:lineChart>
        <c:grouping val="standard"/>
        <c:varyColors val="0"/>
        <c:ser>
          <c:idx val="0"/>
          <c:order val="0"/>
          <c:spPr>
            <a:ln w="38100" cap="rnd">
              <a:solidFill>
                <a:srgbClr val="8E61A5"/>
              </a:solidFill>
              <a:round/>
            </a:ln>
            <a:effectLst>
              <a:outerShdw blurRad="50800" dist="38100" dir="2700000" algn="tl" rotWithShape="0">
                <a:prstClr val="black">
                  <a:alpha val="40000"/>
                </a:prstClr>
              </a:outerShdw>
            </a:effectLst>
          </c:spPr>
          <c:marker>
            <c:symbol val="diamond"/>
            <c:size val="6"/>
            <c:spPr>
              <a:solidFill>
                <a:srgbClr val="8E61A5"/>
              </a:solidFill>
              <a:ln w="25400">
                <a:solidFill>
                  <a:srgbClr val="8E61A5"/>
                </a:solidFill>
              </a:ln>
              <a:effectLst>
                <a:outerShdw blurRad="50800" dist="38100" dir="2700000" algn="tl" rotWithShape="0">
                  <a:prstClr val="black">
                    <a:alpha val="40000"/>
                  </a:prstClr>
                </a:outerShdw>
              </a:effectLst>
            </c:spPr>
          </c:marker>
          <c:dLbls>
            <c:dLbl>
              <c:idx val="4"/>
              <c:layout>
                <c:manualLayout>
                  <c:x val="-2.3774048623194818E-2"/>
                  <c:y val="-5.84397902339053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72-4676-93D4-E5FECBD0BDE0}"/>
                </c:ext>
              </c:extLst>
            </c:dLbl>
            <c:spPr>
              <a:noFill/>
              <a:ln>
                <a:noFill/>
              </a:ln>
              <a:effectLst/>
            </c:spPr>
            <c:txPr>
              <a:bodyPr rot="0" spcFirstLastPara="1" vertOverflow="ellipsis" vert="horz" wrap="square" lIns="38100" tIns="19050" rIns="38100" bIns="19050" anchor="ctr" anchorCtr="0">
                <a:spAutoFit/>
              </a:bodyPr>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'control interno'!$E$29:$E$33</c:f>
              <c:numCache>
                <c:formatCode>0</c:formatCode>
                <c:ptCount val="5"/>
                <c:pt idx="0">
                  <c:v>2016</c:v>
                </c:pt>
                <c:pt idx="1">
                  <c:v>2017</c:v>
                </c:pt>
                <c:pt idx="2">
                  <c:v>2018</c:v>
                </c:pt>
                <c:pt idx="3">
                  <c:v>2019</c:v>
                </c:pt>
                <c:pt idx="4">
                  <c:v>2020</c:v>
                </c:pt>
              </c:numCache>
            </c:numRef>
          </c:cat>
          <c:val>
            <c:numRef>
              <c:f>'control interno'!$F$29:$F$33</c:f>
              <c:numCache>
                <c:formatCode>#,##0</c:formatCode>
                <c:ptCount val="5"/>
                <c:pt idx="0">
                  <c:v>26293</c:v>
                </c:pt>
                <c:pt idx="1">
                  <c:v>26401</c:v>
                </c:pt>
                <c:pt idx="2">
                  <c:v>29607</c:v>
                </c:pt>
                <c:pt idx="3">
                  <c:v>33668</c:v>
                </c:pt>
                <c:pt idx="4">
                  <c:v>22891</c:v>
                </c:pt>
              </c:numCache>
            </c:numRef>
          </c:val>
          <c:smooth val="0"/>
          <c:extLst>
            <c:ext xmlns:c16="http://schemas.microsoft.com/office/drawing/2014/chart" uri="{C3380CC4-5D6E-409C-BE32-E72D297353CC}">
              <c16:uniqueId val="{00000001-4772-4676-93D4-E5FECBD0BDE0}"/>
            </c:ext>
          </c:extLst>
        </c:ser>
        <c:dLbls>
          <c:dLblPos val="t"/>
          <c:showLegendKey val="0"/>
          <c:showVal val="1"/>
          <c:showCatName val="0"/>
          <c:showSerName val="0"/>
          <c:showPercent val="0"/>
          <c:showBubbleSize val="0"/>
        </c:dLbls>
        <c:marker val="1"/>
        <c:smooth val="0"/>
        <c:axId val="2127748208"/>
        <c:axId val="252955040"/>
      </c:lineChart>
      <c:catAx>
        <c:axId val="212774820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52955040"/>
        <c:crosses val="autoZero"/>
        <c:auto val="1"/>
        <c:lblAlgn val="ctr"/>
        <c:lblOffset val="100"/>
        <c:noMultiLvlLbl val="0"/>
      </c:catAx>
      <c:valAx>
        <c:axId val="252955040"/>
        <c:scaling>
          <c:orientation val="minMax"/>
        </c:scaling>
        <c:delete val="1"/>
        <c:axPos val="l"/>
        <c:numFmt formatCode="#,##0" sourceLinked="1"/>
        <c:majorTickMark val="none"/>
        <c:minorTickMark val="none"/>
        <c:tickLblPos val="nextTo"/>
        <c:crossAx val="2127748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156721503875658"/>
          <c:y val="2.224035696648536E-2"/>
          <c:w val="0.33384925951397376"/>
          <c:h val="0.95551928606702929"/>
        </c:manualLayout>
      </c:layout>
      <c:barChart>
        <c:barDir val="bar"/>
        <c:grouping val="clustered"/>
        <c:varyColors val="0"/>
        <c:ser>
          <c:idx val="0"/>
          <c:order val="0"/>
          <c:spPr>
            <a:solidFill>
              <a:srgbClr val="6F9CC0"/>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8497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A837-4B07-8E82-B2148158E3DC}"/>
              </c:ext>
            </c:extLst>
          </c:dPt>
          <c:dPt>
            <c:idx val="7"/>
            <c:invertIfNegative val="0"/>
            <c:bubble3D val="0"/>
            <c:spPr>
              <a:solidFill>
                <a:srgbClr val="BAB4B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A837-4B07-8E82-B2148158E3DC}"/>
              </c:ext>
            </c:extLst>
          </c:dPt>
          <c:dLbls>
            <c:spPr>
              <a:noFill/>
              <a:ln>
                <a:noFill/>
              </a:ln>
              <a:effectLst/>
            </c:spPr>
            <c:txPr>
              <a:bodyPr rot="0" spcFirstLastPara="1" vertOverflow="ellipsis" vert="horz" wrap="square" anchor="ctr" anchorCtr="1"/>
              <a:lstStyle/>
              <a:p>
                <a:pP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'control interno'!$A$30:$A$37</c:f>
              <c:strCache>
                <c:ptCount val="8"/>
                <c:pt idx="0">
                  <c:v>Escrito mediante oficio</c:v>
                </c:pt>
                <c:pt idx="1">
                  <c:v>Correo electrónico</c:v>
                </c:pt>
                <c:pt idx="2">
                  <c:v>Sitio web </c:v>
                </c:pt>
                <c:pt idx="3">
                  <c:v>Oficina especializada para la atención de denuncias (presencial)</c:v>
                </c:pt>
                <c:pt idx="4">
                  <c:v>Número telefónico</c:v>
                </c:pt>
                <c:pt idx="5">
                  <c:v>Buzones de denuncias</c:v>
                </c:pt>
                <c:pt idx="6">
                  <c:v>Aplicación informática para la atención de denuncias</c:v>
                </c:pt>
                <c:pt idx="7">
                  <c:v>Otro </c:v>
                </c:pt>
              </c:strCache>
            </c:strRef>
          </c:cat>
          <c:val>
            <c:numRef>
              <c:f>'control interno'!$C$30:$C$37</c:f>
              <c:numCache>
                <c:formatCode>0.0%</c:formatCode>
                <c:ptCount val="8"/>
                <c:pt idx="0">
                  <c:v>0.34620593246253989</c:v>
                </c:pt>
                <c:pt idx="1">
                  <c:v>0.31947053427111094</c:v>
                </c:pt>
                <c:pt idx="2">
                  <c:v>0.25363680048927528</c:v>
                </c:pt>
                <c:pt idx="3">
                  <c:v>4.3030011795028612E-2</c:v>
                </c:pt>
                <c:pt idx="4">
                  <c:v>4.5869555720588874E-3</c:v>
                </c:pt>
                <c:pt idx="5">
                  <c:v>1.7037263553361583E-3</c:v>
                </c:pt>
                <c:pt idx="6">
                  <c:v>1.2231881525490368E-3</c:v>
                </c:pt>
                <c:pt idx="7">
                  <c:v>3.0142850902101264E-2</c:v>
                </c:pt>
              </c:numCache>
            </c:numRef>
          </c:val>
          <c:extLst>
            <c:ext xmlns:c16="http://schemas.microsoft.com/office/drawing/2014/chart" uri="{C3380CC4-5D6E-409C-BE32-E72D297353CC}">
              <c16:uniqueId val="{00000004-A837-4B07-8E82-B2148158E3DC}"/>
            </c:ext>
          </c:extLst>
        </c:ser>
        <c:dLbls>
          <c:dLblPos val="outEnd"/>
          <c:showLegendKey val="0"/>
          <c:showVal val="1"/>
          <c:showCatName val="0"/>
          <c:showSerName val="0"/>
          <c:showPercent val="0"/>
          <c:showBubbleSize val="0"/>
        </c:dLbls>
        <c:gapWidth val="50"/>
        <c:axId val="250067552"/>
        <c:axId val="2085509184"/>
      </c:barChart>
      <c:catAx>
        <c:axId val="2500675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085509184"/>
        <c:crosses val="autoZero"/>
        <c:auto val="1"/>
        <c:lblAlgn val="ctr"/>
        <c:lblOffset val="100"/>
        <c:noMultiLvlLbl val="0"/>
      </c:catAx>
      <c:valAx>
        <c:axId val="2085509184"/>
        <c:scaling>
          <c:orientation val="minMax"/>
        </c:scaling>
        <c:delete val="1"/>
        <c:axPos val="t"/>
        <c:numFmt formatCode="0.0%" sourceLinked="1"/>
        <c:majorTickMark val="none"/>
        <c:minorTickMark val="none"/>
        <c:tickLblPos val="nextTo"/>
        <c:crossAx val="250067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EC68A0"/>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8E61A5"/>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F0DD-43DE-A4F1-B7D8174B3D0F}"/>
              </c:ext>
            </c:extLst>
          </c:dPt>
          <c:dPt>
            <c:idx val="1"/>
            <c:invertIfNegative val="0"/>
            <c:bubble3D val="0"/>
            <c:spPr>
              <a:solidFill>
                <a:srgbClr val="706F6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F0DD-43DE-A4F1-B7D8174B3D0F}"/>
              </c:ext>
            </c:extLst>
          </c:dPt>
          <c:dPt>
            <c:idx val="2"/>
            <c:invertIfNegative val="0"/>
            <c:bubble3D val="0"/>
            <c:spPr>
              <a:solidFill>
                <a:srgbClr val="C1268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F0DD-43DE-A4F1-B7D8174B3D0F}"/>
              </c:ext>
            </c:extLst>
          </c:dPt>
          <c:dLbls>
            <c:spPr>
              <a:noFill/>
              <a:ln>
                <a:noFill/>
              </a:ln>
              <a:effectLst/>
            </c:spPr>
            <c:txPr>
              <a:bodyPr rot="0" spcFirstLastPara="1" vertOverflow="ellipsis" vert="horz" wrap="square" lIns="38100" tIns="19050" rIns="38100" bIns="19050" anchor="ctr" anchorCtr="0">
                <a:spAutoFit/>
              </a:bodyPr>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ppt!$A$98:$A$100</c:f>
              <c:numCache>
                <c:formatCode>0</c:formatCode>
                <c:ptCount val="3"/>
                <c:pt idx="0">
                  <c:v>2018</c:v>
                </c:pt>
                <c:pt idx="1">
                  <c:v>2019</c:v>
                </c:pt>
                <c:pt idx="2">
                  <c:v>2020</c:v>
                </c:pt>
              </c:numCache>
            </c:numRef>
          </c:cat>
          <c:val>
            <c:numRef>
              <c:f>ppt!$B$98:$B$100</c:f>
              <c:numCache>
                <c:formatCode>#,##0</c:formatCode>
                <c:ptCount val="3"/>
                <c:pt idx="0">
                  <c:v>4110</c:v>
                </c:pt>
                <c:pt idx="1">
                  <c:v>29740</c:v>
                </c:pt>
                <c:pt idx="2">
                  <c:v>22889</c:v>
                </c:pt>
              </c:numCache>
            </c:numRef>
          </c:val>
          <c:extLst>
            <c:ext xmlns:c16="http://schemas.microsoft.com/office/drawing/2014/chart" uri="{C3380CC4-5D6E-409C-BE32-E72D297353CC}">
              <c16:uniqueId val="{00000006-F0DD-43DE-A4F1-B7D8174B3D0F}"/>
            </c:ext>
          </c:extLst>
        </c:ser>
        <c:dLbls>
          <c:dLblPos val="outEnd"/>
          <c:showLegendKey val="0"/>
          <c:showVal val="1"/>
          <c:showCatName val="0"/>
          <c:showSerName val="0"/>
          <c:showPercent val="0"/>
          <c:showBubbleSize val="0"/>
        </c:dLbls>
        <c:gapWidth val="150"/>
        <c:overlap val="-27"/>
        <c:axId val="92675632"/>
        <c:axId val="84536576"/>
      </c:barChart>
      <c:catAx>
        <c:axId val="9267563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4536576"/>
        <c:crosses val="autoZero"/>
        <c:auto val="1"/>
        <c:lblAlgn val="ctr"/>
        <c:lblOffset val="100"/>
        <c:noMultiLvlLbl val="0"/>
      </c:catAx>
      <c:valAx>
        <c:axId val="84536576"/>
        <c:scaling>
          <c:orientation val="minMax"/>
        </c:scaling>
        <c:delete val="1"/>
        <c:axPos val="l"/>
        <c:numFmt formatCode="#,##0" sourceLinked="1"/>
        <c:majorTickMark val="none"/>
        <c:minorTickMark val="none"/>
        <c:tickLblPos val="nextTo"/>
        <c:crossAx val="926756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248460743766811"/>
          <c:y val="2.4018024693692817E-2"/>
          <c:w val="0.40077741292536806"/>
          <c:h val="0.95196395061261441"/>
        </c:manualLayout>
      </c:layout>
      <c:barChart>
        <c:barDir val="bar"/>
        <c:grouping val="clustered"/>
        <c:varyColors val="0"/>
        <c:ser>
          <c:idx val="0"/>
          <c:order val="0"/>
          <c:spPr>
            <a:solidFill>
              <a:srgbClr val="FEDE8F"/>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ECB53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6EAA-452C-8979-06325917F4E0}"/>
              </c:ext>
            </c:extLst>
          </c:dPt>
          <c:dPt>
            <c:idx val="2"/>
            <c:invertIfNegative val="0"/>
            <c:bubble3D val="0"/>
            <c:spPr>
              <a:solidFill>
                <a:srgbClr val="BAB4B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6EAA-452C-8979-06325917F4E0}"/>
              </c:ext>
            </c:extLst>
          </c:dPt>
          <c:dLbls>
            <c:spPr>
              <a:noFill/>
              <a:ln>
                <a:noFill/>
              </a:ln>
              <a:effectLst/>
            </c:spPr>
            <c:txPr>
              <a:bodyPr rot="0" spcFirstLastPara="1" vertOverflow="ellipsis" vert="horz" wrap="square" lIns="38100" tIns="19050" rIns="38100" bIns="19050" anchor="ctr" anchorCtr="0">
                <a:spAutoFit/>
              </a:bodyPr>
              <a:lstStyle/>
              <a:p>
                <a:pPr algn="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ppt!$A$111:$A$113</c:f>
              <c:strCache>
                <c:ptCount val="3"/>
                <c:pt idx="0">
                  <c:v>Acuerdos de conclusión y archivo del expediente</c:v>
                </c:pt>
                <c:pt idx="1">
                  <c:v>Informes de presunta responsabilidad administrativa</c:v>
                </c:pt>
                <c:pt idx="2">
                  <c:v>Otro tipo de conclusión</c:v>
                </c:pt>
              </c:strCache>
            </c:strRef>
          </c:cat>
          <c:val>
            <c:numRef>
              <c:f>ppt!$B$111:$B$113</c:f>
              <c:numCache>
                <c:formatCode>#,##0</c:formatCode>
                <c:ptCount val="3"/>
                <c:pt idx="0">
                  <c:v>6876</c:v>
                </c:pt>
                <c:pt idx="1">
                  <c:v>1283</c:v>
                </c:pt>
                <c:pt idx="2">
                  <c:v>899</c:v>
                </c:pt>
              </c:numCache>
            </c:numRef>
          </c:val>
          <c:extLst>
            <c:ext xmlns:c16="http://schemas.microsoft.com/office/drawing/2014/chart" uri="{C3380CC4-5D6E-409C-BE32-E72D297353CC}">
              <c16:uniqueId val="{00000004-6EAA-452C-8979-06325917F4E0}"/>
            </c:ext>
          </c:extLst>
        </c:ser>
        <c:dLbls>
          <c:dLblPos val="outEnd"/>
          <c:showLegendKey val="0"/>
          <c:showVal val="1"/>
          <c:showCatName val="0"/>
          <c:showSerName val="0"/>
          <c:showPercent val="0"/>
          <c:showBubbleSize val="0"/>
        </c:dLbls>
        <c:gapWidth val="90"/>
        <c:axId val="1866643136"/>
        <c:axId val="1994739024"/>
      </c:barChart>
      <c:catAx>
        <c:axId val="18666431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994739024"/>
        <c:crosses val="autoZero"/>
        <c:auto val="1"/>
        <c:lblAlgn val="ctr"/>
        <c:lblOffset val="100"/>
        <c:noMultiLvlLbl val="0"/>
      </c:catAx>
      <c:valAx>
        <c:axId val="1994739024"/>
        <c:scaling>
          <c:orientation val="minMax"/>
        </c:scaling>
        <c:delete val="1"/>
        <c:axPos val="t"/>
        <c:numFmt formatCode="#,##0" sourceLinked="1"/>
        <c:majorTickMark val="none"/>
        <c:minorTickMark val="none"/>
        <c:tickLblPos val="nextTo"/>
        <c:crossAx val="1866643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341157642037877E-2"/>
          <c:y val="5.0925925925925923E-2"/>
          <c:w val="0.94131768471592425"/>
          <c:h val="0.69940033537474477"/>
        </c:manualLayout>
      </c:layout>
      <c:lineChart>
        <c:grouping val="standard"/>
        <c:varyColors val="0"/>
        <c:ser>
          <c:idx val="0"/>
          <c:order val="0"/>
          <c:tx>
            <c:strRef>
              <c:f>'control interno'!$F$111</c:f>
              <c:strCache>
                <c:ptCount val="1"/>
                <c:pt idx="0">
                  <c:v>Iniciados</c:v>
                </c:pt>
              </c:strCache>
            </c:strRef>
          </c:tx>
          <c:spPr>
            <a:ln w="31750" cap="rnd">
              <a:solidFill>
                <a:srgbClr val="CE941F"/>
              </a:solidFill>
              <a:round/>
            </a:ln>
            <a:effectLst>
              <a:outerShdw blurRad="50800" dist="38100" dir="2700000" algn="tl" rotWithShape="0">
                <a:prstClr val="black">
                  <a:alpha val="40000"/>
                </a:prstClr>
              </a:outerShdw>
            </a:effectLst>
          </c:spPr>
          <c:marker>
            <c:symbol val="diamond"/>
            <c:size val="7"/>
            <c:spPr>
              <a:solidFill>
                <a:srgbClr val="CE941F"/>
              </a:solidFill>
              <a:ln w="9525">
                <a:solidFill>
                  <a:srgbClr val="CE941F"/>
                </a:solidFill>
              </a:ln>
              <a:effectLst>
                <a:outerShdw blurRad="50800" dist="38100" dir="2700000" algn="tl" rotWithShape="0">
                  <a:prstClr val="black">
                    <a:alpha val="40000"/>
                  </a:prstClr>
                </a:outerShdw>
              </a:effectLst>
            </c:spPr>
          </c:marker>
          <c:dLbls>
            <c:dLbl>
              <c:idx val="2"/>
              <c:layout>
                <c:manualLayout>
                  <c:x val="-3.5626357711803128E-2"/>
                  <c:y val="-4.862581111395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1E-431E-80B5-491E140687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'control interno'!$E$112:$E$114</c:f>
              <c:numCache>
                <c:formatCode>0</c:formatCode>
                <c:ptCount val="3"/>
                <c:pt idx="0">
                  <c:v>2018</c:v>
                </c:pt>
                <c:pt idx="1">
                  <c:v>2019</c:v>
                </c:pt>
                <c:pt idx="2">
                  <c:v>2020</c:v>
                </c:pt>
              </c:numCache>
            </c:numRef>
          </c:cat>
          <c:val>
            <c:numRef>
              <c:f>'control interno'!$F$112:$F$114</c:f>
              <c:numCache>
                <c:formatCode>#,##0</c:formatCode>
                <c:ptCount val="3"/>
                <c:pt idx="0">
                  <c:v>12619</c:v>
                </c:pt>
                <c:pt idx="1">
                  <c:v>15328</c:v>
                </c:pt>
                <c:pt idx="2">
                  <c:v>2869</c:v>
                </c:pt>
              </c:numCache>
            </c:numRef>
          </c:val>
          <c:smooth val="0"/>
          <c:extLst>
            <c:ext xmlns:c16="http://schemas.microsoft.com/office/drawing/2014/chart" uri="{C3380CC4-5D6E-409C-BE32-E72D297353CC}">
              <c16:uniqueId val="{00000001-E51E-431E-80B5-491E140687B2}"/>
            </c:ext>
          </c:extLst>
        </c:ser>
        <c:ser>
          <c:idx val="1"/>
          <c:order val="1"/>
          <c:tx>
            <c:strRef>
              <c:f>'control interno'!$G$111</c:f>
              <c:strCache>
                <c:ptCount val="1"/>
                <c:pt idx="0">
                  <c:v>Concluidos </c:v>
                </c:pt>
              </c:strCache>
            </c:strRef>
          </c:tx>
          <c:spPr>
            <a:ln w="31750" cap="rnd">
              <a:solidFill>
                <a:srgbClr val="C12686"/>
              </a:solidFill>
              <a:round/>
            </a:ln>
            <a:effectLst>
              <a:outerShdw blurRad="50800" dist="38100" dir="2700000" algn="tl" rotWithShape="0">
                <a:prstClr val="black">
                  <a:alpha val="40000"/>
                </a:prstClr>
              </a:outerShdw>
            </a:effectLst>
          </c:spPr>
          <c:marker>
            <c:symbol val="diamond"/>
            <c:size val="6"/>
            <c:spPr>
              <a:solidFill>
                <a:srgbClr val="C12686"/>
              </a:solidFill>
              <a:ln w="9525">
                <a:solidFill>
                  <a:srgbClr val="C12686"/>
                </a:solidFill>
              </a:ln>
              <a:effectLst>
                <a:outerShdw blurRad="50800" dist="38100" dir="2700000" algn="tl" rotWithShape="0">
                  <a:prstClr val="black">
                    <a:alpha val="40000"/>
                  </a:prstClr>
                </a:outerShdw>
              </a:effectLst>
            </c:spPr>
          </c:marker>
          <c:dPt>
            <c:idx val="1"/>
            <c:marker>
              <c:symbol val="diamond"/>
              <c:size val="7"/>
              <c:spPr>
                <a:solidFill>
                  <a:srgbClr val="C12686"/>
                </a:solidFill>
                <a:ln w="9525">
                  <a:solidFill>
                    <a:srgbClr val="C12686"/>
                  </a:solidFill>
                </a:ln>
                <a:effectLst>
                  <a:outerShdw blurRad="50800" dist="38100" dir="2700000" algn="tl" rotWithShape="0">
                    <a:prstClr val="black">
                      <a:alpha val="40000"/>
                    </a:prstClr>
                  </a:outerShdw>
                </a:effectLst>
              </c:spPr>
            </c:marker>
            <c:bubble3D val="0"/>
            <c:extLst>
              <c:ext xmlns:c16="http://schemas.microsoft.com/office/drawing/2014/chart" uri="{C3380CC4-5D6E-409C-BE32-E72D297353CC}">
                <c16:uniqueId val="{00000002-E51E-431E-80B5-491E140687B2}"/>
              </c:ext>
            </c:extLst>
          </c:dPt>
          <c:dLbls>
            <c:dLbl>
              <c:idx val="2"/>
              <c:layout>
                <c:manualLayout>
                  <c:x val="-5.4549843108858314E-3"/>
                  <c:y val="-7.994835970551481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1E-431E-80B5-491E140687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'control interno'!$E$112:$E$114</c:f>
              <c:numCache>
                <c:formatCode>0</c:formatCode>
                <c:ptCount val="3"/>
                <c:pt idx="0">
                  <c:v>2018</c:v>
                </c:pt>
                <c:pt idx="1">
                  <c:v>2019</c:v>
                </c:pt>
                <c:pt idx="2">
                  <c:v>2020</c:v>
                </c:pt>
              </c:numCache>
            </c:numRef>
          </c:cat>
          <c:val>
            <c:numRef>
              <c:f>'control interno'!$G$112:$G$114</c:f>
              <c:numCache>
                <c:formatCode>#,##0</c:formatCode>
                <c:ptCount val="3"/>
                <c:pt idx="1">
                  <c:v>20740</c:v>
                </c:pt>
                <c:pt idx="2">
                  <c:v>2222</c:v>
                </c:pt>
              </c:numCache>
            </c:numRef>
          </c:val>
          <c:smooth val="0"/>
          <c:extLst>
            <c:ext xmlns:c16="http://schemas.microsoft.com/office/drawing/2014/chart" uri="{C3380CC4-5D6E-409C-BE32-E72D297353CC}">
              <c16:uniqueId val="{00000004-E51E-431E-80B5-491E140687B2}"/>
            </c:ext>
          </c:extLst>
        </c:ser>
        <c:dLbls>
          <c:dLblPos val="t"/>
          <c:showLegendKey val="0"/>
          <c:showVal val="1"/>
          <c:showCatName val="0"/>
          <c:showSerName val="0"/>
          <c:showPercent val="0"/>
          <c:showBubbleSize val="0"/>
        </c:dLbls>
        <c:marker val="1"/>
        <c:smooth val="0"/>
        <c:axId val="25804304"/>
        <c:axId val="1994739440"/>
      </c:lineChart>
      <c:catAx>
        <c:axId val="2580430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994739440"/>
        <c:crosses val="autoZero"/>
        <c:auto val="1"/>
        <c:lblAlgn val="ctr"/>
        <c:lblOffset val="100"/>
        <c:noMultiLvlLbl val="0"/>
      </c:catAx>
      <c:valAx>
        <c:axId val="1994739440"/>
        <c:scaling>
          <c:orientation val="minMax"/>
        </c:scaling>
        <c:delete val="1"/>
        <c:axPos val="l"/>
        <c:numFmt formatCode="#,##0" sourceLinked="1"/>
        <c:majorTickMark val="none"/>
        <c:minorTickMark val="none"/>
        <c:tickLblPos val="nextTo"/>
        <c:crossAx val="2580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74954652808621"/>
          <c:y val="5.6497175141242938E-2"/>
          <c:w val="0.40854934646084373"/>
          <c:h val="0.88700564971751417"/>
        </c:manualLayout>
      </c:layout>
      <c:barChart>
        <c:barDir val="bar"/>
        <c:grouping val="clustered"/>
        <c:varyColors val="0"/>
        <c:ser>
          <c:idx val="0"/>
          <c:order val="0"/>
          <c:tx>
            <c:strRef>
              <c:f>'control interno'!$H$119</c:f>
              <c:strCache>
                <c:ptCount val="1"/>
                <c:pt idx="0">
                  <c:v>TOTAL </c:v>
                </c:pt>
              </c:strCache>
            </c:strRef>
          </c:tx>
          <c:spPr>
            <a:solidFill>
              <a:srgbClr val="FEDE8F"/>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E941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C0E6-4EE1-B975-6EE76DB178A5}"/>
              </c:ext>
            </c:extLst>
          </c:dPt>
          <c:dPt>
            <c:idx val="5"/>
            <c:invertIfNegative val="0"/>
            <c:bubble3D val="0"/>
            <c:spPr>
              <a:solidFill>
                <a:srgbClr val="BAB4B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C0E6-4EE1-B975-6EE76DB178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'control interno'!$G$120:$G$125</c:f>
              <c:strCache>
                <c:ptCount val="6"/>
                <c:pt idx="0">
                  <c:v>Resolución de existencia de responsabilidad administrativa 
(faltas no graves)</c:v>
                </c:pt>
                <c:pt idx="1">
                  <c:v>Envío del expediente al Tribunal competente 
(faltas graves)</c:v>
                </c:pt>
                <c:pt idx="2">
                  <c:v>Resolución de no existencia de responsabilidad administrativa
(faltas no graves)</c:v>
                </c:pt>
                <c:pt idx="3">
                  <c:v>Improcedencia</c:v>
                </c:pt>
                <c:pt idx="4">
                  <c:v>Sobreseimiento</c:v>
                </c:pt>
                <c:pt idx="5">
                  <c:v>Otro tipo de conclusión</c:v>
                </c:pt>
              </c:strCache>
            </c:strRef>
          </c:cat>
          <c:val>
            <c:numRef>
              <c:f>'control interno'!$H$120:$H$125</c:f>
              <c:numCache>
                <c:formatCode>#,##0</c:formatCode>
                <c:ptCount val="6"/>
                <c:pt idx="0">
                  <c:v>1483</c:v>
                </c:pt>
                <c:pt idx="1">
                  <c:v>600</c:v>
                </c:pt>
                <c:pt idx="2">
                  <c:v>179</c:v>
                </c:pt>
                <c:pt idx="3">
                  <c:v>97</c:v>
                </c:pt>
                <c:pt idx="4">
                  <c:v>2</c:v>
                </c:pt>
                <c:pt idx="5">
                  <c:v>321</c:v>
                </c:pt>
              </c:numCache>
            </c:numRef>
          </c:val>
          <c:extLst>
            <c:ext xmlns:c16="http://schemas.microsoft.com/office/drawing/2014/chart" uri="{C3380CC4-5D6E-409C-BE32-E72D297353CC}">
              <c16:uniqueId val="{00000004-C0E6-4EE1-B975-6EE76DB178A5}"/>
            </c:ext>
          </c:extLst>
        </c:ser>
        <c:dLbls>
          <c:dLblPos val="outEnd"/>
          <c:showLegendKey val="0"/>
          <c:showVal val="1"/>
          <c:showCatName val="0"/>
          <c:showSerName val="0"/>
          <c:showPercent val="0"/>
          <c:showBubbleSize val="0"/>
        </c:dLbls>
        <c:gapWidth val="50"/>
        <c:axId val="80293840"/>
        <c:axId val="1868298352"/>
      </c:barChart>
      <c:catAx>
        <c:axId val="802938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868298352"/>
        <c:crosses val="autoZero"/>
        <c:auto val="1"/>
        <c:lblAlgn val="ctr"/>
        <c:lblOffset val="100"/>
        <c:noMultiLvlLbl val="0"/>
      </c:catAx>
      <c:valAx>
        <c:axId val="1868298352"/>
        <c:scaling>
          <c:orientation val="minMax"/>
        </c:scaling>
        <c:delete val="1"/>
        <c:axPos val="t"/>
        <c:numFmt formatCode="#,##0" sourceLinked="1"/>
        <c:majorTickMark val="none"/>
        <c:minorTickMark val="none"/>
        <c:tickLblPos val="nextTo"/>
        <c:crossAx val="802938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9.7222222222222224E-2"/>
          <c:w val="0.93888888888888888"/>
          <c:h val="0.66802779064381668"/>
        </c:manualLayout>
      </c:layout>
      <c:barChart>
        <c:barDir val="col"/>
        <c:grouping val="clustered"/>
        <c:varyColors val="0"/>
        <c:ser>
          <c:idx val="0"/>
          <c:order val="0"/>
          <c:tx>
            <c:strRef>
              <c:f>Titulares!$AB$4</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Titulares!$AA$5:$AA$9</c:f>
              <c:numCache>
                <c:formatCode>General</c:formatCode>
                <c:ptCount val="5"/>
                <c:pt idx="0">
                  <c:v>2016</c:v>
                </c:pt>
                <c:pt idx="1">
                  <c:v>2017</c:v>
                </c:pt>
                <c:pt idx="2">
                  <c:v>2018</c:v>
                </c:pt>
                <c:pt idx="3">
                  <c:v>2019</c:v>
                </c:pt>
                <c:pt idx="4">
                  <c:v>2020</c:v>
                </c:pt>
              </c:numCache>
            </c:numRef>
          </c:cat>
          <c:val>
            <c:numRef>
              <c:f>Titulares!$AB$5:$AB$9</c:f>
              <c:numCache>
                <c:formatCode>General</c:formatCode>
                <c:ptCount val="5"/>
                <c:pt idx="0">
                  <c:v>231</c:v>
                </c:pt>
                <c:pt idx="1">
                  <c:v>241</c:v>
                </c:pt>
                <c:pt idx="2">
                  <c:v>215</c:v>
                </c:pt>
                <c:pt idx="3">
                  <c:v>217</c:v>
                </c:pt>
                <c:pt idx="4">
                  <c:v>209</c:v>
                </c:pt>
              </c:numCache>
            </c:numRef>
          </c:val>
          <c:extLst>
            <c:ext xmlns:c16="http://schemas.microsoft.com/office/drawing/2014/chart" uri="{C3380CC4-5D6E-409C-BE32-E72D297353CC}">
              <c16:uniqueId val="{00000000-0EFF-4DA7-B89D-EBF16CB6222A}"/>
            </c:ext>
          </c:extLst>
        </c:ser>
        <c:ser>
          <c:idx val="1"/>
          <c:order val="1"/>
          <c:tx>
            <c:strRef>
              <c:f>Titulares!$AC$4</c:f>
              <c:strCache>
                <c:ptCount val="1"/>
                <c:pt idx="0">
                  <c:v>Mujeres</c:v>
                </c:pt>
              </c:strCache>
            </c:strRef>
          </c:tx>
          <c:spPr>
            <a:solidFill>
              <a:srgbClr val="6F9CC0"/>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Titulares!$AA$5:$AA$9</c:f>
              <c:numCache>
                <c:formatCode>General</c:formatCode>
                <c:ptCount val="5"/>
                <c:pt idx="0">
                  <c:v>2016</c:v>
                </c:pt>
                <c:pt idx="1">
                  <c:v>2017</c:v>
                </c:pt>
                <c:pt idx="2">
                  <c:v>2018</c:v>
                </c:pt>
                <c:pt idx="3">
                  <c:v>2019</c:v>
                </c:pt>
                <c:pt idx="4">
                  <c:v>2020</c:v>
                </c:pt>
              </c:numCache>
            </c:numRef>
          </c:cat>
          <c:val>
            <c:numRef>
              <c:f>Titulares!$AC$5:$AC$9</c:f>
              <c:numCache>
                <c:formatCode>General</c:formatCode>
                <c:ptCount val="5"/>
                <c:pt idx="0">
                  <c:v>50</c:v>
                </c:pt>
                <c:pt idx="1">
                  <c:v>46</c:v>
                </c:pt>
                <c:pt idx="2">
                  <c:v>46</c:v>
                </c:pt>
                <c:pt idx="3">
                  <c:v>67</c:v>
                </c:pt>
                <c:pt idx="4">
                  <c:v>61</c:v>
                </c:pt>
              </c:numCache>
            </c:numRef>
          </c:val>
          <c:extLst>
            <c:ext xmlns:c16="http://schemas.microsoft.com/office/drawing/2014/chart" uri="{C3380CC4-5D6E-409C-BE32-E72D297353CC}">
              <c16:uniqueId val="{00000001-0EFF-4DA7-B89D-EBF16CB6222A}"/>
            </c:ext>
          </c:extLst>
        </c:ser>
        <c:ser>
          <c:idx val="2"/>
          <c:order val="2"/>
          <c:tx>
            <c:strRef>
              <c:f>Titulares!$AD$4</c:f>
              <c:strCache>
                <c:ptCount val="1"/>
                <c:pt idx="0">
                  <c:v>No especificado</c:v>
                </c:pt>
              </c:strCache>
            </c:strRef>
          </c:tx>
          <c:spPr>
            <a:solidFill>
              <a:srgbClr val="706F6F"/>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Titulares!$AA$5:$AA$9</c:f>
              <c:numCache>
                <c:formatCode>General</c:formatCode>
                <c:ptCount val="5"/>
                <c:pt idx="0">
                  <c:v>2016</c:v>
                </c:pt>
                <c:pt idx="1">
                  <c:v>2017</c:v>
                </c:pt>
                <c:pt idx="2">
                  <c:v>2018</c:v>
                </c:pt>
                <c:pt idx="3">
                  <c:v>2019</c:v>
                </c:pt>
                <c:pt idx="4">
                  <c:v>2020</c:v>
                </c:pt>
              </c:numCache>
            </c:numRef>
          </c:cat>
          <c:val>
            <c:numRef>
              <c:f>Titulares!$AD$5:$AD$9</c:f>
              <c:numCache>
                <c:formatCode>General</c:formatCode>
                <c:ptCount val="5"/>
                <c:pt idx="0">
                  <c:v>22</c:v>
                </c:pt>
                <c:pt idx="1">
                  <c:v>24</c:v>
                </c:pt>
                <c:pt idx="2">
                  <c:v>20</c:v>
                </c:pt>
                <c:pt idx="3">
                  <c:v>10</c:v>
                </c:pt>
                <c:pt idx="4">
                  <c:v>6</c:v>
                </c:pt>
              </c:numCache>
            </c:numRef>
          </c:val>
          <c:extLst>
            <c:ext xmlns:c16="http://schemas.microsoft.com/office/drawing/2014/chart" uri="{C3380CC4-5D6E-409C-BE32-E72D297353CC}">
              <c16:uniqueId val="{00000002-0EFF-4DA7-B89D-EBF16CB6222A}"/>
            </c:ext>
          </c:extLst>
        </c:ser>
        <c:dLbls>
          <c:showLegendKey val="0"/>
          <c:showVal val="0"/>
          <c:showCatName val="0"/>
          <c:showSerName val="0"/>
          <c:showPercent val="0"/>
          <c:showBubbleSize val="0"/>
        </c:dLbls>
        <c:gapWidth val="21"/>
        <c:axId val="875221568"/>
        <c:axId val="875221984"/>
      </c:barChart>
      <c:lineChart>
        <c:grouping val="standard"/>
        <c:varyColors val="0"/>
        <c:ser>
          <c:idx val="3"/>
          <c:order val="3"/>
          <c:tx>
            <c:strRef>
              <c:f>Titulares!$AE$4</c:f>
              <c:strCache>
                <c:ptCount val="1"/>
                <c:pt idx="0">
                  <c:v>Total</c:v>
                </c:pt>
              </c:strCache>
            </c:strRef>
          </c:tx>
          <c:spPr>
            <a:ln w="28575" cap="rnd">
              <a:solidFill>
                <a:srgbClr val="CE941F"/>
              </a:solidFill>
              <a:round/>
            </a:ln>
            <a:effectLst>
              <a:outerShdw blurRad="50800" dist="38100" dir="2700000" algn="tl" rotWithShape="0">
                <a:prstClr val="black">
                  <a:alpha val="40000"/>
                </a:prstClr>
              </a:outerShdw>
            </a:effectLst>
          </c:spPr>
          <c:marker>
            <c:symbol val="diamond"/>
            <c:size val="10"/>
            <c:spPr>
              <a:solidFill>
                <a:srgbClr val="CE941F"/>
              </a:solidFill>
              <a:ln w="28575">
                <a:solidFill>
                  <a:srgbClr val="CE941F"/>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Titulares!$AA$5:$AA$9</c:f>
              <c:numCache>
                <c:formatCode>General</c:formatCode>
                <c:ptCount val="5"/>
                <c:pt idx="0">
                  <c:v>2016</c:v>
                </c:pt>
                <c:pt idx="1">
                  <c:v>2017</c:v>
                </c:pt>
                <c:pt idx="2">
                  <c:v>2018</c:v>
                </c:pt>
                <c:pt idx="3">
                  <c:v>2019</c:v>
                </c:pt>
                <c:pt idx="4">
                  <c:v>2020</c:v>
                </c:pt>
              </c:numCache>
            </c:numRef>
          </c:cat>
          <c:val>
            <c:numRef>
              <c:f>Titulares!$AE$5:$AE$9</c:f>
              <c:numCache>
                <c:formatCode>General</c:formatCode>
                <c:ptCount val="5"/>
                <c:pt idx="0">
                  <c:v>320</c:v>
                </c:pt>
                <c:pt idx="1">
                  <c:v>324</c:v>
                </c:pt>
                <c:pt idx="2">
                  <c:v>317</c:v>
                </c:pt>
                <c:pt idx="3">
                  <c:v>313</c:v>
                </c:pt>
                <c:pt idx="4">
                  <c:v>305</c:v>
                </c:pt>
              </c:numCache>
            </c:numRef>
          </c:val>
          <c:smooth val="0"/>
          <c:extLst>
            <c:ext xmlns:c16="http://schemas.microsoft.com/office/drawing/2014/chart" uri="{C3380CC4-5D6E-409C-BE32-E72D297353CC}">
              <c16:uniqueId val="{00000004-0EFF-4DA7-B89D-EBF16CB6222A}"/>
            </c:ext>
          </c:extLst>
        </c:ser>
        <c:dLbls>
          <c:showLegendKey val="0"/>
          <c:showVal val="0"/>
          <c:showCatName val="0"/>
          <c:showSerName val="0"/>
          <c:showPercent val="0"/>
          <c:showBubbleSize val="0"/>
        </c:dLbls>
        <c:marker val="1"/>
        <c:smooth val="0"/>
        <c:axId val="875221568"/>
        <c:axId val="875221984"/>
      </c:lineChart>
      <c:catAx>
        <c:axId val="87522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75221984"/>
        <c:crosses val="autoZero"/>
        <c:auto val="1"/>
        <c:lblAlgn val="ctr"/>
        <c:lblOffset val="100"/>
        <c:noMultiLvlLbl val="0"/>
      </c:catAx>
      <c:valAx>
        <c:axId val="875221984"/>
        <c:scaling>
          <c:orientation val="minMax"/>
        </c:scaling>
        <c:delete val="1"/>
        <c:axPos val="l"/>
        <c:numFmt formatCode="General" sourceLinked="1"/>
        <c:majorTickMark val="none"/>
        <c:minorTickMark val="none"/>
        <c:tickLblPos val="nextTo"/>
        <c:crossAx val="87522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rgbClr val="C12686"/>
              </a:solidFill>
              <a:round/>
            </a:ln>
            <a:effectLst>
              <a:outerShdw blurRad="50800" dist="38100" dir="2700000" algn="tl" rotWithShape="0">
                <a:prstClr val="black">
                  <a:alpha val="40000"/>
                </a:prstClr>
              </a:outerShdw>
            </a:effectLst>
          </c:spPr>
          <c:marker>
            <c:symbol val="diamond"/>
            <c:size val="6"/>
            <c:spPr>
              <a:solidFill>
                <a:srgbClr val="C12686"/>
              </a:solidFill>
              <a:ln w="9525">
                <a:solidFill>
                  <a:srgbClr val="C12686"/>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'control interno'!$C$143:$C$147</c:f>
              <c:numCache>
                <c:formatCode>0</c:formatCode>
                <c:ptCount val="5"/>
                <c:pt idx="0">
                  <c:v>2016</c:v>
                </c:pt>
                <c:pt idx="1">
                  <c:v>2017</c:v>
                </c:pt>
                <c:pt idx="2">
                  <c:v>2018</c:v>
                </c:pt>
                <c:pt idx="3">
                  <c:v>2019</c:v>
                </c:pt>
                <c:pt idx="4">
                  <c:v>2020</c:v>
                </c:pt>
              </c:numCache>
            </c:numRef>
          </c:cat>
          <c:val>
            <c:numRef>
              <c:f>'control interno'!$D$143:$D$147</c:f>
              <c:numCache>
                <c:formatCode>#,##0</c:formatCode>
                <c:ptCount val="5"/>
                <c:pt idx="0">
                  <c:v>37</c:v>
                </c:pt>
                <c:pt idx="1">
                  <c:v>26</c:v>
                </c:pt>
                <c:pt idx="2">
                  <c:v>146</c:v>
                </c:pt>
                <c:pt idx="3">
                  <c:v>88</c:v>
                </c:pt>
                <c:pt idx="4">
                  <c:v>640</c:v>
                </c:pt>
              </c:numCache>
            </c:numRef>
          </c:val>
          <c:smooth val="0"/>
          <c:extLst>
            <c:ext xmlns:c16="http://schemas.microsoft.com/office/drawing/2014/chart" uri="{C3380CC4-5D6E-409C-BE32-E72D297353CC}">
              <c16:uniqueId val="{00000000-3839-4FB3-9385-917B7E66FC4E}"/>
            </c:ext>
          </c:extLst>
        </c:ser>
        <c:dLbls>
          <c:dLblPos val="t"/>
          <c:showLegendKey val="0"/>
          <c:showVal val="1"/>
          <c:showCatName val="0"/>
          <c:showSerName val="0"/>
          <c:showPercent val="0"/>
          <c:showBubbleSize val="0"/>
        </c:dLbls>
        <c:marker val="1"/>
        <c:smooth val="0"/>
        <c:axId val="174385280"/>
        <c:axId val="174800368"/>
      </c:lineChart>
      <c:catAx>
        <c:axId val="17438528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4800368"/>
        <c:crosses val="autoZero"/>
        <c:auto val="1"/>
        <c:lblAlgn val="ctr"/>
        <c:lblOffset val="100"/>
        <c:noMultiLvlLbl val="0"/>
      </c:catAx>
      <c:valAx>
        <c:axId val="174800368"/>
        <c:scaling>
          <c:orientation val="minMax"/>
        </c:scaling>
        <c:delete val="1"/>
        <c:axPos val="l"/>
        <c:numFmt formatCode="#,##0" sourceLinked="1"/>
        <c:majorTickMark val="none"/>
        <c:minorTickMark val="none"/>
        <c:tickLblPos val="nextTo"/>
        <c:crossAx val="174385280"/>
        <c:crosses val="autoZero"/>
        <c:crossBetween val="between"/>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901078679855199"/>
          <c:y val="6.4801178203240065E-2"/>
          <c:w val="0.48406649331284285"/>
          <c:h val="0.8703976435935199"/>
        </c:manualLayout>
      </c:layout>
      <c:barChart>
        <c:barDir val="bar"/>
        <c:grouping val="clustered"/>
        <c:varyColors val="0"/>
        <c:ser>
          <c:idx val="0"/>
          <c:order val="0"/>
          <c:spPr>
            <a:solidFill>
              <a:srgbClr val="6F9CC0"/>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8497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6AD4-4F0B-9267-F857FD6A1344}"/>
              </c:ext>
            </c:extLst>
          </c:dPt>
          <c:dPt>
            <c:idx val="7"/>
            <c:invertIfNegative val="0"/>
            <c:bubble3D val="0"/>
            <c:spPr>
              <a:solidFill>
                <a:srgbClr val="BAB4B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6AD4-4F0B-9267-F857FD6A1344}"/>
              </c:ext>
            </c:extLst>
          </c:dPt>
          <c:dLbls>
            <c:spPr>
              <a:noFill/>
              <a:ln>
                <a:noFill/>
              </a:ln>
              <a:effectLst/>
            </c:spPr>
            <c:txPr>
              <a:bodyPr rot="0" spcFirstLastPara="1" vertOverflow="ellipsis" vert="horz" wrap="square" lIns="38100" tIns="19050" rIns="38100" bIns="19050" anchor="ctr" anchorCtr="0">
                <a:spAutoFit/>
              </a:bodyPr>
              <a:lstStyle/>
              <a:p>
                <a:pPr algn="ct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ppt!$A$150:$A$157</c:f>
              <c:strCache>
                <c:ptCount val="8"/>
                <c:pt idx="0">
                  <c:v>Abuso de autoridad</c:v>
                </c:pt>
                <c:pt idx="1">
                  <c:v>Ejercicio abusivo de funciones</c:v>
                </c:pt>
                <c:pt idx="2">
                  <c:v>Cohecho</c:v>
                </c:pt>
                <c:pt idx="3">
                  <c:v>Ejercicio indebido del servicio público</c:v>
                </c:pt>
                <c:pt idx="4">
                  <c:v>Peculado</c:v>
                </c:pt>
                <c:pt idx="5">
                  <c:v>Enriquecimiento ilícito</c:v>
                </c:pt>
                <c:pt idx="6">
                  <c:v>Tráfico de influencias</c:v>
                </c:pt>
                <c:pt idx="7">
                  <c:v>Otros presuntos delitos </c:v>
                </c:pt>
              </c:strCache>
            </c:strRef>
          </c:cat>
          <c:val>
            <c:numRef>
              <c:f>ppt!$B$150:$B$157</c:f>
              <c:numCache>
                <c:formatCode>#,##0</c:formatCode>
                <c:ptCount val="8"/>
                <c:pt idx="0">
                  <c:v>118</c:v>
                </c:pt>
                <c:pt idx="1">
                  <c:v>63</c:v>
                </c:pt>
                <c:pt idx="2">
                  <c:v>38</c:v>
                </c:pt>
                <c:pt idx="3">
                  <c:v>32</c:v>
                </c:pt>
                <c:pt idx="4">
                  <c:v>19</c:v>
                </c:pt>
                <c:pt idx="5">
                  <c:v>15</c:v>
                </c:pt>
                <c:pt idx="6">
                  <c:v>13</c:v>
                </c:pt>
                <c:pt idx="7">
                  <c:v>342</c:v>
                </c:pt>
              </c:numCache>
            </c:numRef>
          </c:val>
          <c:extLst>
            <c:ext xmlns:c16="http://schemas.microsoft.com/office/drawing/2014/chart" uri="{C3380CC4-5D6E-409C-BE32-E72D297353CC}">
              <c16:uniqueId val="{00000004-6AD4-4F0B-9267-F857FD6A1344}"/>
            </c:ext>
          </c:extLst>
        </c:ser>
        <c:dLbls>
          <c:dLblPos val="outEnd"/>
          <c:showLegendKey val="0"/>
          <c:showVal val="1"/>
          <c:showCatName val="0"/>
          <c:showSerName val="0"/>
          <c:showPercent val="0"/>
          <c:showBubbleSize val="0"/>
        </c:dLbls>
        <c:gapWidth val="50"/>
        <c:axId val="42254080"/>
        <c:axId val="174822832"/>
      </c:barChart>
      <c:catAx>
        <c:axId val="42254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lang="es-MX"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74822832"/>
        <c:crosses val="autoZero"/>
        <c:auto val="1"/>
        <c:lblAlgn val="ctr"/>
        <c:lblOffset val="100"/>
        <c:noMultiLvlLbl val="0"/>
      </c:catAx>
      <c:valAx>
        <c:axId val="174822832"/>
        <c:scaling>
          <c:orientation val="minMax"/>
        </c:scaling>
        <c:delete val="1"/>
        <c:axPos val="t"/>
        <c:numFmt formatCode="#,##0" sourceLinked="1"/>
        <c:majorTickMark val="none"/>
        <c:minorTickMark val="none"/>
        <c:tickLblPos val="nextTo"/>
        <c:crossAx val="4225408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175405631114291"/>
          <c:y val="2.5889965238505515E-2"/>
          <c:w val="0.52632153599571774"/>
          <c:h val="0.89655893265884756"/>
        </c:manualLayout>
      </c:layout>
      <c:barChart>
        <c:barDir val="bar"/>
        <c:grouping val="stacked"/>
        <c:varyColors val="0"/>
        <c:ser>
          <c:idx val="0"/>
          <c:order val="0"/>
          <c:tx>
            <c:strRef>
              <c:f>Titulares!$BD$4</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dLbl>
              <c:idx val="26"/>
              <c:delete val="1"/>
              <c:extLst>
                <c:ext xmlns:c15="http://schemas.microsoft.com/office/drawing/2012/chart" uri="{CE6537A1-D6FC-4f65-9D91-7224C49458BB}"/>
                <c:ext xmlns:c16="http://schemas.microsoft.com/office/drawing/2014/chart" uri="{C3380CC4-5D6E-409C-BE32-E72D297353CC}">
                  <c16:uniqueId val="{00000000-29FF-462B-BAB6-6D0B10A6A9D4}"/>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Titulares!$BC$5:$BC$31</c:f>
              <c:strCache>
                <c:ptCount val="27"/>
                <c:pt idx="0">
                  <c:v>Presidencia de la República</c:v>
                </c:pt>
                <c:pt idx="1">
                  <c:v>Asuntos indígenas</c:v>
                </c:pt>
                <c:pt idx="2">
                  <c:v>Asuntos jurídicos</c:v>
                </c:pt>
                <c:pt idx="3">
                  <c:v>Cultura física y/o deporte</c:v>
                </c:pt>
                <c:pt idx="4">
                  <c:v>Despacho del ejecutivo</c:v>
                </c:pt>
                <c:pt idx="5">
                  <c:v>Protección civil</c:v>
                </c:pt>
                <c:pt idx="6">
                  <c:v>Protección y seguridad social</c:v>
                </c:pt>
                <c:pt idx="7">
                  <c:v>Reinserción social</c:v>
                </c:pt>
                <c:pt idx="8">
                  <c:v>Seguridad nacional</c:v>
                </c:pt>
                <c:pt idx="9">
                  <c:v>Turismo</c:v>
                </c:pt>
                <c:pt idx="10">
                  <c:v>Comunicaciones y transportes</c:v>
                </c:pt>
                <c:pt idx="11">
                  <c:v>Combustibles y energía</c:v>
                </c:pt>
                <c:pt idx="12">
                  <c:v>Relaciones exteriores</c:v>
                </c:pt>
                <c:pt idx="13">
                  <c:v>Seguridad pública o seguridad ciudadana</c:v>
                </c:pt>
                <c:pt idx="14">
                  <c:v>Asuntos financieros y hacendarios</c:v>
                </c:pt>
                <c:pt idx="15">
                  <c:v>Ciencia, tecnología e innovación</c:v>
                </c:pt>
                <c:pt idx="16">
                  <c:v>Agricultura y desarrollo rural</c:v>
                </c:pt>
                <c:pt idx="17">
                  <c:v>Salud</c:v>
                </c:pt>
                <c:pt idx="18">
                  <c:v>Economía</c:v>
                </c:pt>
                <c:pt idx="19">
                  <c:v>Desarrollo agrario, territorial, urbano y vivienda</c:v>
                </c:pt>
                <c:pt idx="20">
                  <c:v>Desarrollo social</c:v>
                </c:pt>
                <c:pt idx="21">
                  <c:v>Función pública</c:v>
                </c:pt>
                <c:pt idx="22">
                  <c:v>Educación</c:v>
                </c:pt>
                <c:pt idx="23">
                  <c:v>Arte, cultura y otras manifestaciones sociales</c:v>
                </c:pt>
                <c:pt idx="24">
                  <c:v>Gobierno y política interior</c:v>
                </c:pt>
                <c:pt idx="25">
                  <c:v>Trabajo</c:v>
                </c:pt>
                <c:pt idx="26">
                  <c:v>Igualdad de género y/o derechos de las mujeres</c:v>
                </c:pt>
              </c:strCache>
            </c:strRef>
          </c:cat>
          <c:val>
            <c:numRef>
              <c:f>Titulares!$BD$5:$BD$31</c:f>
              <c:numCache>
                <c:formatCode>0.0%</c:formatCode>
                <c:ptCount val="27"/>
                <c:pt idx="0">
                  <c:v>1</c:v>
                </c:pt>
                <c:pt idx="1">
                  <c:v>1</c:v>
                </c:pt>
                <c:pt idx="2">
                  <c:v>1</c:v>
                </c:pt>
                <c:pt idx="3">
                  <c:v>1</c:v>
                </c:pt>
                <c:pt idx="4">
                  <c:v>1</c:v>
                </c:pt>
                <c:pt idx="5">
                  <c:v>1</c:v>
                </c:pt>
                <c:pt idx="6">
                  <c:v>1</c:v>
                </c:pt>
                <c:pt idx="7">
                  <c:v>1</c:v>
                </c:pt>
                <c:pt idx="8">
                  <c:v>1</c:v>
                </c:pt>
                <c:pt idx="9">
                  <c:v>1</c:v>
                </c:pt>
                <c:pt idx="10">
                  <c:v>0.88888888888888884</c:v>
                </c:pt>
                <c:pt idx="11">
                  <c:v>0.85185185185185186</c:v>
                </c:pt>
                <c:pt idx="12">
                  <c:v>0.83333333333333337</c:v>
                </c:pt>
                <c:pt idx="13">
                  <c:v>0.8</c:v>
                </c:pt>
                <c:pt idx="14">
                  <c:v>0.77777777777777779</c:v>
                </c:pt>
                <c:pt idx="15">
                  <c:v>0.77777777777777779</c:v>
                </c:pt>
                <c:pt idx="16">
                  <c:v>0.76470588235294112</c:v>
                </c:pt>
                <c:pt idx="17">
                  <c:v>0.76315789473684215</c:v>
                </c:pt>
                <c:pt idx="18">
                  <c:v>0.75</c:v>
                </c:pt>
                <c:pt idx="19">
                  <c:v>0.7142857142857143</c:v>
                </c:pt>
                <c:pt idx="20">
                  <c:v>0.7142857142857143</c:v>
                </c:pt>
                <c:pt idx="21">
                  <c:v>0.66666666666666663</c:v>
                </c:pt>
                <c:pt idx="22">
                  <c:v>0.62962962962962965</c:v>
                </c:pt>
                <c:pt idx="23">
                  <c:v>0.6</c:v>
                </c:pt>
                <c:pt idx="24">
                  <c:v>0.57894736842105265</c:v>
                </c:pt>
                <c:pt idx="25">
                  <c:v>0.5</c:v>
                </c:pt>
                <c:pt idx="26">
                  <c:v>0</c:v>
                </c:pt>
              </c:numCache>
            </c:numRef>
          </c:val>
          <c:extLst>
            <c:ext xmlns:c16="http://schemas.microsoft.com/office/drawing/2014/chart" uri="{C3380CC4-5D6E-409C-BE32-E72D297353CC}">
              <c16:uniqueId val="{00000001-29FF-462B-BAB6-6D0B10A6A9D4}"/>
            </c:ext>
          </c:extLst>
        </c:ser>
        <c:ser>
          <c:idx val="1"/>
          <c:order val="1"/>
          <c:tx>
            <c:strRef>
              <c:f>Titulares!$BE$4</c:f>
              <c:strCache>
                <c:ptCount val="1"/>
                <c:pt idx="0">
                  <c:v>Mujeres</c:v>
                </c:pt>
              </c:strCache>
            </c:strRef>
          </c:tx>
          <c:spPr>
            <a:solidFill>
              <a:srgbClr val="6F9CC0"/>
            </a:solidFill>
            <a:ln>
              <a:noFill/>
            </a:ln>
            <a:effectLst>
              <a:outerShdw blurRad="50800" dist="38100" dir="2700000" algn="tl" rotWithShape="0">
                <a:prstClr val="black">
                  <a:alpha val="40000"/>
                </a:prstClr>
              </a:outerShdw>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29FF-462B-BAB6-6D0B10A6A9D4}"/>
                </c:ext>
              </c:extLst>
            </c:dLbl>
            <c:dLbl>
              <c:idx val="1"/>
              <c:delete val="1"/>
              <c:extLst>
                <c:ext xmlns:c15="http://schemas.microsoft.com/office/drawing/2012/chart" uri="{CE6537A1-D6FC-4f65-9D91-7224C49458BB}"/>
                <c:ext xmlns:c16="http://schemas.microsoft.com/office/drawing/2014/chart" uri="{C3380CC4-5D6E-409C-BE32-E72D297353CC}">
                  <c16:uniqueId val="{00000003-29FF-462B-BAB6-6D0B10A6A9D4}"/>
                </c:ext>
              </c:extLst>
            </c:dLbl>
            <c:dLbl>
              <c:idx val="2"/>
              <c:delete val="1"/>
              <c:extLst>
                <c:ext xmlns:c15="http://schemas.microsoft.com/office/drawing/2012/chart" uri="{CE6537A1-D6FC-4f65-9D91-7224C49458BB}"/>
                <c:ext xmlns:c16="http://schemas.microsoft.com/office/drawing/2014/chart" uri="{C3380CC4-5D6E-409C-BE32-E72D297353CC}">
                  <c16:uniqueId val="{00000004-29FF-462B-BAB6-6D0B10A6A9D4}"/>
                </c:ext>
              </c:extLst>
            </c:dLbl>
            <c:dLbl>
              <c:idx val="3"/>
              <c:delete val="1"/>
              <c:extLst>
                <c:ext xmlns:c15="http://schemas.microsoft.com/office/drawing/2012/chart" uri="{CE6537A1-D6FC-4f65-9D91-7224C49458BB}"/>
                <c:ext xmlns:c16="http://schemas.microsoft.com/office/drawing/2014/chart" uri="{C3380CC4-5D6E-409C-BE32-E72D297353CC}">
                  <c16:uniqueId val="{00000005-29FF-462B-BAB6-6D0B10A6A9D4}"/>
                </c:ext>
              </c:extLst>
            </c:dLbl>
            <c:dLbl>
              <c:idx val="4"/>
              <c:delete val="1"/>
              <c:extLst>
                <c:ext xmlns:c15="http://schemas.microsoft.com/office/drawing/2012/chart" uri="{CE6537A1-D6FC-4f65-9D91-7224C49458BB}"/>
                <c:ext xmlns:c16="http://schemas.microsoft.com/office/drawing/2014/chart" uri="{C3380CC4-5D6E-409C-BE32-E72D297353CC}">
                  <c16:uniqueId val="{00000006-29FF-462B-BAB6-6D0B10A6A9D4}"/>
                </c:ext>
              </c:extLst>
            </c:dLbl>
            <c:dLbl>
              <c:idx val="5"/>
              <c:delete val="1"/>
              <c:extLst>
                <c:ext xmlns:c15="http://schemas.microsoft.com/office/drawing/2012/chart" uri="{CE6537A1-D6FC-4f65-9D91-7224C49458BB}"/>
                <c:ext xmlns:c16="http://schemas.microsoft.com/office/drawing/2014/chart" uri="{C3380CC4-5D6E-409C-BE32-E72D297353CC}">
                  <c16:uniqueId val="{00000007-29FF-462B-BAB6-6D0B10A6A9D4}"/>
                </c:ext>
              </c:extLst>
            </c:dLbl>
            <c:dLbl>
              <c:idx val="6"/>
              <c:delete val="1"/>
              <c:extLst>
                <c:ext xmlns:c15="http://schemas.microsoft.com/office/drawing/2012/chart" uri="{CE6537A1-D6FC-4f65-9D91-7224C49458BB}"/>
                <c:ext xmlns:c16="http://schemas.microsoft.com/office/drawing/2014/chart" uri="{C3380CC4-5D6E-409C-BE32-E72D297353CC}">
                  <c16:uniqueId val="{00000008-29FF-462B-BAB6-6D0B10A6A9D4}"/>
                </c:ext>
              </c:extLst>
            </c:dLbl>
            <c:dLbl>
              <c:idx val="7"/>
              <c:delete val="1"/>
              <c:extLst>
                <c:ext xmlns:c15="http://schemas.microsoft.com/office/drawing/2012/chart" uri="{CE6537A1-D6FC-4f65-9D91-7224C49458BB}"/>
                <c:ext xmlns:c16="http://schemas.microsoft.com/office/drawing/2014/chart" uri="{C3380CC4-5D6E-409C-BE32-E72D297353CC}">
                  <c16:uniqueId val="{00000009-29FF-462B-BAB6-6D0B10A6A9D4}"/>
                </c:ext>
              </c:extLst>
            </c:dLbl>
            <c:dLbl>
              <c:idx val="8"/>
              <c:delete val="1"/>
              <c:extLst>
                <c:ext xmlns:c15="http://schemas.microsoft.com/office/drawing/2012/chart" uri="{CE6537A1-D6FC-4f65-9D91-7224C49458BB}"/>
                <c:ext xmlns:c16="http://schemas.microsoft.com/office/drawing/2014/chart" uri="{C3380CC4-5D6E-409C-BE32-E72D297353CC}">
                  <c16:uniqueId val="{0000000A-29FF-462B-BAB6-6D0B10A6A9D4}"/>
                </c:ext>
              </c:extLst>
            </c:dLbl>
            <c:dLbl>
              <c:idx val="9"/>
              <c:delete val="1"/>
              <c:extLst>
                <c:ext xmlns:c15="http://schemas.microsoft.com/office/drawing/2012/chart" uri="{CE6537A1-D6FC-4f65-9D91-7224C49458BB}"/>
                <c:ext xmlns:c16="http://schemas.microsoft.com/office/drawing/2014/chart" uri="{C3380CC4-5D6E-409C-BE32-E72D297353CC}">
                  <c16:uniqueId val="{0000000B-29FF-462B-BAB6-6D0B10A6A9D4}"/>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Titulares!$BC$5:$BC$31</c:f>
              <c:strCache>
                <c:ptCount val="27"/>
                <c:pt idx="0">
                  <c:v>Presidencia de la República</c:v>
                </c:pt>
                <c:pt idx="1">
                  <c:v>Asuntos indígenas</c:v>
                </c:pt>
                <c:pt idx="2">
                  <c:v>Asuntos jurídicos</c:v>
                </c:pt>
                <c:pt idx="3">
                  <c:v>Cultura física y/o deporte</c:v>
                </c:pt>
                <c:pt idx="4">
                  <c:v>Despacho del ejecutivo</c:v>
                </c:pt>
                <c:pt idx="5">
                  <c:v>Protección civil</c:v>
                </c:pt>
                <c:pt idx="6">
                  <c:v>Protección y seguridad social</c:v>
                </c:pt>
                <c:pt idx="7">
                  <c:v>Reinserción social</c:v>
                </c:pt>
                <c:pt idx="8">
                  <c:v>Seguridad nacional</c:v>
                </c:pt>
                <c:pt idx="9">
                  <c:v>Turismo</c:v>
                </c:pt>
                <c:pt idx="10">
                  <c:v>Comunicaciones y transportes</c:v>
                </c:pt>
                <c:pt idx="11">
                  <c:v>Combustibles y energía</c:v>
                </c:pt>
                <c:pt idx="12">
                  <c:v>Relaciones exteriores</c:v>
                </c:pt>
                <c:pt idx="13">
                  <c:v>Seguridad pública o seguridad ciudadana</c:v>
                </c:pt>
                <c:pt idx="14">
                  <c:v>Asuntos financieros y hacendarios</c:v>
                </c:pt>
                <c:pt idx="15">
                  <c:v>Ciencia, tecnología e innovación</c:v>
                </c:pt>
                <c:pt idx="16">
                  <c:v>Agricultura y desarrollo rural</c:v>
                </c:pt>
                <c:pt idx="17">
                  <c:v>Salud</c:v>
                </c:pt>
                <c:pt idx="18">
                  <c:v>Economía</c:v>
                </c:pt>
                <c:pt idx="19">
                  <c:v>Desarrollo agrario, territorial, urbano y vivienda</c:v>
                </c:pt>
                <c:pt idx="20">
                  <c:v>Desarrollo social</c:v>
                </c:pt>
                <c:pt idx="21">
                  <c:v>Función pública</c:v>
                </c:pt>
                <c:pt idx="22">
                  <c:v>Educación</c:v>
                </c:pt>
                <c:pt idx="23">
                  <c:v>Arte, cultura y otras manifestaciones sociales</c:v>
                </c:pt>
                <c:pt idx="24">
                  <c:v>Gobierno y política interior</c:v>
                </c:pt>
                <c:pt idx="25">
                  <c:v>Trabajo</c:v>
                </c:pt>
                <c:pt idx="26">
                  <c:v>Igualdad de género y/o derechos de las mujeres</c:v>
                </c:pt>
              </c:strCache>
            </c:strRef>
          </c:cat>
          <c:val>
            <c:numRef>
              <c:f>Titulares!$BE$5:$BE$31</c:f>
              <c:numCache>
                <c:formatCode>0.0%</c:formatCode>
                <c:ptCount val="27"/>
                <c:pt idx="0">
                  <c:v>0</c:v>
                </c:pt>
                <c:pt idx="1">
                  <c:v>0</c:v>
                </c:pt>
                <c:pt idx="2">
                  <c:v>0</c:v>
                </c:pt>
                <c:pt idx="3">
                  <c:v>0</c:v>
                </c:pt>
                <c:pt idx="4">
                  <c:v>0</c:v>
                </c:pt>
                <c:pt idx="5">
                  <c:v>0</c:v>
                </c:pt>
                <c:pt idx="6">
                  <c:v>0</c:v>
                </c:pt>
                <c:pt idx="7">
                  <c:v>0</c:v>
                </c:pt>
                <c:pt idx="8">
                  <c:v>0</c:v>
                </c:pt>
                <c:pt idx="9">
                  <c:v>0</c:v>
                </c:pt>
                <c:pt idx="10">
                  <c:v>0.1111111111111111</c:v>
                </c:pt>
                <c:pt idx="11">
                  <c:v>0.14814814814814814</c:v>
                </c:pt>
                <c:pt idx="12">
                  <c:v>0.16666666666666666</c:v>
                </c:pt>
                <c:pt idx="13">
                  <c:v>0.2</c:v>
                </c:pt>
                <c:pt idx="14">
                  <c:v>0.16666666666666666</c:v>
                </c:pt>
                <c:pt idx="15">
                  <c:v>0.22222222222222221</c:v>
                </c:pt>
                <c:pt idx="16">
                  <c:v>5.8823529411764705E-2</c:v>
                </c:pt>
                <c:pt idx="17">
                  <c:v>0.23684210526315788</c:v>
                </c:pt>
                <c:pt idx="18">
                  <c:v>0.25</c:v>
                </c:pt>
                <c:pt idx="19">
                  <c:v>0.2857142857142857</c:v>
                </c:pt>
                <c:pt idx="20">
                  <c:v>0.2857142857142857</c:v>
                </c:pt>
                <c:pt idx="21">
                  <c:v>0.33333333333333331</c:v>
                </c:pt>
                <c:pt idx="22">
                  <c:v>0.33333333333333331</c:v>
                </c:pt>
                <c:pt idx="23">
                  <c:v>0.4</c:v>
                </c:pt>
                <c:pt idx="24">
                  <c:v>0.42105263157894735</c:v>
                </c:pt>
                <c:pt idx="25">
                  <c:v>0.33333333333333331</c:v>
                </c:pt>
                <c:pt idx="26">
                  <c:v>1</c:v>
                </c:pt>
              </c:numCache>
            </c:numRef>
          </c:val>
          <c:extLst>
            <c:ext xmlns:c16="http://schemas.microsoft.com/office/drawing/2014/chart" uri="{C3380CC4-5D6E-409C-BE32-E72D297353CC}">
              <c16:uniqueId val="{0000000C-29FF-462B-BAB6-6D0B10A6A9D4}"/>
            </c:ext>
          </c:extLst>
        </c:ser>
        <c:ser>
          <c:idx val="2"/>
          <c:order val="2"/>
          <c:tx>
            <c:strRef>
              <c:f>Titulares!$BF$4</c:f>
              <c:strCache>
                <c:ptCount val="1"/>
                <c:pt idx="0">
                  <c:v>No especificado</c:v>
                </c:pt>
              </c:strCache>
            </c:strRef>
          </c:tx>
          <c:spPr>
            <a:solidFill>
              <a:srgbClr val="BAB4B4"/>
            </a:solidFill>
            <a:ln>
              <a:noFill/>
            </a:ln>
            <a:effectLst>
              <a:outerShdw blurRad="50800" dist="38100" dir="2700000" algn="tl" rotWithShape="0">
                <a:prstClr val="black">
                  <a:alpha val="40000"/>
                </a:prstClr>
              </a:outerShdw>
            </a:effectLst>
          </c:spPr>
          <c:invertIfNegative val="0"/>
          <c:dLbls>
            <c:dLbl>
              <c:idx val="14"/>
              <c:layout>
                <c:manualLayout>
                  <c:x val="4.040042515346738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9FF-462B-BAB6-6D0B10A6A9D4}"/>
                </c:ext>
              </c:extLst>
            </c:dLbl>
            <c:dLbl>
              <c:idx val="1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9FF-462B-BAB6-6D0B10A6A9D4}"/>
                </c:ext>
              </c:extLst>
            </c:dLbl>
            <c:dLbl>
              <c:idx val="22"/>
              <c:layout>
                <c:manualLayout>
                  <c:x val="3.6170437373014459E-2"/>
                  <c:y val="1.8532544918082654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9FF-462B-BAB6-6D0B10A6A9D4}"/>
                </c:ext>
              </c:extLst>
            </c:dLbl>
            <c:dLbl>
              <c:idx val="2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9FF-462B-BAB6-6D0B10A6A9D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Titulares!$BC$5:$BC$31</c:f>
              <c:strCache>
                <c:ptCount val="27"/>
                <c:pt idx="0">
                  <c:v>Presidencia de la República</c:v>
                </c:pt>
                <c:pt idx="1">
                  <c:v>Asuntos indígenas</c:v>
                </c:pt>
                <c:pt idx="2">
                  <c:v>Asuntos jurídicos</c:v>
                </c:pt>
                <c:pt idx="3">
                  <c:v>Cultura física y/o deporte</c:v>
                </c:pt>
                <c:pt idx="4">
                  <c:v>Despacho del ejecutivo</c:v>
                </c:pt>
                <c:pt idx="5">
                  <c:v>Protección civil</c:v>
                </c:pt>
                <c:pt idx="6">
                  <c:v>Protección y seguridad social</c:v>
                </c:pt>
                <c:pt idx="7">
                  <c:v>Reinserción social</c:v>
                </c:pt>
                <c:pt idx="8">
                  <c:v>Seguridad nacional</c:v>
                </c:pt>
                <c:pt idx="9">
                  <c:v>Turismo</c:v>
                </c:pt>
                <c:pt idx="10">
                  <c:v>Comunicaciones y transportes</c:v>
                </c:pt>
                <c:pt idx="11">
                  <c:v>Combustibles y energía</c:v>
                </c:pt>
                <c:pt idx="12">
                  <c:v>Relaciones exteriores</c:v>
                </c:pt>
                <c:pt idx="13">
                  <c:v>Seguridad pública o seguridad ciudadana</c:v>
                </c:pt>
                <c:pt idx="14">
                  <c:v>Asuntos financieros y hacendarios</c:v>
                </c:pt>
                <c:pt idx="15">
                  <c:v>Ciencia, tecnología e innovación</c:v>
                </c:pt>
                <c:pt idx="16">
                  <c:v>Agricultura y desarrollo rural</c:v>
                </c:pt>
                <c:pt idx="17">
                  <c:v>Salud</c:v>
                </c:pt>
                <c:pt idx="18">
                  <c:v>Economía</c:v>
                </c:pt>
                <c:pt idx="19">
                  <c:v>Desarrollo agrario, territorial, urbano y vivienda</c:v>
                </c:pt>
                <c:pt idx="20">
                  <c:v>Desarrollo social</c:v>
                </c:pt>
                <c:pt idx="21">
                  <c:v>Función pública</c:v>
                </c:pt>
                <c:pt idx="22">
                  <c:v>Educación</c:v>
                </c:pt>
                <c:pt idx="23">
                  <c:v>Arte, cultura y otras manifestaciones sociales</c:v>
                </c:pt>
                <c:pt idx="24">
                  <c:v>Gobierno y política interior</c:v>
                </c:pt>
                <c:pt idx="25">
                  <c:v>Trabajo</c:v>
                </c:pt>
                <c:pt idx="26">
                  <c:v>Igualdad de género y/o derechos de las mujeres</c:v>
                </c:pt>
              </c:strCache>
            </c:strRef>
          </c:cat>
          <c:val>
            <c:numRef>
              <c:f>Titulares!$BF$5:$BF$31</c:f>
              <c:numCache>
                <c:formatCode>0.0%</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5.5E-2</c:v>
                </c:pt>
                <c:pt idx="15">
                  <c:v>0</c:v>
                </c:pt>
                <c:pt idx="16">
                  <c:v>0.17647058823529413</c:v>
                </c:pt>
                <c:pt idx="17">
                  <c:v>0</c:v>
                </c:pt>
                <c:pt idx="18">
                  <c:v>0</c:v>
                </c:pt>
                <c:pt idx="19">
                  <c:v>0</c:v>
                </c:pt>
                <c:pt idx="20">
                  <c:v>0</c:v>
                </c:pt>
                <c:pt idx="21">
                  <c:v>0</c:v>
                </c:pt>
                <c:pt idx="22">
                  <c:v>3.7037037037037035E-2</c:v>
                </c:pt>
                <c:pt idx="23">
                  <c:v>0</c:v>
                </c:pt>
                <c:pt idx="24">
                  <c:v>0</c:v>
                </c:pt>
                <c:pt idx="25">
                  <c:v>0.16666666666666666</c:v>
                </c:pt>
                <c:pt idx="26">
                  <c:v>0</c:v>
                </c:pt>
              </c:numCache>
            </c:numRef>
          </c:val>
          <c:extLst>
            <c:ext xmlns:c16="http://schemas.microsoft.com/office/drawing/2014/chart" uri="{C3380CC4-5D6E-409C-BE32-E72D297353CC}">
              <c16:uniqueId val="{00000011-29FF-462B-BAB6-6D0B10A6A9D4}"/>
            </c:ext>
          </c:extLst>
        </c:ser>
        <c:dLbls>
          <c:showLegendKey val="0"/>
          <c:showVal val="0"/>
          <c:showCatName val="0"/>
          <c:showSerName val="0"/>
          <c:showPercent val="0"/>
          <c:showBubbleSize val="0"/>
        </c:dLbls>
        <c:gapWidth val="70"/>
        <c:overlap val="100"/>
        <c:axId val="636114528"/>
        <c:axId val="636115776"/>
      </c:barChart>
      <c:catAx>
        <c:axId val="6361145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36115776"/>
        <c:crosses val="autoZero"/>
        <c:auto val="1"/>
        <c:lblAlgn val="ctr"/>
        <c:lblOffset val="100"/>
        <c:noMultiLvlLbl val="0"/>
      </c:catAx>
      <c:valAx>
        <c:axId val="636115776"/>
        <c:scaling>
          <c:orientation val="minMax"/>
          <c:max val="1"/>
        </c:scaling>
        <c:delete val="1"/>
        <c:axPos val="t"/>
        <c:numFmt formatCode="0.0%" sourceLinked="1"/>
        <c:majorTickMark val="none"/>
        <c:minorTickMark val="none"/>
        <c:tickLblPos val="nextTo"/>
        <c:crossAx val="636114528"/>
        <c:crosses val="autoZero"/>
        <c:crossBetween val="between"/>
      </c:valAx>
      <c:spPr>
        <a:noFill/>
        <a:ln>
          <a:noFill/>
        </a:ln>
        <a:effectLst/>
      </c:spPr>
    </c:plotArea>
    <c:legend>
      <c:legendPos val="b"/>
      <c:layout>
        <c:manualLayout>
          <c:xMode val="edge"/>
          <c:yMode val="edge"/>
          <c:x val="0.42698241804363096"/>
          <c:y val="0.9417011220211019"/>
          <c:w val="0.37005973181509899"/>
          <c:h val="4.236262299881837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6031894883776"/>
          <c:y val="1.4330828509450019E-2"/>
          <c:w val="0.62084025418195787"/>
          <c:h val="0.93216972488336414"/>
        </c:manualLayout>
      </c:layout>
      <c:barChart>
        <c:barDir val="bar"/>
        <c:grouping val="stacked"/>
        <c:varyColors val="0"/>
        <c:ser>
          <c:idx val="0"/>
          <c:order val="0"/>
          <c:tx>
            <c:strRef>
              <c:f>Titulares!$BU$31</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dLbl>
              <c:idx val="0"/>
              <c:layout>
                <c:manualLayout>
                  <c:x val="-4.1666666666666664E-2"/>
                  <c:y val="-2.1218890680033321E-17"/>
                </c:manualLayout>
              </c:layout>
              <c:tx>
                <c:rich>
                  <a:bodyPr/>
                  <a:lstStyle/>
                  <a:p>
                    <a:r>
                      <a:rPr lang="en-US"/>
                      <a:t>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F7-47D8-A0A2-8F78399EA986}"/>
                </c:ext>
              </c:extLst>
            </c:dLbl>
            <c:dLbl>
              <c:idx val="1"/>
              <c:layout>
                <c:manualLayout>
                  <c:x val="-4.4444444444444446E-2"/>
                  <c:y val="0"/>
                </c:manualLayout>
              </c:layout>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F7-47D8-A0A2-8F78399EA986}"/>
                </c:ext>
              </c:extLst>
            </c:dLbl>
            <c:dLbl>
              <c:idx val="2"/>
              <c:tx>
                <c:rich>
                  <a:bodyPr/>
                  <a:lstStyle/>
                  <a:p>
                    <a:r>
                      <a:rPr lang="en-US"/>
                      <a:t>8.6%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F7-47D8-A0A2-8F78399EA986}"/>
                </c:ext>
              </c:extLst>
            </c:dLbl>
            <c:dLbl>
              <c:idx val="3"/>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29.2%</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F7-47D8-A0A2-8F78399EA986}"/>
                </c:ext>
              </c:extLst>
            </c:dLbl>
            <c:dLbl>
              <c:idx val="4"/>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57.4%</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F7-47D8-A0A2-8F78399EA98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Titulares!$BT$32:$BT$36</c:f>
              <c:strCache>
                <c:ptCount val="5"/>
                <c:pt idx="0">
                  <c:v>27 a 29 años</c:v>
                </c:pt>
                <c:pt idx="1">
                  <c:v>30 a 39 años</c:v>
                </c:pt>
                <c:pt idx="2">
                  <c:v>40 a 49 años</c:v>
                </c:pt>
                <c:pt idx="3">
                  <c:v>50 a 59 años</c:v>
                </c:pt>
                <c:pt idx="4">
                  <c:v>60 años o más</c:v>
                </c:pt>
              </c:strCache>
            </c:strRef>
          </c:cat>
          <c:val>
            <c:numRef>
              <c:f>Titulares!$BU$32:$BU$36</c:f>
              <c:numCache>
                <c:formatCode>0.0%</c:formatCode>
                <c:ptCount val="5"/>
                <c:pt idx="0">
                  <c:v>-4.7619047619047597E-3</c:v>
                </c:pt>
                <c:pt idx="1">
                  <c:v>-4.2857142857142899E-2</c:v>
                </c:pt>
                <c:pt idx="2">
                  <c:v>-8.5714285714285701E-2</c:v>
                </c:pt>
                <c:pt idx="3">
                  <c:v>-0.291866028708134</c:v>
                </c:pt>
                <c:pt idx="4">
                  <c:v>-0.57416267942583699</c:v>
                </c:pt>
              </c:numCache>
            </c:numRef>
          </c:val>
          <c:extLst>
            <c:ext xmlns:c16="http://schemas.microsoft.com/office/drawing/2014/chart" uri="{C3380CC4-5D6E-409C-BE32-E72D297353CC}">
              <c16:uniqueId val="{00000005-DBF7-47D8-A0A2-8F78399EA986}"/>
            </c:ext>
          </c:extLst>
        </c:ser>
        <c:ser>
          <c:idx val="1"/>
          <c:order val="1"/>
          <c:tx>
            <c:strRef>
              <c:f>Titulares!$BV$31</c:f>
              <c:strCache>
                <c:ptCount val="1"/>
                <c:pt idx="0">
                  <c:v>Mujeres</c:v>
                </c:pt>
              </c:strCache>
            </c:strRef>
          </c:tx>
          <c:spPr>
            <a:solidFill>
              <a:srgbClr val="6F9CC0"/>
            </a:solidFill>
            <a:ln>
              <a:noFill/>
            </a:ln>
            <a:effectLst>
              <a:outerShdw blurRad="50800" dist="38100" dir="2700000" algn="tl" rotWithShape="0">
                <a:prstClr val="black">
                  <a:alpha val="40000"/>
                </a:prstClr>
              </a:outerShdw>
            </a:effectLst>
          </c:spPr>
          <c:invertIfNegative val="0"/>
          <c:dLbls>
            <c:dLbl>
              <c:idx val="0"/>
              <c:layout>
                <c:manualLayout>
                  <c:x val="0.05"/>
                  <c:y val="7.2907553224635742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BF7-47D8-A0A2-8F78399EA986}"/>
                </c:ext>
              </c:extLst>
            </c:dLbl>
            <c:dLbl>
              <c:idx val="1"/>
              <c:layout>
                <c:manualLayout>
                  <c:x val="4.1666666666666664E-2"/>
                  <c:y val="-4.62926509186347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F7-47D8-A0A2-8F78399EA986}"/>
                </c:ext>
              </c:extLst>
            </c:dLbl>
            <c:dLbl>
              <c:idx val="2"/>
              <c:layout>
                <c:manualLayout>
                  <c:x val="3.333333333333322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F7-47D8-A0A2-8F78399EA986}"/>
                </c:ext>
              </c:extLst>
            </c:dLbl>
            <c:dLbl>
              <c:idx val="3"/>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C-DBF7-47D8-A0A2-8F78399EA986}"/>
                </c:ext>
              </c:extLst>
            </c:dLbl>
            <c:dLbl>
              <c:idx val="4"/>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B-DBF7-47D8-A0A2-8F78399EA98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Titulares!$BT$32:$BT$36</c:f>
              <c:strCache>
                <c:ptCount val="5"/>
                <c:pt idx="0">
                  <c:v>27 a 29 años</c:v>
                </c:pt>
                <c:pt idx="1">
                  <c:v>30 a 39 años</c:v>
                </c:pt>
                <c:pt idx="2">
                  <c:v>40 a 49 años</c:v>
                </c:pt>
                <c:pt idx="3">
                  <c:v>50 a 59 años</c:v>
                </c:pt>
                <c:pt idx="4">
                  <c:v>60 años o más</c:v>
                </c:pt>
              </c:strCache>
            </c:strRef>
          </c:cat>
          <c:val>
            <c:numRef>
              <c:f>Titulares!$BV$32:$BV$36</c:f>
              <c:numCache>
                <c:formatCode>0.0%</c:formatCode>
                <c:ptCount val="5"/>
                <c:pt idx="0">
                  <c:v>0</c:v>
                </c:pt>
                <c:pt idx="1">
                  <c:v>3.2786885245901641E-2</c:v>
                </c:pt>
                <c:pt idx="2">
                  <c:v>0.13114754098360656</c:v>
                </c:pt>
                <c:pt idx="3">
                  <c:v>0.37704918032786883</c:v>
                </c:pt>
                <c:pt idx="4">
                  <c:v>0.45901639344262296</c:v>
                </c:pt>
              </c:numCache>
            </c:numRef>
          </c:val>
          <c:extLst>
            <c:ext xmlns:c16="http://schemas.microsoft.com/office/drawing/2014/chart" uri="{C3380CC4-5D6E-409C-BE32-E72D297353CC}">
              <c16:uniqueId val="{00000009-DBF7-47D8-A0A2-8F78399EA986}"/>
            </c:ext>
          </c:extLst>
        </c:ser>
        <c:dLbls>
          <c:showLegendKey val="0"/>
          <c:showVal val="0"/>
          <c:showCatName val="0"/>
          <c:showSerName val="0"/>
          <c:showPercent val="0"/>
          <c:showBubbleSize val="0"/>
        </c:dLbls>
        <c:gapWidth val="70"/>
        <c:overlap val="100"/>
        <c:axId val="504079328"/>
        <c:axId val="504066848"/>
      </c:barChart>
      <c:catAx>
        <c:axId val="50407932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04066848"/>
        <c:crosses val="autoZero"/>
        <c:auto val="1"/>
        <c:lblAlgn val="ctr"/>
        <c:lblOffset val="100"/>
        <c:noMultiLvlLbl val="0"/>
      </c:catAx>
      <c:valAx>
        <c:axId val="504066848"/>
        <c:scaling>
          <c:orientation val="minMax"/>
        </c:scaling>
        <c:delete val="1"/>
        <c:axPos val="b"/>
        <c:numFmt formatCode="0.0%" sourceLinked="1"/>
        <c:majorTickMark val="none"/>
        <c:minorTickMark val="none"/>
        <c:tickLblPos val="nextTo"/>
        <c:crossAx val="504079328"/>
        <c:crosses val="autoZero"/>
        <c:crossBetween val="between"/>
      </c:valAx>
      <c:spPr>
        <a:noFill/>
        <a:ln>
          <a:noFill/>
        </a:ln>
        <a:effectLst/>
      </c:spPr>
    </c:plotArea>
    <c:legend>
      <c:legendPos val="b"/>
      <c:layout>
        <c:manualLayout>
          <c:xMode val="edge"/>
          <c:yMode val="edge"/>
          <c:x val="0.86351407743984454"/>
          <c:y val="0.32027544943978781"/>
          <c:w val="0.13408710087743728"/>
          <c:h val="0.1885355459599808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62500147122865"/>
          <c:y val="1.6900340390108726E-2"/>
          <c:w val="0.54739664829489632"/>
          <c:h val="0.91975859100161361"/>
        </c:manualLayout>
      </c:layout>
      <c:barChart>
        <c:barDir val="bar"/>
        <c:grouping val="stacked"/>
        <c:varyColors val="0"/>
        <c:ser>
          <c:idx val="0"/>
          <c:order val="0"/>
          <c:tx>
            <c:strRef>
              <c:f>Titulares!$CH$40</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dLbl>
              <c:idx val="0"/>
              <c:tx>
                <c:rich>
                  <a:bodyPr/>
                  <a:lstStyle/>
                  <a:p>
                    <a:r>
                      <a:rPr lang="en-US"/>
                      <a:t>0.5%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48-4CD1-81B7-28B0E02C63A1}"/>
                </c:ext>
              </c:extLst>
            </c:dLbl>
            <c:dLbl>
              <c:idx val="1"/>
              <c:tx>
                <c:rich>
                  <a:bodyPr/>
                  <a:lstStyle/>
                  <a:p>
                    <a:r>
                      <a:rPr lang="en-US"/>
                      <a:t>1.0%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48-4CD1-81B7-28B0E02C63A1}"/>
                </c:ext>
              </c:extLst>
            </c:dLbl>
            <c:dLbl>
              <c:idx val="2"/>
              <c:layout>
                <c:manualLayout>
                  <c:x val="-4.959011373578303E-2"/>
                  <c:y val="-4.2437781360066642E-17"/>
                </c:manualLayout>
              </c:layout>
              <c:tx>
                <c:rich>
                  <a:bodyPr/>
                  <a:lstStyle/>
                  <a:p>
                    <a:r>
                      <a:rPr lang="en-US"/>
                      <a:t>7.7%</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48-4CD1-81B7-28B0E02C63A1}"/>
                </c:ext>
              </c:extLst>
            </c:dLbl>
            <c:dLbl>
              <c:idx val="3"/>
              <c:tx>
                <c:rich>
                  <a:bodyPr/>
                  <a:lstStyle/>
                  <a:p>
                    <a:r>
                      <a:rPr lang="en-US"/>
                      <a:t>6.7%</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48-4CD1-81B7-28B0E02C63A1}"/>
                </c:ext>
              </c:extLst>
            </c:dLbl>
            <c:dLbl>
              <c:idx val="4"/>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45.9%</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48-4CD1-81B7-28B0E02C63A1}"/>
                </c:ext>
              </c:extLst>
            </c:dLbl>
            <c:dLbl>
              <c:idx val="5"/>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37.3%</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48-4CD1-81B7-28B0E02C63A1}"/>
                </c:ext>
              </c:extLst>
            </c:dLbl>
            <c:dLbl>
              <c:idx val="6"/>
              <c:tx>
                <c:rich>
                  <a:bodyPr/>
                  <a:lstStyle/>
                  <a:p>
                    <a:r>
                      <a:rPr lang="en-US"/>
                      <a:t>0.9%</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48-4CD1-81B7-28B0E02C63A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Titulares!$CG$41:$CG$47</c:f>
              <c:strCache>
                <c:ptCount val="7"/>
                <c:pt idx="0">
                  <c:v>Hasta 50,000 pesos</c:v>
                </c:pt>
                <c:pt idx="1">
                  <c:v>50,001 a 80,000 pesos</c:v>
                </c:pt>
                <c:pt idx="2">
                  <c:v>80,001 a 100,000 pesos</c:v>
                </c:pt>
                <c:pt idx="3">
                  <c:v>100,001 a 120,000 pesos</c:v>
                </c:pt>
                <c:pt idx="4">
                  <c:v>120,001 a 140,000 pesos</c:v>
                </c:pt>
                <c:pt idx="5">
                  <c:v>140,001 a 160,000 pesos</c:v>
                </c:pt>
                <c:pt idx="6">
                  <c:v>Más de 160,000 pesos</c:v>
                </c:pt>
              </c:strCache>
            </c:strRef>
          </c:cat>
          <c:val>
            <c:numRef>
              <c:f>Titulares!$CH$41:$CH$47</c:f>
              <c:numCache>
                <c:formatCode>0.0%</c:formatCode>
                <c:ptCount val="7"/>
                <c:pt idx="0">
                  <c:v>-4.7619047619047597E-3</c:v>
                </c:pt>
                <c:pt idx="1">
                  <c:v>-9.5238095238095195E-3</c:v>
                </c:pt>
                <c:pt idx="2">
                  <c:v>-7.6190476190476197E-2</c:v>
                </c:pt>
                <c:pt idx="3">
                  <c:v>-6.6666666666666693E-2</c:v>
                </c:pt>
                <c:pt idx="4">
                  <c:v>-0.45714285714285702</c:v>
                </c:pt>
                <c:pt idx="5">
                  <c:v>-0.37619047619047602</c:v>
                </c:pt>
                <c:pt idx="6">
                  <c:v>-8.9999999999999993E-3</c:v>
                </c:pt>
              </c:numCache>
            </c:numRef>
          </c:val>
          <c:extLst>
            <c:ext xmlns:c16="http://schemas.microsoft.com/office/drawing/2014/chart" uri="{C3380CC4-5D6E-409C-BE32-E72D297353CC}">
              <c16:uniqueId val="{00000007-2A48-4CD1-81B7-28B0E02C63A1}"/>
            </c:ext>
          </c:extLst>
        </c:ser>
        <c:ser>
          <c:idx val="1"/>
          <c:order val="1"/>
          <c:tx>
            <c:strRef>
              <c:f>Titulares!$CI$40</c:f>
              <c:strCache>
                <c:ptCount val="1"/>
                <c:pt idx="0">
                  <c:v>Mujeres</c:v>
                </c:pt>
              </c:strCache>
            </c:strRef>
          </c:tx>
          <c:spPr>
            <a:solidFill>
              <a:srgbClr val="6F9CC0"/>
            </a:solidFill>
            <a:ln>
              <a:noFill/>
            </a:ln>
            <a:effectLst/>
          </c:spPr>
          <c:invertIfNegative val="0"/>
          <c:dLbls>
            <c:dLbl>
              <c:idx val="4"/>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48-4CD1-81B7-28B0E02C63A1}"/>
                </c:ext>
              </c:extLst>
            </c:dLbl>
            <c:dLbl>
              <c:idx val="5"/>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A48-4CD1-81B7-28B0E02C63A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Titulares!$CG$41:$CG$47</c:f>
              <c:strCache>
                <c:ptCount val="7"/>
                <c:pt idx="0">
                  <c:v>Hasta 50,000 pesos</c:v>
                </c:pt>
                <c:pt idx="1">
                  <c:v>50,001 a 80,000 pesos</c:v>
                </c:pt>
                <c:pt idx="2">
                  <c:v>80,001 a 100,000 pesos</c:v>
                </c:pt>
                <c:pt idx="3">
                  <c:v>100,001 a 120,000 pesos</c:v>
                </c:pt>
                <c:pt idx="4">
                  <c:v>120,001 a 140,000 pesos</c:v>
                </c:pt>
                <c:pt idx="5">
                  <c:v>140,001 a 160,000 pesos</c:v>
                </c:pt>
                <c:pt idx="6">
                  <c:v>Más de 160,000 pesos</c:v>
                </c:pt>
              </c:strCache>
            </c:strRef>
          </c:cat>
          <c:val>
            <c:numRef>
              <c:f>Titulares!$CI$41:$CI$47</c:f>
              <c:numCache>
                <c:formatCode>0.0%</c:formatCode>
                <c:ptCount val="7"/>
                <c:pt idx="0">
                  <c:v>0</c:v>
                </c:pt>
                <c:pt idx="1">
                  <c:v>0</c:v>
                </c:pt>
                <c:pt idx="2">
                  <c:v>1.6393442622950821E-2</c:v>
                </c:pt>
                <c:pt idx="3">
                  <c:v>1.6393442622950821E-2</c:v>
                </c:pt>
                <c:pt idx="4">
                  <c:v>0.47599999999999998</c:v>
                </c:pt>
                <c:pt idx="5">
                  <c:v>0.49180327868852458</c:v>
                </c:pt>
                <c:pt idx="6">
                  <c:v>0</c:v>
                </c:pt>
              </c:numCache>
            </c:numRef>
          </c:val>
          <c:extLst>
            <c:ext xmlns:c16="http://schemas.microsoft.com/office/drawing/2014/chart" uri="{C3380CC4-5D6E-409C-BE32-E72D297353CC}">
              <c16:uniqueId val="{0000000A-2A48-4CD1-81B7-28B0E02C63A1}"/>
            </c:ext>
          </c:extLst>
        </c:ser>
        <c:dLbls>
          <c:showLegendKey val="0"/>
          <c:showVal val="0"/>
          <c:showCatName val="0"/>
          <c:showSerName val="0"/>
          <c:showPercent val="0"/>
          <c:showBubbleSize val="0"/>
        </c:dLbls>
        <c:gapWidth val="70"/>
        <c:overlap val="100"/>
        <c:axId val="503965760"/>
        <c:axId val="503962432"/>
      </c:barChart>
      <c:catAx>
        <c:axId val="50396576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03962432"/>
        <c:crosses val="autoZero"/>
        <c:auto val="1"/>
        <c:lblAlgn val="ctr"/>
        <c:lblOffset val="100"/>
        <c:noMultiLvlLbl val="0"/>
      </c:catAx>
      <c:valAx>
        <c:axId val="503962432"/>
        <c:scaling>
          <c:orientation val="minMax"/>
        </c:scaling>
        <c:delete val="1"/>
        <c:axPos val="b"/>
        <c:numFmt formatCode="0.0%" sourceLinked="1"/>
        <c:majorTickMark val="none"/>
        <c:minorTickMark val="none"/>
        <c:tickLblPos val="nextTo"/>
        <c:crossAx val="503965760"/>
        <c:crosses val="autoZero"/>
        <c:crossBetween val="between"/>
      </c:valAx>
      <c:spPr>
        <a:noFill/>
        <a:ln>
          <a:noFill/>
        </a:ln>
        <a:effectLst/>
      </c:spPr>
    </c:plotArea>
    <c:legend>
      <c:legendPos val="b"/>
      <c:layout>
        <c:manualLayout>
          <c:xMode val="edge"/>
          <c:yMode val="edge"/>
          <c:x val="0.8257580358508998"/>
          <c:y val="0.27886553015824483"/>
          <c:w val="0.17137365676824029"/>
          <c:h val="0.185550544046071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72401964605909"/>
          <c:y val="3.6989693361500549E-2"/>
          <c:w val="0.71715536622467235"/>
          <c:h val="0.94082683566993153"/>
        </c:manualLayout>
      </c:layout>
      <c:barChart>
        <c:barDir val="bar"/>
        <c:grouping val="stacked"/>
        <c:varyColors val="0"/>
        <c:ser>
          <c:idx val="0"/>
          <c:order val="0"/>
          <c:tx>
            <c:strRef>
              <c:f>Titulares!$CV$37</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dLbl>
              <c:idx val="0"/>
              <c:tx>
                <c:rich>
                  <a:bodyPr/>
                  <a:lstStyle/>
                  <a:p>
                    <a:r>
                      <a:rPr lang="en-US"/>
                      <a:t>1.0%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C9-4AF4-9048-912BB4674336}"/>
                </c:ext>
              </c:extLst>
            </c:dLbl>
            <c:dLbl>
              <c:idx val="2"/>
              <c:tx>
                <c:rich>
                  <a:bodyPr/>
                  <a:lstStyle/>
                  <a:p>
                    <a:r>
                      <a:rPr lang="en-US"/>
                      <a:t>0.5%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C9-4AF4-9048-912BB4674336}"/>
                </c:ext>
              </c:extLst>
            </c:dLbl>
            <c:dLbl>
              <c:idx val="3"/>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46.9%</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C9-4AF4-9048-912BB4674336}"/>
                </c:ext>
              </c:extLst>
            </c:dLbl>
            <c:dLbl>
              <c:idx val="4"/>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24.4%</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C9-4AF4-9048-912BB4674336}"/>
                </c:ext>
              </c:extLst>
            </c:dLbl>
            <c:dLbl>
              <c:idx val="5"/>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26.8%</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C9-4AF4-9048-912BB46743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Titulares!$CU$38:$CU$43</c:f>
              <c:strCache>
                <c:ptCount val="6"/>
                <c:pt idx="0">
                  <c:v>Secundaria</c:v>
                </c:pt>
                <c:pt idx="1">
                  <c:v>Preparatoria</c:v>
                </c:pt>
                <c:pt idx="2">
                  <c:v>Carrera técnica 
o carrera comercial</c:v>
                </c:pt>
                <c:pt idx="3">
                  <c:v>Licenciatura</c:v>
                </c:pt>
                <c:pt idx="4">
                  <c:v>Maestría</c:v>
                </c:pt>
                <c:pt idx="5">
                  <c:v>Doctorado</c:v>
                </c:pt>
              </c:strCache>
            </c:strRef>
          </c:cat>
          <c:val>
            <c:numRef>
              <c:f>Titulares!$CV$38:$CV$43</c:f>
              <c:numCache>
                <c:formatCode>0.0%</c:formatCode>
                <c:ptCount val="6"/>
                <c:pt idx="0">
                  <c:v>-9.5238095238095195E-3</c:v>
                </c:pt>
                <c:pt idx="1">
                  <c:v>0</c:v>
                </c:pt>
                <c:pt idx="2">
                  <c:v>-4.7619047619047597E-3</c:v>
                </c:pt>
                <c:pt idx="3">
                  <c:v>-0.46889952153109998</c:v>
                </c:pt>
                <c:pt idx="4">
                  <c:v>-0.244019138755981</c:v>
                </c:pt>
                <c:pt idx="5">
                  <c:v>-0.26794258373205698</c:v>
                </c:pt>
              </c:numCache>
            </c:numRef>
          </c:val>
          <c:extLst>
            <c:ext xmlns:c16="http://schemas.microsoft.com/office/drawing/2014/chart" uri="{C3380CC4-5D6E-409C-BE32-E72D297353CC}">
              <c16:uniqueId val="{00000005-BAC9-4AF4-9048-912BB4674336}"/>
            </c:ext>
          </c:extLst>
        </c:ser>
        <c:ser>
          <c:idx val="1"/>
          <c:order val="1"/>
          <c:tx>
            <c:strRef>
              <c:f>Titulares!$CW$37</c:f>
              <c:strCache>
                <c:ptCount val="1"/>
                <c:pt idx="0">
                  <c:v>Mujeres</c:v>
                </c:pt>
              </c:strCache>
            </c:strRef>
          </c:tx>
          <c:spPr>
            <a:solidFill>
              <a:srgbClr val="6F9CC0"/>
            </a:solidFill>
            <a:ln>
              <a:noFill/>
            </a:ln>
            <a:effectLst>
              <a:outerShdw blurRad="50800" dist="38100" dir="2700000" algn="tl" rotWithShape="0">
                <a:prstClr val="black">
                  <a:alpha val="40000"/>
                </a:prstClr>
              </a:outerShdw>
            </a:effectLst>
          </c:spPr>
          <c:invertIfNegative val="0"/>
          <c:dLbls>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C9-4AF4-9048-912BB4674336}"/>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C9-4AF4-9048-912BB4674336}"/>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C9-4AF4-9048-912BB46743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Titulares!$CU$38:$CU$43</c:f>
              <c:strCache>
                <c:ptCount val="6"/>
                <c:pt idx="0">
                  <c:v>Secundaria</c:v>
                </c:pt>
                <c:pt idx="1">
                  <c:v>Preparatoria</c:v>
                </c:pt>
                <c:pt idx="2">
                  <c:v>Carrera técnica 
o carrera comercial</c:v>
                </c:pt>
                <c:pt idx="3">
                  <c:v>Licenciatura</c:v>
                </c:pt>
                <c:pt idx="4">
                  <c:v>Maestría</c:v>
                </c:pt>
                <c:pt idx="5">
                  <c:v>Doctorado</c:v>
                </c:pt>
              </c:strCache>
            </c:strRef>
          </c:cat>
          <c:val>
            <c:numRef>
              <c:f>Titulares!$CW$38:$CW$43</c:f>
              <c:numCache>
                <c:formatCode>0.0%</c:formatCode>
                <c:ptCount val="6"/>
                <c:pt idx="0">
                  <c:v>0</c:v>
                </c:pt>
                <c:pt idx="1">
                  <c:v>1.6393442622950821E-2</c:v>
                </c:pt>
                <c:pt idx="2">
                  <c:v>0</c:v>
                </c:pt>
                <c:pt idx="3">
                  <c:v>0.39400000000000002</c:v>
                </c:pt>
                <c:pt idx="4">
                  <c:v>0.24590163934426229</c:v>
                </c:pt>
                <c:pt idx="5">
                  <c:v>0.34426229508196721</c:v>
                </c:pt>
              </c:numCache>
            </c:numRef>
          </c:val>
          <c:extLst>
            <c:ext xmlns:c16="http://schemas.microsoft.com/office/drawing/2014/chart" uri="{C3380CC4-5D6E-409C-BE32-E72D297353CC}">
              <c16:uniqueId val="{00000009-BAC9-4AF4-9048-912BB4674336}"/>
            </c:ext>
          </c:extLst>
        </c:ser>
        <c:dLbls>
          <c:showLegendKey val="0"/>
          <c:showVal val="0"/>
          <c:showCatName val="0"/>
          <c:showSerName val="0"/>
          <c:showPercent val="0"/>
          <c:showBubbleSize val="0"/>
        </c:dLbls>
        <c:gapWidth val="70"/>
        <c:overlap val="100"/>
        <c:axId val="504005280"/>
        <c:axId val="503996960"/>
      </c:barChart>
      <c:catAx>
        <c:axId val="50400528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03996960"/>
        <c:crosses val="autoZero"/>
        <c:auto val="1"/>
        <c:lblAlgn val="ctr"/>
        <c:lblOffset val="100"/>
        <c:noMultiLvlLbl val="0"/>
      </c:catAx>
      <c:valAx>
        <c:axId val="503996960"/>
        <c:scaling>
          <c:orientation val="minMax"/>
        </c:scaling>
        <c:delete val="1"/>
        <c:axPos val="b"/>
        <c:numFmt formatCode="0.0%" sourceLinked="1"/>
        <c:majorTickMark val="none"/>
        <c:minorTickMark val="none"/>
        <c:tickLblPos val="nextTo"/>
        <c:crossAx val="504005280"/>
        <c:crosses val="autoZero"/>
        <c:crossBetween val="between"/>
      </c:valAx>
      <c:spPr>
        <a:noFill/>
        <a:ln>
          <a:noFill/>
        </a:ln>
        <a:effectLst/>
      </c:spPr>
    </c:plotArea>
    <c:legend>
      <c:legendPos val="b"/>
      <c:layout>
        <c:manualLayout>
          <c:xMode val="edge"/>
          <c:yMode val="edge"/>
          <c:x val="0.86240399158026049"/>
          <c:y val="0.3780567185199411"/>
          <c:w val="0.13520604973883213"/>
          <c:h val="0.164897509762499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648629027755E-2"/>
          <c:y val="0.13782051282051283"/>
          <c:w val="0.93888888888888888"/>
          <c:h val="0.66044244469441316"/>
        </c:manualLayout>
      </c:layout>
      <c:barChart>
        <c:barDir val="col"/>
        <c:grouping val="clustered"/>
        <c:varyColors val="0"/>
        <c:ser>
          <c:idx val="0"/>
          <c:order val="0"/>
          <c:tx>
            <c:strRef>
              <c:f>Personal!$B$5</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Personal!$A$6:$A$10</c:f>
              <c:numCache>
                <c:formatCode>General</c:formatCode>
                <c:ptCount val="5"/>
                <c:pt idx="0">
                  <c:v>2016</c:v>
                </c:pt>
                <c:pt idx="1">
                  <c:v>2017</c:v>
                </c:pt>
                <c:pt idx="2">
                  <c:v>2018</c:v>
                </c:pt>
                <c:pt idx="3">
                  <c:v>2019</c:v>
                </c:pt>
                <c:pt idx="4">
                  <c:v>2020</c:v>
                </c:pt>
              </c:numCache>
            </c:numRef>
          </c:cat>
          <c:val>
            <c:numRef>
              <c:f>Personal!$B$6:$B$10</c:f>
              <c:numCache>
                <c:formatCode>#,##0</c:formatCode>
                <c:ptCount val="5"/>
                <c:pt idx="0">
                  <c:v>800163</c:v>
                </c:pt>
                <c:pt idx="1">
                  <c:v>867780</c:v>
                </c:pt>
                <c:pt idx="2">
                  <c:v>726541</c:v>
                </c:pt>
                <c:pt idx="3">
                  <c:v>831617</c:v>
                </c:pt>
                <c:pt idx="4">
                  <c:v>789581</c:v>
                </c:pt>
              </c:numCache>
            </c:numRef>
          </c:val>
          <c:extLst>
            <c:ext xmlns:c16="http://schemas.microsoft.com/office/drawing/2014/chart" uri="{C3380CC4-5D6E-409C-BE32-E72D297353CC}">
              <c16:uniqueId val="{00000000-AFC7-4D34-968B-1B23C6E131C5}"/>
            </c:ext>
          </c:extLst>
        </c:ser>
        <c:ser>
          <c:idx val="1"/>
          <c:order val="1"/>
          <c:tx>
            <c:strRef>
              <c:f>Personal!$C$5</c:f>
              <c:strCache>
                <c:ptCount val="1"/>
                <c:pt idx="0">
                  <c:v>Mujeres</c:v>
                </c:pt>
              </c:strCache>
            </c:strRef>
          </c:tx>
          <c:spPr>
            <a:solidFill>
              <a:srgbClr val="6F9CC0"/>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Personal!$A$6:$A$10</c:f>
              <c:numCache>
                <c:formatCode>General</c:formatCode>
                <c:ptCount val="5"/>
                <c:pt idx="0">
                  <c:v>2016</c:v>
                </c:pt>
                <c:pt idx="1">
                  <c:v>2017</c:v>
                </c:pt>
                <c:pt idx="2">
                  <c:v>2018</c:v>
                </c:pt>
                <c:pt idx="3">
                  <c:v>2019</c:v>
                </c:pt>
                <c:pt idx="4">
                  <c:v>2020</c:v>
                </c:pt>
              </c:numCache>
            </c:numRef>
          </c:cat>
          <c:val>
            <c:numRef>
              <c:f>Personal!$C$6:$C$10</c:f>
              <c:numCache>
                <c:formatCode>#,##0</c:formatCode>
                <c:ptCount val="5"/>
                <c:pt idx="0">
                  <c:v>767218</c:v>
                </c:pt>
                <c:pt idx="1">
                  <c:v>829565</c:v>
                </c:pt>
                <c:pt idx="2">
                  <c:v>749937</c:v>
                </c:pt>
                <c:pt idx="3">
                  <c:v>775183</c:v>
                </c:pt>
                <c:pt idx="4">
                  <c:v>793774</c:v>
                </c:pt>
              </c:numCache>
            </c:numRef>
          </c:val>
          <c:extLst>
            <c:ext xmlns:c16="http://schemas.microsoft.com/office/drawing/2014/chart" uri="{C3380CC4-5D6E-409C-BE32-E72D297353CC}">
              <c16:uniqueId val="{00000001-AFC7-4D34-968B-1B23C6E131C5}"/>
            </c:ext>
          </c:extLst>
        </c:ser>
        <c:dLbls>
          <c:showLegendKey val="0"/>
          <c:showVal val="0"/>
          <c:showCatName val="0"/>
          <c:showSerName val="0"/>
          <c:showPercent val="0"/>
          <c:showBubbleSize val="0"/>
        </c:dLbls>
        <c:gapWidth val="70"/>
        <c:overlap val="-27"/>
        <c:axId val="504061856"/>
        <c:axId val="504060608"/>
      </c:barChart>
      <c:lineChart>
        <c:grouping val="standard"/>
        <c:varyColors val="0"/>
        <c:ser>
          <c:idx val="2"/>
          <c:order val="2"/>
          <c:tx>
            <c:strRef>
              <c:f>Personal!$D$5</c:f>
              <c:strCache>
                <c:ptCount val="1"/>
                <c:pt idx="0">
                  <c:v>Total</c:v>
                </c:pt>
              </c:strCache>
            </c:strRef>
          </c:tx>
          <c:spPr>
            <a:ln w="28575" cap="rnd">
              <a:solidFill>
                <a:srgbClr val="CE941F"/>
              </a:solidFill>
              <a:round/>
            </a:ln>
            <a:effectLst>
              <a:outerShdw blurRad="50800" dist="38100" dir="2700000" algn="tl" rotWithShape="0">
                <a:prstClr val="black">
                  <a:alpha val="40000"/>
                </a:prstClr>
              </a:outerShdw>
            </a:effectLst>
          </c:spPr>
          <c:marker>
            <c:symbol val="diamond"/>
            <c:size val="10"/>
            <c:spPr>
              <a:solidFill>
                <a:srgbClr val="CE941F"/>
              </a:solidFill>
              <a:ln w="28575">
                <a:solidFill>
                  <a:srgbClr val="CE941F"/>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Personal!$A$6:$A$10</c:f>
              <c:numCache>
                <c:formatCode>General</c:formatCode>
                <c:ptCount val="5"/>
                <c:pt idx="0">
                  <c:v>2016</c:v>
                </c:pt>
                <c:pt idx="1">
                  <c:v>2017</c:v>
                </c:pt>
                <c:pt idx="2">
                  <c:v>2018</c:v>
                </c:pt>
                <c:pt idx="3">
                  <c:v>2019</c:v>
                </c:pt>
                <c:pt idx="4">
                  <c:v>2020</c:v>
                </c:pt>
              </c:numCache>
            </c:numRef>
          </c:cat>
          <c:val>
            <c:numRef>
              <c:f>Personal!$D$6:$D$10</c:f>
              <c:numCache>
                <c:formatCode>#,##0</c:formatCode>
                <c:ptCount val="5"/>
                <c:pt idx="0">
                  <c:v>1567381</c:v>
                </c:pt>
                <c:pt idx="1">
                  <c:v>1697345</c:v>
                </c:pt>
                <c:pt idx="2">
                  <c:v>1476478</c:v>
                </c:pt>
                <c:pt idx="3">
                  <c:v>1606800</c:v>
                </c:pt>
                <c:pt idx="4">
                  <c:v>1583355</c:v>
                </c:pt>
              </c:numCache>
            </c:numRef>
          </c:val>
          <c:smooth val="0"/>
          <c:extLst>
            <c:ext xmlns:c16="http://schemas.microsoft.com/office/drawing/2014/chart" uri="{C3380CC4-5D6E-409C-BE32-E72D297353CC}">
              <c16:uniqueId val="{00000002-AFC7-4D34-968B-1B23C6E131C5}"/>
            </c:ext>
          </c:extLst>
        </c:ser>
        <c:dLbls>
          <c:showLegendKey val="0"/>
          <c:showVal val="0"/>
          <c:showCatName val="0"/>
          <c:showSerName val="0"/>
          <c:showPercent val="0"/>
          <c:showBubbleSize val="0"/>
        </c:dLbls>
        <c:marker val="1"/>
        <c:smooth val="0"/>
        <c:axId val="504061856"/>
        <c:axId val="504060608"/>
      </c:lineChart>
      <c:catAx>
        <c:axId val="50406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04060608"/>
        <c:crosses val="autoZero"/>
        <c:auto val="1"/>
        <c:lblAlgn val="ctr"/>
        <c:lblOffset val="100"/>
        <c:noMultiLvlLbl val="0"/>
      </c:catAx>
      <c:valAx>
        <c:axId val="504060608"/>
        <c:scaling>
          <c:orientation val="minMax"/>
          <c:max val="1700000.0000000002"/>
          <c:min val="0"/>
        </c:scaling>
        <c:delete val="1"/>
        <c:axPos val="l"/>
        <c:numFmt formatCode="#,##0" sourceLinked="1"/>
        <c:majorTickMark val="none"/>
        <c:minorTickMark val="none"/>
        <c:tickLblPos val="nextTo"/>
        <c:crossAx val="504061856"/>
        <c:crosses val="autoZero"/>
        <c:crossBetween val="between"/>
      </c:valAx>
      <c:spPr>
        <a:noFill/>
        <a:ln>
          <a:noFill/>
        </a:ln>
        <a:effectLst/>
      </c:spPr>
    </c:plotArea>
    <c:legend>
      <c:legendPos val="b"/>
      <c:layout>
        <c:manualLayout>
          <c:xMode val="edge"/>
          <c:yMode val="edge"/>
          <c:x val="0.26681571960178091"/>
          <c:y val="0.92236803732866712"/>
          <c:w val="0.46636856079643818"/>
          <c:h val="7.763196267133275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883878151594685"/>
          <c:y val="2.9870830752897461E-2"/>
          <c:w val="0.45420934682629904"/>
          <c:h val="0.94587867527794978"/>
        </c:manualLayout>
      </c:layout>
      <c:barChart>
        <c:barDir val="bar"/>
        <c:grouping val="stacked"/>
        <c:varyColors val="0"/>
        <c:ser>
          <c:idx val="0"/>
          <c:order val="0"/>
          <c:tx>
            <c:strRef>
              <c:f>Personal!$AG$5</c:f>
              <c:strCache>
                <c:ptCount val="1"/>
                <c:pt idx="0">
                  <c:v>Hombres</c:v>
                </c:pt>
              </c:strCache>
            </c:strRef>
          </c:tx>
          <c:spPr>
            <a:solidFill>
              <a:srgbClr val="8E61A5"/>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Personal!$AF$6:$AF$31</c:f>
              <c:strCache>
                <c:ptCount val="26"/>
                <c:pt idx="0">
                  <c:v>Igualdad de género y/o derechos de las mujeres</c:v>
                </c:pt>
                <c:pt idx="1">
                  <c:v>Salud</c:v>
                </c:pt>
                <c:pt idx="2">
                  <c:v>Protección y seguridad social</c:v>
                </c:pt>
                <c:pt idx="3">
                  <c:v>Trabajo</c:v>
                </c:pt>
                <c:pt idx="4">
                  <c:v>Educación</c:v>
                </c:pt>
                <c:pt idx="5">
                  <c:v>Reinserción social</c:v>
                </c:pt>
                <c:pt idx="6">
                  <c:v>Desarrollo social</c:v>
                </c:pt>
                <c:pt idx="7">
                  <c:v>Asuntos financieros y hacendarios</c:v>
                </c:pt>
                <c:pt idx="8">
                  <c:v>Desarrollo agrario, territorial, urbano y vivienda</c:v>
                </c:pt>
                <c:pt idx="9">
                  <c:v>Relaciones exteriores</c:v>
                </c:pt>
                <c:pt idx="10">
                  <c:v>Función pública</c:v>
                </c:pt>
                <c:pt idx="11">
                  <c:v>Protección civil</c:v>
                </c:pt>
                <c:pt idx="12">
                  <c:v>Arte, cultura y otras manifestaciones sociales</c:v>
                </c:pt>
                <c:pt idx="13">
                  <c:v>Economía</c:v>
                </c:pt>
                <c:pt idx="14">
                  <c:v>Asuntos jurídicos</c:v>
                </c:pt>
                <c:pt idx="15">
                  <c:v>Despacho del ejecutivo</c:v>
                </c:pt>
                <c:pt idx="16">
                  <c:v>Asuntos indígenas</c:v>
                </c:pt>
                <c:pt idx="17">
                  <c:v>Ciencia, tecnología e innovación</c:v>
                </c:pt>
                <c:pt idx="18">
                  <c:v>Gobierno y política interior</c:v>
                </c:pt>
                <c:pt idx="19">
                  <c:v>Turismo</c:v>
                </c:pt>
                <c:pt idx="20">
                  <c:v>Cultura física y/o deporte</c:v>
                </c:pt>
                <c:pt idx="21">
                  <c:v>Agricultura y desarrollo rural</c:v>
                </c:pt>
                <c:pt idx="22">
                  <c:v>Seguridad nacional</c:v>
                </c:pt>
                <c:pt idx="23">
                  <c:v>Comunicaciones y transportes</c:v>
                </c:pt>
                <c:pt idx="24">
                  <c:v>Seguridad pública o seguridad ciudadana</c:v>
                </c:pt>
                <c:pt idx="25">
                  <c:v>Combustibles y energía</c:v>
                </c:pt>
              </c:strCache>
            </c:strRef>
          </c:cat>
          <c:val>
            <c:numRef>
              <c:f>Personal!$AG$6:$AG$31</c:f>
              <c:numCache>
                <c:formatCode>0.0%</c:formatCode>
                <c:ptCount val="26"/>
                <c:pt idx="0">
                  <c:v>0.32051282051282054</c:v>
                </c:pt>
                <c:pt idx="1">
                  <c:v>0.3969007965242578</c:v>
                </c:pt>
                <c:pt idx="2">
                  <c:v>0.4109185664091925</c:v>
                </c:pt>
                <c:pt idx="3">
                  <c:v>0.43256929637526653</c:v>
                </c:pt>
                <c:pt idx="4">
                  <c:v>0.44632640887989833</c:v>
                </c:pt>
                <c:pt idx="5">
                  <c:v>0.44690510463957478</c:v>
                </c:pt>
                <c:pt idx="6">
                  <c:v>0.46113595706618965</c:v>
                </c:pt>
                <c:pt idx="7">
                  <c:v>0.48264456452760524</c:v>
                </c:pt>
                <c:pt idx="8">
                  <c:v>0.49618320610687022</c:v>
                </c:pt>
                <c:pt idx="9">
                  <c:v>0.49858502701312069</c:v>
                </c:pt>
                <c:pt idx="10">
                  <c:v>0.50848933391380058</c:v>
                </c:pt>
                <c:pt idx="11">
                  <c:v>0.53731343283582089</c:v>
                </c:pt>
                <c:pt idx="12">
                  <c:v>0.5420458283082995</c:v>
                </c:pt>
                <c:pt idx="13">
                  <c:v>0.54249088297049397</c:v>
                </c:pt>
                <c:pt idx="14">
                  <c:v>0.54644808743169404</c:v>
                </c:pt>
                <c:pt idx="15">
                  <c:v>0.54976303317535546</c:v>
                </c:pt>
                <c:pt idx="16">
                  <c:v>0.55338223308883461</c:v>
                </c:pt>
                <c:pt idx="17">
                  <c:v>0.57289369210410235</c:v>
                </c:pt>
                <c:pt idx="18">
                  <c:v>0.57446874037573148</c:v>
                </c:pt>
                <c:pt idx="19">
                  <c:v>0.59671598700830031</c:v>
                </c:pt>
                <c:pt idx="20">
                  <c:v>0.61538461538461542</c:v>
                </c:pt>
                <c:pt idx="21">
                  <c:v>0.62122783622265032</c:v>
                </c:pt>
                <c:pt idx="22">
                  <c:v>0.63072398823694165</c:v>
                </c:pt>
                <c:pt idx="23">
                  <c:v>0.67571856421259668</c:v>
                </c:pt>
                <c:pt idx="24">
                  <c:v>0.72509516293751741</c:v>
                </c:pt>
                <c:pt idx="25">
                  <c:v>0.72758232970851244</c:v>
                </c:pt>
              </c:numCache>
            </c:numRef>
          </c:val>
          <c:extLst>
            <c:ext xmlns:c16="http://schemas.microsoft.com/office/drawing/2014/chart" uri="{C3380CC4-5D6E-409C-BE32-E72D297353CC}">
              <c16:uniqueId val="{00000000-9D60-4FE6-94E6-69D9D3E08C7E}"/>
            </c:ext>
          </c:extLst>
        </c:ser>
        <c:ser>
          <c:idx val="1"/>
          <c:order val="1"/>
          <c:tx>
            <c:strRef>
              <c:f>Personal!$AH$5</c:f>
              <c:strCache>
                <c:ptCount val="1"/>
                <c:pt idx="0">
                  <c:v>Mujeres</c:v>
                </c:pt>
              </c:strCache>
            </c:strRef>
          </c:tx>
          <c:spPr>
            <a:solidFill>
              <a:srgbClr val="6F9CC0"/>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Personal!$AF$6:$AF$31</c:f>
              <c:strCache>
                <c:ptCount val="26"/>
                <c:pt idx="0">
                  <c:v>Igualdad de género y/o derechos de las mujeres</c:v>
                </c:pt>
                <c:pt idx="1">
                  <c:v>Salud</c:v>
                </c:pt>
                <c:pt idx="2">
                  <c:v>Protección y seguridad social</c:v>
                </c:pt>
                <c:pt idx="3">
                  <c:v>Trabajo</c:v>
                </c:pt>
                <c:pt idx="4">
                  <c:v>Educación</c:v>
                </c:pt>
                <c:pt idx="5">
                  <c:v>Reinserción social</c:v>
                </c:pt>
                <c:pt idx="6">
                  <c:v>Desarrollo social</c:v>
                </c:pt>
                <c:pt idx="7">
                  <c:v>Asuntos financieros y hacendarios</c:v>
                </c:pt>
                <c:pt idx="8">
                  <c:v>Desarrollo agrario, territorial, urbano y vivienda</c:v>
                </c:pt>
                <c:pt idx="9">
                  <c:v>Relaciones exteriores</c:v>
                </c:pt>
                <c:pt idx="10">
                  <c:v>Función pública</c:v>
                </c:pt>
                <c:pt idx="11">
                  <c:v>Protección civil</c:v>
                </c:pt>
                <c:pt idx="12">
                  <c:v>Arte, cultura y otras manifestaciones sociales</c:v>
                </c:pt>
                <c:pt idx="13">
                  <c:v>Economía</c:v>
                </c:pt>
                <c:pt idx="14">
                  <c:v>Asuntos jurídicos</c:v>
                </c:pt>
                <c:pt idx="15">
                  <c:v>Despacho del ejecutivo</c:v>
                </c:pt>
                <c:pt idx="16">
                  <c:v>Asuntos indígenas</c:v>
                </c:pt>
                <c:pt idx="17">
                  <c:v>Ciencia, tecnología e innovación</c:v>
                </c:pt>
                <c:pt idx="18">
                  <c:v>Gobierno y política interior</c:v>
                </c:pt>
                <c:pt idx="19">
                  <c:v>Turismo</c:v>
                </c:pt>
                <c:pt idx="20">
                  <c:v>Cultura física y/o deporte</c:v>
                </c:pt>
                <c:pt idx="21">
                  <c:v>Agricultura y desarrollo rural</c:v>
                </c:pt>
                <c:pt idx="22">
                  <c:v>Seguridad nacional</c:v>
                </c:pt>
                <c:pt idx="23">
                  <c:v>Comunicaciones y transportes</c:v>
                </c:pt>
                <c:pt idx="24">
                  <c:v>Seguridad pública o seguridad ciudadana</c:v>
                </c:pt>
                <c:pt idx="25">
                  <c:v>Combustibles y energía</c:v>
                </c:pt>
              </c:strCache>
            </c:strRef>
          </c:cat>
          <c:val>
            <c:numRef>
              <c:f>Personal!$AH$6:$AH$31</c:f>
              <c:numCache>
                <c:formatCode>0.0%</c:formatCode>
                <c:ptCount val="26"/>
                <c:pt idx="0">
                  <c:v>0.67948717948717952</c:v>
                </c:pt>
                <c:pt idx="1">
                  <c:v>0.6030992034757422</c:v>
                </c:pt>
                <c:pt idx="2">
                  <c:v>0.58908143359080745</c:v>
                </c:pt>
                <c:pt idx="3">
                  <c:v>0.56743070362473347</c:v>
                </c:pt>
                <c:pt idx="4">
                  <c:v>0.55367359112010162</c:v>
                </c:pt>
                <c:pt idx="5">
                  <c:v>0.55309489536042522</c:v>
                </c:pt>
                <c:pt idx="6">
                  <c:v>0.53886404293381041</c:v>
                </c:pt>
                <c:pt idx="7">
                  <c:v>0.51735543547239471</c:v>
                </c:pt>
                <c:pt idx="8">
                  <c:v>0.50381679389312972</c:v>
                </c:pt>
                <c:pt idx="9">
                  <c:v>0.50141497298687931</c:v>
                </c:pt>
                <c:pt idx="10">
                  <c:v>0.49151066608619937</c:v>
                </c:pt>
                <c:pt idx="11">
                  <c:v>0.46268656716417911</c:v>
                </c:pt>
                <c:pt idx="12">
                  <c:v>0.4579541716917005</c:v>
                </c:pt>
                <c:pt idx="13">
                  <c:v>0.45750911702950603</c:v>
                </c:pt>
                <c:pt idx="14">
                  <c:v>0.45355191256830601</c:v>
                </c:pt>
                <c:pt idx="15">
                  <c:v>0.45023696682464454</c:v>
                </c:pt>
                <c:pt idx="16">
                  <c:v>0.44661776691116545</c:v>
                </c:pt>
                <c:pt idx="17">
                  <c:v>0.42710630789589765</c:v>
                </c:pt>
                <c:pt idx="18">
                  <c:v>0.42553125962426858</c:v>
                </c:pt>
                <c:pt idx="19">
                  <c:v>0.40328401299169975</c:v>
                </c:pt>
                <c:pt idx="20">
                  <c:v>0.38461538461538464</c:v>
                </c:pt>
                <c:pt idx="21">
                  <c:v>0.37877216377734974</c:v>
                </c:pt>
                <c:pt idx="22">
                  <c:v>0.36927601176305841</c:v>
                </c:pt>
                <c:pt idx="23">
                  <c:v>0.32428143578740332</c:v>
                </c:pt>
                <c:pt idx="24">
                  <c:v>0.27490483706248259</c:v>
                </c:pt>
                <c:pt idx="25">
                  <c:v>0.27241767029148756</c:v>
                </c:pt>
              </c:numCache>
            </c:numRef>
          </c:val>
          <c:extLst>
            <c:ext xmlns:c16="http://schemas.microsoft.com/office/drawing/2014/chart" uri="{C3380CC4-5D6E-409C-BE32-E72D297353CC}">
              <c16:uniqueId val="{00000001-9D60-4FE6-94E6-69D9D3E08C7E}"/>
            </c:ext>
          </c:extLst>
        </c:ser>
        <c:dLbls>
          <c:showLegendKey val="0"/>
          <c:showVal val="0"/>
          <c:showCatName val="0"/>
          <c:showSerName val="0"/>
          <c:showPercent val="0"/>
          <c:showBubbleSize val="0"/>
        </c:dLbls>
        <c:gapWidth val="70"/>
        <c:overlap val="100"/>
        <c:axId val="435512496"/>
        <c:axId val="435507088"/>
      </c:barChart>
      <c:catAx>
        <c:axId val="435512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35507088"/>
        <c:crosses val="autoZero"/>
        <c:auto val="1"/>
        <c:lblAlgn val="ctr"/>
        <c:lblOffset val="100"/>
        <c:noMultiLvlLbl val="0"/>
      </c:catAx>
      <c:valAx>
        <c:axId val="435507088"/>
        <c:scaling>
          <c:orientation val="minMax"/>
          <c:max val="1"/>
        </c:scaling>
        <c:delete val="1"/>
        <c:axPos val="t"/>
        <c:numFmt formatCode="0.0%" sourceLinked="1"/>
        <c:majorTickMark val="none"/>
        <c:minorTickMark val="none"/>
        <c:tickLblPos val="nextTo"/>
        <c:crossAx val="435512496"/>
        <c:crosses val="autoZero"/>
        <c:crossBetween val="between"/>
      </c:valAx>
      <c:spPr>
        <a:noFill/>
        <a:ln>
          <a:noFill/>
        </a:ln>
        <a:effectLst/>
      </c:spPr>
    </c:plotArea>
    <c:legend>
      <c:legendPos val="b"/>
      <c:layout>
        <c:manualLayout>
          <c:xMode val="edge"/>
          <c:yMode val="edge"/>
          <c:x val="0.88367730833033309"/>
          <c:y val="0.31774455159397219"/>
          <c:w val="0.11457855670032059"/>
          <c:h val="7.925919372437996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0365-64EC-4EC3-8A3E-A3EE1AB5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2740</Words>
  <Characters>15076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Comunicado. Censo Nacional de Gobierno Federal  (CNGF) 2021</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Censo Nacional de Gobierno Federal  (CNGF) 2021</dc:title>
  <dc:subject/>
  <dc:creator>INEGI</dc:creator>
  <cp:keywords/>
  <dc:description/>
  <cp:lastModifiedBy>GUILLEN MEDINA MOISES</cp:lastModifiedBy>
  <cp:revision>39</cp:revision>
  <cp:lastPrinted>2022-03-29T23:19:00Z</cp:lastPrinted>
  <dcterms:created xsi:type="dcterms:W3CDTF">2022-04-02T01:57:00Z</dcterms:created>
  <dcterms:modified xsi:type="dcterms:W3CDTF">2022-04-02T02:22:00Z</dcterms:modified>
</cp:coreProperties>
</file>