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E0B2" w14:textId="77777777" w:rsidR="00786CA5" w:rsidRDefault="00786CA5" w:rsidP="00786CA5">
      <w:pPr>
        <w:pStyle w:val="Default"/>
        <w:ind w:right="21"/>
        <w:jc w:val="center"/>
        <w:rPr>
          <w:b/>
          <w:bCs/>
          <w:color w:val="auto"/>
        </w:rPr>
      </w:pPr>
    </w:p>
    <w:p w14:paraId="5534B87D" w14:textId="0BEDBAB8" w:rsidR="00786CA5" w:rsidRPr="00786CA5" w:rsidRDefault="00786CA5" w:rsidP="00786CA5">
      <w:pPr>
        <w:pStyle w:val="Default"/>
        <w:ind w:right="21"/>
        <w:jc w:val="center"/>
        <w:rPr>
          <w:b/>
          <w:bCs/>
          <w:color w:val="auto"/>
        </w:rPr>
      </w:pPr>
      <w:r w:rsidRPr="00786CA5">
        <w:rPr>
          <w:b/>
          <w:bCs/>
          <w:color w:val="auto"/>
        </w:rPr>
        <w:t>CENSO NACIONAL DE IMPARTICIÓN DE JUSTICIA FEDERAL</w:t>
      </w:r>
    </w:p>
    <w:p w14:paraId="0A71DF09" w14:textId="2A56C079" w:rsidR="00FB0F70" w:rsidRDefault="00786CA5" w:rsidP="00786CA5">
      <w:pPr>
        <w:pStyle w:val="Default"/>
        <w:ind w:right="21"/>
        <w:jc w:val="center"/>
        <w:rPr>
          <w:b/>
          <w:bCs/>
          <w:color w:val="auto"/>
        </w:rPr>
      </w:pPr>
      <w:r w:rsidRPr="00786CA5">
        <w:rPr>
          <w:b/>
          <w:bCs/>
          <w:color w:val="auto"/>
        </w:rPr>
        <w:t>(CNIJF) 202</w:t>
      </w:r>
      <w:r>
        <w:rPr>
          <w:b/>
          <w:bCs/>
          <w:color w:val="auto"/>
        </w:rPr>
        <w:t>2</w:t>
      </w:r>
    </w:p>
    <w:p w14:paraId="1ABBF7AC" w14:textId="77777777" w:rsidR="00462B4C" w:rsidRPr="001D1D42" w:rsidRDefault="00462B4C" w:rsidP="00462B4C">
      <w:pPr>
        <w:spacing w:after="0" w:line="240" w:lineRule="auto"/>
        <w:ind w:right="284"/>
        <w:jc w:val="both"/>
        <w:rPr>
          <w:rFonts w:ascii="Arial" w:hAnsi="Arial" w:cs="Arial"/>
          <w:b/>
          <w:bCs/>
          <w:color w:val="FF0000"/>
        </w:rPr>
      </w:pPr>
    </w:p>
    <w:p w14:paraId="31910AE9" w14:textId="577CF0D7" w:rsidR="00786CA5" w:rsidRDefault="00964FC1" w:rsidP="00964FC1">
      <w:pPr>
        <w:pStyle w:val="Prrafodelista1"/>
        <w:numPr>
          <w:ilvl w:val="0"/>
          <w:numId w:val="1"/>
        </w:numPr>
        <w:spacing w:after="100"/>
        <w:ind w:left="568" w:right="590" w:hanging="284"/>
        <w:jc w:val="both"/>
        <w:rPr>
          <w:rFonts w:ascii="Arial" w:hAnsi="Arial" w:cs="Arial"/>
          <w:color w:val="000000"/>
          <w:sz w:val="24"/>
          <w:szCs w:val="24"/>
        </w:rPr>
      </w:pPr>
      <w:r w:rsidRPr="00964FC1">
        <w:rPr>
          <w:rFonts w:ascii="Arial" w:hAnsi="Arial" w:cs="Arial"/>
          <w:color w:val="000000"/>
          <w:sz w:val="24"/>
          <w:szCs w:val="24"/>
        </w:rPr>
        <w:t>Durante 2021, ingresaron 3</w:t>
      </w:r>
      <w:r w:rsidR="0097631A">
        <w:rPr>
          <w:rFonts w:ascii="Arial" w:hAnsi="Arial" w:cs="Arial"/>
          <w:color w:val="000000"/>
          <w:sz w:val="24"/>
          <w:szCs w:val="24"/>
        </w:rPr>
        <w:t xml:space="preserve"> </w:t>
      </w:r>
      <w:r w:rsidRPr="00964FC1">
        <w:rPr>
          <w:rFonts w:ascii="Arial" w:hAnsi="Arial" w:cs="Arial"/>
          <w:color w:val="000000"/>
          <w:sz w:val="24"/>
          <w:szCs w:val="24"/>
        </w:rPr>
        <w:t xml:space="preserve">034 asuntos jurisdiccionales al Pleno de la </w:t>
      </w:r>
      <w:r w:rsidR="005F0A27">
        <w:rPr>
          <w:rFonts w:ascii="Arial" w:hAnsi="Arial" w:cs="Arial"/>
          <w:color w:val="000000"/>
          <w:sz w:val="24"/>
          <w:szCs w:val="24"/>
        </w:rPr>
        <w:t>Suprema Corte de Justicia de la Nación (</w:t>
      </w:r>
      <w:r w:rsidRPr="00964FC1">
        <w:rPr>
          <w:rFonts w:ascii="Arial" w:hAnsi="Arial" w:cs="Arial"/>
          <w:color w:val="000000"/>
          <w:sz w:val="24"/>
          <w:szCs w:val="24"/>
        </w:rPr>
        <w:t>SCJN</w:t>
      </w:r>
      <w:r w:rsidR="005F0A27">
        <w:rPr>
          <w:rFonts w:ascii="Arial" w:hAnsi="Arial" w:cs="Arial"/>
          <w:color w:val="000000"/>
          <w:sz w:val="24"/>
          <w:szCs w:val="24"/>
        </w:rPr>
        <w:t>)</w:t>
      </w:r>
      <w:r w:rsidR="00A93F5D">
        <w:rPr>
          <w:rFonts w:ascii="Arial" w:hAnsi="Arial" w:cs="Arial"/>
          <w:color w:val="000000"/>
          <w:sz w:val="24"/>
          <w:szCs w:val="24"/>
        </w:rPr>
        <w:t xml:space="preserve">. De estos, </w:t>
      </w:r>
      <w:r w:rsidRPr="00964FC1">
        <w:rPr>
          <w:rFonts w:ascii="Arial" w:hAnsi="Arial" w:cs="Arial"/>
          <w:color w:val="000000"/>
          <w:sz w:val="24"/>
          <w:szCs w:val="24"/>
        </w:rPr>
        <w:t>3</w:t>
      </w:r>
      <w:r w:rsidR="0097631A">
        <w:rPr>
          <w:rFonts w:ascii="Arial" w:hAnsi="Arial" w:cs="Arial"/>
          <w:color w:val="000000"/>
          <w:sz w:val="24"/>
          <w:szCs w:val="24"/>
        </w:rPr>
        <w:t xml:space="preserve"> </w:t>
      </w:r>
      <w:r w:rsidRPr="00964FC1">
        <w:rPr>
          <w:rFonts w:ascii="Arial" w:hAnsi="Arial" w:cs="Arial"/>
          <w:color w:val="000000"/>
          <w:sz w:val="24"/>
          <w:szCs w:val="24"/>
        </w:rPr>
        <w:t>008 fueron turnos</w:t>
      </w:r>
      <w:r w:rsidR="000C6F07">
        <w:rPr>
          <w:rStyle w:val="Refdenotaalpie"/>
          <w:rFonts w:ascii="Arial" w:hAnsi="Arial" w:cs="Arial"/>
          <w:color w:val="000000"/>
          <w:sz w:val="24"/>
          <w:szCs w:val="24"/>
        </w:rPr>
        <w:footnoteReference w:id="2"/>
      </w:r>
      <w:r w:rsidRPr="00964FC1">
        <w:rPr>
          <w:rFonts w:ascii="Arial" w:hAnsi="Arial" w:cs="Arial"/>
          <w:color w:val="000000"/>
          <w:sz w:val="24"/>
          <w:szCs w:val="24"/>
        </w:rPr>
        <w:t xml:space="preserve"> y 26 recibidos de las Salas. En el mismo periodo, se resolvieron 392 asuntos, mientras que 2</w:t>
      </w:r>
      <w:r w:rsidR="0097631A">
        <w:rPr>
          <w:rFonts w:ascii="Arial" w:hAnsi="Arial" w:cs="Arial"/>
          <w:color w:val="000000"/>
          <w:sz w:val="24"/>
          <w:szCs w:val="24"/>
        </w:rPr>
        <w:t xml:space="preserve"> </w:t>
      </w:r>
      <w:r w:rsidRPr="00964FC1">
        <w:rPr>
          <w:rFonts w:ascii="Arial" w:hAnsi="Arial" w:cs="Arial"/>
          <w:color w:val="000000"/>
          <w:sz w:val="24"/>
          <w:szCs w:val="24"/>
        </w:rPr>
        <w:t xml:space="preserve">854 </w:t>
      </w:r>
      <w:r w:rsidR="00790186">
        <w:rPr>
          <w:rFonts w:ascii="Arial" w:hAnsi="Arial" w:cs="Arial"/>
          <w:color w:val="000000"/>
          <w:sz w:val="24"/>
          <w:szCs w:val="24"/>
        </w:rPr>
        <w:t xml:space="preserve">se enviaron </w:t>
      </w:r>
      <w:r w:rsidRPr="00964FC1">
        <w:rPr>
          <w:rFonts w:ascii="Arial" w:hAnsi="Arial" w:cs="Arial"/>
          <w:color w:val="000000"/>
          <w:sz w:val="24"/>
          <w:szCs w:val="24"/>
        </w:rPr>
        <w:t>a otro órgano. Comparado con 2020, se observ</w:t>
      </w:r>
      <w:r w:rsidR="00790186">
        <w:rPr>
          <w:rFonts w:ascii="Arial" w:hAnsi="Arial" w:cs="Arial"/>
          <w:color w:val="000000"/>
          <w:sz w:val="24"/>
          <w:szCs w:val="24"/>
        </w:rPr>
        <w:t>ó</w:t>
      </w:r>
      <w:r w:rsidRPr="00964FC1">
        <w:rPr>
          <w:rFonts w:ascii="Arial" w:hAnsi="Arial" w:cs="Arial"/>
          <w:color w:val="000000"/>
          <w:sz w:val="24"/>
          <w:szCs w:val="24"/>
        </w:rPr>
        <w:t xml:space="preserve"> una disminución de 14.8</w:t>
      </w:r>
      <w:r w:rsidR="0097631A">
        <w:rPr>
          <w:rFonts w:ascii="Arial" w:hAnsi="Arial" w:cs="Arial"/>
          <w:color w:val="000000"/>
          <w:sz w:val="24"/>
          <w:szCs w:val="24"/>
        </w:rPr>
        <w:t xml:space="preserve"> </w:t>
      </w:r>
      <w:r w:rsidRPr="00964FC1">
        <w:rPr>
          <w:rFonts w:ascii="Arial" w:hAnsi="Arial" w:cs="Arial"/>
          <w:color w:val="000000"/>
          <w:sz w:val="24"/>
          <w:szCs w:val="24"/>
        </w:rPr>
        <w:t>% en el número de asuntos ingresados y de 4.7</w:t>
      </w:r>
      <w:r w:rsidR="0097631A">
        <w:rPr>
          <w:rFonts w:ascii="Arial" w:hAnsi="Arial" w:cs="Arial"/>
          <w:color w:val="000000"/>
          <w:sz w:val="24"/>
          <w:szCs w:val="24"/>
        </w:rPr>
        <w:t xml:space="preserve"> </w:t>
      </w:r>
      <w:r w:rsidRPr="00964FC1">
        <w:rPr>
          <w:rFonts w:ascii="Arial" w:hAnsi="Arial" w:cs="Arial"/>
          <w:color w:val="000000"/>
          <w:sz w:val="24"/>
          <w:szCs w:val="24"/>
        </w:rPr>
        <w:t>% en el número de asuntos resueltos.</w:t>
      </w:r>
    </w:p>
    <w:p w14:paraId="4EFF6446" w14:textId="6F303A73" w:rsidR="00964FC1" w:rsidRDefault="00964FC1" w:rsidP="00964FC1">
      <w:pPr>
        <w:pStyle w:val="Prrafodelista1"/>
        <w:numPr>
          <w:ilvl w:val="0"/>
          <w:numId w:val="1"/>
        </w:numPr>
        <w:spacing w:after="100"/>
        <w:ind w:left="568" w:right="590" w:hanging="284"/>
        <w:jc w:val="both"/>
        <w:rPr>
          <w:rFonts w:ascii="Arial" w:hAnsi="Arial" w:cs="Arial"/>
          <w:color w:val="000000"/>
          <w:sz w:val="24"/>
          <w:szCs w:val="24"/>
        </w:rPr>
      </w:pPr>
      <w:r w:rsidRPr="00964FC1">
        <w:rPr>
          <w:rFonts w:ascii="Arial" w:hAnsi="Arial" w:cs="Arial"/>
          <w:color w:val="000000"/>
          <w:sz w:val="24"/>
          <w:szCs w:val="24"/>
        </w:rPr>
        <w:t>En el mismo periodo, ingresaron 18</w:t>
      </w:r>
      <w:r w:rsidR="0097631A">
        <w:rPr>
          <w:rFonts w:ascii="Arial" w:hAnsi="Arial" w:cs="Arial"/>
          <w:color w:val="000000"/>
          <w:sz w:val="24"/>
          <w:szCs w:val="24"/>
        </w:rPr>
        <w:t xml:space="preserve"> </w:t>
      </w:r>
      <w:r w:rsidRPr="00964FC1">
        <w:rPr>
          <w:rFonts w:ascii="Arial" w:hAnsi="Arial" w:cs="Arial"/>
          <w:color w:val="000000"/>
          <w:sz w:val="24"/>
          <w:szCs w:val="24"/>
        </w:rPr>
        <w:t xml:space="preserve">302 asuntos a los órganos jurisdiccionales del </w:t>
      </w:r>
      <w:r w:rsidR="00BB191B">
        <w:rPr>
          <w:rFonts w:ascii="Arial" w:hAnsi="Arial" w:cs="Arial"/>
          <w:color w:val="000000"/>
          <w:sz w:val="24"/>
          <w:szCs w:val="24"/>
        </w:rPr>
        <w:t>Tribunal Electoral del Poder Judicial de la Federación (</w:t>
      </w:r>
      <w:r w:rsidRPr="00964FC1">
        <w:rPr>
          <w:rFonts w:ascii="Arial" w:hAnsi="Arial" w:cs="Arial"/>
          <w:color w:val="000000"/>
          <w:sz w:val="24"/>
          <w:szCs w:val="24"/>
        </w:rPr>
        <w:t>TEPJF</w:t>
      </w:r>
      <w:r w:rsidR="00BB191B">
        <w:rPr>
          <w:rFonts w:ascii="Arial" w:hAnsi="Arial" w:cs="Arial"/>
          <w:color w:val="000000"/>
          <w:sz w:val="24"/>
          <w:szCs w:val="24"/>
        </w:rPr>
        <w:t>)</w:t>
      </w:r>
      <w:r w:rsidR="00A93F5D">
        <w:rPr>
          <w:rFonts w:ascii="Arial" w:hAnsi="Arial" w:cs="Arial"/>
          <w:color w:val="000000"/>
          <w:sz w:val="24"/>
          <w:szCs w:val="24"/>
        </w:rPr>
        <w:t>; 1</w:t>
      </w:r>
      <w:r w:rsidRPr="00964FC1">
        <w:rPr>
          <w:rFonts w:ascii="Arial" w:hAnsi="Arial" w:cs="Arial"/>
          <w:color w:val="000000"/>
          <w:sz w:val="24"/>
          <w:szCs w:val="24"/>
        </w:rPr>
        <w:t>8</w:t>
      </w:r>
      <w:r w:rsidR="0097631A">
        <w:rPr>
          <w:rFonts w:ascii="Arial" w:hAnsi="Arial" w:cs="Arial"/>
          <w:color w:val="000000"/>
          <w:sz w:val="24"/>
          <w:szCs w:val="24"/>
        </w:rPr>
        <w:t xml:space="preserve"> </w:t>
      </w:r>
      <w:r w:rsidRPr="00964FC1">
        <w:rPr>
          <w:rFonts w:ascii="Arial" w:hAnsi="Arial" w:cs="Arial"/>
          <w:color w:val="000000"/>
          <w:sz w:val="24"/>
          <w:szCs w:val="24"/>
        </w:rPr>
        <w:t xml:space="preserve">062 fueron resueltos. En comparación con </w:t>
      </w:r>
      <w:r w:rsidR="006D62BB" w:rsidRPr="00964FC1">
        <w:rPr>
          <w:rFonts w:ascii="Arial" w:hAnsi="Arial" w:cs="Arial"/>
          <w:color w:val="000000"/>
          <w:sz w:val="24"/>
          <w:szCs w:val="24"/>
        </w:rPr>
        <w:t>2020,</w:t>
      </w:r>
      <w:r w:rsidRPr="00964FC1">
        <w:rPr>
          <w:rFonts w:ascii="Arial" w:hAnsi="Arial" w:cs="Arial"/>
          <w:color w:val="000000"/>
          <w:sz w:val="24"/>
          <w:szCs w:val="24"/>
        </w:rPr>
        <w:t xml:space="preserve"> los asuntos ingresados aumentaron 26.0</w:t>
      </w:r>
      <w:r w:rsidR="0097631A">
        <w:rPr>
          <w:rFonts w:ascii="Arial" w:hAnsi="Arial" w:cs="Arial"/>
          <w:color w:val="000000"/>
          <w:sz w:val="24"/>
          <w:szCs w:val="24"/>
        </w:rPr>
        <w:t xml:space="preserve"> </w:t>
      </w:r>
      <w:r w:rsidRPr="00964FC1">
        <w:rPr>
          <w:rFonts w:ascii="Arial" w:hAnsi="Arial" w:cs="Arial"/>
          <w:color w:val="000000"/>
          <w:sz w:val="24"/>
          <w:szCs w:val="24"/>
        </w:rPr>
        <w:t>%</w:t>
      </w:r>
      <w:r w:rsidR="00A15905">
        <w:rPr>
          <w:rFonts w:ascii="Arial" w:hAnsi="Arial" w:cs="Arial"/>
          <w:color w:val="000000"/>
          <w:sz w:val="24"/>
          <w:szCs w:val="24"/>
        </w:rPr>
        <w:t xml:space="preserve"> y </w:t>
      </w:r>
      <w:r w:rsidRPr="00964FC1">
        <w:rPr>
          <w:rFonts w:ascii="Arial" w:hAnsi="Arial" w:cs="Arial"/>
          <w:color w:val="000000"/>
          <w:sz w:val="24"/>
          <w:szCs w:val="24"/>
        </w:rPr>
        <w:t>los asuntos resueltos</w:t>
      </w:r>
      <w:r w:rsidR="00A93F5D">
        <w:rPr>
          <w:rFonts w:ascii="Arial" w:hAnsi="Arial" w:cs="Arial"/>
          <w:color w:val="000000"/>
          <w:sz w:val="24"/>
          <w:szCs w:val="24"/>
        </w:rPr>
        <w:t>,</w:t>
      </w:r>
      <w:r w:rsidRPr="00964FC1">
        <w:rPr>
          <w:rFonts w:ascii="Arial" w:hAnsi="Arial" w:cs="Arial"/>
          <w:color w:val="000000"/>
          <w:sz w:val="24"/>
          <w:szCs w:val="24"/>
        </w:rPr>
        <w:t xml:space="preserve"> 24.1</w:t>
      </w:r>
      <w:r w:rsidR="0097631A">
        <w:rPr>
          <w:rFonts w:ascii="Arial" w:hAnsi="Arial" w:cs="Arial"/>
          <w:color w:val="000000"/>
          <w:sz w:val="24"/>
          <w:szCs w:val="24"/>
        </w:rPr>
        <w:t xml:space="preserve"> </w:t>
      </w:r>
      <w:r w:rsidR="00A15905">
        <w:rPr>
          <w:rFonts w:ascii="Arial" w:hAnsi="Arial" w:cs="Arial"/>
          <w:color w:val="000000"/>
          <w:sz w:val="24"/>
          <w:szCs w:val="24"/>
        </w:rPr>
        <w:t>por ciento</w:t>
      </w:r>
      <w:r w:rsidRPr="00964FC1">
        <w:rPr>
          <w:rFonts w:ascii="Arial" w:hAnsi="Arial" w:cs="Arial"/>
          <w:color w:val="000000"/>
          <w:sz w:val="24"/>
          <w:szCs w:val="24"/>
        </w:rPr>
        <w:t>.</w:t>
      </w:r>
    </w:p>
    <w:p w14:paraId="118D4FB8" w14:textId="7E3B3625" w:rsidR="00964FC1" w:rsidRDefault="00964FC1" w:rsidP="00964FC1">
      <w:pPr>
        <w:pStyle w:val="Prrafodelista1"/>
        <w:numPr>
          <w:ilvl w:val="0"/>
          <w:numId w:val="1"/>
        </w:numPr>
        <w:spacing w:after="100"/>
        <w:ind w:left="568" w:right="590" w:hanging="284"/>
        <w:jc w:val="both"/>
        <w:rPr>
          <w:rFonts w:ascii="Arial" w:hAnsi="Arial" w:cs="Arial"/>
          <w:color w:val="000000"/>
          <w:sz w:val="24"/>
          <w:szCs w:val="24"/>
        </w:rPr>
      </w:pPr>
      <w:r w:rsidRPr="00964FC1">
        <w:rPr>
          <w:rFonts w:ascii="Arial" w:hAnsi="Arial" w:cs="Arial"/>
          <w:color w:val="000000"/>
          <w:sz w:val="24"/>
          <w:szCs w:val="24"/>
        </w:rPr>
        <w:t xml:space="preserve">Respecto a los </w:t>
      </w:r>
      <w:r w:rsidR="006D62BB">
        <w:rPr>
          <w:rFonts w:ascii="Arial" w:hAnsi="Arial" w:cs="Arial"/>
          <w:color w:val="000000"/>
          <w:sz w:val="24"/>
          <w:szCs w:val="24"/>
        </w:rPr>
        <w:t>órganos jurisdiccionales del Consejo de la Judicatura Federal</w:t>
      </w:r>
      <w:r w:rsidR="00BB191B">
        <w:rPr>
          <w:rFonts w:ascii="Arial" w:hAnsi="Arial" w:cs="Arial"/>
          <w:color w:val="000000"/>
          <w:sz w:val="24"/>
          <w:szCs w:val="24"/>
        </w:rPr>
        <w:t xml:space="preserve"> (CJF)</w:t>
      </w:r>
      <w:r w:rsidRPr="00964FC1">
        <w:rPr>
          <w:rFonts w:ascii="Arial" w:hAnsi="Arial" w:cs="Arial"/>
          <w:color w:val="000000"/>
          <w:sz w:val="24"/>
          <w:szCs w:val="24"/>
        </w:rPr>
        <w:t>, durante 2021 ingres</w:t>
      </w:r>
      <w:r w:rsidR="006D62BB">
        <w:rPr>
          <w:rFonts w:ascii="Arial" w:hAnsi="Arial" w:cs="Arial"/>
          <w:color w:val="000000"/>
          <w:sz w:val="24"/>
          <w:szCs w:val="24"/>
        </w:rPr>
        <w:t>aron</w:t>
      </w:r>
      <w:r w:rsidRPr="00964FC1">
        <w:rPr>
          <w:rFonts w:ascii="Arial" w:hAnsi="Arial" w:cs="Arial"/>
          <w:color w:val="000000"/>
          <w:sz w:val="24"/>
          <w:szCs w:val="24"/>
        </w:rPr>
        <w:t xml:space="preserve"> a estos órganos 1</w:t>
      </w:r>
      <w:r w:rsidR="001214D8">
        <w:rPr>
          <w:rFonts w:ascii="Arial" w:hAnsi="Arial" w:cs="Arial"/>
          <w:color w:val="000000"/>
          <w:sz w:val="24"/>
          <w:szCs w:val="24"/>
        </w:rPr>
        <w:t xml:space="preserve"> </w:t>
      </w:r>
      <w:r w:rsidRPr="00964FC1">
        <w:rPr>
          <w:rFonts w:ascii="Arial" w:hAnsi="Arial" w:cs="Arial"/>
          <w:color w:val="000000"/>
          <w:sz w:val="24"/>
          <w:szCs w:val="24"/>
        </w:rPr>
        <w:t>066</w:t>
      </w:r>
      <w:r w:rsidR="0097631A">
        <w:rPr>
          <w:rFonts w:ascii="Arial" w:hAnsi="Arial" w:cs="Arial"/>
          <w:color w:val="000000"/>
          <w:sz w:val="24"/>
          <w:szCs w:val="24"/>
        </w:rPr>
        <w:t xml:space="preserve"> </w:t>
      </w:r>
      <w:r w:rsidRPr="00964FC1">
        <w:rPr>
          <w:rFonts w:ascii="Arial" w:hAnsi="Arial" w:cs="Arial"/>
          <w:color w:val="000000"/>
          <w:sz w:val="24"/>
          <w:szCs w:val="24"/>
        </w:rPr>
        <w:t>829 asuntos en todas las materias</w:t>
      </w:r>
      <w:r w:rsidR="00A93F5D">
        <w:rPr>
          <w:rFonts w:ascii="Arial" w:hAnsi="Arial" w:cs="Arial"/>
          <w:color w:val="000000"/>
          <w:sz w:val="24"/>
          <w:szCs w:val="24"/>
        </w:rPr>
        <w:t xml:space="preserve">. Hubo </w:t>
      </w:r>
      <w:r w:rsidRPr="00964FC1">
        <w:rPr>
          <w:rFonts w:ascii="Arial" w:hAnsi="Arial" w:cs="Arial"/>
          <w:color w:val="000000"/>
          <w:sz w:val="24"/>
          <w:szCs w:val="24"/>
        </w:rPr>
        <w:t>983</w:t>
      </w:r>
      <w:r w:rsidR="0097631A">
        <w:rPr>
          <w:rFonts w:ascii="Arial" w:hAnsi="Arial" w:cs="Arial"/>
          <w:color w:val="000000"/>
          <w:sz w:val="24"/>
          <w:szCs w:val="24"/>
        </w:rPr>
        <w:t xml:space="preserve"> </w:t>
      </w:r>
      <w:r w:rsidRPr="00964FC1">
        <w:rPr>
          <w:rFonts w:ascii="Arial" w:hAnsi="Arial" w:cs="Arial"/>
          <w:color w:val="000000"/>
          <w:sz w:val="24"/>
          <w:szCs w:val="24"/>
        </w:rPr>
        <w:t>249</w:t>
      </w:r>
      <w:r w:rsidR="00A93F5D">
        <w:rPr>
          <w:rFonts w:ascii="Arial" w:hAnsi="Arial" w:cs="Arial"/>
          <w:color w:val="000000"/>
          <w:sz w:val="24"/>
          <w:szCs w:val="24"/>
        </w:rPr>
        <w:t xml:space="preserve"> asuntos resueltos</w:t>
      </w:r>
      <w:r w:rsidRPr="00964FC1">
        <w:rPr>
          <w:rFonts w:ascii="Arial" w:hAnsi="Arial" w:cs="Arial"/>
          <w:color w:val="000000"/>
          <w:sz w:val="24"/>
          <w:szCs w:val="24"/>
        </w:rPr>
        <w:t>. Comparado con 2020, las cifras reportadas presentan aumento</w:t>
      </w:r>
      <w:r w:rsidR="006D62BB">
        <w:rPr>
          <w:rFonts w:ascii="Arial" w:hAnsi="Arial" w:cs="Arial"/>
          <w:color w:val="000000"/>
          <w:sz w:val="24"/>
          <w:szCs w:val="24"/>
        </w:rPr>
        <w:t>s</w:t>
      </w:r>
      <w:r w:rsidRPr="00964FC1">
        <w:rPr>
          <w:rFonts w:ascii="Arial" w:hAnsi="Arial" w:cs="Arial"/>
          <w:color w:val="000000"/>
          <w:sz w:val="24"/>
          <w:szCs w:val="24"/>
        </w:rPr>
        <w:t xml:space="preserve"> de 54.8 y 49.1</w:t>
      </w:r>
      <w:r w:rsidR="0097631A">
        <w:rPr>
          <w:rFonts w:ascii="Arial" w:hAnsi="Arial" w:cs="Arial"/>
          <w:color w:val="000000"/>
          <w:sz w:val="24"/>
          <w:szCs w:val="24"/>
        </w:rPr>
        <w:t xml:space="preserve"> </w:t>
      </w:r>
      <w:r w:rsidRPr="00964FC1">
        <w:rPr>
          <w:rFonts w:ascii="Arial" w:hAnsi="Arial" w:cs="Arial"/>
          <w:color w:val="000000"/>
          <w:sz w:val="24"/>
          <w:szCs w:val="24"/>
        </w:rPr>
        <w:t>%, respectivamente.</w:t>
      </w:r>
    </w:p>
    <w:p w14:paraId="51B0817D" w14:textId="77777777" w:rsidR="008E0EEB" w:rsidRPr="00964FC1" w:rsidRDefault="008E0EEB" w:rsidP="008E0EEB">
      <w:pPr>
        <w:pStyle w:val="Prrafodelista1"/>
        <w:spacing w:after="100"/>
        <w:ind w:left="568" w:right="590"/>
        <w:jc w:val="both"/>
        <w:rPr>
          <w:rFonts w:ascii="Arial" w:hAnsi="Arial" w:cs="Arial"/>
          <w:color w:val="000000"/>
          <w:sz w:val="24"/>
          <w:szCs w:val="24"/>
        </w:rPr>
      </w:pPr>
    </w:p>
    <w:p w14:paraId="768B0E42" w14:textId="60382EB2" w:rsidR="00BF58D2" w:rsidRDefault="00462B4C" w:rsidP="00786CA5">
      <w:pPr>
        <w:spacing w:after="0" w:line="240" w:lineRule="auto"/>
        <w:jc w:val="both"/>
        <w:rPr>
          <w:rFonts w:ascii="Arial" w:hAnsi="Arial" w:cs="Arial"/>
          <w:sz w:val="24"/>
          <w:szCs w:val="24"/>
        </w:rPr>
      </w:pPr>
      <w:r w:rsidRPr="009B5EC5">
        <w:rPr>
          <w:rFonts w:ascii="Arial" w:hAnsi="Arial" w:cs="Arial"/>
          <w:sz w:val="24"/>
          <w:szCs w:val="24"/>
        </w:rPr>
        <w:t xml:space="preserve">El Instituto Nacional de Estadística y Geografía (INEGI) da a conocer </w:t>
      </w:r>
      <w:r w:rsidR="0097631A">
        <w:rPr>
          <w:rFonts w:ascii="Arial" w:hAnsi="Arial" w:cs="Arial"/>
          <w:sz w:val="24"/>
          <w:szCs w:val="24"/>
        </w:rPr>
        <w:t>los resultados d</w:t>
      </w:r>
      <w:r w:rsidR="00786CA5" w:rsidRPr="009B5EC5">
        <w:rPr>
          <w:rFonts w:ascii="Arial" w:hAnsi="Arial" w:cs="Arial"/>
          <w:sz w:val="24"/>
          <w:szCs w:val="24"/>
        </w:rPr>
        <w:t xml:space="preserve">el </w:t>
      </w:r>
      <w:r w:rsidR="00786CA5" w:rsidRPr="00786CA5">
        <w:rPr>
          <w:rFonts w:ascii="Arial" w:hAnsi="Arial" w:cs="Arial"/>
          <w:sz w:val="24"/>
          <w:szCs w:val="24"/>
        </w:rPr>
        <w:t>Censo Nacional de</w:t>
      </w:r>
      <w:r w:rsidR="0097631A">
        <w:rPr>
          <w:rFonts w:ascii="Arial" w:hAnsi="Arial" w:cs="Arial"/>
          <w:sz w:val="24"/>
          <w:szCs w:val="24"/>
        </w:rPr>
        <w:t xml:space="preserve"> </w:t>
      </w:r>
      <w:r w:rsidR="00786CA5" w:rsidRPr="00786CA5">
        <w:rPr>
          <w:rFonts w:ascii="Arial" w:hAnsi="Arial" w:cs="Arial"/>
          <w:sz w:val="24"/>
          <w:szCs w:val="24"/>
        </w:rPr>
        <w:t>Impartición de Justicia Federal (CNIJF)</w:t>
      </w:r>
      <w:r w:rsidR="00786CA5">
        <w:rPr>
          <w:rFonts w:ascii="Arial" w:hAnsi="Arial" w:cs="Arial"/>
          <w:sz w:val="24"/>
          <w:szCs w:val="24"/>
        </w:rPr>
        <w:t xml:space="preserve"> </w:t>
      </w:r>
      <w:r w:rsidR="001D1D42" w:rsidRPr="009B5EC5">
        <w:rPr>
          <w:rFonts w:ascii="Arial" w:hAnsi="Arial" w:cs="Arial"/>
          <w:sz w:val="24"/>
          <w:szCs w:val="24"/>
        </w:rPr>
        <w:t>202</w:t>
      </w:r>
      <w:r w:rsidR="00786CA5">
        <w:rPr>
          <w:rFonts w:ascii="Arial" w:hAnsi="Arial" w:cs="Arial"/>
          <w:sz w:val="24"/>
          <w:szCs w:val="24"/>
        </w:rPr>
        <w:t>2</w:t>
      </w:r>
      <w:r w:rsidR="00BF58D2">
        <w:rPr>
          <w:rFonts w:ascii="Arial" w:hAnsi="Arial" w:cs="Arial"/>
          <w:sz w:val="24"/>
          <w:szCs w:val="24"/>
        </w:rPr>
        <w:t>.</w:t>
      </w:r>
    </w:p>
    <w:p w14:paraId="075601BD" w14:textId="77777777" w:rsidR="00BF58D2" w:rsidRDefault="00BF58D2" w:rsidP="00A056F0">
      <w:pPr>
        <w:spacing w:after="0" w:line="240" w:lineRule="auto"/>
        <w:jc w:val="both"/>
        <w:rPr>
          <w:rFonts w:ascii="Arial" w:hAnsi="Arial" w:cs="Arial"/>
          <w:sz w:val="24"/>
          <w:szCs w:val="24"/>
        </w:rPr>
      </w:pPr>
    </w:p>
    <w:p w14:paraId="4A10B5D7" w14:textId="56EC3DC2" w:rsidR="00BF58D2" w:rsidRDefault="00BF58D2" w:rsidP="00A056F0">
      <w:pPr>
        <w:spacing w:after="0" w:line="240" w:lineRule="auto"/>
        <w:jc w:val="both"/>
        <w:rPr>
          <w:rFonts w:ascii="Arial" w:hAnsi="Arial" w:cs="Arial"/>
          <w:sz w:val="24"/>
          <w:szCs w:val="24"/>
        </w:rPr>
      </w:pPr>
      <w:r w:rsidRPr="00846BAE">
        <w:rPr>
          <w:rFonts w:ascii="Arial" w:hAnsi="Arial" w:cs="Arial"/>
          <w:sz w:val="24"/>
          <w:szCs w:val="24"/>
        </w:rPr>
        <w:t>Este</w:t>
      </w:r>
      <w:r w:rsidR="00462B4C" w:rsidRPr="00846BAE">
        <w:rPr>
          <w:rFonts w:ascii="Arial" w:hAnsi="Arial" w:cs="Arial"/>
          <w:sz w:val="24"/>
          <w:szCs w:val="24"/>
        </w:rPr>
        <w:t xml:space="preserve"> programa estadístico ofrece información sobre </w:t>
      </w:r>
      <w:r w:rsidR="00846BAE" w:rsidRPr="00846BAE">
        <w:rPr>
          <w:rFonts w:ascii="Arial" w:hAnsi="Arial" w:cs="Arial"/>
          <w:sz w:val="24"/>
          <w:szCs w:val="24"/>
        </w:rPr>
        <w:t>la gestión y desempeño de los órganos que integran el Poder Judicial de la Federación, específicamente</w:t>
      </w:r>
      <w:r w:rsidR="00790186">
        <w:rPr>
          <w:rFonts w:ascii="Arial" w:hAnsi="Arial" w:cs="Arial"/>
          <w:sz w:val="24"/>
          <w:szCs w:val="24"/>
        </w:rPr>
        <w:t>,</w:t>
      </w:r>
      <w:r w:rsidR="00846BAE" w:rsidRPr="00846BAE">
        <w:rPr>
          <w:rFonts w:ascii="Arial" w:hAnsi="Arial" w:cs="Arial"/>
          <w:sz w:val="24"/>
          <w:szCs w:val="24"/>
        </w:rPr>
        <w:t xml:space="preserve"> en las funciones de gobierno e impartición de justicia</w:t>
      </w:r>
      <w:r w:rsidR="00A93F5D">
        <w:rPr>
          <w:rFonts w:ascii="Arial" w:hAnsi="Arial" w:cs="Arial"/>
          <w:sz w:val="24"/>
          <w:szCs w:val="24"/>
        </w:rPr>
        <w:t xml:space="preserve">. La </w:t>
      </w:r>
      <w:r w:rsidR="00846BAE" w:rsidRPr="00846BAE">
        <w:rPr>
          <w:rFonts w:ascii="Arial" w:hAnsi="Arial" w:cs="Arial"/>
          <w:sz w:val="24"/>
          <w:szCs w:val="24"/>
        </w:rPr>
        <w:t xml:space="preserve">finalidad </w:t>
      </w:r>
      <w:r w:rsidR="00A93F5D">
        <w:rPr>
          <w:rFonts w:ascii="Arial" w:hAnsi="Arial" w:cs="Arial"/>
          <w:sz w:val="24"/>
          <w:szCs w:val="24"/>
        </w:rPr>
        <w:t xml:space="preserve">es que esta se </w:t>
      </w:r>
      <w:r w:rsidR="00846BAE" w:rsidRPr="00846BAE">
        <w:rPr>
          <w:rFonts w:ascii="Arial" w:hAnsi="Arial" w:cs="Arial"/>
          <w:sz w:val="24"/>
          <w:szCs w:val="24"/>
        </w:rPr>
        <w:t xml:space="preserve">vincule con el quehacer gubernamental dentro del proceso de diseño, implementación, monitoreo y evaluación de las políticas públicas de alcance nacional en los </w:t>
      </w:r>
      <w:r w:rsidR="00A93F5D">
        <w:rPr>
          <w:rFonts w:ascii="Arial" w:hAnsi="Arial" w:cs="Arial"/>
          <w:sz w:val="24"/>
          <w:szCs w:val="24"/>
        </w:rPr>
        <w:t xml:space="preserve">temas </w:t>
      </w:r>
      <w:r w:rsidR="00846BAE" w:rsidRPr="00846BAE">
        <w:rPr>
          <w:rFonts w:ascii="Arial" w:hAnsi="Arial" w:cs="Arial"/>
          <w:sz w:val="24"/>
          <w:szCs w:val="24"/>
        </w:rPr>
        <w:t>referidos</w:t>
      </w:r>
      <w:r w:rsidR="00A93F5D">
        <w:rPr>
          <w:rFonts w:ascii="Arial" w:hAnsi="Arial" w:cs="Arial"/>
          <w:sz w:val="24"/>
          <w:szCs w:val="24"/>
        </w:rPr>
        <w:t xml:space="preserve">. </w:t>
      </w:r>
    </w:p>
    <w:p w14:paraId="23F18327" w14:textId="77777777" w:rsidR="00705E1A" w:rsidRDefault="00705E1A" w:rsidP="00A056F0">
      <w:pPr>
        <w:spacing w:after="0" w:line="240" w:lineRule="auto"/>
        <w:jc w:val="both"/>
        <w:rPr>
          <w:rFonts w:ascii="Arial" w:hAnsi="Arial" w:cs="Arial"/>
          <w:sz w:val="24"/>
          <w:szCs w:val="24"/>
        </w:rPr>
      </w:pPr>
    </w:p>
    <w:p w14:paraId="744CFBA9" w14:textId="6F3AC368" w:rsidR="0005255F" w:rsidRDefault="00BF58D2" w:rsidP="0005255F">
      <w:pPr>
        <w:spacing w:after="0" w:line="240" w:lineRule="auto"/>
        <w:jc w:val="both"/>
        <w:rPr>
          <w:rFonts w:ascii="Arial" w:hAnsi="Arial" w:cs="Arial"/>
          <w:b/>
          <w:smallCaps/>
          <w:sz w:val="24"/>
          <w:szCs w:val="24"/>
        </w:rPr>
      </w:pPr>
      <w:r w:rsidRPr="00BF58D2">
        <w:rPr>
          <w:rFonts w:ascii="Arial" w:hAnsi="Arial" w:cs="Arial"/>
          <w:b/>
          <w:smallCaps/>
          <w:sz w:val="24"/>
          <w:szCs w:val="24"/>
        </w:rPr>
        <w:t>Principales resultados</w:t>
      </w:r>
    </w:p>
    <w:p w14:paraId="0EC0EBC5" w14:textId="77777777" w:rsidR="0005255F" w:rsidRDefault="0005255F" w:rsidP="0005255F">
      <w:pPr>
        <w:spacing w:after="0" w:line="240" w:lineRule="auto"/>
        <w:jc w:val="both"/>
        <w:rPr>
          <w:rFonts w:ascii="Arial Negrita" w:hAnsi="Arial Negrita" w:cs="Arial"/>
          <w:b/>
          <w:bCs/>
          <w:smallCaps/>
          <w:sz w:val="24"/>
          <w:szCs w:val="24"/>
        </w:rPr>
      </w:pPr>
    </w:p>
    <w:p w14:paraId="4D06225E" w14:textId="22366966" w:rsidR="00A6519D" w:rsidRPr="00511B07" w:rsidRDefault="00F53654" w:rsidP="00BA306B">
      <w:pPr>
        <w:pStyle w:val="Prrafodelista"/>
        <w:numPr>
          <w:ilvl w:val="0"/>
          <w:numId w:val="30"/>
        </w:numPr>
        <w:spacing w:after="0" w:line="240" w:lineRule="auto"/>
        <w:jc w:val="both"/>
        <w:rPr>
          <w:rFonts w:ascii="Arial Negrita" w:hAnsi="Arial Negrita" w:cs="Arial"/>
          <w:b/>
          <w:bCs/>
          <w:smallCaps/>
          <w:sz w:val="24"/>
          <w:szCs w:val="24"/>
        </w:rPr>
      </w:pPr>
      <w:r w:rsidRPr="00511B07">
        <w:rPr>
          <w:rFonts w:ascii="Arial Negrita" w:hAnsi="Arial Negrita" w:cs="Arial"/>
          <w:b/>
          <w:bCs/>
          <w:smallCaps/>
          <w:sz w:val="24"/>
          <w:szCs w:val="24"/>
        </w:rPr>
        <w:t>Estructura organizacional y recursos</w:t>
      </w:r>
    </w:p>
    <w:p w14:paraId="1C7628CD" w14:textId="77777777" w:rsidR="00F53654" w:rsidRPr="008A73DF" w:rsidRDefault="00F53654" w:rsidP="00593C21">
      <w:pPr>
        <w:spacing w:after="0" w:line="240" w:lineRule="auto"/>
        <w:jc w:val="both"/>
        <w:rPr>
          <w:rFonts w:ascii="Arial" w:hAnsi="Arial" w:cs="Arial"/>
          <w:sz w:val="24"/>
          <w:szCs w:val="24"/>
        </w:rPr>
      </w:pPr>
    </w:p>
    <w:p w14:paraId="4545DDFB" w14:textId="4C621413" w:rsidR="00C869D6" w:rsidRDefault="00C869D6" w:rsidP="0005255F">
      <w:pPr>
        <w:pStyle w:val="Default"/>
        <w:jc w:val="both"/>
      </w:pPr>
      <w:r w:rsidRPr="006041D2">
        <w:t xml:space="preserve">A partir de la información, es posible conocer las características de la estructura organizacional y recursos con los que cuenta el Poder Judicial de la Federación (PJF). </w:t>
      </w:r>
      <w:r w:rsidR="00790186">
        <w:t xml:space="preserve">Al </w:t>
      </w:r>
      <w:r w:rsidRPr="006041D2">
        <w:t>cierre de 2021, el PJF se conformó por 9</w:t>
      </w:r>
      <w:r w:rsidR="006041D2" w:rsidRPr="006041D2">
        <w:t>31</w:t>
      </w:r>
      <w:r w:rsidRPr="006041D2">
        <w:t xml:space="preserve"> órganos jurisdiccionales y </w:t>
      </w:r>
      <w:r w:rsidR="007E6D98">
        <w:t>552</w:t>
      </w:r>
      <w:r w:rsidRPr="006041D2">
        <w:t xml:space="preserve"> órganos y/</w:t>
      </w:r>
      <w:r w:rsidR="00A93F5D">
        <w:t xml:space="preserve"> </w:t>
      </w:r>
      <w:r w:rsidRPr="006041D2">
        <w:t>o unidades administrativas</w:t>
      </w:r>
      <w:r w:rsidR="00A93F5D">
        <w:t xml:space="preserve">. La distribución fue la </w:t>
      </w:r>
      <w:r w:rsidRPr="006041D2">
        <w:t>siguiente:</w:t>
      </w:r>
    </w:p>
    <w:p w14:paraId="06FA34A4" w14:textId="6C9B88AA" w:rsidR="00790186" w:rsidRDefault="00790186" w:rsidP="0005255F">
      <w:pPr>
        <w:pStyle w:val="Default"/>
        <w:jc w:val="both"/>
      </w:pPr>
    </w:p>
    <w:p w14:paraId="25D6DDD7" w14:textId="3F095327" w:rsidR="00790186" w:rsidRDefault="00790186" w:rsidP="0005255F">
      <w:pPr>
        <w:pStyle w:val="Default"/>
        <w:jc w:val="both"/>
      </w:pPr>
    </w:p>
    <w:p w14:paraId="63C7D509" w14:textId="486FB7F1" w:rsidR="00790186" w:rsidRDefault="00790186" w:rsidP="0005255F">
      <w:pPr>
        <w:pStyle w:val="Default"/>
        <w:jc w:val="both"/>
      </w:pPr>
    </w:p>
    <w:p w14:paraId="00F079BD" w14:textId="77777777" w:rsidR="00790186" w:rsidRDefault="00790186" w:rsidP="0005255F">
      <w:pPr>
        <w:pStyle w:val="Default"/>
        <w:jc w:val="both"/>
      </w:pPr>
    </w:p>
    <w:p w14:paraId="184134C9" w14:textId="1892CB1A" w:rsidR="00E46EC1" w:rsidRDefault="00E46EC1" w:rsidP="0005255F">
      <w:pPr>
        <w:pStyle w:val="Default"/>
        <w:jc w:val="both"/>
      </w:pPr>
    </w:p>
    <w:p w14:paraId="3D65BA74" w14:textId="33C36CCB" w:rsidR="00E46EC1" w:rsidRDefault="00E46EC1" w:rsidP="00E46EC1">
      <w:pPr>
        <w:pStyle w:val="Default"/>
        <w:jc w:val="both"/>
        <w:rPr>
          <w:b/>
          <w:bCs/>
        </w:rPr>
      </w:pPr>
      <w:r w:rsidRPr="00E46EC1">
        <w:rPr>
          <w:b/>
          <w:bCs/>
        </w:rPr>
        <w:lastRenderedPageBreak/>
        <w:t>Suprema Corte de Justicia de la Nación (SCJN)</w:t>
      </w:r>
    </w:p>
    <w:p w14:paraId="3B6FF9FD" w14:textId="254A55DA" w:rsidR="005D5F6B" w:rsidRDefault="00E46EC1" w:rsidP="00B11ADA">
      <w:pPr>
        <w:pStyle w:val="Default"/>
        <w:numPr>
          <w:ilvl w:val="0"/>
          <w:numId w:val="22"/>
        </w:numPr>
        <w:jc w:val="both"/>
      </w:pPr>
      <w:r>
        <w:t>Plen</w:t>
      </w:r>
      <w:r w:rsidR="005D5F6B">
        <w:t>o</w:t>
      </w:r>
    </w:p>
    <w:p w14:paraId="47C70CF4" w14:textId="77777777" w:rsidR="005D5F6B" w:rsidRDefault="00E46EC1" w:rsidP="00B11ADA">
      <w:pPr>
        <w:pStyle w:val="Default"/>
        <w:numPr>
          <w:ilvl w:val="0"/>
          <w:numId w:val="22"/>
        </w:numPr>
        <w:jc w:val="both"/>
      </w:pPr>
      <w:r>
        <w:t>Primera Sala</w:t>
      </w:r>
    </w:p>
    <w:p w14:paraId="6F8817AB" w14:textId="77777777" w:rsidR="005D5F6B" w:rsidRDefault="00E46EC1" w:rsidP="00E46EC1">
      <w:pPr>
        <w:pStyle w:val="Default"/>
        <w:numPr>
          <w:ilvl w:val="0"/>
          <w:numId w:val="22"/>
        </w:numPr>
        <w:jc w:val="both"/>
      </w:pPr>
      <w:r>
        <w:t>Segunda Sala</w:t>
      </w:r>
    </w:p>
    <w:p w14:paraId="37C06251" w14:textId="3E109023" w:rsidR="004D774B" w:rsidRDefault="00E46EC1" w:rsidP="00E46EC1">
      <w:pPr>
        <w:pStyle w:val="Default"/>
        <w:numPr>
          <w:ilvl w:val="0"/>
          <w:numId w:val="22"/>
        </w:numPr>
        <w:jc w:val="both"/>
      </w:pPr>
      <w:r>
        <w:t xml:space="preserve">35 </w:t>
      </w:r>
      <w:r w:rsidR="000F37A7" w:rsidRPr="000F37A7">
        <w:t>Órganos</w:t>
      </w:r>
      <w:r>
        <w:t xml:space="preserve"> y/</w:t>
      </w:r>
      <w:r w:rsidR="00A93F5D">
        <w:t xml:space="preserve"> </w:t>
      </w:r>
      <w:r>
        <w:t>o unidades administrativas</w:t>
      </w:r>
    </w:p>
    <w:p w14:paraId="2B4D414E" w14:textId="415C8FC6" w:rsidR="00E46EC1" w:rsidRDefault="00E46EC1" w:rsidP="00E46EC1">
      <w:pPr>
        <w:pStyle w:val="Default"/>
        <w:jc w:val="both"/>
        <w:rPr>
          <w:b/>
          <w:bCs/>
        </w:rPr>
      </w:pPr>
      <w:r w:rsidRPr="005D5F6B">
        <w:rPr>
          <w:b/>
          <w:bCs/>
        </w:rPr>
        <w:t>Tribunal Electoral del Poder Judicial de la Federación (TEPJF)</w:t>
      </w:r>
    </w:p>
    <w:p w14:paraId="170472ED" w14:textId="26347CBA" w:rsidR="005D5F6B" w:rsidRPr="000F37A7" w:rsidRDefault="00695248" w:rsidP="005D5F6B">
      <w:pPr>
        <w:pStyle w:val="Default"/>
        <w:numPr>
          <w:ilvl w:val="0"/>
          <w:numId w:val="23"/>
        </w:numPr>
        <w:jc w:val="both"/>
      </w:pPr>
      <w:r w:rsidRPr="000F37A7">
        <w:t>Sala Superior</w:t>
      </w:r>
    </w:p>
    <w:p w14:paraId="46A1A7D0" w14:textId="28494B8C" w:rsidR="00695248" w:rsidRPr="000F37A7" w:rsidRDefault="000F37A7" w:rsidP="005D5F6B">
      <w:pPr>
        <w:pStyle w:val="Default"/>
        <w:numPr>
          <w:ilvl w:val="0"/>
          <w:numId w:val="23"/>
        </w:numPr>
        <w:jc w:val="both"/>
      </w:pPr>
      <w:r>
        <w:t>5</w:t>
      </w:r>
      <w:r w:rsidR="00695248" w:rsidRPr="000F37A7">
        <w:t xml:space="preserve"> Salas Regionales </w:t>
      </w:r>
    </w:p>
    <w:p w14:paraId="731D5729" w14:textId="457E1AE9" w:rsidR="00695248" w:rsidRPr="000F37A7" w:rsidRDefault="00695248" w:rsidP="005D5F6B">
      <w:pPr>
        <w:pStyle w:val="Default"/>
        <w:numPr>
          <w:ilvl w:val="0"/>
          <w:numId w:val="23"/>
        </w:numPr>
        <w:jc w:val="both"/>
      </w:pPr>
      <w:r w:rsidRPr="000F37A7">
        <w:t xml:space="preserve">Sala Especializada </w:t>
      </w:r>
    </w:p>
    <w:p w14:paraId="11DB2E3F" w14:textId="3F3C3720" w:rsidR="00695248" w:rsidRPr="000F37A7" w:rsidRDefault="000F37A7" w:rsidP="005D5F6B">
      <w:pPr>
        <w:pStyle w:val="Default"/>
        <w:numPr>
          <w:ilvl w:val="0"/>
          <w:numId w:val="23"/>
        </w:numPr>
        <w:jc w:val="both"/>
      </w:pPr>
      <w:r>
        <w:t>31</w:t>
      </w:r>
      <w:r w:rsidR="00695248" w:rsidRPr="000F37A7">
        <w:t xml:space="preserve"> Órganos administrativos y/o unidades administrativas </w:t>
      </w:r>
    </w:p>
    <w:p w14:paraId="7D51ACBB" w14:textId="01DF4791" w:rsidR="005D5F6B" w:rsidRDefault="005D5F6B" w:rsidP="00695248">
      <w:pPr>
        <w:pStyle w:val="Default"/>
        <w:jc w:val="both"/>
      </w:pPr>
    </w:p>
    <w:p w14:paraId="5A15E5E7" w14:textId="7287DE09" w:rsidR="00E46EC1" w:rsidRDefault="00E46EC1" w:rsidP="00E46EC1">
      <w:pPr>
        <w:pStyle w:val="Default"/>
        <w:jc w:val="both"/>
        <w:rPr>
          <w:b/>
          <w:bCs/>
        </w:rPr>
      </w:pPr>
      <w:r w:rsidRPr="005D5F6B">
        <w:rPr>
          <w:b/>
          <w:bCs/>
        </w:rPr>
        <w:t>Consejo de la Judicatura Federal (CJF)</w:t>
      </w:r>
    </w:p>
    <w:p w14:paraId="4ADFB5A5" w14:textId="77777777" w:rsidR="004753B7" w:rsidRDefault="004753B7" w:rsidP="004753B7">
      <w:pPr>
        <w:pStyle w:val="Default"/>
        <w:numPr>
          <w:ilvl w:val="0"/>
          <w:numId w:val="25"/>
        </w:numPr>
        <w:jc w:val="both"/>
      </w:pPr>
      <w:r>
        <w:t>273</w:t>
      </w:r>
      <w:r w:rsidR="00E46EC1" w:rsidRPr="004753B7">
        <w:t xml:space="preserve"> Tribunales Colegiados de Circuito (TCC)</w:t>
      </w:r>
    </w:p>
    <w:p w14:paraId="05849892" w14:textId="5DFF614A" w:rsidR="00695248" w:rsidRDefault="004753B7" w:rsidP="004753B7">
      <w:pPr>
        <w:pStyle w:val="Default"/>
        <w:numPr>
          <w:ilvl w:val="0"/>
          <w:numId w:val="25"/>
        </w:numPr>
        <w:jc w:val="both"/>
      </w:pPr>
      <w:r>
        <w:t xml:space="preserve">101 </w:t>
      </w:r>
      <w:r w:rsidRPr="004753B7">
        <w:t>Tribunales Unitarios de Circuito</w:t>
      </w:r>
      <w:r w:rsidR="00DC6B49">
        <w:t xml:space="preserve"> (TUC)</w:t>
      </w:r>
    </w:p>
    <w:p w14:paraId="5A9CAA93" w14:textId="1E8B2789" w:rsidR="004753B7" w:rsidRDefault="004753B7" w:rsidP="004753B7">
      <w:pPr>
        <w:pStyle w:val="Default"/>
        <w:numPr>
          <w:ilvl w:val="0"/>
          <w:numId w:val="25"/>
        </w:numPr>
        <w:jc w:val="both"/>
      </w:pPr>
      <w:r>
        <w:t xml:space="preserve">449 </w:t>
      </w:r>
      <w:r w:rsidRPr="004753B7">
        <w:t>Juzgados de Distrito</w:t>
      </w:r>
      <w:r w:rsidR="00DC6B49">
        <w:t xml:space="preserve"> (JD)</w:t>
      </w:r>
    </w:p>
    <w:p w14:paraId="60ED1A30" w14:textId="21CEFE93" w:rsidR="004753B7" w:rsidRDefault="004753B7" w:rsidP="004753B7">
      <w:pPr>
        <w:pStyle w:val="Default"/>
        <w:numPr>
          <w:ilvl w:val="0"/>
          <w:numId w:val="25"/>
        </w:numPr>
        <w:jc w:val="both"/>
      </w:pPr>
      <w:r>
        <w:t xml:space="preserve">41 </w:t>
      </w:r>
      <w:r w:rsidRPr="004753B7">
        <w:t>Centros de Justicia Penal Federal</w:t>
      </w:r>
      <w:r w:rsidR="00DC6B49">
        <w:t xml:space="preserve"> (CJPF)</w:t>
      </w:r>
    </w:p>
    <w:p w14:paraId="549E06AB" w14:textId="29674F4D" w:rsidR="004753B7" w:rsidRDefault="004753B7" w:rsidP="004753B7">
      <w:pPr>
        <w:pStyle w:val="Default"/>
        <w:numPr>
          <w:ilvl w:val="0"/>
          <w:numId w:val="25"/>
        </w:numPr>
        <w:jc w:val="both"/>
      </w:pPr>
      <w:r>
        <w:t xml:space="preserve">1 </w:t>
      </w:r>
      <w:r w:rsidRPr="004753B7">
        <w:t xml:space="preserve">Centro Nacional de Justicia </w:t>
      </w:r>
      <w:r w:rsidR="00DC6B49">
        <w:t>E</w:t>
      </w:r>
      <w:r w:rsidRPr="004753B7">
        <w:t>specializado</w:t>
      </w:r>
      <w:r w:rsidR="00DC6B49">
        <w:t xml:space="preserve"> (CNJE)</w:t>
      </w:r>
    </w:p>
    <w:p w14:paraId="29F1FF5D" w14:textId="427D761D" w:rsidR="004753B7" w:rsidRDefault="004753B7" w:rsidP="004753B7">
      <w:pPr>
        <w:pStyle w:val="Default"/>
        <w:numPr>
          <w:ilvl w:val="0"/>
          <w:numId w:val="25"/>
        </w:numPr>
        <w:jc w:val="both"/>
      </w:pPr>
      <w:r>
        <w:t xml:space="preserve">43 </w:t>
      </w:r>
      <w:r w:rsidRPr="004753B7">
        <w:t>Tribunales Laborales Federales</w:t>
      </w:r>
      <w:r w:rsidR="00DC6B49">
        <w:t xml:space="preserve"> (TLF)</w:t>
      </w:r>
    </w:p>
    <w:p w14:paraId="65A3E698" w14:textId="7C534519" w:rsidR="004753B7" w:rsidRDefault="004753B7" w:rsidP="004753B7">
      <w:pPr>
        <w:pStyle w:val="Default"/>
        <w:numPr>
          <w:ilvl w:val="0"/>
          <w:numId w:val="25"/>
        </w:numPr>
        <w:jc w:val="both"/>
      </w:pPr>
      <w:r>
        <w:t xml:space="preserve">13 </w:t>
      </w:r>
      <w:r w:rsidRPr="004753B7">
        <w:t>Plenos de Circuito</w:t>
      </w:r>
      <w:r w:rsidR="00DC6B49">
        <w:t xml:space="preserve"> (PC)</w:t>
      </w:r>
    </w:p>
    <w:p w14:paraId="13E56355" w14:textId="57AEC856" w:rsidR="004753B7" w:rsidRPr="004753B7" w:rsidRDefault="007E6D98" w:rsidP="004753B7">
      <w:pPr>
        <w:pStyle w:val="Default"/>
        <w:numPr>
          <w:ilvl w:val="0"/>
          <w:numId w:val="25"/>
        </w:numPr>
        <w:jc w:val="both"/>
      </w:pPr>
      <w:r>
        <w:t>486</w:t>
      </w:r>
      <w:r w:rsidR="004753B7">
        <w:t xml:space="preserve"> </w:t>
      </w:r>
      <w:r w:rsidR="004753B7" w:rsidRPr="004753B7">
        <w:t>Órganos y/</w:t>
      </w:r>
      <w:r w:rsidR="00A93F5D">
        <w:t xml:space="preserve"> </w:t>
      </w:r>
      <w:r w:rsidR="004753B7" w:rsidRPr="004753B7">
        <w:t xml:space="preserve">o </w:t>
      </w:r>
      <w:r w:rsidRPr="004753B7">
        <w:t>unidades administrativas</w:t>
      </w:r>
    </w:p>
    <w:p w14:paraId="4019DB24" w14:textId="77777777" w:rsidR="00695248" w:rsidRDefault="00695248" w:rsidP="00695248">
      <w:pPr>
        <w:pStyle w:val="Default"/>
        <w:jc w:val="both"/>
      </w:pPr>
    </w:p>
    <w:p w14:paraId="59452BD7" w14:textId="3F238261" w:rsidR="00E46EC1" w:rsidRPr="00392912" w:rsidRDefault="00E46EC1" w:rsidP="00E46EC1">
      <w:pPr>
        <w:pStyle w:val="Default"/>
        <w:jc w:val="both"/>
        <w:rPr>
          <w:b/>
          <w:bCs/>
        </w:rPr>
      </w:pPr>
      <w:r>
        <w:t xml:space="preserve">En </w:t>
      </w:r>
      <w:r w:rsidR="00744AC3">
        <w:t xml:space="preserve">este </w:t>
      </w:r>
      <w:r>
        <w:t>periodo, los plenos de cada uno de los órganos que conforma</w:t>
      </w:r>
      <w:r w:rsidR="00790186">
        <w:t>ro</w:t>
      </w:r>
      <w:r>
        <w:t>n el PJF se</w:t>
      </w:r>
      <w:r w:rsidR="00695248">
        <w:t xml:space="preserve"> </w:t>
      </w:r>
      <w:r>
        <w:t>integraron</w:t>
      </w:r>
      <w:r w:rsidR="00790186">
        <w:t>,</w:t>
      </w:r>
      <w:r>
        <w:t xml:space="preserve"> en promedio</w:t>
      </w:r>
      <w:r w:rsidR="00790186">
        <w:t>,</w:t>
      </w:r>
      <w:r>
        <w:t xml:space="preserve"> por </w:t>
      </w:r>
      <w:r w:rsidR="00C660F4">
        <w:t>6</w:t>
      </w:r>
      <w:r w:rsidR="00F56822">
        <w:t>2.5</w:t>
      </w:r>
      <w:r w:rsidR="0097631A">
        <w:t xml:space="preserve"> </w:t>
      </w:r>
      <w:r>
        <w:t xml:space="preserve">% de hombres y </w:t>
      </w:r>
      <w:r w:rsidR="00C660F4">
        <w:t>3</w:t>
      </w:r>
      <w:r w:rsidR="00F56822">
        <w:t>3.3</w:t>
      </w:r>
      <w:r w:rsidR="0097631A">
        <w:t xml:space="preserve"> </w:t>
      </w:r>
      <w:r>
        <w:t>% de mujeres</w:t>
      </w:r>
      <w:r w:rsidR="00A93F5D">
        <w:t>.</w:t>
      </w:r>
      <w:r w:rsidR="00C660F4">
        <w:rPr>
          <w:rStyle w:val="Refdenotaalpie"/>
        </w:rPr>
        <w:footnoteReference w:id="3"/>
      </w:r>
      <w:r>
        <w:t xml:space="preserve"> La distribución del pleno</w:t>
      </w:r>
      <w:r w:rsidR="00695248">
        <w:t xml:space="preserve"> </w:t>
      </w:r>
      <w:r>
        <w:t>de cada órgano fue de la siguient</w:t>
      </w:r>
      <w:r w:rsidR="00A93F5D">
        <w:t>e</w:t>
      </w:r>
      <w:r>
        <w:t>:</w:t>
      </w:r>
      <w:r>
        <w:cr/>
      </w:r>
    </w:p>
    <w:p w14:paraId="0B6F069E" w14:textId="2C9AB2F4" w:rsidR="004A20FF" w:rsidRPr="00963A3F" w:rsidRDefault="004A20FF" w:rsidP="004A20FF">
      <w:pPr>
        <w:pStyle w:val="Default"/>
        <w:spacing w:after="10"/>
        <w:ind w:right="284"/>
        <w:jc w:val="center"/>
        <w:rPr>
          <w:bCs/>
          <w:iCs/>
          <w:color w:val="000000" w:themeColor="text1"/>
          <w:sz w:val="20"/>
          <w:szCs w:val="20"/>
        </w:rPr>
      </w:pPr>
      <w:r>
        <w:rPr>
          <w:bCs/>
          <w:iCs/>
          <w:color w:val="000000" w:themeColor="text1"/>
          <w:sz w:val="20"/>
          <w:szCs w:val="20"/>
        </w:rPr>
        <w:t xml:space="preserve">Tabla </w:t>
      </w:r>
      <w:r w:rsidRPr="00963A3F">
        <w:rPr>
          <w:bCs/>
          <w:iCs/>
          <w:color w:val="000000" w:themeColor="text1"/>
          <w:sz w:val="20"/>
          <w:szCs w:val="20"/>
        </w:rPr>
        <w:t xml:space="preserve"> </w:t>
      </w:r>
      <w:r>
        <w:rPr>
          <w:bCs/>
          <w:iCs/>
          <w:color w:val="000000" w:themeColor="text1"/>
          <w:sz w:val="20"/>
          <w:szCs w:val="20"/>
        </w:rPr>
        <w:t>1</w:t>
      </w:r>
    </w:p>
    <w:p w14:paraId="56AC5614" w14:textId="393BBDAD" w:rsidR="004A20FF" w:rsidRDefault="008E0128" w:rsidP="004A20FF">
      <w:pPr>
        <w:pStyle w:val="Default"/>
        <w:spacing w:after="10"/>
        <w:ind w:right="284"/>
        <w:jc w:val="center"/>
        <w:rPr>
          <w:bCs/>
          <w:iCs/>
          <w:smallCaps/>
          <w:color w:val="000000" w:themeColor="text1"/>
          <w:sz w:val="18"/>
          <w:szCs w:val="18"/>
        </w:rPr>
      </w:pPr>
      <w:r>
        <w:rPr>
          <w:b/>
          <w:bCs/>
          <w:iCs/>
          <w:smallCaps/>
          <w:color w:val="000000" w:themeColor="text1"/>
          <w:sz w:val="22"/>
          <w:szCs w:val="22"/>
        </w:rPr>
        <w:t>Integrantes del pleno</w:t>
      </w:r>
      <w:r w:rsidR="0043493C">
        <w:rPr>
          <w:b/>
          <w:bCs/>
          <w:iCs/>
          <w:smallCaps/>
          <w:color w:val="000000" w:themeColor="text1"/>
          <w:sz w:val="22"/>
          <w:szCs w:val="22"/>
        </w:rPr>
        <w:t xml:space="preserve"> por órgano del Poder Judicial de la Federación</w:t>
      </w:r>
    </w:p>
    <w:p w14:paraId="65BAAEB1" w14:textId="45CCA6D9" w:rsidR="004D774B" w:rsidRDefault="004D774B" w:rsidP="00524113">
      <w:pPr>
        <w:tabs>
          <w:tab w:val="left" w:pos="5460"/>
        </w:tabs>
        <w:spacing w:after="0"/>
        <w:jc w:val="both"/>
        <w:rPr>
          <w:rFonts w:ascii="Arial" w:hAnsi="Arial" w:cs="Arial"/>
          <w:color w:val="000000"/>
          <w:sz w:val="24"/>
          <w:szCs w:val="24"/>
        </w:rPr>
      </w:pPr>
    </w:p>
    <w:tbl>
      <w:tblPr>
        <w:tblStyle w:val="Tablaconcuadrcula6concolores-nfasis5"/>
        <w:tblW w:w="0" w:type="auto"/>
        <w:jc w:val="center"/>
        <w:tblLook w:val="04A0" w:firstRow="1" w:lastRow="0" w:firstColumn="1" w:lastColumn="0" w:noHBand="0" w:noVBand="1"/>
      </w:tblPr>
      <w:tblGrid>
        <w:gridCol w:w="3823"/>
        <w:gridCol w:w="1696"/>
        <w:gridCol w:w="1549"/>
        <w:gridCol w:w="1575"/>
      </w:tblGrid>
      <w:tr w:rsidR="00317211" w14:paraId="4AD4E3D2" w14:textId="77777777" w:rsidTr="00A60C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0D6098"/>
          </w:tcPr>
          <w:p w14:paraId="3184C68F" w14:textId="1F3A7B68" w:rsidR="00317211" w:rsidRPr="002A51DF" w:rsidRDefault="00317211" w:rsidP="00511B07">
            <w:pPr>
              <w:tabs>
                <w:tab w:val="left" w:pos="5460"/>
              </w:tabs>
              <w:spacing w:after="0"/>
              <w:jc w:val="center"/>
              <w:rPr>
                <w:rFonts w:ascii="Arial" w:hAnsi="Arial" w:cs="Arial"/>
                <w:color w:val="FFFFFF" w:themeColor="background1"/>
                <w:sz w:val="24"/>
                <w:szCs w:val="24"/>
              </w:rPr>
            </w:pPr>
            <w:r w:rsidRPr="002A51DF">
              <w:rPr>
                <w:rFonts w:ascii="Arial" w:hAnsi="Arial" w:cs="Arial"/>
                <w:color w:val="FFFFFF" w:themeColor="background1"/>
                <w:sz w:val="24"/>
                <w:szCs w:val="24"/>
              </w:rPr>
              <w:t>Órgano</w:t>
            </w:r>
          </w:p>
        </w:tc>
        <w:tc>
          <w:tcPr>
            <w:tcW w:w="1270" w:type="dxa"/>
            <w:shd w:val="clear" w:color="auto" w:fill="0D6098"/>
          </w:tcPr>
          <w:p w14:paraId="4DC22E85" w14:textId="1E25949E" w:rsidR="00317211" w:rsidRPr="002A51DF" w:rsidRDefault="00317211" w:rsidP="00511B07">
            <w:pPr>
              <w:tabs>
                <w:tab w:val="left" w:pos="5460"/>
              </w:tabs>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2A51DF">
              <w:rPr>
                <w:rFonts w:ascii="Arial" w:hAnsi="Arial" w:cs="Arial"/>
                <w:color w:val="FFFFFF" w:themeColor="background1"/>
                <w:sz w:val="24"/>
                <w:szCs w:val="24"/>
              </w:rPr>
              <w:t>Integrante</w:t>
            </w:r>
            <w:r w:rsidR="00B64DEB" w:rsidRPr="002A51DF">
              <w:rPr>
                <w:rFonts w:ascii="Arial" w:hAnsi="Arial" w:cs="Arial"/>
                <w:color w:val="FFFFFF" w:themeColor="background1"/>
                <w:sz w:val="24"/>
                <w:szCs w:val="24"/>
              </w:rPr>
              <w:t>s</w:t>
            </w:r>
          </w:p>
        </w:tc>
        <w:tc>
          <w:tcPr>
            <w:tcW w:w="1549" w:type="dxa"/>
            <w:shd w:val="clear" w:color="auto" w:fill="0D6098"/>
          </w:tcPr>
          <w:p w14:paraId="2D7F849A" w14:textId="714B20D8" w:rsidR="00317211" w:rsidRPr="002A51DF" w:rsidRDefault="00317211" w:rsidP="00511B07">
            <w:pPr>
              <w:tabs>
                <w:tab w:val="left" w:pos="5460"/>
              </w:tabs>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2A51DF">
              <w:rPr>
                <w:rFonts w:ascii="Arial" w:hAnsi="Arial" w:cs="Arial"/>
                <w:color w:val="FFFFFF" w:themeColor="background1"/>
                <w:sz w:val="24"/>
                <w:szCs w:val="24"/>
              </w:rPr>
              <w:t>Mujeres</w:t>
            </w:r>
          </w:p>
        </w:tc>
        <w:tc>
          <w:tcPr>
            <w:tcW w:w="1575" w:type="dxa"/>
            <w:shd w:val="clear" w:color="auto" w:fill="0D6098"/>
          </w:tcPr>
          <w:p w14:paraId="100ECB16" w14:textId="5A4626B5" w:rsidR="00317211" w:rsidRPr="002A51DF" w:rsidRDefault="00317211" w:rsidP="00511B07">
            <w:pPr>
              <w:tabs>
                <w:tab w:val="left" w:pos="5460"/>
              </w:tabs>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2A51DF">
              <w:rPr>
                <w:rFonts w:ascii="Arial" w:hAnsi="Arial" w:cs="Arial"/>
                <w:color w:val="FFFFFF" w:themeColor="background1"/>
                <w:sz w:val="24"/>
                <w:szCs w:val="24"/>
              </w:rPr>
              <w:t>Hombres</w:t>
            </w:r>
          </w:p>
        </w:tc>
      </w:tr>
      <w:tr w:rsidR="00317211" w14:paraId="1D8E0A27" w14:textId="77777777" w:rsidTr="00A60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14:paraId="65496ED8" w14:textId="6CAEC31D" w:rsidR="00317211" w:rsidRPr="00A60CFF" w:rsidRDefault="00317211" w:rsidP="00A60CFF">
            <w:pPr>
              <w:tabs>
                <w:tab w:val="left" w:pos="5460"/>
              </w:tabs>
              <w:spacing w:before="80" w:after="80" w:line="276" w:lineRule="auto"/>
              <w:jc w:val="both"/>
              <w:rPr>
                <w:rFonts w:ascii="Arial" w:hAnsi="Arial" w:cs="Arial"/>
                <w:b w:val="0"/>
                <w:bCs w:val="0"/>
                <w:color w:val="000000"/>
                <w:sz w:val="24"/>
                <w:szCs w:val="24"/>
              </w:rPr>
            </w:pPr>
            <w:r w:rsidRPr="00392912">
              <w:rPr>
                <w:rFonts w:ascii="Arial" w:hAnsi="Arial" w:cs="Arial"/>
                <w:color w:val="000000"/>
                <w:sz w:val="24"/>
                <w:szCs w:val="24"/>
              </w:rPr>
              <w:t>Pleno de la Suprema Corte de Justicia de la Nación</w:t>
            </w:r>
          </w:p>
        </w:tc>
        <w:tc>
          <w:tcPr>
            <w:tcW w:w="1270" w:type="dxa"/>
            <w:shd w:val="clear" w:color="auto" w:fill="FFFFFF" w:themeFill="background1"/>
            <w:vAlign w:val="center"/>
          </w:tcPr>
          <w:p w14:paraId="4D2E3CEB" w14:textId="499DE1B3" w:rsidR="00317211" w:rsidRDefault="0031721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392912">
              <w:rPr>
                <w:rFonts w:ascii="Arial" w:hAnsi="Arial" w:cs="Arial"/>
                <w:color w:val="000000"/>
                <w:sz w:val="24"/>
                <w:szCs w:val="24"/>
              </w:rPr>
              <w:t xml:space="preserve">11 </w:t>
            </w:r>
            <w:r>
              <w:rPr>
                <w:rFonts w:ascii="Arial" w:hAnsi="Arial" w:cs="Arial"/>
                <w:color w:val="000000"/>
                <w:sz w:val="24"/>
                <w:szCs w:val="24"/>
              </w:rPr>
              <w:t>M</w:t>
            </w:r>
            <w:r w:rsidRPr="00392912">
              <w:rPr>
                <w:rFonts w:ascii="Arial" w:hAnsi="Arial" w:cs="Arial"/>
                <w:color w:val="000000"/>
                <w:sz w:val="24"/>
                <w:szCs w:val="24"/>
              </w:rPr>
              <w:t>inistros</w:t>
            </w:r>
            <w:r>
              <w:rPr>
                <w:rStyle w:val="Refdenotaalpie"/>
                <w:rFonts w:ascii="Arial" w:hAnsi="Arial" w:cs="Arial"/>
                <w:color w:val="000000"/>
                <w:sz w:val="24"/>
                <w:szCs w:val="24"/>
              </w:rPr>
              <w:footnoteReference w:id="4"/>
            </w:r>
          </w:p>
        </w:tc>
        <w:tc>
          <w:tcPr>
            <w:tcW w:w="1549" w:type="dxa"/>
            <w:shd w:val="clear" w:color="auto" w:fill="FFFFFF" w:themeFill="background1"/>
            <w:vAlign w:val="center"/>
          </w:tcPr>
          <w:p w14:paraId="4F25B20D" w14:textId="77777777" w:rsidR="00747A36" w:rsidRDefault="0031721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4</w:t>
            </w:r>
          </w:p>
          <w:p w14:paraId="01E3E528" w14:textId="5D20D203" w:rsidR="00317211" w:rsidRDefault="0031721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(36.4 %)</w:t>
            </w:r>
          </w:p>
        </w:tc>
        <w:tc>
          <w:tcPr>
            <w:tcW w:w="1575" w:type="dxa"/>
            <w:shd w:val="clear" w:color="auto" w:fill="FFFFFF" w:themeFill="background1"/>
            <w:vAlign w:val="center"/>
          </w:tcPr>
          <w:p w14:paraId="381BB3E3" w14:textId="77777777" w:rsidR="00747A36" w:rsidRDefault="0031721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7</w:t>
            </w:r>
          </w:p>
          <w:p w14:paraId="1EDAE495" w14:textId="30C60788" w:rsidR="00317211" w:rsidRDefault="0031721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(63.6 %)</w:t>
            </w:r>
          </w:p>
        </w:tc>
      </w:tr>
      <w:tr w:rsidR="00317211" w14:paraId="222C1768" w14:textId="77777777" w:rsidTr="00A60CFF">
        <w:trPr>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D4DEEB"/>
            <w:vAlign w:val="center"/>
          </w:tcPr>
          <w:p w14:paraId="4BBCD20F" w14:textId="47621C24" w:rsidR="00317211" w:rsidRPr="00697A01" w:rsidRDefault="00317211" w:rsidP="00A60CFF">
            <w:pPr>
              <w:tabs>
                <w:tab w:val="left" w:pos="5460"/>
              </w:tabs>
              <w:spacing w:before="80" w:after="80" w:line="276" w:lineRule="auto"/>
              <w:jc w:val="both"/>
              <w:rPr>
                <w:rFonts w:ascii="Arial" w:hAnsi="Arial" w:cs="Arial"/>
                <w:color w:val="000000"/>
                <w:sz w:val="24"/>
                <w:szCs w:val="24"/>
              </w:rPr>
            </w:pPr>
            <w:r w:rsidRPr="00392912">
              <w:rPr>
                <w:rFonts w:ascii="Arial" w:hAnsi="Arial" w:cs="Arial"/>
                <w:color w:val="000000"/>
                <w:sz w:val="24"/>
                <w:szCs w:val="24"/>
              </w:rPr>
              <w:t>Pleno de la Sala Superior del Tribunal Electoral del Poder Judicial de la Federación</w:t>
            </w:r>
          </w:p>
        </w:tc>
        <w:tc>
          <w:tcPr>
            <w:tcW w:w="1270" w:type="dxa"/>
            <w:shd w:val="clear" w:color="auto" w:fill="D4DEEB"/>
            <w:vAlign w:val="center"/>
          </w:tcPr>
          <w:p w14:paraId="25D35966" w14:textId="6019768D" w:rsidR="00317211" w:rsidRDefault="00747A36" w:rsidP="00A60CFF">
            <w:pPr>
              <w:pStyle w:val="Prrafodelista"/>
              <w:tabs>
                <w:tab w:val="left" w:pos="5460"/>
              </w:tabs>
              <w:spacing w:before="80" w:after="80" w:line="276" w:lineRule="auto"/>
              <w:ind w:left="172"/>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47A36">
              <w:rPr>
                <w:rFonts w:ascii="Arial" w:hAnsi="Arial" w:cs="Arial"/>
                <w:color w:val="000000"/>
                <w:sz w:val="24"/>
                <w:szCs w:val="24"/>
              </w:rPr>
              <w:t>7 Magistrados</w:t>
            </w:r>
          </w:p>
        </w:tc>
        <w:tc>
          <w:tcPr>
            <w:tcW w:w="1549" w:type="dxa"/>
            <w:shd w:val="clear" w:color="auto" w:fill="D4DEEB"/>
            <w:vAlign w:val="center"/>
          </w:tcPr>
          <w:p w14:paraId="4120AE47" w14:textId="77777777" w:rsidR="004B6C81" w:rsidRDefault="004B6C81" w:rsidP="00A60CFF">
            <w:pPr>
              <w:pStyle w:val="Prrafodelista"/>
              <w:tabs>
                <w:tab w:val="left" w:pos="5460"/>
              </w:tabs>
              <w:spacing w:before="80" w:after="80" w:line="276" w:lineRule="auto"/>
              <w:ind w:left="172"/>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2</w:t>
            </w:r>
          </w:p>
          <w:p w14:paraId="381970A0" w14:textId="3F932AF6" w:rsidR="00317211" w:rsidRDefault="004B6C81" w:rsidP="00A60CFF">
            <w:pPr>
              <w:pStyle w:val="Prrafodelista"/>
              <w:tabs>
                <w:tab w:val="left" w:pos="5460"/>
              </w:tabs>
              <w:spacing w:before="80" w:after="80" w:line="276" w:lineRule="auto"/>
              <w:ind w:left="172"/>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(28.6 %)</w:t>
            </w:r>
          </w:p>
        </w:tc>
        <w:tc>
          <w:tcPr>
            <w:tcW w:w="1575" w:type="dxa"/>
            <w:shd w:val="clear" w:color="auto" w:fill="D4DEEB"/>
            <w:vAlign w:val="center"/>
          </w:tcPr>
          <w:p w14:paraId="26F5CB9E" w14:textId="77777777" w:rsidR="004B6C81" w:rsidRDefault="004B6C81" w:rsidP="00A60CFF">
            <w:pPr>
              <w:pStyle w:val="Prrafodelista"/>
              <w:tabs>
                <w:tab w:val="left" w:pos="5460"/>
              </w:tabs>
              <w:spacing w:before="80" w:after="80" w:line="276" w:lineRule="auto"/>
              <w:ind w:left="172"/>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304174">
              <w:rPr>
                <w:rFonts w:ascii="Arial" w:hAnsi="Arial" w:cs="Arial"/>
                <w:color w:val="000000"/>
                <w:sz w:val="24"/>
                <w:szCs w:val="24"/>
              </w:rPr>
              <w:t>5</w:t>
            </w:r>
          </w:p>
          <w:p w14:paraId="43028A68" w14:textId="6A808E04" w:rsidR="00317211" w:rsidRDefault="004B6C81" w:rsidP="00A60CFF">
            <w:pPr>
              <w:pStyle w:val="Prrafodelista"/>
              <w:tabs>
                <w:tab w:val="left" w:pos="5460"/>
              </w:tabs>
              <w:spacing w:before="80" w:after="80" w:line="276" w:lineRule="auto"/>
              <w:ind w:left="172"/>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304174">
              <w:rPr>
                <w:rFonts w:ascii="Arial" w:hAnsi="Arial" w:cs="Arial"/>
                <w:color w:val="000000"/>
                <w:sz w:val="24"/>
                <w:szCs w:val="24"/>
              </w:rPr>
              <w:t>(71.4</w:t>
            </w:r>
            <w:r>
              <w:rPr>
                <w:rFonts w:ascii="Arial" w:hAnsi="Arial" w:cs="Arial"/>
                <w:color w:val="000000"/>
                <w:sz w:val="24"/>
                <w:szCs w:val="24"/>
              </w:rPr>
              <w:t xml:space="preserve"> </w:t>
            </w:r>
            <w:r w:rsidRPr="00304174">
              <w:rPr>
                <w:rFonts w:ascii="Arial" w:hAnsi="Arial" w:cs="Arial"/>
                <w:color w:val="000000"/>
                <w:sz w:val="24"/>
                <w:szCs w:val="24"/>
              </w:rPr>
              <w:t>%)</w:t>
            </w:r>
          </w:p>
        </w:tc>
      </w:tr>
      <w:tr w:rsidR="00317211" w14:paraId="4D92724F" w14:textId="77777777" w:rsidTr="00A60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vAlign w:val="center"/>
          </w:tcPr>
          <w:p w14:paraId="5A57F1C7" w14:textId="410D923F" w:rsidR="00317211" w:rsidRPr="00697A01" w:rsidRDefault="004B6C81" w:rsidP="00A60CFF">
            <w:pPr>
              <w:tabs>
                <w:tab w:val="left" w:pos="5460"/>
              </w:tabs>
              <w:spacing w:before="80" w:after="80" w:line="276" w:lineRule="auto"/>
              <w:rPr>
                <w:rFonts w:ascii="Arial" w:hAnsi="Arial" w:cs="Arial"/>
                <w:color w:val="000000"/>
                <w:sz w:val="24"/>
                <w:szCs w:val="24"/>
              </w:rPr>
            </w:pPr>
            <w:r w:rsidRPr="00392912">
              <w:rPr>
                <w:rFonts w:ascii="Arial" w:hAnsi="Arial" w:cs="Arial"/>
                <w:color w:val="000000"/>
                <w:sz w:val="24"/>
                <w:szCs w:val="24"/>
              </w:rPr>
              <w:t>Pleno del Consejo de la Judicatura Federal</w:t>
            </w:r>
            <w:r w:rsidR="009B2BBA">
              <w:rPr>
                <w:rFonts w:ascii="Arial" w:hAnsi="Arial" w:cs="Arial"/>
                <w:color w:val="000000"/>
                <w:sz w:val="24"/>
                <w:szCs w:val="24"/>
              </w:rPr>
              <w:t>*</w:t>
            </w:r>
          </w:p>
        </w:tc>
        <w:tc>
          <w:tcPr>
            <w:tcW w:w="1270" w:type="dxa"/>
            <w:shd w:val="clear" w:color="auto" w:fill="auto"/>
            <w:vAlign w:val="center"/>
          </w:tcPr>
          <w:p w14:paraId="7AE34C3C" w14:textId="29BDEAA0" w:rsidR="00317211" w:rsidRDefault="004B6C8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4B6C81">
              <w:rPr>
                <w:rFonts w:ascii="Arial" w:hAnsi="Arial" w:cs="Arial"/>
                <w:color w:val="000000"/>
                <w:sz w:val="24"/>
                <w:szCs w:val="24"/>
              </w:rPr>
              <w:t>6 Consejeros</w:t>
            </w:r>
          </w:p>
        </w:tc>
        <w:tc>
          <w:tcPr>
            <w:tcW w:w="1549" w:type="dxa"/>
            <w:shd w:val="clear" w:color="auto" w:fill="auto"/>
            <w:vAlign w:val="center"/>
          </w:tcPr>
          <w:p w14:paraId="6689C26B" w14:textId="77777777" w:rsidR="004B6C81" w:rsidRDefault="004B6C8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2</w:t>
            </w:r>
          </w:p>
          <w:p w14:paraId="7CF09E0B" w14:textId="01146D66" w:rsidR="00317211" w:rsidRDefault="004B6C81" w:rsidP="00A60CFF">
            <w:pPr>
              <w:pStyle w:val="Prrafodelista"/>
              <w:tabs>
                <w:tab w:val="left" w:pos="5460"/>
              </w:tabs>
              <w:spacing w:before="80" w:after="80" w:line="276"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(33.3 %)</w:t>
            </w:r>
          </w:p>
        </w:tc>
        <w:tc>
          <w:tcPr>
            <w:tcW w:w="1575" w:type="dxa"/>
            <w:shd w:val="clear" w:color="auto" w:fill="auto"/>
            <w:vAlign w:val="center"/>
          </w:tcPr>
          <w:p w14:paraId="0C189B90" w14:textId="77777777" w:rsidR="004B6C81" w:rsidRDefault="004B6C81" w:rsidP="00A60CFF">
            <w:pPr>
              <w:tabs>
                <w:tab w:val="left" w:pos="5460"/>
              </w:tab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3</w:t>
            </w:r>
          </w:p>
          <w:p w14:paraId="35EBFCC4" w14:textId="3A3E88F3" w:rsidR="00317211" w:rsidRDefault="004B6C81" w:rsidP="00A60CFF">
            <w:pPr>
              <w:tabs>
                <w:tab w:val="left" w:pos="5460"/>
              </w:tab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(50.0 %)</w:t>
            </w:r>
          </w:p>
        </w:tc>
      </w:tr>
    </w:tbl>
    <w:p w14:paraId="52D25A94" w14:textId="3B73D4FC" w:rsidR="009B2BBA" w:rsidRPr="00511B07" w:rsidRDefault="0043493C" w:rsidP="00511B07">
      <w:pPr>
        <w:tabs>
          <w:tab w:val="left" w:pos="993"/>
        </w:tabs>
        <w:spacing w:after="0"/>
        <w:jc w:val="both"/>
        <w:rPr>
          <w:rFonts w:ascii="Arial" w:hAnsi="Arial" w:cs="Arial"/>
          <w:color w:val="000000"/>
          <w:sz w:val="21"/>
          <w:szCs w:val="21"/>
        </w:rPr>
      </w:pPr>
      <w:r>
        <w:rPr>
          <w:rFonts w:ascii="Arial" w:hAnsi="Arial" w:cs="Arial"/>
          <w:color w:val="000000"/>
          <w:sz w:val="21"/>
          <w:szCs w:val="21"/>
        </w:rPr>
        <w:tab/>
      </w:r>
      <w:r w:rsidR="009B2BBA" w:rsidRPr="00511B07">
        <w:rPr>
          <w:rFonts w:ascii="Arial" w:hAnsi="Arial" w:cs="Arial"/>
          <w:color w:val="000000"/>
          <w:sz w:val="21"/>
          <w:szCs w:val="21"/>
        </w:rPr>
        <w:t xml:space="preserve">*/ </w:t>
      </w:r>
      <w:r w:rsidR="00790186">
        <w:rPr>
          <w:rFonts w:ascii="Arial" w:hAnsi="Arial" w:cs="Arial"/>
          <w:color w:val="000000"/>
          <w:sz w:val="21"/>
          <w:szCs w:val="21"/>
        </w:rPr>
        <w:t>Hay</w:t>
      </w:r>
      <w:r w:rsidR="003F2191" w:rsidRPr="00511B07">
        <w:rPr>
          <w:rFonts w:ascii="Arial" w:hAnsi="Arial" w:cs="Arial"/>
          <w:color w:val="000000"/>
          <w:sz w:val="21"/>
          <w:szCs w:val="21"/>
        </w:rPr>
        <w:t xml:space="preserve"> un puesto vacante que representa el 16.7 por ciento.</w:t>
      </w:r>
    </w:p>
    <w:p w14:paraId="42760869" w14:textId="111A3975" w:rsidR="0043493C" w:rsidRDefault="0043493C" w:rsidP="00524113">
      <w:pPr>
        <w:tabs>
          <w:tab w:val="left" w:pos="5460"/>
        </w:tabs>
        <w:spacing w:after="0"/>
        <w:jc w:val="both"/>
        <w:rPr>
          <w:rFonts w:ascii="Arial" w:hAnsi="Arial" w:cs="Arial"/>
          <w:color w:val="000000"/>
          <w:sz w:val="24"/>
          <w:szCs w:val="24"/>
        </w:rPr>
      </w:pPr>
    </w:p>
    <w:p w14:paraId="1D206C4D" w14:textId="62F76330" w:rsidR="00524113" w:rsidRPr="00753BE4" w:rsidRDefault="00DC6B49" w:rsidP="00FA3627">
      <w:pPr>
        <w:spacing w:after="0" w:line="240" w:lineRule="auto"/>
        <w:jc w:val="both"/>
        <w:rPr>
          <w:rFonts w:ascii="Arial" w:hAnsi="Arial" w:cs="Arial"/>
          <w:color w:val="000000"/>
          <w:sz w:val="24"/>
          <w:szCs w:val="24"/>
        </w:rPr>
      </w:pPr>
      <w:r>
        <w:rPr>
          <w:rFonts w:ascii="Arial" w:hAnsi="Arial" w:cs="Arial"/>
          <w:color w:val="000000"/>
          <w:sz w:val="24"/>
          <w:szCs w:val="24"/>
        </w:rPr>
        <w:lastRenderedPageBreak/>
        <w:t>A</w:t>
      </w:r>
      <w:r w:rsidRPr="00B071EB">
        <w:rPr>
          <w:rFonts w:ascii="Arial" w:hAnsi="Arial" w:cs="Arial"/>
          <w:color w:val="000000"/>
          <w:sz w:val="24"/>
          <w:szCs w:val="24"/>
        </w:rPr>
        <w:t>l cierre de 2021</w:t>
      </w:r>
      <w:r>
        <w:rPr>
          <w:rFonts w:ascii="Arial" w:hAnsi="Arial" w:cs="Arial"/>
          <w:color w:val="000000"/>
          <w:sz w:val="24"/>
          <w:szCs w:val="24"/>
        </w:rPr>
        <w:t xml:space="preserve">, </w:t>
      </w:r>
      <w:r w:rsidR="00524113" w:rsidRPr="00B071EB">
        <w:rPr>
          <w:rFonts w:ascii="Arial" w:hAnsi="Arial" w:cs="Arial"/>
          <w:color w:val="000000"/>
          <w:sz w:val="24"/>
          <w:szCs w:val="24"/>
        </w:rPr>
        <w:t>el PJF</w:t>
      </w:r>
      <w:r>
        <w:rPr>
          <w:rFonts w:ascii="Arial" w:hAnsi="Arial" w:cs="Arial"/>
          <w:color w:val="000000"/>
          <w:sz w:val="24"/>
          <w:szCs w:val="24"/>
        </w:rPr>
        <w:t xml:space="preserve"> contó con </w:t>
      </w:r>
      <w:r w:rsidR="006F48DB" w:rsidRPr="006F48DB">
        <w:rPr>
          <w:rFonts w:ascii="Arial" w:hAnsi="Arial" w:cs="Arial"/>
          <w:color w:val="000000"/>
          <w:sz w:val="24"/>
          <w:szCs w:val="24"/>
        </w:rPr>
        <w:t>53</w:t>
      </w:r>
      <w:r w:rsidR="0097631A">
        <w:rPr>
          <w:rFonts w:ascii="Arial" w:hAnsi="Arial" w:cs="Arial"/>
          <w:color w:val="000000"/>
          <w:sz w:val="24"/>
          <w:szCs w:val="24"/>
        </w:rPr>
        <w:t xml:space="preserve"> </w:t>
      </w:r>
      <w:r w:rsidR="006F48DB" w:rsidRPr="006F48DB">
        <w:rPr>
          <w:rFonts w:ascii="Arial" w:hAnsi="Arial" w:cs="Arial"/>
          <w:color w:val="000000"/>
          <w:sz w:val="24"/>
          <w:szCs w:val="24"/>
        </w:rPr>
        <w:t>160</w:t>
      </w:r>
      <w:r w:rsidR="006F48DB">
        <w:rPr>
          <w:rFonts w:ascii="Arial" w:hAnsi="Arial" w:cs="Arial"/>
          <w:color w:val="000000"/>
          <w:sz w:val="24"/>
          <w:szCs w:val="24"/>
        </w:rPr>
        <w:t xml:space="preserve"> </w:t>
      </w:r>
      <w:r w:rsidR="00524113" w:rsidRPr="00B071EB">
        <w:rPr>
          <w:rFonts w:ascii="Arial" w:hAnsi="Arial" w:cs="Arial"/>
          <w:color w:val="000000"/>
          <w:sz w:val="24"/>
          <w:szCs w:val="24"/>
        </w:rPr>
        <w:t>servidoras y servidores públicos</w:t>
      </w:r>
      <w:r w:rsidR="00AA4134">
        <w:rPr>
          <w:rFonts w:ascii="Arial" w:hAnsi="Arial" w:cs="Arial"/>
          <w:color w:val="000000"/>
          <w:sz w:val="24"/>
          <w:szCs w:val="24"/>
        </w:rPr>
        <w:t xml:space="preserve">: </w:t>
      </w:r>
      <w:r w:rsidR="006F48DB" w:rsidRPr="006F48DB">
        <w:rPr>
          <w:rFonts w:ascii="Arial" w:hAnsi="Arial" w:cs="Arial"/>
          <w:color w:val="000000"/>
          <w:sz w:val="24"/>
          <w:szCs w:val="24"/>
        </w:rPr>
        <w:t>3</w:t>
      </w:r>
      <w:r w:rsidR="0097631A">
        <w:rPr>
          <w:rFonts w:ascii="Arial" w:hAnsi="Arial" w:cs="Arial"/>
          <w:color w:val="000000"/>
          <w:sz w:val="24"/>
          <w:szCs w:val="24"/>
        </w:rPr>
        <w:t xml:space="preserve"> </w:t>
      </w:r>
      <w:r w:rsidR="006F48DB" w:rsidRPr="006F48DB">
        <w:rPr>
          <w:rFonts w:ascii="Arial" w:hAnsi="Arial" w:cs="Arial"/>
          <w:color w:val="000000"/>
          <w:sz w:val="24"/>
          <w:szCs w:val="24"/>
        </w:rPr>
        <w:t xml:space="preserve">725 </w:t>
      </w:r>
      <w:r w:rsidR="00524113" w:rsidRPr="00B071EB">
        <w:rPr>
          <w:rFonts w:ascii="Arial" w:hAnsi="Arial" w:cs="Arial"/>
          <w:color w:val="000000"/>
          <w:sz w:val="24"/>
          <w:szCs w:val="24"/>
        </w:rPr>
        <w:t>(</w:t>
      </w:r>
      <w:r w:rsidR="00FA3627" w:rsidRPr="00B071EB">
        <w:rPr>
          <w:rFonts w:ascii="Arial" w:hAnsi="Arial" w:cs="Arial"/>
          <w:color w:val="000000"/>
          <w:sz w:val="24"/>
          <w:szCs w:val="24"/>
        </w:rPr>
        <w:t>7.0</w:t>
      </w:r>
      <w:r w:rsidR="0097631A">
        <w:rPr>
          <w:rFonts w:ascii="Arial" w:hAnsi="Arial" w:cs="Arial"/>
          <w:color w:val="000000"/>
          <w:sz w:val="24"/>
          <w:szCs w:val="24"/>
        </w:rPr>
        <w:t xml:space="preserve"> </w:t>
      </w:r>
      <w:r w:rsidR="00524113" w:rsidRPr="00B071EB">
        <w:rPr>
          <w:rFonts w:ascii="Arial" w:hAnsi="Arial" w:cs="Arial"/>
          <w:color w:val="000000"/>
          <w:sz w:val="24"/>
          <w:szCs w:val="24"/>
        </w:rPr>
        <w:t>%) estuvieron adscritos a la SCJN</w:t>
      </w:r>
      <w:r w:rsidR="0097631A">
        <w:rPr>
          <w:rFonts w:ascii="Arial" w:hAnsi="Arial" w:cs="Arial"/>
          <w:color w:val="000000"/>
          <w:sz w:val="24"/>
          <w:szCs w:val="24"/>
        </w:rPr>
        <w:t>;</w:t>
      </w:r>
      <w:r w:rsidR="006F48DB">
        <w:rPr>
          <w:rFonts w:ascii="Arial" w:hAnsi="Arial" w:cs="Arial"/>
          <w:color w:val="000000"/>
          <w:sz w:val="24"/>
          <w:szCs w:val="24"/>
        </w:rPr>
        <w:t xml:space="preserve"> </w:t>
      </w:r>
      <w:r w:rsidR="006F48DB" w:rsidRPr="006F48DB">
        <w:rPr>
          <w:rFonts w:ascii="Arial" w:eastAsia="Times New Roman" w:hAnsi="Arial" w:cs="Arial"/>
          <w:color w:val="000000"/>
          <w:sz w:val="24"/>
          <w:szCs w:val="24"/>
          <w:lang w:eastAsia="es-MX"/>
        </w:rPr>
        <w:t>1</w:t>
      </w:r>
      <w:r w:rsidR="0097631A">
        <w:rPr>
          <w:rFonts w:ascii="Arial" w:eastAsia="Times New Roman" w:hAnsi="Arial" w:cs="Arial"/>
          <w:color w:val="000000"/>
          <w:sz w:val="24"/>
          <w:szCs w:val="24"/>
          <w:lang w:eastAsia="es-MX"/>
        </w:rPr>
        <w:t xml:space="preserve"> </w:t>
      </w:r>
      <w:r w:rsidR="006F48DB" w:rsidRPr="006F48DB">
        <w:rPr>
          <w:rFonts w:ascii="Arial" w:eastAsia="Times New Roman" w:hAnsi="Arial" w:cs="Arial"/>
          <w:color w:val="000000"/>
          <w:sz w:val="24"/>
          <w:szCs w:val="24"/>
          <w:lang w:eastAsia="es-MX"/>
        </w:rPr>
        <w:t xml:space="preserve">830 </w:t>
      </w:r>
      <w:r w:rsidR="00524113" w:rsidRPr="00B071EB">
        <w:rPr>
          <w:rFonts w:ascii="Arial" w:hAnsi="Arial" w:cs="Arial"/>
          <w:color w:val="000000"/>
          <w:sz w:val="24"/>
          <w:szCs w:val="24"/>
        </w:rPr>
        <w:t>(</w:t>
      </w:r>
      <w:r w:rsidR="00FA3627" w:rsidRPr="00B071EB">
        <w:rPr>
          <w:rFonts w:ascii="Arial" w:hAnsi="Arial" w:cs="Arial"/>
          <w:color w:val="000000"/>
          <w:sz w:val="24"/>
          <w:szCs w:val="24"/>
        </w:rPr>
        <w:t>3.4</w:t>
      </w:r>
      <w:r w:rsidR="0097631A">
        <w:rPr>
          <w:rFonts w:ascii="Arial" w:hAnsi="Arial" w:cs="Arial"/>
          <w:color w:val="000000"/>
          <w:sz w:val="24"/>
          <w:szCs w:val="24"/>
        </w:rPr>
        <w:t xml:space="preserve"> </w:t>
      </w:r>
      <w:r w:rsidR="00524113" w:rsidRPr="00B071EB">
        <w:rPr>
          <w:rFonts w:ascii="Arial" w:hAnsi="Arial" w:cs="Arial"/>
          <w:color w:val="000000"/>
          <w:sz w:val="24"/>
          <w:szCs w:val="24"/>
        </w:rPr>
        <w:t>%)</w:t>
      </w:r>
      <w:r w:rsidR="0097631A">
        <w:rPr>
          <w:rFonts w:ascii="Arial" w:hAnsi="Arial" w:cs="Arial"/>
          <w:color w:val="000000"/>
          <w:sz w:val="24"/>
          <w:szCs w:val="24"/>
        </w:rPr>
        <w:t>,</w:t>
      </w:r>
      <w:r w:rsidR="00524113" w:rsidRPr="00B071EB">
        <w:rPr>
          <w:rFonts w:ascii="Arial" w:hAnsi="Arial" w:cs="Arial"/>
          <w:color w:val="000000"/>
          <w:sz w:val="24"/>
          <w:szCs w:val="24"/>
        </w:rPr>
        <w:t xml:space="preserve"> al TEPJF</w:t>
      </w:r>
      <w:r w:rsidR="00AA4134">
        <w:rPr>
          <w:rFonts w:ascii="Arial" w:hAnsi="Arial" w:cs="Arial"/>
          <w:color w:val="000000"/>
          <w:sz w:val="24"/>
          <w:szCs w:val="24"/>
        </w:rPr>
        <w:t>,</w:t>
      </w:r>
      <w:r w:rsidR="00B071EB">
        <w:rPr>
          <w:rStyle w:val="Refdenotaalpie"/>
          <w:rFonts w:ascii="Arial" w:hAnsi="Arial" w:cs="Arial"/>
          <w:color w:val="000000"/>
          <w:sz w:val="24"/>
          <w:szCs w:val="24"/>
        </w:rPr>
        <w:footnoteReference w:id="5"/>
      </w:r>
      <w:r w:rsidR="0097631A">
        <w:rPr>
          <w:rFonts w:ascii="Arial" w:hAnsi="Arial" w:cs="Arial"/>
          <w:color w:val="000000"/>
          <w:sz w:val="24"/>
          <w:szCs w:val="24"/>
        </w:rPr>
        <w:t xml:space="preserve"> </w:t>
      </w:r>
      <w:r w:rsidR="00524113" w:rsidRPr="00B071EB">
        <w:rPr>
          <w:rFonts w:ascii="Arial" w:hAnsi="Arial" w:cs="Arial"/>
          <w:color w:val="000000"/>
          <w:sz w:val="24"/>
          <w:szCs w:val="24"/>
        </w:rPr>
        <w:t xml:space="preserve">y </w:t>
      </w:r>
      <w:r w:rsidR="0093656A" w:rsidRPr="00B071EB">
        <w:rPr>
          <w:rFonts w:ascii="Arial" w:hAnsi="Arial" w:cs="Arial"/>
          <w:color w:val="000000"/>
          <w:sz w:val="24"/>
          <w:szCs w:val="24"/>
        </w:rPr>
        <w:t>47</w:t>
      </w:r>
      <w:r w:rsidR="0097631A">
        <w:rPr>
          <w:rFonts w:ascii="Arial" w:hAnsi="Arial" w:cs="Arial"/>
          <w:color w:val="000000"/>
          <w:sz w:val="24"/>
          <w:szCs w:val="24"/>
        </w:rPr>
        <w:t xml:space="preserve"> </w:t>
      </w:r>
      <w:r w:rsidR="0093656A" w:rsidRPr="00B071EB">
        <w:rPr>
          <w:rFonts w:ascii="Arial" w:hAnsi="Arial" w:cs="Arial"/>
          <w:color w:val="000000"/>
          <w:sz w:val="24"/>
          <w:szCs w:val="24"/>
        </w:rPr>
        <w:t>60</w:t>
      </w:r>
      <w:r w:rsidR="006F48DB">
        <w:rPr>
          <w:rFonts w:ascii="Arial" w:hAnsi="Arial" w:cs="Arial"/>
          <w:color w:val="000000"/>
          <w:sz w:val="24"/>
          <w:szCs w:val="24"/>
        </w:rPr>
        <w:t>5</w:t>
      </w:r>
      <w:r w:rsidR="0093656A" w:rsidRPr="00B071EB">
        <w:rPr>
          <w:rStyle w:val="Refdenotaalpie"/>
          <w:rFonts w:ascii="Arial" w:hAnsi="Arial" w:cs="Arial"/>
          <w:color w:val="000000"/>
          <w:sz w:val="24"/>
          <w:szCs w:val="24"/>
        </w:rPr>
        <w:footnoteReference w:id="6"/>
      </w:r>
      <w:r w:rsidR="0093656A" w:rsidRPr="00B071EB">
        <w:rPr>
          <w:rFonts w:ascii="Arial" w:hAnsi="Arial" w:cs="Arial"/>
          <w:color w:val="000000"/>
          <w:sz w:val="24"/>
          <w:szCs w:val="24"/>
        </w:rPr>
        <w:t xml:space="preserve"> </w:t>
      </w:r>
      <w:r w:rsidR="00524113" w:rsidRPr="00B071EB">
        <w:rPr>
          <w:rFonts w:ascii="Arial" w:hAnsi="Arial" w:cs="Arial"/>
          <w:color w:val="000000"/>
          <w:sz w:val="24"/>
          <w:szCs w:val="24"/>
        </w:rPr>
        <w:t>(</w:t>
      </w:r>
      <w:r w:rsidR="00FA3627" w:rsidRPr="00B071EB">
        <w:rPr>
          <w:rFonts w:ascii="Arial" w:hAnsi="Arial" w:cs="Arial"/>
          <w:color w:val="000000"/>
          <w:sz w:val="24"/>
          <w:szCs w:val="24"/>
        </w:rPr>
        <w:t>89.6</w:t>
      </w:r>
      <w:r w:rsidR="0097631A">
        <w:rPr>
          <w:rFonts w:ascii="Arial" w:hAnsi="Arial" w:cs="Arial"/>
          <w:color w:val="000000"/>
          <w:sz w:val="24"/>
          <w:szCs w:val="24"/>
        </w:rPr>
        <w:t xml:space="preserve"> </w:t>
      </w:r>
      <w:r w:rsidR="00524113" w:rsidRPr="00B071EB">
        <w:rPr>
          <w:rFonts w:ascii="Arial" w:hAnsi="Arial" w:cs="Arial"/>
          <w:color w:val="000000"/>
          <w:sz w:val="24"/>
          <w:szCs w:val="24"/>
        </w:rPr>
        <w:t>%)</w:t>
      </w:r>
      <w:r w:rsidR="0097631A">
        <w:rPr>
          <w:rFonts w:ascii="Arial" w:hAnsi="Arial" w:cs="Arial"/>
          <w:color w:val="000000"/>
          <w:sz w:val="24"/>
          <w:szCs w:val="24"/>
        </w:rPr>
        <w:t>,</w:t>
      </w:r>
      <w:r w:rsidR="00524113" w:rsidRPr="00B071EB">
        <w:rPr>
          <w:rFonts w:ascii="Arial" w:hAnsi="Arial" w:cs="Arial"/>
          <w:color w:val="000000"/>
          <w:sz w:val="24"/>
          <w:szCs w:val="24"/>
        </w:rPr>
        <w:t xml:space="preserve"> al CJF</w:t>
      </w:r>
      <w:r w:rsidR="00AA4134">
        <w:rPr>
          <w:rFonts w:ascii="Arial" w:hAnsi="Arial" w:cs="Arial"/>
          <w:color w:val="000000"/>
          <w:sz w:val="24"/>
          <w:szCs w:val="24"/>
        </w:rPr>
        <w:t>.</w:t>
      </w:r>
      <w:r w:rsidR="0093656A" w:rsidRPr="00B071EB">
        <w:rPr>
          <w:rStyle w:val="Refdenotaalpie"/>
          <w:rFonts w:ascii="Arial" w:hAnsi="Arial" w:cs="Arial"/>
          <w:color w:val="000000"/>
          <w:sz w:val="24"/>
          <w:szCs w:val="24"/>
        </w:rPr>
        <w:footnoteReference w:id="7"/>
      </w:r>
      <w:r w:rsidR="00524113" w:rsidRPr="00B071EB">
        <w:rPr>
          <w:rFonts w:ascii="Arial" w:hAnsi="Arial" w:cs="Arial"/>
          <w:color w:val="000000"/>
          <w:sz w:val="24"/>
          <w:szCs w:val="24"/>
        </w:rPr>
        <w:t xml:space="preserve"> Del total de personal, </w:t>
      </w:r>
      <w:r w:rsidR="00FA3627" w:rsidRPr="00B071EB">
        <w:rPr>
          <w:rFonts w:ascii="Arial" w:hAnsi="Arial" w:cs="Arial"/>
          <w:color w:val="000000"/>
          <w:sz w:val="24"/>
          <w:szCs w:val="24"/>
        </w:rPr>
        <w:t>50.2</w:t>
      </w:r>
      <w:r w:rsidR="00602EC2">
        <w:rPr>
          <w:rFonts w:ascii="Arial" w:hAnsi="Arial" w:cs="Arial"/>
          <w:color w:val="000000"/>
          <w:sz w:val="24"/>
          <w:szCs w:val="24"/>
        </w:rPr>
        <w:t xml:space="preserve"> </w:t>
      </w:r>
      <w:r w:rsidR="00524113" w:rsidRPr="00B071EB">
        <w:rPr>
          <w:rFonts w:ascii="Arial" w:hAnsi="Arial" w:cs="Arial"/>
          <w:color w:val="000000"/>
          <w:sz w:val="24"/>
          <w:szCs w:val="24"/>
        </w:rPr>
        <w:t xml:space="preserve">% fueron hombres y </w:t>
      </w:r>
      <w:r w:rsidR="00FA3627" w:rsidRPr="00B071EB">
        <w:rPr>
          <w:rFonts w:ascii="Arial" w:hAnsi="Arial" w:cs="Arial"/>
          <w:color w:val="000000"/>
          <w:sz w:val="24"/>
          <w:szCs w:val="24"/>
        </w:rPr>
        <w:t>49.8</w:t>
      </w:r>
      <w:r w:rsidR="00602EC2">
        <w:rPr>
          <w:rFonts w:ascii="Arial" w:hAnsi="Arial" w:cs="Arial"/>
          <w:color w:val="000000"/>
          <w:sz w:val="24"/>
          <w:szCs w:val="24"/>
        </w:rPr>
        <w:t xml:space="preserve"> </w:t>
      </w:r>
      <w:r w:rsidR="00524113" w:rsidRPr="00B071EB">
        <w:rPr>
          <w:rFonts w:ascii="Arial" w:hAnsi="Arial" w:cs="Arial"/>
          <w:color w:val="000000"/>
          <w:sz w:val="24"/>
          <w:szCs w:val="24"/>
        </w:rPr>
        <w:t>%</w:t>
      </w:r>
      <w:r w:rsidR="00AA4134">
        <w:rPr>
          <w:rFonts w:ascii="Arial" w:hAnsi="Arial" w:cs="Arial"/>
          <w:color w:val="000000"/>
          <w:sz w:val="24"/>
          <w:szCs w:val="24"/>
        </w:rPr>
        <w:t>,</w:t>
      </w:r>
      <w:r w:rsidR="00524113" w:rsidRPr="00B071EB">
        <w:rPr>
          <w:rFonts w:ascii="Arial" w:hAnsi="Arial" w:cs="Arial"/>
          <w:color w:val="000000"/>
          <w:sz w:val="24"/>
          <w:szCs w:val="24"/>
        </w:rPr>
        <w:t xml:space="preserve"> mujeres.</w:t>
      </w:r>
    </w:p>
    <w:p w14:paraId="2A27E818" w14:textId="77777777" w:rsidR="004A20FF" w:rsidRDefault="004A20FF" w:rsidP="00524113">
      <w:pPr>
        <w:tabs>
          <w:tab w:val="left" w:pos="5460"/>
        </w:tabs>
        <w:spacing w:after="0"/>
        <w:jc w:val="both"/>
        <w:rPr>
          <w:rFonts w:ascii="Arial" w:hAnsi="Arial" w:cs="Arial"/>
          <w:color w:val="000000"/>
          <w:sz w:val="24"/>
          <w:szCs w:val="24"/>
        </w:rPr>
      </w:pPr>
    </w:p>
    <w:p w14:paraId="41F2F16B" w14:textId="21E143F3" w:rsidR="00963A3F" w:rsidRPr="00963A3F" w:rsidRDefault="00963A3F" w:rsidP="00963A3F">
      <w:pPr>
        <w:pStyle w:val="Default"/>
        <w:spacing w:after="10"/>
        <w:ind w:right="284"/>
        <w:jc w:val="center"/>
        <w:rPr>
          <w:bCs/>
          <w:iCs/>
          <w:color w:val="000000" w:themeColor="text1"/>
          <w:sz w:val="20"/>
          <w:szCs w:val="20"/>
        </w:rPr>
      </w:pPr>
      <w:r w:rsidRPr="00963A3F">
        <w:rPr>
          <w:bCs/>
          <w:iCs/>
          <w:color w:val="000000" w:themeColor="text1"/>
          <w:sz w:val="20"/>
          <w:szCs w:val="20"/>
        </w:rPr>
        <w:t xml:space="preserve">Gráfica </w:t>
      </w:r>
      <w:r w:rsidR="0077270A">
        <w:rPr>
          <w:bCs/>
          <w:iCs/>
          <w:color w:val="000000" w:themeColor="text1"/>
          <w:sz w:val="20"/>
          <w:szCs w:val="20"/>
        </w:rPr>
        <w:t>1</w:t>
      </w:r>
    </w:p>
    <w:p w14:paraId="14713002" w14:textId="77777777" w:rsidR="00963A3F" w:rsidRPr="00963A3F" w:rsidRDefault="00963A3F" w:rsidP="00963A3F">
      <w:pPr>
        <w:pStyle w:val="Default"/>
        <w:spacing w:after="10"/>
        <w:ind w:right="284"/>
        <w:jc w:val="center"/>
        <w:rPr>
          <w:b/>
          <w:bCs/>
          <w:iCs/>
          <w:smallCaps/>
          <w:color w:val="000000" w:themeColor="text1"/>
          <w:sz w:val="22"/>
          <w:szCs w:val="22"/>
        </w:rPr>
      </w:pPr>
      <w:r w:rsidRPr="00963A3F">
        <w:rPr>
          <w:b/>
          <w:bCs/>
          <w:iCs/>
          <w:smallCaps/>
          <w:color w:val="000000" w:themeColor="text1"/>
          <w:sz w:val="22"/>
          <w:szCs w:val="22"/>
        </w:rPr>
        <w:t>personal que integra el Poder Judicial de la Federación,</w:t>
      </w:r>
    </w:p>
    <w:p w14:paraId="3E72F2C1" w14:textId="1588EEEF" w:rsidR="00963A3F" w:rsidRDefault="00963A3F" w:rsidP="00963A3F">
      <w:pPr>
        <w:pStyle w:val="Default"/>
        <w:spacing w:after="10"/>
        <w:ind w:right="284"/>
        <w:jc w:val="center"/>
        <w:rPr>
          <w:b/>
          <w:bCs/>
          <w:iCs/>
          <w:smallCaps/>
          <w:color w:val="000000" w:themeColor="text1"/>
          <w:sz w:val="22"/>
          <w:szCs w:val="22"/>
        </w:rPr>
      </w:pPr>
      <w:r w:rsidRPr="00963A3F">
        <w:rPr>
          <w:b/>
          <w:bCs/>
          <w:iCs/>
          <w:smallCaps/>
          <w:color w:val="000000" w:themeColor="text1"/>
          <w:sz w:val="22"/>
          <w:szCs w:val="22"/>
        </w:rPr>
        <w:t xml:space="preserve">según órgano y </w:t>
      </w:r>
      <w:r w:rsidR="00AA4134">
        <w:rPr>
          <w:b/>
          <w:bCs/>
          <w:iCs/>
          <w:smallCaps/>
          <w:color w:val="000000" w:themeColor="text1"/>
          <w:sz w:val="22"/>
          <w:szCs w:val="22"/>
        </w:rPr>
        <w:t xml:space="preserve">distribución por </w:t>
      </w:r>
      <w:r w:rsidRPr="00963A3F">
        <w:rPr>
          <w:b/>
          <w:bCs/>
          <w:iCs/>
          <w:smallCaps/>
          <w:color w:val="000000" w:themeColor="text1"/>
          <w:sz w:val="22"/>
          <w:szCs w:val="22"/>
        </w:rPr>
        <w:t>sexo</w:t>
      </w:r>
    </w:p>
    <w:p w14:paraId="2831BE58" w14:textId="39F12D3F" w:rsidR="008C06D5" w:rsidRDefault="008C06D5" w:rsidP="004753B7">
      <w:pPr>
        <w:pStyle w:val="Default"/>
        <w:spacing w:after="10"/>
        <w:ind w:right="284"/>
        <w:jc w:val="center"/>
        <w:rPr>
          <w:bCs/>
          <w:iCs/>
          <w:smallCaps/>
          <w:color w:val="000000" w:themeColor="text1"/>
          <w:sz w:val="18"/>
          <w:szCs w:val="18"/>
        </w:rPr>
      </w:pPr>
      <w:r w:rsidRPr="008C06D5">
        <w:rPr>
          <w:bCs/>
          <w:iCs/>
          <w:smallCaps/>
          <w:color w:val="000000" w:themeColor="text1"/>
          <w:sz w:val="18"/>
          <w:szCs w:val="18"/>
        </w:rPr>
        <w:t>2021</w:t>
      </w:r>
    </w:p>
    <w:p w14:paraId="74619B08" w14:textId="77777777" w:rsidR="00964FC1" w:rsidRPr="008C06D5" w:rsidRDefault="00964FC1" w:rsidP="004753B7">
      <w:pPr>
        <w:pStyle w:val="Default"/>
        <w:spacing w:after="10"/>
        <w:ind w:right="284"/>
        <w:jc w:val="center"/>
        <w:rPr>
          <w:bCs/>
          <w:iCs/>
          <w:smallCaps/>
          <w:color w:val="000000" w:themeColor="text1"/>
          <w:sz w:val="18"/>
          <w:szCs w:val="18"/>
        </w:rPr>
      </w:pPr>
    </w:p>
    <w:p w14:paraId="3651AD94" w14:textId="2018BB3F" w:rsidR="00783E99" w:rsidRPr="001512AD" w:rsidRDefault="009E6CB9" w:rsidP="001512AD">
      <w:pPr>
        <w:pStyle w:val="Default"/>
        <w:spacing w:after="10"/>
        <w:ind w:right="284"/>
        <w:jc w:val="center"/>
        <w:rPr>
          <w:b/>
          <w:bCs/>
          <w:iCs/>
          <w:smallCaps/>
          <w:color w:val="000000" w:themeColor="text1"/>
          <w:sz w:val="22"/>
          <w:szCs w:val="22"/>
        </w:rPr>
      </w:pPr>
      <w:r>
        <w:rPr>
          <w:noProof/>
        </w:rPr>
        <w:drawing>
          <wp:inline distT="0" distB="0" distL="0" distR="0" wp14:anchorId="6FD42FD5" wp14:editId="76986AC2">
            <wp:extent cx="6333086" cy="2210400"/>
            <wp:effectExtent l="0" t="0" r="0" b="0"/>
            <wp:docPr id="10" name="Imagen 1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3086" cy="2210400"/>
                    </a:xfrm>
                    <a:prstGeom prst="rect">
                      <a:avLst/>
                    </a:prstGeom>
                    <a:noFill/>
                  </pic:spPr>
                </pic:pic>
              </a:graphicData>
            </a:graphic>
          </wp:inline>
        </w:drawing>
      </w:r>
    </w:p>
    <w:p w14:paraId="5C745E77" w14:textId="77777777" w:rsidR="00602EC2" w:rsidRDefault="00602EC2" w:rsidP="00963A3F">
      <w:pPr>
        <w:pStyle w:val="Default"/>
        <w:jc w:val="both"/>
      </w:pPr>
    </w:p>
    <w:p w14:paraId="31FAD22D" w14:textId="77777777" w:rsidR="00A061B2" w:rsidRDefault="00A061B2" w:rsidP="00963A3F">
      <w:pPr>
        <w:pStyle w:val="Default"/>
        <w:jc w:val="both"/>
      </w:pPr>
    </w:p>
    <w:p w14:paraId="5F530C4F" w14:textId="53DC93C4" w:rsidR="00964FC1" w:rsidRDefault="00963A3F" w:rsidP="00963A3F">
      <w:pPr>
        <w:pStyle w:val="Default"/>
        <w:jc w:val="both"/>
      </w:pPr>
      <w:r>
        <w:t>En comparación con 2020</w:t>
      </w:r>
      <w:r w:rsidR="00532289">
        <w:t xml:space="preserve">, en 2021 </w:t>
      </w:r>
      <w:r w:rsidR="00AA4134">
        <w:t xml:space="preserve">se reportó </w:t>
      </w:r>
      <w:r w:rsidR="00532289">
        <w:t xml:space="preserve">un </w:t>
      </w:r>
      <w:r w:rsidR="00532289" w:rsidRPr="00943802">
        <w:t>aumento</w:t>
      </w:r>
      <w:r w:rsidR="00532289">
        <w:t xml:space="preserve"> de</w:t>
      </w:r>
      <w:r w:rsidR="00DC6B49">
        <w:t xml:space="preserve"> 4.2</w:t>
      </w:r>
      <w:r w:rsidR="00602EC2">
        <w:t xml:space="preserve"> </w:t>
      </w:r>
      <w:r w:rsidR="00DC6B49">
        <w:t xml:space="preserve">% en </w:t>
      </w:r>
      <w:r w:rsidR="00B82A7F">
        <w:t>la cantidad de</w:t>
      </w:r>
      <w:r w:rsidR="00532289">
        <w:t xml:space="preserve"> personal</w:t>
      </w:r>
      <w:r w:rsidR="00B82A7F">
        <w:t xml:space="preserve"> que labora</w:t>
      </w:r>
      <w:r w:rsidR="00532289">
        <w:t xml:space="preserve"> en el PJF</w:t>
      </w:r>
      <w:r w:rsidR="00532289" w:rsidRPr="00943802">
        <w:t>.</w:t>
      </w:r>
      <w:r w:rsidR="00532289">
        <w:t xml:space="preserve"> En la siguiente gráfica se observa la evolución histórica de la cantidad de personal adscrito al PJF de 2010 a 2021.</w:t>
      </w:r>
    </w:p>
    <w:p w14:paraId="2693DDF8" w14:textId="77777777" w:rsidR="00602EC2" w:rsidRDefault="00602EC2" w:rsidP="00963A3F">
      <w:pPr>
        <w:pStyle w:val="Default"/>
        <w:jc w:val="both"/>
      </w:pPr>
    </w:p>
    <w:p w14:paraId="73987323" w14:textId="04F73FD9" w:rsidR="008F6045" w:rsidRDefault="008F6045" w:rsidP="00963A3F">
      <w:pPr>
        <w:pStyle w:val="Default"/>
        <w:jc w:val="both"/>
      </w:pPr>
    </w:p>
    <w:p w14:paraId="1C591CA9" w14:textId="21AD350C" w:rsidR="00E72697" w:rsidRDefault="00E72697" w:rsidP="00963A3F">
      <w:pPr>
        <w:pStyle w:val="Default"/>
        <w:jc w:val="both"/>
      </w:pPr>
    </w:p>
    <w:p w14:paraId="0CD8C2F0" w14:textId="72BB1FCA" w:rsidR="00E72697" w:rsidRDefault="00E72697" w:rsidP="00963A3F">
      <w:pPr>
        <w:pStyle w:val="Default"/>
        <w:jc w:val="both"/>
      </w:pPr>
    </w:p>
    <w:p w14:paraId="0FBF87D7" w14:textId="41CAF588" w:rsidR="00E72697" w:rsidRDefault="00E72697" w:rsidP="00963A3F">
      <w:pPr>
        <w:pStyle w:val="Default"/>
        <w:jc w:val="both"/>
      </w:pPr>
    </w:p>
    <w:p w14:paraId="223A459D" w14:textId="308D5E65" w:rsidR="00E72697" w:rsidRDefault="00E72697" w:rsidP="00963A3F">
      <w:pPr>
        <w:pStyle w:val="Default"/>
        <w:jc w:val="both"/>
      </w:pPr>
    </w:p>
    <w:p w14:paraId="3A6B11AC" w14:textId="3891CA2D" w:rsidR="00E72697" w:rsidRDefault="00E72697" w:rsidP="00963A3F">
      <w:pPr>
        <w:pStyle w:val="Default"/>
        <w:jc w:val="both"/>
      </w:pPr>
    </w:p>
    <w:p w14:paraId="4C060041" w14:textId="1D44AAA3" w:rsidR="00E72697" w:rsidRDefault="00E72697" w:rsidP="00963A3F">
      <w:pPr>
        <w:pStyle w:val="Default"/>
        <w:jc w:val="both"/>
      </w:pPr>
    </w:p>
    <w:p w14:paraId="6E52EDB4" w14:textId="7E75FEF5" w:rsidR="00E72697" w:rsidRDefault="00E72697" w:rsidP="00963A3F">
      <w:pPr>
        <w:pStyle w:val="Default"/>
        <w:jc w:val="both"/>
      </w:pPr>
    </w:p>
    <w:p w14:paraId="0FC304DA" w14:textId="479DDECF" w:rsidR="00E72697" w:rsidRDefault="00E72697" w:rsidP="00963A3F">
      <w:pPr>
        <w:pStyle w:val="Default"/>
        <w:jc w:val="both"/>
      </w:pPr>
    </w:p>
    <w:p w14:paraId="0E798D35" w14:textId="682AF435" w:rsidR="00E72697" w:rsidRDefault="00E72697" w:rsidP="00963A3F">
      <w:pPr>
        <w:pStyle w:val="Default"/>
        <w:jc w:val="both"/>
      </w:pPr>
    </w:p>
    <w:p w14:paraId="52E779CF" w14:textId="1538CAE6" w:rsidR="00E72697" w:rsidRDefault="00E72697" w:rsidP="00963A3F">
      <w:pPr>
        <w:pStyle w:val="Default"/>
        <w:jc w:val="both"/>
      </w:pPr>
    </w:p>
    <w:p w14:paraId="3ECCA515" w14:textId="4BE5F410" w:rsidR="00E72697" w:rsidRDefault="00E72697" w:rsidP="00963A3F">
      <w:pPr>
        <w:pStyle w:val="Default"/>
        <w:jc w:val="both"/>
      </w:pPr>
    </w:p>
    <w:p w14:paraId="4FD0F70F" w14:textId="1EA2CDD9" w:rsidR="00E72697" w:rsidRDefault="00E72697" w:rsidP="00963A3F">
      <w:pPr>
        <w:pStyle w:val="Default"/>
        <w:jc w:val="both"/>
      </w:pPr>
    </w:p>
    <w:p w14:paraId="66BFB7AD" w14:textId="63F64A60" w:rsidR="00E72697" w:rsidRDefault="00E72697" w:rsidP="00963A3F">
      <w:pPr>
        <w:pStyle w:val="Default"/>
        <w:jc w:val="both"/>
      </w:pPr>
    </w:p>
    <w:p w14:paraId="7A903F9B" w14:textId="0AE50B62" w:rsidR="00E72697" w:rsidRDefault="00E72697" w:rsidP="00963A3F">
      <w:pPr>
        <w:pStyle w:val="Default"/>
        <w:jc w:val="both"/>
      </w:pPr>
    </w:p>
    <w:p w14:paraId="0FF25BA3" w14:textId="77777777" w:rsidR="00E72697" w:rsidRDefault="00E72697" w:rsidP="00963A3F">
      <w:pPr>
        <w:pStyle w:val="Default"/>
        <w:jc w:val="both"/>
      </w:pPr>
    </w:p>
    <w:p w14:paraId="3429F1D4" w14:textId="26F1DBB9" w:rsidR="00532289" w:rsidRPr="00963A3F" w:rsidRDefault="00532289" w:rsidP="00532289">
      <w:pPr>
        <w:pStyle w:val="Default"/>
        <w:spacing w:after="10"/>
        <w:ind w:right="284"/>
        <w:jc w:val="center"/>
        <w:rPr>
          <w:bCs/>
          <w:iCs/>
          <w:color w:val="000000" w:themeColor="text1"/>
          <w:sz w:val="20"/>
          <w:szCs w:val="20"/>
        </w:rPr>
      </w:pPr>
      <w:r w:rsidRPr="00963A3F">
        <w:rPr>
          <w:bCs/>
          <w:iCs/>
          <w:color w:val="000000" w:themeColor="text1"/>
          <w:sz w:val="20"/>
          <w:szCs w:val="20"/>
        </w:rPr>
        <w:lastRenderedPageBreak/>
        <w:t xml:space="preserve">Gráfica </w:t>
      </w:r>
      <w:r w:rsidR="0077270A">
        <w:rPr>
          <w:bCs/>
          <w:iCs/>
          <w:color w:val="000000" w:themeColor="text1"/>
          <w:sz w:val="20"/>
          <w:szCs w:val="20"/>
        </w:rPr>
        <w:t>2</w:t>
      </w:r>
    </w:p>
    <w:p w14:paraId="482F10E1" w14:textId="77777777" w:rsidR="00532289" w:rsidRPr="00963A3F" w:rsidRDefault="00532289" w:rsidP="00532289">
      <w:pPr>
        <w:pStyle w:val="Default"/>
        <w:spacing w:after="10"/>
        <w:ind w:right="284"/>
        <w:jc w:val="center"/>
        <w:rPr>
          <w:b/>
          <w:bCs/>
          <w:iCs/>
          <w:smallCaps/>
          <w:color w:val="000000" w:themeColor="text1"/>
          <w:sz w:val="22"/>
          <w:szCs w:val="22"/>
        </w:rPr>
      </w:pPr>
      <w:r w:rsidRPr="00963A3F">
        <w:rPr>
          <w:b/>
          <w:bCs/>
          <w:iCs/>
          <w:smallCaps/>
          <w:color w:val="000000" w:themeColor="text1"/>
          <w:sz w:val="22"/>
          <w:szCs w:val="22"/>
        </w:rPr>
        <w:t>personal que integra el Poder Judicial de la Federación,</w:t>
      </w:r>
    </w:p>
    <w:p w14:paraId="48CB23D1" w14:textId="0A1AFDCE" w:rsidR="00532289" w:rsidRDefault="00532289" w:rsidP="00532289">
      <w:pPr>
        <w:pStyle w:val="Default"/>
        <w:jc w:val="center"/>
        <w:rPr>
          <w:b/>
          <w:bCs/>
          <w:iCs/>
          <w:smallCaps/>
          <w:color w:val="000000" w:themeColor="text1"/>
          <w:sz w:val="22"/>
          <w:szCs w:val="22"/>
        </w:rPr>
      </w:pPr>
      <w:r w:rsidRPr="00963A3F">
        <w:rPr>
          <w:b/>
          <w:bCs/>
          <w:iCs/>
          <w:smallCaps/>
          <w:color w:val="000000" w:themeColor="text1"/>
          <w:sz w:val="22"/>
          <w:szCs w:val="22"/>
        </w:rPr>
        <w:t>según órgano</w:t>
      </w:r>
    </w:p>
    <w:p w14:paraId="48877C36" w14:textId="0D0D152C" w:rsidR="00943802" w:rsidRDefault="00074074" w:rsidP="00532289">
      <w:pPr>
        <w:pStyle w:val="Default"/>
        <w:jc w:val="center"/>
      </w:pPr>
      <w:r>
        <w:rPr>
          <w:noProof/>
        </w:rPr>
        <w:drawing>
          <wp:inline distT="0" distB="0" distL="0" distR="0" wp14:anchorId="49F1FC0B" wp14:editId="29B9DA82">
            <wp:extent cx="6512997" cy="2401001"/>
            <wp:effectExtent l="0" t="0" r="2540" b="0"/>
            <wp:docPr id="33" name="Gráfico 33">
              <a:extLst xmlns:a="http://schemas.openxmlformats.org/drawingml/2006/main">
                <a:ext uri="{FF2B5EF4-FFF2-40B4-BE49-F238E27FC236}">
                  <a16:creationId xmlns:a16="http://schemas.microsoft.com/office/drawing/2014/main" id="{18320CB0-1876-4FEC-572A-C79B5A617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092DA9" w14:textId="77777777" w:rsidR="00074074" w:rsidRDefault="00074074" w:rsidP="00532289">
      <w:pPr>
        <w:pStyle w:val="Default"/>
        <w:jc w:val="center"/>
      </w:pPr>
    </w:p>
    <w:p w14:paraId="695EF972" w14:textId="77777777" w:rsidR="004D774B" w:rsidRDefault="004D774B" w:rsidP="00F66A65">
      <w:pPr>
        <w:pStyle w:val="Default"/>
        <w:jc w:val="both"/>
      </w:pPr>
    </w:p>
    <w:p w14:paraId="38CA5A17" w14:textId="10E8242F" w:rsidR="00F66A65" w:rsidRDefault="00AA4134" w:rsidP="00F66A65">
      <w:pPr>
        <w:pStyle w:val="Default"/>
        <w:jc w:val="both"/>
      </w:pPr>
      <w:r>
        <w:t xml:space="preserve">El total de </w:t>
      </w:r>
      <w:r w:rsidR="00F66A65">
        <w:t xml:space="preserve">las y los </w:t>
      </w:r>
      <w:r w:rsidR="00602EC2">
        <w:t>j</w:t>
      </w:r>
      <w:r w:rsidR="00F66A65">
        <w:t xml:space="preserve">ueces y </w:t>
      </w:r>
      <w:r w:rsidR="00602EC2">
        <w:t>m</w:t>
      </w:r>
      <w:r w:rsidR="00F66A65">
        <w:t>agistrados que</w:t>
      </w:r>
      <w:r w:rsidRPr="00AA4134">
        <w:t xml:space="preserve"> </w:t>
      </w:r>
      <w:r>
        <w:t>formaron parte de los TCC, TUC y JD</w:t>
      </w:r>
      <w:r>
        <w:rPr>
          <w:rStyle w:val="Refdenotaalpie"/>
        </w:rPr>
        <w:footnoteReference w:id="8"/>
      </w:r>
      <w:r w:rsidR="00F66A65">
        <w:t xml:space="preserve"> al cierre de 2021 </w:t>
      </w:r>
      <w:r>
        <w:t xml:space="preserve">fue de </w:t>
      </w:r>
      <w:r w:rsidR="00F66A65">
        <w:t>1</w:t>
      </w:r>
      <w:r w:rsidR="00602EC2">
        <w:t xml:space="preserve"> </w:t>
      </w:r>
      <w:r w:rsidR="00F66A65">
        <w:t>556. De</w:t>
      </w:r>
      <w:r>
        <w:t xml:space="preserve"> estos, </w:t>
      </w:r>
      <w:r w:rsidR="00F66A65">
        <w:t xml:space="preserve">787 </w:t>
      </w:r>
      <w:r w:rsidR="00602EC2">
        <w:t>m</w:t>
      </w:r>
      <w:r w:rsidR="00F66A65">
        <w:t>agistrados (50.6</w:t>
      </w:r>
      <w:r w:rsidR="00602EC2">
        <w:t xml:space="preserve"> </w:t>
      </w:r>
      <w:r w:rsidR="00F66A65">
        <w:t>%) se</w:t>
      </w:r>
      <w:r w:rsidR="00CB532A">
        <w:t xml:space="preserve"> </w:t>
      </w:r>
      <w:r w:rsidR="00F66A65">
        <w:t xml:space="preserve">encontraban adscritos a los TCC, 93 </w:t>
      </w:r>
      <w:r w:rsidR="00602EC2">
        <w:t>m</w:t>
      </w:r>
      <w:r w:rsidR="00F66A65">
        <w:t>agistrados (6.0</w:t>
      </w:r>
      <w:r w:rsidR="00602EC2">
        <w:t xml:space="preserve"> </w:t>
      </w:r>
      <w:r w:rsidR="00F66A65">
        <w:t>%) a los TUC y 6</w:t>
      </w:r>
      <w:r w:rsidR="00A15CA4">
        <w:t>76</w:t>
      </w:r>
      <w:r w:rsidR="00F66A65">
        <w:t xml:space="preserve"> </w:t>
      </w:r>
      <w:r w:rsidR="00602EC2">
        <w:t>j</w:t>
      </w:r>
      <w:r w:rsidR="00F66A65">
        <w:t>ueces (43.</w:t>
      </w:r>
      <w:r w:rsidR="00A15CA4">
        <w:t>4</w:t>
      </w:r>
      <w:r w:rsidR="00602EC2">
        <w:t xml:space="preserve"> </w:t>
      </w:r>
      <w:r w:rsidR="00F66A65">
        <w:t>%) a los JD</w:t>
      </w:r>
      <w:r w:rsidR="00A15CA4">
        <w:t>.</w:t>
      </w:r>
    </w:p>
    <w:p w14:paraId="5D2C4F34" w14:textId="039B30EB" w:rsidR="0050106E" w:rsidRDefault="0050106E" w:rsidP="00F66A65">
      <w:pPr>
        <w:pStyle w:val="Default"/>
        <w:jc w:val="both"/>
      </w:pPr>
    </w:p>
    <w:p w14:paraId="4FE7A503" w14:textId="234CA6B8" w:rsidR="0050106E" w:rsidRPr="00963A3F" w:rsidRDefault="0050106E" w:rsidP="0050106E">
      <w:pPr>
        <w:pStyle w:val="Default"/>
        <w:spacing w:after="10"/>
        <w:ind w:right="284"/>
        <w:jc w:val="center"/>
        <w:rPr>
          <w:bCs/>
          <w:iCs/>
          <w:color w:val="000000" w:themeColor="text1"/>
          <w:sz w:val="20"/>
          <w:szCs w:val="20"/>
        </w:rPr>
      </w:pPr>
      <w:r w:rsidRPr="00963A3F">
        <w:rPr>
          <w:bCs/>
          <w:iCs/>
          <w:color w:val="000000" w:themeColor="text1"/>
          <w:sz w:val="20"/>
          <w:szCs w:val="20"/>
        </w:rPr>
        <w:t xml:space="preserve">Gráfica </w:t>
      </w:r>
      <w:r w:rsidR="0077270A">
        <w:rPr>
          <w:bCs/>
          <w:iCs/>
          <w:color w:val="000000" w:themeColor="text1"/>
          <w:sz w:val="20"/>
          <w:szCs w:val="20"/>
        </w:rPr>
        <w:t>3</w:t>
      </w:r>
    </w:p>
    <w:p w14:paraId="5E20BE95" w14:textId="34C0C7E9" w:rsidR="006A4B36" w:rsidRDefault="006A4B36" w:rsidP="0050106E">
      <w:pPr>
        <w:pStyle w:val="Default"/>
        <w:jc w:val="center"/>
        <w:rPr>
          <w:b/>
          <w:bCs/>
          <w:iCs/>
          <w:smallCaps/>
          <w:color w:val="000000" w:themeColor="text1"/>
          <w:sz w:val="22"/>
          <w:szCs w:val="22"/>
        </w:rPr>
      </w:pPr>
      <w:r w:rsidRPr="006A4B36">
        <w:rPr>
          <w:b/>
          <w:bCs/>
          <w:iCs/>
          <w:smallCaps/>
          <w:color w:val="000000" w:themeColor="text1"/>
          <w:sz w:val="22"/>
          <w:szCs w:val="22"/>
        </w:rPr>
        <w:t xml:space="preserve">Jueces y Magistrados, según órgano jurisdiccional y </w:t>
      </w:r>
      <w:r w:rsidR="00194214">
        <w:rPr>
          <w:b/>
          <w:bCs/>
          <w:iCs/>
          <w:smallCaps/>
          <w:color w:val="000000" w:themeColor="text1"/>
          <w:sz w:val="22"/>
          <w:szCs w:val="22"/>
        </w:rPr>
        <w:t xml:space="preserve">distribución por </w:t>
      </w:r>
      <w:r w:rsidRPr="006A4B36">
        <w:rPr>
          <w:b/>
          <w:bCs/>
          <w:iCs/>
          <w:smallCaps/>
          <w:color w:val="000000" w:themeColor="text1"/>
          <w:sz w:val="22"/>
          <w:szCs w:val="22"/>
        </w:rPr>
        <w:t xml:space="preserve">sexo </w:t>
      </w:r>
    </w:p>
    <w:p w14:paraId="21172403" w14:textId="061E9402" w:rsidR="00290CA3" w:rsidRDefault="00290CA3" w:rsidP="0050106E">
      <w:pPr>
        <w:pStyle w:val="Default"/>
        <w:jc w:val="center"/>
        <w:rPr>
          <w:b/>
          <w:bCs/>
          <w:iCs/>
          <w:smallCaps/>
          <w:color w:val="000000" w:themeColor="text1"/>
          <w:sz w:val="22"/>
          <w:szCs w:val="22"/>
        </w:rPr>
      </w:pPr>
      <w:r w:rsidRPr="008C06D5">
        <w:rPr>
          <w:bCs/>
          <w:iCs/>
          <w:smallCaps/>
          <w:color w:val="000000" w:themeColor="text1"/>
          <w:sz w:val="18"/>
          <w:szCs w:val="18"/>
        </w:rPr>
        <w:t>2021</w:t>
      </w:r>
    </w:p>
    <w:p w14:paraId="14C5BAFE" w14:textId="1ED11BF1" w:rsidR="00A15CA4" w:rsidRDefault="0050106E" w:rsidP="009B7F1E">
      <w:pPr>
        <w:pStyle w:val="Default"/>
        <w:jc w:val="center"/>
      </w:pPr>
      <w:r>
        <w:rPr>
          <w:noProof/>
        </w:rPr>
        <w:drawing>
          <wp:inline distT="0" distB="0" distL="0" distR="0" wp14:anchorId="6CFD3058" wp14:editId="1406684B">
            <wp:extent cx="5076825" cy="2060812"/>
            <wp:effectExtent l="0" t="0" r="0" b="0"/>
            <wp:docPr id="6" name="Gráfico 6">
              <a:extLst xmlns:a="http://schemas.openxmlformats.org/drawingml/2006/main">
                <a:ext uri="{FF2B5EF4-FFF2-40B4-BE49-F238E27FC236}">
                  <a16:creationId xmlns:a16="http://schemas.microsoft.com/office/drawing/2014/main" id="{5F04F23A-4DA7-01F4-6AC3-9C92B050A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29C258" w14:textId="7D5A732E" w:rsidR="00A36724" w:rsidRPr="00A36724" w:rsidRDefault="00A36724" w:rsidP="00A36724">
      <w:pPr>
        <w:pStyle w:val="Default"/>
        <w:jc w:val="both"/>
        <w:rPr>
          <w:sz w:val="16"/>
          <w:szCs w:val="16"/>
        </w:rPr>
      </w:pPr>
      <w:r w:rsidRPr="00A36724">
        <w:rPr>
          <w:sz w:val="16"/>
          <w:szCs w:val="16"/>
        </w:rPr>
        <w:t xml:space="preserve">*Incluye </w:t>
      </w:r>
      <w:r w:rsidR="00194214">
        <w:rPr>
          <w:sz w:val="16"/>
          <w:szCs w:val="16"/>
        </w:rPr>
        <w:t xml:space="preserve">las y </w:t>
      </w:r>
      <w:r w:rsidRPr="00A36724">
        <w:rPr>
          <w:sz w:val="16"/>
          <w:szCs w:val="16"/>
        </w:rPr>
        <w:t>los jueces de distrito especializados en el Sistema Penal Acusatorio y especializados en materia laboral</w:t>
      </w:r>
      <w:r>
        <w:rPr>
          <w:sz w:val="16"/>
          <w:szCs w:val="16"/>
        </w:rPr>
        <w:t>.</w:t>
      </w:r>
    </w:p>
    <w:p w14:paraId="0A35DA80" w14:textId="77777777" w:rsidR="00F66A65" w:rsidRPr="00963A3F" w:rsidRDefault="00F66A65" w:rsidP="00963A3F">
      <w:pPr>
        <w:pStyle w:val="Default"/>
        <w:spacing w:after="10"/>
        <w:ind w:right="284"/>
        <w:jc w:val="center"/>
        <w:rPr>
          <w:b/>
          <w:bCs/>
          <w:iCs/>
          <w:smallCaps/>
          <w:color w:val="000000" w:themeColor="text1"/>
          <w:sz w:val="22"/>
          <w:szCs w:val="22"/>
        </w:rPr>
      </w:pPr>
    </w:p>
    <w:p w14:paraId="20139A54" w14:textId="5139CACA" w:rsidR="0077270A" w:rsidRDefault="00602EC2" w:rsidP="00B3655C">
      <w:pPr>
        <w:tabs>
          <w:tab w:val="left" w:pos="5460"/>
        </w:tabs>
        <w:spacing w:after="0"/>
        <w:jc w:val="both"/>
        <w:rPr>
          <w:rFonts w:ascii="Arial" w:hAnsi="Arial" w:cs="Arial"/>
          <w:color w:val="000000"/>
          <w:sz w:val="24"/>
          <w:szCs w:val="24"/>
        </w:rPr>
      </w:pPr>
      <w:r>
        <w:rPr>
          <w:rFonts w:ascii="Arial" w:hAnsi="Arial" w:cs="Arial"/>
          <w:color w:val="000000"/>
          <w:sz w:val="24"/>
          <w:szCs w:val="24"/>
        </w:rPr>
        <w:t xml:space="preserve">En 2021, </w:t>
      </w:r>
      <w:r w:rsidR="00194214" w:rsidRPr="00B3655C">
        <w:rPr>
          <w:rFonts w:ascii="Arial" w:hAnsi="Arial" w:cs="Arial"/>
          <w:color w:val="000000"/>
          <w:sz w:val="24"/>
          <w:szCs w:val="24"/>
        </w:rPr>
        <w:t xml:space="preserve">la SCJN </w:t>
      </w:r>
      <w:r w:rsidR="00194214">
        <w:rPr>
          <w:rFonts w:ascii="Arial" w:hAnsi="Arial" w:cs="Arial"/>
          <w:color w:val="000000"/>
          <w:sz w:val="24"/>
          <w:szCs w:val="24"/>
        </w:rPr>
        <w:t xml:space="preserve">ejerció </w:t>
      </w:r>
      <w:r w:rsidR="00194214" w:rsidRPr="006035BE">
        <w:rPr>
          <w:rFonts w:ascii="Arial" w:hAnsi="Arial" w:cs="Arial"/>
          <w:color w:val="000000"/>
          <w:sz w:val="24"/>
          <w:szCs w:val="24"/>
        </w:rPr>
        <w:t>4</w:t>
      </w:r>
      <w:r w:rsidR="00194214">
        <w:rPr>
          <w:rFonts w:ascii="Arial" w:hAnsi="Arial" w:cs="Arial"/>
          <w:color w:val="000000"/>
          <w:sz w:val="24"/>
          <w:szCs w:val="24"/>
        </w:rPr>
        <w:t xml:space="preserve"> </w:t>
      </w:r>
      <w:r w:rsidR="00194214" w:rsidRPr="006035BE">
        <w:rPr>
          <w:rFonts w:ascii="Arial" w:hAnsi="Arial" w:cs="Arial"/>
          <w:color w:val="000000"/>
          <w:sz w:val="24"/>
          <w:szCs w:val="24"/>
        </w:rPr>
        <w:t>944</w:t>
      </w:r>
      <w:r w:rsidR="00194214">
        <w:rPr>
          <w:rFonts w:ascii="Arial" w:hAnsi="Arial" w:cs="Arial"/>
          <w:color w:val="000000"/>
          <w:sz w:val="24"/>
          <w:szCs w:val="24"/>
        </w:rPr>
        <w:t xml:space="preserve"> </w:t>
      </w:r>
      <w:r w:rsidR="00194214" w:rsidRPr="006035BE">
        <w:rPr>
          <w:rFonts w:ascii="Arial" w:hAnsi="Arial" w:cs="Arial"/>
          <w:color w:val="000000"/>
          <w:sz w:val="24"/>
          <w:szCs w:val="24"/>
        </w:rPr>
        <w:t>500</w:t>
      </w:r>
      <w:r w:rsidR="00194214">
        <w:rPr>
          <w:rFonts w:ascii="Arial" w:hAnsi="Arial" w:cs="Arial"/>
          <w:color w:val="000000"/>
          <w:sz w:val="24"/>
          <w:szCs w:val="24"/>
        </w:rPr>
        <w:t xml:space="preserve"> </w:t>
      </w:r>
      <w:r w:rsidR="00194214" w:rsidRPr="006035BE">
        <w:rPr>
          <w:rFonts w:ascii="Arial" w:hAnsi="Arial" w:cs="Arial"/>
          <w:color w:val="000000"/>
          <w:sz w:val="24"/>
          <w:szCs w:val="24"/>
        </w:rPr>
        <w:t>889</w:t>
      </w:r>
      <w:r w:rsidR="00194214" w:rsidRPr="00B3655C">
        <w:rPr>
          <w:rFonts w:ascii="Arial" w:hAnsi="Arial" w:cs="Arial"/>
          <w:color w:val="000000"/>
          <w:sz w:val="24"/>
          <w:szCs w:val="24"/>
        </w:rPr>
        <w:t xml:space="preserve"> pesos</w:t>
      </w:r>
      <w:r w:rsidR="00194214">
        <w:rPr>
          <w:rFonts w:ascii="Arial" w:hAnsi="Arial" w:cs="Arial"/>
          <w:color w:val="000000"/>
          <w:sz w:val="24"/>
          <w:szCs w:val="24"/>
        </w:rPr>
        <w:t xml:space="preserve"> </w:t>
      </w:r>
      <w:r>
        <w:rPr>
          <w:rFonts w:ascii="Arial" w:hAnsi="Arial" w:cs="Arial"/>
          <w:color w:val="000000"/>
          <w:sz w:val="24"/>
          <w:szCs w:val="24"/>
        </w:rPr>
        <w:t>en</w:t>
      </w:r>
      <w:r w:rsidR="00B82A7F">
        <w:rPr>
          <w:rFonts w:ascii="Arial" w:hAnsi="Arial" w:cs="Arial"/>
          <w:color w:val="000000"/>
          <w:sz w:val="24"/>
          <w:szCs w:val="24"/>
        </w:rPr>
        <w:t xml:space="preserve"> lo que refiere a</w:t>
      </w:r>
      <w:r w:rsidR="00B3655C" w:rsidRPr="00B3655C">
        <w:rPr>
          <w:rFonts w:ascii="Arial" w:hAnsi="Arial" w:cs="Arial"/>
          <w:color w:val="000000"/>
          <w:sz w:val="24"/>
          <w:szCs w:val="24"/>
        </w:rPr>
        <w:t xml:space="preserve"> los recursos presupuestales del PJF; el TEPJF, </w:t>
      </w:r>
      <w:r w:rsidR="006035BE" w:rsidRPr="006035BE">
        <w:rPr>
          <w:rFonts w:ascii="Arial" w:hAnsi="Arial" w:cs="Arial"/>
          <w:color w:val="000000"/>
          <w:sz w:val="24"/>
          <w:szCs w:val="24"/>
        </w:rPr>
        <w:t>2</w:t>
      </w:r>
      <w:r>
        <w:rPr>
          <w:rFonts w:ascii="Arial" w:hAnsi="Arial" w:cs="Arial"/>
          <w:color w:val="000000"/>
          <w:sz w:val="24"/>
          <w:szCs w:val="24"/>
        </w:rPr>
        <w:t xml:space="preserve"> </w:t>
      </w:r>
      <w:r w:rsidR="006035BE" w:rsidRPr="006035BE">
        <w:rPr>
          <w:rFonts w:ascii="Arial" w:hAnsi="Arial" w:cs="Arial"/>
          <w:color w:val="000000"/>
          <w:sz w:val="24"/>
          <w:szCs w:val="24"/>
        </w:rPr>
        <w:t>972</w:t>
      </w:r>
      <w:r>
        <w:rPr>
          <w:rFonts w:ascii="Arial" w:hAnsi="Arial" w:cs="Arial"/>
          <w:color w:val="000000"/>
          <w:sz w:val="24"/>
          <w:szCs w:val="24"/>
        </w:rPr>
        <w:t xml:space="preserve"> </w:t>
      </w:r>
      <w:r w:rsidR="006035BE" w:rsidRPr="006035BE">
        <w:rPr>
          <w:rFonts w:ascii="Arial" w:hAnsi="Arial" w:cs="Arial"/>
          <w:color w:val="000000"/>
          <w:sz w:val="24"/>
          <w:szCs w:val="24"/>
        </w:rPr>
        <w:t>322</w:t>
      </w:r>
      <w:r>
        <w:rPr>
          <w:rFonts w:ascii="Arial" w:hAnsi="Arial" w:cs="Arial"/>
          <w:color w:val="000000"/>
          <w:sz w:val="24"/>
          <w:szCs w:val="24"/>
        </w:rPr>
        <w:t xml:space="preserve"> </w:t>
      </w:r>
      <w:r w:rsidR="006035BE" w:rsidRPr="006035BE">
        <w:rPr>
          <w:rFonts w:ascii="Arial" w:hAnsi="Arial" w:cs="Arial"/>
          <w:color w:val="000000"/>
          <w:sz w:val="24"/>
          <w:szCs w:val="24"/>
        </w:rPr>
        <w:t xml:space="preserve">737 </w:t>
      </w:r>
      <w:r w:rsidR="00030FF2">
        <w:rPr>
          <w:rFonts w:ascii="Arial" w:hAnsi="Arial" w:cs="Arial"/>
          <w:color w:val="000000"/>
          <w:sz w:val="24"/>
          <w:szCs w:val="24"/>
        </w:rPr>
        <w:t>pesos</w:t>
      </w:r>
      <w:r w:rsidR="00B3655C" w:rsidRPr="005537FE">
        <w:rPr>
          <w:rFonts w:ascii="Arial" w:hAnsi="Arial" w:cs="Arial"/>
          <w:color w:val="000000"/>
          <w:sz w:val="24"/>
          <w:szCs w:val="24"/>
        </w:rPr>
        <w:t xml:space="preserve"> y</w:t>
      </w:r>
      <w:r w:rsidR="00B3655C" w:rsidRPr="00B3655C">
        <w:rPr>
          <w:rFonts w:ascii="Arial" w:hAnsi="Arial" w:cs="Arial"/>
          <w:color w:val="000000"/>
          <w:sz w:val="24"/>
          <w:szCs w:val="24"/>
        </w:rPr>
        <w:t xml:space="preserve"> el CJF, </w:t>
      </w:r>
      <w:r w:rsidR="003203B4" w:rsidRPr="003203B4">
        <w:rPr>
          <w:rFonts w:ascii="Arial" w:hAnsi="Arial" w:cs="Arial"/>
          <w:color w:val="000000"/>
          <w:sz w:val="24"/>
          <w:szCs w:val="24"/>
        </w:rPr>
        <w:t>66</w:t>
      </w:r>
      <w:r>
        <w:rPr>
          <w:rFonts w:ascii="Arial" w:hAnsi="Arial" w:cs="Arial"/>
          <w:color w:val="000000"/>
          <w:sz w:val="24"/>
          <w:szCs w:val="24"/>
        </w:rPr>
        <w:t xml:space="preserve"> </w:t>
      </w:r>
      <w:r w:rsidR="003203B4" w:rsidRPr="003203B4">
        <w:rPr>
          <w:rFonts w:ascii="Arial" w:hAnsi="Arial" w:cs="Arial"/>
          <w:color w:val="000000"/>
          <w:sz w:val="24"/>
          <w:szCs w:val="24"/>
        </w:rPr>
        <w:t>134</w:t>
      </w:r>
      <w:r>
        <w:rPr>
          <w:rFonts w:ascii="Arial" w:hAnsi="Arial" w:cs="Arial"/>
          <w:color w:val="000000"/>
          <w:sz w:val="24"/>
          <w:szCs w:val="24"/>
        </w:rPr>
        <w:t xml:space="preserve"> </w:t>
      </w:r>
      <w:r w:rsidR="003203B4" w:rsidRPr="003203B4">
        <w:rPr>
          <w:rFonts w:ascii="Arial" w:hAnsi="Arial" w:cs="Arial"/>
          <w:color w:val="000000"/>
          <w:sz w:val="24"/>
          <w:szCs w:val="24"/>
        </w:rPr>
        <w:t>933</w:t>
      </w:r>
      <w:r>
        <w:rPr>
          <w:rFonts w:ascii="Arial" w:hAnsi="Arial" w:cs="Arial"/>
          <w:color w:val="000000"/>
          <w:sz w:val="24"/>
          <w:szCs w:val="24"/>
        </w:rPr>
        <w:t xml:space="preserve"> </w:t>
      </w:r>
      <w:r w:rsidR="003203B4" w:rsidRPr="003203B4">
        <w:rPr>
          <w:rFonts w:ascii="Arial" w:hAnsi="Arial" w:cs="Arial"/>
          <w:color w:val="000000"/>
          <w:sz w:val="24"/>
          <w:szCs w:val="24"/>
        </w:rPr>
        <w:t xml:space="preserve">627 </w:t>
      </w:r>
      <w:r w:rsidR="00B3655C" w:rsidRPr="00B3655C">
        <w:rPr>
          <w:rFonts w:ascii="Arial" w:hAnsi="Arial" w:cs="Arial"/>
          <w:color w:val="000000"/>
          <w:sz w:val="24"/>
          <w:szCs w:val="24"/>
        </w:rPr>
        <w:t xml:space="preserve">pesos. Del presupuesto total </w:t>
      </w:r>
      <w:r w:rsidR="00194214">
        <w:rPr>
          <w:rFonts w:ascii="Arial" w:hAnsi="Arial" w:cs="Arial"/>
          <w:color w:val="000000"/>
          <w:sz w:val="24"/>
          <w:szCs w:val="24"/>
        </w:rPr>
        <w:t xml:space="preserve">que ejerció </w:t>
      </w:r>
      <w:r w:rsidR="00B3655C" w:rsidRPr="00B3655C">
        <w:rPr>
          <w:rFonts w:ascii="Arial" w:hAnsi="Arial" w:cs="Arial"/>
          <w:color w:val="000000"/>
          <w:sz w:val="24"/>
          <w:szCs w:val="24"/>
        </w:rPr>
        <w:t xml:space="preserve">el PJF, </w:t>
      </w:r>
      <w:r w:rsidR="005537FE" w:rsidRPr="005537FE">
        <w:rPr>
          <w:rFonts w:ascii="Arial" w:hAnsi="Arial" w:cs="Arial"/>
          <w:color w:val="000000"/>
          <w:sz w:val="24"/>
          <w:szCs w:val="24"/>
        </w:rPr>
        <w:t>7</w:t>
      </w:r>
      <w:r w:rsidR="003203B4">
        <w:rPr>
          <w:rFonts w:ascii="Arial" w:hAnsi="Arial" w:cs="Arial"/>
          <w:color w:val="000000"/>
          <w:sz w:val="24"/>
          <w:szCs w:val="24"/>
        </w:rPr>
        <w:t>0.0</w:t>
      </w:r>
      <w:r>
        <w:rPr>
          <w:rFonts w:ascii="Arial" w:hAnsi="Arial" w:cs="Arial"/>
          <w:color w:val="000000"/>
          <w:sz w:val="24"/>
          <w:szCs w:val="24"/>
        </w:rPr>
        <w:t xml:space="preserve"> </w:t>
      </w:r>
      <w:r w:rsidR="00B3655C" w:rsidRPr="005537FE">
        <w:rPr>
          <w:rFonts w:ascii="Arial" w:hAnsi="Arial" w:cs="Arial"/>
          <w:color w:val="000000"/>
          <w:sz w:val="24"/>
          <w:szCs w:val="24"/>
        </w:rPr>
        <w:t>%</w:t>
      </w:r>
      <w:r w:rsidR="00B3655C" w:rsidRPr="00B3655C">
        <w:rPr>
          <w:rFonts w:ascii="Arial" w:hAnsi="Arial" w:cs="Arial"/>
          <w:color w:val="000000"/>
          <w:sz w:val="24"/>
          <w:szCs w:val="24"/>
        </w:rPr>
        <w:t xml:space="preserve"> correspondió a</w:t>
      </w:r>
      <w:r w:rsidR="00B3655C">
        <w:rPr>
          <w:rFonts w:ascii="Arial" w:hAnsi="Arial" w:cs="Arial"/>
          <w:color w:val="000000"/>
          <w:sz w:val="24"/>
          <w:szCs w:val="24"/>
        </w:rPr>
        <w:t xml:space="preserve"> </w:t>
      </w:r>
      <w:r w:rsidR="00B3655C" w:rsidRPr="00B3655C">
        <w:rPr>
          <w:rFonts w:ascii="Arial" w:hAnsi="Arial" w:cs="Arial"/>
          <w:color w:val="000000"/>
          <w:sz w:val="24"/>
          <w:szCs w:val="24"/>
        </w:rPr>
        <w:t xml:space="preserve">órganos </w:t>
      </w:r>
      <w:r w:rsidR="00B3655C" w:rsidRPr="005537FE">
        <w:rPr>
          <w:rFonts w:ascii="Arial" w:hAnsi="Arial" w:cs="Arial"/>
          <w:color w:val="000000"/>
          <w:sz w:val="24"/>
          <w:szCs w:val="24"/>
        </w:rPr>
        <w:t xml:space="preserve">jurisdiccionales y </w:t>
      </w:r>
      <w:r w:rsidR="003203B4">
        <w:rPr>
          <w:rFonts w:ascii="Arial" w:hAnsi="Arial" w:cs="Arial"/>
          <w:color w:val="000000"/>
          <w:sz w:val="24"/>
          <w:szCs w:val="24"/>
        </w:rPr>
        <w:t>30.0</w:t>
      </w:r>
      <w:r>
        <w:rPr>
          <w:rFonts w:ascii="Arial" w:hAnsi="Arial" w:cs="Arial"/>
          <w:color w:val="000000"/>
          <w:sz w:val="24"/>
          <w:szCs w:val="24"/>
        </w:rPr>
        <w:t xml:space="preserve"> </w:t>
      </w:r>
      <w:r w:rsidR="00B3655C" w:rsidRPr="005537FE">
        <w:rPr>
          <w:rFonts w:ascii="Arial" w:hAnsi="Arial" w:cs="Arial"/>
          <w:color w:val="000000"/>
          <w:sz w:val="24"/>
          <w:szCs w:val="24"/>
        </w:rPr>
        <w:t>%</w:t>
      </w:r>
      <w:r w:rsidR="00B3655C" w:rsidRPr="00B3655C">
        <w:rPr>
          <w:rFonts w:ascii="Arial" w:hAnsi="Arial" w:cs="Arial"/>
          <w:color w:val="000000"/>
          <w:sz w:val="24"/>
          <w:szCs w:val="24"/>
        </w:rPr>
        <w:t xml:space="preserve"> a órganos administrativos y/</w:t>
      </w:r>
      <w:r w:rsidR="00194214">
        <w:rPr>
          <w:rFonts w:ascii="Arial" w:hAnsi="Arial" w:cs="Arial"/>
          <w:color w:val="000000"/>
          <w:sz w:val="24"/>
          <w:szCs w:val="24"/>
        </w:rPr>
        <w:t xml:space="preserve"> </w:t>
      </w:r>
      <w:r w:rsidR="00B3655C" w:rsidRPr="00B3655C">
        <w:rPr>
          <w:rFonts w:ascii="Arial" w:hAnsi="Arial" w:cs="Arial"/>
          <w:color w:val="000000"/>
          <w:sz w:val="24"/>
          <w:szCs w:val="24"/>
        </w:rPr>
        <w:t>o unidades administrativas. En</w:t>
      </w:r>
      <w:r w:rsidR="00B3655C">
        <w:rPr>
          <w:rFonts w:ascii="Arial" w:hAnsi="Arial" w:cs="Arial"/>
          <w:color w:val="000000"/>
          <w:sz w:val="24"/>
          <w:szCs w:val="24"/>
        </w:rPr>
        <w:t xml:space="preserve"> </w:t>
      </w:r>
      <w:r w:rsidR="00B3655C" w:rsidRPr="00B3655C">
        <w:rPr>
          <w:rFonts w:ascii="Arial" w:hAnsi="Arial" w:cs="Arial"/>
          <w:color w:val="000000"/>
          <w:sz w:val="24"/>
          <w:szCs w:val="24"/>
        </w:rPr>
        <w:t>202</w:t>
      </w:r>
      <w:r w:rsidR="007A18A5">
        <w:rPr>
          <w:rFonts w:ascii="Arial" w:hAnsi="Arial" w:cs="Arial"/>
          <w:color w:val="000000"/>
          <w:sz w:val="24"/>
          <w:szCs w:val="24"/>
        </w:rPr>
        <w:t>1</w:t>
      </w:r>
      <w:r w:rsidR="00B3655C" w:rsidRPr="00B3655C">
        <w:rPr>
          <w:rFonts w:ascii="Arial" w:hAnsi="Arial" w:cs="Arial"/>
          <w:color w:val="000000"/>
          <w:sz w:val="24"/>
          <w:szCs w:val="24"/>
        </w:rPr>
        <w:t xml:space="preserve">, dicho presupuesto reportó </w:t>
      </w:r>
      <w:r w:rsidR="00B3655C" w:rsidRPr="009A3854">
        <w:rPr>
          <w:rFonts w:ascii="Arial" w:hAnsi="Arial" w:cs="Arial"/>
          <w:color w:val="000000"/>
          <w:sz w:val="24"/>
          <w:szCs w:val="24"/>
        </w:rPr>
        <w:t xml:space="preserve">un aumento de </w:t>
      </w:r>
      <w:r w:rsidR="003203B4">
        <w:rPr>
          <w:rFonts w:ascii="Arial" w:hAnsi="Arial" w:cs="Arial"/>
          <w:color w:val="000000"/>
          <w:sz w:val="24"/>
          <w:szCs w:val="24"/>
        </w:rPr>
        <w:t>11.5</w:t>
      </w:r>
      <w:r>
        <w:rPr>
          <w:rFonts w:ascii="Arial" w:hAnsi="Arial" w:cs="Arial"/>
          <w:color w:val="000000"/>
          <w:sz w:val="24"/>
          <w:szCs w:val="24"/>
        </w:rPr>
        <w:t xml:space="preserve"> </w:t>
      </w:r>
      <w:r w:rsidR="00B3655C" w:rsidRPr="009A3854">
        <w:rPr>
          <w:rFonts w:ascii="Arial" w:hAnsi="Arial" w:cs="Arial"/>
          <w:color w:val="000000"/>
          <w:sz w:val="24"/>
          <w:szCs w:val="24"/>
        </w:rPr>
        <w:t>%</w:t>
      </w:r>
      <w:r w:rsidR="00B3655C" w:rsidRPr="00B3655C">
        <w:rPr>
          <w:rFonts w:ascii="Arial" w:hAnsi="Arial" w:cs="Arial"/>
          <w:color w:val="000000"/>
          <w:sz w:val="24"/>
          <w:szCs w:val="24"/>
        </w:rPr>
        <w:t xml:space="preserve"> con respecto a 20</w:t>
      </w:r>
      <w:r w:rsidR="007A18A5">
        <w:rPr>
          <w:rFonts w:ascii="Arial" w:hAnsi="Arial" w:cs="Arial"/>
          <w:color w:val="000000"/>
          <w:sz w:val="24"/>
          <w:szCs w:val="24"/>
        </w:rPr>
        <w:t>20</w:t>
      </w:r>
      <w:r w:rsidR="00B3655C" w:rsidRPr="00B3655C">
        <w:rPr>
          <w:rFonts w:ascii="Arial" w:hAnsi="Arial" w:cs="Arial"/>
          <w:color w:val="000000"/>
          <w:sz w:val="24"/>
          <w:szCs w:val="24"/>
        </w:rPr>
        <w:t>.</w:t>
      </w:r>
      <w:r w:rsidR="00B3655C" w:rsidRPr="00B3655C">
        <w:rPr>
          <w:rFonts w:ascii="Arial" w:hAnsi="Arial" w:cs="Arial"/>
          <w:color w:val="000000"/>
          <w:sz w:val="24"/>
          <w:szCs w:val="24"/>
        </w:rPr>
        <w:cr/>
      </w:r>
    </w:p>
    <w:p w14:paraId="5EE4F0E2" w14:textId="6E49C479" w:rsidR="00583F12" w:rsidRPr="00963A3F" w:rsidRDefault="00583F12" w:rsidP="00583F12">
      <w:pPr>
        <w:pStyle w:val="Default"/>
        <w:spacing w:after="10"/>
        <w:ind w:right="284"/>
        <w:jc w:val="center"/>
        <w:rPr>
          <w:bCs/>
          <w:iCs/>
          <w:color w:val="000000" w:themeColor="text1"/>
          <w:sz w:val="20"/>
          <w:szCs w:val="20"/>
        </w:rPr>
      </w:pPr>
      <w:r w:rsidRPr="00963A3F">
        <w:rPr>
          <w:bCs/>
          <w:iCs/>
          <w:color w:val="000000" w:themeColor="text1"/>
          <w:sz w:val="20"/>
          <w:szCs w:val="20"/>
        </w:rPr>
        <w:lastRenderedPageBreak/>
        <w:t xml:space="preserve">Gráfica </w:t>
      </w:r>
      <w:r w:rsidR="0077270A">
        <w:rPr>
          <w:bCs/>
          <w:iCs/>
          <w:color w:val="000000" w:themeColor="text1"/>
          <w:sz w:val="20"/>
          <w:szCs w:val="20"/>
        </w:rPr>
        <w:t>4</w:t>
      </w:r>
    </w:p>
    <w:p w14:paraId="522C4D4B" w14:textId="75129A70" w:rsidR="00583F12" w:rsidRPr="00583F12" w:rsidRDefault="00583F12" w:rsidP="00583F12">
      <w:pPr>
        <w:tabs>
          <w:tab w:val="left" w:pos="5460"/>
        </w:tabs>
        <w:spacing w:after="0"/>
        <w:jc w:val="center"/>
        <w:rPr>
          <w:rFonts w:ascii="Arial" w:hAnsi="Arial" w:cs="Arial"/>
          <w:b/>
          <w:bCs/>
          <w:iCs/>
          <w:smallCaps/>
          <w:color w:val="000000" w:themeColor="text1"/>
        </w:rPr>
      </w:pPr>
      <w:r w:rsidRPr="00583F12">
        <w:rPr>
          <w:rFonts w:ascii="Arial" w:hAnsi="Arial" w:cs="Arial"/>
          <w:b/>
          <w:bCs/>
          <w:iCs/>
          <w:smallCaps/>
          <w:color w:val="000000" w:themeColor="text1"/>
        </w:rPr>
        <w:t>Presupuesto ejercido reportado por el Poder Judicial de la Federación</w:t>
      </w:r>
    </w:p>
    <w:p w14:paraId="53584AB8" w14:textId="04ACDCE6" w:rsidR="00B3655C" w:rsidRDefault="00583F12" w:rsidP="00583F12">
      <w:pPr>
        <w:tabs>
          <w:tab w:val="left" w:pos="5460"/>
        </w:tabs>
        <w:spacing w:after="0"/>
        <w:jc w:val="center"/>
        <w:rPr>
          <w:rFonts w:ascii="Arial" w:hAnsi="Arial" w:cs="Arial"/>
          <w:b/>
          <w:bCs/>
          <w:iCs/>
          <w:smallCaps/>
          <w:color w:val="000000" w:themeColor="text1"/>
        </w:rPr>
      </w:pPr>
      <w:r>
        <w:rPr>
          <w:rFonts w:ascii="Arial" w:hAnsi="Arial" w:cs="Arial"/>
          <w:b/>
          <w:bCs/>
          <w:iCs/>
          <w:smallCaps/>
          <w:color w:val="000000" w:themeColor="text1"/>
        </w:rPr>
        <w:t>(</w:t>
      </w:r>
      <w:r w:rsidRPr="00583F12">
        <w:rPr>
          <w:rFonts w:ascii="Arial" w:hAnsi="Arial" w:cs="Arial"/>
          <w:b/>
          <w:bCs/>
          <w:iCs/>
          <w:smallCaps/>
          <w:color w:val="000000" w:themeColor="text1"/>
        </w:rPr>
        <w:t>Millones de pesos</w:t>
      </w:r>
      <w:r>
        <w:rPr>
          <w:rFonts w:ascii="Arial" w:hAnsi="Arial" w:cs="Arial"/>
          <w:b/>
          <w:bCs/>
          <w:iCs/>
          <w:smallCaps/>
          <w:color w:val="000000" w:themeColor="text1"/>
        </w:rPr>
        <w:t>)</w:t>
      </w:r>
    </w:p>
    <w:p w14:paraId="76A328A3" w14:textId="0C47C57B" w:rsidR="007C4785" w:rsidRDefault="004450F9" w:rsidP="004450F9">
      <w:pPr>
        <w:tabs>
          <w:tab w:val="left" w:pos="5460"/>
        </w:tabs>
        <w:spacing w:after="0"/>
        <w:rPr>
          <w:rFonts w:ascii="Arial" w:hAnsi="Arial" w:cs="Arial"/>
          <w:color w:val="000000"/>
          <w:sz w:val="24"/>
          <w:szCs w:val="24"/>
        </w:rPr>
      </w:pPr>
      <w:r>
        <w:rPr>
          <w:noProof/>
        </w:rPr>
        <w:drawing>
          <wp:inline distT="0" distB="0" distL="0" distR="0" wp14:anchorId="51A3BB01" wp14:editId="12CCBE7D">
            <wp:extent cx="6315075" cy="2238375"/>
            <wp:effectExtent l="0" t="0" r="0" b="0"/>
            <wp:docPr id="35" name="Gráfico 35">
              <a:extLst xmlns:a="http://schemas.openxmlformats.org/drawingml/2006/main">
                <a:ext uri="{FF2B5EF4-FFF2-40B4-BE49-F238E27FC236}">
                  <a16:creationId xmlns:a16="http://schemas.microsoft.com/office/drawing/2014/main" id="{B9D03786-8E56-911D-C12D-98D2DF84E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3A1113" w14:textId="77777777" w:rsidR="00C47488" w:rsidRDefault="00C47488" w:rsidP="006035BE">
      <w:pPr>
        <w:tabs>
          <w:tab w:val="left" w:pos="5460"/>
        </w:tabs>
        <w:spacing w:after="0"/>
        <w:jc w:val="both"/>
        <w:rPr>
          <w:rFonts w:ascii="Arial" w:hAnsi="Arial" w:cs="Arial"/>
          <w:color w:val="000000"/>
          <w:sz w:val="16"/>
          <w:szCs w:val="16"/>
        </w:rPr>
      </w:pPr>
    </w:p>
    <w:p w14:paraId="386FA765" w14:textId="341A9F1A" w:rsidR="006035BE" w:rsidRDefault="006035BE" w:rsidP="006035BE">
      <w:pPr>
        <w:tabs>
          <w:tab w:val="left" w:pos="5460"/>
        </w:tabs>
        <w:spacing w:after="0"/>
        <w:jc w:val="both"/>
        <w:rPr>
          <w:rFonts w:ascii="Arial" w:hAnsi="Arial" w:cs="Arial"/>
          <w:color w:val="000000"/>
          <w:sz w:val="16"/>
          <w:szCs w:val="16"/>
        </w:rPr>
      </w:pPr>
      <w:r w:rsidRPr="006035BE">
        <w:rPr>
          <w:rFonts w:ascii="Arial" w:hAnsi="Arial" w:cs="Arial"/>
          <w:color w:val="000000"/>
          <w:sz w:val="16"/>
          <w:szCs w:val="16"/>
        </w:rPr>
        <w:t xml:space="preserve">Nota: </w:t>
      </w:r>
      <w:r w:rsidR="00194214">
        <w:rPr>
          <w:rFonts w:ascii="Arial" w:hAnsi="Arial" w:cs="Arial"/>
          <w:color w:val="000000"/>
          <w:sz w:val="16"/>
          <w:szCs w:val="16"/>
        </w:rPr>
        <w:t>S</w:t>
      </w:r>
      <w:r w:rsidRPr="006035BE">
        <w:rPr>
          <w:rFonts w:ascii="Arial" w:hAnsi="Arial" w:cs="Arial"/>
          <w:color w:val="000000"/>
          <w:sz w:val="16"/>
          <w:szCs w:val="16"/>
        </w:rPr>
        <w:t>e incluye el presupuesto ejercido por la Defensoría Pública Electoral para Pueblos y Comunidades Indígenas y por el Instituto Federal de Defensoría Pública.</w:t>
      </w:r>
    </w:p>
    <w:p w14:paraId="7C567C19" w14:textId="1CE3D6DD" w:rsidR="005B1A32" w:rsidRDefault="005B1A32" w:rsidP="006035BE">
      <w:pPr>
        <w:tabs>
          <w:tab w:val="left" w:pos="5460"/>
        </w:tabs>
        <w:spacing w:after="0"/>
        <w:jc w:val="both"/>
        <w:rPr>
          <w:rFonts w:ascii="Arial" w:hAnsi="Arial" w:cs="Arial"/>
          <w:color w:val="000000"/>
          <w:sz w:val="16"/>
          <w:szCs w:val="16"/>
        </w:rPr>
      </w:pPr>
    </w:p>
    <w:p w14:paraId="6BB69D3F" w14:textId="77777777" w:rsidR="005B1A32" w:rsidRPr="006035BE" w:rsidRDefault="005B1A32" w:rsidP="006035BE">
      <w:pPr>
        <w:tabs>
          <w:tab w:val="left" w:pos="5460"/>
        </w:tabs>
        <w:spacing w:after="0"/>
        <w:jc w:val="both"/>
        <w:rPr>
          <w:rFonts w:ascii="Arial" w:hAnsi="Arial" w:cs="Arial"/>
          <w:color w:val="000000"/>
          <w:sz w:val="16"/>
          <w:szCs w:val="16"/>
        </w:rPr>
      </w:pPr>
    </w:p>
    <w:p w14:paraId="19A78272" w14:textId="59E5BA77" w:rsidR="00583F12" w:rsidRPr="00511B07" w:rsidRDefault="00583F12" w:rsidP="00511B07">
      <w:pPr>
        <w:pStyle w:val="Prrafodelista"/>
        <w:numPr>
          <w:ilvl w:val="0"/>
          <w:numId w:val="26"/>
        </w:numPr>
        <w:tabs>
          <w:tab w:val="left" w:pos="5460"/>
        </w:tabs>
        <w:spacing w:after="0"/>
        <w:jc w:val="both"/>
        <w:rPr>
          <w:rFonts w:ascii="Arial Negrita" w:hAnsi="Arial Negrita" w:cs="Arial"/>
          <w:b/>
          <w:bCs/>
          <w:smallCaps/>
          <w:sz w:val="24"/>
          <w:szCs w:val="24"/>
        </w:rPr>
      </w:pPr>
      <w:r w:rsidRPr="00511B07">
        <w:rPr>
          <w:rFonts w:ascii="Arial Negrita" w:hAnsi="Arial Negrita" w:cs="Arial"/>
          <w:b/>
          <w:bCs/>
          <w:smallCaps/>
          <w:sz w:val="24"/>
          <w:szCs w:val="24"/>
        </w:rPr>
        <w:t>Publicación de sentencias</w:t>
      </w:r>
      <w:r w:rsidR="0019576A">
        <w:rPr>
          <w:rStyle w:val="Refdenotaalpie"/>
          <w:rFonts w:ascii="Arial Negrita" w:hAnsi="Arial Negrita" w:cs="Arial"/>
          <w:b/>
          <w:bCs/>
          <w:smallCaps/>
          <w:sz w:val="24"/>
          <w:szCs w:val="24"/>
        </w:rPr>
        <w:footnoteReference w:id="9"/>
      </w:r>
      <w:r w:rsidRPr="00511B07">
        <w:rPr>
          <w:rFonts w:ascii="Arial Negrita" w:hAnsi="Arial Negrita" w:cs="Arial"/>
          <w:b/>
          <w:bCs/>
          <w:smallCaps/>
          <w:sz w:val="24"/>
          <w:szCs w:val="24"/>
        </w:rPr>
        <w:t xml:space="preserve"> </w:t>
      </w:r>
    </w:p>
    <w:p w14:paraId="66217BEB" w14:textId="77777777" w:rsidR="002F4C8A" w:rsidRDefault="002F4C8A" w:rsidP="009B0421">
      <w:pPr>
        <w:tabs>
          <w:tab w:val="left" w:pos="5460"/>
        </w:tabs>
        <w:spacing w:after="0"/>
        <w:jc w:val="both"/>
        <w:rPr>
          <w:rFonts w:ascii="Arial" w:hAnsi="Arial" w:cs="Arial"/>
          <w:color w:val="000000"/>
          <w:sz w:val="24"/>
          <w:szCs w:val="24"/>
        </w:rPr>
      </w:pPr>
    </w:p>
    <w:p w14:paraId="626F56EE" w14:textId="721457A3" w:rsidR="00B3655C" w:rsidRDefault="00583F12" w:rsidP="00583F12">
      <w:pPr>
        <w:tabs>
          <w:tab w:val="left" w:pos="5460"/>
        </w:tabs>
        <w:spacing w:after="0"/>
        <w:jc w:val="both"/>
        <w:rPr>
          <w:rFonts w:ascii="Arial" w:hAnsi="Arial" w:cs="Arial"/>
          <w:color w:val="000000"/>
          <w:sz w:val="24"/>
          <w:szCs w:val="24"/>
        </w:rPr>
      </w:pPr>
      <w:r w:rsidRPr="00583F12">
        <w:rPr>
          <w:rFonts w:ascii="Arial" w:hAnsi="Arial" w:cs="Arial"/>
          <w:color w:val="000000"/>
          <w:sz w:val="24"/>
          <w:szCs w:val="24"/>
        </w:rPr>
        <w:t>En 202</w:t>
      </w:r>
      <w:r w:rsidR="00DB0BDA">
        <w:rPr>
          <w:rFonts w:ascii="Arial" w:hAnsi="Arial" w:cs="Arial"/>
          <w:color w:val="000000"/>
          <w:sz w:val="24"/>
          <w:szCs w:val="24"/>
        </w:rPr>
        <w:t>1</w:t>
      </w:r>
      <w:r w:rsidRPr="00583F12">
        <w:rPr>
          <w:rFonts w:ascii="Arial" w:hAnsi="Arial" w:cs="Arial"/>
          <w:color w:val="000000"/>
          <w:sz w:val="24"/>
          <w:szCs w:val="24"/>
        </w:rPr>
        <w:t xml:space="preserve"> se publicaron</w:t>
      </w:r>
      <w:r w:rsidR="00425AC1">
        <w:rPr>
          <w:rFonts w:ascii="Arial" w:hAnsi="Arial" w:cs="Arial"/>
          <w:color w:val="000000"/>
          <w:sz w:val="24"/>
          <w:szCs w:val="24"/>
        </w:rPr>
        <w:t xml:space="preserve"> </w:t>
      </w:r>
      <w:r w:rsidR="00425AC1" w:rsidRPr="00425AC1">
        <w:rPr>
          <w:rFonts w:ascii="Arial" w:hAnsi="Arial" w:cs="Arial"/>
          <w:color w:val="000000"/>
          <w:sz w:val="24"/>
          <w:szCs w:val="24"/>
        </w:rPr>
        <w:t>801</w:t>
      </w:r>
      <w:r w:rsidR="0099461B">
        <w:rPr>
          <w:rFonts w:ascii="Arial" w:hAnsi="Arial" w:cs="Arial"/>
          <w:color w:val="000000"/>
          <w:sz w:val="24"/>
          <w:szCs w:val="24"/>
        </w:rPr>
        <w:t xml:space="preserve"> </w:t>
      </w:r>
      <w:r w:rsidR="00425AC1" w:rsidRPr="00425AC1">
        <w:rPr>
          <w:rFonts w:ascii="Arial" w:hAnsi="Arial" w:cs="Arial"/>
          <w:color w:val="000000"/>
          <w:sz w:val="24"/>
          <w:szCs w:val="24"/>
        </w:rPr>
        <w:t>191</w:t>
      </w:r>
      <w:r w:rsidR="00425AC1">
        <w:rPr>
          <w:rFonts w:ascii="Arial" w:hAnsi="Arial" w:cs="Arial"/>
          <w:color w:val="000000"/>
          <w:sz w:val="24"/>
          <w:szCs w:val="24"/>
        </w:rPr>
        <w:t xml:space="preserve"> </w:t>
      </w:r>
      <w:r w:rsidRPr="00583F12">
        <w:rPr>
          <w:rFonts w:ascii="Arial" w:hAnsi="Arial" w:cs="Arial"/>
          <w:color w:val="000000"/>
          <w:sz w:val="24"/>
          <w:szCs w:val="24"/>
        </w:rPr>
        <w:t>sentencias emitidas</w:t>
      </w:r>
      <w:r>
        <w:rPr>
          <w:rFonts w:ascii="Arial" w:hAnsi="Arial" w:cs="Arial"/>
          <w:color w:val="000000"/>
          <w:sz w:val="24"/>
          <w:szCs w:val="24"/>
        </w:rPr>
        <w:t xml:space="preserve"> </w:t>
      </w:r>
      <w:r w:rsidRPr="00583F12">
        <w:rPr>
          <w:rFonts w:ascii="Arial" w:hAnsi="Arial" w:cs="Arial"/>
          <w:color w:val="000000"/>
          <w:sz w:val="24"/>
          <w:szCs w:val="24"/>
        </w:rPr>
        <w:t>por los órganos jurisdiccionales</w:t>
      </w:r>
      <w:r w:rsidR="0099461B">
        <w:rPr>
          <w:rFonts w:ascii="Arial" w:hAnsi="Arial" w:cs="Arial"/>
          <w:color w:val="000000"/>
          <w:sz w:val="24"/>
          <w:szCs w:val="24"/>
        </w:rPr>
        <w:t>. D</w:t>
      </w:r>
      <w:r w:rsidRPr="00583F12">
        <w:rPr>
          <w:rFonts w:ascii="Arial" w:hAnsi="Arial" w:cs="Arial"/>
          <w:color w:val="000000"/>
          <w:sz w:val="24"/>
          <w:szCs w:val="24"/>
        </w:rPr>
        <w:t>e e</w:t>
      </w:r>
      <w:r w:rsidR="00194214">
        <w:rPr>
          <w:rFonts w:ascii="Arial" w:hAnsi="Arial" w:cs="Arial"/>
          <w:color w:val="000000"/>
          <w:sz w:val="24"/>
          <w:szCs w:val="24"/>
        </w:rPr>
        <w:t>st</w:t>
      </w:r>
      <w:r w:rsidRPr="00583F12">
        <w:rPr>
          <w:rFonts w:ascii="Arial" w:hAnsi="Arial" w:cs="Arial"/>
          <w:color w:val="000000"/>
          <w:sz w:val="24"/>
          <w:szCs w:val="24"/>
        </w:rPr>
        <w:t xml:space="preserve">as, </w:t>
      </w:r>
      <w:r w:rsidR="00DB0BDA" w:rsidRPr="00DB0BDA">
        <w:rPr>
          <w:rFonts w:ascii="Arial" w:hAnsi="Arial" w:cs="Arial"/>
          <w:color w:val="000000"/>
          <w:sz w:val="24"/>
          <w:szCs w:val="24"/>
        </w:rPr>
        <w:t>785</w:t>
      </w:r>
      <w:r w:rsidR="0099461B">
        <w:rPr>
          <w:rFonts w:ascii="Arial" w:hAnsi="Arial" w:cs="Arial"/>
          <w:color w:val="000000"/>
          <w:sz w:val="24"/>
          <w:szCs w:val="24"/>
        </w:rPr>
        <w:t xml:space="preserve"> </w:t>
      </w:r>
      <w:r w:rsidR="00DB0BDA" w:rsidRPr="00DB0BDA">
        <w:rPr>
          <w:rFonts w:ascii="Arial" w:hAnsi="Arial" w:cs="Arial"/>
          <w:color w:val="000000"/>
          <w:sz w:val="24"/>
          <w:szCs w:val="24"/>
        </w:rPr>
        <w:t>549</w:t>
      </w:r>
      <w:r w:rsidR="00DB0BDA">
        <w:rPr>
          <w:rFonts w:ascii="Arial" w:hAnsi="Arial" w:cs="Arial"/>
          <w:color w:val="000000"/>
          <w:sz w:val="24"/>
          <w:szCs w:val="24"/>
        </w:rPr>
        <w:t xml:space="preserve"> </w:t>
      </w:r>
      <w:r w:rsidRPr="00583F12">
        <w:rPr>
          <w:rFonts w:ascii="Arial" w:hAnsi="Arial" w:cs="Arial"/>
          <w:color w:val="000000"/>
          <w:sz w:val="24"/>
          <w:szCs w:val="24"/>
        </w:rPr>
        <w:t xml:space="preserve">tuvieron lugar en el CJF, </w:t>
      </w:r>
      <w:r w:rsidR="00DB0BDA" w:rsidRPr="00DB0BDA">
        <w:rPr>
          <w:rFonts w:ascii="Arial" w:hAnsi="Arial" w:cs="Arial"/>
          <w:color w:val="000000"/>
          <w:sz w:val="24"/>
          <w:szCs w:val="24"/>
        </w:rPr>
        <w:t>3</w:t>
      </w:r>
      <w:r w:rsidR="0099461B">
        <w:rPr>
          <w:rFonts w:ascii="Arial" w:hAnsi="Arial" w:cs="Arial"/>
          <w:color w:val="000000"/>
          <w:sz w:val="24"/>
          <w:szCs w:val="24"/>
        </w:rPr>
        <w:t xml:space="preserve"> </w:t>
      </w:r>
      <w:r w:rsidR="00DB0BDA" w:rsidRPr="00DB0BDA">
        <w:rPr>
          <w:rFonts w:ascii="Arial" w:hAnsi="Arial" w:cs="Arial"/>
          <w:color w:val="000000"/>
          <w:sz w:val="24"/>
          <w:szCs w:val="24"/>
        </w:rPr>
        <w:t>110</w:t>
      </w:r>
      <w:r w:rsidR="00DB0BDA">
        <w:rPr>
          <w:rFonts w:ascii="Arial" w:hAnsi="Arial" w:cs="Arial"/>
          <w:color w:val="000000"/>
          <w:sz w:val="24"/>
          <w:szCs w:val="24"/>
        </w:rPr>
        <w:t xml:space="preserve"> </w:t>
      </w:r>
      <w:r w:rsidRPr="00583F12">
        <w:rPr>
          <w:rFonts w:ascii="Arial" w:hAnsi="Arial" w:cs="Arial"/>
          <w:color w:val="000000"/>
          <w:sz w:val="24"/>
          <w:szCs w:val="24"/>
        </w:rPr>
        <w:t>en la SCJN</w:t>
      </w:r>
      <w:r>
        <w:rPr>
          <w:rFonts w:ascii="Arial" w:hAnsi="Arial" w:cs="Arial"/>
          <w:color w:val="000000"/>
          <w:sz w:val="24"/>
          <w:szCs w:val="24"/>
        </w:rPr>
        <w:t xml:space="preserve"> </w:t>
      </w:r>
      <w:r w:rsidRPr="00583F12">
        <w:rPr>
          <w:rFonts w:ascii="Arial" w:hAnsi="Arial" w:cs="Arial"/>
          <w:color w:val="000000"/>
          <w:sz w:val="24"/>
          <w:szCs w:val="24"/>
        </w:rPr>
        <w:t xml:space="preserve">y </w:t>
      </w:r>
      <w:r w:rsidR="00425AC1" w:rsidRPr="00425AC1">
        <w:rPr>
          <w:rFonts w:ascii="Arial" w:hAnsi="Arial" w:cs="Arial"/>
          <w:color w:val="000000"/>
          <w:sz w:val="24"/>
          <w:szCs w:val="24"/>
        </w:rPr>
        <w:t>12</w:t>
      </w:r>
      <w:r w:rsidR="0099461B">
        <w:rPr>
          <w:rFonts w:ascii="Arial" w:hAnsi="Arial" w:cs="Arial"/>
          <w:color w:val="000000"/>
          <w:sz w:val="24"/>
          <w:szCs w:val="24"/>
        </w:rPr>
        <w:t xml:space="preserve"> </w:t>
      </w:r>
      <w:r w:rsidR="00425AC1" w:rsidRPr="00425AC1">
        <w:rPr>
          <w:rFonts w:ascii="Arial" w:hAnsi="Arial" w:cs="Arial"/>
          <w:color w:val="000000"/>
          <w:sz w:val="24"/>
          <w:szCs w:val="24"/>
        </w:rPr>
        <w:t>532</w:t>
      </w:r>
      <w:r w:rsidR="00425AC1">
        <w:rPr>
          <w:rFonts w:ascii="Arial" w:hAnsi="Arial" w:cs="Arial"/>
          <w:color w:val="000000"/>
          <w:sz w:val="24"/>
          <w:szCs w:val="24"/>
        </w:rPr>
        <w:t xml:space="preserve"> </w:t>
      </w:r>
      <w:r w:rsidRPr="00583F12">
        <w:rPr>
          <w:rFonts w:ascii="Arial" w:hAnsi="Arial" w:cs="Arial"/>
          <w:color w:val="000000"/>
          <w:sz w:val="24"/>
          <w:szCs w:val="24"/>
        </w:rPr>
        <w:t>en el TEPJF. En comparación con 20</w:t>
      </w:r>
      <w:r w:rsidR="00DB0BDA">
        <w:rPr>
          <w:rFonts w:ascii="Arial" w:hAnsi="Arial" w:cs="Arial"/>
          <w:color w:val="000000"/>
          <w:sz w:val="24"/>
          <w:szCs w:val="24"/>
        </w:rPr>
        <w:t>20</w:t>
      </w:r>
      <w:r w:rsidRPr="00583F12">
        <w:rPr>
          <w:rFonts w:ascii="Arial" w:hAnsi="Arial" w:cs="Arial"/>
          <w:color w:val="000000"/>
          <w:sz w:val="24"/>
          <w:szCs w:val="24"/>
        </w:rPr>
        <w:t xml:space="preserve">, </w:t>
      </w:r>
      <w:r w:rsidR="0099461B">
        <w:rPr>
          <w:rFonts w:ascii="Arial" w:hAnsi="Arial" w:cs="Arial"/>
          <w:color w:val="000000"/>
          <w:sz w:val="24"/>
          <w:szCs w:val="24"/>
        </w:rPr>
        <w:t>las</w:t>
      </w:r>
      <w:r w:rsidRPr="00583F12">
        <w:rPr>
          <w:rFonts w:ascii="Arial" w:hAnsi="Arial" w:cs="Arial"/>
          <w:color w:val="000000"/>
          <w:sz w:val="24"/>
          <w:szCs w:val="24"/>
        </w:rPr>
        <w:t xml:space="preserve"> sentencias </w:t>
      </w:r>
      <w:r w:rsidR="004C2ED7">
        <w:rPr>
          <w:rFonts w:ascii="Arial" w:hAnsi="Arial" w:cs="Arial"/>
          <w:color w:val="000000"/>
          <w:sz w:val="24"/>
          <w:szCs w:val="24"/>
        </w:rPr>
        <w:t xml:space="preserve">publicadas por la </w:t>
      </w:r>
      <w:r w:rsidRPr="00583F12">
        <w:rPr>
          <w:rFonts w:ascii="Arial" w:hAnsi="Arial" w:cs="Arial"/>
          <w:color w:val="000000"/>
          <w:sz w:val="24"/>
          <w:szCs w:val="24"/>
        </w:rPr>
        <w:t>SCJN</w:t>
      </w:r>
      <w:r w:rsidR="004C2ED7">
        <w:rPr>
          <w:rFonts w:ascii="Arial" w:hAnsi="Arial" w:cs="Arial"/>
          <w:color w:val="000000"/>
          <w:sz w:val="24"/>
          <w:szCs w:val="24"/>
        </w:rPr>
        <w:t xml:space="preserve"> en 2021 disminuy</w:t>
      </w:r>
      <w:r w:rsidR="0099461B">
        <w:rPr>
          <w:rFonts w:ascii="Arial" w:hAnsi="Arial" w:cs="Arial"/>
          <w:color w:val="000000"/>
          <w:sz w:val="24"/>
          <w:szCs w:val="24"/>
        </w:rPr>
        <w:t>eron</w:t>
      </w:r>
      <w:r w:rsidR="004C2ED7">
        <w:rPr>
          <w:rFonts w:ascii="Arial" w:hAnsi="Arial" w:cs="Arial"/>
          <w:color w:val="000000"/>
          <w:sz w:val="24"/>
          <w:szCs w:val="24"/>
        </w:rPr>
        <w:t xml:space="preserve"> 21.3</w:t>
      </w:r>
      <w:r w:rsidR="0099461B">
        <w:rPr>
          <w:rFonts w:ascii="Arial" w:hAnsi="Arial" w:cs="Arial"/>
          <w:color w:val="000000"/>
          <w:sz w:val="24"/>
          <w:szCs w:val="24"/>
        </w:rPr>
        <w:t xml:space="preserve"> </w:t>
      </w:r>
      <w:r w:rsidR="004C2ED7">
        <w:rPr>
          <w:rFonts w:ascii="Arial" w:hAnsi="Arial" w:cs="Arial"/>
          <w:color w:val="000000"/>
          <w:sz w:val="24"/>
          <w:szCs w:val="24"/>
        </w:rPr>
        <w:t xml:space="preserve">%, mientras que las publicadas por el </w:t>
      </w:r>
      <w:r w:rsidRPr="00583F12">
        <w:rPr>
          <w:rFonts w:ascii="Arial" w:hAnsi="Arial" w:cs="Arial"/>
          <w:color w:val="000000"/>
          <w:sz w:val="24"/>
          <w:szCs w:val="24"/>
        </w:rPr>
        <w:t>TEPJF</w:t>
      </w:r>
      <w:r>
        <w:rPr>
          <w:rFonts w:ascii="Arial" w:hAnsi="Arial" w:cs="Arial"/>
          <w:color w:val="000000"/>
          <w:sz w:val="24"/>
          <w:szCs w:val="24"/>
        </w:rPr>
        <w:t xml:space="preserve"> </w:t>
      </w:r>
      <w:r w:rsidR="004C2ED7">
        <w:rPr>
          <w:rFonts w:ascii="Arial" w:hAnsi="Arial" w:cs="Arial"/>
          <w:color w:val="000000"/>
          <w:sz w:val="24"/>
          <w:szCs w:val="24"/>
        </w:rPr>
        <w:t>aumentaron 273.8</w:t>
      </w:r>
      <w:r w:rsidR="0099461B">
        <w:rPr>
          <w:rFonts w:ascii="Arial" w:hAnsi="Arial" w:cs="Arial"/>
          <w:color w:val="000000"/>
          <w:sz w:val="24"/>
          <w:szCs w:val="24"/>
        </w:rPr>
        <w:t xml:space="preserve"> </w:t>
      </w:r>
      <w:r w:rsidR="00A15905">
        <w:rPr>
          <w:rFonts w:ascii="Arial" w:hAnsi="Arial" w:cs="Arial"/>
          <w:color w:val="000000"/>
          <w:sz w:val="24"/>
          <w:szCs w:val="24"/>
        </w:rPr>
        <w:t>por ciento</w:t>
      </w:r>
      <w:r w:rsidR="004C2ED7">
        <w:rPr>
          <w:rFonts w:ascii="Arial" w:hAnsi="Arial" w:cs="Arial"/>
          <w:color w:val="000000"/>
          <w:sz w:val="24"/>
          <w:szCs w:val="24"/>
        </w:rPr>
        <w:t xml:space="preserve">. </w:t>
      </w:r>
    </w:p>
    <w:p w14:paraId="60314C98" w14:textId="5E545D5A" w:rsidR="00BB6F79" w:rsidRDefault="00BB6F79" w:rsidP="00583F12">
      <w:pPr>
        <w:tabs>
          <w:tab w:val="left" w:pos="5460"/>
        </w:tabs>
        <w:spacing w:after="0"/>
        <w:jc w:val="both"/>
        <w:rPr>
          <w:rFonts w:ascii="Arial" w:hAnsi="Arial" w:cs="Arial"/>
          <w:color w:val="000000"/>
          <w:sz w:val="24"/>
          <w:szCs w:val="24"/>
        </w:rPr>
      </w:pPr>
    </w:p>
    <w:p w14:paraId="18C9D788" w14:textId="5396EE89" w:rsidR="00BB6F79" w:rsidRPr="00963A3F" w:rsidRDefault="00BB6F79" w:rsidP="00BB6F79">
      <w:pPr>
        <w:pStyle w:val="Default"/>
        <w:spacing w:after="10"/>
        <w:ind w:right="284"/>
        <w:jc w:val="center"/>
        <w:rPr>
          <w:bCs/>
          <w:iCs/>
          <w:color w:val="000000" w:themeColor="text1"/>
          <w:sz w:val="20"/>
          <w:szCs w:val="20"/>
        </w:rPr>
      </w:pPr>
      <w:r w:rsidRPr="00963A3F">
        <w:rPr>
          <w:bCs/>
          <w:iCs/>
          <w:color w:val="000000" w:themeColor="text1"/>
          <w:sz w:val="20"/>
          <w:szCs w:val="20"/>
        </w:rPr>
        <w:t xml:space="preserve">Gráfica </w:t>
      </w:r>
      <w:r w:rsidR="0077270A">
        <w:rPr>
          <w:bCs/>
          <w:iCs/>
          <w:color w:val="000000" w:themeColor="text1"/>
          <w:sz w:val="20"/>
          <w:szCs w:val="20"/>
        </w:rPr>
        <w:t>5</w:t>
      </w:r>
    </w:p>
    <w:p w14:paraId="4CA8FF3D" w14:textId="7E442169" w:rsidR="0070674D" w:rsidRPr="0070674D" w:rsidRDefault="0070674D" w:rsidP="0070674D">
      <w:pPr>
        <w:tabs>
          <w:tab w:val="left" w:pos="5460"/>
        </w:tabs>
        <w:spacing w:after="0"/>
        <w:jc w:val="center"/>
        <w:rPr>
          <w:rFonts w:ascii="Arial" w:hAnsi="Arial" w:cs="Arial"/>
          <w:b/>
          <w:bCs/>
          <w:iCs/>
          <w:smallCaps/>
          <w:color w:val="000000" w:themeColor="text1"/>
        </w:rPr>
      </w:pPr>
      <w:r w:rsidRPr="0070674D">
        <w:rPr>
          <w:rFonts w:ascii="Arial" w:hAnsi="Arial" w:cs="Arial"/>
          <w:b/>
          <w:bCs/>
          <w:iCs/>
          <w:smallCaps/>
          <w:color w:val="000000" w:themeColor="text1"/>
        </w:rPr>
        <w:t>Sentencias publicadas</w:t>
      </w:r>
      <w:r>
        <w:rPr>
          <w:rFonts w:ascii="Arial" w:hAnsi="Arial" w:cs="Arial"/>
          <w:b/>
          <w:bCs/>
          <w:iCs/>
          <w:smallCaps/>
          <w:color w:val="000000" w:themeColor="text1"/>
        </w:rPr>
        <w:t xml:space="preserve"> </w:t>
      </w:r>
      <w:r w:rsidRPr="0070674D">
        <w:rPr>
          <w:rFonts w:ascii="Arial" w:hAnsi="Arial" w:cs="Arial"/>
          <w:b/>
          <w:bCs/>
          <w:iCs/>
          <w:smallCaps/>
          <w:color w:val="000000" w:themeColor="text1"/>
        </w:rPr>
        <w:t>en el Poder Judicial de la Federación</w:t>
      </w:r>
    </w:p>
    <w:p w14:paraId="658E2261" w14:textId="2D9BD677" w:rsidR="00BB6F79" w:rsidRDefault="0070674D" w:rsidP="0070674D">
      <w:pPr>
        <w:tabs>
          <w:tab w:val="left" w:pos="5460"/>
        </w:tabs>
        <w:spacing w:after="0"/>
        <w:jc w:val="center"/>
        <w:rPr>
          <w:rFonts w:ascii="Arial" w:hAnsi="Arial" w:cs="Arial"/>
          <w:b/>
          <w:bCs/>
          <w:iCs/>
          <w:smallCaps/>
          <w:color w:val="000000" w:themeColor="text1"/>
        </w:rPr>
      </w:pPr>
      <w:r w:rsidRPr="0070674D">
        <w:rPr>
          <w:rFonts w:ascii="Arial" w:hAnsi="Arial" w:cs="Arial"/>
          <w:b/>
          <w:bCs/>
          <w:iCs/>
          <w:smallCaps/>
          <w:color w:val="000000" w:themeColor="text1"/>
        </w:rPr>
        <w:t>por órgano</w:t>
      </w:r>
    </w:p>
    <w:p w14:paraId="4E7F62E1" w14:textId="32BE33C3" w:rsidR="002F4C8A" w:rsidRDefault="002F4C8A" w:rsidP="0070674D">
      <w:pPr>
        <w:tabs>
          <w:tab w:val="left" w:pos="5460"/>
        </w:tabs>
        <w:spacing w:after="0"/>
        <w:jc w:val="center"/>
        <w:rPr>
          <w:rFonts w:ascii="Arial" w:hAnsi="Arial" w:cs="Arial"/>
          <w:b/>
          <w:bCs/>
          <w:iCs/>
          <w:smallCaps/>
          <w:color w:val="000000" w:themeColor="text1"/>
        </w:rPr>
      </w:pPr>
      <w:r>
        <w:rPr>
          <w:noProof/>
        </w:rPr>
        <w:drawing>
          <wp:inline distT="0" distB="0" distL="0" distR="0" wp14:anchorId="1D9AA5D0" wp14:editId="59A7038A">
            <wp:extent cx="5669280" cy="1514901"/>
            <wp:effectExtent l="0" t="0" r="7620" b="0"/>
            <wp:docPr id="20" name="Gráfico 20">
              <a:extLst xmlns:a="http://schemas.openxmlformats.org/drawingml/2006/main">
                <a:ext uri="{FF2B5EF4-FFF2-40B4-BE49-F238E27FC236}">
                  <a16:creationId xmlns:a16="http://schemas.microsoft.com/office/drawing/2014/main" id="{3DD93BB1-EB9E-100D-067D-5516EB8D11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63003B" w14:textId="77777777" w:rsidR="00A0512E" w:rsidRDefault="00A0512E" w:rsidP="00442FDB">
      <w:pPr>
        <w:pStyle w:val="Default"/>
        <w:jc w:val="both"/>
      </w:pPr>
    </w:p>
    <w:p w14:paraId="1A8EFACA" w14:textId="7CE91834" w:rsidR="00583F12" w:rsidRDefault="00442FDB" w:rsidP="00442FDB">
      <w:pPr>
        <w:pStyle w:val="Default"/>
        <w:jc w:val="both"/>
      </w:pPr>
      <w:r>
        <w:t xml:space="preserve">Por lo que respecta al CJF, las sentencias emitidas se registraron en su mayoría en los </w:t>
      </w:r>
      <w:r w:rsidR="00A73859">
        <w:t>JD</w:t>
      </w:r>
      <w:r w:rsidR="00194214">
        <w:t xml:space="preserve">. Estas </w:t>
      </w:r>
      <w:r w:rsidR="002C2B54">
        <w:t>incrementaron 72.5</w:t>
      </w:r>
      <w:r w:rsidR="0099461B">
        <w:t xml:space="preserve"> </w:t>
      </w:r>
      <w:r w:rsidR="002C2B54">
        <w:t>% respecto a la cifra reportada en 2020</w:t>
      </w:r>
      <w:r w:rsidR="00194214">
        <w:t>. E</w:t>
      </w:r>
      <w:r w:rsidR="002C2B54">
        <w:t>n el mismo periodo</w:t>
      </w:r>
      <w:r w:rsidR="0099461B">
        <w:t>,</w:t>
      </w:r>
      <w:r w:rsidR="002C2B54">
        <w:t xml:space="preserve"> las sentencias publicadas por </w:t>
      </w:r>
      <w:r>
        <w:t>los Tribunales Colegiados de Circuito</w:t>
      </w:r>
      <w:r w:rsidR="002C2B54">
        <w:t xml:space="preserve"> incrementaron 29.7</w:t>
      </w:r>
      <w:r w:rsidR="0099461B">
        <w:t xml:space="preserve"> </w:t>
      </w:r>
      <w:r w:rsidR="002C2B54">
        <w:t xml:space="preserve">% en 2021. </w:t>
      </w:r>
    </w:p>
    <w:p w14:paraId="06CF69F6" w14:textId="6391118B" w:rsidR="00442FDB" w:rsidRDefault="00442FDB" w:rsidP="00442FDB">
      <w:pPr>
        <w:pStyle w:val="Default"/>
        <w:jc w:val="both"/>
      </w:pPr>
    </w:p>
    <w:p w14:paraId="4F5AE36D" w14:textId="77777777" w:rsidR="00A15905" w:rsidRDefault="00A15905" w:rsidP="00442FDB">
      <w:pPr>
        <w:pStyle w:val="Default"/>
        <w:jc w:val="both"/>
      </w:pPr>
    </w:p>
    <w:p w14:paraId="4D0A2E51" w14:textId="2C180CD8" w:rsidR="00442FDB" w:rsidRPr="00963A3F" w:rsidRDefault="00442FDB" w:rsidP="00442FDB">
      <w:pPr>
        <w:pStyle w:val="Default"/>
        <w:spacing w:after="10"/>
        <w:ind w:right="284"/>
        <w:jc w:val="center"/>
        <w:rPr>
          <w:bCs/>
          <w:iCs/>
          <w:color w:val="000000" w:themeColor="text1"/>
          <w:sz w:val="20"/>
          <w:szCs w:val="20"/>
        </w:rPr>
      </w:pPr>
      <w:r w:rsidRPr="00963A3F">
        <w:rPr>
          <w:bCs/>
          <w:iCs/>
          <w:color w:val="000000" w:themeColor="text1"/>
          <w:sz w:val="20"/>
          <w:szCs w:val="20"/>
        </w:rPr>
        <w:lastRenderedPageBreak/>
        <w:t xml:space="preserve">Gráfica </w:t>
      </w:r>
      <w:r w:rsidR="0077270A">
        <w:rPr>
          <w:bCs/>
          <w:iCs/>
          <w:color w:val="000000" w:themeColor="text1"/>
          <w:sz w:val="20"/>
          <w:szCs w:val="20"/>
        </w:rPr>
        <w:t>6</w:t>
      </w:r>
    </w:p>
    <w:p w14:paraId="47ACF5EF" w14:textId="6137784F" w:rsidR="0070674D" w:rsidRPr="0070674D" w:rsidRDefault="0070674D" w:rsidP="0070674D">
      <w:pPr>
        <w:tabs>
          <w:tab w:val="left" w:pos="5460"/>
        </w:tabs>
        <w:spacing w:after="0"/>
        <w:jc w:val="center"/>
        <w:rPr>
          <w:rFonts w:ascii="Arial" w:hAnsi="Arial" w:cs="Arial"/>
          <w:b/>
          <w:bCs/>
          <w:iCs/>
          <w:smallCaps/>
          <w:color w:val="000000" w:themeColor="text1"/>
        </w:rPr>
      </w:pPr>
      <w:r w:rsidRPr="0070674D">
        <w:rPr>
          <w:rFonts w:ascii="Arial" w:hAnsi="Arial" w:cs="Arial"/>
          <w:b/>
          <w:bCs/>
          <w:iCs/>
          <w:smallCaps/>
          <w:color w:val="000000" w:themeColor="text1"/>
        </w:rPr>
        <w:t>Sentencias publicadas</w:t>
      </w:r>
      <w:r>
        <w:rPr>
          <w:rFonts w:ascii="Arial" w:hAnsi="Arial" w:cs="Arial"/>
          <w:b/>
          <w:bCs/>
          <w:iCs/>
          <w:smallCaps/>
          <w:color w:val="000000" w:themeColor="text1"/>
        </w:rPr>
        <w:t xml:space="preserve"> </w:t>
      </w:r>
      <w:r w:rsidRPr="0070674D">
        <w:rPr>
          <w:rFonts w:ascii="Arial" w:hAnsi="Arial" w:cs="Arial"/>
          <w:b/>
          <w:bCs/>
          <w:iCs/>
          <w:smallCaps/>
          <w:color w:val="000000" w:themeColor="text1"/>
        </w:rPr>
        <w:t>en el Consejo de la Judicatura Federal,</w:t>
      </w:r>
    </w:p>
    <w:p w14:paraId="0A648335" w14:textId="46B01B5D" w:rsidR="00442FDB" w:rsidRDefault="0070674D" w:rsidP="00425AC1">
      <w:pPr>
        <w:tabs>
          <w:tab w:val="left" w:pos="5460"/>
        </w:tabs>
        <w:spacing w:after="0"/>
        <w:jc w:val="center"/>
        <w:rPr>
          <w:rFonts w:ascii="Arial" w:hAnsi="Arial" w:cs="Arial"/>
          <w:b/>
          <w:bCs/>
          <w:iCs/>
          <w:smallCaps/>
          <w:color w:val="000000" w:themeColor="text1"/>
        </w:rPr>
      </w:pPr>
      <w:r w:rsidRPr="0070674D">
        <w:rPr>
          <w:rFonts w:ascii="Arial" w:hAnsi="Arial" w:cs="Arial"/>
          <w:b/>
          <w:bCs/>
          <w:iCs/>
          <w:smallCaps/>
          <w:color w:val="000000" w:themeColor="text1"/>
        </w:rPr>
        <w:t>por órgano jurisdiccional</w:t>
      </w:r>
    </w:p>
    <w:p w14:paraId="6D16A655" w14:textId="77777777" w:rsidR="0019576A" w:rsidRDefault="0019576A" w:rsidP="00425AC1">
      <w:pPr>
        <w:tabs>
          <w:tab w:val="left" w:pos="5460"/>
        </w:tabs>
        <w:spacing w:after="0"/>
        <w:jc w:val="center"/>
      </w:pPr>
    </w:p>
    <w:p w14:paraId="42165FE9" w14:textId="093A59B6" w:rsidR="00442FDB" w:rsidRDefault="00442FDB" w:rsidP="00442FDB">
      <w:pPr>
        <w:pStyle w:val="Default"/>
        <w:jc w:val="both"/>
      </w:pPr>
      <w:r>
        <w:rPr>
          <w:noProof/>
        </w:rPr>
        <w:drawing>
          <wp:inline distT="0" distB="0" distL="0" distR="0" wp14:anchorId="2D8FA7F3" wp14:editId="53FDE57A">
            <wp:extent cx="6478270" cy="1951630"/>
            <wp:effectExtent l="0" t="0" r="0" b="0"/>
            <wp:docPr id="7" name="Gráfico 7">
              <a:extLst xmlns:a="http://schemas.openxmlformats.org/drawingml/2006/main">
                <a:ext uri="{FF2B5EF4-FFF2-40B4-BE49-F238E27FC236}">
                  <a16:creationId xmlns:a16="http://schemas.microsoft.com/office/drawing/2014/main" id="{413AB60E-11A1-0207-A7C7-9A53CED4C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9048C0" w14:textId="15528784" w:rsidR="00CD5F29" w:rsidRDefault="00CD5F29" w:rsidP="00442FDB">
      <w:pPr>
        <w:pStyle w:val="Default"/>
        <w:jc w:val="both"/>
        <w:rPr>
          <w:sz w:val="16"/>
          <w:szCs w:val="16"/>
        </w:rPr>
      </w:pPr>
      <w:r w:rsidRPr="00CD5F29">
        <w:rPr>
          <w:sz w:val="16"/>
          <w:szCs w:val="16"/>
        </w:rPr>
        <w:t xml:space="preserve">NA: </w:t>
      </w:r>
      <w:r w:rsidR="00194214">
        <w:rPr>
          <w:sz w:val="16"/>
          <w:szCs w:val="16"/>
        </w:rPr>
        <w:t>N</w:t>
      </w:r>
      <w:r w:rsidRPr="00CD5F29">
        <w:rPr>
          <w:sz w:val="16"/>
          <w:szCs w:val="16"/>
        </w:rPr>
        <w:t>o aplica, debido a que no se publicaron sentencias en el sitio web.</w:t>
      </w:r>
    </w:p>
    <w:p w14:paraId="3FEE0725" w14:textId="29FE2F12" w:rsidR="00964FC1" w:rsidRPr="001512AD" w:rsidRDefault="00CD5F29" w:rsidP="001512AD">
      <w:pPr>
        <w:pStyle w:val="Default"/>
        <w:jc w:val="both"/>
      </w:pPr>
      <w:r>
        <w:rPr>
          <w:sz w:val="16"/>
          <w:szCs w:val="16"/>
        </w:rPr>
        <w:t xml:space="preserve">(*): La categoría fue captada a partir de 2021. </w:t>
      </w:r>
    </w:p>
    <w:p w14:paraId="4832BAC9" w14:textId="4D9FD298" w:rsidR="001D1100" w:rsidRDefault="001D1100" w:rsidP="0029095E">
      <w:pPr>
        <w:tabs>
          <w:tab w:val="left" w:pos="5460"/>
        </w:tabs>
        <w:spacing w:after="0"/>
        <w:jc w:val="both"/>
        <w:rPr>
          <w:rFonts w:ascii="Arial Negrita" w:hAnsi="Arial Negrita" w:cs="Arial"/>
          <w:b/>
          <w:bCs/>
          <w:smallCaps/>
          <w:sz w:val="24"/>
          <w:szCs w:val="24"/>
        </w:rPr>
      </w:pPr>
    </w:p>
    <w:p w14:paraId="075EF254" w14:textId="2C6BB78D" w:rsidR="00D306BB" w:rsidRDefault="00D306BB" w:rsidP="0029095E">
      <w:pPr>
        <w:tabs>
          <w:tab w:val="left" w:pos="5460"/>
        </w:tabs>
        <w:spacing w:after="0"/>
        <w:jc w:val="both"/>
        <w:rPr>
          <w:rFonts w:ascii="Arial Negrita" w:hAnsi="Arial Negrita" w:cs="Arial"/>
          <w:b/>
          <w:bCs/>
          <w:smallCaps/>
          <w:sz w:val="24"/>
          <w:szCs w:val="24"/>
        </w:rPr>
      </w:pPr>
    </w:p>
    <w:p w14:paraId="3B6D752A" w14:textId="77777777" w:rsidR="00D306BB" w:rsidRDefault="00D306BB" w:rsidP="0029095E">
      <w:pPr>
        <w:tabs>
          <w:tab w:val="left" w:pos="5460"/>
        </w:tabs>
        <w:spacing w:after="0"/>
        <w:jc w:val="both"/>
        <w:rPr>
          <w:rFonts w:ascii="Arial Negrita" w:hAnsi="Arial Negrita" w:cs="Arial"/>
          <w:b/>
          <w:bCs/>
          <w:smallCaps/>
          <w:sz w:val="24"/>
          <w:szCs w:val="24"/>
        </w:rPr>
      </w:pPr>
    </w:p>
    <w:p w14:paraId="3A9AB974" w14:textId="7C77F7D3" w:rsidR="00C1371B" w:rsidRPr="00511B07" w:rsidRDefault="0029095E" w:rsidP="00511B07">
      <w:pPr>
        <w:pStyle w:val="Prrafodelista"/>
        <w:numPr>
          <w:ilvl w:val="0"/>
          <w:numId w:val="26"/>
        </w:numPr>
        <w:tabs>
          <w:tab w:val="left" w:pos="5460"/>
        </w:tabs>
        <w:spacing w:after="0"/>
        <w:jc w:val="both"/>
        <w:rPr>
          <w:rFonts w:ascii="Arial Negrita" w:hAnsi="Arial Negrita" w:cs="Arial"/>
          <w:b/>
          <w:bCs/>
          <w:smallCaps/>
          <w:sz w:val="24"/>
          <w:szCs w:val="24"/>
        </w:rPr>
      </w:pPr>
      <w:r w:rsidRPr="00511B07">
        <w:rPr>
          <w:rFonts w:ascii="Arial Negrita" w:hAnsi="Arial Negrita" w:cs="Arial"/>
          <w:b/>
          <w:bCs/>
          <w:smallCaps/>
          <w:sz w:val="24"/>
          <w:szCs w:val="24"/>
        </w:rPr>
        <w:t>Suprema Corte de Justicia de la Nación</w:t>
      </w:r>
      <w:r w:rsidR="00C9589F">
        <w:rPr>
          <w:rStyle w:val="Refdenotaalpie"/>
          <w:rFonts w:ascii="Arial Negrita" w:hAnsi="Arial Negrita" w:cs="Arial"/>
          <w:b/>
          <w:bCs/>
          <w:smallCaps/>
          <w:sz w:val="24"/>
          <w:szCs w:val="24"/>
        </w:rPr>
        <w:footnoteReference w:id="10"/>
      </w:r>
    </w:p>
    <w:p w14:paraId="30B1E7C0" w14:textId="3414827F" w:rsidR="0029095E" w:rsidRDefault="0029095E" w:rsidP="0029095E">
      <w:pPr>
        <w:tabs>
          <w:tab w:val="left" w:pos="5460"/>
        </w:tabs>
        <w:spacing w:after="0"/>
        <w:jc w:val="both"/>
        <w:rPr>
          <w:rFonts w:ascii="Arial Negrita" w:hAnsi="Arial Negrita" w:cs="Arial"/>
          <w:b/>
          <w:bCs/>
          <w:smallCaps/>
          <w:sz w:val="24"/>
          <w:szCs w:val="24"/>
        </w:rPr>
      </w:pPr>
    </w:p>
    <w:p w14:paraId="11DF227F" w14:textId="4A2CB14A" w:rsidR="0029095E" w:rsidRDefault="00360FF4" w:rsidP="00026F86">
      <w:pPr>
        <w:pStyle w:val="Default"/>
        <w:ind w:left="-57" w:right="-113"/>
        <w:jc w:val="both"/>
      </w:pPr>
      <w:bookmarkStart w:id="0" w:name="_Hlk106713435"/>
      <w:r>
        <w:t xml:space="preserve">Durante 2021, ingresaron </w:t>
      </w:r>
      <w:r w:rsidRPr="00360FF4">
        <w:t>3</w:t>
      </w:r>
      <w:r w:rsidR="0099461B">
        <w:t xml:space="preserve"> </w:t>
      </w:r>
      <w:r w:rsidRPr="00360FF4">
        <w:t>034</w:t>
      </w:r>
      <w:r>
        <w:t xml:space="preserve"> asuntos jurisdiccionales al Pleno de la SCJN</w:t>
      </w:r>
      <w:r w:rsidR="00EB50B6">
        <w:t xml:space="preserve">. De estos, </w:t>
      </w:r>
      <w:r w:rsidRPr="00360FF4">
        <w:t>3</w:t>
      </w:r>
      <w:r w:rsidR="0099461B">
        <w:t xml:space="preserve"> </w:t>
      </w:r>
      <w:r w:rsidRPr="00360FF4">
        <w:t>008</w:t>
      </w:r>
      <w:r>
        <w:t xml:space="preserve"> fueron turnos y 26 recibidos de las Salas. En el mismo periodo se resolvieron</w:t>
      </w:r>
      <w:r w:rsidR="0081026B" w:rsidRPr="0081026B">
        <w:t xml:space="preserve"> 392</w:t>
      </w:r>
      <w:r w:rsidR="0081026B">
        <w:t xml:space="preserve"> </w:t>
      </w:r>
      <w:r>
        <w:t>asuntos, mientras que</w:t>
      </w:r>
      <w:r w:rsidR="0081026B">
        <w:t xml:space="preserve"> </w:t>
      </w:r>
      <w:r w:rsidR="0081026B" w:rsidRPr="0081026B">
        <w:t>2</w:t>
      </w:r>
      <w:r w:rsidR="0099461B">
        <w:t xml:space="preserve"> </w:t>
      </w:r>
      <w:r w:rsidR="0081026B" w:rsidRPr="0081026B">
        <w:t>854</w:t>
      </w:r>
      <w:r w:rsidR="0081026B">
        <w:t xml:space="preserve"> </w:t>
      </w:r>
      <w:r w:rsidR="00EB50B6">
        <w:t xml:space="preserve">se enviaron </w:t>
      </w:r>
      <w:r>
        <w:t xml:space="preserve">a </w:t>
      </w:r>
      <w:r w:rsidR="0081026B">
        <w:t>otro órgano</w:t>
      </w:r>
      <w:r w:rsidR="00EB50B6">
        <w:t>.</w:t>
      </w:r>
      <w:r w:rsidR="0081026B">
        <w:rPr>
          <w:rStyle w:val="Refdenotaalpie"/>
        </w:rPr>
        <w:footnoteReference w:id="11"/>
      </w:r>
      <w:r>
        <w:t xml:space="preserve"> De los 39</w:t>
      </w:r>
      <w:r w:rsidR="0081026B">
        <w:t>2</w:t>
      </w:r>
      <w:r>
        <w:t xml:space="preserve"> resueltos, 3</w:t>
      </w:r>
      <w:r w:rsidR="002D2044">
        <w:t>5.5</w:t>
      </w:r>
      <w:r w:rsidR="0099461B">
        <w:t xml:space="preserve"> </w:t>
      </w:r>
      <w:r>
        <w:t>%</w:t>
      </w:r>
      <w:r w:rsidR="00EB50B6">
        <w:t xml:space="preserve"> se resolvió</w:t>
      </w:r>
      <w:r>
        <w:t xml:space="preserve"> sin sentencia y 6</w:t>
      </w:r>
      <w:r w:rsidR="002D2044">
        <w:t>4.5</w:t>
      </w:r>
      <w:r w:rsidR="0099461B">
        <w:t xml:space="preserve"> </w:t>
      </w:r>
      <w:r>
        <w:t>%</w:t>
      </w:r>
      <w:r w:rsidR="00EB50B6">
        <w:t>,</w:t>
      </w:r>
      <w:r>
        <w:t xml:space="preserve"> con sentencia. Comparado con 20</w:t>
      </w:r>
      <w:r w:rsidR="002D2044">
        <w:t>20</w:t>
      </w:r>
      <w:r>
        <w:t>, se observ</w:t>
      </w:r>
      <w:r w:rsidR="00D306BB">
        <w:t>ó</w:t>
      </w:r>
      <w:r>
        <w:t xml:space="preserve"> una disminución de </w:t>
      </w:r>
      <w:r w:rsidR="00093A3D">
        <w:t>14.8</w:t>
      </w:r>
      <w:r w:rsidR="0099461B">
        <w:t xml:space="preserve"> </w:t>
      </w:r>
      <w:r>
        <w:t xml:space="preserve">% en el número de asuntos ingresados y de </w:t>
      </w:r>
      <w:r w:rsidR="00093A3D">
        <w:t>4.7</w:t>
      </w:r>
      <w:r w:rsidR="0099461B">
        <w:t xml:space="preserve"> </w:t>
      </w:r>
      <w:r>
        <w:t>% en el número de asuntos resueltos</w:t>
      </w:r>
      <w:r w:rsidR="00030FF2">
        <w:t>.</w:t>
      </w:r>
    </w:p>
    <w:bookmarkEnd w:id="0"/>
    <w:p w14:paraId="5D5329C7" w14:textId="5A7690E8" w:rsidR="00093A3D" w:rsidRDefault="00093A3D" w:rsidP="00360FF4">
      <w:pPr>
        <w:pStyle w:val="Default"/>
        <w:jc w:val="both"/>
      </w:pPr>
    </w:p>
    <w:p w14:paraId="6BD19343" w14:textId="0F63B8FC" w:rsidR="005720F3" w:rsidRDefault="00093A3D" w:rsidP="005720F3">
      <w:pPr>
        <w:pStyle w:val="Default"/>
        <w:jc w:val="both"/>
      </w:pPr>
      <w:r>
        <w:t xml:space="preserve">En cuanto a la Primera Sala de la SCJN, ingresaron </w:t>
      </w:r>
      <w:r w:rsidRPr="00093A3D">
        <w:t>1</w:t>
      </w:r>
      <w:r w:rsidR="0099461B">
        <w:t xml:space="preserve"> </w:t>
      </w:r>
      <w:r w:rsidRPr="00093A3D">
        <w:t>353</w:t>
      </w:r>
      <w:r>
        <w:t xml:space="preserve"> asuntos</w:t>
      </w:r>
      <w:r w:rsidR="00EB50B6">
        <w:t xml:space="preserve">. De estos, </w:t>
      </w:r>
      <w:r>
        <w:t>53 fueron turnos, 1</w:t>
      </w:r>
      <w:r w:rsidR="0099461B">
        <w:t xml:space="preserve"> </w:t>
      </w:r>
      <w:r w:rsidR="00CF77CC">
        <w:t>300</w:t>
      </w:r>
      <w:r>
        <w:t xml:space="preserve"> se recibieron del Pleno y</w:t>
      </w:r>
      <w:r w:rsidR="004D7023">
        <w:t xml:space="preserve"> Segunda Sala</w:t>
      </w:r>
      <w:r>
        <w:t xml:space="preserve">. </w:t>
      </w:r>
      <w:r w:rsidR="00EB50B6">
        <w:t xml:space="preserve">Así, se resolvieron </w:t>
      </w:r>
      <w:r w:rsidR="00E6017E">
        <w:t>1</w:t>
      </w:r>
      <w:r w:rsidR="0099461B">
        <w:t xml:space="preserve"> </w:t>
      </w:r>
      <w:r w:rsidR="00E6017E">
        <w:t xml:space="preserve">498 asuntos </w:t>
      </w:r>
      <w:r w:rsidR="00EB50B6">
        <w:t>y 1</w:t>
      </w:r>
      <w:r w:rsidR="00E6017E">
        <w:t xml:space="preserve">5 </w:t>
      </w:r>
      <w:r w:rsidR="00EB50B6">
        <w:t xml:space="preserve">se enviaron </w:t>
      </w:r>
      <w:r w:rsidR="00E6017E">
        <w:t>a otro órgano</w:t>
      </w:r>
      <w:r w:rsidR="00EB50B6">
        <w:t>.</w:t>
      </w:r>
      <w:r w:rsidR="00E6017E">
        <w:rPr>
          <w:rStyle w:val="Refdenotaalpie"/>
        </w:rPr>
        <w:footnoteReference w:id="12"/>
      </w:r>
      <w:r w:rsidR="00E6017E">
        <w:t xml:space="preserve"> </w:t>
      </w:r>
      <w:r w:rsidR="00E6017E" w:rsidRPr="00E6017E">
        <w:t xml:space="preserve">De los </w:t>
      </w:r>
      <w:r w:rsidR="00E6017E">
        <w:t>1</w:t>
      </w:r>
      <w:r w:rsidR="0099461B">
        <w:t xml:space="preserve"> </w:t>
      </w:r>
      <w:r w:rsidR="00E6017E">
        <w:t>498</w:t>
      </w:r>
      <w:r w:rsidR="00E6017E" w:rsidRPr="00E6017E">
        <w:t xml:space="preserve"> resueltos, </w:t>
      </w:r>
      <w:r w:rsidR="005720F3">
        <w:t>0.4</w:t>
      </w:r>
      <w:r w:rsidR="0099461B">
        <w:t xml:space="preserve"> </w:t>
      </w:r>
      <w:r w:rsidR="00E6017E" w:rsidRPr="00E6017E">
        <w:t xml:space="preserve">% </w:t>
      </w:r>
      <w:r w:rsidR="00EB50B6">
        <w:t xml:space="preserve">se resolvió </w:t>
      </w:r>
      <w:r w:rsidR="00E6017E" w:rsidRPr="00E6017E">
        <w:t xml:space="preserve">sin sentencia y </w:t>
      </w:r>
      <w:r w:rsidR="005720F3">
        <w:t>99.6</w:t>
      </w:r>
      <w:r w:rsidR="0099461B">
        <w:t xml:space="preserve"> </w:t>
      </w:r>
      <w:r w:rsidR="00E6017E" w:rsidRPr="00E6017E">
        <w:t>%, con sentencia.</w:t>
      </w:r>
      <w:r w:rsidR="005720F3" w:rsidRPr="005720F3">
        <w:t xml:space="preserve"> </w:t>
      </w:r>
      <w:r w:rsidR="00FB78A9">
        <w:t>En c</w:t>
      </w:r>
      <w:r w:rsidR="005720F3">
        <w:t>ompara</w:t>
      </w:r>
      <w:r w:rsidR="00FB78A9">
        <w:t>ción</w:t>
      </w:r>
      <w:r w:rsidR="005720F3">
        <w:t xml:space="preserve"> con 2020, se observ</w:t>
      </w:r>
      <w:r w:rsidR="00D306BB">
        <w:t>ó</w:t>
      </w:r>
      <w:r w:rsidR="005720F3">
        <w:t xml:space="preserve"> una disminución de 11.1</w:t>
      </w:r>
      <w:r w:rsidR="0099461B">
        <w:t xml:space="preserve"> </w:t>
      </w:r>
      <w:r w:rsidR="005720F3">
        <w:t>% en el número de asuntos ingresados y de 18.2</w:t>
      </w:r>
      <w:r w:rsidR="0099461B">
        <w:t xml:space="preserve"> </w:t>
      </w:r>
      <w:r w:rsidR="005720F3">
        <w:t>% en el número de asuntos resueltos.</w:t>
      </w:r>
    </w:p>
    <w:p w14:paraId="620B53CB" w14:textId="77777777" w:rsidR="005720F3" w:rsidRDefault="005720F3" w:rsidP="005720F3">
      <w:pPr>
        <w:pStyle w:val="Default"/>
        <w:jc w:val="both"/>
      </w:pPr>
    </w:p>
    <w:p w14:paraId="2C08559E" w14:textId="19ACBDE8" w:rsidR="00E84547" w:rsidRDefault="001876AD" w:rsidP="00EB50B6">
      <w:pPr>
        <w:pStyle w:val="Default"/>
        <w:jc w:val="both"/>
      </w:pPr>
      <w:r>
        <w:t>En la Segunda Sala se report</w:t>
      </w:r>
      <w:r w:rsidR="00EB50B6">
        <w:t xml:space="preserve">ó un </w:t>
      </w:r>
      <w:r>
        <w:t>total</w:t>
      </w:r>
      <w:r w:rsidR="00EB50B6">
        <w:t xml:space="preserve"> de</w:t>
      </w:r>
      <w:r>
        <w:t xml:space="preserve"> </w:t>
      </w:r>
      <w:r w:rsidR="005720F3" w:rsidRPr="005720F3">
        <w:t>1</w:t>
      </w:r>
      <w:r w:rsidR="0099461B">
        <w:t xml:space="preserve"> </w:t>
      </w:r>
      <w:r w:rsidR="005720F3" w:rsidRPr="005720F3">
        <w:t>562</w:t>
      </w:r>
      <w:r w:rsidR="005720F3">
        <w:t xml:space="preserve"> </w:t>
      </w:r>
      <w:r>
        <w:t>asuntos jurisdiccionales ingresados</w:t>
      </w:r>
      <w:r w:rsidR="0099461B">
        <w:t>.</w:t>
      </w:r>
      <w:r w:rsidR="00EB50B6">
        <w:t xml:space="preserve"> De estos, siete </w:t>
      </w:r>
      <w:r>
        <w:t>correspondieron a turnos y 1</w:t>
      </w:r>
      <w:r w:rsidR="0099461B">
        <w:t xml:space="preserve"> </w:t>
      </w:r>
      <w:r w:rsidR="00E84547">
        <w:t>555</w:t>
      </w:r>
      <w:r>
        <w:t xml:space="preserve"> </w:t>
      </w:r>
      <w:r w:rsidR="00646F33">
        <w:t xml:space="preserve">se reciberon del </w:t>
      </w:r>
      <w:r>
        <w:t>Pleno</w:t>
      </w:r>
      <w:r w:rsidR="00E84547">
        <w:t xml:space="preserve"> y Primera Sala</w:t>
      </w:r>
      <w:r>
        <w:t xml:space="preserve">. </w:t>
      </w:r>
      <w:r w:rsidR="00646F33">
        <w:t>S</w:t>
      </w:r>
      <w:r>
        <w:t xml:space="preserve">e resolvieron </w:t>
      </w:r>
      <w:r w:rsidR="00753BE4">
        <w:t xml:space="preserve">    </w:t>
      </w:r>
      <w:r>
        <w:t>1</w:t>
      </w:r>
      <w:r w:rsidR="0099461B">
        <w:t xml:space="preserve"> </w:t>
      </w:r>
      <w:r w:rsidR="00E84547">
        <w:t>513</w:t>
      </w:r>
      <w:r>
        <w:t xml:space="preserve"> asuntos</w:t>
      </w:r>
      <w:r w:rsidR="00E84547">
        <w:t xml:space="preserve"> y</w:t>
      </w:r>
      <w:r w:rsidR="00646F33">
        <w:t xml:space="preserve"> </w:t>
      </w:r>
      <w:r w:rsidR="00E84547">
        <w:t xml:space="preserve">12 </w:t>
      </w:r>
      <w:r w:rsidR="00646F33">
        <w:t xml:space="preserve">se enviaron </w:t>
      </w:r>
      <w:r w:rsidR="00E84547">
        <w:t>a otro órgano</w:t>
      </w:r>
      <w:r w:rsidR="00646F33">
        <w:t>.</w:t>
      </w:r>
      <w:r w:rsidR="00E84547">
        <w:rPr>
          <w:rStyle w:val="Refdenotaalpie"/>
        </w:rPr>
        <w:footnoteReference w:id="13"/>
      </w:r>
      <w:r w:rsidR="00E84547">
        <w:t xml:space="preserve"> De los 1</w:t>
      </w:r>
      <w:r w:rsidR="0099461B">
        <w:t xml:space="preserve"> </w:t>
      </w:r>
      <w:r w:rsidR="00E84547">
        <w:t>513 resueltos, 3.4</w:t>
      </w:r>
      <w:r w:rsidR="0099461B">
        <w:t xml:space="preserve"> </w:t>
      </w:r>
      <w:r w:rsidR="00E84547" w:rsidRPr="00E6017E">
        <w:t xml:space="preserve">% </w:t>
      </w:r>
      <w:r w:rsidR="00646F33">
        <w:t xml:space="preserve">se resolvió sin </w:t>
      </w:r>
      <w:r w:rsidR="00E84547" w:rsidRPr="00E6017E">
        <w:t xml:space="preserve">sentencia y </w:t>
      </w:r>
      <w:r w:rsidR="00E84547">
        <w:t>96.6</w:t>
      </w:r>
      <w:r w:rsidR="0099461B">
        <w:t xml:space="preserve"> </w:t>
      </w:r>
      <w:r w:rsidR="00E84547" w:rsidRPr="00E6017E">
        <w:t>%</w:t>
      </w:r>
      <w:r w:rsidR="00646F33">
        <w:t>,</w:t>
      </w:r>
      <w:r w:rsidR="00E84547" w:rsidRPr="00E6017E">
        <w:t xml:space="preserve"> con sentencia.</w:t>
      </w:r>
      <w:r w:rsidR="00E84547" w:rsidRPr="005720F3">
        <w:t xml:space="preserve"> </w:t>
      </w:r>
      <w:r w:rsidR="00646F33">
        <w:t>Con r</w:t>
      </w:r>
      <w:r w:rsidR="00FB78A9">
        <w:t xml:space="preserve">especto </w:t>
      </w:r>
      <w:r w:rsidR="00646F33">
        <w:t>a</w:t>
      </w:r>
      <w:r w:rsidR="00FB78A9">
        <w:t xml:space="preserve"> </w:t>
      </w:r>
      <w:r w:rsidR="00E84547">
        <w:t>2020, se observ</w:t>
      </w:r>
      <w:r w:rsidR="00D306BB">
        <w:t>ó</w:t>
      </w:r>
      <w:r w:rsidR="00E84547">
        <w:t xml:space="preserve"> un</w:t>
      </w:r>
      <w:r w:rsidR="00FB78A9">
        <w:t xml:space="preserve"> aumento</w:t>
      </w:r>
      <w:r w:rsidR="00E84547">
        <w:t xml:space="preserve"> de 1</w:t>
      </w:r>
      <w:r w:rsidR="00FB78A9">
        <w:t>.3</w:t>
      </w:r>
      <w:r w:rsidR="0099461B">
        <w:t xml:space="preserve"> </w:t>
      </w:r>
      <w:r w:rsidR="00E84547">
        <w:t xml:space="preserve">% en el número de asuntos ingresados y </w:t>
      </w:r>
      <w:r w:rsidR="00FB78A9">
        <w:t>una disminución de 13.2</w:t>
      </w:r>
      <w:r w:rsidR="0099461B">
        <w:t xml:space="preserve"> </w:t>
      </w:r>
      <w:r w:rsidR="00E84547">
        <w:t>% en el número de asuntos resueltos.</w:t>
      </w:r>
    </w:p>
    <w:p w14:paraId="1CFC8DBC" w14:textId="77777777" w:rsidR="00FB78A9" w:rsidRDefault="00FB78A9" w:rsidP="00E84547">
      <w:pPr>
        <w:pStyle w:val="Default"/>
        <w:jc w:val="both"/>
      </w:pPr>
    </w:p>
    <w:p w14:paraId="2B9FD92A" w14:textId="5F40C7AE" w:rsidR="001876AD" w:rsidRDefault="00646F33" w:rsidP="001876AD">
      <w:pPr>
        <w:pStyle w:val="Default"/>
        <w:jc w:val="both"/>
      </w:pPr>
      <w:r>
        <w:t xml:space="preserve">Con respecto a </w:t>
      </w:r>
      <w:r w:rsidR="001876AD">
        <w:t>otros ingresos</w:t>
      </w:r>
      <w:r>
        <w:t>,</w:t>
      </w:r>
      <w:r w:rsidR="00FB78A9">
        <w:t xml:space="preserve"> 9</w:t>
      </w:r>
      <w:r w:rsidR="0099461B">
        <w:t xml:space="preserve"> </w:t>
      </w:r>
      <w:r w:rsidR="00FB78A9">
        <w:t>930</w:t>
      </w:r>
      <w:r w:rsidR="001876AD">
        <w:t xml:space="preserve"> fueron ingresados y </w:t>
      </w:r>
      <w:r w:rsidR="00FB78A9">
        <w:t>7</w:t>
      </w:r>
      <w:r w:rsidR="0099461B">
        <w:t xml:space="preserve"> </w:t>
      </w:r>
      <w:r w:rsidR="00FB78A9">
        <w:t>199</w:t>
      </w:r>
      <w:r w:rsidR="0099461B">
        <w:t>,</w:t>
      </w:r>
      <w:r w:rsidR="001876AD">
        <w:t xml:space="preserve"> resueltos.</w:t>
      </w:r>
    </w:p>
    <w:p w14:paraId="0E24D520" w14:textId="77777777" w:rsidR="00815BA7" w:rsidRDefault="00815BA7" w:rsidP="001876AD">
      <w:pPr>
        <w:pStyle w:val="Default"/>
        <w:jc w:val="both"/>
      </w:pPr>
    </w:p>
    <w:p w14:paraId="6200CC95" w14:textId="77777777" w:rsidR="00964FC1" w:rsidRDefault="00964FC1" w:rsidP="001876AD">
      <w:pPr>
        <w:pStyle w:val="Default"/>
        <w:jc w:val="both"/>
      </w:pPr>
    </w:p>
    <w:p w14:paraId="74E34FD8" w14:textId="1129F3AB" w:rsidR="00E76D66" w:rsidRPr="00DE7C9F" w:rsidRDefault="00E76D66" w:rsidP="00E76D66">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7</w:t>
      </w:r>
    </w:p>
    <w:p w14:paraId="69C56EC4" w14:textId="77777777" w:rsidR="005409BA" w:rsidRPr="005409BA" w:rsidRDefault="005409BA" w:rsidP="005409BA">
      <w:pPr>
        <w:pStyle w:val="Default"/>
        <w:spacing w:after="10"/>
        <w:ind w:right="284"/>
        <w:jc w:val="center"/>
        <w:rPr>
          <w:b/>
          <w:bCs/>
          <w:iCs/>
          <w:smallCaps/>
          <w:color w:val="000000" w:themeColor="text1"/>
          <w:sz w:val="22"/>
          <w:szCs w:val="22"/>
        </w:rPr>
      </w:pPr>
      <w:r w:rsidRPr="005409BA">
        <w:rPr>
          <w:b/>
          <w:bCs/>
          <w:iCs/>
          <w:smallCaps/>
          <w:color w:val="000000" w:themeColor="text1"/>
          <w:sz w:val="22"/>
          <w:szCs w:val="22"/>
        </w:rPr>
        <w:t>Asuntos jurisdiccionales ingresados a la Suprema Corte de Justicia de la Nación,</w:t>
      </w:r>
    </w:p>
    <w:p w14:paraId="3D606EC0" w14:textId="0B757A14" w:rsidR="00C1371B" w:rsidRDefault="005409BA" w:rsidP="005409BA">
      <w:pPr>
        <w:pStyle w:val="Default"/>
        <w:spacing w:after="10"/>
        <w:ind w:right="284"/>
        <w:jc w:val="center"/>
        <w:rPr>
          <w:highlight w:val="yellow"/>
        </w:rPr>
      </w:pPr>
      <w:r w:rsidRPr="005409BA">
        <w:rPr>
          <w:b/>
          <w:bCs/>
          <w:iCs/>
          <w:smallCaps/>
          <w:color w:val="000000" w:themeColor="text1"/>
          <w:sz w:val="22"/>
          <w:szCs w:val="22"/>
        </w:rPr>
        <w:t>por órgano jurisdiccional</w:t>
      </w:r>
    </w:p>
    <w:p w14:paraId="1CC55CA4" w14:textId="58B7797F" w:rsidR="00C1371B" w:rsidRDefault="005409BA" w:rsidP="00306AB2">
      <w:pPr>
        <w:tabs>
          <w:tab w:val="left" w:pos="5460"/>
        </w:tabs>
        <w:spacing w:after="0"/>
        <w:jc w:val="center"/>
        <w:rPr>
          <w:rFonts w:ascii="Arial" w:hAnsi="Arial" w:cs="Arial"/>
          <w:sz w:val="24"/>
          <w:szCs w:val="24"/>
          <w:highlight w:val="yellow"/>
        </w:rPr>
      </w:pPr>
      <w:r>
        <w:rPr>
          <w:noProof/>
        </w:rPr>
        <w:drawing>
          <wp:inline distT="0" distB="0" distL="0" distR="0" wp14:anchorId="11BCEFA1" wp14:editId="4008657E">
            <wp:extent cx="6404610" cy="2388235"/>
            <wp:effectExtent l="0" t="0" r="0" b="0"/>
            <wp:docPr id="2" name="Gráfico 2">
              <a:extLst xmlns:a="http://schemas.openxmlformats.org/drawingml/2006/main">
                <a:ext uri="{FF2B5EF4-FFF2-40B4-BE49-F238E27FC236}">
                  <a16:creationId xmlns:a16="http://schemas.microsoft.com/office/drawing/2014/main" id="{8910AEC9-7C85-3CE8-B1E1-08613ED41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AA69F9" w14:textId="38E0DBB5" w:rsidR="00A71B89" w:rsidRDefault="00A71B89" w:rsidP="00B45849">
      <w:pPr>
        <w:pStyle w:val="Default"/>
        <w:spacing w:after="10"/>
        <w:ind w:right="284"/>
        <w:jc w:val="center"/>
        <w:rPr>
          <w:bCs/>
          <w:iCs/>
          <w:color w:val="000000" w:themeColor="text1"/>
          <w:sz w:val="20"/>
          <w:szCs w:val="20"/>
        </w:rPr>
      </w:pPr>
    </w:p>
    <w:p w14:paraId="25598E4A" w14:textId="53201788" w:rsidR="00D306BB" w:rsidRDefault="00D306BB" w:rsidP="00B45849">
      <w:pPr>
        <w:pStyle w:val="Default"/>
        <w:spacing w:after="10"/>
        <w:ind w:right="284"/>
        <w:jc w:val="center"/>
        <w:rPr>
          <w:bCs/>
          <w:iCs/>
          <w:color w:val="000000" w:themeColor="text1"/>
          <w:sz w:val="20"/>
          <w:szCs w:val="20"/>
        </w:rPr>
      </w:pPr>
    </w:p>
    <w:p w14:paraId="1133AF46" w14:textId="734F6D34" w:rsidR="00D306BB" w:rsidRDefault="00D306BB" w:rsidP="00B45849">
      <w:pPr>
        <w:pStyle w:val="Default"/>
        <w:spacing w:after="10"/>
        <w:ind w:right="284"/>
        <w:jc w:val="center"/>
        <w:rPr>
          <w:bCs/>
          <w:iCs/>
          <w:color w:val="000000" w:themeColor="text1"/>
          <w:sz w:val="20"/>
          <w:szCs w:val="20"/>
        </w:rPr>
      </w:pPr>
    </w:p>
    <w:p w14:paraId="491D4CB7" w14:textId="22576A1B" w:rsidR="00D306BB" w:rsidRDefault="00D306BB" w:rsidP="00B45849">
      <w:pPr>
        <w:pStyle w:val="Default"/>
        <w:spacing w:after="10"/>
        <w:ind w:right="284"/>
        <w:jc w:val="center"/>
        <w:rPr>
          <w:bCs/>
          <w:iCs/>
          <w:color w:val="000000" w:themeColor="text1"/>
          <w:sz w:val="20"/>
          <w:szCs w:val="20"/>
        </w:rPr>
      </w:pPr>
    </w:p>
    <w:p w14:paraId="0E8E4915" w14:textId="77777777" w:rsidR="00D306BB" w:rsidRDefault="00D306BB" w:rsidP="00B45849">
      <w:pPr>
        <w:pStyle w:val="Default"/>
        <w:spacing w:after="10"/>
        <w:ind w:right="284"/>
        <w:jc w:val="center"/>
        <w:rPr>
          <w:bCs/>
          <w:iCs/>
          <w:color w:val="000000" w:themeColor="text1"/>
          <w:sz w:val="20"/>
          <w:szCs w:val="20"/>
        </w:rPr>
      </w:pPr>
    </w:p>
    <w:p w14:paraId="34F5ED24" w14:textId="1D26E731" w:rsidR="00B45849" w:rsidRPr="00DE7C9F" w:rsidRDefault="00B45849" w:rsidP="00B45849">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8</w:t>
      </w:r>
    </w:p>
    <w:p w14:paraId="59974628" w14:textId="3FA92336" w:rsidR="00B45849" w:rsidRPr="005409BA" w:rsidRDefault="00B45849" w:rsidP="00B45849">
      <w:pPr>
        <w:pStyle w:val="Default"/>
        <w:spacing w:after="10"/>
        <w:ind w:right="284"/>
        <w:jc w:val="center"/>
        <w:rPr>
          <w:b/>
          <w:bCs/>
          <w:iCs/>
          <w:smallCaps/>
          <w:color w:val="000000" w:themeColor="text1"/>
          <w:sz w:val="22"/>
          <w:szCs w:val="22"/>
        </w:rPr>
      </w:pPr>
      <w:r w:rsidRPr="005409BA">
        <w:rPr>
          <w:b/>
          <w:bCs/>
          <w:iCs/>
          <w:smallCaps/>
          <w:color w:val="000000" w:themeColor="text1"/>
          <w:sz w:val="22"/>
          <w:szCs w:val="22"/>
        </w:rPr>
        <w:t xml:space="preserve">Asuntos jurisdiccionales </w:t>
      </w:r>
      <w:r>
        <w:rPr>
          <w:b/>
          <w:bCs/>
          <w:iCs/>
          <w:smallCaps/>
          <w:color w:val="000000" w:themeColor="text1"/>
          <w:sz w:val="22"/>
          <w:szCs w:val="22"/>
        </w:rPr>
        <w:t>resueltos por la</w:t>
      </w:r>
      <w:r w:rsidRPr="005409BA">
        <w:rPr>
          <w:b/>
          <w:bCs/>
          <w:iCs/>
          <w:smallCaps/>
          <w:color w:val="000000" w:themeColor="text1"/>
          <w:sz w:val="22"/>
          <w:szCs w:val="22"/>
        </w:rPr>
        <w:t xml:space="preserve"> Suprema Corte de Justicia de la Nación,</w:t>
      </w:r>
    </w:p>
    <w:p w14:paraId="04DD577F" w14:textId="008E404D" w:rsidR="00B45849" w:rsidRDefault="00B45849" w:rsidP="0033539D">
      <w:pPr>
        <w:pStyle w:val="Default"/>
        <w:spacing w:after="10"/>
        <w:ind w:right="284"/>
        <w:jc w:val="center"/>
        <w:rPr>
          <w:b/>
          <w:bCs/>
          <w:iCs/>
          <w:smallCaps/>
          <w:color w:val="000000" w:themeColor="text1"/>
          <w:sz w:val="22"/>
          <w:szCs w:val="22"/>
        </w:rPr>
      </w:pPr>
      <w:r w:rsidRPr="0033539D">
        <w:rPr>
          <w:b/>
          <w:bCs/>
          <w:iCs/>
          <w:smallCaps/>
          <w:color w:val="000000" w:themeColor="text1"/>
          <w:sz w:val="22"/>
          <w:szCs w:val="22"/>
        </w:rPr>
        <w:t>por órgano jurisdiccional</w:t>
      </w:r>
    </w:p>
    <w:p w14:paraId="6C4581F1" w14:textId="77777777" w:rsidR="00583F12" w:rsidRPr="0033539D" w:rsidRDefault="00583F12" w:rsidP="0033539D">
      <w:pPr>
        <w:pStyle w:val="Default"/>
        <w:spacing w:after="10"/>
        <w:ind w:right="284"/>
        <w:jc w:val="center"/>
        <w:rPr>
          <w:b/>
          <w:bCs/>
          <w:iCs/>
          <w:smallCaps/>
          <w:color w:val="000000" w:themeColor="text1"/>
          <w:sz w:val="22"/>
          <w:szCs w:val="22"/>
        </w:rPr>
      </w:pPr>
    </w:p>
    <w:p w14:paraId="2292295A" w14:textId="64CFA852" w:rsidR="00C1371B" w:rsidRDefault="00B45849" w:rsidP="00306AB2">
      <w:pPr>
        <w:tabs>
          <w:tab w:val="left" w:pos="5460"/>
        </w:tabs>
        <w:spacing w:after="0"/>
        <w:jc w:val="center"/>
        <w:rPr>
          <w:rFonts w:ascii="Arial" w:hAnsi="Arial" w:cs="Arial"/>
          <w:sz w:val="24"/>
          <w:szCs w:val="24"/>
          <w:highlight w:val="yellow"/>
        </w:rPr>
      </w:pPr>
      <w:r>
        <w:rPr>
          <w:noProof/>
        </w:rPr>
        <w:drawing>
          <wp:inline distT="0" distB="0" distL="0" distR="0" wp14:anchorId="0D7933F3" wp14:editId="75345226">
            <wp:extent cx="6504305" cy="2216989"/>
            <wp:effectExtent l="0" t="0" r="0" b="0"/>
            <wp:docPr id="1" name="Gráfico 1">
              <a:extLst xmlns:a="http://schemas.openxmlformats.org/drawingml/2006/main">
                <a:ext uri="{FF2B5EF4-FFF2-40B4-BE49-F238E27FC236}">
                  <a16:creationId xmlns:a16="http://schemas.microsoft.com/office/drawing/2014/main" id="{A130934F-F6D5-6B1B-6D67-F3E70DAB5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C8D7CB" w14:textId="370B7651" w:rsidR="00C1371B" w:rsidRPr="00C9589F" w:rsidRDefault="00C1371B" w:rsidP="00306AB2">
      <w:pPr>
        <w:tabs>
          <w:tab w:val="left" w:pos="5460"/>
        </w:tabs>
        <w:spacing w:after="0"/>
        <w:jc w:val="center"/>
        <w:rPr>
          <w:rFonts w:ascii="Arial" w:hAnsi="Arial" w:cs="Arial"/>
          <w:color w:val="000000"/>
          <w:sz w:val="24"/>
          <w:szCs w:val="24"/>
        </w:rPr>
      </w:pPr>
    </w:p>
    <w:p w14:paraId="640FDE53" w14:textId="77777777" w:rsidR="00C46EED" w:rsidRDefault="00C46EED" w:rsidP="00C9589F">
      <w:pPr>
        <w:tabs>
          <w:tab w:val="left" w:pos="5460"/>
        </w:tabs>
        <w:spacing w:after="0"/>
        <w:jc w:val="both"/>
        <w:rPr>
          <w:rFonts w:ascii="Arial" w:hAnsi="Arial" w:cs="Arial"/>
          <w:color w:val="000000"/>
          <w:sz w:val="24"/>
          <w:szCs w:val="24"/>
        </w:rPr>
      </w:pPr>
    </w:p>
    <w:p w14:paraId="20203797" w14:textId="77777777" w:rsidR="00C46EED" w:rsidRDefault="00C46EED" w:rsidP="00C9589F">
      <w:pPr>
        <w:tabs>
          <w:tab w:val="left" w:pos="5460"/>
        </w:tabs>
        <w:spacing w:after="0"/>
        <w:jc w:val="both"/>
        <w:rPr>
          <w:rFonts w:ascii="Arial" w:hAnsi="Arial" w:cs="Arial"/>
          <w:color w:val="000000"/>
          <w:sz w:val="24"/>
          <w:szCs w:val="24"/>
        </w:rPr>
      </w:pPr>
    </w:p>
    <w:p w14:paraId="43C57997" w14:textId="77777777" w:rsidR="00C46EED" w:rsidRDefault="00C46EED" w:rsidP="00C9589F">
      <w:pPr>
        <w:tabs>
          <w:tab w:val="left" w:pos="5460"/>
        </w:tabs>
        <w:spacing w:after="0"/>
        <w:jc w:val="both"/>
        <w:rPr>
          <w:rFonts w:ascii="Arial" w:hAnsi="Arial" w:cs="Arial"/>
          <w:color w:val="000000"/>
          <w:sz w:val="24"/>
          <w:szCs w:val="24"/>
        </w:rPr>
      </w:pPr>
    </w:p>
    <w:p w14:paraId="0159FEEB" w14:textId="77777777" w:rsidR="00C46EED" w:rsidRDefault="00C46EED" w:rsidP="00C9589F">
      <w:pPr>
        <w:tabs>
          <w:tab w:val="left" w:pos="5460"/>
        </w:tabs>
        <w:spacing w:after="0"/>
        <w:jc w:val="both"/>
        <w:rPr>
          <w:rFonts w:ascii="Arial" w:hAnsi="Arial" w:cs="Arial"/>
          <w:color w:val="000000"/>
          <w:sz w:val="24"/>
          <w:szCs w:val="24"/>
        </w:rPr>
      </w:pPr>
    </w:p>
    <w:p w14:paraId="1C0994CA" w14:textId="77777777" w:rsidR="00C46EED" w:rsidRDefault="00C46EED" w:rsidP="00C9589F">
      <w:pPr>
        <w:tabs>
          <w:tab w:val="left" w:pos="5460"/>
        </w:tabs>
        <w:spacing w:after="0"/>
        <w:jc w:val="both"/>
        <w:rPr>
          <w:rFonts w:ascii="Arial" w:hAnsi="Arial" w:cs="Arial"/>
          <w:color w:val="000000"/>
          <w:sz w:val="24"/>
          <w:szCs w:val="24"/>
        </w:rPr>
      </w:pPr>
    </w:p>
    <w:p w14:paraId="5FB02F92" w14:textId="77777777" w:rsidR="00C46EED" w:rsidRDefault="00C46EED" w:rsidP="00C9589F">
      <w:pPr>
        <w:tabs>
          <w:tab w:val="left" w:pos="5460"/>
        </w:tabs>
        <w:spacing w:after="0"/>
        <w:jc w:val="both"/>
        <w:rPr>
          <w:rFonts w:ascii="Arial" w:hAnsi="Arial" w:cs="Arial"/>
          <w:color w:val="000000"/>
          <w:sz w:val="24"/>
          <w:szCs w:val="24"/>
        </w:rPr>
      </w:pPr>
    </w:p>
    <w:p w14:paraId="6B25EDB0" w14:textId="369DD2E3" w:rsidR="00964FC1" w:rsidRDefault="00C9589F" w:rsidP="00C9589F">
      <w:pPr>
        <w:tabs>
          <w:tab w:val="left" w:pos="5460"/>
        </w:tabs>
        <w:spacing w:after="0"/>
        <w:jc w:val="both"/>
        <w:rPr>
          <w:rFonts w:ascii="Arial" w:hAnsi="Arial" w:cs="Arial"/>
          <w:color w:val="000000"/>
          <w:sz w:val="24"/>
          <w:szCs w:val="24"/>
        </w:rPr>
      </w:pPr>
      <w:r w:rsidRPr="00C9589F">
        <w:rPr>
          <w:rFonts w:ascii="Arial" w:hAnsi="Arial" w:cs="Arial"/>
          <w:color w:val="000000"/>
          <w:sz w:val="24"/>
          <w:szCs w:val="24"/>
        </w:rPr>
        <w:lastRenderedPageBreak/>
        <w:t>De</w:t>
      </w:r>
      <w:r w:rsidR="00804DAD">
        <w:rPr>
          <w:rFonts w:ascii="Arial" w:hAnsi="Arial" w:cs="Arial"/>
          <w:color w:val="000000"/>
          <w:sz w:val="24"/>
          <w:szCs w:val="24"/>
        </w:rPr>
        <w:t xml:space="preserve"> los</w:t>
      </w:r>
      <w:r w:rsidRPr="00C9589F">
        <w:rPr>
          <w:rFonts w:ascii="Arial" w:hAnsi="Arial" w:cs="Arial"/>
          <w:color w:val="000000"/>
          <w:sz w:val="24"/>
          <w:szCs w:val="24"/>
        </w:rPr>
        <w:t xml:space="preserve"> asuntos </w:t>
      </w:r>
      <w:r w:rsidR="00646F33">
        <w:rPr>
          <w:rFonts w:ascii="Arial" w:hAnsi="Arial" w:cs="Arial"/>
          <w:color w:val="000000"/>
          <w:sz w:val="24"/>
          <w:szCs w:val="24"/>
        </w:rPr>
        <w:t xml:space="preserve">de los que </w:t>
      </w:r>
      <w:r w:rsidRPr="00C9589F">
        <w:rPr>
          <w:rFonts w:ascii="Arial" w:hAnsi="Arial" w:cs="Arial"/>
          <w:color w:val="000000"/>
          <w:sz w:val="24"/>
          <w:szCs w:val="24"/>
        </w:rPr>
        <w:t>tuvo conocimiento la SCJN durante 202</w:t>
      </w:r>
      <w:r w:rsidR="000F1AFE">
        <w:rPr>
          <w:rFonts w:ascii="Arial" w:hAnsi="Arial" w:cs="Arial"/>
          <w:color w:val="000000"/>
          <w:sz w:val="24"/>
          <w:szCs w:val="24"/>
        </w:rPr>
        <w:t>1</w:t>
      </w:r>
      <w:r w:rsidRPr="00C9589F">
        <w:rPr>
          <w:rFonts w:ascii="Arial" w:hAnsi="Arial" w:cs="Arial"/>
          <w:color w:val="000000"/>
          <w:sz w:val="24"/>
          <w:szCs w:val="24"/>
        </w:rPr>
        <w:t>, destaca</w:t>
      </w:r>
      <w:r w:rsidR="00D306BB">
        <w:rPr>
          <w:rFonts w:ascii="Arial" w:hAnsi="Arial" w:cs="Arial"/>
          <w:color w:val="000000"/>
          <w:sz w:val="24"/>
          <w:szCs w:val="24"/>
        </w:rPr>
        <w:t>ro</w:t>
      </w:r>
      <w:r w:rsidRPr="00C9589F">
        <w:rPr>
          <w:rFonts w:ascii="Arial" w:hAnsi="Arial" w:cs="Arial"/>
          <w:color w:val="000000"/>
          <w:sz w:val="24"/>
          <w:szCs w:val="24"/>
        </w:rPr>
        <w:t xml:space="preserve">n los procedimientos de </w:t>
      </w:r>
      <w:r w:rsidRPr="00030FF2">
        <w:rPr>
          <w:rFonts w:ascii="Arial" w:hAnsi="Arial" w:cs="Arial"/>
          <w:i/>
          <w:iCs/>
          <w:color w:val="000000"/>
          <w:sz w:val="24"/>
          <w:szCs w:val="24"/>
        </w:rPr>
        <w:t>Amparo directo en revisión</w:t>
      </w:r>
      <w:r w:rsidRPr="00C9589F">
        <w:rPr>
          <w:rFonts w:ascii="Arial" w:hAnsi="Arial" w:cs="Arial"/>
          <w:color w:val="000000"/>
          <w:sz w:val="24"/>
          <w:szCs w:val="24"/>
        </w:rPr>
        <w:t xml:space="preserve">, que representaron </w:t>
      </w:r>
      <w:r w:rsidR="00480A11">
        <w:rPr>
          <w:rFonts w:ascii="Arial" w:hAnsi="Arial" w:cs="Arial"/>
          <w:color w:val="000000"/>
          <w:sz w:val="24"/>
          <w:szCs w:val="24"/>
        </w:rPr>
        <w:t>40.4</w:t>
      </w:r>
      <w:r w:rsidRPr="00C9589F">
        <w:rPr>
          <w:rFonts w:ascii="Arial" w:hAnsi="Arial" w:cs="Arial"/>
          <w:color w:val="000000"/>
          <w:sz w:val="24"/>
          <w:szCs w:val="24"/>
        </w:rPr>
        <w:t xml:space="preserve"> y </w:t>
      </w:r>
      <w:r w:rsidR="00480A11">
        <w:rPr>
          <w:rFonts w:ascii="Arial" w:hAnsi="Arial" w:cs="Arial"/>
          <w:color w:val="000000"/>
          <w:sz w:val="24"/>
          <w:szCs w:val="24"/>
        </w:rPr>
        <w:t>45.0</w:t>
      </w:r>
      <w:r w:rsidR="0099461B">
        <w:rPr>
          <w:rFonts w:ascii="Arial" w:hAnsi="Arial" w:cs="Arial"/>
          <w:color w:val="000000"/>
          <w:sz w:val="24"/>
          <w:szCs w:val="24"/>
        </w:rPr>
        <w:t xml:space="preserve"> </w:t>
      </w:r>
      <w:r w:rsidRPr="00C9589F">
        <w:rPr>
          <w:rFonts w:ascii="Arial" w:hAnsi="Arial" w:cs="Arial"/>
          <w:color w:val="000000"/>
          <w:sz w:val="24"/>
          <w:szCs w:val="24"/>
        </w:rPr>
        <w:t>% de</w:t>
      </w:r>
      <w:r w:rsidR="00CA4044">
        <w:rPr>
          <w:rFonts w:ascii="Arial" w:hAnsi="Arial" w:cs="Arial"/>
          <w:color w:val="000000"/>
          <w:sz w:val="24"/>
          <w:szCs w:val="24"/>
        </w:rPr>
        <w:t xml:space="preserve"> los</w:t>
      </w:r>
      <w:r w:rsidRPr="00C9589F">
        <w:rPr>
          <w:rFonts w:ascii="Arial" w:hAnsi="Arial" w:cs="Arial"/>
          <w:color w:val="000000"/>
          <w:sz w:val="24"/>
          <w:szCs w:val="24"/>
        </w:rPr>
        <w:t xml:space="preserve"> ingresos y </w:t>
      </w:r>
      <w:r w:rsidR="004C2ED7">
        <w:rPr>
          <w:rFonts w:ascii="Arial" w:hAnsi="Arial" w:cs="Arial"/>
          <w:color w:val="000000"/>
          <w:sz w:val="24"/>
          <w:szCs w:val="24"/>
        </w:rPr>
        <w:t>egresos</w:t>
      </w:r>
      <w:r w:rsidRPr="00C9589F">
        <w:rPr>
          <w:rFonts w:ascii="Arial" w:hAnsi="Arial" w:cs="Arial"/>
          <w:color w:val="000000"/>
          <w:sz w:val="24"/>
          <w:szCs w:val="24"/>
        </w:rPr>
        <w:t>, respectivamente. La distribución de los asuntos por los principales procedimientos se presenta en la siguiente gráfica</w:t>
      </w:r>
      <w:r w:rsidR="00646F33">
        <w:rPr>
          <w:rFonts w:ascii="Arial" w:hAnsi="Arial" w:cs="Arial"/>
          <w:color w:val="000000"/>
          <w:sz w:val="24"/>
          <w:szCs w:val="24"/>
        </w:rPr>
        <w:t>.</w:t>
      </w:r>
    </w:p>
    <w:p w14:paraId="1AA68DBE" w14:textId="68B38E8E" w:rsidR="00A0512E" w:rsidRDefault="00A0512E" w:rsidP="00C9589F">
      <w:pPr>
        <w:tabs>
          <w:tab w:val="left" w:pos="5460"/>
        </w:tabs>
        <w:spacing w:after="0"/>
        <w:jc w:val="both"/>
        <w:rPr>
          <w:rFonts w:ascii="Arial" w:hAnsi="Arial" w:cs="Arial"/>
          <w:color w:val="000000"/>
          <w:sz w:val="24"/>
          <w:szCs w:val="24"/>
        </w:rPr>
      </w:pPr>
    </w:p>
    <w:p w14:paraId="1A648E1F" w14:textId="628EF676" w:rsidR="00394621" w:rsidRPr="00DE7C9F" w:rsidRDefault="00394621" w:rsidP="00394621">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9</w:t>
      </w:r>
    </w:p>
    <w:p w14:paraId="32394C63" w14:textId="0D971B7A" w:rsidR="008668C9" w:rsidRPr="008668C9" w:rsidRDefault="008668C9" w:rsidP="008668C9">
      <w:pPr>
        <w:tabs>
          <w:tab w:val="left" w:pos="5460"/>
        </w:tabs>
        <w:spacing w:after="0"/>
        <w:jc w:val="center"/>
        <w:rPr>
          <w:rFonts w:ascii="Arial" w:hAnsi="Arial" w:cs="Arial"/>
          <w:b/>
          <w:bCs/>
          <w:iCs/>
          <w:smallCaps/>
          <w:color w:val="000000" w:themeColor="text1"/>
        </w:rPr>
      </w:pPr>
      <w:r w:rsidRPr="008668C9">
        <w:rPr>
          <w:rFonts w:ascii="Arial" w:hAnsi="Arial" w:cs="Arial"/>
          <w:b/>
          <w:bCs/>
          <w:iCs/>
          <w:smallCaps/>
          <w:color w:val="000000" w:themeColor="text1"/>
        </w:rPr>
        <w:t xml:space="preserve">asuntos ingresados y </w:t>
      </w:r>
      <w:r w:rsidR="003179F6">
        <w:rPr>
          <w:rFonts w:ascii="Arial" w:hAnsi="Arial" w:cs="Arial"/>
          <w:b/>
          <w:bCs/>
          <w:iCs/>
          <w:smallCaps/>
          <w:color w:val="000000" w:themeColor="text1"/>
        </w:rPr>
        <w:t>egresados</w:t>
      </w:r>
      <w:r w:rsidRPr="008668C9">
        <w:rPr>
          <w:rFonts w:ascii="Arial" w:hAnsi="Arial" w:cs="Arial"/>
          <w:b/>
          <w:bCs/>
          <w:iCs/>
          <w:smallCaps/>
          <w:color w:val="000000" w:themeColor="text1"/>
        </w:rPr>
        <w:t xml:space="preserve"> </w:t>
      </w:r>
      <w:r w:rsidR="00554DBA">
        <w:rPr>
          <w:rFonts w:ascii="Arial" w:hAnsi="Arial" w:cs="Arial"/>
          <w:b/>
          <w:bCs/>
          <w:iCs/>
          <w:smallCaps/>
          <w:color w:val="000000" w:themeColor="text1"/>
        </w:rPr>
        <w:t>en</w:t>
      </w:r>
      <w:r w:rsidRPr="008668C9">
        <w:rPr>
          <w:rFonts w:ascii="Arial" w:hAnsi="Arial" w:cs="Arial"/>
          <w:b/>
          <w:bCs/>
          <w:iCs/>
          <w:smallCaps/>
          <w:color w:val="000000" w:themeColor="text1"/>
        </w:rPr>
        <w:t xml:space="preserve"> la Suprema Corte de Justicia de la</w:t>
      </w:r>
    </w:p>
    <w:p w14:paraId="6FEC7162" w14:textId="6A62B140" w:rsidR="00C1371B" w:rsidRDefault="008668C9" w:rsidP="008668C9">
      <w:pPr>
        <w:tabs>
          <w:tab w:val="left" w:pos="5460"/>
        </w:tabs>
        <w:spacing w:after="0"/>
        <w:jc w:val="center"/>
        <w:rPr>
          <w:rFonts w:ascii="Arial" w:hAnsi="Arial" w:cs="Arial"/>
          <w:b/>
          <w:bCs/>
          <w:iCs/>
          <w:smallCaps/>
          <w:color w:val="000000" w:themeColor="text1"/>
        </w:rPr>
      </w:pPr>
      <w:r w:rsidRPr="008668C9">
        <w:rPr>
          <w:rFonts w:ascii="Arial" w:hAnsi="Arial" w:cs="Arial"/>
          <w:b/>
          <w:bCs/>
          <w:iCs/>
          <w:smallCaps/>
          <w:color w:val="000000" w:themeColor="text1"/>
        </w:rPr>
        <w:t>Nación, según órganos jurisdiccionales y principales procedimientos</w:t>
      </w:r>
    </w:p>
    <w:p w14:paraId="6736E68C" w14:textId="2E97CD98" w:rsidR="0060313B" w:rsidRDefault="0060313B" w:rsidP="008668C9">
      <w:pPr>
        <w:tabs>
          <w:tab w:val="left" w:pos="5460"/>
        </w:tabs>
        <w:spacing w:after="0"/>
        <w:jc w:val="center"/>
        <w:rPr>
          <w:rFonts w:ascii="Arial" w:hAnsi="Arial" w:cs="Arial"/>
          <w:sz w:val="24"/>
          <w:szCs w:val="24"/>
          <w:highlight w:val="yellow"/>
        </w:rPr>
      </w:pPr>
    </w:p>
    <w:p w14:paraId="10B6FA5E" w14:textId="77777777" w:rsidR="003321BF" w:rsidRDefault="003321BF" w:rsidP="008668C9">
      <w:pPr>
        <w:tabs>
          <w:tab w:val="left" w:pos="5460"/>
        </w:tabs>
        <w:spacing w:after="0"/>
        <w:jc w:val="center"/>
        <w:rPr>
          <w:rFonts w:ascii="Arial" w:hAnsi="Arial" w:cs="Arial"/>
          <w:sz w:val="24"/>
          <w:szCs w:val="24"/>
          <w:highlight w:val="yellow"/>
        </w:rPr>
      </w:pPr>
    </w:p>
    <w:p w14:paraId="4FEF9507" w14:textId="126D38DD" w:rsidR="00C1371B" w:rsidRDefault="00542C8D" w:rsidP="00306AB2">
      <w:pPr>
        <w:tabs>
          <w:tab w:val="left" w:pos="5460"/>
        </w:tabs>
        <w:spacing w:after="0"/>
        <w:jc w:val="center"/>
        <w:rPr>
          <w:rFonts w:ascii="Arial" w:hAnsi="Arial" w:cs="Arial"/>
          <w:sz w:val="24"/>
          <w:szCs w:val="24"/>
          <w:highlight w:val="yellow"/>
        </w:rPr>
      </w:pPr>
      <w:r>
        <w:rPr>
          <w:noProof/>
        </w:rPr>
        <w:drawing>
          <wp:inline distT="0" distB="0" distL="0" distR="0" wp14:anchorId="1D0151C2" wp14:editId="6E305E14">
            <wp:extent cx="6522663" cy="3060000"/>
            <wp:effectExtent l="0" t="0" r="0" b="0"/>
            <wp:docPr id="14" name="Imagen 14" descr="Interfaz de usuario gráfica, 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Gráfico, Histograma&#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22663" cy="3060000"/>
                    </a:xfrm>
                    <a:prstGeom prst="rect">
                      <a:avLst/>
                    </a:prstGeom>
                    <a:noFill/>
                  </pic:spPr>
                </pic:pic>
              </a:graphicData>
            </a:graphic>
          </wp:inline>
        </w:drawing>
      </w:r>
    </w:p>
    <w:p w14:paraId="032B29D7" w14:textId="3734F119" w:rsidR="00D306BB" w:rsidRDefault="00D306BB" w:rsidP="00306AB2">
      <w:pPr>
        <w:tabs>
          <w:tab w:val="left" w:pos="5460"/>
        </w:tabs>
        <w:spacing w:after="0"/>
        <w:jc w:val="center"/>
        <w:rPr>
          <w:rFonts w:ascii="Arial" w:hAnsi="Arial" w:cs="Arial"/>
          <w:sz w:val="24"/>
          <w:szCs w:val="24"/>
          <w:highlight w:val="yellow"/>
        </w:rPr>
      </w:pPr>
    </w:p>
    <w:p w14:paraId="05122E64" w14:textId="77777777" w:rsidR="00D306BB" w:rsidRDefault="00D306BB" w:rsidP="00306AB2">
      <w:pPr>
        <w:tabs>
          <w:tab w:val="left" w:pos="5460"/>
        </w:tabs>
        <w:spacing w:after="0"/>
        <w:jc w:val="center"/>
        <w:rPr>
          <w:rFonts w:ascii="Arial" w:hAnsi="Arial" w:cs="Arial"/>
          <w:sz w:val="24"/>
          <w:szCs w:val="24"/>
          <w:highlight w:val="yellow"/>
        </w:rPr>
      </w:pPr>
    </w:p>
    <w:p w14:paraId="6F70CDE6" w14:textId="066B1F31" w:rsidR="00035BF0" w:rsidRPr="00511B07" w:rsidRDefault="00035BF0" w:rsidP="00BA306B">
      <w:pPr>
        <w:pStyle w:val="Prrafodelista"/>
        <w:numPr>
          <w:ilvl w:val="0"/>
          <w:numId w:val="26"/>
        </w:numPr>
        <w:tabs>
          <w:tab w:val="left" w:pos="5460"/>
        </w:tabs>
        <w:spacing w:after="0"/>
        <w:jc w:val="both"/>
        <w:rPr>
          <w:rFonts w:ascii="Arial Negrita" w:hAnsi="Arial Negrita" w:cs="Arial"/>
          <w:b/>
          <w:bCs/>
          <w:smallCaps/>
          <w:sz w:val="24"/>
          <w:szCs w:val="24"/>
        </w:rPr>
      </w:pPr>
      <w:r w:rsidRPr="00511B07">
        <w:rPr>
          <w:rFonts w:ascii="Arial Negrita" w:hAnsi="Arial Negrita" w:cs="Arial"/>
          <w:b/>
          <w:bCs/>
          <w:smallCaps/>
          <w:sz w:val="24"/>
          <w:szCs w:val="24"/>
        </w:rPr>
        <w:t>Tribunal Electoral del Poder Judicial de la Federación</w:t>
      </w:r>
    </w:p>
    <w:p w14:paraId="24758ABA" w14:textId="77777777" w:rsidR="00285BF4" w:rsidRDefault="00285BF4" w:rsidP="00B12C7F">
      <w:pPr>
        <w:tabs>
          <w:tab w:val="left" w:pos="5460"/>
        </w:tabs>
        <w:spacing w:after="0"/>
        <w:jc w:val="both"/>
        <w:rPr>
          <w:rFonts w:ascii="Arial Negrita" w:hAnsi="Arial Negrita" w:cs="Arial"/>
          <w:b/>
          <w:bCs/>
          <w:smallCaps/>
          <w:sz w:val="24"/>
          <w:szCs w:val="24"/>
        </w:rPr>
      </w:pPr>
    </w:p>
    <w:p w14:paraId="18760DB3" w14:textId="57B94B2B" w:rsidR="00035BF0" w:rsidRDefault="00393017" w:rsidP="005C6000">
      <w:pPr>
        <w:tabs>
          <w:tab w:val="left" w:pos="5460"/>
        </w:tabs>
        <w:spacing w:after="0"/>
        <w:jc w:val="both"/>
        <w:rPr>
          <w:rFonts w:ascii="Arial" w:hAnsi="Arial" w:cs="Arial"/>
          <w:color w:val="000000"/>
          <w:sz w:val="24"/>
          <w:szCs w:val="24"/>
        </w:rPr>
      </w:pPr>
      <w:bookmarkStart w:id="1" w:name="_Hlk106713873"/>
      <w:r>
        <w:rPr>
          <w:rFonts w:ascii="Arial" w:hAnsi="Arial" w:cs="Arial"/>
          <w:color w:val="000000"/>
          <w:sz w:val="24"/>
          <w:szCs w:val="24"/>
        </w:rPr>
        <w:t>L</w:t>
      </w:r>
      <w:r w:rsidR="005C6000" w:rsidRPr="005C6000">
        <w:rPr>
          <w:rFonts w:ascii="Arial" w:hAnsi="Arial" w:cs="Arial"/>
          <w:color w:val="000000"/>
          <w:sz w:val="24"/>
          <w:szCs w:val="24"/>
        </w:rPr>
        <w:t>os datos sobre el ejercicio de la función de los órganos jurisdiccionales del</w:t>
      </w:r>
      <w:r w:rsidR="005C6000">
        <w:rPr>
          <w:rFonts w:ascii="Arial" w:hAnsi="Arial" w:cs="Arial"/>
          <w:color w:val="000000"/>
          <w:sz w:val="24"/>
          <w:szCs w:val="24"/>
        </w:rPr>
        <w:t xml:space="preserve"> </w:t>
      </w:r>
      <w:r w:rsidR="005C6000" w:rsidRPr="005C6000">
        <w:rPr>
          <w:rFonts w:ascii="Arial" w:hAnsi="Arial" w:cs="Arial"/>
          <w:color w:val="000000"/>
          <w:sz w:val="24"/>
          <w:szCs w:val="24"/>
        </w:rPr>
        <w:t>TEPJF muestran que durante 202</w:t>
      </w:r>
      <w:r w:rsidR="00D055E9">
        <w:rPr>
          <w:rFonts w:ascii="Arial" w:hAnsi="Arial" w:cs="Arial"/>
          <w:color w:val="000000"/>
          <w:sz w:val="24"/>
          <w:szCs w:val="24"/>
        </w:rPr>
        <w:t>1</w:t>
      </w:r>
      <w:r w:rsidR="005C6000" w:rsidRPr="005C6000">
        <w:rPr>
          <w:rFonts w:ascii="Arial" w:hAnsi="Arial" w:cs="Arial"/>
          <w:color w:val="000000"/>
          <w:sz w:val="24"/>
          <w:szCs w:val="24"/>
        </w:rPr>
        <w:t xml:space="preserve"> ingresaron </w:t>
      </w:r>
      <w:r w:rsidR="00D055E9" w:rsidRPr="00D055E9">
        <w:rPr>
          <w:rFonts w:ascii="Arial" w:hAnsi="Arial" w:cs="Arial"/>
          <w:color w:val="000000"/>
          <w:sz w:val="24"/>
          <w:szCs w:val="24"/>
        </w:rPr>
        <w:t>18</w:t>
      </w:r>
      <w:r w:rsidR="00A448C4">
        <w:rPr>
          <w:rFonts w:ascii="Arial" w:hAnsi="Arial" w:cs="Arial"/>
          <w:color w:val="000000"/>
          <w:sz w:val="24"/>
          <w:szCs w:val="24"/>
        </w:rPr>
        <w:t xml:space="preserve"> </w:t>
      </w:r>
      <w:r w:rsidR="00D055E9" w:rsidRPr="00D055E9">
        <w:rPr>
          <w:rFonts w:ascii="Arial" w:hAnsi="Arial" w:cs="Arial"/>
          <w:color w:val="000000"/>
          <w:sz w:val="24"/>
          <w:szCs w:val="24"/>
        </w:rPr>
        <w:t>302</w:t>
      </w:r>
      <w:r w:rsidR="00D055E9">
        <w:rPr>
          <w:rFonts w:ascii="Arial" w:hAnsi="Arial" w:cs="Arial"/>
          <w:color w:val="000000"/>
          <w:sz w:val="24"/>
          <w:szCs w:val="24"/>
        </w:rPr>
        <w:t xml:space="preserve"> </w:t>
      </w:r>
      <w:r w:rsidR="005C6000" w:rsidRPr="005C6000">
        <w:rPr>
          <w:rFonts w:ascii="Arial" w:hAnsi="Arial" w:cs="Arial"/>
          <w:color w:val="000000"/>
          <w:sz w:val="24"/>
          <w:szCs w:val="24"/>
        </w:rPr>
        <w:t>asuntos y se resolvieron</w:t>
      </w:r>
      <w:r w:rsidR="005C6000">
        <w:rPr>
          <w:rFonts w:ascii="Arial" w:hAnsi="Arial" w:cs="Arial"/>
          <w:color w:val="000000"/>
          <w:sz w:val="24"/>
          <w:szCs w:val="24"/>
        </w:rPr>
        <w:t xml:space="preserve"> </w:t>
      </w:r>
      <w:r w:rsidR="00D055E9" w:rsidRPr="00D055E9">
        <w:rPr>
          <w:rFonts w:ascii="Arial" w:hAnsi="Arial" w:cs="Arial"/>
          <w:color w:val="000000"/>
          <w:sz w:val="24"/>
          <w:szCs w:val="24"/>
        </w:rPr>
        <w:t>18</w:t>
      </w:r>
      <w:r w:rsidR="00A448C4">
        <w:rPr>
          <w:rFonts w:ascii="Arial" w:hAnsi="Arial" w:cs="Arial"/>
          <w:color w:val="000000"/>
          <w:sz w:val="24"/>
          <w:szCs w:val="24"/>
        </w:rPr>
        <w:t xml:space="preserve"> </w:t>
      </w:r>
      <w:r w:rsidR="00D055E9" w:rsidRPr="00D055E9">
        <w:rPr>
          <w:rFonts w:ascii="Arial" w:hAnsi="Arial" w:cs="Arial"/>
          <w:color w:val="000000"/>
          <w:sz w:val="24"/>
          <w:szCs w:val="24"/>
        </w:rPr>
        <w:t>062</w:t>
      </w:r>
      <w:r w:rsidR="005C6000" w:rsidRPr="005C6000">
        <w:rPr>
          <w:rFonts w:ascii="Arial" w:hAnsi="Arial" w:cs="Arial"/>
          <w:color w:val="000000"/>
          <w:sz w:val="24"/>
          <w:szCs w:val="24"/>
        </w:rPr>
        <w:t xml:space="preserve">. De </w:t>
      </w:r>
      <w:r w:rsidR="00C8596F">
        <w:rPr>
          <w:rFonts w:ascii="Arial" w:hAnsi="Arial" w:cs="Arial"/>
          <w:color w:val="000000"/>
          <w:sz w:val="24"/>
          <w:szCs w:val="24"/>
        </w:rPr>
        <w:t>e</w:t>
      </w:r>
      <w:r w:rsidR="005C6000" w:rsidRPr="005C6000">
        <w:rPr>
          <w:rFonts w:ascii="Arial" w:hAnsi="Arial" w:cs="Arial"/>
          <w:color w:val="000000"/>
          <w:sz w:val="24"/>
          <w:szCs w:val="24"/>
        </w:rPr>
        <w:t xml:space="preserve">stos, </w:t>
      </w:r>
      <w:r w:rsidR="00B54CD1">
        <w:rPr>
          <w:rFonts w:ascii="Arial" w:hAnsi="Arial" w:cs="Arial"/>
          <w:color w:val="000000"/>
          <w:sz w:val="24"/>
          <w:szCs w:val="24"/>
        </w:rPr>
        <w:t>45.3</w:t>
      </w:r>
      <w:r w:rsidR="00A448C4">
        <w:rPr>
          <w:rFonts w:ascii="Arial" w:hAnsi="Arial" w:cs="Arial"/>
          <w:color w:val="000000"/>
          <w:sz w:val="24"/>
          <w:szCs w:val="24"/>
        </w:rPr>
        <w:t xml:space="preserve"> </w:t>
      </w:r>
      <w:r w:rsidR="005C6000" w:rsidRPr="005C6000">
        <w:rPr>
          <w:rFonts w:ascii="Arial" w:hAnsi="Arial" w:cs="Arial"/>
          <w:color w:val="000000"/>
          <w:sz w:val="24"/>
          <w:szCs w:val="24"/>
        </w:rPr>
        <w:t xml:space="preserve">% fue </w:t>
      </w:r>
      <w:r w:rsidR="002D2DB7">
        <w:rPr>
          <w:rFonts w:ascii="Arial" w:hAnsi="Arial" w:cs="Arial"/>
          <w:color w:val="000000"/>
          <w:sz w:val="24"/>
          <w:szCs w:val="24"/>
        </w:rPr>
        <w:t>«</w:t>
      </w:r>
      <w:r w:rsidR="005C6000" w:rsidRPr="005C6000">
        <w:rPr>
          <w:rFonts w:ascii="Arial" w:hAnsi="Arial" w:cs="Arial"/>
          <w:color w:val="000000"/>
          <w:sz w:val="24"/>
          <w:szCs w:val="24"/>
        </w:rPr>
        <w:t>no resuelto de fondo</w:t>
      </w:r>
      <w:r w:rsidR="002D2DB7">
        <w:rPr>
          <w:rFonts w:ascii="Arial" w:hAnsi="Arial" w:cs="Arial"/>
          <w:color w:val="000000"/>
          <w:sz w:val="24"/>
          <w:szCs w:val="24"/>
        </w:rPr>
        <w:t>»</w:t>
      </w:r>
      <w:r w:rsidR="005C6000" w:rsidRPr="005C6000">
        <w:rPr>
          <w:rFonts w:ascii="Arial" w:hAnsi="Arial" w:cs="Arial"/>
          <w:color w:val="000000"/>
          <w:sz w:val="24"/>
          <w:szCs w:val="24"/>
        </w:rPr>
        <w:t xml:space="preserve"> y </w:t>
      </w:r>
      <w:r w:rsidR="00B54CD1">
        <w:rPr>
          <w:rFonts w:ascii="Arial" w:hAnsi="Arial" w:cs="Arial"/>
          <w:color w:val="000000"/>
          <w:sz w:val="24"/>
          <w:szCs w:val="24"/>
        </w:rPr>
        <w:t>54.7</w:t>
      </w:r>
      <w:r w:rsidR="00A448C4">
        <w:rPr>
          <w:rFonts w:ascii="Arial" w:hAnsi="Arial" w:cs="Arial"/>
          <w:color w:val="000000"/>
          <w:sz w:val="24"/>
          <w:szCs w:val="24"/>
        </w:rPr>
        <w:t xml:space="preserve"> </w:t>
      </w:r>
      <w:r w:rsidR="005C6000" w:rsidRPr="005C6000">
        <w:rPr>
          <w:rFonts w:ascii="Arial" w:hAnsi="Arial" w:cs="Arial"/>
          <w:color w:val="000000"/>
          <w:sz w:val="24"/>
          <w:szCs w:val="24"/>
        </w:rPr>
        <w:t xml:space="preserve">% </w:t>
      </w:r>
      <w:r w:rsidR="002D2DB7">
        <w:rPr>
          <w:rFonts w:ascii="Arial" w:hAnsi="Arial" w:cs="Arial"/>
          <w:color w:val="000000"/>
          <w:sz w:val="24"/>
          <w:szCs w:val="24"/>
        </w:rPr>
        <w:t>«</w:t>
      </w:r>
      <w:r w:rsidR="005C6000" w:rsidRPr="005C6000">
        <w:rPr>
          <w:rFonts w:ascii="Arial" w:hAnsi="Arial" w:cs="Arial"/>
          <w:color w:val="000000"/>
          <w:sz w:val="24"/>
          <w:szCs w:val="24"/>
        </w:rPr>
        <w:t>resuelto de fondo</w:t>
      </w:r>
      <w:r w:rsidR="002D2DB7">
        <w:rPr>
          <w:rFonts w:ascii="Arial" w:hAnsi="Arial" w:cs="Arial"/>
          <w:color w:val="000000"/>
          <w:sz w:val="24"/>
          <w:szCs w:val="24"/>
        </w:rPr>
        <w:t>»</w:t>
      </w:r>
      <w:r w:rsidR="005C6000" w:rsidRPr="005C6000">
        <w:rPr>
          <w:rFonts w:ascii="Arial" w:hAnsi="Arial" w:cs="Arial"/>
          <w:color w:val="000000"/>
          <w:sz w:val="24"/>
          <w:szCs w:val="24"/>
        </w:rPr>
        <w:t>. En</w:t>
      </w:r>
      <w:r w:rsidR="005C6000">
        <w:rPr>
          <w:rFonts w:ascii="Arial" w:hAnsi="Arial" w:cs="Arial"/>
          <w:color w:val="000000"/>
          <w:sz w:val="24"/>
          <w:szCs w:val="24"/>
        </w:rPr>
        <w:t xml:space="preserve"> </w:t>
      </w:r>
      <w:r w:rsidR="005C6000" w:rsidRPr="005C6000">
        <w:rPr>
          <w:rFonts w:ascii="Arial" w:hAnsi="Arial" w:cs="Arial"/>
          <w:color w:val="000000"/>
          <w:sz w:val="24"/>
          <w:szCs w:val="24"/>
        </w:rPr>
        <w:t>comparación con 20</w:t>
      </w:r>
      <w:r w:rsidR="00B54CD1">
        <w:rPr>
          <w:rFonts w:ascii="Arial" w:hAnsi="Arial" w:cs="Arial"/>
          <w:color w:val="000000"/>
          <w:sz w:val="24"/>
          <w:szCs w:val="24"/>
        </w:rPr>
        <w:t>20</w:t>
      </w:r>
      <w:r w:rsidR="002D2DB7">
        <w:rPr>
          <w:rFonts w:ascii="Arial" w:hAnsi="Arial" w:cs="Arial"/>
          <w:color w:val="000000"/>
          <w:sz w:val="24"/>
          <w:szCs w:val="24"/>
        </w:rPr>
        <w:t>,</w:t>
      </w:r>
      <w:r w:rsidR="007A328C">
        <w:rPr>
          <w:rStyle w:val="Refdenotaalpie"/>
          <w:rFonts w:ascii="Arial" w:hAnsi="Arial" w:cs="Arial"/>
          <w:color w:val="000000"/>
          <w:sz w:val="24"/>
          <w:szCs w:val="24"/>
        </w:rPr>
        <w:footnoteReference w:id="14"/>
      </w:r>
      <w:r w:rsidR="005C6000" w:rsidRPr="005C6000">
        <w:rPr>
          <w:rFonts w:ascii="Arial" w:hAnsi="Arial" w:cs="Arial"/>
          <w:color w:val="000000"/>
          <w:sz w:val="24"/>
          <w:szCs w:val="24"/>
        </w:rPr>
        <w:t xml:space="preserve"> los asuntos ingresados aumentaron </w:t>
      </w:r>
      <w:r w:rsidR="00B54CD1">
        <w:rPr>
          <w:rFonts w:ascii="Arial" w:hAnsi="Arial" w:cs="Arial"/>
          <w:color w:val="000000"/>
          <w:sz w:val="24"/>
          <w:szCs w:val="24"/>
        </w:rPr>
        <w:t>26.0</w:t>
      </w:r>
      <w:r w:rsidR="00A448C4">
        <w:rPr>
          <w:rFonts w:ascii="Arial" w:hAnsi="Arial" w:cs="Arial"/>
          <w:color w:val="000000"/>
          <w:sz w:val="24"/>
          <w:szCs w:val="24"/>
        </w:rPr>
        <w:t xml:space="preserve"> </w:t>
      </w:r>
      <w:r w:rsidR="005C6000" w:rsidRPr="005C6000">
        <w:rPr>
          <w:rFonts w:ascii="Arial" w:hAnsi="Arial" w:cs="Arial"/>
          <w:color w:val="000000"/>
          <w:sz w:val="24"/>
          <w:szCs w:val="24"/>
        </w:rPr>
        <w:t>%</w:t>
      </w:r>
      <w:r w:rsidR="00A15905">
        <w:rPr>
          <w:rFonts w:ascii="Arial" w:hAnsi="Arial" w:cs="Arial"/>
          <w:color w:val="000000"/>
          <w:sz w:val="24"/>
          <w:szCs w:val="24"/>
        </w:rPr>
        <w:t xml:space="preserve"> y </w:t>
      </w:r>
      <w:r w:rsidR="005C6000" w:rsidRPr="005C6000">
        <w:rPr>
          <w:rFonts w:ascii="Arial" w:hAnsi="Arial" w:cs="Arial"/>
          <w:color w:val="000000"/>
          <w:sz w:val="24"/>
          <w:szCs w:val="24"/>
        </w:rPr>
        <w:t>los</w:t>
      </w:r>
      <w:r w:rsidR="005C6000">
        <w:rPr>
          <w:rFonts w:ascii="Arial" w:hAnsi="Arial" w:cs="Arial"/>
          <w:color w:val="000000"/>
          <w:sz w:val="24"/>
          <w:szCs w:val="24"/>
        </w:rPr>
        <w:t xml:space="preserve"> </w:t>
      </w:r>
      <w:r w:rsidR="005C6000" w:rsidRPr="005C6000">
        <w:rPr>
          <w:rFonts w:ascii="Arial" w:hAnsi="Arial" w:cs="Arial"/>
          <w:color w:val="000000"/>
          <w:sz w:val="24"/>
          <w:szCs w:val="24"/>
        </w:rPr>
        <w:t>asuntos resueltos</w:t>
      </w:r>
      <w:r w:rsidR="002D2DB7">
        <w:rPr>
          <w:rFonts w:ascii="Arial" w:hAnsi="Arial" w:cs="Arial"/>
          <w:color w:val="000000"/>
          <w:sz w:val="24"/>
          <w:szCs w:val="24"/>
        </w:rPr>
        <w:t>,</w:t>
      </w:r>
      <w:r w:rsidR="005C6000" w:rsidRPr="005C6000">
        <w:rPr>
          <w:rFonts w:ascii="Arial" w:hAnsi="Arial" w:cs="Arial"/>
          <w:color w:val="000000"/>
          <w:sz w:val="24"/>
          <w:szCs w:val="24"/>
        </w:rPr>
        <w:t xml:space="preserve"> </w:t>
      </w:r>
      <w:r w:rsidR="00B54CD1">
        <w:rPr>
          <w:rFonts w:ascii="Arial" w:hAnsi="Arial" w:cs="Arial"/>
          <w:color w:val="000000"/>
          <w:sz w:val="24"/>
          <w:szCs w:val="24"/>
        </w:rPr>
        <w:t>24.1</w:t>
      </w:r>
      <w:r w:rsidR="00A448C4">
        <w:rPr>
          <w:rFonts w:ascii="Arial" w:hAnsi="Arial" w:cs="Arial"/>
          <w:color w:val="000000"/>
          <w:sz w:val="24"/>
          <w:szCs w:val="24"/>
        </w:rPr>
        <w:t xml:space="preserve"> </w:t>
      </w:r>
      <w:r w:rsidR="00C8693E">
        <w:rPr>
          <w:rFonts w:ascii="Arial" w:hAnsi="Arial" w:cs="Arial"/>
          <w:color w:val="000000"/>
          <w:sz w:val="24"/>
          <w:szCs w:val="24"/>
        </w:rPr>
        <w:t xml:space="preserve">por ciento. </w:t>
      </w:r>
    </w:p>
    <w:bookmarkEnd w:id="1"/>
    <w:p w14:paraId="289E39FD" w14:textId="77777777" w:rsidR="00285BF4" w:rsidRDefault="00285BF4" w:rsidP="005C6000">
      <w:pPr>
        <w:tabs>
          <w:tab w:val="left" w:pos="5460"/>
        </w:tabs>
        <w:spacing w:after="0"/>
        <w:jc w:val="both"/>
        <w:rPr>
          <w:rFonts w:ascii="Arial" w:hAnsi="Arial" w:cs="Arial"/>
          <w:color w:val="000000"/>
          <w:sz w:val="24"/>
          <w:szCs w:val="24"/>
        </w:rPr>
      </w:pPr>
    </w:p>
    <w:p w14:paraId="575A617C" w14:textId="2E6B63CD" w:rsidR="00285BF4" w:rsidRDefault="00285BF4" w:rsidP="00285BF4">
      <w:pPr>
        <w:tabs>
          <w:tab w:val="left" w:pos="5460"/>
        </w:tabs>
        <w:spacing w:after="0"/>
        <w:jc w:val="both"/>
        <w:rPr>
          <w:rFonts w:ascii="Arial" w:hAnsi="Arial" w:cs="Arial"/>
          <w:color w:val="000000"/>
          <w:sz w:val="24"/>
          <w:szCs w:val="24"/>
        </w:rPr>
      </w:pPr>
      <w:r w:rsidRPr="00285BF4">
        <w:rPr>
          <w:rFonts w:ascii="Arial" w:hAnsi="Arial" w:cs="Arial"/>
          <w:color w:val="000000"/>
          <w:sz w:val="24"/>
          <w:szCs w:val="24"/>
        </w:rPr>
        <w:t>Del total de asuntos</w:t>
      </w:r>
      <w:r w:rsidR="002D2DB7">
        <w:rPr>
          <w:rFonts w:ascii="Arial" w:hAnsi="Arial" w:cs="Arial"/>
          <w:color w:val="000000"/>
          <w:sz w:val="24"/>
          <w:szCs w:val="24"/>
        </w:rPr>
        <w:t xml:space="preserve"> de los</w:t>
      </w:r>
      <w:r w:rsidRPr="00285BF4">
        <w:rPr>
          <w:rFonts w:ascii="Arial" w:hAnsi="Arial" w:cs="Arial"/>
          <w:color w:val="000000"/>
          <w:sz w:val="24"/>
          <w:szCs w:val="24"/>
        </w:rPr>
        <w:t xml:space="preserve"> que tuvieron conocimiento los órganos jurisdiccionales del TEPJF durante</w:t>
      </w:r>
      <w:r w:rsidR="002D2DB7">
        <w:rPr>
          <w:rFonts w:ascii="Arial" w:hAnsi="Arial" w:cs="Arial"/>
          <w:color w:val="000000"/>
          <w:sz w:val="24"/>
          <w:szCs w:val="24"/>
        </w:rPr>
        <w:t xml:space="preserve"> </w:t>
      </w:r>
      <w:r w:rsidRPr="00285BF4">
        <w:rPr>
          <w:rFonts w:ascii="Arial" w:hAnsi="Arial" w:cs="Arial"/>
          <w:color w:val="000000"/>
          <w:sz w:val="24"/>
          <w:szCs w:val="24"/>
        </w:rPr>
        <w:t>202</w:t>
      </w:r>
      <w:r>
        <w:rPr>
          <w:rFonts w:ascii="Arial" w:hAnsi="Arial" w:cs="Arial"/>
          <w:color w:val="000000"/>
          <w:sz w:val="24"/>
          <w:szCs w:val="24"/>
        </w:rPr>
        <w:t>1</w:t>
      </w:r>
      <w:r w:rsidRPr="00285BF4">
        <w:rPr>
          <w:rFonts w:ascii="Arial" w:hAnsi="Arial" w:cs="Arial"/>
          <w:color w:val="000000"/>
          <w:sz w:val="24"/>
          <w:szCs w:val="24"/>
        </w:rPr>
        <w:t>, destaca</w:t>
      </w:r>
      <w:r w:rsidR="00D306BB">
        <w:rPr>
          <w:rFonts w:ascii="Arial" w:hAnsi="Arial" w:cs="Arial"/>
          <w:color w:val="000000"/>
          <w:sz w:val="24"/>
          <w:szCs w:val="24"/>
        </w:rPr>
        <w:t>ro</w:t>
      </w:r>
      <w:r w:rsidRPr="00285BF4">
        <w:rPr>
          <w:rFonts w:ascii="Arial" w:hAnsi="Arial" w:cs="Arial"/>
          <w:color w:val="000000"/>
          <w:sz w:val="24"/>
          <w:szCs w:val="24"/>
        </w:rPr>
        <w:t xml:space="preserve">n los procedimientos de </w:t>
      </w:r>
      <w:r w:rsidRPr="00285BF4">
        <w:rPr>
          <w:rFonts w:ascii="Arial" w:hAnsi="Arial" w:cs="Arial"/>
          <w:i/>
          <w:iCs/>
          <w:color w:val="000000"/>
          <w:sz w:val="24"/>
          <w:szCs w:val="24"/>
        </w:rPr>
        <w:t>Juicio para la protección de los derechos político-electorales del ciudadano</w:t>
      </w:r>
      <w:r w:rsidR="002D2DB7">
        <w:rPr>
          <w:rFonts w:ascii="Arial" w:hAnsi="Arial" w:cs="Arial"/>
          <w:color w:val="000000"/>
          <w:sz w:val="24"/>
          <w:szCs w:val="24"/>
        </w:rPr>
        <w:t xml:space="preserve">. Estos </w:t>
      </w:r>
      <w:r w:rsidRPr="00285BF4">
        <w:rPr>
          <w:rFonts w:ascii="Arial" w:hAnsi="Arial" w:cs="Arial"/>
          <w:color w:val="000000"/>
          <w:sz w:val="24"/>
          <w:szCs w:val="24"/>
        </w:rPr>
        <w:t xml:space="preserve">representaron </w:t>
      </w:r>
      <w:r>
        <w:rPr>
          <w:rFonts w:ascii="Arial" w:hAnsi="Arial" w:cs="Arial"/>
          <w:color w:val="000000"/>
          <w:sz w:val="24"/>
          <w:szCs w:val="24"/>
        </w:rPr>
        <w:t>46.8</w:t>
      </w:r>
      <w:r w:rsidR="00A448C4">
        <w:rPr>
          <w:rFonts w:ascii="Arial" w:hAnsi="Arial" w:cs="Arial"/>
          <w:color w:val="000000"/>
          <w:sz w:val="24"/>
          <w:szCs w:val="24"/>
        </w:rPr>
        <w:t xml:space="preserve"> </w:t>
      </w:r>
      <w:r w:rsidRPr="00285BF4">
        <w:rPr>
          <w:rFonts w:ascii="Arial" w:hAnsi="Arial" w:cs="Arial"/>
          <w:color w:val="000000"/>
          <w:sz w:val="24"/>
          <w:szCs w:val="24"/>
        </w:rPr>
        <w:t xml:space="preserve">% de los ingresos y </w:t>
      </w:r>
      <w:r>
        <w:rPr>
          <w:rFonts w:ascii="Arial" w:hAnsi="Arial" w:cs="Arial"/>
          <w:color w:val="000000"/>
          <w:sz w:val="24"/>
          <w:szCs w:val="24"/>
        </w:rPr>
        <w:t>47.0</w:t>
      </w:r>
      <w:r w:rsidR="00A448C4">
        <w:rPr>
          <w:rFonts w:ascii="Arial" w:hAnsi="Arial" w:cs="Arial"/>
          <w:color w:val="000000"/>
          <w:sz w:val="24"/>
          <w:szCs w:val="24"/>
        </w:rPr>
        <w:t xml:space="preserve"> </w:t>
      </w:r>
      <w:r w:rsidRPr="00285BF4">
        <w:rPr>
          <w:rFonts w:ascii="Arial" w:hAnsi="Arial" w:cs="Arial"/>
          <w:color w:val="000000"/>
          <w:sz w:val="24"/>
          <w:szCs w:val="24"/>
        </w:rPr>
        <w:t>% de las</w:t>
      </w:r>
      <w:r>
        <w:rPr>
          <w:rFonts w:ascii="Arial" w:hAnsi="Arial" w:cs="Arial"/>
          <w:color w:val="000000"/>
          <w:sz w:val="24"/>
          <w:szCs w:val="24"/>
        </w:rPr>
        <w:t xml:space="preserve"> </w:t>
      </w:r>
      <w:r w:rsidRPr="00285BF4">
        <w:rPr>
          <w:rFonts w:ascii="Arial" w:hAnsi="Arial" w:cs="Arial"/>
          <w:color w:val="000000"/>
          <w:sz w:val="24"/>
          <w:szCs w:val="24"/>
        </w:rPr>
        <w:t>resoluciones. Comparado con 20</w:t>
      </w:r>
      <w:r>
        <w:rPr>
          <w:rFonts w:ascii="Arial" w:hAnsi="Arial" w:cs="Arial"/>
          <w:color w:val="000000"/>
          <w:sz w:val="24"/>
          <w:szCs w:val="24"/>
        </w:rPr>
        <w:t>20</w:t>
      </w:r>
      <w:r w:rsidR="002D2DB7">
        <w:rPr>
          <w:rFonts w:ascii="Arial" w:hAnsi="Arial" w:cs="Arial"/>
          <w:color w:val="000000"/>
          <w:sz w:val="24"/>
          <w:szCs w:val="24"/>
        </w:rPr>
        <w:t>,</w:t>
      </w:r>
      <w:r w:rsidR="009432B7">
        <w:rPr>
          <w:rStyle w:val="Refdenotaalpie"/>
          <w:rFonts w:ascii="Arial" w:hAnsi="Arial" w:cs="Arial"/>
          <w:color w:val="000000"/>
          <w:sz w:val="24"/>
          <w:szCs w:val="24"/>
        </w:rPr>
        <w:footnoteReference w:id="15"/>
      </w:r>
      <w:r w:rsidRPr="00285BF4">
        <w:rPr>
          <w:rFonts w:ascii="Arial" w:hAnsi="Arial" w:cs="Arial"/>
          <w:color w:val="000000"/>
          <w:sz w:val="24"/>
          <w:szCs w:val="24"/>
        </w:rPr>
        <w:t xml:space="preserve"> para este procedimiento</w:t>
      </w:r>
      <w:r w:rsidR="00393017" w:rsidRPr="00393017">
        <w:rPr>
          <w:rFonts w:ascii="Arial" w:hAnsi="Arial" w:cs="Arial"/>
          <w:color w:val="000000"/>
          <w:sz w:val="24"/>
          <w:szCs w:val="24"/>
        </w:rPr>
        <w:t xml:space="preserve"> </w:t>
      </w:r>
      <w:r w:rsidR="00393017" w:rsidRPr="00285BF4">
        <w:rPr>
          <w:rFonts w:ascii="Arial" w:hAnsi="Arial" w:cs="Arial"/>
          <w:color w:val="000000"/>
          <w:sz w:val="24"/>
          <w:szCs w:val="24"/>
        </w:rPr>
        <w:t>en 20</w:t>
      </w:r>
      <w:r w:rsidR="00393017">
        <w:rPr>
          <w:rFonts w:ascii="Arial" w:hAnsi="Arial" w:cs="Arial"/>
          <w:color w:val="000000"/>
          <w:sz w:val="24"/>
          <w:szCs w:val="24"/>
        </w:rPr>
        <w:t>21</w:t>
      </w:r>
      <w:r w:rsidR="002D2DB7">
        <w:rPr>
          <w:rFonts w:ascii="Arial" w:hAnsi="Arial" w:cs="Arial"/>
          <w:color w:val="000000"/>
          <w:sz w:val="24"/>
          <w:szCs w:val="24"/>
        </w:rPr>
        <w:t>,</w:t>
      </w:r>
      <w:r w:rsidRPr="00285BF4">
        <w:rPr>
          <w:rFonts w:ascii="Arial" w:hAnsi="Arial" w:cs="Arial"/>
          <w:color w:val="000000"/>
          <w:sz w:val="24"/>
          <w:szCs w:val="24"/>
        </w:rPr>
        <w:t xml:space="preserve"> dichos porcentajes</w:t>
      </w:r>
      <w:r>
        <w:rPr>
          <w:rFonts w:ascii="Arial" w:hAnsi="Arial" w:cs="Arial"/>
          <w:color w:val="000000"/>
          <w:sz w:val="24"/>
          <w:szCs w:val="24"/>
        </w:rPr>
        <w:t xml:space="preserve"> </w:t>
      </w:r>
      <w:r w:rsidRPr="00285BF4">
        <w:rPr>
          <w:rFonts w:ascii="Arial" w:hAnsi="Arial" w:cs="Arial"/>
          <w:color w:val="000000"/>
          <w:sz w:val="24"/>
          <w:szCs w:val="24"/>
        </w:rPr>
        <w:t>reflejaron un</w:t>
      </w:r>
      <w:r w:rsidR="00E174A3">
        <w:rPr>
          <w:rFonts w:ascii="Arial" w:hAnsi="Arial" w:cs="Arial"/>
          <w:color w:val="000000"/>
          <w:sz w:val="24"/>
          <w:szCs w:val="24"/>
        </w:rPr>
        <w:t>a disminución</w:t>
      </w:r>
      <w:r w:rsidRPr="00285BF4">
        <w:rPr>
          <w:rFonts w:ascii="Arial" w:hAnsi="Arial" w:cs="Arial"/>
          <w:color w:val="000000"/>
          <w:sz w:val="24"/>
          <w:szCs w:val="24"/>
        </w:rPr>
        <w:t xml:space="preserve"> de 29.</w:t>
      </w:r>
      <w:r w:rsidR="00E174A3">
        <w:rPr>
          <w:rFonts w:ascii="Arial" w:hAnsi="Arial" w:cs="Arial"/>
          <w:color w:val="000000"/>
          <w:sz w:val="24"/>
          <w:szCs w:val="24"/>
        </w:rPr>
        <w:t>5</w:t>
      </w:r>
      <w:r w:rsidR="00A448C4">
        <w:rPr>
          <w:rFonts w:ascii="Arial" w:hAnsi="Arial" w:cs="Arial"/>
          <w:color w:val="000000"/>
          <w:sz w:val="24"/>
          <w:szCs w:val="24"/>
        </w:rPr>
        <w:t xml:space="preserve"> </w:t>
      </w:r>
      <w:r w:rsidRPr="00285BF4">
        <w:rPr>
          <w:rFonts w:ascii="Arial" w:hAnsi="Arial" w:cs="Arial"/>
          <w:color w:val="000000"/>
          <w:sz w:val="24"/>
          <w:szCs w:val="24"/>
        </w:rPr>
        <w:t xml:space="preserve">% en asuntos ingresados y </w:t>
      </w:r>
      <w:r w:rsidR="002D2DB7">
        <w:rPr>
          <w:rFonts w:ascii="Arial" w:hAnsi="Arial" w:cs="Arial"/>
          <w:color w:val="000000"/>
          <w:sz w:val="24"/>
          <w:szCs w:val="24"/>
        </w:rPr>
        <w:t xml:space="preserve">de </w:t>
      </w:r>
      <w:r w:rsidRPr="00285BF4">
        <w:rPr>
          <w:rFonts w:ascii="Arial" w:hAnsi="Arial" w:cs="Arial"/>
          <w:color w:val="000000"/>
          <w:sz w:val="24"/>
          <w:szCs w:val="24"/>
        </w:rPr>
        <w:t>3</w:t>
      </w:r>
      <w:r w:rsidR="00E174A3">
        <w:rPr>
          <w:rFonts w:ascii="Arial" w:hAnsi="Arial" w:cs="Arial"/>
          <w:color w:val="000000"/>
          <w:sz w:val="24"/>
          <w:szCs w:val="24"/>
        </w:rPr>
        <w:t>1.4</w:t>
      </w:r>
      <w:r w:rsidR="00A448C4">
        <w:rPr>
          <w:rFonts w:ascii="Arial" w:hAnsi="Arial" w:cs="Arial"/>
          <w:color w:val="000000"/>
          <w:sz w:val="24"/>
          <w:szCs w:val="24"/>
        </w:rPr>
        <w:t xml:space="preserve"> </w:t>
      </w:r>
      <w:r w:rsidRPr="00285BF4">
        <w:rPr>
          <w:rFonts w:ascii="Arial" w:hAnsi="Arial" w:cs="Arial"/>
          <w:color w:val="000000"/>
          <w:sz w:val="24"/>
          <w:szCs w:val="24"/>
        </w:rPr>
        <w:t>%</w:t>
      </w:r>
      <w:r w:rsidR="002D2DB7">
        <w:rPr>
          <w:rFonts w:ascii="Arial" w:hAnsi="Arial" w:cs="Arial"/>
          <w:color w:val="000000"/>
          <w:sz w:val="24"/>
          <w:szCs w:val="24"/>
        </w:rPr>
        <w:t>,</w:t>
      </w:r>
      <w:r w:rsidRPr="00285BF4">
        <w:rPr>
          <w:rFonts w:ascii="Arial" w:hAnsi="Arial" w:cs="Arial"/>
          <w:color w:val="000000"/>
          <w:sz w:val="24"/>
          <w:szCs w:val="24"/>
        </w:rPr>
        <w:t xml:space="preserve"> en los resueltos.</w:t>
      </w:r>
    </w:p>
    <w:p w14:paraId="42333D71" w14:textId="27C2DEED" w:rsidR="001D1100" w:rsidRDefault="001D1100" w:rsidP="001512AD">
      <w:pPr>
        <w:pStyle w:val="Default"/>
        <w:spacing w:after="10"/>
        <w:ind w:right="284"/>
        <w:rPr>
          <w:bCs/>
          <w:iCs/>
          <w:color w:val="000000" w:themeColor="text1"/>
          <w:sz w:val="20"/>
          <w:szCs w:val="20"/>
        </w:rPr>
      </w:pPr>
    </w:p>
    <w:p w14:paraId="0C4CC373" w14:textId="32E41763" w:rsidR="00B54CD1" w:rsidRPr="00DE7C9F" w:rsidRDefault="00B54CD1" w:rsidP="00B54CD1">
      <w:pPr>
        <w:pStyle w:val="Default"/>
        <w:spacing w:after="10"/>
        <w:ind w:right="284"/>
        <w:jc w:val="center"/>
        <w:rPr>
          <w:bCs/>
          <w:iCs/>
          <w:color w:val="000000" w:themeColor="text1"/>
          <w:sz w:val="20"/>
          <w:szCs w:val="20"/>
        </w:rPr>
      </w:pPr>
      <w:r w:rsidRPr="00DE7C9F">
        <w:rPr>
          <w:bCs/>
          <w:iCs/>
          <w:color w:val="000000" w:themeColor="text1"/>
          <w:sz w:val="20"/>
          <w:szCs w:val="20"/>
        </w:rPr>
        <w:lastRenderedPageBreak/>
        <w:t xml:space="preserve">Gráfica </w:t>
      </w:r>
      <w:r w:rsidR="0077270A">
        <w:rPr>
          <w:bCs/>
          <w:iCs/>
          <w:color w:val="000000" w:themeColor="text1"/>
          <w:sz w:val="20"/>
          <w:szCs w:val="20"/>
        </w:rPr>
        <w:t>10</w:t>
      </w:r>
    </w:p>
    <w:p w14:paraId="420A310E" w14:textId="77777777" w:rsidR="0077270A" w:rsidRDefault="007A328C" w:rsidP="007A328C">
      <w:pPr>
        <w:tabs>
          <w:tab w:val="left" w:pos="5460"/>
        </w:tabs>
        <w:spacing w:after="0"/>
        <w:jc w:val="center"/>
        <w:rPr>
          <w:rFonts w:ascii="Arial" w:hAnsi="Arial" w:cs="Arial"/>
          <w:b/>
          <w:bCs/>
          <w:iCs/>
          <w:smallCaps/>
          <w:color w:val="000000" w:themeColor="text1"/>
        </w:rPr>
      </w:pPr>
      <w:r w:rsidRPr="007A328C">
        <w:rPr>
          <w:rFonts w:ascii="Arial" w:hAnsi="Arial" w:cs="Arial"/>
          <w:b/>
          <w:bCs/>
          <w:iCs/>
          <w:smallCaps/>
          <w:color w:val="000000" w:themeColor="text1"/>
        </w:rPr>
        <w:t>Asuntos jurisdiccionales conocidos por el Tribunal Electoral del Poder Judicial de la Federación, por medio de impugnación</w:t>
      </w:r>
      <w:r>
        <w:rPr>
          <w:rFonts w:ascii="Arial" w:hAnsi="Arial" w:cs="Arial"/>
          <w:b/>
          <w:bCs/>
          <w:iCs/>
          <w:smallCaps/>
          <w:color w:val="000000" w:themeColor="text1"/>
        </w:rPr>
        <w:t>,</w:t>
      </w:r>
      <w:r w:rsidRPr="007A328C">
        <w:rPr>
          <w:rFonts w:ascii="Arial" w:hAnsi="Arial" w:cs="Arial"/>
          <w:b/>
          <w:bCs/>
          <w:iCs/>
          <w:smallCaps/>
          <w:color w:val="000000" w:themeColor="text1"/>
        </w:rPr>
        <w:t xml:space="preserve"> según</w:t>
      </w:r>
      <w:r>
        <w:rPr>
          <w:rFonts w:ascii="Arial" w:hAnsi="Arial" w:cs="Arial"/>
          <w:b/>
          <w:bCs/>
          <w:iCs/>
          <w:smallCaps/>
          <w:color w:val="000000" w:themeColor="text1"/>
        </w:rPr>
        <w:t xml:space="preserve"> </w:t>
      </w:r>
      <w:r w:rsidRPr="007A328C">
        <w:rPr>
          <w:rFonts w:ascii="Arial" w:hAnsi="Arial" w:cs="Arial"/>
          <w:b/>
          <w:bCs/>
          <w:iCs/>
          <w:smallCaps/>
          <w:color w:val="000000" w:themeColor="text1"/>
        </w:rPr>
        <w:t>estatus</w:t>
      </w:r>
    </w:p>
    <w:p w14:paraId="1C08AFF8" w14:textId="77777777" w:rsidR="0077270A" w:rsidRDefault="0077270A" w:rsidP="0077270A">
      <w:pPr>
        <w:pStyle w:val="Default"/>
        <w:jc w:val="center"/>
        <w:rPr>
          <w:b/>
          <w:bCs/>
          <w:iCs/>
          <w:smallCaps/>
          <w:color w:val="000000" w:themeColor="text1"/>
          <w:sz w:val="22"/>
          <w:szCs w:val="22"/>
        </w:rPr>
      </w:pPr>
      <w:r w:rsidRPr="008C06D5">
        <w:rPr>
          <w:bCs/>
          <w:iCs/>
          <w:smallCaps/>
          <w:color w:val="000000" w:themeColor="text1"/>
          <w:sz w:val="18"/>
          <w:szCs w:val="18"/>
        </w:rPr>
        <w:t>2021</w:t>
      </w:r>
    </w:p>
    <w:p w14:paraId="2515C177" w14:textId="380C118D" w:rsidR="00D055E9" w:rsidRPr="00035BF0" w:rsidRDefault="00D055E9" w:rsidP="007A328C">
      <w:pPr>
        <w:tabs>
          <w:tab w:val="left" w:pos="5460"/>
        </w:tabs>
        <w:spacing w:after="0"/>
        <w:jc w:val="center"/>
        <w:rPr>
          <w:rFonts w:ascii="Arial" w:hAnsi="Arial" w:cs="Arial"/>
          <w:color w:val="000000"/>
          <w:sz w:val="24"/>
          <w:szCs w:val="24"/>
        </w:rPr>
      </w:pPr>
      <w:r>
        <w:rPr>
          <w:noProof/>
        </w:rPr>
        <w:drawing>
          <wp:inline distT="0" distB="0" distL="0" distR="0" wp14:anchorId="2F95A3CB" wp14:editId="51C2CB12">
            <wp:extent cx="6922770" cy="4073236"/>
            <wp:effectExtent l="0" t="0" r="0" b="3810"/>
            <wp:docPr id="30" name="Gráfico 30">
              <a:extLst xmlns:a="http://schemas.openxmlformats.org/drawingml/2006/main">
                <a:ext uri="{FF2B5EF4-FFF2-40B4-BE49-F238E27FC236}">
                  <a16:creationId xmlns:a16="http://schemas.microsoft.com/office/drawing/2014/main" id="{C83C3639-406C-3926-3D1D-5D5BC09F3B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0FB2C7" w14:textId="144A517D" w:rsidR="00035BF0" w:rsidRDefault="00035BF0" w:rsidP="00B12C7F">
      <w:pPr>
        <w:tabs>
          <w:tab w:val="left" w:pos="5460"/>
        </w:tabs>
        <w:spacing w:after="0"/>
        <w:jc w:val="both"/>
        <w:rPr>
          <w:rFonts w:ascii="Arial Negrita" w:hAnsi="Arial Negrita" w:cs="Arial"/>
          <w:b/>
          <w:bCs/>
          <w:smallCaps/>
          <w:sz w:val="24"/>
          <w:szCs w:val="24"/>
        </w:rPr>
      </w:pPr>
    </w:p>
    <w:p w14:paraId="0AF5F7F9" w14:textId="7B7BD079" w:rsidR="009432B7" w:rsidRDefault="009432B7" w:rsidP="00753BE4">
      <w:pPr>
        <w:tabs>
          <w:tab w:val="left" w:pos="5460"/>
        </w:tabs>
        <w:spacing w:after="0"/>
        <w:jc w:val="both"/>
        <w:rPr>
          <w:rFonts w:ascii="Arial" w:hAnsi="Arial" w:cs="Arial"/>
          <w:color w:val="000000"/>
          <w:sz w:val="24"/>
          <w:szCs w:val="24"/>
        </w:rPr>
      </w:pPr>
      <w:r w:rsidRPr="009432B7">
        <w:rPr>
          <w:rFonts w:ascii="Arial" w:hAnsi="Arial" w:cs="Arial"/>
          <w:color w:val="000000"/>
          <w:sz w:val="24"/>
          <w:szCs w:val="24"/>
        </w:rPr>
        <w:t>En 202</w:t>
      </w:r>
      <w:r>
        <w:rPr>
          <w:rFonts w:ascii="Arial" w:hAnsi="Arial" w:cs="Arial"/>
          <w:color w:val="000000"/>
          <w:sz w:val="24"/>
          <w:szCs w:val="24"/>
        </w:rPr>
        <w:t>1</w:t>
      </w:r>
      <w:r w:rsidRPr="009432B7">
        <w:rPr>
          <w:rFonts w:ascii="Arial" w:hAnsi="Arial" w:cs="Arial"/>
          <w:color w:val="000000"/>
          <w:sz w:val="24"/>
          <w:szCs w:val="24"/>
        </w:rPr>
        <w:t>, el</w:t>
      </w:r>
      <w:r>
        <w:rPr>
          <w:rFonts w:ascii="Arial" w:hAnsi="Arial" w:cs="Arial"/>
          <w:color w:val="000000"/>
          <w:sz w:val="24"/>
          <w:szCs w:val="24"/>
        </w:rPr>
        <w:t xml:space="preserve"> </w:t>
      </w:r>
      <w:r w:rsidRPr="009432B7">
        <w:rPr>
          <w:rFonts w:ascii="Arial" w:hAnsi="Arial" w:cs="Arial"/>
          <w:i/>
          <w:iCs/>
          <w:color w:val="000000"/>
          <w:sz w:val="24"/>
          <w:szCs w:val="24"/>
        </w:rPr>
        <w:t>Juicio para la protección de los derechos político-electorales del ciudadano</w:t>
      </w:r>
      <w:r w:rsidR="007D0F9F">
        <w:rPr>
          <w:rFonts w:ascii="Arial" w:hAnsi="Arial" w:cs="Arial"/>
          <w:i/>
          <w:iCs/>
          <w:color w:val="000000"/>
          <w:sz w:val="24"/>
          <w:szCs w:val="24"/>
        </w:rPr>
        <w:t xml:space="preserve"> </w:t>
      </w:r>
      <w:r w:rsidR="00753BE4">
        <w:rPr>
          <w:rFonts w:ascii="Arial" w:hAnsi="Arial" w:cs="Arial"/>
          <w:i/>
          <w:iCs/>
          <w:color w:val="000000"/>
          <w:sz w:val="24"/>
          <w:szCs w:val="24"/>
        </w:rPr>
        <w:t xml:space="preserve">                     </w:t>
      </w:r>
      <w:r w:rsidR="007D0F9F">
        <w:rPr>
          <w:rFonts w:ascii="Arial" w:hAnsi="Arial" w:cs="Arial"/>
          <w:color w:val="000000"/>
          <w:sz w:val="24"/>
          <w:szCs w:val="24"/>
        </w:rPr>
        <w:t xml:space="preserve">—procedimiento </w:t>
      </w:r>
      <w:r w:rsidRPr="009432B7">
        <w:rPr>
          <w:rFonts w:ascii="Arial" w:hAnsi="Arial" w:cs="Arial"/>
          <w:color w:val="000000"/>
          <w:sz w:val="24"/>
          <w:szCs w:val="24"/>
        </w:rPr>
        <w:t>de mayor frecuencia</w:t>
      </w:r>
      <w:r w:rsidR="007D0F9F">
        <w:rPr>
          <w:rFonts w:ascii="Arial" w:hAnsi="Arial" w:cs="Arial"/>
          <w:color w:val="000000"/>
          <w:sz w:val="24"/>
          <w:szCs w:val="24"/>
        </w:rPr>
        <w:t>—</w:t>
      </w:r>
      <w:r w:rsidR="00D306BB">
        <w:rPr>
          <w:rFonts w:ascii="Arial" w:hAnsi="Arial" w:cs="Arial"/>
          <w:color w:val="000000"/>
          <w:sz w:val="24"/>
          <w:szCs w:val="24"/>
        </w:rPr>
        <w:t xml:space="preserve"> </w:t>
      </w:r>
      <w:r w:rsidR="007D0F9F">
        <w:rPr>
          <w:rFonts w:ascii="Arial" w:hAnsi="Arial" w:cs="Arial"/>
          <w:color w:val="000000"/>
          <w:sz w:val="24"/>
          <w:szCs w:val="24"/>
        </w:rPr>
        <w:t xml:space="preserve">presentó </w:t>
      </w:r>
      <w:r w:rsidRPr="009432B7">
        <w:rPr>
          <w:rFonts w:ascii="Arial" w:hAnsi="Arial" w:cs="Arial"/>
          <w:color w:val="000000"/>
          <w:sz w:val="24"/>
          <w:szCs w:val="24"/>
        </w:rPr>
        <w:t>un porcentaje de resolución de</w:t>
      </w:r>
      <w:r>
        <w:rPr>
          <w:rFonts w:ascii="Arial" w:hAnsi="Arial" w:cs="Arial"/>
          <w:color w:val="000000"/>
          <w:sz w:val="24"/>
          <w:szCs w:val="24"/>
        </w:rPr>
        <w:t xml:space="preserve"> </w:t>
      </w:r>
      <w:r w:rsidR="00494AC3">
        <w:rPr>
          <w:rFonts w:ascii="Arial" w:hAnsi="Arial" w:cs="Arial"/>
          <w:color w:val="000000"/>
          <w:sz w:val="24"/>
          <w:szCs w:val="24"/>
        </w:rPr>
        <w:t>99.2</w:t>
      </w:r>
      <w:r w:rsidR="007D0F9F">
        <w:rPr>
          <w:rFonts w:ascii="Arial" w:hAnsi="Arial" w:cs="Arial"/>
          <w:color w:val="000000"/>
          <w:sz w:val="24"/>
          <w:szCs w:val="24"/>
        </w:rPr>
        <w:t xml:space="preserve"> %</w:t>
      </w:r>
      <w:r w:rsidRPr="009432B7">
        <w:rPr>
          <w:rFonts w:ascii="Arial" w:hAnsi="Arial" w:cs="Arial"/>
          <w:color w:val="000000"/>
          <w:sz w:val="24"/>
          <w:szCs w:val="24"/>
        </w:rPr>
        <w:t>, lo que representó un</w:t>
      </w:r>
      <w:r w:rsidR="00494AC3">
        <w:rPr>
          <w:rFonts w:ascii="Arial" w:hAnsi="Arial" w:cs="Arial"/>
          <w:color w:val="000000"/>
          <w:sz w:val="24"/>
          <w:szCs w:val="24"/>
        </w:rPr>
        <w:t>a disminución</w:t>
      </w:r>
      <w:r w:rsidRPr="009432B7">
        <w:rPr>
          <w:rFonts w:ascii="Arial" w:hAnsi="Arial" w:cs="Arial"/>
          <w:color w:val="000000"/>
          <w:sz w:val="24"/>
          <w:szCs w:val="24"/>
        </w:rPr>
        <w:t xml:space="preserve"> de </w:t>
      </w:r>
      <w:r w:rsidR="00494AC3">
        <w:rPr>
          <w:rFonts w:ascii="Arial" w:hAnsi="Arial" w:cs="Arial"/>
          <w:color w:val="000000"/>
          <w:sz w:val="24"/>
          <w:szCs w:val="24"/>
        </w:rPr>
        <w:t>2.8</w:t>
      </w:r>
      <w:r w:rsidR="00A448C4">
        <w:rPr>
          <w:rFonts w:ascii="Arial" w:hAnsi="Arial" w:cs="Arial"/>
          <w:color w:val="000000"/>
          <w:sz w:val="24"/>
          <w:szCs w:val="24"/>
        </w:rPr>
        <w:t xml:space="preserve"> </w:t>
      </w:r>
      <w:r w:rsidR="00494AC3">
        <w:rPr>
          <w:rFonts w:ascii="Arial" w:hAnsi="Arial" w:cs="Arial"/>
          <w:color w:val="000000"/>
          <w:sz w:val="24"/>
          <w:szCs w:val="24"/>
        </w:rPr>
        <w:t xml:space="preserve">% </w:t>
      </w:r>
      <w:r w:rsidRPr="009432B7">
        <w:rPr>
          <w:rFonts w:ascii="Arial" w:hAnsi="Arial" w:cs="Arial"/>
          <w:color w:val="000000"/>
          <w:sz w:val="24"/>
          <w:szCs w:val="24"/>
        </w:rPr>
        <w:t>con respecto a 20</w:t>
      </w:r>
      <w:r w:rsidR="009F4C30">
        <w:rPr>
          <w:rFonts w:ascii="Arial" w:hAnsi="Arial" w:cs="Arial"/>
          <w:color w:val="000000"/>
          <w:sz w:val="24"/>
          <w:szCs w:val="24"/>
        </w:rPr>
        <w:t>2</w:t>
      </w:r>
      <w:r w:rsidR="00DB6B79">
        <w:rPr>
          <w:rFonts w:ascii="Arial" w:hAnsi="Arial" w:cs="Arial"/>
          <w:color w:val="000000"/>
          <w:sz w:val="24"/>
          <w:szCs w:val="24"/>
        </w:rPr>
        <w:t>0</w:t>
      </w:r>
      <w:r w:rsidRPr="009432B7">
        <w:rPr>
          <w:rFonts w:ascii="Arial" w:hAnsi="Arial" w:cs="Arial"/>
          <w:color w:val="000000"/>
          <w:sz w:val="24"/>
          <w:szCs w:val="24"/>
        </w:rPr>
        <w:t xml:space="preserve">. </w:t>
      </w:r>
    </w:p>
    <w:p w14:paraId="13593222" w14:textId="5FE5057C" w:rsidR="00494AC3" w:rsidRDefault="00494AC3" w:rsidP="009432B7">
      <w:pPr>
        <w:tabs>
          <w:tab w:val="left" w:pos="5460"/>
        </w:tabs>
        <w:spacing w:after="0"/>
        <w:jc w:val="both"/>
        <w:rPr>
          <w:rFonts w:ascii="Arial" w:hAnsi="Arial" w:cs="Arial"/>
          <w:color w:val="000000"/>
          <w:sz w:val="24"/>
          <w:szCs w:val="24"/>
        </w:rPr>
      </w:pPr>
    </w:p>
    <w:p w14:paraId="3EBF877A" w14:textId="491E0A12" w:rsidR="00494AC3" w:rsidRPr="00DE7C9F" w:rsidRDefault="00494AC3" w:rsidP="00494AC3">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11</w:t>
      </w:r>
    </w:p>
    <w:p w14:paraId="12C468E8" w14:textId="5A0D5A5F" w:rsidR="00DB6B79" w:rsidRPr="00DB6B79" w:rsidRDefault="00DB6B79" w:rsidP="00DB6B79">
      <w:pPr>
        <w:tabs>
          <w:tab w:val="left" w:pos="5460"/>
        </w:tabs>
        <w:spacing w:after="0"/>
        <w:jc w:val="center"/>
        <w:rPr>
          <w:rFonts w:ascii="Arial" w:hAnsi="Arial" w:cs="Arial"/>
          <w:b/>
          <w:bCs/>
          <w:iCs/>
          <w:smallCaps/>
          <w:color w:val="000000" w:themeColor="text1"/>
        </w:rPr>
      </w:pPr>
      <w:r>
        <w:rPr>
          <w:rFonts w:ascii="Arial" w:hAnsi="Arial" w:cs="Arial"/>
          <w:b/>
          <w:bCs/>
          <w:iCs/>
          <w:smallCaps/>
          <w:color w:val="000000" w:themeColor="text1"/>
        </w:rPr>
        <w:t>R</w:t>
      </w:r>
      <w:r w:rsidRPr="00DB6B79">
        <w:rPr>
          <w:rFonts w:ascii="Arial" w:hAnsi="Arial" w:cs="Arial"/>
          <w:b/>
          <w:bCs/>
          <w:iCs/>
          <w:smallCaps/>
          <w:color w:val="000000" w:themeColor="text1"/>
        </w:rPr>
        <w:t xml:space="preserve">esolución de </w:t>
      </w:r>
      <w:r>
        <w:rPr>
          <w:rFonts w:ascii="Arial" w:hAnsi="Arial" w:cs="Arial"/>
          <w:b/>
          <w:bCs/>
          <w:iCs/>
          <w:smallCaps/>
          <w:color w:val="000000" w:themeColor="text1"/>
        </w:rPr>
        <w:t>j</w:t>
      </w:r>
      <w:r w:rsidRPr="00DB6B79">
        <w:rPr>
          <w:rFonts w:ascii="Arial" w:hAnsi="Arial" w:cs="Arial"/>
          <w:b/>
          <w:bCs/>
          <w:iCs/>
          <w:smallCaps/>
          <w:color w:val="000000" w:themeColor="text1"/>
        </w:rPr>
        <w:t>uicios para la protección de los derechos político-electorales del</w:t>
      </w:r>
    </w:p>
    <w:p w14:paraId="3ACD81D4" w14:textId="28DA79F0" w:rsidR="00494AC3" w:rsidRDefault="00DB6B79" w:rsidP="00DB6B79">
      <w:pPr>
        <w:tabs>
          <w:tab w:val="left" w:pos="5460"/>
        </w:tabs>
        <w:spacing w:after="0"/>
        <w:jc w:val="center"/>
        <w:rPr>
          <w:rFonts w:ascii="Arial" w:hAnsi="Arial" w:cs="Arial"/>
          <w:b/>
          <w:bCs/>
          <w:iCs/>
          <w:smallCaps/>
          <w:color w:val="000000" w:themeColor="text1"/>
        </w:rPr>
      </w:pPr>
      <w:r w:rsidRPr="00DB6B79">
        <w:rPr>
          <w:rFonts w:ascii="Arial" w:hAnsi="Arial" w:cs="Arial"/>
          <w:b/>
          <w:bCs/>
          <w:iCs/>
          <w:smallCaps/>
          <w:color w:val="000000" w:themeColor="text1"/>
        </w:rPr>
        <w:t xml:space="preserve">ciudadano </w:t>
      </w:r>
    </w:p>
    <w:p w14:paraId="6084C008" w14:textId="77777777" w:rsidR="00FB2831" w:rsidRDefault="00FB2831" w:rsidP="00DB6B79">
      <w:pPr>
        <w:tabs>
          <w:tab w:val="left" w:pos="5460"/>
        </w:tabs>
        <w:spacing w:after="0"/>
        <w:jc w:val="center"/>
        <w:rPr>
          <w:rFonts w:ascii="Arial" w:hAnsi="Arial" w:cs="Arial"/>
          <w:color w:val="000000"/>
          <w:sz w:val="24"/>
          <w:szCs w:val="24"/>
        </w:rPr>
      </w:pPr>
    </w:p>
    <w:p w14:paraId="3C40544D" w14:textId="02E9F516" w:rsidR="00494AC3" w:rsidRDefault="00494AC3" w:rsidP="009432B7">
      <w:pPr>
        <w:tabs>
          <w:tab w:val="left" w:pos="5460"/>
        </w:tabs>
        <w:spacing w:after="0"/>
        <w:jc w:val="both"/>
        <w:rPr>
          <w:rFonts w:ascii="Arial" w:hAnsi="Arial" w:cs="Arial"/>
          <w:color w:val="000000"/>
          <w:sz w:val="24"/>
          <w:szCs w:val="24"/>
        </w:rPr>
      </w:pPr>
      <w:r>
        <w:rPr>
          <w:noProof/>
        </w:rPr>
        <w:drawing>
          <wp:inline distT="0" distB="0" distL="0" distR="0" wp14:anchorId="338D38C5" wp14:editId="35E7CC98">
            <wp:extent cx="6442364" cy="1543792"/>
            <wp:effectExtent l="0" t="0" r="0" b="0"/>
            <wp:docPr id="31" name="Gráfico 31">
              <a:extLst xmlns:a="http://schemas.openxmlformats.org/drawingml/2006/main">
                <a:ext uri="{FF2B5EF4-FFF2-40B4-BE49-F238E27FC236}">
                  <a16:creationId xmlns:a16="http://schemas.microsoft.com/office/drawing/2014/main" id="{923B9C8B-7DEB-559E-01D6-D5D0F4B75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6C10F3" w14:textId="55B8B75A" w:rsidR="00DB6B79" w:rsidRDefault="00DB6B79" w:rsidP="009432B7">
      <w:pPr>
        <w:tabs>
          <w:tab w:val="left" w:pos="5460"/>
        </w:tabs>
        <w:spacing w:after="0"/>
        <w:jc w:val="both"/>
        <w:rPr>
          <w:rFonts w:ascii="Arial" w:hAnsi="Arial" w:cs="Arial"/>
          <w:sz w:val="16"/>
          <w:szCs w:val="16"/>
        </w:rPr>
      </w:pPr>
      <w:r w:rsidRPr="00DB6B79">
        <w:rPr>
          <w:rFonts w:ascii="Arial" w:hAnsi="Arial" w:cs="Arial"/>
          <w:sz w:val="16"/>
          <w:szCs w:val="16"/>
        </w:rPr>
        <w:t xml:space="preserve">Nota: </w:t>
      </w:r>
      <w:r w:rsidR="007D0F9F">
        <w:rPr>
          <w:rFonts w:ascii="Arial" w:hAnsi="Arial" w:cs="Arial"/>
          <w:sz w:val="16"/>
          <w:szCs w:val="16"/>
        </w:rPr>
        <w:t>El</w:t>
      </w:r>
      <w:r w:rsidRPr="00DB6B79">
        <w:rPr>
          <w:rFonts w:ascii="Arial" w:hAnsi="Arial" w:cs="Arial"/>
          <w:sz w:val="16"/>
          <w:szCs w:val="16"/>
        </w:rPr>
        <w:t xml:space="preserve"> porcentaje de resolución se obtiene de la división de los asuntos resueltos entre los asuntos ingresados durante el año de referencia. Las cifras pueden ser mayores a 100 </w:t>
      </w:r>
      <w:r w:rsidR="00A448C4">
        <w:rPr>
          <w:rFonts w:ascii="Arial" w:hAnsi="Arial" w:cs="Arial"/>
          <w:sz w:val="16"/>
          <w:szCs w:val="16"/>
        </w:rPr>
        <w:t>%</w:t>
      </w:r>
      <w:r w:rsidRPr="00DB6B79">
        <w:rPr>
          <w:rFonts w:ascii="Arial" w:hAnsi="Arial" w:cs="Arial"/>
          <w:sz w:val="16"/>
          <w:szCs w:val="16"/>
        </w:rPr>
        <w:t xml:space="preserve"> debido a que se resolvieron asuntos ingresados en años anteriores.</w:t>
      </w:r>
    </w:p>
    <w:p w14:paraId="2E729D07" w14:textId="77777777" w:rsidR="00A448C4" w:rsidRDefault="00A448C4" w:rsidP="00FB2831">
      <w:pPr>
        <w:tabs>
          <w:tab w:val="left" w:pos="5460"/>
        </w:tabs>
        <w:spacing w:after="0"/>
        <w:jc w:val="both"/>
        <w:rPr>
          <w:rFonts w:ascii="Arial" w:hAnsi="Arial" w:cs="Arial"/>
          <w:color w:val="000000"/>
          <w:sz w:val="24"/>
          <w:szCs w:val="24"/>
        </w:rPr>
      </w:pPr>
    </w:p>
    <w:p w14:paraId="34C0A261" w14:textId="0D5E3AC1" w:rsidR="00FB2831" w:rsidRDefault="007D0F9F" w:rsidP="00753BE4">
      <w:pPr>
        <w:tabs>
          <w:tab w:val="left" w:pos="5387"/>
        </w:tabs>
        <w:spacing w:after="0"/>
        <w:ind w:right="21"/>
        <w:jc w:val="both"/>
        <w:rPr>
          <w:rFonts w:ascii="Arial" w:hAnsi="Arial" w:cs="Arial"/>
          <w:color w:val="000000"/>
          <w:sz w:val="24"/>
          <w:szCs w:val="24"/>
        </w:rPr>
      </w:pPr>
      <w:r>
        <w:rPr>
          <w:rFonts w:ascii="Arial" w:hAnsi="Arial" w:cs="Arial"/>
          <w:color w:val="000000"/>
          <w:sz w:val="24"/>
          <w:szCs w:val="24"/>
        </w:rPr>
        <w:t>E</w:t>
      </w:r>
      <w:r w:rsidR="00FB2831" w:rsidRPr="00FB2831">
        <w:rPr>
          <w:rFonts w:ascii="Arial" w:hAnsi="Arial" w:cs="Arial"/>
          <w:color w:val="000000"/>
          <w:sz w:val="24"/>
          <w:szCs w:val="24"/>
        </w:rPr>
        <w:t xml:space="preserve">l </w:t>
      </w:r>
      <w:r w:rsidR="00FB2831" w:rsidRPr="000E0A39">
        <w:rPr>
          <w:rFonts w:ascii="Arial" w:hAnsi="Arial" w:cs="Arial"/>
          <w:i/>
          <w:iCs/>
          <w:color w:val="000000"/>
          <w:sz w:val="24"/>
          <w:szCs w:val="24"/>
        </w:rPr>
        <w:t>Juicio de revisión constitucional electoral</w:t>
      </w:r>
      <w:r w:rsidR="00FB2831" w:rsidRPr="00FB2831">
        <w:rPr>
          <w:rFonts w:ascii="Arial" w:hAnsi="Arial" w:cs="Arial"/>
          <w:color w:val="000000"/>
          <w:sz w:val="24"/>
          <w:szCs w:val="24"/>
        </w:rPr>
        <w:t xml:space="preserve"> presentó un porcentaje de resolución</w:t>
      </w:r>
      <w:r w:rsidR="00753BE4">
        <w:rPr>
          <w:rFonts w:ascii="Arial" w:hAnsi="Arial" w:cs="Arial"/>
          <w:color w:val="000000"/>
          <w:sz w:val="24"/>
          <w:szCs w:val="24"/>
        </w:rPr>
        <w:t xml:space="preserve"> </w:t>
      </w:r>
      <w:r w:rsidR="00FB2831" w:rsidRPr="00FB2831">
        <w:rPr>
          <w:rFonts w:ascii="Arial" w:hAnsi="Arial" w:cs="Arial"/>
          <w:color w:val="000000"/>
          <w:sz w:val="24"/>
          <w:szCs w:val="24"/>
        </w:rPr>
        <w:t>de 9</w:t>
      </w:r>
      <w:r w:rsidR="000E0A39">
        <w:rPr>
          <w:rFonts w:ascii="Arial" w:hAnsi="Arial" w:cs="Arial"/>
          <w:color w:val="000000"/>
          <w:sz w:val="24"/>
          <w:szCs w:val="24"/>
        </w:rPr>
        <w:t>9.7</w:t>
      </w:r>
      <w:r w:rsidR="00A448C4">
        <w:rPr>
          <w:rFonts w:ascii="Arial" w:hAnsi="Arial" w:cs="Arial"/>
          <w:color w:val="000000"/>
          <w:sz w:val="24"/>
          <w:szCs w:val="24"/>
        </w:rPr>
        <w:t xml:space="preserve"> </w:t>
      </w:r>
      <w:r w:rsidR="00FB2831" w:rsidRPr="00FB2831">
        <w:rPr>
          <w:rFonts w:ascii="Arial" w:hAnsi="Arial" w:cs="Arial"/>
          <w:color w:val="000000"/>
          <w:sz w:val="24"/>
          <w:szCs w:val="24"/>
        </w:rPr>
        <w:t>% en 202</w:t>
      </w:r>
      <w:r w:rsidR="000E0A39">
        <w:rPr>
          <w:rFonts w:ascii="Arial" w:hAnsi="Arial" w:cs="Arial"/>
          <w:color w:val="000000"/>
          <w:sz w:val="24"/>
          <w:szCs w:val="24"/>
        </w:rPr>
        <w:t>1</w:t>
      </w:r>
      <w:r w:rsidR="00FB2831" w:rsidRPr="00FB2831">
        <w:rPr>
          <w:rFonts w:ascii="Arial" w:hAnsi="Arial" w:cs="Arial"/>
          <w:color w:val="000000"/>
          <w:sz w:val="24"/>
          <w:szCs w:val="24"/>
        </w:rPr>
        <w:t>, lo que representó</w:t>
      </w:r>
      <w:r w:rsidR="000E0A39">
        <w:rPr>
          <w:rFonts w:ascii="Arial" w:hAnsi="Arial" w:cs="Arial"/>
          <w:color w:val="000000"/>
          <w:sz w:val="24"/>
          <w:szCs w:val="24"/>
        </w:rPr>
        <w:t xml:space="preserve"> un</w:t>
      </w:r>
      <w:r w:rsidR="00A71B89">
        <w:rPr>
          <w:rFonts w:ascii="Arial" w:hAnsi="Arial" w:cs="Arial"/>
          <w:color w:val="000000"/>
          <w:sz w:val="24"/>
          <w:szCs w:val="24"/>
        </w:rPr>
        <w:t xml:space="preserve"> aumento</w:t>
      </w:r>
      <w:r w:rsidR="000E0A39">
        <w:rPr>
          <w:rFonts w:ascii="Arial" w:hAnsi="Arial" w:cs="Arial"/>
          <w:color w:val="000000"/>
          <w:sz w:val="24"/>
          <w:szCs w:val="24"/>
        </w:rPr>
        <w:t xml:space="preserve"> de</w:t>
      </w:r>
      <w:r w:rsidR="00FB2831" w:rsidRPr="00FB2831">
        <w:rPr>
          <w:rFonts w:ascii="Arial" w:hAnsi="Arial" w:cs="Arial"/>
          <w:color w:val="000000"/>
          <w:sz w:val="24"/>
          <w:szCs w:val="24"/>
        </w:rPr>
        <w:t xml:space="preserve"> 5.</w:t>
      </w:r>
      <w:r w:rsidR="000E0A39">
        <w:rPr>
          <w:rFonts w:ascii="Arial" w:hAnsi="Arial" w:cs="Arial"/>
          <w:color w:val="000000"/>
          <w:sz w:val="24"/>
          <w:szCs w:val="24"/>
        </w:rPr>
        <w:t>3</w:t>
      </w:r>
      <w:r w:rsidR="00A448C4">
        <w:rPr>
          <w:rFonts w:ascii="Arial" w:hAnsi="Arial" w:cs="Arial"/>
          <w:color w:val="000000"/>
          <w:sz w:val="24"/>
          <w:szCs w:val="24"/>
        </w:rPr>
        <w:t xml:space="preserve"> </w:t>
      </w:r>
      <w:r w:rsidR="00FB2831" w:rsidRPr="00FB2831">
        <w:rPr>
          <w:rFonts w:ascii="Arial" w:hAnsi="Arial" w:cs="Arial"/>
          <w:color w:val="000000"/>
          <w:sz w:val="24"/>
          <w:szCs w:val="24"/>
        </w:rPr>
        <w:t xml:space="preserve">% </w:t>
      </w:r>
      <w:r w:rsidR="000E0A39">
        <w:rPr>
          <w:rFonts w:ascii="Arial" w:hAnsi="Arial" w:cs="Arial"/>
          <w:color w:val="000000"/>
          <w:sz w:val="24"/>
          <w:szCs w:val="24"/>
        </w:rPr>
        <w:t xml:space="preserve">respecto de 2020. </w:t>
      </w:r>
    </w:p>
    <w:p w14:paraId="56028B60" w14:textId="77777777" w:rsidR="00FB2831" w:rsidRDefault="00FB2831" w:rsidP="00FB2831">
      <w:pPr>
        <w:tabs>
          <w:tab w:val="left" w:pos="5460"/>
        </w:tabs>
        <w:spacing w:after="0"/>
        <w:jc w:val="both"/>
        <w:rPr>
          <w:rFonts w:ascii="Arial" w:hAnsi="Arial" w:cs="Arial"/>
          <w:color w:val="000000"/>
          <w:sz w:val="24"/>
          <w:szCs w:val="24"/>
        </w:rPr>
      </w:pPr>
    </w:p>
    <w:p w14:paraId="78D9E271" w14:textId="65D3DDB0" w:rsidR="00FB2831" w:rsidRPr="00DE7C9F" w:rsidRDefault="00FB2831" w:rsidP="00FB2831">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12</w:t>
      </w:r>
    </w:p>
    <w:p w14:paraId="405A7705" w14:textId="1FC4564E" w:rsidR="00FB2831" w:rsidRDefault="00FB2831" w:rsidP="00FB2831">
      <w:pPr>
        <w:tabs>
          <w:tab w:val="left" w:pos="5460"/>
        </w:tabs>
        <w:spacing w:after="0"/>
        <w:jc w:val="center"/>
        <w:rPr>
          <w:rFonts w:ascii="Arial" w:hAnsi="Arial" w:cs="Arial"/>
          <w:b/>
          <w:bCs/>
          <w:iCs/>
          <w:smallCaps/>
          <w:color w:val="000000" w:themeColor="text1"/>
        </w:rPr>
      </w:pPr>
      <w:r>
        <w:rPr>
          <w:rFonts w:ascii="Arial" w:hAnsi="Arial" w:cs="Arial"/>
          <w:b/>
          <w:bCs/>
          <w:iCs/>
          <w:smallCaps/>
          <w:color w:val="000000" w:themeColor="text1"/>
        </w:rPr>
        <w:t>R</w:t>
      </w:r>
      <w:r w:rsidRPr="00DB6B79">
        <w:rPr>
          <w:rFonts w:ascii="Arial" w:hAnsi="Arial" w:cs="Arial"/>
          <w:b/>
          <w:bCs/>
          <w:iCs/>
          <w:smallCaps/>
          <w:color w:val="000000" w:themeColor="text1"/>
        </w:rPr>
        <w:t xml:space="preserve">esolución de </w:t>
      </w:r>
      <w:r>
        <w:rPr>
          <w:rFonts w:ascii="Arial" w:hAnsi="Arial" w:cs="Arial"/>
          <w:b/>
          <w:bCs/>
          <w:iCs/>
          <w:smallCaps/>
          <w:color w:val="000000" w:themeColor="text1"/>
        </w:rPr>
        <w:t>j</w:t>
      </w:r>
      <w:r w:rsidRPr="00FB2831">
        <w:rPr>
          <w:rFonts w:ascii="Arial" w:hAnsi="Arial" w:cs="Arial"/>
          <w:b/>
          <w:bCs/>
          <w:iCs/>
          <w:smallCaps/>
          <w:color w:val="000000" w:themeColor="text1"/>
        </w:rPr>
        <w:t>uicios de revisión constitucional electoral</w:t>
      </w:r>
    </w:p>
    <w:p w14:paraId="4A2F9F90" w14:textId="77777777" w:rsidR="00E72DCB" w:rsidRDefault="00E72DCB" w:rsidP="00FB2831">
      <w:pPr>
        <w:tabs>
          <w:tab w:val="left" w:pos="5460"/>
        </w:tabs>
        <w:spacing w:after="0"/>
        <w:jc w:val="center"/>
        <w:rPr>
          <w:rFonts w:ascii="Arial" w:hAnsi="Arial" w:cs="Arial"/>
          <w:b/>
          <w:bCs/>
          <w:iCs/>
          <w:smallCaps/>
          <w:color w:val="000000" w:themeColor="text1"/>
        </w:rPr>
      </w:pPr>
    </w:p>
    <w:p w14:paraId="71ABFBBB" w14:textId="062A203B" w:rsidR="00E72DCB" w:rsidRDefault="00E72DCB" w:rsidP="00FB2831">
      <w:pPr>
        <w:tabs>
          <w:tab w:val="left" w:pos="5460"/>
        </w:tabs>
        <w:spacing w:after="0"/>
        <w:jc w:val="center"/>
        <w:rPr>
          <w:rFonts w:ascii="Arial" w:hAnsi="Arial" w:cs="Arial"/>
          <w:b/>
          <w:bCs/>
          <w:iCs/>
          <w:smallCaps/>
          <w:color w:val="000000" w:themeColor="text1"/>
        </w:rPr>
      </w:pPr>
      <w:r>
        <w:rPr>
          <w:noProof/>
        </w:rPr>
        <w:drawing>
          <wp:inline distT="0" distB="0" distL="0" distR="0" wp14:anchorId="65AA0657" wp14:editId="6AC194E1">
            <wp:extent cx="6404610" cy="1597660"/>
            <wp:effectExtent l="0" t="0" r="0" b="2540"/>
            <wp:docPr id="32" name="Gráfico 32">
              <a:extLst xmlns:a="http://schemas.openxmlformats.org/drawingml/2006/main">
                <a:ext uri="{FF2B5EF4-FFF2-40B4-BE49-F238E27FC236}">
                  <a16:creationId xmlns:a16="http://schemas.microsoft.com/office/drawing/2014/main" id="{4213B9D2-7842-3036-A976-8DCB8F738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4EE888" w14:textId="40652872" w:rsidR="00033791" w:rsidRPr="00DB6B79" w:rsidRDefault="00033791" w:rsidP="00033791">
      <w:pPr>
        <w:tabs>
          <w:tab w:val="left" w:pos="5460"/>
        </w:tabs>
        <w:spacing w:after="0"/>
        <w:jc w:val="both"/>
        <w:rPr>
          <w:rFonts w:ascii="Arial" w:hAnsi="Arial" w:cs="Arial"/>
          <w:color w:val="000000"/>
          <w:sz w:val="18"/>
          <w:szCs w:val="18"/>
        </w:rPr>
      </w:pPr>
      <w:r w:rsidRPr="00DB6B79">
        <w:rPr>
          <w:rFonts w:ascii="Arial" w:hAnsi="Arial" w:cs="Arial"/>
          <w:sz w:val="16"/>
          <w:szCs w:val="16"/>
        </w:rPr>
        <w:t xml:space="preserve">Nota: </w:t>
      </w:r>
      <w:r w:rsidR="007D0F9F">
        <w:rPr>
          <w:rFonts w:ascii="Arial" w:hAnsi="Arial" w:cs="Arial"/>
          <w:sz w:val="16"/>
          <w:szCs w:val="16"/>
        </w:rPr>
        <w:t>E</w:t>
      </w:r>
      <w:r w:rsidRPr="00DB6B79">
        <w:rPr>
          <w:rFonts w:ascii="Arial" w:hAnsi="Arial" w:cs="Arial"/>
          <w:sz w:val="16"/>
          <w:szCs w:val="16"/>
        </w:rPr>
        <w:t xml:space="preserve">l porcentaje de resolución se obtiene de la división de los asuntos resueltos entre los asuntos ingresados durante el año de referencia. Las cifras pueden ser mayores a 100 </w:t>
      </w:r>
      <w:r w:rsidR="00F23F1D">
        <w:rPr>
          <w:rFonts w:ascii="Arial" w:hAnsi="Arial" w:cs="Arial"/>
          <w:sz w:val="16"/>
          <w:szCs w:val="16"/>
        </w:rPr>
        <w:t>%</w:t>
      </w:r>
      <w:r w:rsidRPr="00DB6B79">
        <w:rPr>
          <w:rFonts w:ascii="Arial" w:hAnsi="Arial" w:cs="Arial"/>
          <w:sz w:val="16"/>
          <w:szCs w:val="16"/>
        </w:rPr>
        <w:t xml:space="preserve"> debido a que se resolvieron asuntos ingresados en años anteriores.</w:t>
      </w:r>
    </w:p>
    <w:p w14:paraId="0224F00C" w14:textId="77777777" w:rsidR="00035BF0" w:rsidRDefault="00035BF0" w:rsidP="00B12C7F">
      <w:pPr>
        <w:tabs>
          <w:tab w:val="left" w:pos="5460"/>
        </w:tabs>
        <w:spacing w:after="0"/>
        <w:jc w:val="both"/>
        <w:rPr>
          <w:rFonts w:ascii="Arial Negrita" w:hAnsi="Arial Negrita" w:cs="Arial"/>
          <w:b/>
          <w:bCs/>
          <w:smallCaps/>
          <w:sz w:val="24"/>
          <w:szCs w:val="24"/>
        </w:rPr>
      </w:pPr>
    </w:p>
    <w:p w14:paraId="353246E4" w14:textId="77777777" w:rsidR="00F23F1D" w:rsidRDefault="00F23F1D" w:rsidP="00BA306B">
      <w:pPr>
        <w:pStyle w:val="Prrafodelista"/>
        <w:tabs>
          <w:tab w:val="left" w:pos="5460"/>
        </w:tabs>
        <w:spacing w:after="0"/>
        <w:jc w:val="both"/>
        <w:rPr>
          <w:rFonts w:ascii="Arial Negrita" w:hAnsi="Arial Negrita" w:cs="Arial"/>
          <w:b/>
          <w:bCs/>
          <w:smallCaps/>
          <w:sz w:val="24"/>
          <w:szCs w:val="24"/>
        </w:rPr>
      </w:pPr>
    </w:p>
    <w:p w14:paraId="12D721F0" w14:textId="2D6C7787" w:rsidR="00C1371B" w:rsidRPr="00511B07" w:rsidRDefault="00B12C7F" w:rsidP="00BA306B">
      <w:pPr>
        <w:pStyle w:val="Prrafodelista"/>
        <w:numPr>
          <w:ilvl w:val="0"/>
          <w:numId w:val="26"/>
        </w:numPr>
        <w:tabs>
          <w:tab w:val="left" w:pos="5460"/>
        </w:tabs>
        <w:spacing w:after="0"/>
        <w:jc w:val="both"/>
        <w:rPr>
          <w:rFonts w:ascii="Arial Negrita" w:hAnsi="Arial Negrita" w:cs="Arial"/>
          <w:b/>
          <w:bCs/>
          <w:smallCaps/>
          <w:sz w:val="24"/>
          <w:szCs w:val="24"/>
        </w:rPr>
      </w:pPr>
      <w:r w:rsidRPr="00511B07">
        <w:rPr>
          <w:rFonts w:ascii="Arial Negrita" w:hAnsi="Arial Negrita" w:cs="Arial"/>
          <w:b/>
          <w:bCs/>
          <w:smallCaps/>
          <w:sz w:val="24"/>
          <w:szCs w:val="24"/>
        </w:rPr>
        <w:t>Consejo de la Judicatura Federal</w:t>
      </w:r>
    </w:p>
    <w:p w14:paraId="0D316D95" w14:textId="3C459B96" w:rsidR="00B12C7F" w:rsidRDefault="00B12C7F" w:rsidP="00B12C7F">
      <w:pPr>
        <w:tabs>
          <w:tab w:val="left" w:pos="5460"/>
        </w:tabs>
        <w:spacing w:after="0"/>
        <w:jc w:val="both"/>
        <w:rPr>
          <w:rFonts w:ascii="Arial Negrita" w:hAnsi="Arial Negrita" w:cs="Arial"/>
          <w:b/>
          <w:bCs/>
          <w:smallCaps/>
          <w:sz w:val="24"/>
          <w:szCs w:val="24"/>
        </w:rPr>
      </w:pPr>
    </w:p>
    <w:p w14:paraId="206B8393" w14:textId="47FB9992" w:rsidR="00B12C7F" w:rsidRDefault="00B12C7F" w:rsidP="007D0F9F">
      <w:pPr>
        <w:tabs>
          <w:tab w:val="left" w:pos="5460"/>
        </w:tabs>
        <w:spacing w:after="0"/>
        <w:ind w:left="-113"/>
        <w:jc w:val="both"/>
        <w:rPr>
          <w:rFonts w:ascii="Arial" w:hAnsi="Arial" w:cs="Arial"/>
          <w:color w:val="000000"/>
          <w:sz w:val="24"/>
          <w:szCs w:val="24"/>
        </w:rPr>
      </w:pPr>
      <w:bookmarkStart w:id="2" w:name="_Hlk106714028"/>
      <w:r w:rsidRPr="00B12C7F">
        <w:rPr>
          <w:rFonts w:ascii="Arial" w:hAnsi="Arial" w:cs="Arial"/>
          <w:color w:val="000000"/>
          <w:sz w:val="24"/>
          <w:szCs w:val="24"/>
        </w:rPr>
        <w:t>Los datos sobre el ejercicio de la función de los TCC, TUC, JD y CJPF muestran que, durante</w:t>
      </w:r>
      <w:r w:rsidR="005C6000">
        <w:rPr>
          <w:rFonts w:ascii="Arial" w:hAnsi="Arial" w:cs="Arial"/>
          <w:color w:val="000000"/>
          <w:sz w:val="24"/>
          <w:szCs w:val="24"/>
        </w:rPr>
        <w:t xml:space="preserve"> </w:t>
      </w:r>
      <w:r w:rsidRPr="00B12C7F">
        <w:rPr>
          <w:rFonts w:ascii="Arial" w:hAnsi="Arial" w:cs="Arial"/>
          <w:color w:val="000000"/>
          <w:sz w:val="24"/>
          <w:szCs w:val="24"/>
        </w:rPr>
        <w:t>202</w:t>
      </w:r>
      <w:r w:rsidR="00516893">
        <w:rPr>
          <w:rFonts w:ascii="Arial" w:hAnsi="Arial" w:cs="Arial"/>
          <w:color w:val="000000"/>
          <w:sz w:val="24"/>
          <w:szCs w:val="24"/>
        </w:rPr>
        <w:t>1</w:t>
      </w:r>
      <w:r w:rsidRPr="00B12C7F">
        <w:rPr>
          <w:rFonts w:ascii="Arial" w:hAnsi="Arial" w:cs="Arial"/>
          <w:color w:val="000000"/>
          <w:sz w:val="24"/>
          <w:szCs w:val="24"/>
        </w:rPr>
        <w:t>, ingres</w:t>
      </w:r>
      <w:r w:rsidR="00F23F1D">
        <w:rPr>
          <w:rFonts w:ascii="Arial" w:hAnsi="Arial" w:cs="Arial"/>
          <w:color w:val="000000"/>
          <w:sz w:val="24"/>
          <w:szCs w:val="24"/>
        </w:rPr>
        <w:t>aron</w:t>
      </w:r>
      <w:r w:rsidRPr="00B12C7F">
        <w:rPr>
          <w:rFonts w:ascii="Arial" w:hAnsi="Arial" w:cs="Arial"/>
          <w:color w:val="000000"/>
          <w:sz w:val="24"/>
          <w:szCs w:val="24"/>
        </w:rPr>
        <w:t xml:space="preserve"> a estos órganos </w:t>
      </w:r>
      <w:r w:rsidR="00516893" w:rsidRPr="00516893">
        <w:rPr>
          <w:rFonts w:ascii="Arial" w:hAnsi="Arial" w:cs="Arial"/>
          <w:color w:val="000000"/>
          <w:sz w:val="24"/>
          <w:szCs w:val="24"/>
        </w:rPr>
        <w:t>1</w:t>
      </w:r>
      <w:r w:rsidR="00F23F1D">
        <w:rPr>
          <w:rFonts w:ascii="Arial" w:hAnsi="Arial" w:cs="Arial"/>
          <w:color w:val="000000"/>
          <w:sz w:val="24"/>
          <w:szCs w:val="24"/>
        </w:rPr>
        <w:t xml:space="preserve"> </w:t>
      </w:r>
      <w:r w:rsidR="00516893" w:rsidRPr="00516893">
        <w:rPr>
          <w:rFonts w:ascii="Arial" w:hAnsi="Arial" w:cs="Arial"/>
          <w:color w:val="000000"/>
          <w:sz w:val="24"/>
          <w:szCs w:val="24"/>
        </w:rPr>
        <w:t>066</w:t>
      </w:r>
      <w:r w:rsidR="00F23F1D">
        <w:rPr>
          <w:rFonts w:ascii="Arial" w:hAnsi="Arial" w:cs="Arial"/>
          <w:color w:val="000000"/>
          <w:sz w:val="24"/>
          <w:szCs w:val="24"/>
        </w:rPr>
        <w:t xml:space="preserve"> </w:t>
      </w:r>
      <w:r w:rsidR="00516893" w:rsidRPr="00516893">
        <w:rPr>
          <w:rFonts w:ascii="Arial" w:hAnsi="Arial" w:cs="Arial"/>
          <w:color w:val="000000"/>
          <w:sz w:val="24"/>
          <w:szCs w:val="24"/>
        </w:rPr>
        <w:t>829</w:t>
      </w:r>
      <w:r w:rsidR="00516893">
        <w:rPr>
          <w:rFonts w:ascii="Arial" w:hAnsi="Arial" w:cs="Arial"/>
          <w:color w:val="000000"/>
          <w:sz w:val="24"/>
          <w:szCs w:val="24"/>
        </w:rPr>
        <w:t xml:space="preserve"> </w:t>
      </w:r>
      <w:r w:rsidRPr="00B12C7F">
        <w:rPr>
          <w:rFonts w:ascii="Arial" w:hAnsi="Arial" w:cs="Arial"/>
          <w:color w:val="000000"/>
          <w:sz w:val="24"/>
          <w:szCs w:val="24"/>
        </w:rPr>
        <w:t>asuntos en todas las materias</w:t>
      </w:r>
      <w:r w:rsidR="007D0F9F">
        <w:rPr>
          <w:rFonts w:ascii="Arial" w:hAnsi="Arial" w:cs="Arial"/>
          <w:color w:val="000000"/>
          <w:sz w:val="24"/>
          <w:szCs w:val="24"/>
        </w:rPr>
        <w:t>;</w:t>
      </w:r>
      <w:r w:rsidR="00F23F1D">
        <w:rPr>
          <w:rFonts w:ascii="Arial" w:hAnsi="Arial" w:cs="Arial"/>
          <w:color w:val="000000"/>
          <w:sz w:val="24"/>
          <w:szCs w:val="24"/>
        </w:rPr>
        <w:t xml:space="preserve"> </w:t>
      </w:r>
      <w:r w:rsidR="00516893" w:rsidRPr="00516893">
        <w:rPr>
          <w:rFonts w:ascii="Arial" w:hAnsi="Arial" w:cs="Arial"/>
          <w:color w:val="000000"/>
          <w:sz w:val="24"/>
          <w:szCs w:val="24"/>
        </w:rPr>
        <w:t>983</w:t>
      </w:r>
      <w:r w:rsidR="00F23F1D">
        <w:rPr>
          <w:rFonts w:ascii="Arial" w:hAnsi="Arial" w:cs="Arial"/>
          <w:color w:val="000000"/>
          <w:sz w:val="24"/>
          <w:szCs w:val="24"/>
        </w:rPr>
        <w:t xml:space="preserve"> </w:t>
      </w:r>
      <w:r w:rsidR="00516893" w:rsidRPr="00516893">
        <w:rPr>
          <w:rFonts w:ascii="Arial" w:hAnsi="Arial" w:cs="Arial"/>
          <w:color w:val="000000"/>
          <w:sz w:val="24"/>
          <w:szCs w:val="24"/>
        </w:rPr>
        <w:t>249</w:t>
      </w:r>
      <w:r w:rsidR="00F23F1D">
        <w:rPr>
          <w:rFonts w:ascii="Arial" w:hAnsi="Arial" w:cs="Arial"/>
          <w:color w:val="000000"/>
          <w:sz w:val="24"/>
          <w:szCs w:val="24"/>
        </w:rPr>
        <w:t xml:space="preserve"> fueron resueltos</w:t>
      </w:r>
      <w:r w:rsidRPr="00B12C7F">
        <w:rPr>
          <w:rFonts w:ascii="Arial" w:hAnsi="Arial" w:cs="Arial"/>
          <w:color w:val="000000"/>
          <w:sz w:val="24"/>
          <w:szCs w:val="24"/>
        </w:rPr>
        <w:t>. Comparado con 20</w:t>
      </w:r>
      <w:r w:rsidR="00B37942">
        <w:rPr>
          <w:rFonts w:ascii="Arial" w:hAnsi="Arial" w:cs="Arial"/>
          <w:color w:val="000000"/>
          <w:sz w:val="24"/>
          <w:szCs w:val="24"/>
        </w:rPr>
        <w:t>20</w:t>
      </w:r>
      <w:r w:rsidRPr="00B12C7F">
        <w:rPr>
          <w:rFonts w:ascii="Arial" w:hAnsi="Arial" w:cs="Arial"/>
          <w:color w:val="000000"/>
          <w:sz w:val="24"/>
          <w:szCs w:val="24"/>
        </w:rPr>
        <w:t>, las cifras</w:t>
      </w:r>
      <w:r>
        <w:rPr>
          <w:rFonts w:ascii="Arial" w:hAnsi="Arial" w:cs="Arial"/>
          <w:color w:val="000000"/>
          <w:sz w:val="24"/>
          <w:szCs w:val="24"/>
        </w:rPr>
        <w:t xml:space="preserve"> </w:t>
      </w:r>
      <w:r w:rsidRPr="00B12C7F">
        <w:rPr>
          <w:rFonts w:ascii="Arial" w:hAnsi="Arial" w:cs="Arial"/>
          <w:color w:val="000000"/>
          <w:sz w:val="24"/>
          <w:szCs w:val="24"/>
        </w:rPr>
        <w:t>reportadas</w:t>
      </w:r>
      <w:r w:rsidR="005C6000">
        <w:rPr>
          <w:rFonts w:ascii="Arial" w:hAnsi="Arial" w:cs="Arial"/>
          <w:color w:val="000000"/>
          <w:sz w:val="24"/>
          <w:szCs w:val="24"/>
        </w:rPr>
        <w:t xml:space="preserve"> </w:t>
      </w:r>
      <w:r w:rsidRPr="00B12C7F">
        <w:rPr>
          <w:rFonts w:ascii="Arial" w:hAnsi="Arial" w:cs="Arial"/>
          <w:color w:val="000000"/>
          <w:sz w:val="24"/>
          <w:szCs w:val="24"/>
        </w:rPr>
        <w:t>presenta</w:t>
      </w:r>
      <w:r w:rsidR="00C8596F">
        <w:rPr>
          <w:rFonts w:ascii="Arial" w:hAnsi="Arial" w:cs="Arial"/>
          <w:color w:val="000000"/>
          <w:sz w:val="24"/>
          <w:szCs w:val="24"/>
        </w:rPr>
        <w:t>ron</w:t>
      </w:r>
      <w:r w:rsidRPr="00B12C7F">
        <w:rPr>
          <w:rFonts w:ascii="Arial" w:hAnsi="Arial" w:cs="Arial"/>
          <w:color w:val="000000"/>
          <w:sz w:val="24"/>
          <w:szCs w:val="24"/>
        </w:rPr>
        <w:t xml:space="preserve"> un</w:t>
      </w:r>
      <w:r w:rsidR="00516893">
        <w:rPr>
          <w:rFonts w:ascii="Arial" w:hAnsi="Arial" w:cs="Arial"/>
          <w:color w:val="000000"/>
          <w:sz w:val="24"/>
          <w:szCs w:val="24"/>
        </w:rPr>
        <w:t xml:space="preserve"> aumento</w:t>
      </w:r>
      <w:r w:rsidRPr="00B12C7F">
        <w:rPr>
          <w:rFonts w:ascii="Arial" w:hAnsi="Arial" w:cs="Arial"/>
          <w:color w:val="000000"/>
          <w:sz w:val="24"/>
          <w:szCs w:val="24"/>
        </w:rPr>
        <w:t xml:space="preserve"> de </w:t>
      </w:r>
      <w:r w:rsidR="00516893">
        <w:rPr>
          <w:rFonts w:ascii="Arial" w:hAnsi="Arial" w:cs="Arial"/>
          <w:color w:val="000000"/>
          <w:sz w:val="24"/>
          <w:szCs w:val="24"/>
        </w:rPr>
        <w:t>54.8</w:t>
      </w:r>
      <w:r w:rsidR="00F23F1D">
        <w:rPr>
          <w:rFonts w:ascii="Arial" w:hAnsi="Arial" w:cs="Arial"/>
          <w:color w:val="000000"/>
          <w:sz w:val="24"/>
          <w:szCs w:val="24"/>
        </w:rPr>
        <w:t xml:space="preserve"> </w:t>
      </w:r>
      <w:r w:rsidRPr="00B12C7F">
        <w:rPr>
          <w:rFonts w:ascii="Arial" w:hAnsi="Arial" w:cs="Arial"/>
          <w:color w:val="000000"/>
          <w:sz w:val="24"/>
          <w:szCs w:val="24"/>
        </w:rPr>
        <w:t>y 4</w:t>
      </w:r>
      <w:r w:rsidR="00516893">
        <w:rPr>
          <w:rFonts w:ascii="Arial" w:hAnsi="Arial" w:cs="Arial"/>
          <w:color w:val="000000"/>
          <w:sz w:val="24"/>
          <w:szCs w:val="24"/>
        </w:rPr>
        <w:t>9.1</w:t>
      </w:r>
      <w:r w:rsidR="00F23F1D">
        <w:rPr>
          <w:rFonts w:ascii="Arial" w:hAnsi="Arial" w:cs="Arial"/>
          <w:color w:val="000000"/>
          <w:sz w:val="24"/>
          <w:szCs w:val="24"/>
        </w:rPr>
        <w:t xml:space="preserve"> </w:t>
      </w:r>
      <w:r w:rsidR="00502A35">
        <w:rPr>
          <w:rFonts w:ascii="Arial" w:hAnsi="Arial" w:cs="Arial"/>
          <w:color w:val="000000"/>
          <w:sz w:val="24"/>
          <w:szCs w:val="24"/>
        </w:rPr>
        <w:t xml:space="preserve">% </w:t>
      </w:r>
      <w:r w:rsidRPr="00B12C7F">
        <w:rPr>
          <w:rFonts w:ascii="Arial" w:hAnsi="Arial" w:cs="Arial"/>
          <w:color w:val="000000"/>
          <w:sz w:val="24"/>
          <w:szCs w:val="24"/>
        </w:rPr>
        <w:t>de los asuntos ingresados y</w:t>
      </w:r>
      <w:r>
        <w:rPr>
          <w:rFonts w:ascii="Arial" w:hAnsi="Arial" w:cs="Arial"/>
          <w:color w:val="000000"/>
          <w:sz w:val="24"/>
          <w:szCs w:val="24"/>
        </w:rPr>
        <w:t xml:space="preserve"> </w:t>
      </w:r>
      <w:r w:rsidRPr="00B12C7F">
        <w:rPr>
          <w:rFonts w:ascii="Arial" w:hAnsi="Arial" w:cs="Arial"/>
          <w:color w:val="000000"/>
          <w:sz w:val="24"/>
          <w:szCs w:val="24"/>
        </w:rPr>
        <w:t>resueltos,</w:t>
      </w:r>
      <w:r w:rsidR="005C6000">
        <w:rPr>
          <w:rFonts w:ascii="Arial" w:hAnsi="Arial" w:cs="Arial"/>
          <w:color w:val="000000"/>
          <w:sz w:val="24"/>
          <w:szCs w:val="24"/>
        </w:rPr>
        <w:t xml:space="preserve"> </w:t>
      </w:r>
      <w:r w:rsidRPr="00B12C7F">
        <w:rPr>
          <w:rFonts w:ascii="Arial" w:hAnsi="Arial" w:cs="Arial"/>
          <w:color w:val="000000"/>
          <w:sz w:val="24"/>
          <w:szCs w:val="24"/>
        </w:rPr>
        <w:t>respectivamente.</w:t>
      </w:r>
    </w:p>
    <w:p w14:paraId="1C9A2CF7" w14:textId="7AEE301B" w:rsidR="003F617C" w:rsidRDefault="003F617C" w:rsidP="007D0F9F">
      <w:pPr>
        <w:tabs>
          <w:tab w:val="left" w:pos="5460"/>
        </w:tabs>
        <w:spacing w:after="0"/>
        <w:ind w:left="-113"/>
        <w:jc w:val="both"/>
        <w:rPr>
          <w:rFonts w:ascii="Arial" w:hAnsi="Arial" w:cs="Arial"/>
          <w:color w:val="000000"/>
          <w:sz w:val="24"/>
          <w:szCs w:val="24"/>
        </w:rPr>
      </w:pPr>
    </w:p>
    <w:bookmarkEnd w:id="2"/>
    <w:p w14:paraId="7607E5E9" w14:textId="0ACD9B1B" w:rsidR="008668C9" w:rsidRPr="00DE7C9F" w:rsidRDefault="008668C9" w:rsidP="008668C9">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13</w:t>
      </w:r>
    </w:p>
    <w:p w14:paraId="6FAA5EE8" w14:textId="1D9C1F3E" w:rsidR="008668C9" w:rsidRDefault="008668C9" w:rsidP="008668C9">
      <w:pPr>
        <w:tabs>
          <w:tab w:val="left" w:pos="5460"/>
        </w:tabs>
        <w:spacing w:after="0"/>
        <w:jc w:val="center"/>
        <w:rPr>
          <w:rFonts w:ascii="Arial" w:hAnsi="Arial" w:cs="Arial"/>
          <w:b/>
          <w:bCs/>
          <w:iCs/>
          <w:smallCaps/>
          <w:color w:val="000000" w:themeColor="text1"/>
        </w:rPr>
      </w:pPr>
      <w:r w:rsidRPr="008668C9">
        <w:rPr>
          <w:rFonts w:ascii="Arial" w:hAnsi="Arial" w:cs="Arial"/>
          <w:b/>
          <w:bCs/>
          <w:iCs/>
          <w:smallCaps/>
          <w:color w:val="000000" w:themeColor="text1"/>
        </w:rPr>
        <w:t>asuntos ingresados y resueltos, según órganos del Consejo de la Judicatura Federal</w:t>
      </w:r>
    </w:p>
    <w:p w14:paraId="09675695" w14:textId="77777777" w:rsidR="008668C9" w:rsidRDefault="008668C9" w:rsidP="008668C9">
      <w:pPr>
        <w:tabs>
          <w:tab w:val="left" w:pos="5460"/>
        </w:tabs>
        <w:spacing w:after="0"/>
        <w:jc w:val="center"/>
        <w:rPr>
          <w:rFonts w:ascii="Arial" w:hAnsi="Arial" w:cs="Arial"/>
          <w:color w:val="000000"/>
          <w:sz w:val="24"/>
          <w:szCs w:val="24"/>
        </w:rPr>
      </w:pPr>
    </w:p>
    <w:p w14:paraId="5CAE4F3D" w14:textId="679EA440" w:rsidR="00516893" w:rsidRDefault="00516893" w:rsidP="00B12C7F">
      <w:pPr>
        <w:tabs>
          <w:tab w:val="left" w:pos="5460"/>
        </w:tabs>
        <w:spacing w:after="0"/>
        <w:jc w:val="both"/>
        <w:rPr>
          <w:rFonts w:ascii="Arial" w:hAnsi="Arial" w:cs="Arial"/>
          <w:color w:val="000000"/>
          <w:sz w:val="24"/>
          <w:szCs w:val="24"/>
        </w:rPr>
      </w:pPr>
      <w:r>
        <w:rPr>
          <w:noProof/>
        </w:rPr>
        <w:drawing>
          <wp:inline distT="0" distB="0" distL="0" distR="0" wp14:anchorId="3B5A6679" wp14:editId="33109B04">
            <wp:extent cx="6189260" cy="2080895"/>
            <wp:effectExtent l="0" t="0" r="2540" b="0"/>
            <wp:docPr id="11" name="Gráfico 11">
              <a:extLst xmlns:a="http://schemas.openxmlformats.org/drawingml/2006/main">
                <a:ext uri="{FF2B5EF4-FFF2-40B4-BE49-F238E27FC236}">
                  <a16:creationId xmlns:a16="http://schemas.microsoft.com/office/drawing/2014/main" id="{3B6EAB53-F20C-5FDE-E964-CBEE55D68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F02623" w14:textId="5534D710" w:rsidR="00FA51EB" w:rsidRDefault="00FA51EB" w:rsidP="00FA51EB">
      <w:pPr>
        <w:tabs>
          <w:tab w:val="left" w:pos="5460"/>
        </w:tabs>
        <w:spacing w:after="0"/>
        <w:jc w:val="both"/>
        <w:rPr>
          <w:rFonts w:ascii="Arial" w:hAnsi="Arial" w:cs="Arial"/>
          <w:sz w:val="16"/>
          <w:szCs w:val="16"/>
        </w:rPr>
      </w:pPr>
      <w:r w:rsidRPr="00FA51EB">
        <w:rPr>
          <w:rFonts w:ascii="Arial" w:hAnsi="Arial" w:cs="Arial"/>
          <w:sz w:val="16"/>
          <w:szCs w:val="16"/>
        </w:rPr>
        <w:t xml:space="preserve">Nota: Los asuntos resueltos incluyen </w:t>
      </w:r>
      <w:r w:rsidR="007D0F9F">
        <w:rPr>
          <w:rFonts w:ascii="Arial" w:hAnsi="Arial" w:cs="Arial"/>
          <w:sz w:val="16"/>
          <w:szCs w:val="16"/>
        </w:rPr>
        <w:t>los q</w:t>
      </w:r>
      <w:r w:rsidRPr="00FA51EB">
        <w:rPr>
          <w:rFonts w:ascii="Arial" w:hAnsi="Arial" w:cs="Arial"/>
          <w:sz w:val="16"/>
          <w:szCs w:val="16"/>
        </w:rPr>
        <w:t>ue pudieron ingresar durante el año o en ejercicios anteriores.</w:t>
      </w:r>
    </w:p>
    <w:p w14:paraId="71F13EF2" w14:textId="39F3B7B9" w:rsidR="00FA51EB" w:rsidRDefault="00FA51EB" w:rsidP="00FA51EB">
      <w:pPr>
        <w:tabs>
          <w:tab w:val="left" w:pos="5460"/>
        </w:tabs>
        <w:spacing w:after="0"/>
        <w:ind w:left="567" w:hanging="141"/>
        <w:jc w:val="both"/>
        <w:rPr>
          <w:rFonts w:ascii="Arial" w:hAnsi="Arial" w:cs="Arial"/>
          <w:sz w:val="16"/>
          <w:szCs w:val="16"/>
        </w:rPr>
      </w:pPr>
      <w:r>
        <w:rPr>
          <w:rFonts w:ascii="Arial" w:hAnsi="Arial" w:cs="Arial"/>
          <w:sz w:val="16"/>
          <w:szCs w:val="16"/>
        </w:rPr>
        <w:t>*</w:t>
      </w:r>
      <w:r w:rsidRPr="00FA51EB">
        <w:rPr>
          <w:rFonts w:ascii="Arial" w:hAnsi="Arial" w:cs="Arial"/>
          <w:sz w:val="16"/>
          <w:szCs w:val="16"/>
        </w:rPr>
        <w:t>Para la materia penal, en lo que respecta a causas penales, solo se incluyen causas de primer ingreso en procesos de primera instancia</w:t>
      </w:r>
      <w:r>
        <w:rPr>
          <w:rFonts w:ascii="Arial" w:hAnsi="Arial" w:cs="Arial"/>
          <w:sz w:val="16"/>
          <w:szCs w:val="16"/>
        </w:rPr>
        <w:t>.</w:t>
      </w:r>
    </w:p>
    <w:p w14:paraId="0A87710E" w14:textId="55DC1816" w:rsidR="00FA51EB" w:rsidRDefault="00FA51EB" w:rsidP="00FA51EB">
      <w:pPr>
        <w:tabs>
          <w:tab w:val="left" w:pos="5460"/>
        </w:tabs>
        <w:spacing w:after="0"/>
        <w:ind w:left="426"/>
        <w:jc w:val="both"/>
        <w:rPr>
          <w:rFonts w:ascii="Arial" w:hAnsi="Arial" w:cs="Arial"/>
          <w:sz w:val="16"/>
          <w:szCs w:val="16"/>
        </w:rPr>
      </w:pPr>
      <w:r w:rsidRPr="00FA51EB">
        <w:rPr>
          <w:rFonts w:ascii="Arial" w:hAnsi="Arial" w:cs="Arial"/>
          <w:sz w:val="16"/>
          <w:szCs w:val="16"/>
        </w:rPr>
        <w:t>No se incluyen causas penales en procesos de ejecución penal.</w:t>
      </w:r>
    </w:p>
    <w:p w14:paraId="7794E2B3" w14:textId="787C45C9" w:rsidR="00FA51EB" w:rsidRPr="00FA51EB" w:rsidRDefault="00FA51EB" w:rsidP="00FA51EB">
      <w:pPr>
        <w:tabs>
          <w:tab w:val="left" w:pos="5460"/>
        </w:tabs>
        <w:spacing w:after="0"/>
        <w:ind w:left="426"/>
        <w:jc w:val="both"/>
        <w:rPr>
          <w:rFonts w:ascii="Arial" w:hAnsi="Arial" w:cs="Arial"/>
          <w:color w:val="000000"/>
          <w:sz w:val="18"/>
          <w:szCs w:val="18"/>
        </w:rPr>
      </w:pPr>
      <w:r>
        <w:rPr>
          <w:rFonts w:ascii="Arial" w:hAnsi="Arial" w:cs="Arial"/>
          <w:sz w:val="16"/>
          <w:szCs w:val="16"/>
        </w:rPr>
        <w:t>**</w:t>
      </w:r>
      <w:r w:rsidRPr="00FA51EB">
        <w:rPr>
          <w:rFonts w:ascii="Arial" w:hAnsi="Arial" w:cs="Arial"/>
          <w:sz w:val="16"/>
          <w:szCs w:val="16"/>
        </w:rPr>
        <w:t>Para la materia penal, en lo que respecta a causas penales, en la categoría Ingresados solo se incluyen causas ingresadas con el juez de control o garantías, mientras que en la categoría Resueltos se incluyen causas concluidas por el juez de control o garantías y por el juez de enjuiciamiento o juicio oral. En ningún caso se incluyen causas penales conocidas por el Juez de Ejecución Penal.</w:t>
      </w:r>
    </w:p>
    <w:p w14:paraId="4BC3E41B" w14:textId="68373EB9" w:rsidR="00B37942" w:rsidRDefault="007D0F9F" w:rsidP="00B37942">
      <w:pPr>
        <w:tabs>
          <w:tab w:val="left" w:pos="5460"/>
        </w:tabs>
        <w:spacing w:after="0"/>
        <w:jc w:val="both"/>
        <w:rPr>
          <w:rFonts w:ascii="Arial" w:hAnsi="Arial" w:cs="Arial"/>
          <w:color w:val="000000"/>
          <w:sz w:val="24"/>
          <w:szCs w:val="24"/>
        </w:rPr>
      </w:pPr>
      <w:r>
        <w:rPr>
          <w:rFonts w:ascii="Arial" w:hAnsi="Arial" w:cs="Arial"/>
          <w:color w:val="000000"/>
          <w:sz w:val="24"/>
          <w:szCs w:val="24"/>
        </w:rPr>
        <w:lastRenderedPageBreak/>
        <w:t>Con r</w:t>
      </w:r>
      <w:r w:rsidR="00B37942" w:rsidRPr="00B37942">
        <w:rPr>
          <w:rFonts w:ascii="Arial" w:hAnsi="Arial" w:cs="Arial"/>
          <w:color w:val="000000"/>
          <w:sz w:val="24"/>
          <w:szCs w:val="24"/>
        </w:rPr>
        <w:t xml:space="preserve">especto </w:t>
      </w:r>
      <w:r>
        <w:rPr>
          <w:rFonts w:ascii="Arial" w:hAnsi="Arial" w:cs="Arial"/>
          <w:color w:val="000000"/>
          <w:sz w:val="24"/>
          <w:szCs w:val="24"/>
        </w:rPr>
        <w:t xml:space="preserve">a </w:t>
      </w:r>
      <w:r w:rsidR="00B37942" w:rsidRPr="00B37942">
        <w:rPr>
          <w:rFonts w:ascii="Arial" w:hAnsi="Arial" w:cs="Arial"/>
          <w:color w:val="000000"/>
          <w:sz w:val="24"/>
          <w:szCs w:val="24"/>
        </w:rPr>
        <w:t>los asuntos ingresados a los TCC, los TUC y los JD en 202</w:t>
      </w:r>
      <w:r w:rsidR="004A23CB">
        <w:rPr>
          <w:rFonts w:ascii="Arial" w:hAnsi="Arial" w:cs="Arial"/>
          <w:color w:val="000000"/>
          <w:sz w:val="24"/>
          <w:szCs w:val="24"/>
        </w:rPr>
        <w:t>1</w:t>
      </w:r>
      <w:r w:rsidR="00B37942" w:rsidRPr="00B37942">
        <w:rPr>
          <w:rFonts w:ascii="Arial" w:hAnsi="Arial" w:cs="Arial"/>
          <w:color w:val="000000"/>
          <w:sz w:val="24"/>
          <w:szCs w:val="24"/>
        </w:rPr>
        <w:t>, destaca</w:t>
      </w:r>
      <w:r w:rsidR="003F617C">
        <w:rPr>
          <w:rFonts w:ascii="Arial" w:hAnsi="Arial" w:cs="Arial"/>
          <w:color w:val="000000"/>
          <w:sz w:val="24"/>
          <w:szCs w:val="24"/>
        </w:rPr>
        <w:t>ro</w:t>
      </w:r>
      <w:r w:rsidR="00B37942" w:rsidRPr="00B37942">
        <w:rPr>
          <w:rFonts w:ascii="Arial" w:hAnsi="Arial" w:cs="Arial"/>
          <w:color w:val="000000"/>
          <w:sz w:val="24"/>
          <w:szCs w:val="24"/>
        </w:rPr>
        <w:t xml:space="preserve">n </w:t>
      </w:r>
      <w:r>
        <w:rPr>
          <w:rFonts w:ascii="Arial" w:hAnsi="Arial" w:cs="Arial"/>
          <w:color w:val="000000"/>
          <w:sz w:val="24"/>
          <w:szCs w:val="24"/>
        </w:rPr>
        <w:t xml:space="preserve">los </w:t>
      </w:r>
      <w:r w:rsidR="00B37942" w:rsidRPr="00B37942">
        <w:rPr>
          <w:rFonts w:ascii="Arial" w:hAnsi="Arial" w:cs="Arial"/>
          <w:color w:val="000000"/>
          <w:sz w:val="24"/>
          <w:szCs w:val="24"/>
        </w:rPr>
        <w:t>vinculados a la materia administrativa</w:t>
      </w:r>
      <w:r>
        <w:rPr>
          <w:rFonts w:ascii="Arial" w:hAnsi="Arial" w:cs="Arial"/>
          <w:color w:val="000000"/>
          <w:sz w:val="24"/>
          <w:szCs w:val="24"/>
        </w:rPr>
        <w:t>,</w:t>
      </w:r>
      <w:r w:rsidR="00B37942" w:rsidRPr="00B37942">
        <w:rPr>
          <w:rFonts w:ascii="Arial" w:hAnsi="Arial" w:cs="Arial"/>
          <w:color w:val="000000"/>
          <w:sz w:val="24"/>
          <w:szCs w:val="24"/>
        </w:rPr>
        <w:t xml:space="preserve"> con </w:t>
      </w:r>
      <w:r w:rsidR="001C21E2">
        <w:rPr>
          <w:rFonts w:ascii="Arial" w:hAnsi="Arial" w:cs="Arial"/>
          <w:color w:val="000000"/>
          <w:sz w:val="24"/>
          <w:szCs w:val="24"/>
        </w:rPr>
        <w:t>40.9</w:t>
      </w:r>
      <w:r w:rsidR="00F23F1D">
        <w:rPr>
          <w:rFonts w:ascii="Arial" w:hAnsi="Arial" w:cs="Arial"/>
          <w:color w:val="000000"/>
          <w:sz w:val="24"/>
          <w:szCs w:val="24"/>
        </w:rPr>
        <w:t xml:space="preserve"> </w:t>
      </w:r>
      <w:r w:rsidR="00B37942" w:rsidRPr="00B37942">
        <w:rPr>
          <w:rFonts w:ascii="Arial" w:hAnsi="Arial" w:cs="Arial"/>
          <w:color w:val="000000"/>
          <w:sz w:val="24"/>
          <w:szCs w:val="24"/>
        </w:rPr>
        <w:t>% del total en los TCC y 3</w:t>
      </w:r>
      <w:r w:rsidR="001C21E2">
        <w:rPr>
          <w:rFonts w:ascii="Arial" w:hAnsi="Arial" w:cs="Arial"/>
          <w:color w:val="000000"/>
          <w:sz w:val="24"/>
          <w:szCs w:val="24"/>
        </w:rPr>
        <w:t>3.8</w:t>
      </w:r>
      <w:r w:rsidR="00F23F1D">
        <w:rPr>
          <w:rFonts w:ascii="Arial" w:hAnsi="Arial" w:cs="Arial"/>
          <w:color w:val="000000"/>
          <w:sz w:val="24"/>
          <w:szCs w:val="24"/>
        </w:rPr>
        <w:t xml:space="preserve"> </w:t>
      </w:r>
      <w:r w:rsidR="00B37942" w:rsidRPr="00B37942">
        <w:rPr>
          <w:rFonts w:ascii="Arial" w:hAnsi="Arial" w:cs="Arial"/>
          <w:color w:val="000000"/>
          <w:sz w:val="24"/>
          <w:szCs w:val="24"/>
        </w:rPr>
        <w:t>% en los JD</w:t>
      </w:r>
      <w:r>
        <w:rPr>
          <w:rFonts w:ascii="Arial" w:hAnsi="Arial" w:cs="Arial"/>
          <w:color w:val="000000"/>
          <w:sz w:val="24"/>
          <w:szCs w:val="24"/>
        </w:rPr>
        <w:t xml:space="preserve">. En </w:t>
      </w:r>
      <w:r w:rsidR="00B37942" w:rsidRPr="00B37942">
        <w:rPr>
          <w:rFonts w:ascii="Arial" w:hAnsi="Arial" w:cs="Arial"/>
          <w:color w:val="000000"/>
          <w:sz w:val="24"/>
          <w:szCs w:val="24"/>
        </w:rPr>
        <w:t>los TUC</w:t>
      </w:r>
      <w:r w:rsidR="00FA3CD8">
        <w:rPr>
          <w:rFonts w:ascii="Arial" w:hAnsi="Arial" w:cs="Arial"/>
          <w:color w:val="000000"/>
          <w:sz w:val="24"/>
          <w:szCs w:val="24"/>
        </w:rPr>
        <w:t>,</w:t>
      </w:r>
      <w:r w:rsidR="00B37942" w:rsidRPr="00B37942">
        <w:rPr>
          <w:rFonts w:ascii="Arial" w:hAnsi="Arial" w:cs="Arial"/>
          <w:color w:val="000000"/>
          <w:sz w:val="24"/>
          <w:szCs w:val="24"/>
        </w:rPr>
        <w:t xml:space="preserve"> la materia penal representó 7</w:t>
      </w:r>
      <w:r w:rsidR="001C21E2">
        <w:rPr>
          <w:rFonts w:ascii="Arial" w:hAnsi="Arial" w:cs="Arial"/>
          <w:color w:val="000000"/>
          <w:sz w:val="24"/>
          <w:szCs w:val="24"/>
        </w:rPr>
        <w:t>1.0</w:t>
      </w:r>
      <w:r w:rsidR="00F23F1D">
        <w:rPr>
          <w:rFonts w:ascii="Arial" w:hAnsi="Arial" w:cs="Arial"/>
          <w:color w:val="000000"/>
          <w:sz w:val="24"/>
          <w:szCs w:val="24"/>
        </w:rPr>
        <w:t xml:space="preserve"> </w:t>
      </w:r>
      <w:r w:rsidR="00C8693E">
        <w:rPr>
          <w:rFonts w:ascii="Arial" w:hAnsi="Arial" w:cs="Arial"/>
          <w:color w:val="000000"/>
          <w:sz w:val="24"/>
          <w:szCs w:val="24"/>
        </w:rPr>
        <w:t>por ciento.</w:t>
      </w:r>
      <w:r w:rsidR="00C8693E" w:rsidRPr="00B37942">
        <w:rPr>
          <w:rFonts w:ascii="Arial" w:hAnsi="Arial" w:cs="Arial"/>
          <w:color w:val="000000"/>
          <w:sz w:val="24"/>
          <w:szCs w:val="24"/>
        </w:rPr>
        <w:t xml:space="preserve"> </w:t>
      </w:r>
      <w:r w:rsidR="00B37942" w:rsidRPr="00B37942">
        <w:rPr>
          <w:rFonts w:ascii="Arial" w:hAnsi="Arial" w:cs="Arial"/>
          <w:color w:val="000000"/>
          <w:sz w:val="24"/>
          <w:szCs w:val="24"/>
        </w:rPr>
        <w:t>La distribución de los asuntos</w:t>
      </w:r>
      <w:r w:rsidR="00B37942">
        <w:rPr>
          <w:rFonts w:ascii="Arial" w:hAnsi="Arial" w:cs="Arial"/>
          <w:color w:val="000000"/>
          <w:sz w:val="24"/>
          <w:szCs w:val="24"/>
        </w:rPr>
        <w:t xml:space="preserve"> </w:t>
      </w:r>
      <w:r w:rsidR="00B37942" w:rsidRPr="00B37942">
        <w:rPr>
          <w:rFonts w:ascii="Arial" w:hAnsi="Arial" w:cs="Arial"/>
          <w:color w:val="000000"/>
          <w:sz w:val="24"/>
          <w:szCs w:val="24"/>
        </w:rPr>
        <w:t>ingresados por materia y órgano jurisdiccional</w:t>
      </w:r>
      <w:r w:rsidR="00237A2D">
        <w:rPr>
          <w:rFonts w:ascii="Arial" w:hAnsi="Arial" w:cs="Arial"/>
          <w:color w:val="000000"/>
          <w:sz w:val="24"/>
          <w:szCs w:val="24"/>
        </w:rPr>
        <w:t>,</w:t>
      </w:r>
      <w:r w:rsidR="00B37942" w:rsidRPr="00B37942">
        <w:rPr>
          <w:rFonts w:ascii="Arial" w:hAnsi="Arial" w:cs="Arial"/>
          <w:color w:val="000000"/>
          <w:sz w:val="24"/>
          <w:szCs w:val="24"/>
        </w:rPr>
        <w:t xml:space="preserve"> en el periodo referido</w:t>
      </w:r>
      <w:r w:rsidR="00237A2D">
        <w:rPr>
          <w:rFonts w:ascii="Arial" w:hAnsi="Arial" w:cs="Arial"/>
          <w:color w:val="000000"/>
          <w:sz w:val="24"/>
          <w:szCs w:val="24"/>
        </w:rPr>
        <w:t>,</w:t>
      </w:r>
      <w:r w:rsidR="00B37942" w:rsidRPr="00B37942">
        <w:rPr>
          <w:rFonts w:ascii="Arial" w:hAnsi="Arial" w:cs="Arial"/>
          <w:color w:val="000000"/>
          <w:sz w:val="24"/>
          <w:szCs w:val="24"/>
        </w:rPr>
        <w:t xml:space="preserve"> se presenta en la gráfica</w:t>
      </w:r>
      <w:r w:rsidR="00B37942">
        <w:rPr>
          <w:rFonts w:ascii="Arial" w:hAnsi="Arial" w:cs="Arial"/>
          <w:color w:val="000000"/>
          <w:sz w:val="24"/>
          <w:szCs w:val="24"/>
        </w:rPr>
        <w:t xml:space="preserve"> </w:t>
      </w:r>
      <w:r w:rsidR="00B37942" w:rsidRPr="00B37942">
        <w:rPr>
          <w:rFonts w:ascii="Arial" w:hAnsi="Arial" w:cs="Arial"/>
          <w:color w:val="000000"/>
          <w:sz w:val="24"/>
          <w:szCs w:val="24"/>
        </w:rPr>
        <w:t>siguiente</w:t>
      </w:r>
      <w:r w:rsidR="00237A2D">
        <w:rPr>
          <w:rFonts w:ascii="Arial" w:hAnsi="Arial" w:cs="Arial"/>
          <w:color w:val="000000"/>
          <w:sz w:val="24"/>
          <w:szCs w:val="24"/>
        </w:rPr>
        <w:t>.</w:t>
      </w:r>
    </w:p>
    <w:p w14:paraId="178271CA" w14:textId="77777777" w:rsidR="00DA19B2" w:rsidRDefault="00DA19B2" w:rsidP="001C21E2">
      <w:pPr>
        <w:pStyle w:val="Default"/>
        <w:spacing w:after="10"/>
        <w:ind w:right="284"/>
        <w:jc w:val="center"/>
        <w:rPr>
          <w:bCs/>
          <w:iCs/>
          <w:color w:val="000000" w:themeColor="text1"/>
          <w:sz w:val="20"/>
          <w:szCs w:val="20"/>
        </w:rPr>
      </w:pPr>
    </w:p>
    <w:p w14:paraId="64E679CB" w14:textId="3C0FA827" w:rsidR="001C21E2" w:rsidRPr="00DE7C9F" w:rsidRDefault="001C21E2" w:rsidP="001C21E2">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14</w:t>
      </w:r>
    </w:p>
    <w:p w14:paraId="67F448EC" w14:textId="395388D3" w:rsidR="00375F89" w:rsidRPr="00375F89" w:rsidRDefault="003B319A" w:rsidP="00375F89">
      <w:pPr>
        <w:pStyle w:val="Default"/>
        <w:ind w:right="284"/>
        <w:jc w:val="center"/>
        <w:rPr>
          <w:rFonts w:ascii="Arial Negrita" w:hAnsi="Arial Negrita"/>
          <w:b/>
          <w:bCs/>
          <w:iCs/>
          <w:smallCaps/>
          <w:color w:val="000000" w:themeColor="text1"/>
          <w:sz w:val="22"/>
          <w:szCs w:val="22"/>
        </w:rPr>
      </w:pPr>
      <w:r>
        <w:rPr>
          <w:rFonts w:ascii="Arial Negrita" w:hAnsi="Arial Negrita"/>
          <w:b/>
          <w:bCs/>
          <w:iCs/>
          <w:smallCaps/>
          <w:color w:val="000000" w:themeColor="text1"/>
          <w:sz w:val="22"/>
          <w:szCs w:val="22"/>
        </w:rPr>
        <w:t xml:space="preserve">Porcentaje de </w:t>
      </w:r>
      <w:r w:rsidR="00375F89" w:rsidRPr="00375F89">
        <w:rPr>
          <w:rFonts w:ascii="Arial Negrita" w:hAnsi="Arial Negrita"/>
          <w:b/>
          <w:bCs/>
          <w:iCs/>
          <w:smallCaps/>
          <w:color w:val="000000" w:themeColor="text1"/>
          <w:sz w:val="22"/>
          <w:szCs w:val="22"/>
        </w:rPr>
        <w:t>asuntos ingresados a los TCC, TUC y JD, según materia</w:t>
      </w:r>
    </w:p>
    <w:p w14:paraId="24C87696" w14:textId="56DBD882" w:rsidR="006429B9" w:rsidRDefault="006844D3" w:rsidP="006844D3">
      <w:pPr>
        <w:pStyle w:val="Default"/>
        <w:spacing w:after="10"/>
        <w:ind w:right="284"/>
        <w:jc w:val="center"/>
        <w:rPr>
          <w:bCs/>
          <w:iCs/>
          <w:smallCaps/>
          <w:color w:val="000000" w:themeColor="text1"/>
          <w:sz w:val="18"/>
          <w:szCs w:val="18"/>
        </w:rPr>
      </w:pPr>
      <w:r w:rsidRPr="006844D3">
        <w:rPr>
          <w:bCs/>
          <w:iCs/>
          <w:smallCaps/>
          <w:color w:val="000000" w:themeColor="text1"/>
          <w:sz w:val="18"/>
          <w:szCs w:val="18"/>
        </w:rPr>
        <w:t>2021</w:t>
      </w:r>
    </w:p>
    <w:p w14:paraId="4B0DDE39" w14:textId="77777777" w:rsidR="00375F89" w:rsidRPr="006844D3" w:rsidRDefault="00375F89" w:rsidP="006844D3">
      <w:pPr>
        <w:pStyle w:val="Default"/>
        <w:spacing w:after="10"/>
        <w:ind w:right="284"/>
        <w:jc w:val="center"/>
        <w:rPr>
          <w:bCs/>
          <w:iCs/>
          <w:smallCaps/>
          <w:color w:val="000000" w:themeColor="text1"/>
          <w:sz w:val="18"/>
          <w:szCs w:val="18"/>
        </w:rPr>
      </w:pPr>
    </w:p>
    <w:p w14:paraId="1A6EF7AA" w14:textId="2B2F7C65" w:rsidR="006429B9" w:rsidRDefault="001C21E2" w:rsidP="001C21E2">
      <w:pPr>
        <w:tabs>
          <w:tab w:val="left" w:pos="5460"/>
        </w:tabs>
        <w:spacing w:after="0"/>
        <w:jc w:val="center"/>
        <w:rPr>
          <w:rFonts w:ascii="Arial" w:hAnsi="Arial" w:cs="Arial"/>
          <w:color w:val="000000"/>
          <w:sz w:val="24"/>
          <w:szCs w:val="24"/>
        </w:rPr>
      </w:pPr>
      <w:r w:rsidRPr="001C21E2">
        <w:rPr>
          <w:rFonts w:ascii="Arial" w:hAnsi="Arial" w:cs="Arial"/>
          <w:noProof/>
          <w:color w:val="000000"/>
          <w:sz w:val="24"/>
          <w:szCs w:val="24"/>
        </w:rPr>
        <w:drawing>
          <wp:inline distT="0" distB="0" distL="0" distR="0" wp14:anchorId="2F6353B1" wp14:editId="6B3FC48B">
            <wp:extent cx="6466637" cy="2432050"/>
            <wp:effectExtent l="0" t="0" r="0" b="6350"/>
            <wp:docPr id="5" name="Gráfico 5">
              <a:extLst xmlns:a="http://schemas.openxmlformats.org/drawingml/2006/main">
                <a:ext uri="{FF2B5EF4-FFF2-40B4-BE49-F238E27FC236}">
                  <a16:creationId xmlns:a16="http://schemas.microsoft.com/office/drawing/2014/main" id="{44EFDB70-23CE-5368-DFC9-D9D80E005C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C19471" w14:textId="31A1B676" w:rsidR="00DA19B2" w:rsidRDefault="00DA19B2" w:rsidP="001C21E2">
      <w:pPr>
        <w:tabs>
          <w:tab w:val="left" w:pos="5460"/>
        </w:tabs>
        <w:spacing w:after="0"/>
        <w:jc w:val="both"/>
        <w:rPr>
          <w:rFonts w:ascii="Arial Negrita" w:hAnsi="Arial Negrita" w:cs="Arial"/>
          <w:b/>
          <w:bCs/>
          <w:smallCaps/>
          <w:sz w:val="24"/>
          <w:szCs w:val="24"/>
        </w:rPr>
      </w:pPr>
    </w:p>
    <w:p w14:paraId="57C3E8C2" w14:textId="02541BF7" w:rsidR="001C21E2" w:rsidRPr="00511B07" w:rsidRDefault="00143761" w:rsidP="00511B07">
      <w:pPr>
        <w:pStyle w:val="Prrafodelista"/>
        <w:numPr>
          <w:ilvl w:val="0"/>
          <w:numId w:val="26"/>
        </w:numPr>
        <w:tabs>
          <w:tab w:val="left" w:pos="5460"/>
        </w:tabs>
        <w:spacing w:after="0"/>
        <w:jc w:val="both"/>
        <w:rPr>
          <w:rFonts w:ascii="Arial" w:hAnsi="Arial" w:cs="Arial"/>
          <w:color w:val="000000"/>
          <w:sz w:val="24"/>
          <w:szCs w:val="24"/>
        </w:rPr>
      </w:pPr>
      <w:r w:rsidRPr="00511B07">
        <w:rPr>
          <w:rFonts w:ascii="Arial Negrita" w:hAnsi="Arial Negrita" w:cs="Arial"/>
          <w:b/>
          <w:bCs/>
          <w:smallCaps/>
          <w:sz w:val="24"/>
          <w:szCs w:val="24"/>
        </w:rPr>
        <w:t>Defensoría Pública Electoral para Pueblos y Comunidades Indígenas</w:t>
      </w:r>
    </w:p>
    <w:p w14:paraId="6DA21166" w14:textId="7D8270DC" w:rsidR="00BD6E28" w:rsidRDefault="00BD6E28" w:rsidP="00B37942">
      <w:pPr>
        <w:tabs>
          <w:tab w:val="left" w:pos="5460"/>
        </w:tabs>
        <w:spacing w:after="0"/>
        <w:jc w:val="both"/>
        <w:rPr>
          <w:rFonts w:ascii="Arial" w:hAnsi="Arial" w:cs="Arial"/>
          <w:color w:val="000000"/>
          <w:sz w:val="24"/>
          <w:szCs w:val="24"/>
        </w:rPr>
      </w:pPr>
    </w:p>
    <w:p w14:paraId="23B9F7D4" w14:textId="67042904" w:rsidR="005230D8" w:rsidRDefault="00143761" w:rsidP="00802CAD">
      <w:pPr>
        <w:tabs>
          <w:tab w:val="left" w:pos="5460"/>
        </w:tabs>
        <w:spacing w:after="0"/>
        <w:jc w:val="both"/>
        <w:rPr>
          <w:rFonts w:ascii="Arial" w:hAnsi="Arial" w:cs="Arial"/>
          <w:color w:val="000000"/>
          <w:sz w:val="24"/>
          <w:szCs w:val="24"/>
        </w:rPr>
      </w:pPr>
      <w:bookmarkStart w:id="3" w:name="_Hlk106714126"/>
      <w:r>
        <w:rPr>
          <w:rFonts w:ascii="Arial" w:hAnsi="Arial" w:cs="Arial"/>
          <w:color w:val="000000"/>
          <w:sz w:val="24"/>
          <w:szCs w:val="24"/>
        </w:rPr>
        <w:t xml:space="preserve">En 2021, </w:t>
      </w:r>
      <w:r w:rsidR="00802CAD" w:rsidRPr="00802CAD">
        <w:rPr>
          <w:rFonts w:ascii="Arial" w:hAnsi="Arial" w:cs="Arial"/>
          <w:color w:val="000000"/>
          <w:sz w:val="24"/>
          <w:szCs w:val="24"/>
        </w:rPr>
        <w:t>la Defensoría Pública Electoral para Pueblos y Comunidades Indígenas contó con 17</w:t>
      </w:r>
      <w:r w:rsidR="00802CAD">
        <w:rPr>
          <w:rFonts w:ascii="Arial" w:hAnsi="Arial" w:cs="Arial"/>
          <w:color w:val="000000"/>
          <w:sz w:val="24"/>
          <w:szCs w:val="24"/>
        </w:rPr>
        <w:t xml:space="preserve"> </w:t>
      </w:r>
      <w:r w:rsidR="00802CAD" w:rsidRPr="00802CAD">
        <w:rPr>
          <w:rFonts w:ascii="Arial" w:hAnsi="Arial" w:cs="Arial"/>
          <w:color w:val="000000"/>
          <w:sz w:val="24"/>
          <w:szCs w:val="24"/>
        </w:rPr>
        <w:t>servidoras</w:t>
      </w:r>
      <w:r w:rsidR="00416356">
        <w:rPr>
          <w:rFonts w:ascii="Arial" w:hAnsi="Arial" w:cs="Arial"/>
          <w:color w:val="000000"/>
          <w:sz w:val="24"/>
          <w:szCs w:val="24"/>
        </w:rPr>
        <w:t xml:space="preserve"> y servidores</w:t>
      </w:r>
      <w:r w:rsidR="00802CAD" w:rsidRPr="00802CAD">
        <w:rPr>
          <w:rFonts w:ascii="Arial" w:hAnsi="Arial" w:cs="Arial"/>
          <w:color w:val="000000"/>
          <w:sz w:val="24"/>
          <w:szCs w:val="24"/>
        </w:rPr>
        <w:t xml:space="preserve"> públicos</w:t>
      </w:r>
      <w:r w:rsidR="00F23F1D">
        <w:rPr>
          <w:rFonts w:ascii="Arial" w:hAnsi="Arial" w:cs="Arial"/>
          <w:color w:val="000000"/>
          <w:sz w:val="24"/>
          <w:szCs w:val="24"/>
        </w:rPr>
        <w:t>. D</w:t>
      </w:r>
      <w:r w:rsidR="00802CAD" w:rsidRPr="00802CAD">
        <w:rPr>
          <w:rFonts w:ascii="Arial" w:hAnsi="Arial" w:cs="Arial"/>
          <w:color w:val="000000"/>
          <w:sz w:val="24"/>
          <w:szCs w:val="24"/>
        </w:rPr>
        <w:t>e ellos, nueve fueron defensores</w:t>
      </w:r>
      <w:r w:rsidR="002C606F">
        <w:rPr>
          <w:rFonts w:ascii="Arial" w:hAnsi="Arial" w:cs="Arial"/>
          <w:color w:val="000000"/>
          <w:sz w:val="24"/>
          <w:szCs w:val="24"/>
        </w:rPr>
        <w:t xml:space="preserve"> y</w:t>
      </w:r>
      <w:r w:rsidR="00303670">
        <w:rPr>
          <w:rFonts w:ascii="Arial" w:hAnsi="Arial" w:cs="Arial"/>
          <w:color w:val="000000"/>
          <w:sz w:val="24"/>
          <w:szCs w:val="24"/>
        </w:rPr>
        <w:t xml:space="preserve"> el resto correspondió a personal administrativo</w:t>
      </w:r>
      <w:r w:rsidR="00802CAD" w:rsidRPr="00802CAD">
        <w:rPr>
          <w:rFonts w:ascii="Arial" w:hAnsi="Arial" w:cs="Arial"/>
          <w:color w:val="000000"/>
          <w:sz w:val="24"/>
          <w:szCs w:val="24"/>
        </w:rPr>
        <w:t>. En el mismo periodo se</w:t>
      </w:r>
      <w:r w:rsidR="00802CAD">
        <w:rPr>
          <w:rFonts w:ascii="Arial" w:hAnsi="Arial" w:cs="Arial"/>
          <w:color w:val="000000"/>
          <w:sz w:val="24"/>
          <w:szCs w:val="24"/>
        </w:rPr>
        <w:t xml:space="preserve"> </w:t>
      </w:r>
      <w:r w:rsidR="00802CAD" w:rsidRPr="00802CAD">
        <w:rPr>
          <w:rFonts w:ascii="Arial" w:hAnsi="Arial" w:cs="Arial"/>
          <w:color w:val="000000"/>
          <w:sz w:val="24"/>
          <w:szCs w:val="24"/>
        </w:rPr>
        <w:t xml:space="preserve">atendieron </w:t>
      </w:r>
      <w:r w:rsidR="00F20B91">
        <w:rPr>
          <w:rFonts w:ascii="Arial" w:hAnsi="Arial" w:cs="Arial"/>
          <w:color w:val="000000"/>
          <w:sz w:val="24"/>
          <w:szCs w:val="24"/>
        </w:rPr>
        <w:t>543</w:t>
      </w:r>
      <w:r w:rsidR="00802CAD" w:rsidRPr="00802CAD">
        <w:rPr>
          <w:rFonts w:ascii="Arial" w:hAnsi="Arial" w:cs="Arial"/>
          <w:color w:val="000000"/>
          <w:sz w:val="24"/>
          <w:szCs w:val="24"/>
        </w:rPr>
        <w:t xml:space="preserve"> asuntos y servicios que comprendieron defensa y asesoría, mientras que se</w:t>
      </w:r>
      <w:r w:rsidR="00802CAD">
        <w:rPr>
          <w:rFonts w:ascii="Arial" w:hAnsi="Arial" w:cs="Arial"/>
          <w:color w:val="000000"/>
          <w:sz w:val="24"/>
          <w:szCs w:val="24"/>
        </w:rPr>
        <w:t xml:space="preserve"> </w:t>
      </w:r>
      <w:r w:rsidR="00802CAD" w:rsidRPr="00802CAD">
        <w:rPr>
          <w:rFonts w:ascii="Arial" w:hAnsi="Arial" w:cs="Arial"/>
          <w:color w:val="000000"/>
          <w:sz w:val="24"/>
          <w:szCs w:val="24"/>
        </w:rPr>
        <w:t>concluyeron y/</w:t>
      </w:r>
      <w:r w:rsidR="00237A2D">
        <w:rPr>
          <w:rFonts w:ascii="Arial" w:hAnsi="Arial" w:cs="Arial"/>
          <w:color w:val="000000"/>
          <w:sz w:val="24"/>
          <w:szCs w:val="24"/>
        </w:rPr>
        <w:t xml:space="preserve"> </w:t>
      </w:r>
      <w:r w:rsidR="00802CAD" w:rsidRPr="00802CAD">
        <w:rPr>
          <w:rFonts w:ascii="Arial" w:hAnsi="Arial" w:cs="Arial"/>
          <w:color w:val="000000"/>
          <w:sz w:val="24"/>
          <w:szCs w:val="24"/>
        </w:rPr>
        <w:t xml:space="preserve">o resolvieron </w:t>
      </w:r>
      <w:r w:rsidR="00F20B91">
        <w:rPr>
          <w:rFonts w:ascii="Arial" w:hAnsi="Arial" w:cs="Arial"/>
          <w:color w:val="000000"/>
          <w:sz w:val="24"/>
          <w:szCs w:val="24"/>
        </w:rPr>
        <w:t>258</w:t>
      </w:r>
      <w:r w:rsidR="00802CAD" w:rsidRPr="00802CAD">
        <w:rPr>
          <w:rFonts w:ascii="Arial" w:hAnsi="Arial" w:cs="Arial"/>
          <w:color w:val="000000"/>
          <w:sz w:val="24"/>
          <w:szCs w:val="24"/>
        </w:rPr>
        <w:t xml:space="preserve">. </w:t>
      </w:r>
      <w:r w:rsidR="005230D8">
        <w:rPr>
          <w:rFonts w:ascii="Arial" w:hAnsi="Arial" w:cs="Arial"/>
          <w:color w:val="000000"/>
          <w:sz w:val="24"/>
          <w:szCs w:val="24"/>
        </w:rPr>
        <w:t xml:space="preserve">Respecto a 2020, la cantidad de asuntos y servicios </w:t>
      </w:r>
      <w:r w:rsidR="00F20B91">
        <w:rPr>
          <w:rFonts w:ascii="Arial" w:hAnsi="Arial" w:cs="Arial"/>
          <w:color w:val="000000"/>
          <w:sz w:val="24"/>
          <w:szCs w:val="24"/>
        </w:rPr>
        <w:t>aumentó 87.9</w:t>
      </w:r>
      <w:r w:rsidR="00F23F1D">
        <w:rPr>
          <w:rFonts w:ascii="Arial" w:hAnsi="Arial" w:cs="Arial"/>
          <w:color w:val="000000"/>
          <w:sz w:val="24"/>
          <w:szCs w:val="24"/>
        </w:rPr>
        <w:t xml:space="preserve"> </w:t>
      </w:r>
      <w:r w:rsidR="005230D8">
        <w:rPr>
          <w:rFonts w:ascii="Arial" w:hAnsi="Arial" w:cs="Arial"/>
          <w:color w:val="000000"/>
          <w:sz w:val="24"/>
          <w:szCs w:val="24"/>
        </w:rPr>
        <w:t>%</w:t>
      </w:r>
      <w:r w:rsidR="00A15905">
        <w:rPr>
          <w:rFonts w:ascii="Arial" w:hAnsi="Arial" w:cs="Arial"/>
          <w:color w:val="000000"/>
          <w:sz w:val="24"/>
          <w:szCs w:val="24"/>
        </w:rPr>
        <w:t xml:space="preserve"> y </w:t>
      </w:r>
      <w:r w:rsidR="005230D8">
        <w:rPr>
          <w:rFonts w:ascii="Arial" w:hAnsi="Arial" w:cs="Arial"/>
          <w:color w:val="000000"/>
          <w:sz w:val="24"/>
          <w:szCs w:val="24"/>
        </w:rPr>
        <w:t xml:space="preserve">los </w:t>
      </w:r>
      <w:r w:rsidR="00A15905">
        <w:rPr>
          <w:rFonts w:ascii="Arial" w:hAnsi="Arial" w:cs="Arial"/>
          <w:color w:val="000000"/>
          <w:sz w:val="24"/>
          <w:szCs w:val="24"/>
        </w:rPr>
        <w:t xml:space="preserve">asuntos </w:t>
      </w:r>
      <w:r w:rsidR="005230D8">
        <w:rPr>
          <w:rFonts w:ascii="Arial" w:hAnsi="Arial" w:cs="Arial"/>
          <w:color w:val="000000"/>
          <w:sz w:val="24"/>
          <w:szCs w:val="24"/>
        </w:rPr>
        <w:t xml:space="preserve">concluidos </w:t>
      </w:r>
      <w:r w:rsidR="00F23F1D">
        <w:rPr>
          <w:rFonts w:ascii="Arial" w:hAnsi="Arial" w:cs="Arial"/>
          <w:color w:val="000000"/>
          <w:sz w:val="24"/>
          <w:szCs w:val="24"/>
        </w:rPr>
        <w:t xml:space="preserve">incrementaron </w:t>
      </w:r>
      <w:r w:rsidR="00F20B91">
        <w:rPr>
          <w:rFonts w:ascii="Arial" w:hAnsi="Arial" w:cs="Arial"/>
          <w:color w:val="000000"/>
          <w:sz w:val="24"/>
          <w:szCs w:val="24"/>
        </w:rPr>
        <w:t>296.9</w:t>
      </w:r>
      <w:r w:rsidR="00F23F1D">
        <w:rPr>
          <w:rFonts w:ascii="Arial" w:hAnsi="Arial" w:cs="Arial"/>
          <w:color w:val="000000"/>
          <w:sz w:val="24"/>
          <w:szCs w:val="24"/>
        </w:rPr>
        <w:t xml:space="preserve"> </w:t>
      </w:r>
      <w:r w:rsidR="005230D8">
        <w:rPr>
          <w:rFonts w:ascii="Arial" w:hAnsi="Arial" w:cs="Arial"/>
          <w:color w:val="000000"/>
          <w:sz w:val="24"/>
          <w:szCs w:val="24"/>
        </w:rPr>
        <w:t xml:space="preserve">% en 2021. </w:t>
      </w:r>
    </w:p>
    <w:bookmarkEnd w:id="3"/>
    <w:p w14:paraId="4705279C" w14:textId="77777777" w:rsidR="008349E4" w:rsidRDefault="008349E4" w:rsidP="00802CAD">
      <w:pPr>
        <w:tabs>
          <w:tab w:val="left" w:pos="5460"/>
        </w:tabs>
        <w:spacing w:after="0"/>
        <w:jc w:val="both"/>
        <w:rPr>
          <w:rFonts w:ascii="Arial" w:hAnsi="Arial" w:cs="Arial"/>
          <w:color w:val="000000"/>
          <w:sz w:val="24"/>
          <w:szCs w:val="24"/>
        </w:rPr>
      </w:pPr>
    </w:p>
    <w:p w14:paraId="44FFAE17" w14:textId="4D65B19F" w:rsidR="008349E4" w:rsidRPr="00DE7C9F" w:rsidRDefault="008349E4" w:rsidP="008349E4">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15</w:t>
      </w:r>
    </w:p>
    <w:p w14:paraId="7255147B" w14:textId="15DEAC56" w:rsidR="008349E4" w:rsidRDefault="005230D8" w:rsidP="005230D8">
      <w:pPr>
        <w:pStyle w:val="Default"/>
        <w:spacing w:after="10"/>
        <w:ind w:right="284"/>
        <w:jc w:val="center"/>
      </w:pPr>
      <w:r w:rsidRPr="005230D8">
        <w:rPr>
          <w:rFonts w:ascii="Arial Negrita" w:hAnsi="Arial Negrita"/>
          <w:b/>
          <w:bCs/>
          <w:iCs/>
          <w:smallCaps/>
          <w:color w:val="000000" w:themeColor="text1"/>
          <w:sz w:val="22"/>
          <w:szCs w:val="22"/>
        </w:rPr>
        <w:t>Asuntos y servicios conocidos por los defensores públicos, según</w:t>
      </w:r>
      <w:r>
        <w:rPr>
          <w:rFonts w:ascii="Arial Negrita" w:hAnsi="Arial Negrita"/>
          <w:b/>
          <w:bCs/>
          <w:iCs/>
          <w:smallCaps/>
          <w:color w:val="000000" w:themeColor="text1"/>
          <w:sz w:val="22"/>
          <w:szCs w:val="22"/>
        </w:rPr>
        <w:t xml:space="preserve"> </w:t>
      </w:r>
      <w:r w:rsidRPr="005230D8">
        <w:rPr>
          <w:rFonts w:ascii="Arial Negrita" w:hAnsi="Arial Negrita"/>
          <w:b/>
          <w:bCs/>
          <w:iCs/>
          <w:smallCaps/>
          <w:color w:val="000000" w:themeColor="text1"/>
          <w:sz w:val="22"/>
          <w:szCs w:val="22"/>
        </w:rPr>
        <w:t>su estatus</w:t>
      </w:r>
    </w:p>
    <w:p w14:paraId="5651EC39" w14:textId="1FE02678" w:rsidR="00567830" w:rsidRDefault="00567830" w:rsidP="00802CAD">
      <w:pPr>
        <w:tabs>
          <w:tab w:val="left" w:pos="5460"/>
        </w:tabs>
        <w:spacing w:after="0"/>
        <w:jc w:val="both"/>
        <w:rPr>
          <w:rFonts w:ascii="Arial" w:hAnsi="Arial" w:cs="Arial"/>
          <w:color w:val="000000"/>
          <w:sz w:val="24"/>
          <w:szCs w:val="24"/>
        </w:rPr>
      </w:pPr>
    </w:p>
    <w:p w14:paraId="75308250" w14:textId="45D325F6" w:rsidR="00567830" w:rsidRDefault="00567830" w:rsidP="008349E4">
      <w:pPr>
        <w:tabs>
          <w:tab w:val="left" w:pos="5460"/>
        </w:tabs>
        <w:spacing w:after="0"/>
        <w:jc w:val="center"/>
        <w:rPr>
          <w:rFonts w:ascii="Arial" w:hAnsi="Arial" w:cs="Arial"/>
          <w:color w:val="000000"/>
          <w:sz w:val="24"/>
          <w:szCs w:val="24"/>
        </w:rPr>
      </w:pPr>
      <w:r>
        <w:rPr>
          <w:noProof/>
        </w:rPr>
        <w:drawing>
          <wp:inline distT="0" distB="0" distL="0" distR="0" wp14:anchorId="506432B2" wp14:editId="5E30AD61">
            <wp:extent cx="5240655" cy="1721795"/>
            <wp:effectExtent l="0" t="0" r="0" b="0"/>
            <wp:docPr id="3" name="Gráfico 3">
              <a:extLst xmlns:a="http://schemas.openxmlformats.org/drawingml/2006/main">
                <a:ext uri="{FF2B5EF4-FFF2-40B4-BE49-F238E27FC236}">
                  <a16:creationId xmlns:a16="http://schemas.microsoft.com/office/drawing/2014/main" id="{2912F12D-9E1F-0135-821D-C4D8BA25A7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4D7B6AC" w14:textId="77777777" w:rsidR="001A4537" w:rsidRDefault="001A4537" w:rsidP="002824E0">
      <w:pPr>
        <w:tabs>
          <w:tab w:val="left" w:pos="5460"/>
        </w:tabs>
        <w:spacing w:after="0"/>
        <w:jc w:val="both"/>
        <w:rPr>
          <w:rFonts w:ascii="Arial" w:hAnsi="Arial" w:cs="Arial"/>
          <w:color w:val="000000"/>
          <w:sz w:val="24"/>
          <w:szCs w:val="24"/>
        </w:rPr>
      </w:pPr>
    </w:p>
    <w:p w14:paraId="6B9FB101" w14:textId="7302933E" w:rsidR="002504F1" w:rsidRDefault="002824E0" w:rsidP="002824E0">
      <w:pPr>
        <w:tabs>
          <w:tab w:val="left" w:pos="5460"/>
        </w:tabs>
        <w:spacing w:after="0"/>
        <w:jc w:val="both"/>
        <w:rPr>
          <w:rFonts w:ascii="Arial" w:hAnsi="Arial" w:cs="Arial"/>
          <w:color w:val="000000"/>
          <w:sz w:val="24"/>
          <w:szCs w:val="24"/>
        </w:rPr>
      </w:pPr>
      <w:r w:rsidRPr="00802CAD">
        <w:rPr>
          <w:rFonts w:ascii="Arial" w:hAnsi="Arial" w:cs="Arial"/>
          <w:color w:val="000000"/>
          <w:sz w:val="24"/>
          <w:szCs w:val="24"/>
        </w:rPr>
        <w:t xml:space="preserve">En dichos asuntos y servicios hubo </w:t>
      </w:r>
      <w:r w:rsidRPr="002824E0">
        <w:rPr>
          <w:rFonts w:ascii="Arial" w:hAnsi="Arial" w:cs="Arial"/>
          <w:color w:val="000000"/>
          <w:sz w:val="24"/>
          <w:szCs w:val="24"/>
        </w:rPr>
        <w:t>609</w:t>
      </w:r>
      <w:r w:rsidRPr="00802CAD">
        <w:rPr>
          <w:rFonts w:ascii="Arial" w:hAnsi="Arial" w:cs="Arial"/>
          <w:color w:val="000000"/>
          <w:sz w:val="24"/>
          <w:szCs w:val="24"/>
        </w:rPr>
        <w:t xml:space="preserve"> personas </w:t>
      </w:r>
      <w:r w:rsidR="00556A0F" w:rsidRPr="00556A0F">
        <w:rPr>
          <w:rFonts w:ascii="Arial" w:hAnsi="Arial" w:cs="Arial"/>
          <w:color w:val="000000"/>
          <w:sz w:val="24"/>
          <w:szCs w:val="24"/>
        </w:rPr>
        <w:t>físicas</w:t>
      </w:r>
      <w:r>
        <w:rPr>
          <w:rFonts w:ascii="Arial" w:hAnsi="Arial" w:cs="Arial"/>
          <w:color w:val="000000"/>
          <w:sz w:val="24"/>
          <w:szCs w:val="24"/>
        </w:rPr>
        <w:t xml:space="preserve"> </w:t>
      </w:r>
      <w:r w:rsidRPr="00802CAD">
        <w:rPr>
          <w:rFonts w:ascii="Arial" w:hAnsi="Arial" w:cs="Arial"/>
          <w:color w:val="000000"/>
          <w:sz w:val="24"/>
          <w:szCs w:val="24"/>
        </w:rPr>
        <w:t>involucradas</w:t>
      </w:r>
      <w:r w:rsidR="00FA3CD8">
        <w:rPr>
          <w:rFonts w:ascii="Arial" w:hAnsi="Arial" w:cs="Arial"/>
          <w:color w:val="000000"/>
          <w:sz w:val="24"/>
          <w:szCs w:val="24"/>
        </w:rPr>
        <w:t>.</w:t>
      </w:r>
      <w:r>
        <w:rPr>
          <w:rFonts w:ascii="Arial" w:hAnsi="Arial" w:cs="Arial"/>
          <w:color w:val="000000"/>
          <w:sz w:val="24"/>
          <w:szCs w:val="24"/>
        </w:rPr>
        <w:t xml:space="preserve"> </w:t>
      </w:r>
      <w:r w:rsidR="00FA3CD8">
        <w:rPr>
          <w:rFonts w:ascii="Arial" w:hAnsi="Arial" w:cs="Arial"/>
          <w:color w:val="000000"/>
          <w:sz w:val="24"/>
          <w:szCs w:val="24"/>
        </w:rPr>
        <w:t>Comparado</w:t>
      </w:r>
      <w:r w:rsidR="00556A0F">
        <w:rPr>
          <w:rFonts w:ascii="Arial" w:hAnsi="Arial" w:cs="Arial"/>
          <w:color w:val="000000"/>
          <w:sz w:val="24"/>
          <w:szCs w:val="24"/>
        </w:rPr>
        <w:t xml:space="preserve"> con la cifra reportada en 2020</w:t>
      </w:r>
      <w:r w:rsidR="00237A2D">
        <w:rPr>
          <w:rFonts w:ascii="Arial" w:hAnsi="Arial" w:cs="Arial"/>
          <w:color w:val="000000"/>
          <w:sz w:val="24"/>
          <w:szCs w:val="24"/>
        </w:rPr>
        <w:t>,</w:t>
      </w:r>
      <w:r w:rsidR="00556A0F">
        <w:rPr>
          <w:rStyle w:val="Refdenotaalpie"/>
          <w:rFonts w:ascii="Arial" w:hAnsi="Arial" w:cs="Arial"/>
          <w:color w:val="000000"/>
          <w:sz w:val="24"/>
          <w:szCs w:val="24"/>
        </w:rPr>
        <w:footnoteReference w:id="16"/>
      </w:r>
      <w:r w:rsidR="00556A0F">
        <w:rPr>
          <w:rFonts w:ascii="Arial" w:hAnsi="Arial" w:cs="Arial"/>
          <w:color w:val="000000"/>
          <w:sz w:val="24"/>
          <w:szCs w:val="24"/>
        </w:rPr>
        <w:t xml:space="preserve"> </w:t>
      </w:r>
      <w:r w:rsidR="00F23F1D">
        <w:rPr>
          <w:rFonts w:ascii="Arial" w:hAnsi="Arial" w:cs="Arial"/>
          <w:color w:val="000000"/>
          <w:sz w:val="24"/>
          <w:szCs w:val="24"/>
        </w:rPr>
        <w:t>el personal</w:t>
      </w:r>
      <w:r w:rsidR="00556A0F">
        <w:rPr>
          <w:rFonts w:ascii="Arial" w:hAnsi="Arial" w:cs="Arial"/>
          <w:color w:val="000000"/>
          <w:sz w:val="24"/>
          <w:szCs w:val="24"/>
        </w:rPr>
        <w:t xml:space="preserve"> aumentó 51.5</w:t>
      </w:r>
      <w:r w:rsidR="00F23F1D">
        <w:rPr>
          <w:rFonts w:ascii="Arial" w:hAnsi="Arial" w:cs="Arial"/>
          <w:color w:val="000000"/>
          <w:sz w:val="24"/>
          <w:szCs w:val="24"/>
        </w:rPr>
        <w:t xml:space="preserve"> </w:t>
      </w:r>
      <w:r w:rsidR="00C8693E">
        <w:rPr>
          <w:rFonts w:ascii="Arial" w:hAnsi="Arial" w:cs="Arial"/>
          <w:color w:val="000000"/>
          <w:sz w:val="24"/>
          <w:szCs w:val="24"/>
        </w:rPr>
        <w:t>por ciento</w:t>
      </w:r>
      <w:r w:rsidR="00556A0F">
        <w:rPr>
          <w:rFonts w:ascii="Arial" w:hAnsi="Arial" w:cs="Arial"/>
          <w:color w:val="000000"/>
          <w:sz w:val="24"/>
          <w:szCs w:val="24"/>
        </w:rPr>
        <w:t xml:space="preserve">. </w:t>
      </w:r>
      <w:r w:rsidR="002504F1">
        <w:rPr>
          <w:rFonts w:ascii="Arial" w:hAnsi="Arial" w:cs="Arial"/>
          <w:color w:val="000000"/>
          <w:sz w:val="24"/>
          <w:szCs w:val="24"/>
        </w:rPr>
        <w:t>De acuerdo con el p</w:t>
      </w:r>
      <w:r w:rsidR="002504F1" w:rsidRPr="002504F1">
        <w:rPr>
          <w:rFonts w:ascii="Arial" w:hAnsi="Arial" w:cs="Arial"/>
          <w:color w:val="000000"/>
          <w:sz w:val="24"/>
          <w:szCs w:val="24"/>
        </w:rPr>
        <w:t>ueblo indígena de pertenencia</w:t>
      </w:r>
      <w:r w:rsidR="002504F1">
        <w:rPr>
          <w:rFonts w:ascii="Arial" w:hAnsi="Arial" w:cs="Arial"/>
          <w:color w:val="000000"/>
          <w:sz w:val="24"/>
          <w:szCs w:val="24"/>
        </w:rPr>
        <w:t>, 26.6</w:t>
      </w:r>
      <w:r w:rsidR="00F23F1D">
        <w:rPr>
          <w:rFonts w:ascii="Arial" w:hAnsi="Arial" w:cs="Arial"/>
          <w:color w:val="000000"/>
          <w:sz w:val="24"/>
          <w:szCs w:val="24"/>
        </w:rPr>
        <w:t xml:space="preserve"> </w:t>
      </w:r>
      <w:r w:rsidR="002504F1">
        <w:rPr>
          <w:rFonts w:ascii="Arial" w:hAnsi="Arial" w:cs="Arial"/>
          <w:color w:val="000000"/>
          <w:sz w:val="24"/>
          <w:szCs w:val="24"/>
        </w:rPr>
        <w:t xml:space="preserve">% </w:t>
      </w:r>
      <w:r w:rsidR="0029759E">
        <w:rPr>
          <w:rFonts w:ascii="Arial" w:hAnsi="Arial" w:cs="Arial"/>
          <w:color w:val="000000"/>
          <w:sz w:val="24"/>
          <w:szCs w:val="24"/>
        </w:rPr>
        <w:t>de dichas personas pertenecieron</w:t>
      </w:r>
      <w:r w:rsidR="002504F1">
        <w:rPr>
          <w:rFonts w:ascii="Arial" w:hAnsi="Arial" w:cs="Arial"/>
          <w:color w:val="000000"/>
          <w:sz w:val="24"/>
          <w:szCs w:val="24"/>
        </w:rPr>
        <w:t xml:space="preserve"> al n</w:t>
      </w:r>
      <w:r w:rsidR="002504F1" w:rsidRPr="002504F1">
        <w:rPr>
          <w:rFonts w:ascii="Arial" w:hAnsi="Arial" w:cs="Arial"/>
          <w:color w:val="000000"/>
          <w:sz w:val="24"/>
          <w:szCs w:val="24"/>
        </w:rPr>
        <w:t>áhuatl</w:t>
      </w:r>
      <w:r w:rsidR="0029759E">
        <w:rPr>
          <w:rFonts w:ascii="Arial" w:hAnsi="Arial" w:cs="Arial"/>
          <w:color w:val="000000"/>
          <w:sz w:val="24"/>
          <w:szCs w:val="24"/>
        </w:rPr>
        <w:t xml:space="preserve">. </w:t>
      </w:r>
    </w:p>
    <w:p w14:paraId="1104B0B1" w14:textId="77777777" w:rsidR="0029759E" w:rsidRDefault="0029759E" w:rsidP="002824E0">
      <w:pPr>
        <w:tabs>
          <w:tab w:val="left" w:pos="5460"/>
        </w:tabs>
        <w:spacing w:after="0"/>
        <w:jc w:val="both"/>
        <w:rPr>
          <w:rFonts w:ascii="Arial" w:hAnsi="Arial" w:cs="Arial"/>
          <w:color w:val="000000"/>
          <w:sz w:val="24"/>
          <w:szCs w:val="24"/>
        </w:rPr>
      </w:pPr>
    </w:p>
    <w:p w14:paraId="14B2C9C7" w14:textId="43E01C55" w:rsidR="0029759E" w:rsidRPr="00DE7C9F" w:rsidRDefault="0029759E" w:rsidP="0029759E">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16</w:t>
      </w:r>
    </w:p>
    <w:p w14:paraId="29F3A359" w14:textId="22B95F2C" w:rsidR="0029759E" w:rsidRDefault="0029759E" w:rsidP="0029759E">
      <w:pPr>
        <w:pStyle w:val="Default"/>
        <w:spacing w:after="10"/>
        <w:ind w:right="284"/>
        <w:jc w:val="center"/>
        <w:rPr>
          <w:rFonts w:ascii="Arial Negrita" w:hAnsi="Arial Negrita"/>
          <w:b/>
          <w:bCs/>
          <w:iCs/>
          <w:smallCaps/>
          <w:color w:val="000000" w:themeColor="text1"/>
          <w:sz w:val="22"/>
          <w:szCs w:val="22"/>
        </w:rPr>
      </w:pPr>
      <w:r w:rsidRPr="0029759E">
        <w:rPr>
          <w:rFonts w:ascii="Arial Negrita" w:hAnsi="Arial Negrita"/>
          <w:b/>
          <w:bCs/>
          <w:iCs/>
          <w:smallCaps/>
          <w:color w:val="000000" w:themeColor="text1"/>
          <w:sz w:val="22"/>
          <w:szCs w:val="22"/>
        </w:rPr>
        <w:t>Personas físicas involucradas en los asuntos y en los servicios atendidos, según</w:t>
      </w:r>
      <w:r w:rsidRPr="0029759E">
        <w:t xml:space="preserve"> </w:t>
      </w:r>
      <w:r>
        <w:rPr>
          <w:rFonts w:ascii="Arial Negrita" w:hAnsi="Arial Negrita"/>
          <w:b/>
          <w:bCs/>
          <w:iCs/>
          <w:smallCaps/>
          <w:color w:val="000000" w:themeColor="text1"/>
          <w:sz w:val="22"/>
          <w:szCs w:val="22"/>
        </w:rPr>
        <w:t>p</w:t>
      </w:r>
      <w:r w:rsidRPr="0029759E">
        <w:rPr>
          <w:rFonts w:ascii="Arial Negrita" w:hAnsi="Arial Negrita"/>
          <w:b/>
          <w:bCs/>
          <w:iCs/>
          <w:smallCaps/>
          <w:color w:val="000000" w:themeColor="text1"/>
          <w:sz w:val="22"/>
          <w:szCs w:val="22"/>
        </w:rPr>
        <w:t>ueblo indígena de pertenencia</w:t>
      </w:r>
    </w:p>
    <w:p w14:paraId="0F72FC18" w14:textId="77777777" w:rsidR="0029759E" w:rsidRDefault="0029759E" w:rsidP="0029759E">
      <w:pPr>
        <w:pStyle w:val="Default"/>
        <w:spacing w:after="10"/>
        <w:ind w:right="284"/>
        <w:jc w:val="center"/>
        <w:rPr>
          <w:bCs/>
          <w:iCs/>
          <w:smallCaps/>
          <w:color w:val="000000" w:themeColor="text1"/>
          <w:sz w:val="18"/>
          <w:szCs w:val="18"/>
        </w:rPr>
      </w:pPr>
      <w:r w:rsidRPr="006844D3">
        <w:rPr>
          <w:bCs/>
          <w:iCs/>
          <w:smallCaps/>
          <w:color w:val="000000" w:themeColor="text1"/>
          <w:sz w:val="18"/>
          <w:szCs w:val="18"/>
        </w:rPr>
        <w:t>2021</w:t>
      </w:r>
    </w:p>
    <w:p w14:paraId="3C84E923" w14:textId="454B9877" w:rsidR="0029759E" w:rsidRDefault="0029759E" w:rsidP="0029759E">
      <w:pPr>
        <w:pStyle w:val="Default"/>
        <w:spacing w:after="10"/>
        <w:ind w:right="284"/>
        <w:jc w:val="center"/>
      </w:pPr>
      <w:r>
        <w:rPr>
          <w:noProof/>
        </w:rPr>
        <w:drawing>
          <wp:inline distT="0" distB="0" distL="0" distR="0" wp14:anchorId="0347E12C" wp14:editId="6CBFBED2">
            <wp:extent cx="6152083" cy="2224405"/>
            <wp:effectExtent l="0" t="0" r="1270" b="4445"/>
            <wp:docPr id="8" name="Gráfico 8">
              <a:extLst xmlns:a="http://schemas.openxmlformats.org/drawingml/2006/main">
                <a:ext uri="{FF2B5EF4-FFF2-40B4-BE49-F238E27FC236}">
                  <a16:creationId xmlns:a16="http://schemas.microsoft.com/office/drawing/2014/main" id="{8C78CB80-B78D-B442-90C4-D35736257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24D684" w14:textId="53180176" w:rsidR="00A908A9" w:rsidRDefault="00A908A9" w:rsidP="00A908A9">
      <w:pPr>
        <w:pStyle w:val="Default"/>
        <w:spacing w:after="10"/>
        <w:ind w:right="284"/>
        <w:jc w:val="both"/>
        <w:rPr>
          <w:sz w:val="16"/>
          <w:szCs w:val="16"/>
        </w:rPr>
      </w:pPr>
      <w:r w:rsidRPr="00A908A9">
        <w:rPr>
          <w:sz w:val="16"/>
          <w:szCs w:val="16"/>
        </w:rPr>
        <w:t xml:space="preserve">Nota: </w:t>
      </w:r>
      <w:r w:rsidR="00231479">
        <w:rPr>
          <w:sz w:val="16"/>
          <w:szCs w:val="16"/>
        </w:rPr>
        <w:t>N</w:t>
      </w:r>
      <w:r w:rsidRPr="00A908A9">
        <w:rPr>
          <w:sz w:val="16"/>
          <w:szCs w:val="16"/>
        </w:rPr>
        <w:t xml:space="preserve">o se grafica la categoría </w:t>
      </w:r>
      <w:r w:rsidR="00231479">
        <w:rPr>
          <w:sz w:val="16"/>
          <w:szCs w:val="16"/>
        </w:rPr>
        <w:t>«</w:t>
      </w:r>
      <w:r w:rsidRPr="00A908A9">
        <w:rPr>
          <w:sz w:val="16"/>
          <w:szCs w:val="16"/>
        </w:rPr>
        <w:t>No identificado</w:t>
      </w:r>
      <w:r w:rsidR="00231479">
        <w:rPr>
          <w:sz w:val="16"/>
          <w:szCs w:val="16"/>
        </w:rPr>
        <w:t>»</w:t>
      </w:r>
      <w:r w:rsidRPr="00A908A9">
        <w:rPr>
          <w:sz w:val="16"/>
          <w:szCs w:val="16"/>
        </w:rPr>
        <w:t xml:space="preserve"> correspondiente a 10.</w:t>
      </w:r>
      <w:r w:rsidR="00604328">
        <w:rPr>
          <w:sz w:val="16"/>
          <w:szCs w:val="16"/>
        </w:rPr>
        <w:t>7</w:t>
      </w:r>
      <w:r w:rsidR="00F23F1D">
        <w:rPr>
          <w:sz w:val="16"/>
          <w:szCs w:val="16"/>
        </w:rPr>
        <w:t xml:space="preserve"> </w:t>
      </w:r>
      <w:r w:rsidR="00C8693E">
        <w:rPr>
          <w:sz w:val="16"/>
          <w:szCs w:val="16"/>
        </w:rPr>
        <w:t>por ciento</w:t>
      </w:r>
      <w:r w:rsidRPr="00A908A9">
        <w:rPr>
          <w:sz w:val="16"/>
          <w:szCs w:val="16"/>
        </w:rPr>
        <w:t>.</w:t>
      </w:r>
    </w:p>
    <w:p w14:paraId="220EB948" w14:textId="77777777" w:rsidR="00237A2D" w:rsidRDefault="00237A2D" w:rsidP="00A908A9">
      <w:pPr>
        <w:pStyle w:val="Default"/>
        <w:spacing w:after="10"/>
        <w:ind w:right="284"/>
        <w:jc w:val="both"/>
      </w:pPr>
    </w:p>
    <w:p w14:paraId="4755D60D" w14:textId="0D218FD6" w:rsidR="00BD6E28" w:rsidRPr="00511B07" w:rsidRDefault="00A908A9" w:rsidP="00BA306B">
      <w:pPr>
        <w:pStyle w:val="Prrafodelista"/>
        <w:numPr>
          <w:ilvl w:val="0"/>
          <w:numId w:val="26"/>
        </w:numPr>
        <w:tabs>
          <w:tab w:val="left" w:pos="5460"/>
        </w:tabs>
        <w:spacing w:after="0"/>
        <w:jc w:val="both"/>
        <w:rPr>
          <w:rFonts w:ascii="Arial Negrita" w:hAnsi="Arial Negrita" w:cs="Arial"/>
          <w:b/>
          <w:bCs/>
          <w:smallCaps/>
          <w:sz w:val="24"/>
          <w:szCs w:val="24"/>
        </w:rPr>
      </w:pPr>
      <w:r w:rsidRPr="00511B07">
        <w:rPr>
          <w:rFonts w:ascii="Arial Negrita" w:hAnsi="Arial Negrita" w:cs="Arial"/>
          <w:b/>
          <w:bCs/>
          <w:smallCaps/>
          <w:sz w:val="24"/>
          <w:szCs w:val="24"/>
        </w:rPr>
        <w:t>Instituto Federal de Defensoría Pública</w:t>
      </w:r>
      <w:r w:rsidRPr="00511B07">
        <w:rPr>
          <w:rFonts w:ascii="Arial Negrita" w:hAnsi="Arial Negrita" w:cs="Arial"/>
          <w:b/>
          <w:bCs/>
          <w:smallCaps/>
          <w:sz w:val="24"/>
          <w:szCs w:val="24"/>
        </w:rPr>
        <w:cr/>
      </w:r>
    </w:p>
    <w:p w14:paraId="61E137DF" w14:textId="5AFCFB95" w:rsidR="005C7D32" w:rsidRDefault="005C7D32" w:rsidP="005C7D32">
      <w:pPr>
        <w:tabs>
          <w:tab w:val="left" w:pos="5460"/>
        </w:tabs>
        <w:spacing w:after="0"/>
        <w:jc w:val="both"/>
        <w:rPr>
          <w:rFonts w:ascii="Arial" w:hAnsi="Arial" w:cs="Arial"/>
          <w:color w:val="000000"/>
          <w:sz w:val="24"/>
          <w:szCs w:val="24"/>
        </w:rPr>
      </w:pPr>
      <w:bookmarkStart w:id="4" w:name="_Hlk106714186"/>
      <w:r w:rsidRPr="005C7D32">
        <w:rPr>
          <w:rFonts w:ascii="Arial" w:hAnsi="Arial" w:cs="Arial"/>
          <w:color w:val="000000"/>
          <w:sz w:val="24"/>
          <w:szCs w:val="24"/>
        </w:rPr>
        <w:t>Al cierre de 202</w:t>
      </w:r>
      <w:r w:rsidR="00543030">
        <w:rPr>
          <w:rFonts w:ascii="Arial" w:hAnsi="Arial" w:cs="Arial"/>
          <w:color w:val="000000"/>
          <w:sz w:val="24"/>
          <w:szCs w:val="24"/>
        </w:rPr>
        <w:t>1</w:t>
      </w:r>
      <w:r w:rsidRPr="005C7D32">
        <w:rPr>
          <w:rFonts w:ascii="Arial" w:hAnsi="Arial" w:cs="Arial"/>
          <w:color w:val="000000"/>
          <w:sz w:val="24"/>
          <w:szCs w:val="24"/>
        </w:rPr>
        <w:t xml:space="preserve">, el Instituto Federal de Defensoría Pública contó con </w:t>
      </w:r>
      <w:r w:rsidR="00543030" w:rsidRPr="00543030">
        <w:rPr>
          <w:rFonts w:ascii="Arial" w:hAnsi="Arial" w:cs="Arial"/>
          <w:color w:val="000000"/>
          <w:sz w:val="24"/>
          <w:szCs w:val="24"/>
        </w:rPr>
        <w:t>2</w:t>
      </w:r>
      <w:r w:rsidR="00F23F1D">
        <w:rPr>
          <w:rFonts w:ascii="Arial" w:hAnsi="Arial" w:cs="Arial"/>
          <w:color w:val="000000"/>
          <w:sz w:val="24"/>
          <w:szCs w:val="24"/>
        </w:rPr>
        <w:t xml:space="preserve"> </w:t>
      </w:r>
      <w:r w:rsidR="00543030" w:rsidRPr="00543030">
        <w:rPr>
          <w:rFonts w:ascii="Arial" w:hAnsi="Arial" w:cs="Arial"/>
          <w:color w:val="000000"/>
          <w:sz w:val="24"/>
          <w:szCs w:val="24"/>
        </w:rPr>
        <w:t>903</w:t>
      </w:r>
      <w:r w:rsidR="00543030">
        <w:rPr>
          <w:rFonts w:ascii="Arial" w:hAnsi="Arial" w:cs="Arial"/>
          <w:color w:val="000000"/>
          <w:sz w:val="24"/>
          <w:szCs w:val="24"/>
        </w:rPr>
        <w:t xml:space="preserve"> </w:t>
      </w:r>
      <w:r w:rsidRPr="005C7D32">
        <w:rPr>
          <w:rFonts w:ascii="Arial" w:hAnsi="Arial" w:cs="Arial"/>
          <w:color w:val="000000"/>
          <w:sz w:val="24"/>
          <w:szCs w:val="24"/>
        </w:rPr>
        <w:t>servidoras y</w:t>
      </w:r>
      <w:r>
        <w:rPr>
          <w:rFonts w:ascii="Arial" w:hAnsi="Arial" w:cs="Arial"/>
          <w:color w:val="000000"/>
          <w:sz w:val="24"/>
          <w:szCs w:val="24"/>
        </w:rPr>
        <w:t xml:space="preserve"> </w:t>
      </w:r>
      <w:r w:rsidRPr="005C7D32">
        <w:rPr>
          <w:rFonts w:ascii="Arial" w:hAnsi="Arial" w:cs="Arial"/>
          <w:color w:val="000000"/>
          <w:sz w:val="24"/>
          <w:szCs w:val="24"/>
        </w:rPr>
        <w:t>servidores públicos</w:t>
      </w:r>
      <w:r w:rsidR="00237A2D">
        <w:rPr>
          <w:rFonts w:ascii="Arial" w:hAnsi="Arial" w:cs="Arial"/>
          <w:color w:val="000000"/>
          <w:sz w:val="24"/>
          <w:szCs w:val="24"/>
        </w:rPr>
        <w:t xml:space="preserve">; </w:t>
      </w:r>
      <w:r w:rsidR="008C58E4" w:rsidRPr="008C58E4">
        <w:rPr>
          <w:rFonts w:ascii="Arial" w:hAnsi="Arial" w:cs="Arial"/>
          <w:color w:val="000000"/>
          <w:sz w:val="24"/>
          <w:szCs w:val="24"/>
        </w:rPr>
        <w:t>1</w:t>
      </w:r>
      <w:r w:rsidR="00F23F1D">
        <w:rPr>
          <w:rFonts w:ascii="Arial" w:hAnsi="Arial" w:cs="Arial"/>
          <w:color w:val="000000"/>
          <w:sz w:val="24"/>
          <w:szCs w:val="24"/>
        </w:rPr>
        <w:t xml:space="preserve"> </w:t>
      </w:r>
      <w:r w:rsidR="008C58E4" w:rsidRPr="008C58E4">
        <w:rPr>
          <w:rFonts w:ascii="Arial" w:hAnsi="Arial" w:cs="Arial"/>
          <w:color w:val="000000"/>
          <w:sz w:val="24"/>
          <w:szCs w:val="24"/>
        </w:rPr>
        <w:t>142</w:t>
      </w:r>
      <w:r w:rsidR="008C58E4">
        <w:rPr>
          <w:rFonts w:ascii="Arial" w:hAnsi="Arial" w:cs="Arial"/>
          <w:color w:val="000000"/>
          <w:sz w:val="24"/>
          <w:szCs w:val="24"/>
        </w:rPr>
        <w:t xml:space="preserve"> </w:t>
      </w:r>
      <w:r w:rsidRPr="005C7D32">
        <w:rPr>
          <w:rFonts w:ascii="Arial" w:hAnsi="Arial" w:cs="Arial"/>
          <w:color w:val="000000"/>
          <w:sz w:val="24"/>
          <w:szCs w:val="24"/>
        </w:rPr>
        <w:t>se desempeñaron como defensores públicos y</w:t>
      </w:r>
      <w:r>
        <w:rPr>
          <w:rFonts w:ascii="Arial" w:hAnsi="Arial" w:cs="Arial"/>
          <w:color w:val="000000"/>
          <w:sz w:val="24"/>
          <w:szCs w:val="24"/>
        </w:rPr>
        <w:t xml:space="preserve"> </w:t>
      </w:r>
      <w:r w:rsidRPr="005C7D32">
        <w:rPr>
          <w:rFonts w:ascii="Arial" w:hAnsi="Arial" w:cs="Arial"/>
          <w:color w:val="000000"/>
          <w:sz w:val="24"/>
          <w:szCs w:val="24"/>
        </w:rPr>
        <w:t xml:space="preserve">asesores jurídicos (cifra que representó </w:t>
      </w:r>
      <w:r w:rsidR="008C58E4">
        <w:rPr>
          <w:rFonts w:ascii="Arial" w:hAnsi="Arial" w:cs="Arial"/>
          <w:color w:val="000000"/>
          <w:sz w:val="24"/>
          <w:szCs w:val="24"/>
        </w:rPr>
        <w:t>39.3</w:t>
      </w:r>
      <w:r w:rsidR="00F23F1D">
        <w:rPr>
          <w:rFonts w:ascii="Arial" w:hAnsi="Arial" w:cs="Arial"/>
          <w:color w:val="000000"/>
          <w:sz w:val="24"/>
          <w:szCs w:val="24"/>
        </w:rPr>
        <w:t xml:space="preserve"> </w:t>
      </w:r>
      <w:r w:rsidR="00543030">
        <w:rPr>
          <w:rFonts w:ascii="Arial" w:hAnsi="Arial" w:cs="Arial"/>
          <w:color w:val="000000"/>
          <w:sz w:val="24"/>
          <w:szCs w:val="24"/>
        </w:rPr>
        <w:t>%)</w:t>
      </w:r>
      <w:r w:rsidRPr="005C7D32">
        <w:rPr>
          <w:rFonts w:ascii="Arial" w:hAnsi="Arial" w:cs="Arial"/>
          <w:color w:val="000000"/>
          <w:sz w:val="24"/>
          <w:szCs w:val="24"/>
        </w:rPr>
        <w:t>.</w:t>
      </w:r>
      <w:r w:rsidR="00FF6BAC">
        <w:rPr>
          <w:rFonts w:ascii="Arial" w:hAnsi="Arial" w:cs="Arial"/>
          <w:color w:val="000000"/>
          <w:sz w:val="24"/>
          <w:szCs w:val="24"/>
        </w:rPr>
        <w:t xml:space="preserve"> La</w:t>
      </w:r>
      <w:r w:rsidR="008C58E4">
        <w:rPr>
          <w:rFonts w:ascii="Arial" w:hAnsi="Arial" w:cs="Arial"/>
          <w:color w:val="000000"/>
          <w:sz w:val="24"/>
          <w:szCs w:val="24"/>
        </w:rPr>
        <w:t xml:space="preserve"> cantidad de </w:t>
      </w:r>
      <w:r w:rsidR="008C58E4" w:rsidRPr="005C7D32">
        <w:rPr>
          <w:rFonts w:ascii="Arial" w:hAnsi="Arial" w:cs="Arial"/>
          <w:color w:val="000000"/>
          <w:sz w:val="24"/>
          <w:szCs w:val="24"/>
        </w:rPr>
        <w:t>defensores públicos y</w:t>
      </w:r>
      <w:r w:rsidR="008C58E4">
        <w:rPr>
          <w:rFonts w:ascii="Arial" w:hAnsi="Arial" w:cs="Arial"/>
          <w:color w:val="000000"/>
          <w:sz w:val="24"/>
          <w:szCs w:val="24"/>
        </w:rPr>
        <w:t xml:space="preserve"> </w:t>
      </w:r>
      <w:r w:rsidR="008C58E4" w:rsidRPr="005C7D32">
        <w:rPr>
          <w:rFonts w:ascii="Arial" w:hAnsi="Arial" w:cs="Arial"/>
          <w:color w:val="000000"/>
          <w:sz w:val="24"/>
          <w:szCs w:val="24"/>
        </w:rPr>
        <w:t>asesores jurídicos</w:t>
      </w:r>
      <w:r w:rsidR="008C58E4">
        <w:rPr>
          <w:rFonts w:ascii="Arial" w:hAnsi="Arial" w:cs="Arial"/>
          <w:color w:val="000000"/>
          <w:sz w:val="24"/>
          <w:szCs w:val="24"/>
        </w:rPr>
        <w:t xml:space="preserve"> aumentó 2.3</w:t>
      </w:r>
      <w:r w:rsidR="00A73859">
        <w:rPr>
          <w:rFonts w:ascii="Arial" w:hAnsi="Arial" w:cs="Arial"/>
          <w:color w:val="000000"/>
          <w:sz w:val="24"/>
          <w:szCs w:val="24"/>
        </w:rPr>
        <w:t xml:space="preserve"> </w:t>
      </w:r>
      <w:r w:rsidR="008C58E4">
        <w:rPr>
          <w:rFonts w:ascii="Arial" w:hAnsi="Arial" w:cs="Arial"/>
          <w:color w:val="000000"/>
          <w:sz w:val="24"/>
          <w:szCs w:val="24"/>
        </w:rPr>
        <w:t>% en 2021</w:t>
      </w:r>
      <w:r w:rsidR="0002586E">
        <w:rPr>
          <w:rFonts w:ascii="Arial" w:hAnsi="Arial" w:cs="Arial"/>
          <w:color w:val="000000"/>
          <w:sz w:val="24"/>
          <w:szCs w:val="24"/>
        </w:rPr>
        <w:t xml:space="preserve">, comparado con la cifra de </w:t>
      </w:r>
      <w:r w:rsidR="00A93937">
        <w:rPr>
          <w:rFonts w:ascii="Arial" w:hAnsi="Arial" w:cs="Arial"/>
          <w:color w:val="000000"/>
          <w:sz w:val="24"/>
          <w:szCs w:val="24"/>
        </w:rPr>
        <w:t>1 116</w:t>
      </w:r>
      <w:r w:rsidR="00284859">
        <w:rPr>
          <w:rFonts w:ascii="Arial" w:hAnsi="Arial" w:cs="Arial"/>
          <w:color w:val="000000"/>
          <w:sz w:val="24"/>
          <w:szCs w:val="24"/>
        </w:rPr>
        <w:t xml:space="preserve"> reportada </w:t>
      </w:r>
      <w:r w:rsidR="0071600D">
        <w:rPr>
          <w:rFonts w:ascii="Arial" w:hAnsi="Arial" w:cs="Arial"/>
          <w:color w:val="000000"/>
          <w:sz w:val="24"/>
          <w:szCs w:val="24"/>
        </w:rPr>
        <w:t>en 2020</w:t>
      </w:r>
      <w:r w:rsidR="008C58E4">
        <w:rPr>
          <w:rFonts w:ascii="Arial" w:hAnsi="Arial" w:cs="Arial"/>
          <w:color w:val="000000"/>
          <w:sz w:val="24"/>
          <w:szCs w:val="24"/>
        </w:rPr>
        <w:t xml:space="preserve">. </w:t>
      </w:r>
    </w:p>
    <w:p w14:paraId="2785E401" w14:textId="77777777" w:rsidR="005C7D32" w:rsidRPr="005C7D32" w:rsidRDefault="005C7D32" w:rsidP="005C7D32">
      <w:pPr>
        <w:tabs>
          <w:tab w:val="left" w:pos="5460"/>
        </w:tabs>
        <w:spacing w:after="0"/>
        <w:jc w:val="both"/>
        <w:rPr>
          <w:rFonts w:ascii="Arial" w:hAnsi="Arial" w:cs="Arial"/>
          <w:color w:val="000000"/>
          <w:sz w:val="24"/>
          <w:szCs w:val="24"/>
        </w:rPr>
      </w:pPr>
    </w:p>
    <w:p w14:paraId="182951D6" w14:textId="67EE11A8" w:rsidR="005C7D32" w:rsidRPr="005C7D32" w:rsidRDefault="005C7D32" w:rsidP="005C7D32">
      <w:pPr>
        <w:tabs>
          <w:tab w:val="left" w:pos="5460"/>
        </w:tabs>
        <w:spacing w:after="0"/>
        <w:jc w:val="both"/>
        <w:rPr>
          <w:rFonts w:ascii="Arial" w:hAnsi="Arial" w:cs="Arial"/>
          <w:color w:val="000000"/>
          <w:sz w:val="24"/>
          <w:szCs w:val="24"/>
        </w:rPr>
      </w:pPr>
      <w:r w:rsidRPr="005C7D32">
        <w:rPr>
          <w:rFonts w:ascii="Arial" w:hAnsi="Arial" w:cs="Arial"/>
          <w:color w:val="000000"/>
          <w:sz w:val="24"/>
          <w:szCs w:val="24"/>
        </w:rPr>
        <w:t xml:space="preserve">En el mismo periodo se atendieron </w:t>
      </w:r>
      <w:r w:rsidR="0067684F" w:rsidRPr="0067684F">
        <w:rPr>
          <w:rFonts w:ascii="Arial" w:hAnsi="Arial" w:cs="Arial"/>
          <w:color w:val="000000"/>
          <w:sz w:val="24"/>
          <w:szCs w:val="24"/>
        </w:rPr>
        <w:t>99</w:t>
      </w:r>
      <w:r w:rsidR="00A73859">
        <w:rPr>
          <w:rFonts w:ascii="Arial" w:hAnsi="Arial" w:cs="Arial"/>
          <w:color w:val="000000"/>
          <w:sz w:val="24"/>
          <w:szCs w:val="24"/>
        </w:rPr>
        <w:t xml:space="preserve"> </w:t>
      </w:r>
      <w:r w:rsidR="0067684F" w:rsidRPr="0067684F">
        <w:rPr>
          <w:rFonts w:ascii="Arial" w:hAnsi="Arial" w:cs="Arial"/>
          <w:color w:val="000000"/>
          <w:sz w:val="24"/>
          <w:szCs w:val="24"/>
        </w:rPr>
        <w:t xml:space="preserve">772 </w:t>
      </w:r>
      <w:r w:rsidRPr="005C7D32">
        <w:rPr>
          <w:rFonts w:ascii="Arial" w:hAnsi="Arial" w:cs="Arial"/>
          <w:color w:val="000000"/>
          <w:sz w:val="24"/>
          <w:szCs w:val="24"/>
        </w:rPr>
        <w:t>asuntos y servicios y se concluyeron y/</w:t>
      </w:r>
      <w:r w:rsidR="00237A2D">
        <w:rPr>
          <w:rFonts w:ascii="Arial" w:hAnsi="Arial" w:cs="Arial"/>
          <w:color w:val="000000"/>
          <w:sz w:val="24"/>
          <w:szCs w:val="24"/>
        </w:rPr>
        <w:t xml:space="preserve"> </w:t>
      </w:r>
      <w:r w:rsidRPr="005C7D32">
        <w:rPr>
          <w:rFonts w:ascii="Arial" w:hAnsi="Arial" w:cs="Arial"/>
          <w:color w:val="000000"/>
          <w:sz w:val="24"/>
          <w:szCs w:val="24"/>
        </w:rPr>
        <w:t>o resolvieron</w:t>
      </w:r>
    </w:p>
    <w:p w14:paraId="7916FB85" w14:textId="2F575110" w:rsidR="005C7D32" w:rsidRDefault="0067684F" w:rsidP="005C7D32">
      <w:pPr>
        <w:tabs>
          <w:tab w:val="left" w:pos="5460"/>
        </w:tabs>
        <w:spacing w:after="0"/>
        <w:jc w:val="both"/>
        <w:rPr>
          <w:rFonts w:ascii="Arial" w:hAnsi="Arial" w:cs="Arial"/>
          <w:color w:val="000000"/>
          <w:sz w:val="24"/>
          <w:szCs w:val="24"/>
        </w:rPr>
      </w:pPr>
      <w:r w:rsidRPr="0067684F">
        <w:rPr>
          <w:rFonts w:ascii="Arial" w:hAnsi="Arial" w:cs="Arial"/>
          <w:color w:val="000000"/>
          <w:sz w:val="24"/>
          <w:szCs w:val="24"/>
        </w:rPr>
        <w:t>83</w:t>
      </w:r>
      <w:r w:rsidR="00A73859">
        <w:rPr>
          <w:rFonts w:ascii="Arial" w:hAnsi="Arial" w:cs="Arial"/>
          <w:color w:val="000000"/>
          <w:sz w:val="24"/>
          <w:szCs w:val="24"/>
        </w:rPr>
        <w:t xml:space="preserve"> </w:t>
      </w:r>
      <w:r w:rsidRPr="0067684F">
        <w:rPr>
          <w:rFonts w:ascii="Arial" w:hAnsi="Arial" w:cs="Arial"/>
          <w:color w:val="000000"/>
          <w:sz w:val="24"/>
          <w:szCs w:val="24"/>
        </w:rPr>
        <w:t>715</w:t>
      </w:r>
      <w:r w:rsidR="00686705">
        <w:rPr>
          <w:rFonts w:ascii="Arial" w:hAnsi="Arial" w:cs="Arial"/>
          <w:color w:val="000000"/>
          <w:sz w:val="24"/>
          <w:szCs w:val="24"/>
        </w:rPr>
        <w:t xml:space="preserve">. </w:t>
      </w:r>
      <w:r w:rsidR="00237A2D">
        <w:rPr>
          <w:rFonts w:ascii="Arial" w:hAnsi="Arial" w:cs="Arial"/>
          <w:color w:val="000000"/>
          <w:sz w:val="24"/>
          <w:szCs w:val="24"/>
        </w:rPr>
        <w:t xml:space="preserve">Lo anterior </w:t>
      </w:r>
      <w:r w:rsidR="005C7D32" w:rsidRPr="005C7D32">
        <w:rPr>
          <w:rFonts w:ascii="Arial" w:hAnsi="Arial" w:cs="Arial"/>
          <w:color w:val="000000"/>
          <w:sz w:val="24"/>
          <w:szCs w:val="24"/>
        </w:rPr>
        <w:t>representó un</w:t>
      </w:r>
      <w:r>
        <w:rPr>
          <w:rFonts w:ascii="Arial" w:hAnsi="Arial" w:cs="Arial"/>
          <w:color w:val="000000"/>
          <w:sz w:val="24"/>
          <w:szCs w:val="24"/>
        </w:rPr>
        <w:t xml:space="preserve"> aumento</w:t>
      </w:r>
      <w:r w:rsidR="005C7D32" w:rsidRPr="005C7D32">
        <w:rPr>
          <w:rFonts w:ascii="Arial" w:hAnsi="Arial" w:cs="Arial"/>
          <w:color w:val="000000"/>
          <w:sz w:val="24"/>
          <w:szCs w:val="24"/>
        </w:rPr>
        <w:t xml:space="preserve"> de </w:t>
      </w:r>
      <w:r>
        <w:rPr>
          <w:rFonts w:ascii="Arial" w:hAnsi="Arial" w:cs="Arial"/>
          <w:color w:val="000000"/>
          <w:sz w:val="24"/>
          <w:szCs w:val="24"/>
        </w:rPr>
        <w:t>28.5</w:t>
      </w:r>
      <w:r w:rsidR="00A73859">
        <w:rPr>
          <w:rFonts w:ascii="Arial" w:hAnsi="Arial" w:cs="Arial"/>
          <w:color w:val="000000"/>
          <w:sz w:val="24"/>
          <w:szCs w:val="24"/>
        </w:rPr>
        <w:t xml:space="preserve"> </w:t>
      </w:r>
      <w:r w:rsidR="005C7D32" w:rsidRPr="005C7D32">
        <w:rPr>
          <w:rFonts w:ascii="Arial" w:hAnsi="Arial" w:cs="Arial"/>
          <w:color w:val="000000"/>
          <w:sz w:val="24"/>
          <w:szCs w:val="24"/>
        </w:rPr>
        <w:t xml:space="preserve">% de asuntos y servicios atendidos y </w:t>
      </w:r>
      <w:r>
        <w:rPr>
          <w:rFonts w:ascii="Arial" w:hAnsi="Arial" w:cs="Arial"/>
          <w:color w:val="000000"/>
          <w:sz w:val="24"/>
          <w:szCs w:val="24"/>
        </w:rPr>
        <w:t>un</w:t>
      </w:r>
      <w:r w:rsidR="00A15905">
        <w:rPr>
          <w:rFonts w:ascii="Arial" w:hAnsi="Arial" w:cs="Arial"/>
          <w:color w:val="000000"/>
          <w:sz w:val="24"/>
          <w:szCs w:val="24"/>
        </w:rPr>
        <w:t xml:space="preserve"> increment</w:t>
      </w:r>
      <w:r>
        <w:rPr>
          <w:rFonts w:ascii="Arial" w:hAnsi="Arial" w:cs="Arial"/>
          <w:color w:val="000000"/>
          <w:sz w:val="24"/>
          <w:szCs w:val="24"/>
        </w:rPr>
        <w:t>o de</w:t>
      </w:r>
      <w:r w:rsidR="005C7D32" w:rsidRPr="005C7D32">
        <w:rPr>
          <w:rFonts w:ascii="Arial" w:hAnsi="Arial" w:cs="Arial"/>
          <w:color w:val="000000"/>
          <w:sz w:val="24"/>
          <w:szCs w:val="24"/>
        </w:rPr>
        <w:t xml:space="preserve"> </w:t>
      </w:r>
      <w:r>
        <w:rPr>
          <w:rFonts w:ascii="Arial" w:hAnsi="Arial" w:cs="Arial"/>
          <w:color w:val="000000"/>
          <w:sz w:val="24"/>
          <w:szCs w:val="24"/>
        </w:rPr>
        <w:t>25.1</w:t>
      </w:r>
      <w:r w:rsidR="00A73859">
        <w:rPr>
          <w:rFonts w:ascii="Arial" w:hAnsi="Arial" w:cs="Arial"/>
          <w:color w:val="000000"/>
          <w:sz w:val="24"/>
          <w:szCs w:val="24"/>
        </w:rPr>
        <w:t xml:space="preserve"> </w:t>
      </w:r>
      <w:r w:rsidR="005C7D32" w:rsidRPr="005C7D32">
        <w:rPr>
          <w:rFonts w:ascii="Arial" w:hAnsi="Arial" w:cs="Arial"/>
          <w:color w:val="000000"/>
          <w:sz w:val="24"/>
          <w:szCs w:val="24"/>
        </w:rPr>
        <w:t>% de asuntos y servicios que se concluyeron y/</w:t>
      </w:r>
      <w:r w:rsidR="00237A2D">
        <w:rPr>
          <w:rFonts w:ascii="Arial" w:hAnsi="Arial" w:cs="Arial"/>
          <w:color w:val="000000"/>
          <w:sz w:val="24"/>
          <w:szCs w:val="24"/>
        </w:rPr>
        <w:t xml:space="preserve"> </w:t>
      </w:r>
      <w:r w:rsidR="005C7D32" w:rsidRPr="005C7D32">
        <w:rPr>
          <w:rFonts w:ascii="Arial" w:hAnsi="Arial" w:cs="Arial"/>
          <w:color w:val="000000"/>
          <w:sz w:val="24"/>
          <w:szCs w:val="24"/>
        </w:rPr>
        <w:t>o resolvieron con respecto</w:t>
      </w:r>
      <w:r w:rsidR="005C7D32">
        <w:rPr>
          <w:rFonts w:ascii="Arial" w:hAnsi="Arial" w:cs="Arial"/>
          <w:color w:val="000000"/>
          <w:sz w:val="24"/>
          <w:szCs w:val="24"/>
        </w:rPr>
        <w:t xml:space="preserve"> </w:t>
      </w:r>
      <w:r w:rsidR="005C7D32" w:rsidRPr="005C7D32">
        <w:rPr>
          <w:rFonts w:ascii="Arial" w:hAnsi="Arial" w:cs="Arial"/>
          <w:color w:val="000000"/>
          <w:sz w:val="24"/>
          <w:szCs w:val="24"/>
        </w:rPr>
        <w:t>a 20</w:t>
      </w:r>
      <w:r>
        <w:rPr>
          <w:rFonts w:ascii="Arial" w:hAnsi="Arial" w:cs="Arial"/>
          <w:color w:val="000000"/>
          <w:sz w:val="24"/>
          <w:szCs w:val="24"/>
        </w:rPr>
        <w:t>20</w:t>
      </w:r>
      <w:r w:rsidR="005C7D32" w:rsidRPr="005C7D32">
        <w:rPr>
          <w:rFonts w:ascii="Arial" w:hAnsi="Arial" w:cs="Arial"/>
          <w:color w:val="000000"/>
          <w:sz w:val="24"/>
          <w:szCs w:val="24"/>
        </w:rPr>
        <w:t>.</w:t>
      </w:r>
    </w:p>
    <w:bookmarkEnd w:id="4"/>
    <w:p w14:paraId="7521EC51" w14:textId="77777777" w:rsidR="005C7D32" w:rsidRPr="005C7D32" w:rsidRDefault="005C7D32" w:rsidP="005C7D32">
      <w:pPr>
        <w:tabs>
          <w:tab w:val="left" w:pos="5460"/>
        </w:tabs>
        <w:spacing w:after="0"/>
        <w:jc w:val="both"/>
        <w:rPr>
          <w:rFonts w:ascii="Arial" w:hAnsi="Arial" w:cs="Arial"/>
          <w:color w:val="000000"/>
          <w:sz w:val="24"/>
          <w:szCs w:val="24"/>
        </w:rPr>
      </w:pPr>
    </w:p>
    <w:p w14:paraId="1AB19FBA" w14:textId="395024F8" w:rsidR="00A908A9" w:rsidRDefault="005C7D32" w:rsidP="005C7D32">
      <w:pPr>
        <w:tabs>
          <w:tab w:val="left" w:pos="5460"/>
        </w:tabs>
        <w:spacing w:after="0"/>
        <w:jc w:val="both"/>
        <w:rPr>
          <w:rFonts w:ascii="Arial" w:hAnsi="Arial" w:cs="Arial"/>
          <w:color w:val="000000"/>
          <w:sz w:val="24"/>
          <w:szCs w:val="24"/>
        </w:rPr>
      </w:pPr>
      <w:r w:rsidRPr="005C7D32">
        <w:rPr>
          <w:rFonts w:ascii="Arial" w:hAnsi="Arial" w:cs="Arial"/>
          <w:color w:val="000000"/>
          <w:sz w:val="24"/>
          <w:szCs w:val="24"/>
        </w:rPr>
        <w:t>En los asuntos y servicios atendidos</w:t>
      </w:r>
      <w:r w:rsidR="00237A2D">
        <w:rPr>
          <w:rFonts w:ascii="Arial" w:hAnsi="Arial" w:cs="Arial"/>
          <w:color w:val="000000"/>
          <w:sz w:val="24"/>
          <w:szCs w:val="24"/>
        </w:rPr>
        <w:t xml:space="preserve">, </w:t>
      </w:r>
      <w:r w:rsidR="00F220A7" w:rsidRPr="00F220A7">
        <w:rPr>
          <w:rFonts w:ascii="Arial" w:hAnsi="Arial" w:cs="Arial"/>
          <w:color w:val="000000"/>
          <w:sz w:val="24"/>
          <w:szCs w:val="24"/>
        </w:rPr>
        <w:t>90</w:t>
      </w:r>
      <w:r w:rsidR="00A73859">
        <w:rPr>
          <w:rFonts w:ascii="Arial" w:hAnsi="Arial" w:cs="Arial"/>
          <w:color w:val="000000"/>
          <w:sz w:val="24"/>
          <w:szCs w:val="24"/>
        </w:rPr>
        <w:t xml:space="preserve"> </w:t>
      </w:r>
      <w:r w:rsidR="00F220A7" w:rsidRPr="00F220A7">
        <w:rPr>
          <w:rFonts w:ascii="Arial" w:hAnsi="Arial" w:cs="Arial"/>
          <w:color w:val="000000"/>
          <w:sz w:val="24"/>
          <w:szCs w:val="24"/>
        </w:rPr>
        <w:t xml:space="preserve">890 </w:t>
      </w:r>
      <w:r w:rsidRPr="005C7D32">
        <w:rPr>
          <w:rFonts w:ascii="Arial" w:hAnsi="Arial" w:cs="Arial"/>
          <w:color w:val="000000"/>
          <w:sz w:val="24"/>
          <w:szCs w:val="24"/>
        </w:rPr>
        <w:t>personas</w:t>
      </w:r>
      <w:r w:rsidR="00237A2D">
        <w:rPr>
          <w:rFonts w:ascii="Arial" w:hAnsi="Arial" w:cs="Arial"/>
          <w:color w:val="000000"/>
          <w:sz w:val="24"/>
          <w:szCs w:val="24"/>
        </w:rPr>
        <w:t xml:space="preserve"> se vieron involucradas</w:t>
      </w:r>
      <w:r w:rsidR="00231479">
        <w:rPr>
          <w:rFonts w:ascii="Arial" w:hAnsi="Arial" w:cs="Arial"/>
          <w:color w:val="000000"/>
          <w:sz w:val="24"/>
          <w:szCs w:val="24"/>
        </w:rPr>
        <w:t>.</w:t>
      </w:r>
      <w:r w:rsidR="00F220A7">
        <w:rPr>
          <w:rStyle w:val="Refdenotaalpie"/>
          <w:rFonts w:ascii="Arial" w:hAnsi="Arial" w:cs="Arial"/>
          <w:color w:val="000000"/>
          <w:sz w:val="24"/>
          <w:szCs w:val="24"/>
        </w:rPr>
        <w:footnoteReference w:id="17"/>
      </w:r>
      <w:r w:rsidR="00237A2D">
        <w:rPr>
          <w:rFonts w:ascii="Arial" w:hAnsi="Arial" w:cs="Arial"/>
          <w:color w:val="000000"/>
          <w:sz w:val="24"/>
          <w:szCs w:val="24"/>
        </w:rPr>
        <w:t xml:space="preserve"> Esta c</w:t>
      </w:r>
      <w:r w:rsidRPr="005C7D32">
        <w:rPr>
          <w:rFonts w:ascii="Arial" w:hAnsi="Arial" w:cs="Arial"/>
          <w:color w:val="000000"/>
          <w:sz w:val="24"/>
          <w:szCs w:val="24"/>
        </w:rPr>
        <w:t>ifra re</w:t>
      </w:r>
      <w:r w:rsidR="00B500B9">
        <w:rPr>
          <w:rFonts w:ascii="Arial" w:hAnsi="Arial" w:cs="Arial"/>
          <w:color w:val="000000"/>
          <w:sz w:val="24"/>
          <w:szCs w:val="24"/>
        </w:rPr>
        <w:t xml:space="preserve">presentó un aumento </w:t>
      </w:r>
      <w:r w:rsidRPr="005C7D32">
        <w:rPr>
          <w:rFonts w:ascii="Arial" w:hAnsi="Arial" w:cs="Arial"/>
          <w:color w:val="000000"/>
          <w:sz w:val="24"/>
          <w:szCs w:val="24"/>
        </w:rPr>
        <w:t xml:space="preserve">de </w:t>
      </w:r>
      <w:r w:rsidR="00B500B9">
        <w:rPr>
          <w:rFonts w:ascii="Arial" w:hAnsi="Arial" w:cs="Arial"/>
          <w:color w:val="000000"/>
          <w:sz w:val="24"/>
          <w:szCs w:val="24"/>
        </w:rPr>
        <w:t>31.7</w:t>
      </w:r>
      <w:r w:rsidR="00A73859">
        <w:rPr>
          <w:rFonts w:ascii="Arial" w:hAnsi="Arial" w:cs="Arial"/>
          <w:color w:val="000000"/>
          <w:sz w:val="24"/>
          <w:szCs w:val="24"/>
        </w:rPr>
        <w:t xml:space="preserve"> </w:t>
      </w:r>
      <w:r w:rsidRPr="005C7D32">
        <w:rPr>
          <w:rFonts w:ascii="Arial" w:hAnsi="Arial" w:cs="Arial"/>
          <w:color w:val="000000"/>
          <w:sz w:val="24"/>
          <w:szCs w:val="24"/>
        </w:rPr>
        <w:t>% con respecto a 20</w:t>
      </w:r>
      <w:r w:rsidR="00B500B9">
        <w:rPr>
          <w:rFonts w:ascii="Arial" w:hAnsi="Arial" w:cs="Arial"/>
          <w:color w:val="000000"/>
          <w:sz w:val="24"/>
          <w:szCs w:val="24"/>
        </w:rPr>
        <w:t>20</w:t>
      </w:r>
      <w:r w:rsidR="00237A2D">
        <w:rPr>
          <w:rFonts w:ascii="Arial" w:hAnsi="Arial" w:cs="Arial"/>
          <w:color w:val="000000"/>
          <w:sz w:val="24"/>
          <w:szCs w:val="24"/>
        </w:rPr>
        <w:t>.</w:t>
      </w:r>
      <w:r w:rsidR="00FD3BCA">
        <w:rPr>
          <w:rStyle w:val="Refdenotaalpie"/>
          <w:rFonts w:ascii="Arial" w:hAnsi="Arial" w:cs="Arial"/>
          <w:color w:val="000000"/>
          <w:sz w:val="24"/>
          <w:szCs w:val="24"/>
        </w:rPr>
        <w:footnoteReference w:id="18"/>
      </w:r>
      <w:r w:rsidR="00B500B9">
        <w:rPr>
          <w:rFonts w:ascii="Arial" w:hAnsi="Arial" w:cs="Arial"/>
          <w:color w:val="000000"/>
          <w:sz w:val="24"/>
          <w:szCs w:val="24"/>
        </w:rPr>
        <w:t xml:space="preserve"> Del total de </w:t>
      </w:r>
      <w:r w:rsidR="006C768B">
        <w:rPr>
          <w:rFonts w:ascii="Arial" w:hAnsi="Arial" w:cs="Arial"/>
          <w:color w:val="000000"/>
          <w:sz w:val="24"/>
          <w:szCs w:val="24"/>
        </w:rPr>
        <w:t>personas involucradas</w:t>
      </w:r>
      <w:r w:rsidR="00686705">
        <w:rPr>
          <w:rFonts w:ascii="Arial" w:hAnsi="Arial" w:cs="Arial"/>
          <w:color w:val="000000"/>
          <w:sz w:val="24"/>
          <w:szCs w:val="24"/>
        </w:rPr>
        <w:t>,</w:t>
      </w:r>
      <w:r w:rsidR="006C768B">
        <w:rPr>
          <w:rFonts w:ascii="Arial" w:hAnsi="Arial" w:cs="Arial"/>
          <w:color w:val="000000"/>
          <w:sz w:val="24"/>
          <w:szCs w:val="24"/>
        </w:rPr>
        <w:t xml:space="preserve"> 78.3</w:t>
      </w:r>
      <w:r w:rsidR="00A73859">
        <w:rPr>
          <w:rFonts w:ascii="Arial" w:hAnsi="Arial" w:cs="Arial"/>
          <w:color w:val="000000"/>
          <w:sz w:val="24"/>
          <w:szCs w:val="24"/>
        </w:rPr>
        <w:t xml:space="preserve"> </w:t>
      </w:r>
      <w:r w:rsidR="006C768B">
        <w:rPr>
          <w:rFonts w:ascii="Arial" w:hAnsi="Arial" w:cs="Arial"/>
          <w:color w:val="000000"/>
          <w:sz w:val="24"/>
          <w:szCs w:val="24"/>
        </w:rPr>
        <w:t>% (71</w:t>
      </w:r>
      <w:r w:rsidR="00A73859">
        <w:rPr>
          <w:rFonts w:ascii="Arial" w:hAnsi="Arial" w:cs="Arial"/>
          <w:color w:val="000000"/>
          <w:sz w:val="24"/>
          <w:szCs w:val="24"/>
        </w:rPr>
        <w:t xml:space="preserve"> </w:t>
      </w:r>
      <w:r w:rsidR="006C768B">
        <w:rPr>
          <w:rFonts w:ascii="Arial" w:hAnsi="Arial" w:cs="Arial"/>
          <w:color w:val="000000"/>
          <w:sz w:val="24"/>
          <w:szCs w:val="24"/>
        </w:rPr>
        <w:t>128) fueron hombres y 21.7</w:t>
      </w:r>
      <w:r w:rsidR="00A73859">
        <w:rPr>
          <w:rFonts w:ascii="Arial" w:hAnsi="Arial" w:cs="Arial"/>
          <w:color w:val="000000"/>
          <w:sz w:val="24"/>
          <w:szCs w:val="24"/>
        </w:rPr>
        <w:t xml:space="preserve"> </w:t>
      </w:r>
      <w:r w:rsidR="006C768B">
        <w:rPr>
          <w:rFonts w:ascii="Arial" w:hAnsi="Arial" w:cs="Arial"/>
          <w:color w:val="000000"/>
          <w:sz w:val="24"/>
          <w:szCs w:val="24"/>
        </w:rPr>
        <w:t>% (19</w:t>
      </w:r>
      <w:r w:rsidR="00A73859">
        <w:rPr>
          <w:rFonts w:ascii="Arial" w:hAnsi="Arial" w:cs="Arial"/>
          <w:color w:val="000000"/>
          <w:sz w:val="24"/>
          <w:szCs w:val="24"/>
        </w:rPr>
        <w:t xml:space="preserve"> </w:t>
      </w:r>
      <w:r w:rsidR="006C768B">
        <w:rPr>
          <w:rFonts w:ascii="Arial" w:hAnsi="Arial" w:cs="Arial"/>
          <w:color w:val="000000"/>
          <w:sz w:val="24"/>
          <w:szCs w:val="24"/>
        </w:rPr>
        <w:t>762)</w:t>
      </w:r>
      <w:r w:rsidR="00237A2D">
        <w:rPr>
          <w:rFonts w:ascii="Arial" w:hAnsi="Arial" w:cs="Arial"/>
          <w:color w:val="000000"/>
          <w:sz w:val="24"/>
          <w:szCs w:val="24"/>
        </w:rPr>
        <w:t>,</w:t>
      </w:r>
      <w:r w:rsidR="006C768B">
        <w:rPr>
          <w:rFonts w:ascii="Arial" w:hAnsi="Arial" w:cs="Arial"/>
          <w:color w:val="000000"/>
          <w:sz w:val="24"/>
          <w:szCs w:val="24"/>
        </w:rPr>
        <w:t xml:space="preserve"> mujeres. </w:t>
      </w:r>
    </w:p>
    <w:p w14:paraId="1576F262" w14:textId="2287B5C9" w:rsidR="001D1100" w:rsidRDefault="001D1100" w:rsidP="005C7D32">
      <w:pPr>
        <w:tabs>
          <w:tab w:val="left" w:pos="5460"/>
        </w:tabs>
        <w:spacing w:after="0"/>
        <w:jc w:val="both"/>
        <w:rPr>
          <w:rFonts w:ascii="Arial" w:hAnsi="Arial" w:cs="Arial"/>
          <w:color w:val="000000"/>
          <w:sz w:val="24"/>
          <w:szCs w:val="24"/>
        </w:rPr>
      </w:pPr>
    </w:p>
    <w:p w14:paraId="4B559691" w14:textId="2D7E1B82" w:rsidR="001A4537" w:rsidRDefault="001A4537" w:rsidP="005C7D32">
      <w:pPr>
        <w:tabs>
          <w:tab w:val="left" w:pos="5460"/>
        </w:tabs>
        <w:spacing w:after="0"/>
        <w:jc w:val="both"/>
        <w:rPr>
          <w:rFonts w:ascii="Arial" w:hAnsi="Arial" w:cs="Arial"/>
          <w:color w:val="000000"/>
          <w:sz w:val="24"/>
          <w:szCs w:val="24"/>
        </w:rPr>
      </w:pPr>
    </w:p>
    <w:p w14:paraId="59F2141B" w14:textId="77777777" w:rsidR="001A4537" w:rsidRDefault="001A4537" w:rsidP="005C7D32">
      <w:pPr>
        <w:tabs>
          <w:tab w:val="left" w:pos="5460"/>
        </w:tabs>
        <w:spacing w:after="0"/>
        <w:jc w:val="both"/>
        <w:rPr>
          <w:rFonts w:ascii="Arial" w:hAnsi="Arial" w:cs="Arial"/>
          <w:color w:val="000000"/>
          <w:sz w:val="24"/>
          <w:szCs w:val="24"/>
        </w:rPr>
      </w:pPr>
    </w:p>
    <w:p w14:paraId="7A83D546" w14:textId="0DB1B5BB" w:rsidR="006C768B" w:rsidRPr="00DE7C9F" w:rsidRDefault="006C768B" w:rsidP="006C768B">
      <w:pPr>
        <w:pStyle w:val="Default"/>
        <w:spacing w:after="10"/>
        <w:ind w:right="284"/>
        <w:jc w:val="center"/>
        <w:rPr>
          <w:bCs/>
          <w:iCs/>
          <w:color w:val="000000" w:themeColor="text1"/>
          <w:sz w:val="20"/>
          <w:szCs w:val="20"/>
        </w:rPr>
      </w:pPr>
      <w:r w:rsidRPr="00DE7C9F">
        <w:rPr>
          <w:bCs/>
          <w:iCs/>
          <w:color w:val="000000" w:themeColor="text1"/>
          <w:sz w:val="20"/>
          <w:szCs w:val="20"/>
        </w:rPr>
        <w:lastRenderedPageBreak/>
        <w:t xml:space="preserve">Gráfica </w:t>
      </w:r>
      <w:r w:rsidR="0077270A">
        <w:rPr>
          <w:bCs/>
          <w:iCs/>
          <w:color w:val="000000" w:themeColor="text1"/>
          <w:sz w:val="20"/>
          <w:szCs w:val="20"/>
        </w:rPr>
        <w:t>17</w:t>
      </w:r>
    </w:p>
    <w:p w14:paraId="624040DF" w14:textId="77777777" w:rsidR="0041079A" w:rsidRPr="0041079A" w:rsidRDefault="0041079A" w:rsidP="0041079A">
      <w:pPr>
        <w:pStyle w:val="Default"/>
        <w:spacing w:after="10"/>
        <w:ind w:right="284"/>
        <w:jc w:val="center"/>
        <w:rPr>
          <w:rFonts w:ascii="Arial Negrita" w:hAnsi="Arial Negrita"/>
          <w:b/>
          <w:bCs/>
          <w:iCs/>
          <w:smallCaps/>
          <w:color w:val="000000" w:themeColor="text1"/>
          <w:sz w:val="22"/>
          <w:szCs w:val="22"/>
        </w:rPr>
      </w:pPr>
      <w:r w:rsidRPr="0041079A">
        <w:rPr>
          <w:rFonts w:ascii="Arial Negrita" w:hAnsi="Arial Negrita"/>
          <w:b/>
          <w:bCs/>
          <w:iCs/>
          <w:smallCaps/>
          <w:color w:val="000000" w:themeColor="text1"/>
          <w:sz w:val="22"/>
          <w:szCs w:val="22"/>
        </w:rPr>
        <w:t>Asuntos y servicios atendidos por los defensores públicos y asesores jurídicos,</w:t>
      </w:r>
    </w:p>
    <w:p w14:paraId="7C7114E9" w14:textId="5E54738F" w:rsidR="0041079A" w:rsidRDefault="0041079A" w:rsidP="0041079A">
      <w:pPr>
        <w:pStyle w:val="Default"/>
        <w:spacing w:after="10"/>
        <w:ind w:right="284"/>
        <w:jc w:val="center"/>
        <w:rPr>
          <w:rFonts w:ascii="Arial Negrita" w:hAnsi="Arial Negrita"/>
          <w:b/>
          <w:bCs/>
          <w:iCs/>
          <w:smallCaps/>
          <w:color w:val="000000" w:themeColor="text1"/>
          <w:sz w:val="22"/>
          <w:szCs w:val="22"/>
        </w:rPr>
      </w:pPr>
      <w:r w:rsidRPr="0041079A">
        <w:rPr>
          <w:rFonts w:ascii="Arial Negrita" w:hAnsi="Arial Negrita"/>
          <w:b/>
          <w:bCs/>
          <w:iCs/>
          <w:smallCaps/>
          <w:color w:val="000000" w:themeColor="text1"/>
          <w:sz w:val="22"/>
          <w:szCs w:val="22"/>
        </w:rPr>
        <w:t>por tipo</w:t>
      </w:r>
    </w:p>
    <w:p w14:paraId="25E49B8D" w14:textId="468B5D65" w:rsidR="00DA19B2" w:rsidRDefault="006C768B" w:rsidP="005C7D32">
      <w:pPr>
        <w:tabs>
          <w:tab w:val="left" w:pos="5460"/>
        </w:tabs>
        <w:spacing w:after="0"/>
        <w:jc w:val="both"/>
        <w:rPr>
          <w:rFonts w:ascii="Arial Negrita" w:hAnsi="Arial Negrita" w:cs="Arial"/>
          <w:b/>
          <w:bCs/>
          <w:smallCaps/>
          <w:sz w:val="24"/>
          <w:szCs w:val="24"/>
        </w:rPr>
      </w:pPr>
      <w:r>
        <w:rPr>
          <w:noProof/>
        </w:rPr>
        <w:drawing>
          <wp:inline distT="0" distB="0" distL="0" distR="0" wp14:anchorId="0CE1A340" wp14:editId="46BD1712">
            <wp:extent cx="6404610" cy="2273935"/>
            <wp:effectExtent l="0" t="0" r="0" b="0"/>
            <wp:docPr id="9" name="Gráfico 9">
              <a:extLst xmlns:a="http://schemas.openxmlformats.org/drawingml/2006/main">
                <a:ext uri="{FF2B5EF4-FFF2-40B4-BE49-F238E27FC236}">
                  <a16:creationId xmlns:a16="http://schemas.microsoft.com/office/drawing/2014/main" id="{466340F1-9D5B-6C90-DA7F-5948CC5C0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7B0E843" w14:textId="77777777" w:rsidR="004D774B" w:rsidRDefault="004D774B" w:rsidP="005C7D32">
      <w:pPr>
        <w:tabs>
          <w:tab w:val="left" w:pos="5460"/>
        </w:tabs>
        <w:spacing w:after="0"/>
        <w:jc w:val="both"/>
        <w:rPr>
          <w:rFonts w:ascii="Arial Negrita" w:hAnsi="Arial Negrita" w:cs="Arial"/>
          <w:b/>
          <w:bCs/>
          <w:smallCaps/>
          <w:sz w:val="24"/>
          <w:szCs w:val="24"/>
        </w:rPr>
      </w:pPr>
    </w:p>
    <w:p w14:paraId="5437CE94" w14:textId="0FCC2643" w:rsidR="004D01D5" w:rsidRPr="00511B07" w:rsidRDefault="004D01D5" w:rsidP="00511B07">
      <w:pPr>
        <w:pStyle w:val="Prrafodelista"/>
        <w:numPr>
          <w:ilvl w:val="0"/>
          <w:numId w:val="26"/>
        </w:numPr>
        <w:tabs>
          <w:tab w:val="left" w:pos="5460"/>
        </w:tabs>
        <w:spacing w:after="0"/>
        <w:jc w:val="both"/>
        <w:rPr>
          <w:rFonts w:ascii="Arial Negrita" w:hAnsi="Arial Negrita" w:cs="Arial"/>
          <w:b/>
          <w:bCs/>
          <w:smallCaps/>
          <w:sz w:val="24"/>
          <w:szCs w:val="24"/>
        </w:rPr>
      </w:pPr>
      <w:r w:rsidRPr="00511B07">
        <w:rPr>
          <w:rFonts w:ascii="Arial Negrita" w:hAnsi="Arial Negrita" w:cs="Arial"/>
          <w:b/>
          <w:bCs/>
          <w:smallCaps/>
          <w:sz w:val="24"/>
          <w:szCs w:val="24"/>
        </w:rPr>
        <w:t>Impartición de justicia en materia penal</w:t>
      </w:r>
      <w:r w:rsidRPr="00511B07">
        <w:rPr>
          <w:rFonts w:ascii="Arial Negrita" w:hAnsi="Arial Negrita" w:cs="Arial"/>
          <w:b/>
          <w:bCs/>
          <w:smallCaps/>
          <w:sz w:val="24"/>
          <w:szCs w:val="24"/>
        </w:rPr>
        <w:cr/>
      </w:r>
    </w:p>
    <w:p w14:paraId="56E8C89F" w14:textId="551A8693" w:rsidR="004D01D5" w:rsidRPr="00BA306B" w:rsidRDefault="004D01D5" w:rsidP="00511B07">
      <w:pPr>
        <w:pStyle w:val="Prrafodelista"/>
        <w:numPr>
          <w:ilvl w:val="0"/>
          <w:numId w:val="31"/>
        </w:numPr>
        <w:tabs>
          <w:tab w:val="left" w:pos="5460"/>
        </w:tabs>
        <w:spacing w:after="0"/>
        <w:jc w:val="both"/>
        <w:rPr>
          <w:rFonts w:ascii="Arial" w:hAnsi="Arial" w:cs="Arial"/>
          <w:bCs/>
          <w:smallCaps/>
          <w:sz w:val="24"/>
          <w:szCs w:val="24"/>
        </w:rPr>
      </w:pPr>
      <w:r w:rsidRPr="00BA306B">
        <w:rPr>
          <w:rFonts w:ascii="Arial" w:hAnsi="Arial" w:cs="Arial"/>
          <w:bCs/>
          <w:smallCaps/>
          <w:sz w:val="24"/>
          <w:szCs w:val="24"/>
        </w:rPr>
        <w:t xml:space="preserve">Causas penales </w:t>
      </w:r>
      <w:r w:rsidR="00CB7D4D" w:rsidRPr="00BA306B">
        <w:rPr>
          <w:rFonts w:ascii="Arial" w:hAnsi="Arial" w:cs="Arial"/>
          <w:bCs/>
          <w:smallCaps/>
          <w:sz w:val="24"/>
          <w:szCs w:val="24"/>
        </w:rPr>
        <w:t>(ingresadas</w:t>
      </w:r>
      <w:r w:rsidR="00CB7D4D" w:rsidRPr="00BA306B">
        <w:rPr>
          <w:rFonts w:ascii="Arial" w:hAnsi="Arial" w:cs="Arial"/>
          <w:bCs/>
          <w:color w:val="000000"/>
          <w:sz w:val="24"/>
          <w:szCs w:val="24"/>
        </w:rPr>
        <w:t>)</w:t>
      </w:r>
    </w:p>
    <w:p w14:paraId="609E0279" w14:textId="28D1D2B8" w:rsidR="005C7D32" w:rsidRDefault="005C7D32" w:rsidP="005C7D32">
      <w:pPr>
        <w:tabs>
          <w:tab w:val="left" w:pos="5460"/>
        </w:tabs>
        <w:spacing w:after="0"/>
        <w:jc w:val="both"/>
        <w:rPr>
          <w:rFonts w:ascii="Arial" w:hAnsi="Arial" w:cs="Arial"/>
          <w:color w:val="000000"/>
          <w:sz w:val="24"/>
          <w:szCs w:val="24"/>
        </w:rPr>
      </w:pPr>
    </w:p>
    <w:p w14:paraId="5A72AA9D" w14:textId="7F02847F" w:rsidR="00A73859" w:rsidRDefault="0025370D" w:rsidP="002E5B57">
      <w:pPr>
        <w:tabs>
          <w:tab w:val="left" w:pos="5460"/>
        </w:tabs>
        <w:spacing w:after="0"/>
        <w:jc w:val="both"/>
        <w:rPr>
          <w:rFonts w:ascii="Arial" w:hAnsi="Arial" w:cs="Arial"/>
          <w:color w:val="000000"/>
          <w:sz w:val="24"/>
          <w:szCs w:val="24"/>
        </w:rPr>
      </w:pPr>
      <w:r>
        <w:rPr>
          <w:rFonts w:ascii="Arial" w:hAnsi="Arial" w:cs="Arial"/>
          <w:color w:val="000000"/>
          <w:sz w:val="24"/>
          <w:szCs w:val="24"/>
        </w:rPr>
        <w:t>Durante 2021,</w:t>
      </w:r>
      <w:r w:rsidR="002E5B57" w:rsidRPr="002E5B57">
        <w:rPr>
          <w:rFonts w:ascii="Arial" w:hAnsi="Arial" w:cs="Arial"/>
          <w:color w:val="000000"/>
          <w:sz w:val="24"/>
          <w:szCs w:val="24"/>
        </w:rPr>
        <w:t xml:space="preserve"> se reportaron 16</w:t>
      </w:r>
      <w:r w:rsidR="00A73859">
        <w:rPr>
          <w:rFonts w:ascii="Arial" w:hAnsi="Arial" w:cs="Arial"/>
          <w:color w:val="000000"/>
          <w:sz w:val="24"/>
          <w:szCs w:val="24"/>
        </w:rPr>
        <w:t xml:space="preserve"> </w:t>
      </w:r>
      <w:r w:rsidR="002E5B57" w:rsidRPr="002E5B57">
        <w:rPr>
          <w:rFonts w:ascii="Arial" w:hAnsi="Arial" w:cs="Arial"/>
          <w:color w:val="000000"/>
          <w:sz w:val="24"/>
          <w:szCs w:val="24"/>
        </w:rPr>
        <w:t>625</w:t>
      </w:r>
      <w:r w:rsidR="002E5B57">
        <w:rPr>
          <w:rFonts w:ascii="Arial" w:hAnsi="Arial" w:cs="Arial"/>
          <w:color w:val="000000"/>
          <w:sz w:val="24"/>
          <w:szCs w:val="24"/>
        </w:rPr>
        <w:t xml:space="preserve"> </w:t>
      </w:r>
      <w:r w:rsidR="002E5B57" w:rsidRPr="002E5B57">
        <w:rPr>
          <w:rFonts w:ascii="Arial" w:hAnsi="Arial" w:cs="Arial"/>
          <w:color w:val="000000"/>
          <w:sz w:val="24"/>
          <w:szCs w:val="24"/>
        </w:rPr>
        <w:t>causas penales ingresadas</w:t>
      </w:r>
      <w:r w:rsidR="00A73859">
        <w:rPr>
          <w:rFonts w:ascii="Arial" w:hAnsi="Arial" w:cs="Arial"/>
          <w:color w:val="000000"/>
          <w:sz w:val="24"/>
          <w:szCs w:val="24"/>
        </w:rPr>
        <w:t>. D</w:t>
      </w:r>
      <w:r w:rsidR="002E5B57" w:rsidRPr="002E5B57">
        <w:rPr>
          <w:rFonts w:ascii="Arial" w:hAnsi="Arial" w:cs="Arial"/>
          <w:color w:val="000000"/>
          <w:sz w:val="24"/>
          <w:szCs w:val="24"/>
        </w:rPr>
        <w:t xml:space="preserve">e </w:t>
      </w:r>
      <w:r w:rsidR="00237A2D">
        <w:rPr>
          <w:rFonts w:ascii="Arial" w:hAnsi="Arial" w:cs="Arial"/>
          <w:color w:val="000000"/>
          <w:sz w:val="24"/>
          <w:szCs w:val="24"/>
        </w:rPr>
        <w:t xml:space="preserve">estas, </w:t>
      </w:r>
      <w:r w:rsidR="002E5B57">
        <w:rPr>
          <w:rFonts w:ascii="Arial" w:hAnsi="Arial" w:cs="Arial"/>
          <w:color w:val="000000"/>
          <w:sz w:val="24"/>
          <w:szCs w:val="24"/>
        </w:rPr>
        <w:t>2.6</w:t>
      </w:r>
      <w:r w:rsidR="00A73859">
        <w:rPr>
          <w:rFonts w:ascii="Arial" w:hAnsi="Arial" w:cs="Arial"/>
          <w:color w:val="000000"/>
          <w:sz w:val="24"/>
          <w:szCs w:val="24"/>
        </w:rPr>
        <w:t xml:space="preserve"> </w:t>
      </w:r>
      <w:r w:rsidR="002E5B57" w:rsidRPr="002E5B57">
        <w:rPr>
          <w:rFonts w:ascii="Arial" w:hAnsi="Arial" w:cs="Arial"/>
          <w:color w:val="000000"/>
          <w:sz w:val="24"/>
          <w:szCs w:val="24"/>
        </w:rPr>
        <w:t>% fue mediante</w:t>
      </w:r>
      <w:r w:rsidR="002E5B57">
        <w:rPr>
          <w:rFonts w:ascii="Arial" w:hAnsi="Arial" w:cs="Arial"/>
          <w:color w:val="000000"/>
          <w:sz w:val="24"/>
          <w:szCs w:val="24"/>
        </w:rPr>
        <w:t xml:space="preserve"> </w:t>
      </w:r>
      <w:r w:rsidR="00A73859">
        <w:rPr>
          <w:rFonts w:ascii="Arial" w:hAnsi="Arial" w:cs="Arial"/>
          <w:color w:val="000000"/>
          <w:sz w:val="24"/>
          <w:szCs w:val="24"/>
        </w:rPr>
        <w:t>JD</w:t>
      </w:r>
      <w:r w:rsidR="002E5B57" w:rsidRPr="002E5B57">
        <w:rPr>
          <w:rFonts w:ascii="Arial" w:hAnsi="Arial" w:cs="Arial"/>
          <w:color w:val="000000"/>
          <w:sz w:val="24"/>
          <w:szCs w:val="24"/>
        </w:rPr>
        <w:t xml:space="preserve"> (Sistema Tradicional) y 97.</w:t>
      </w:r>
      <w:r w:rsidR="002E5B57">
        <w:rPr>
          <w:rFonts w:ascii="Arial" w:hAnsi="Arial" w:cs="Arial"/>
          <w:color w:val="000000"/>
          <w:sz w:val="24"/>
          <w:szCs w:val="24"/>
        </w:rPr>
        <w:t>4</w:t>
      </w:r>
      <w:r w:rsidR="00A73859">
        <w:rPr>
          <w:rFonts w:ascii="Arial" w:hAnsi="Arial" w:cs="Arial"/>
          <w:color w:val="000000"/>
          <w:sz w:val="24"/>
          <w:szCs w:val="24"/>
        </w:rPr>
        <w:t xml:space="preserve"> </w:t>
      </w:r>
      <w:r w:rsidR="002E5B57" w:rsidRPr="002E5B57">
        <w:rPr>
          <w:rFonts w:ascii="Arial" w:hAnsi="Arial" w:cs="Arial"/>
          <w:color w:val="000000"/>
          <w:sz w:val="24"/>
          <w:szCs w:val="24"/>
        </w:rPr>
        <w:t>% por medio de jueces de control o garantías</w:t>
      </w:r>
      <w:r w:rsidR="002E5B57">
        <w:rPr>
          <w:rFonts w:ascii="Arial" w:hAnsi="Arial" w:cs="Arial"/>
          <w:color w:val="000000"/>
          <w:sz w:val="24"/>
          <w:szCs w:val="24"/>
        </w:rPr>
        <w:t xml:space="preserve"> </w:t>
      </w:r>
      <w:r w:rsidR="002E5B57" w:rsidRPr="002E5B57">
        <w:rPr>
          <w:rFonts w:ascii="Arial" w:hAnsi="Arial" w:cs="Arial"/>
          <w:color w:val="000000"/>
          <w:sz w:val="24"/>
          <w:szCs w:val="24"/>
        </w:rPr>
        <w:t xml:space="preserve">(Sistema Penal Acusatorio). </w:t>
      </w:r>
    </w:p>
    <w:p w14:paraId="1EA1EAA9" w14:textId="77777777" w:rsidR="00753BE4" w:rsidRDefault="00753BE4" w:rsidP="002E5B57">
      <w:pPr>
        <w:tabs>
          <w:tab w:val="left" w:pos="5460"/>
        </w:tabs>
        <w:spacing w:after="0"/>
        <w:jc w:val="both"/>
        <w:rPr>
          <w:rFonts w:ascii="Arial" w:hAnsi="Arial" w:cs="Arial"/>
          <w:color w:val="000000"/>
          <w:sz w:val="24"/>
          <w:szCs w:val="24"/>
        </w:rPr>
      </w:pPr>
    </w:p>
    <w:p w14:paraId="588216DA" w14:textId="0EDE497A" w:rsidR="005C7D32" w:rsidRDefault="00237A2D" w:rsidP="002E5B57">
      <w:pPr>
        <w:tabs>
          <w:tab w:val="left" w:pos="5460"/>
        </w:tabs>
        <w:spacing w:after="0"/>
        <w:jc w:val="both"/>
        <w:rPr>
          <w:rFonts w:ascii="Arial" w:hAnsi="Arial" w:cs="Arial"/>
          <w:color w:val="000000"/>
          <w:sz w:val="24"/>
          <w:szCs w:val="24"/>
        </w:rPr>
      </w:pPr>
      <w:r>
        <w:rPr>
          <w:rFonts w:ascii="Arial" w:hAnsi="Arial" w:cs="Arial"/>
          <w:color w:val="000000"/>
          <w:sz w:val="24"/>
          <w:szCs w:val="24"/>
        </w:rPr>
        <w:t>S</w:t>
      </w:r>
      <w:r w:rsidR="002E5B57" w:rsidRPr="002E5B57">
        <w:rPr>
          <w:rFonts w:ascii="Arial" w:hAnsi="Arial" w:cs="Arial"/>
          <w:color w:val="000000"/>
          <w:sz w:val="24"/>
          <w:szCs w:val="24"/>
        </w:rPr>
        <w:t xml:space="preserve">e registraron </w:t>
      </w:r>
      <w:r w:rsidR="002E5B57">
        <w:rPr>
          <w:rFonts w:ascii="Arial" w:hAnsi="Arial" w:cs="Arial"/>
          <w:color w:val="000000"/>
          <w:sz w:val="24"/>
          <w:szCs w:val="24"/>
        </w:rPr>
        <w:t>73</w:t>
      </w:r>
      <w:r w:rsidR="002E5B57" w:rsidRPr="002E5B57">
        <w:rPr>
          <w:rFonts w:ascii="Arial" w:hAnsi="Arial" w:cs="Arial"/>
          <w:color w:val="000000"/>
          <w:sz w:val="24"/>
          <w:szCs w:val="24"/>
        </w:rPr>
        <w:t xml:space="preserve"> causas penales ingresadas con</w:t>
      </w:r>
      <w:r w:rsidR="002E5B57">
        <w:rPr>
          <w:rFonts w:ascii="Arial" w:hAnsi="Arial" w:cs="Arial"/>
          <w:color w:val="000000"/>
          <w:sz w:val="24"/>
          <w:szCs w:val="24"/>
        </w:rPr>
        <w:t xml:space="preserve"> </w:t>
      </w:r>
      <w:r w:rsidR="002E5B57" w:rsidRPr="002E5B57">
        <w:rPr>
          <w:rFonts w:ascii="Arial" w:hAnsi="Arial" w:cs="Arial"/>
          <w:color w:val="000000"/>
          <w:sz w:val="24"/>
          <w:szCs w:val="24"/>
        </w:rPr>
        <w:t xml:space="preserve">los jueces de enjuiciamiento o juicio oral. Comparado con </w:t>
      </w:r>
      <w:r w:rsidR="00E87969">
        <w:rPr>
          <w:rFonts w:ascii="Arial" w:hAnsi="Arial" w:cs="Arial"/>
          <w:color w:val="000000"/>
          <w:sz w:val="24"/>
          <w:szCs w:val="24"/>
        </w:rPr>
        <w:t xml:space="preserve">las 13 379 </w:t>
      </w:r>
      <w:r w:rsidR="0070423B">
        <w:rPr>
          <w:rFonts w:ascii="Arial" w:hAnsi="Arial" w:cs="Arial"/>
          <w:color w:val="000000"/>
          <w:sz w:val="24"/>
          <w:szCs w:val="24"/>
        </w:rPr>
        <w:t xml:space="preserve">causas penales ingresadas en </w:t>
      </w:r>
      <w:r w:rsidR="002E5B57" w:rsidRPr="002E5B57">
        <w:rPr>
          <w:rFonts w:ascii="Arial" w:hAnsi="Arial" w:cs="Arial"/>
          <w:color w:val="000000"/>
          <w:sz w:val="24"/>
          <w:szCs w:val="24"/>
        </w:rPr>
        <w:t>20</w:t>
      </w:r>
      <w:r w:rsidR="002E5B57">
        <w:rPr>
          <w:rFonts w:ascii="Arial" w:hAnsi="Arial" w:cs="Arial"/>
          <w:color w:val="000000"/>
          <w:sz w:val="24"/>
          <w:szCs w:val="24"/>
        </w:rPr>
        <w:t>20</w:t>
      </w:r>
      <w:r w:rsidR="002E5B57" w:rsidRPr="002E5B57">
        <w:rPr>
          <w:rFonts w:ascii="Arial" w:hAnsi="Arial" w:cs="Arial"/>
          <w:color w:val="000000"/>
          <w:sz w:val="24"/>
          <w:szCs w:val="24"/>
        </w:rPr>
        <w:t xml:space="preserve">, </w:t>
      </w:r>
      <w:r w:rsidR="00955EA5">
        <w:rPr>
          <w:rFonts w:ascii="Arial" w:hAnsi="Arial" w:cs="Arial"/>
          <w:color w:val="000000"/>
          <w:sz w:val="24"/>
          <w:szCs w:val="24"/>
        </w:rPr>
        <w:t xml:space="preserve">hubo </w:t>
      </w:r>
      <w:r w:rsidR="002E5B57" w:rsidRPr="002E5B57">
        <w:rPr>
          <w:rFonts w:ascii="Arial" w:hAnsi="Arial" w:cs="Arial"/>
          <w:color w:val="000000"/>
          <w:sz w:val="24"/>
          <w:szCs w:val="24"/>
        </w:rPr>
        <w:t>un</w:t>
      </w:r>
      <w:r w:rsidR="002E5B57">
        <w:rPr>
          <w:rFonts w:ascii="Arial" w:hAnsi="Arial" w:cs="Arial"/>
          <w:color w:val="000000"/>
          <w:sz w:val="24"/>
          <w:szCs w:val="24"/>
        </w:rPr>
        <w:t xml:space="preserve"> aumento </w:t>
      </w:r>
      <w:r w:rsidR="002E5B57" w:rsidRPr="002E5B57">
        <w:rPr>
          <w:rFonts w:ascii="Arial" w:hAnsi="Arial" w:cs="Arial"/>
          <w:color w:val="000000"/>
          <w:sz w:val="24"/>
          <w:szCs w:val="24"/>
        </w:rPr>
        <w:t xml:space="preserve">de </w:t>
      </w:r>
      <w:r w:rsidR="00293F4D">
        <w:rPr>
          <w:rFonts w:ascii="Arial" w:hAnsi="Arial" w:cs="Arial"/>
          <w:color w:val="000000"/>
          <w:sz w:val="24"/>
          <w:szCs w:val="24"/>
        </w:rPr>
        <w:t>24.3</w:t>
      </w:r>
      <w:r w:rsidR="00A73859">
        <w:rPr>
          <w:rFonts w:ascii="Arial" w:hAnsi="Arial" w:cs="Arial"/>
          <w:color w:val="000000"/>
          <w:sz w:val="24"/>
          <w:szCs w:val="24"/>
        </w:rPr>
        <w:t xml:space="preserve"> </w:t>
      </w:r>
      <w:r w:rsidR="00293F4D">
        <w:rPr>
          <w:rFonts w:ascii="Arial" w:hAnsi="Arial" w:cs="Arial"/>
          <w:color w:val="000000"/>
          <w:sz w:val="24"/>
          <w:szCs w:val="24"/>
        </w:rPr>
        <w:t>% en 2021</w:t>
      </w:r>
      <w:r w:rsidR="00955EA5">
        <w:rPr>
          <w:rFonts w:ascii="Arial" w:hAnsi="Arial" w:cs="Arial"/>
          <w:color w:val="000000"/>
          <w:sz w:val="24"/>
          <w:szCs w:val="24"/>
        </w:rPr>
        <w:t>.</w:t>
      </w:r>
      <w:r w:rsidR="00934F66">
        <w:rPr>
          <w:rStyle w:val="Refdenotaalpie"/>
          <w:rFonts w:ascii="Arial" w:hAnsi="Arial" w:cs="Arial"/>
          <w:color w:val="000000"/>
          <w:sz w:val="24"/>
          <w:szCs w:val="24"/>
        </w:rPr>
        <w:footnoteReference w:id="19"/>
      </w:r>
    </w:p>
    <w:p w14:paraId="582DD291" w14:textId="77777777" w:rsidR="004D774B" w:rsidRDefault="004D774B" w:rsidP="002E5B57">
      <w:pPr>
        <w:tabs>
          <w:tab w:val="left" w:pos="5460"/>
        </w:tabs>
        <w:spacing w:after="0"/>
        <w:jc w:val="both"/>
        <w:rPr>
          <w:rFonts w:ascii="Arial" w:hAnsi="Arial" w:cs="Arial"/>
          <w:color w:val="000000"/>
          <w:sz w:val="24"/>
          <w:szCs w:val="24"/>
        </w:rPr>
      </w:pPr>
    </w:p>
    <w:p w14:paraId="6130CFF1" w14:textId="103C274E" w:rsidR="00293F4D" w:rsidRPr="00DE7C9F" w:rsidRDefault="00293F4D" w:rsidP="00293F4D">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18</w:t>
      </w:r>
    </w:p>
    <w:p w14:paraId="452D1C98" w14:textId="22E5E203" w:rsidR="00293F4D" w:rsidRDefault="00293F4D" w:rsidP="00293F4D">
      <w:pPr>
        <w:pStyle w:val="Default"/>
        <w:spacing w:after="10"/>
        <w:ind w:right="284"/>
        <w:jc w:val="center"/>
        <w:rPr>
          <w:rFonts w:ascii="Arial Negrita" w:hAnsi="Arial Negrita"/>
          <w:b/>
          <w:bCs/>
          <w:iCs/>
          <w:smallCaps/>
          <w:color w:val="000000" w:themeColor="text1"/>
          <w:sz w:val="22"/>
          <w:szCs w:val="22"/>
        </w:rPr>
      </w:pPr>
      <w:r w:rsidRPr="00293F4D">
        <w:rPr>
          <w:rFonts w:ascii="Arial Negrita" w:hAnsi="Arial Negrita"/>
          <w:b/>
          <w:bCs/>
          <w:iCs/>
          <w:smallCaps/>
          <w:color w:val="000000" w:themeColor="text1"/>
          <w:sz w:val="22"/>
          <w:szCs w:val="22"/>
        </w:rPr>
        <w:t>Causas penales ingresadas, según órgano</w:t>
      </w:r>
    </w:p>
    <w:p w14:paraId="681C4D3A" w14:textId="77777777" w:rsidR="00CB7D4D" w:rsidRDefault="00CB7D4D" w:rsidP="00293F4D">
      <w:pPr>
        <w:pStyle w:val="Default"/>
        <w:spacing w:after="10"/>
        <w:ind w:right="284"/>
        <w:jc w:val="center"/>
        <w:rPr>
          <w:rFonts w:ascii="Arial Negrita" w:hAnsi="Arial Negrita"/>
          <w:b/>
          <w:bCs/>
          <w:iCs/>
          <w:smallCaps/>
          <w:color w:val="000000" w:themeColor="text1"/>
          <w:sz w:val="22"/>
          <w:szCs w:val="22"/>
        </w:rPr>
      </w:pPr>
    </w:p>
    <w:p w14:paraId="0A0A0DB2" w14:textId="2B9D938B" w:rsidR="009C79F3" w:rsidRDefault="00CB7D4D" w:rsidP="009C79F3">
      <w:pPr>
        <w:pStyle w:val="Default"/>
        <w:spacing w:after="10"/>
        <w:ind w:right="284"/>
        <w:jc w:val="center"/>
        <w:rPr>
          <w:rFonts w:ascii="Arial Negrita" w:hAnsi="Arial Negrita"/>
          <w:b/>
          <w:bCs/>
          <w:iCs/>
          <w:smallCaps/>
          <w:color w:val="000000" w:themeColor="text1"/>
          <w:sz w:val="22"/>
          <w:szCs w:val="22"/>
        </w:rPr>
      </w:pPr>
      <w:r>
        <w:rPr>
          <w:noProof/>
        </w:rPr>
        <w:drawing>
          <wp:inline distT="0" distB="0" distL="0" distR="0" wp14:anchorId="6E24C919" wp14:editId="5F2AFA09">
            <wp:extent cx="5581935" cy="1876567"/>
            <wp:effectExtent l="0" t="0" r="0" b="0"/>
            <wp:docPr id="12" name="Gráfico 12">
              <a:extLst xmlns:a="http://schemas.openxmlformats.org/drawingml/2006/main">
                <a:ext uri="{FF2B5EF4-FFF2-40B4-BE49-F238E27FC236}">
                  <a16:creationId xmlns:a16="http://schemas.microsoft.com/office/drawing/2014/main" id="{5FA61716-D86D-8886-08E5-79B22A399F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3A0E96" w14:textId="77777777" w:rsidR="00934F66" w:rsidRDefault="00934F66" w:rsidP="009C79F3">
      <w:pPr>
        <w:pStyle w:val="Default"/>
        <w:spacing w:after="10"/>
        <w:ind w:right="284"/>
        <w:jc w:val="both"/>
        <w:rPr>
          <w:rFonts w:eastAsia="Times New Roman"/>
          <w:sz w:val="16"/>
          <w:szCs w:val="16"/>
        </w:rPr>
      </w:pPr>
    </w:p>
    <w:p w14:paraId="2D317E03" w14:textId="495229DB" w:rsidR="00DA19B2" w:rsidRDefault="00934F66" w:rsidP="00753BE4">
      <w:pPr>
        <w:pStyle w:val="Default"/>
        <w:spacing w:after="10"/>
        <w:ind w:right="284"/>
        <w:jc w:val="both"/>
        <w:rPr>
          <w:rFonts w:eastAsia="Times New Roman"/>
          <w:sz w:val="16"/>
          <w:szCs w:val="16"/>
        </w:rPr>
      </w:pPr>
      <w:r>
        <w:rPr>
          <w:rFonts w:eastAsia="Times New Roman"/>
          <w:sz w:val="16"/>
          <w:szCs w:val="16"/>
        </w:rPr>
        <w:t xml:space="preserve">Nota: </w:t>
      </w:r>
      <w:r w:rsidR="00955EA5">
        <w:rPr>
          <w:rFonts w:eastAsia="Times New Roman"/>
          <w:sz w:val="16"/>
          <w:szCs w:val="16"/>
        </w:rPr>
        <w:t>P</w:t>
      </w:r>
      <w:r w:rsidR="009C79F3" w:rsidRPr="009C79F3">
        <w:rPr>
          <w:rFonts w:eastAsia="Times New Roman"/>
          <w:sz w:val="16"/>
          <w:szCs w:val="16"/>
        </w:rPr>
        <w:t xml:space="preserve">ara los juzgados de distrito solo se incluye las causas penales en </w:t>
      </w:r>
      <w:r w:rsidR="00955EA5">
        <w:rPr>
          <w:rFonts w:eastAsia="Times New Roman"/>
          <w:sz w:val="16"/>
          <w:szCs w:val="16"/>
        </w:rPr>
        <w:t>«</w:t>
      </w:r>
      <w:r w:rsidR="009C79F3" w:rsidRPr="009C79F3">
        <w:rPr>
          <w:rFonts w:eastAsia="Times New Roman"/>
          <w:sz w:val="16"/>
          <w:szCs w:val="16"/>
        </w:rPr>
        <w:t>Procesos en primera instancia</w:t>
      </w:r>
      <w:r w:rsidR="00955EA5">
        <w:rPr>
          <w:rFonts w:eastAsia="Times New Roman"/>
          <w:sz w:val="16"/>
          <w:szCs w:val="16"/>
        </w:rPr>
        <w:t>»</w:t>
      </w:r>
      <w:r w:rsidR="009C79F3" w:rsidRPr="009C79F3">
        <w:rPr>
          <w:rFonts w:eastAsia="Times New Roman"/>
          <w:sz w:val="16"/>
          <w:szCs w:val="16"/>
        </w:rPr>
        <w:t>.</w:t>
      </w:r>
    </w:p>
    <w:p w14:paraId="701C9B56" w14:textId="77777777" w:rsidR="00753BE4" w:rsidRPr="00753BE4" w:rsidRDefault="00753BE4" w:rsidP="00753BE4">
      <w:pPr>
        <w:pStyle w:val="Default"/>
        <w:spacing w:after="10"/>
        <w:ind w:right="284"/>
        <w:jc w:val="both"/>
        <w:rPr>
          <w:b/>
          <w:bCs/>
          <w:iCs/>
          <w:smallCaps/>
          <w:color w:val="000000" w:themeColor="text1"/>
          <w:sz w:val="16"/>
          <w:szCs w:val="16"/>
        </w:rPr>
      </w:pPr>
    </w:p>
    <w:p w14:paraId="480D6546" w14:textId="5B43659D" w:rsidR="00783CE0" w:rsidRPr="00BA306B" w:rsidRDefault="00783CE0" w:rsidP="00511B07">
      <w:pPr>
        <w:pStyle w:val="Prrafodelista"/>
        <w:numPr>
          <w:ilvl w:val="0"/>
          <w:numId w:val="31"/>
        </w:numPr>
        <w:tabs>
          <w:tab w:val="left" w:pos="5460"/>
        </w:tabs>
        <w:spacing w:after="0"/>
        <w:jc w:val="both"/>
        <w:rPr>
          <w:rFonts w:ascii="Arial" w:hAnsi="Arial" w:cs="Arial"/>
          <w:color w:val="000000"/>
          <w:sz w:val="24"/>
          <w:szCs w:val="24"/>
        </w:rPr>
      </w:pPr>
      <w:r w:rsidRPr="00BA306B">
        <w:rPr>
          <w:rFonts w:ascii="Arial" w:hAnsi="Arial" w:cs="Arial"/>
          <w:bCs/>
          <w:smallCaps/>
          <w:sz w:val="24"/>
          <w:szCs w:val="24"/>
        </w:rPr>
        <w:t>Causas penales (concluidas</w:t>
      </w:r>
      <w:r w:rsidRPr="00BA306B">
        <w:rPr>
          <w:rFonts w:ascii="Arial" w:hAnsi="Arial" w:cs="Arial"/>
          <w:bCs/>
          <w:color w:val="000000"/>
          <w:sz w:val="24"/>
          <w:szCs w:val="24"/>
        </w:rPr>
        <w:t>)</w:t>
      </w:r>
    </w:p>
    <w:p w14:paraId="72859B4F" w14:textId="77777777" w:rsidR="00C02DB3" w:rsidRPr="00783CE0" w:rsidRDefault="00C02DB3" w:rsidP="00783CE0">
      <w:pPr>
        <w:tabs>
          <w:tab w:val="left" w:pos="5460"/>
        </w:tabs>
        <w:spacing w:after="0"/>
        <w:jc w:val="both"/>
        <w:rPr>
          <w:rFonts w:ascii="Arial" w:hAnsi="Arial" w:cs="Arial"/>
          <w:color w:val="000000"/>
          <w:sz w:val="24"/>
          <w:szCs w:val="24"/>
        </w:rPr>
      </w:pPr>
    </w:p>
    <w:p w14:paraId="3D59333E" w14:textId="172DB668" w:rsidR="00CB7D4D" w:rsidRDefault="00783CE0" w:rsidP="00026F86">
      <w:pPr>
        <w:tabs>
          <w:tab w:val="left" w:pos="5460"/>
        </w:tabs>
        <w:spacing w:after="0"/>
        <w:ind w:left="-227"/>
        <w:jc w:val="both"/>
        <w:rPr>
          <w:rFonts w:ascii="Arial" w:hAnsi="Arial" w:cs="Arial"/>
          <w:color w:val="000000"/>
          <w:sz w:val="24"/>
          <w:szCs w:val="24"/>
        </w:rPr>
      </w:pPr>
      <w:r w:rsidRPr="00783CE0">
        <w:rPr>
          <w:rFonts w:ascii="Arial" w:hAnsi="Arial" w:cs="Arial"/>
          <w:color w:val="000000"/>
          <w:sz w:val="24"/>
          <w:szCs w:val="24"/>
        </w:rPr>
        <w:t>En 202</w:t>
      </w:r>
      <w:r>
        <w:rPr>
          <w:rFonts w:ascii="Arial" w:hAnsi="Arial" w:cs="Arial"/>
          <w:color w:val="000000"/>
          <w:sz w:val="24"/>
          <w:szCs w:val="24"/>
        </w:rPr>
        <w:t>1</w:t>
      </w:r>
      <w:r w:rsidRPr="00783CE0">
        <w:rPr>
          <w:rFonts w:ascii="Arial" w:hAnsi="Arial" w:cs="Arial"/>
          <w:color w:val="000000"/>
          <w:sz w:val="24"/>
          <w:szCs w:val="24"/>
        </w:rPr>
        <w:t xml:space="preserve">, se registraron </w:t>
      </w:r>
      <w:r w:rsidR="002563D4" w:rsidRPr="002563D4">
        <w:rPr>
          <w:rFonts w:ascii="Arial" w:hAnsi="Arial" w:cs="Arial"/>
          <w:color w:val="000000"/>
          <w:sz w:val="24"/>
          <w:szCs w:val="24"/>
        </w:rPr>
        <w:t>1</w:t>
      </w:r>
      <w:r w:rsidR="00A73859">
        <w:rPr>
          <w:rFonts w:ascii="Arial" w:hAnsi="Arial" w:cs="Arial"/>
          <w:color w:val="000000"/>
          <w:sz w:val="24"/>
          <w:szCs w:val="24"/>
        </w:rPr>
        <w:t xml:space="preserve"> </w:t>
      </w:r>
      <w:r w:rsidR="002563D4" w:rsidRPr="002563D4">
        <w:rPr>
          <w:rFonts w:ascii="Arial" w:hAnsi="Arial" w:cs="Arial"/>
          <w:color w:val="000000"/>
          <w:sz w:val="24"/>
          <w:szCs w:val="24"/>
        </w:rPr>
        <w:t xml:space="preserve">411 </w:t>
      </w:r>
      <w:r w:rsidRPr="00783CE0">
        <w:rPr>
          <w:rFonts w:ascii="Arial" w:hAnsi="Arial" w:cs="Arial"/>
          <w:color w:val="000000"/>
          <w:sz w:val="24"/>
          <w:szCs w:val="24"/>
        </w:rPr>
        <w:t xml:space="preserve">causas penales concluidas en los </w:t>
      </w:r>
      <w:r w:rsidR="00A73859">
        <w:rPr>
          <w:rFonts w:ascii="Arial" w:hAnsi="Arial" w:cs="Arial"/>
          <w:color w:val="000000"/>
          <w:sz w:val="24"/>
          <w:szCs w:val="24"/>
        </w:rPr>
        <w:t>JD</w:t>
      </w:r>
      <w:r w:rsidRPr="00783CE0">
        <w:rPr>
          <w:rFonts w:ascii="Arial" w:hAnsi="Arial" w:cs="Arial"/>
          <w:color w:val="000000"/>
          <w:sz w:val="24"/>
          <w:szCs w:val="24"/>
        </w:rPr>
        <w:t xml:space="preserve"> (Sistema Tradicional), </w:t>
      </w:r>
      <w:r w:rsidR="002563D4" w:rsidRPr="002563D4">
        <w:rPr>
          <w:rFonts w:ascii="Arial" w:hAnsi="Arial" w:cs="Arial"/>
          <w:color w:val="000000"/>
          <w:sz w:val="24"/>
          <w:szCs w:val="24"/>
        </w:rPr>
        <w:t>4</w:t>
      </w:r>
      <w:r w:rsidR="00A73859">
        <w:rPr>
          <w:rFonts w:ascii="Arial" w:hAnsi="Arial" w:cs="Arial"/>
          <w:color w:val="000000"/>
          <w:sz w:val="24"/>
          <w:szCs w:val="24"/>
        </w:rPr>
        <w:t xml:space="preserve"> </w:t>
      </w:r>
      <w:r w:rsidR="002563D4" w:rsidRPr="002563D4">
        <w:rPr>
          <w:rFonts w:ascii="Arial" w:hAnsi="Arial" w:cs="Arial"/>
          <w:color w:val="000000"/>
          <w:sz w:val="24"/>
          <w:szCs w:val="24"/>
        </w:rPr>
        <w:t>6</w:t>
      </w:r>
      <w:r w:rsidR="00A52DDC">
        <w:rPr>
          <w:rFonts w:ascii="Arial" w:hAnsi="Arial" w:cs="Arial"/>
          <w:color w:val="000000"/>
          <w:sz w:val="24"/>
          <w:szCs w:val="24"/>
        </w:rPr>
        <w:t>44</w:t>
      </w:r>
      <w:r w:rsidR="002563D4" w:rsidRPr="002563D4">
        <w:rPr>
          <w:rFonts w:ascii="Arial" w:hAnsi="Arial" w:cs="Arial"/>
          <w:color w:val="000000"/>
          <w:sz w:val="24"/>
          <w:szCs w:val="24"/>
        </w:rPr>
        <w:t xml:space="preserve"> </w:t>
      </w:r>
      <w:r w:rsidRPr="00783CE0">
        <w:rPr>
          <w:rFonts w:ascii="Arial" w:hAnsi="Arial" w:cs="Arial"/>
          <w:color w:val="000000"/>
          <w:sz w:val="24"/>
          <w:szCs w:val="24"/>
        </w:rPr>
        <w:t xml:space="preserve">por los jueces de control o garantías y </w:t>
      </w:r>
      <w:r w:rsidR="00A52DDC">
        <w:rPr>
          <w:rFonts w:ascii="Arial" w:hAnsi="Arial" w:cs="Arial"/>
          <w:color w:val="000000"/>
          <w:sz w:val="24"/>
          <w:szCs w:val="24"/>
        </w:rPr>
        <w:t>28 por</w:t>
      </w:r>
      <w:r w:rsidRPr="00783CE0">
        <w:rPr>
          <w:rFonts w:ascii="Arial" w:hAnsi="Arial" w:cs="Arial"/>
          <w:color w:val="000000"/>
          <w:sz w:val="24"/>
          <w:szCs w:val="24"/>
        </w:rPr>
        <w:t xml:space="preserve"> los jueces de enjuiciamiento o juicio oral (Sistema Penal Acusatorio). En comparación con 20</w:t>
      </w:r>
      <w:r w:rsidR="002563D4">
        <w:rPr>
          <w:rFonts w:ascii="Arial" w:hAnsi="Arial" w:cs="Arial"/>
          <w:color w:val="000000"/>
          <w:sz w:val="24"/>
          <w:szCs w:val="24"/>
        </w:rPr>
        <w:t>20</w:t>
      </w:r>
      <w:r w:rsidRPr="00783CE0">
        <w:rPr>
          <w:rFonts w:ascii="Arial" w:hAnsi="Arial" w:cs="Arial"/>
          <w:color w:val="000000"/>
          <w:sz w:val="24"/>
          <w:szCs w:val="24"/>
        </w:rPr>
        <w:t xml:space="preserve">, la conclusión de causas penales en los tres órganos presentó disminuciones: en los </w:t>
      </w:r>
      <w:r w:rsidR="00A73859">
        <w:rPr>
          <w:rFonts w:ascii="Arial" w:hAnsi="Arial" w:cs="Arial"/>
          <w:color w:val="000000"/>
          <w:sz w:val="24"/>
          <w:szCs w:val="24"/>
        </w:rPr>
        <w:t>JD</w:t>
      </w:r>
      <w:r w:rsidR="00631AFC">
        <w:rPr>
          <w:rFonts w:ascii="Arial" w:hAnsi="Arial" w:cs="Arial"/>
          <w:color w:val="000000"/>
          <w:sz w:val="24"/>
          <w:szCs w:val="24"/>
        </w:rPr>
        <w:t>,</w:t>
      </w:r>
      <w:r w:rsidR="00A73859">
        <w:rPr>
          <w:rFonts w:ascii="Arial" w:hAnsi="Arial" w:cs="Arial"/>
          <w:color w:val="000000"/>
          <w:sz w:val="24"/>
          <w:szCs w:val="24"/>
        </w:rPr>
        <w:t xml:space="preserve"> </w:t>
      </w:r>
      <w:r w:rsidR="002563D4">
        <w:rPr>
          <w:rFonts w:ascii="Arial" w:hAnsi="Arial" w:cs="Arial"/>
          <w:color w:val="000000"/>
          <w:sz w:val="24"/>
          <w:szCs w:val="24"/>
        </w:rPr>
        <w:t>25.5</w:t>
      </w:r>
      <w:r w:rsidR="00A73859">
        <w:rPr>
          <w:rFonts w:ascii="Arial" w:hAnsi="Arial" w:cs="Arial"/>
          <w:color w:val="000000"/>
          <w:sz w:val="24"/>
          <w:szCs w:val="24"/>
        </w:rPr>
        <w:t xml:space="preserve"> </w:t>
      </w:r>
      <w:r w:rsidRPr="00783CE0">
        <w:rPr>
          <w:rFonts w:ascii="Arial" w:hAnsi="Arial" w:cs="Arial"/>
          <w:color w:val="000000"/>
          <w:sz w:val="24"/>
          <w:szCs w:val="24"/>
        </w:rPr>
        <w:t xml:space="preserve">%; con los jueces de control o garantías, </w:t>
      </w:r>
      <w:r w:rsidR="002563D4">
        <w:rPr>
          <w:rFonts w:ascii="Arial" w:hAnsi="Arial" w:cs="Arial"/>
          <w:color w:val="000000"/>
          <w:sz w:val="24"/>
          <w:szCs w:val="24"/>
        </w:rPr>
        <w:t>26.7</w:t>
      </w:r>
      <w:r w:rsidR="00A73859">
        <w:rPr>
          <w:rFonts w:ascii="Arial" w:hAnsi="Arial" w:cs="Arial"/>
          <w:color w:val="000000"/>
          <w:sz w:val="24"/>
          <w:szCs w:val="24"/>
        </w:rPr>
        <w:t xml:space="preserve"> </w:t>
      </w:r>
      <w:r w:rsidRPr="00783CE0">
        <w:rPr>
          <w:rFonts w:ascii="Arial" w:hAnsi="Arial" w:cs="Arial"/>
          <w:color w:val="000000"/>
          <w:sz w:val="24"/>
          <w:szCs w:val="24"/>
        </w:rPr>
        <w:t>%</w:t>
      </w:r>
      <w:r w:rsidR="00364E83">
        <w:rPr>
          <w:rFonts w:ascii="Arial" w:hAnsi="Arial" w:cs="Arial"/>
          <w:color w:val="000000"/>
          <w:sz w:val="24"/>
          <w:szCs w:val="24"/>
        </w:rPr>
        <w:t>;</w:t>
      </w:r>
      <w:r w:rsidRPr="00783CE0">
        <w:rPr>
          <w:rFonts w:ascii="Arial" w:hAnsi="Arial" w:cs="Arial"/>
          <w:color w:val="000000"/>
          <w:sz w:val="24"/>
          <w:szCs w:val="24"/>
        </w:rPr>
        <w:t xml:space="preserve"> y </w:t>
      </w:r>
      <w:r w:rsidR="00631AFC">
        <w:rPr>
          <w:rFonts w:ascii="Arial" w:hAnsi="Arial" w:cs="Arial"/>
          <w:color w:val="000000"/>
          <w:sz w:val="24"/>
          <w:szCs w:val="24"/>
        </w:rPr>
        <w:t>con</w:t>
      </w:r>
      <w:r w:rsidR="00631AFC" w:rsidRPr="00783CE0">
        <w:rPr>
          <w:rFonts w:ascii="Arial" w:hAnsi="Arial" w:cs="Arial"/>
          <w:color w:val="000000"/>
          <w:sz w:val="24"/>
          <w:szCs w:val="24"/>
        </w:rPr>
        <w:t xml:space="preserve"> </w:t>
      </w:r>
      <w:r w:rsidRPr="00783CE0">
        <w:rPr>
          <w:rFonts w:ascii="Arial" w:hAnsi="Arial" w:cs="Arial"/>
          <w:color w:val="000000"/>
          <w:sz w:val="24"/>
          <w:szCs w:val="24"/>
        </w:rPr>
        <w:t>los jueces de enjuiciamiento,</w:t>
      </w:r>
      <w:r w:rsidR="00A73859">
        <w:rPr>
          <w:rFonts w:ascii="Arial" w:hAnsi="Arial" w:cs="Arial"/>
          <w:color w:val="000000"/>
          <w:sz w:val="24"/>
          <w:szCs w:val="24"/>
        </w:rPr>
        <w:t xml:space="preserve"> </w:t>
      </w:r>
      <w:r w:rsidR="002563D4">
        <w:rPr>
          <w:rFonts w:ascii="Arial" w:hAnsi="Arial" w:cs="Arial"/>
          <w:color w:val="000000"/>
          <w:sz w:val="24"/>
          <w:szCs w:val="24"/>
        </w:rPr>
        <w:t>85.6</w:t>
      </w:r>
      <w:r w:rsidR="00A73859">
        <w:rPr>
          <w:rFonts w:ascii="Arial" w:hAnsi="Arial" w:cs="Arial"/>
          <w:color w:val="000000"/>
          <w:sz w:val="24"/>
          <w:szCs w:val="24"/>
        </w:rPr>
        <w:t xml:space="preserve"> </w:t>
      </w:r>
      <w:r w:rsidR="00C8693E">
        <w:rPr>
          <w:rFonts w:ascii="Arial" w:hAnsi="Arial" w:cs="Arial"/>
          <w:color w:val="000000"/>
          <w:sz w:val="24"/>
          <w:szCs w:val="24"/>
        </w:rPr>
        <w:t>por ciento</w:t>
      </w:r>
      <w:r w:rsidRPr="00783CE0">
        <w:rPr>
          <w:rFonts w:ascii="Arial" w:hAnsi="Arial" w:cs="Arial"/>
          <w:color w:val="000000"/>
          <w:sz w:val="24"/>
          <w:szCs w:val="24"/>
        </w:rPr>
        <w:t>.</w:t>
      </w:r>
    </w:p>
    <w:p w14:paraId="04BE7DE5" w14:textId="77777777" w:rsidR="00DA19B2" w:rsidRDefault="00DA19B2" w:rsidP="00026F86">
      <w:pPr>
        <w:tabs>
          <w:tab w:val="left" w:pos="5460"/>
        </w:tabs>
        <w:spacing w:after="0"/>
        <w:ind w:left="-227"/>
        <w:jc w:val="both"/>
        <w:rPr>
          <w:rFonts w:ascii="Arial" w:hAnsi="Arial" w:cs="Arial"/>
          <w:color w:val="000000"/>
          <w:sz w:val="24"/>
          <w:szCs w:val="24"/>
        </w:rPr>
      </w:pPr>
    </w:p>
    <w:p w14:paraId="2EBB9DA1" w14:textId="2E93C4D1" w:rsidR="000325AE" w:rsidRPr="00DE7C9F" w:rsidRDefault="000325AE" w:rsidP="000325AE">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19</w:t>
      </w:r>
    </w:p>
    <w:p w14:paraId="5CC7345E" w14:textId="3C9D6578" w:rsidR="00293F4D" w:rsidRDefault="000325AE" w:rsidP="002563D4">
      <w:pPr>
        <w:tabs>
          <w:tab w:val="left" w:pos="5460"/>
        </w:tabs>
        <w:spacing w:after="0"/>
        <w:jc w:val="center"/>
        <w:rPr>
          <w:rFonts w:ascii="Arial Negrita" w:hAnsi="Arial Negrita"/>
          <w:b/>
          <w:bCs/>
          <w:iCs/>
          <w:smallCaps/>
          <w:color w:val="000000" w:themeColor="text1"/>
        </w:rPr>
      </w:pPr>
      <w:r w:rsidRPr="00293F4D">
        <w:rPr>
          <w:rFonts w:ascii="Arial Negrita" w:hAnsi="Arial Negrita"/>
          <w:b/>
          <w:bCs/>
          <w:iCs/>
          <w:smallCaps/>
          <w:color w:val="000000" w:themeColor="text1"/>
        </w:rPr>
        <w:t xml:space="preserve">Causas penales </w:t>
      </w:r>
      <w:r w:rsidR="005D6A9A">
        <w:rPr>
          <w:rFonts w:ascii="Arial Negrita" w:hAnsi="Arial Negrita"/>
          <w:b/>
          <w:bCs/>
          <w:iCs/>
          <w:smallCaps/>
          <w:color w:val="000000" w:themeColor="text1"/>
        </w:rPr>
        <w:t>concluidas</w:t>
      </w:r>
      <w:r w:rsidRPr="00293F4D">
        <w:rPr>
          <w:rFonts w:ascii="Arial Negrita" w:hAnsi="Arial Negrita"/>
          <w:b/>
          <w:bCs/>
          <w:iCs/>
          <w:smallCaps/>
          <w:color w:val="000000" w:themeColor="text1"/>
        </w:rPr>
        <w:t>, según órgano</w:t>
      </w:r>
      <w:r w:rsidR="005D6A9A">
        <w:rPr>
          <w:rFonts w:ascii="Arial Negrita" w:hAnsi="Arial Negrita"/>
          <w:b/>
          <w:bCs/>
          <w:iCs/>
          <w:smallCaps/>
          <w:color w:val="000000" w:themeColor="text1"/>
        </w:rPr>
        <w:t xml:space="preserve"> jurisdiccional</w:t>
      </w:r>
    </w:p>
    <w:p w14:paraId="4DB35495" w14:textId="77BB8EAA" w:rsidR="00DE68D5" w:rsidRDefault="00DE68D5" w:rsidP="002E5B57">
      <w:pPr>
        <w:tabs>
          <w:tab w:val="left" w:pos="5460"/>
        </w:tabs>
        <w:spacing w:after="0"/>
        <w:jc w:val="both"/>
        <w:rPr>
          <w:rFonts w:ascii="Arial" w:hAnsi="Arial" w:cs="Arial"/>
          <w:color w:val="000000"/>
          <w:sz w:val="24"/>
          <w:szCs w:val="24"/>
        </w:rPr>
      </w:pPr>
      <w:r>
        <w:rPr>
          <w:noProof/>
        </w:rPr>
        <w:drawing>
          <wp:inline distT="0" distB="0" distL="0" distR="0" wp14:anchorId="715D0F6F" wp14:editId="0EC705B6">
            <wp:extent cx="6404610" cy="2169994"/>
            <wp:effectExtent l="0" t="0" r="0" b="1905"/>
            <wp:docPr id="13" name="Gráfico 13">
              <a:extLst xmlns:a="http://schemas.openxmlformats.org/drawingml/2006/main">
                <a:ext uri="{FF2B5EF4-FFF2-40B4-BE49-F238E27FC236}">
                  <a16:creationId xmlns:a16="http://schemas.microsoft.com/office/drawing/2014/main" id="{A8037F21-9FF5-82DD-BA7B-825898ED6D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57CD7A" w14:textId="77777777" w:rsidR="008678BA" w:rsidRDefault="008678BA" w:rsidP="003478A9">
      <w:pPr>
        <w:tabs>
          <w:tab w:val="left" w:pos="5460"/>
        </w:tabs>
        <w:spacing w:after="0"/>
        <w:jc w:val="both"/>
        <w:rPr>
          <w:rFonts w:ascii="Arial" w:hAnsi="Arial" w:cs="Arial"/>
          <w:color w:val="000000"/>
          <w:sz w:val="24"/>
          <w:szCs w:val="24"/>
        </w:rPr>
      </w:pPr>
    </w:p>
    <w:p w14:paraId="71A167FF" w14:textId="3A7127DE" w:rsidR="005D6A9A" w:rsidRDefault="003478A9" w:rsidP="003478A9">
      <w:pPr>
        <w:tabs>
          <w:tab w:val="left" w:pos="5460"/>
        </w:tabs>
        <w:spacing w:after="0"/>
        <w:jc w:val="both"/>
        <w:rPr>
          <w:rFonts w:ascii="Arial" w:hAnsi="Arial" w:cs="Arial"/>
          <w:color w:val="000000"/>
          <w:sz w:val="24"/>
          <w:szCs w:val="24"/>
        </w:rPr>
      </w:pPr>
      <w:r w:rsidRPr="003478A9">
        <w:rPr>
          <w:rFonts w:ascii="Arial" w:hAnsi="Arial" w:cs="Arial"/>
          <w:color w:val="000000"/>
          <w:sz w:val="24"/>
          <w:szCs w:val="24"/>
        </w:rPr>
        <w:t xml:space="preserve">De las causas penales concluidas en los </w:t>
      </w:r>
      <w:r w:rsidR="00A73859">
        <w:rPr>
          <w:rFonts w:ascii="Arial" w:hAnsi="Arial" w:cs="Arial"/>
          <w:color w:val="000000"/>
          <w:sz w:val="24"/>
          <w:szCs w:val="24"/>
        </w:rPr>
        <w:t>JD</w:t>
      </w:r>
      <w:r w:rsidRPr="003478A9">
        <w:rPr>
          <w:rFonts w:ascii="Arial" w:hAnsi="Arial" w:cs="Arial"/>
          <w:color w:val="000000"/>
          <w:sz w:val="24"/>
          <w:szCs w:val="24"/>
        </w:rPr>
        <w:t xml:space="preserve"> (Sistema Tradicional), 3</w:t>
      </w:r>
      <w:r w:rsidR="00B36272">
        <w:rPr>
          <w:rFonts w:ascii="Arial" w:hAnsi="Arial" w:cs="Arial"/>
          <w:color w:val="000000"/>
          <w:sz w:val="24"/>
          <w:szCs w:val="24"/>
        </w:rPr>
        <w:t>8.3</w:t>
      </w:r>
      <w:r w:rsidR="004D774B">
        <w:rPr>
          <w:rFonts w:ascii="Arial" w:hAnsi="Arial" w:cs="Arial"/>
          <w:color w:val="000000"/>
          <w:sz w:val="24"/>
          <w:szCs w:val="24"/>
        </w:rPr>
        <w:t xml:space="preserve"> </w:t>
      </w:r>
      <w:r w:rsidRPr="003478A9">
        <w:rPr>
          <w:rFonts w:ascii="Arial" w:hAnsi="Arial" w:cs="Arial"/>
          <w:color w:val="000000"/>
          <w:sz w:val="24"/>
          <w:szCs w:val="24"/>
        </w:rPr>
        <w:t>%</w:t>
      </w:r>
      <w:r>
        <w:rPr>
          <w:rFonts w:ascii="Arial" w:hAnsi="Arial" w:cs="Arial"/>
          <w:color w:val="000000"/>
          <w:sz w:val="24"/>
          <w:szCs w:val="24"/>
        </w:rPr>
        <w:t xml:space="preserve"> </w:t>
      </w:r>
      <w:r w:rsidRPr="003478A9">
        <w:rPr>
          <w:rFonts w:ascii="Arial" w:hAnsi="Arial" w:cs="Arial"/>
          <w:color w:val="000000"/>
          <w:sz w:val="24"/>
          <w:szCs w:val="24"/>
        </w:rPr>
        <w:t>(</w:t>
      </w:r>
      <w:r w:rsidR="00B36272">
        <w:rPr>
          <w:rFonts w:ascii="Arial" w:hAnsi="Arial" w:cs="Arial"/>
          <w:color w:val="000000"/>
          <w:sz w:val="24"/>
          <w:szCs w:val="24"/>
        </w:rPr>
        <w:t>541</w:t>
      </w:r>
      <w:r w:rsidRPr="003478A9">
        <w:rPr>
          <w:rFonts w:ascii="Arial" w:hAnsi="Arial" w:cs="Arial"/>
          <w:color w:val="000000"/>
          <w:sz w:val="24"/>
          <w:szCs w:val="24"/>
        </w:rPr>
        <w:t>) correspondió a sobreseimiento</w:t>
      </w:r>
      <w:r w:rsidR="0092025D">
        <w:rPr>
          <w:rFonts w:ascii="Arial" w:hAnsi="Arial" w:cs="Arial"/>
          <w:color w:val="000000"/>
          <w:sz w:val="24"/>
          <w:szCs w:val="24"/>
        </w:rPr>
        <w:t>;</w:t>
      </w:r>
      <w:r w:rsidR="006D0A10">
        <w:rPr>
          <w:rStyle w:val="Refdenotaalpie"/>
          <w:rFonts w:ascii="Arial" w:hAnsi="Arial" w:cs="Arial"/>
          <w:color w:val="000000"/>
          <w:sz w:val="24"/>
          <w:szCs w:val="24"/>
        </w:rPr>
        <w:footnoteReference w:id="20"/>
      </w:r>
      <w:r w:rsidR="00B36272">
        <w:rPr>
          <w:rFonts w:ascii="Arial" w:hAnsi="Arial" w:cs="Arial"/>
          <w:color w:val="000000"/>
          <w:sz w:val="24"/>
          <w:szCs w:val="24"/>
        </w:rPr>
        <w:t xml:space="preserve"> </w:t>
      </w:r>
      <w:r w:rsidR="00B36272" w:rsidRPr="003478A9">
        <w:rPr>
          <w:rFonts w:ascii="Arial" w:hAnsi="Arial" w:cs="Arial"/>
          <w:color w:val="000000"/>
          <w:sz w:val="24"/>
          <w:szCs w:val="24"/>
        </w:rPr>
        <w:t>3</w:t>
      </w:r>
      <w:r w:rsidR="00B36272">
        <w:rPr>
          <w:rFonts w:ascii="Arial" w:hAnsi="Arial" w:cs="Arial"/>
          <w:color w:val="000000"/>
          <w:sz w:val="24"/>
          <w:szCs w:val="24"/>
        </w:rPr>
        <w:t>7.1</w:t>
      </w:r>
      <w:r w:rsidR="004D774B">
        <w:rPr>
          <w:rFonts w:ascii="Arial" w:hAnsi="Arial" w:cs="Arial"/>
          <w:color w:val="000000"/>
          <w:sz w:val="24"/>
          <w:szCs w:val="24"/>
        </w:rPr>
        <w:t xml:space="preserve"> </w:t>
      </w:r>
      <w:r w:rsidR="00B36272" w:rsidRPr="003478A9">
        <w:rPr>
          <w:rFonts w:ascii="Arial" w:hAnsi="Arial" w:cs="Arial"/>
          <w:color w:val="000000"/>
          <w:sz w:val="24"/>
          <w:szCs w:val="24"/>
        </w:rPr>
        <w:t>% (5</w:t>
      </w:r>
      <w:r w:rsidR="00B36272">
        <w:rPr>
          <w:rFonts w:ascii="Arial" w:hAnsi="Arial" w:cs="Arial"/>
          <w:color w:val="000000"/>
          <w:sz w:val="24"/>
          <w:szCs w:val="24"/>
        </w:rPr>
        <w:t>24</w:t>
      </w:r>
      <w:r w:rsidR="00B36272" w:rsidRPr="003478A9">
        <w:rPr>
          <w:rFonts w:ascii="Arial" w:hAnsi="Arial" w:cs="Arial"/>
          <w:color w:val="000000"/>
          <w:sz w:val="24"/>
          <w:szCs w:val="24"/>
        </w:rPr>
        <w:t>) finalizó con sentencia (</w:t>
      </w:r>
      <w:r w:rsidR="00B36272">
        <w:rPr>
          <w:rFonts w:ascii="Arial" w:hAnsi="Arial" w:cs="Arial"/>
          <w:color w:val="000000"/>
          <w:sz w:val="24"/>
          <w:szCs w:val="24"/>
        </w:rPr>
        <w:t>442</w:t>
      </w:r>
      <w:r w:rsidR="00B36272" w:rsidRPr="003478A9">
        <w:rPr>
          <w:rFonts w:ascii="Arial" w:hAnsi="Arial" w:cs="Arial"/>
          <w:color w:val="000000"/>
          <w:sz w:val="24"/>
          <w:szCs w:val="24"/>
        </w:rPr>
        <w:t xml:space="preserve"> en sentido condenatorio y </w:t>
      </w:r>
      <w:r w:rsidR="00B36272">
        <w:rPr>
          <w:rFonts w:ascii="Arial" w:hAnsi="Arial" w:cs="Arial"/>
          <w:color w:val="000000"/>
          <w:sz w:val="24"/>
          <w:szCs w:val="24"/>
        </w:rPr>
        <w:t>82</w:t>
      </w:r>
      <w:r w:rsidR="00B36272" w:rsidRPr="003478A9">
        <w:rPr>
          <w:rFonts w:ascii="Arial" w:hAnsi="Arial" w:cs="Arial"/>
          <w:color w:val="000000"/>
          <w:sz w:val="24"/>
          <w:szCs w:val="24"/>
        </w:rPr>
        <w:t xml:space="preserve"> en</w:t>
      </w:r>
      <w:r w:rsidR="00B36272">
        <w:rPr>
          <w:rFonts w:ascii="Arial" w:hAnsi="Arial" w:cs="Arial"/>
          <w:color w:val="000000"/>
          <w:sz w:val="24"/>
          <w:szCs w:val="24"/>
        </w:rPr>
        <w:t xml:space="preserve"> </w:t>
      </w:r>
      <w:r w:rsidR="00B36272" w:rsidRPr="003478A9">
        <w:rPr>
          <w:rFonts w:ascii="Arial" w:hAnsi="Arial" w:cs="Arial"/>
          <w:color w:val="000000"/>
          <w:sz w:val="24"/>
          <w:szCs w:val="24"/>
        </w:rPr>
        <w:t>sentido absolutorio)</w:t>
      </w:r>
      <w:r w:rsidR="00B36272">
        <w:rPr>
          <w:rFonts w:ascii="Arial" w:hAnsi="Arial" w:cs="Arial"/>
          <w:color w:val="000000"/>
          <w:sz w:val="24"/>
          <w:szCs w:val="24"/>
        </w:rPr>
        <w:t xml:space="preserve"> y </w:t>
      </w:r>
      <w:r w:rsidR="00347ADD">
        <w:rPr>
          <w:rFonts w:ascii="Arial" w:hAnsi="Arial" w:cs="Arial"/>
          <w:color w:val="000000"/>
          <w:sz w:val="24"/>
          <w:szCs w:val="24"/>
        </w:rPr>
        <w:t>24.5</w:t>
      </w:r>
      <w:r w:rsidR="004D774B">
        <w:rPr>
          <w:rFonts w:ascii="Arial" w:hAnsi="Arial" w:cs="Arial"/>
          <w:color w:val="000000"/>
          <w:sz w:val="24"/>
          <w:szCs w:val="24"/>
        </w:rPr>
        <w:t xml:space="preserve"> </w:t>
      </w:r>
      <w:r w:rsidRPr="003478A9">
        <w:rPr>
          <w:rFonts w:ascii="Arial" w:hAnsi="Arial" w:cs="Arial"/>
          <w:color w:val="000000"/>
          <w:sz w:val="24"/>
          <w:szCs w:val="24"/>
        </w:rPr>
        <w:t>% (</w:t>
      </w:r>
      <w:r w:rsidR="00347ADD">
        <w:rPr>
          <w:rFonts w:ascii="Arial" w:hAnsi="Arial" w:cs="Arial"/>
          <w:color w:val="000000"/>
          <w:sz w:val="24"/>
          <w:szCs w:val="24"/>
        </w:rPr>
        <w:t>346</w:t>
      </w:r>
      <w:r w:rsidRPr="003478A9">
        <w:rPr>
          <w:rFonts w:ascii="Arial" w:hAnsi="Arial" w:cs="Arial"/>
          <w:color w:val="000000"/>
          <w:sz w:val="24"/>
          <w:szCs w:val="24"/>
        </w:rPr>
        <w:t>) tuvo una resolución que puso fin a la</w:t>
      </w:r>
      <w:r>
        <w:rPr>
          <w:rFonts w:ascii="Arial" w:hAnsi="Arial" w:cs="Arial"/>
          <w:color w:val="000000"/>
          <w:sz w:val="24"/>
          <w:szCs w:val="24"/>
        </w:rPr>
        <w:t xml:space="preserve"> </w:t>
      </w:r>
      <w:r w:rsidRPr="003478A9">
        <w:rPr>
          <w:rFonts w:ascii="Arial" w:hAnsi="Arial" w:cs="Arial"/>
          <w:color w:val="000000"/>
          <w:sz w:val="24"/>
          <w:szCs w:val="24"/>
        </w:rPr>
        <w:t>instancia, tal como negativa de orden, incompetencia, impedimento, acumulación y otra</w:t>
      </w:r>
      <w:r w:rsidR="00935332">
        <w:rPr>
          <w:rFonts w:ascii="Arial" w:hAnsi="Arial" w:cs="Arial"/>
          <w:color w:val="000000"/>
          <w:sz w:val="24"/>
          <w:szCs w:val="24"/>
        </w:rPr>
        <w:t>.</w:t>
      </w:r>
      <w:r w:rsidRPr="003478A9">
        <w:rPr>
          <w:rFonts w:ascii="Arial" w:hAnsi="Arial" w:cs="Arial"/>
          <w:color w:val="000000"/>
          <w:sz w:val="24"/>
          <w:szCs w:val="24"/>
        </w:rPr>
        <w:t xml:space="preserve"> </w:t>
      </w:r>
      <w:r w:rsidR="0092025D">
        <w:rPr>
          <w:rFonts w:ascii="Arial" w:hAnsi="Arial" w:cs="Arial"/>
          <w:color w:val="000000"/>
          <w:sz w:val="24"/>
          <w:szCs w:val="24"/>
        </w:rPr>
        <w:t xml:space="preserve">En </w:t>
      </w:r>
      <w:r w:rsidRPr="003478A9">
        <w:rPr>
          <w:rFonts w:ascii="Arial" w:hAnsi="Arial" w:cs="Arial"/>
          <w:color w:val="000000"/>
          <w:sz w:val="24"/>
          <w:szCs w:val="24"/>
        </w:rPr>
        <w:t>las siguientes gráficas se muestra</w:t>
      </w:r>
      <w:r w:rsidR="0092025D">
        <w:rPr>
          <w:rFonts w:ascii="Arial" w:hAnsi="Arial" w:cs="Arial"/>
          <w:color w:val="000000"/>
          <w:sz w:val="24"/>
          <w:szCs w:val="24"/>
        </w:rPr>
        <w:t xml:space="preserve"> la comparación de </w:t>
      </w:r>
      <w:r w:rsidRPr="003478A9">
        <w:rPr>
          <w:rFonts w:ascii="Arial" w:hAnsi="Arial" w:cs="Arial"/>
          <w:color w:val="000000"/>
          <w:sz w:val="24"/>
          <w:szCs w:val="24"/>
        </w:rPr>
        <w:t>cifras para 2020 y 20</w:t>
      </w:r>
      <w:r w:rsidR="00B36272">
        <w:rPr>
          <w:rFonts w:ascii="Arial" w:hAnsi="Arial" w:cs="Arial"/>
          <w:color w:val="000000"/>
          <w:sz w:val="24"/>
          <w:szCs w:val="24"/>
        </w:rPr>
        <w:t>21</w:t>
      </w:r>
      <w:r w:rsidRPr="003478A9">
        <w:rPr>
          <w:rFonts w:ascii="Arial" w:hAnsi="Arial" w:cs="Arial"/>
          <w:color w:val="000000"/>
          <w:sz w:val="24"/>
          <w:szCs w:val="24"/>
        </w:rPr>
        <w:t>.</w:t>
      </w:r>
      <w:r w:rsidRPr="003478A9">
        <w:rPr>
          <w:rFonts w:ascii="Arial" w:hAnsi="Arial" w:cs="Arial"/>
          <w:color w:val="000000"/>
          <w:sz w:val="24"/>
          <w:szCs w:val="24"/>
        </w:rPr>
        <w:cr/>
      </w:r>
    </w:p>
    <w:p w14:paraId="22135182" w14:textId="5A2AA43E" w:rsidR="009626E4" w:rsidRDefault="009626E4" w:rsidP="003478A9">
      <w:pPr>
        <w:tabs>
          <w:tab w:val="left" w:pos="5460"/>
        </w:tabs>
        <w:spacing w:after="0"/>
        <w:jc w:val="both"/>
        <w:rPr>
          <w:rFonts w:ascii="Arial" w:hAnsi="Arial" w:cs="Arial"/>
          <w:color w:val="000000"/>
          <w:sz w:val="24"/>
          <w:szCs w:val="24"/>
        </w:rPr>
      </w:pPr>
    </w:p>
    <w:p w14:paraId="30EBCB52" w14:textId="60E3D8BC" w:rsidR="009626E4" w:rsidRDefault="009626E4" w:rsidP="003478A9">
      <w:pPr>
        <w:tabs>
          <w:tab w:val="left" w:pos="5460"/>
        </w:tabs>
        <w:spacing w:after="0"/>
        <w:jc w:val="both"/>
        <w:rPr>
          <w:rFonts w:ascii="Arial" w:hAnsi="Arial" w:cs="Arial"/>
          <w:color w:val="000000"/>
          <w:sz w:val="24"/>
          <w:szCs w:val="24"/>
        </w:rPr>
      </w:pPr>
    </w:p>
    <w:p w14:paraId="1FFE9D3C" w14:textId="05E2C0B8" w:rsidR="009626E4" w:rsidRDefault="009626E4" w:rsidP="003478A9">
      <w:pPr>
        <w:tabs>
          <w:tab w:val="left" w:pos="5460"/>
        </w:tabs>
        <w:spacing w:after="0"/>
        <w:jc w:val="both"/>
        <w:rPr>
          <w:rFonts w:ascii="Arial" w:hAnsi="Arial" w:cs="Arial"/>
          <w:color w:val="000000"/>
          <w:sz w:val="24"/>
          <w:szCs w:val="24"/>
        </w:rPr>
      </w:pPr>
    </w:p>
    <w:p w14:paraId="670815FA" w14:textId="3C400E6F" w:rsidR="009626E4" w:rsidRDefault="009626E4" w:rsidP="003478A9">
      <w:pPr>
        <w:tabs>
          <w:tab w:val="left" w:pos="5460"/>
        </w:tabs>
        <w:spacing w:after="0"/>
        <w:jc w:val="both"/>
        <w:rPr>
          <w:rFonts w:ascii="Arial" w:hAnsi="Arial" w:cs="Arial"/>
          <w:color w:val="000000"/>
          <w:sz w:val="24"/>
          <w:szCs w:val="24"/>
        </w:rPr>
      </w:pPr>
    </w:p>
    <w:p w14:paraId="00768069" w14:textId="5D28E594" w:rsidR="009626E4" w:rsidRDefault="009626E4" w:rsidP="003478A9">
      <w:pPr>
        <w:tabs>
          <w:tab w:val="left" w:pos="5460"/>
        </w:tabs>
        <w:spacing w:after="0"/>
        <w:jc w:val="both"/>
        <w:rPr>
          <w:rFonts w:ascii="Arial" w:hAnsi="Arial" w:cs="Arial"/>
          <w:color w:val="000000"/>
          <w:sz w:val="24"/>
          <w:szCs w:val="24"/>
        </w:rPr>
      </w:pPr>
    </w:p>
    <w:p w14:paraId="04FC49C5" w14:textId="5DA6B1D4" w:rsidR="009626E4" w:rsidRDefault="009626E4" w:rsidP="003478A9">
      <w:pPr>
        <w:tabs>
          <w:tab w:val="left" w:pos="5460"/>
        </w:tabs>
        <w:spacing w:after="0"/>
        <w:jc w:val="both"/>
        <w:rPr>
          <w:rFonts w:ascii="Arial" w:hAnsi="Arial" w:cs="Arial"/>
          <w:color w:val="000000"/>
          <w:sz w:val="24"/>
          <w:szCs w:val="24"/>
        </w:rPr>
      </w:pPr>
    </w:p>
    <w:p w14:paraId="5F00F2BF" w14:textId="426D7655" w:rsidR="009626E4" w:rsidRDefault="009626E4" w:rsidP="003478A9">
      <w:pPr>
        <w:tabs>
          <w:tab w:val="left" w:pos="5460"/>
        </w:tabs>
        <w:spacing w:after="0"/>
        <w:jc w:val="both"/>
        <w:rPr>
          <w:rFonts w:ascii="Arial" w:hAnsi="Arial" w:cs="Arial"/>
          <w:color w:val="000000"/>
          <w:sz w:val="24"/>
          <w:szCs w:val="24"/>
        </w:rPr>
      </w:pPr>
    </w:p>
    <w:p w14:paraId="7C6178C3" w14:textId="4262C188" w:rsidR="009626E4" w:rsidRDefault="009626E4" w:rsidP="003478A9">
      <w:pPr>
        <w:tabs>
          <w:tab w:val="left" w:pos="5460"/>
        </w:tabs>
        <w:spacing w:after="0"/>
        <w:jc w:val="both"/>
        <w:rPr>
          <w:rFonts w:ascii="Arial" w:hAnsi="Arial" w:cs="Arial"/>
          <w:color w:val="000000"/>
          <w:sz w:val="24"/>
          <w:szCs w:val="24"/>
        </w:rPr>
      </w:pPr>
    </w:p>
    <w:p w14:paraId="61A75F70" w14:textId="6D052E24" w:rsidR="009626E4" w:rsidRDefault="009626E4" w:rsidP="003478A9">
      <w:pPr>
        <w:tabs>
          <w:tab w:val="left" w:pos="5460"/>
        </w:tabs>
        <w:spacing w:after="0"/>
        <w:jc w:val="both"/>
        <w:rPr>
          <w:rFonts w:ascii="Arial" w:hAnsi="Arial" w:cs="Arial"/>
          <w:color w:val="000000"/>
          <w:sz w:val="24"/>
          <w:szCs w:val="24"/>
        </w:rPr>
      </w:pPr>
    </w:p>
    <w:p w14:paraId="7AC80ED7" w14:textId="148017D9" w:rsidR="009626E4" w:rsidRDefault="009626E4" w:rsidP="003478A9">
      <w:pPr>
        <w:tabs>
          <w:tab w:val="left" w:pos="5460"/>
        </w:tabs>
        <w:spacing w:after="0"/>
        <w:jc w:val="both"/>
        <w:rPr>
          <w:rFonts w:ascii="Arial" w:hAnsi="Arial" w:cs="Arial"/>
          <w:color w:val="000000"/>
          <w:sz w:val="24"/>
          <w:szCs w:val="24"/>
        </w:rPr>
      </w:pPr>
    </w:p>
    <w:p w14:paraId="111F9F00" w14:textId="77777777" w:rsidR="00753BE4" w:rsidRDefault="00753BE4" w:rsidP="003478A9">
      <w:pPr>
        <w:tabs>
          <w:tab w:val="left" w:pos="5460"/>
        </w:tabs>
        <w:spacing w:after="0"/>
        <w:jc w:val="both"/>
        <w:rPr>
          <w:rFonts w:ascii="Arial" w:hAnsi="Arial" w:cs="Arial"/>
          <w:color w:val="000000"/>
          <w:sz w:val="24"/>
          <w:szCs w:val="24"/>
        </w:rPr>
      </w:pPr>
    </w:p>
    <w:p w14:paraId="3A285680" w14:textId="77777777" w:rsidR="009626E4" w:rsidRDefault="009626E4" w:rsidP="003478A9">
      <w:pPr>
        <w:tabs>
          <w:tab w:val="left" w:pos="5460"/>
        </w:tabs>
        <w:spacing w:after="0"/>
        <w:jc w:val="both"/>
        <w:rPr>
          <w:rFonts w:ascii="Arial" w:hAnsi="Arial" w:cs="Arial"/>
          <w:color w:val="000000"/>
          <w:sz w:val="24"/>
          <w:szCs w:val="24"/>
        </w:rPr>
      </w:pPr>
    </w:p>
    <w:p w14:paraId="768420F8" w14:textId="578EA700" w:rsidR="00C02DB3" w:rsidRPr="00DE7C9F" w:rsidRDefault="00C02DB3" w:rsidP="00C02DB3">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20</w:t>
      </w:r>
    </w:p>
    <w:p w14:paraId="1A11B3AC" w14:textId="5F5A0899" w:rsidR="00CC534E" w:rsidRPr="00CC534E" w:rsidRDefault="00C02DB3" w:rsidP="00CC534E">
      <w:pPr>
        <w:tabs>
          <w:tab w:val="left" w:pos="5460"/>
        </w:tabs>
        <w:spacing w:after="0"/>
        <w:jc w:val="center"/>
        <w:rPr>
          <w:rFonts w:ascii="Arial Negrita" w:hAnsi="Arial Negrita"/>
          <w:b/>
          <w:bCs/>
          <w:iCs/>
          <w:smallCaps/>
          <w:color w:val="000000" w:themeColor="text1"/>
        </w:rPr>
      </w:pPr>
      <w:r w:rsidRPr="00293F4D">
        <w:rPr>
          <w:rFonts w:ascii="Arial Negrita" w:hAnsi="Arial Negrita"/>
          <w:b/>
          <w:bCs/>
          <w:iCs/>
          <w:smallCaps/>
          <w:color w:val="000000" w:themeColor="text1"/>
        </w:rPr>
        <w:t xml:space="preserve">Causas penales </w:t>
      </w:r>
      <w:r>
        <w:rPr>
          <w:rFonts w:ascii="Arial Negrita" w:hAnsi="Arial Negrita"/>
          <w:b/>
          <w:bCs/>
          <w:iCs/>
          <w:smallCaps/>
          <w:color w:val="000000" w:themeColor="text1"/>
        </w:rPr>
        <w:t>concluidas</w:t>
      </w:r>
      <w:r w:rsidR="00CC534E" w:rsidRPr="00CC534E">
        <w:rPr>
          <w:rFonts w:ascii="Arial Negrita" w:hAnsi="Arial Negrita"/>
          <w:b/>
          <w:bCs/>
          <w:iCs/>
          <w:smallCaps/>
          <w:color w:val="000000" w:themeColor="text1"/>
        </w:rPr>
        <w:t xml:space="preserve"> en los juzgados de distrito (Sistema Tradicional),</w:t>
      </w:r>
    </w:p>
    <w:p w14:paraId="0360259E" w14:textId="34269557" w:rsidR="00C02DB3" w:rsidRDefault="00CC534E" w:rsidP="00CC534E">
      <w:pPr>
        <w:tabs>
          <w:tab w:val="left" w:pos="5460"/>
        </w:tabs>
        <w:spacing w:after="0"/>
        <w:jc w:val="center"/>
        <w:rPr>
          <w:rFonts w:ascii="Arial Negrita" w:hAnsi="Arial Negrita"/>
          <w:b/>
          <w:bCs/>
          <w:iCs/>
          <w:smallCaps/>
          <w:color w:val="000000" w:themeColor="text1"/>
        </w:rPr>
      </w:pPr>
      <w:r w:rsidRPr="00CC534E">
        <w:rPr>
          <w:rFonts w:ascii="Arial Negrita" w:hAnsi="Arial Negrita"/>
          <w:b/>
          <w:bCs/>
          <w:iCs/>
          <w:smallCaps/>
          <w:color w:val="000000" w:themeColor="text1"/>
        </w:rPr>
        <w:t>por tipo de conclusión</w:t>
      </w:r>
    </w:p>
    <w:p w14:paraId="1B030995" w14:textId="56C02A97" w:rsidR="00C02DB3" w:rsidRDefault="00C02DB3" w:rsidP="003478A9">
      <w:pPr>
        <w:tabs>
          <w:tab w:val="left" w:pos="5460"/>
        </w:tabs>
        <w:spacing w:after="0"/>
        <w:jc w:val="both"/>
        <w:rPr>
          <w:rFonts w:ascii="Arial" w:hAnsi="Arial" w:cs="Arial"/>
          <w:sz w:val="24"/>
          <w:szCs w:val="24"/>
          <w:highlight w:val="yellow"/>
        </w:rPr>
      </w:pPr>
      <w:r>
        <w:rPr>
          <w:noProof/>
        </w:rPr>
        <w:drawing>
          <wp:inline distT="0" distB="0" distL="0" distR="0" wp14:anchorId="252EB55A" wp14:editId="28DF0B7D">
            <wp:extent cx="6557645" cy="2081283"/>
            <wp:effectExtent l="0" t="0" r="0" b="0"/>
            <wp:docPr id="21" name="Gráfico 21">
              <a:extLst xmlns:a="http://schemas.openxmlformats.org/drawingml/2006/main">
                <a:ext uri="{FF2B5EF4-FFF2-40B4-BE49-F238E27FC236}">
                  <a16:creationId xmlns:a16="http://schemas.microsoft.com/office/drawing/2014/main" id="{B15EA354-52C3-F7D6-A82E-5226368A7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9DC2C66" w14:textId="77777777" w:rsidR="00444EB9" w:rsidRPr="00AB1FA2" w:rsidRDefault="00444EB9" w:rsidP="00306AB2">
      <w:pPr>
        <w:spacing w:after="0" w:line="240" w:lineRule="auto"/>
        <w:jc w:val="both"/>
        <w:rPr>
          <w:rFonts w:ascii="Arial" w:hAnsi="Arial" w:cs="Arial"/>
          <w:color w:val="FF0000"/>
          <w:sz w:val="24"/>
          <w:szCs w:val="24"/>
        </w:rPr>
      </w:pPr>
    </w:p>
    <w:p w14:paraId="0FC18797" w14:textId="3F0462B6" w:rsidR="0039721C" w:rsidRDefault="0092025D" w:rsidP="0039721C">
      <w:pPr>
        <w:spacing w:after="0" w:line="240" w:lineRule="auto"/>
        <w:jc w:val="both"/>
        <w:rPr>
          <w:rFonts w:ascii="Arial" w:eastAsia="Times New Roman" w:hAnsi="Arial" w:cs="Arial"/>
          <w:sz w:val="24"/>
          <w:szCs w:val="24"/>
        </w:rPr>
      </w:pPr>
      <w:r>
        <w:rPr>
          <w:rFonts w:ascii="Arial" w:eastAsia="Times New Roman" w:hAnsi="Arial" w:cs="Arial"/>
          <w:sz w:val="24"/>
          <w:szCs w:val="24"/>
        </w:rPr>
        <w:t>Con r</w:t>
      </w:r>
      <w:r w:rsidR="0039721C" w:rsidRPr="0039721C">
        <w:rPr>
          <w:rFonts w:ascii="Arial" w:eastAsia="Times New Roman" w:hAnsi="Arial" w:cs="Arial"/>
          <w:sz w:val="24"/>
          <w:szCs w:val="24"/>
        </w:rPr>
        <w:t xml:space="preserve">especto </w:t>
      </w:r>
      <w:r>
        <w:rPr>
          <w:rFonts w:ascii="Arial" w:eastAsia="Times New Roman" w:hAnsi="Arial" w:cs="Arial"/>
          <w:sz w:val="24"/>
          <w:szCs w:val="24"/>
        </w:rPr>
        <w:t>a</w:t>
      </w:r>
      <w:r w:rsidR="0039721C" w:rsidRPr="0039721C">
        <w:rPr>
          <w:rFonts w:ascii="Arial" w:eastAsia="Times New Roman" w:hAnsi="Arial" w:cs="Arial"/>
          <w:sz w:val="24"/>
          <w:szCs w:val="24"/>
        </w:rPr>
        <w:t xml:space="preserve"> las</w:t>
      </w:r>
      <w:r w:rsidR="0039721C" w:rsidRPr="0039721C">
        <w:t xml:space="preserve"> </w:t>
      </w:r>
      <w:r w:rsidR="0039721C" w:rsidRPr="0039721C">
        <w:rPr>
          <w:rFonts w:ascii="Arial" w:eastAsia="Times New Roman" w:hAnsi="Arial" w:cs="Arial"/>
          <w:sz w:val="24"/>
          <w:szCs w:val="24"/>
        </w:rPr>
        <w:t>causas penales concluidas efectuadas por los jueces de control o garantías del Sistema Penal Acusatorio,</w:t>
      </w:r>
      <w:r w:rsidR="0039721C">
        <w:rPr>
          <w:rFonts w:ascii="Arial" w:eastAsia="Times New Roman" w:hAnsi="Arial" w:cs="Arial"/>
          <w:sz w:val="24"/>
          <w:szCs w:val="24"/>
        </w:rPr>
        <w:t xml:space="preserve"> </w:t>
      </w:r>
      <w:r w:rsidR="008A4AD6">
        <w:rPr>
          <w:rFonts w:ascii="Arial" w:eastAsia="Times New Roman" w:hAnsi="Arial" w:cs="Arial"/>
          <w:sz w:val="24"/>
          <w:szCs w:val="24"/>
        </w:rPr>
        <w:t>64.7</w:t>
      </w:r>
      <w:r w:rsidR="004D774B">
        <w:rPr>
          <w:rFonts w:ascii="Arial" w:eastAsia="Times New Roman" w:hAnsi="Arial" w:cs="Arial"/>
          <w:sz w:val="24"/>
          <w:szCs w:val="24"/>
        </w:rPr>
        <w:t xml:space="preserve"> </w:t>
      </w:r>
      <w:r w:rsidR="0039721C" w:rsidRPr="0039721C">
        <w:rPr>
          <w:rFonts w:ascii="Arial" w:eastAsia="Times New Roman" w:hAnsi="Arial" w:cs="Arial"/>
          <w:sz w:val="24"/>
          <w:szCs w:val="24"/>
        </w:rPr>
        <w:t>% concluyó por sentencias definitivas condenatorias en procedimiento abreviado,</w:t>
      </w:r>
      <w:r w:rsidR="0039721C">
        <w:rPr>
          <w:rFonts w:ascii="Arial" w:eastAsia="Times New Roman" w:hAnsi="Arial" w:cs="Arial"/>
          <w:sz w:val="24"/>
          <w:szCs w:val="24"/>
        </w:rPr>
        <w:t xml:space="preserve"> </w:t>
      </w:r>
      <w:r w:rsidR="0039721C" w:rsidRPr="0039721C">
        <w:rPr>
          <w:rFonts w:ascii="Arial" w:eastAsia="Times New Roman" w:hAnsi="Arial" w:cs="Arial"/>
          <w:sz w:val="24"/>
          <w:szCs w:val="24"/>
        </w:rPr>
        <w:t>seguidas por suspensión condicional del proceso (</w:t>
      </w:r>
      <w:r w:rsidR="008A4AD6">
        <w:rPr>
          <w:rFonts w:ascii="Arial" w:eastAsia="Times New Roman" w:hAnsi="Arial" w:cs="Arial"/>
          <w:sz w:val="24"/>
          <w:szCs w:val="24"/>
        </w:rPr>
        <w:t>6.2</w:t>
      </w:r>
      <w:r w:rsidR="004D774B">
        <w:rPr>
          <w:rFonts w:ascii="Arial" w:eastAsia="Times New Roman" w:hAnsi="Arial" w:cs="Arial"/>
          <w:sz w:val="24"/>
          <w:szCs w:val="24"/>
        </w:rPr>
        <w:t xml:space="preserve"> </w:t>
      </w:r>
      <w:r w:rsidR="0039721C" w:rsidRPr="0039721C">
        <w:rPr>
          <w:rFonts w:ascii="Arial" w:eastAsia="Times New Roman" w:hAnsi="Arial" w:cs="Arial"/>
          <w:sz w:val="24"/>
          <w:szCs w:val="24"/>
        </w:rPr>
        <w:t>%)</w:t>
      </w:r>
      <w:r w:rsidR="008A4AD6">
        <w:rPr>
          <w:rFonts w:ascii="Arial" w:eastAsia="Times New Roman" w:hAnsi="Arial" w:cs="Arial"/>
          <w:sz w:val="24"/>
          <w:szCs w:val="24"/>
        </w:rPr>
        <w:t xml:space="preserve">. </w:t>
      </w:r>
      <w:r w:rsidR="0039721C" w:rsidRPr="0039721C">
        <w:rPr>
          <w:rFonts w:ascii="Arial" w:eastAsia="Times New Roman" w:hAnsi="Arial" w:cs="Arial"/>
          <w:sz w:val="24"/>
          <w:szCs w:val="24"/>
        </w:rPr>
        <w:t>A continuación, se presentan los datos para 202</w:t>
      </w:r>
      <w:r w:rsidR="008A4AD6">
        <w:rPr>
          <w:rFonts w:ascii="Arial" w:eastAsia="Times New Roman" w:hAnsi="Arial" w:cs="Arial"/>
          <w:sz w:val="24"/>
          <w:szCs w:val="24"/>
        </w:rPr>
        <w:t>1</w:t>
      </w:r>
      <w:r w:rsidR="0039721C" w:rsidRPr="0039721C">
        <w:rPr>
          <w:rFonts w:ascii="Arial" w:eastAsia="Times New Roman" w:hAnsi="Arial" w:cs="Arial"/>
          <w:sz w:val="24"/>
          <w:szCs w:val="24"/>
        </w:rPr>
        <w:t xml:space="preserve"> en contraste con </w:t>
      </w:r>
      <w:r>
        <w:rPr>
          <w:rFonts w:ascii="Arial" w:eastAsia="Times New Roman" w:hAnsi="Arial" w:cs="Arial"/>
          <w:sz w:val="24"/>
          <w:szCs w:val="24"/>
        </w:rPr>
        <w:t xml:space="preserve">los de </w:t>
      </w:r>
      <w:r w:rsidR="0039721C" w:rsidRPr="0039721C">
        <w:rPr>
          <w:rFonts w:ascii="Arial" w:eastAsia="Times New Roman" w:hAnsi="Arial" w:cs="Arial"/>
          <w:sz w:val="24"/>
          <w:szCs w:val="24"/>
        </w:rPr>
        <w:t>20</w:t>
      </w:r>
      <w:r w:rsidR="008A4AD6">
        <w:rPr>
          <w:rFonts w:ascii="Arial" w:eastAsia="Times New Roman" w:hAnsi="Arial" w:cs="Arial"/>
          <w:sz w:val="24"/>
          <w:szCs w:val="24"/>
        </w:rPr>
        <w:t>20</w:t>
      </w:r>
      <w:r w:rsidR="0039721C" w:rsidRPr="0039721C">
        <w:rPr>
          <w:rFonts w:ascii="Arial" w:eastAsia="Times New Roman" w:hAnsi="Arial" w:cs="Arial"/>
          <w:sz w:val="24"/>
          <w:szCs w:val="24"/>
        </w:rPr>
        <w:t>.</w:t>
      </w:r>
    </w:p>
    <w:p w14:paraId="49E80FC4" w14:textId="77777777" w:rsidR="00DA19B2" w:rsidRDefault="00DA19B2" w:rsidP="0039721C">
      <w:pPr>
        <w:spacing w:after="0" w:line="240" w:lineRule="auto"/>
        <w:jc w:val="both"/>
        <w:rPr>
          <w:rFonts w:ascii="Arial" w:eastAsia="Times New Roman" w:hAnsi="Arial" w:cs="Arial"/>
          <w:sz w:val="24"/>
          <w:szCs w:val="24"/>
        </w:rPr>
      </w:pPr>
    </w:p>
    <w:p w14:paraId="57E28FDE" w14:textId="2572C963" w:rsidR="0039721C" w:rsidRPr="00DE7C9F" w:rsidRDefault="0039721C" w:rsidP="0039721C">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21</w:t>
      </w:r>
    </w:p>
    <w:p w14:paraId="49E36D68" w14:textId="5F2F42E5" w:rsidR="0039721C" w:rsidRDefault="0039721C" w:rsidP="0039721C">
      <w:pPr>
        <w:tabs>
          <w:tab w:val="left" w:pos="5460"/>
        </w:tabs>
        <w:spacing w:after="0"/>
        <w:jc w:val="center"/>
        <w:rPr>
          <w:rFonts w:ascii="Arial Negrita" w:hAnsi="Arial Negrita"/>
          <w:b/>
          <w:bCs/>
          <w:iCs/>
          <w:smallCaps/>
          <w:color w:val="000000" w:themeColor="text1"/>
        </w:rPr>
      </w:pPr>
      <w:r w:rsidRPr="00293F4D">
        <w:rPr>
          <w:rFonts w:ascii="Arial Negrita" w:hAnsi="Arial Negrita"/>
          <w:b/>
          <w:bCs/>
          <w:iCs/>
          <w:smallCaps/>
          <w:color w:val="000000" w:themeColor="text1"/>
        </w:rPr>
        <w:t xml:space="preserve">Causas penales </w:t>
      </w:r>
      <w:r>
        <w:rPr>
          <w:rFonts w:ascii="Arial Negrita" w:hAnsi="Arial Negrita"/>
          <w:b/>
          <w:bCs/>
          <w:iCs/>
          <w:smallCaps/>
          <w:color w:val="000000" w:themeColor="text1"/>
        </w:rPr>
        <w:t>concluidas</w:t>
      </w:r>
      <w:r w:rsidRPr="00CC534E">
        <w:rPr>
          <w:rFonts w:ascii="Arial Negrita" w:hAnsi="Arial Negrita"/>
          <w:b/>
          <w:bCs/>
          <w:iCs/>
          <w:smallCaps/>
          <w:color w:val="000000" w:themeColor="text1"/>
        </w:rPr>
        <w:t xml:space="preserve"> </w:t>
      </w:r>
      <w:r w:rsidR="008A4AD6" w:rsidRPr="008A4AD6">
        <w:rPr>
          <w:rFonts w:ascii="Arial Negrita" w:hAnsi="Arial Negrita"/>
          <w:b/>
          <w:bCs/>
          <w:iCs/>
          <w:smallCaps/>
          <w:color w:val="000000" w:themeColor="text1"/>
        </w:rPr>
        <w:t>por los jueces de control o garantías (Sistema Penal Acusatorio)</w:t>
      </w:r>
      <w:r w:rsidRPr="00CC534E">
        <w:rPr>
          <w:rFonts w:ascii="Arial Negrita" w:hAnsi="Arial Negrita"/>
          <w:b/>
          <w:bCs/>
          <w:iCs/>
          <w:smallCaps/>
          <w:color w:val="000000" w:themeColor="text1"/>
        </w:rPr>
        <w:t>,</w:t>
      </w:r>
      <w:r w:rsidR="008A4AD6">
        <w:rPr>
          <w:rFonts w:ascii="Arial Negrita" w:hAnsi="Arial Negrita"/>
          <w:b/>
          <w:bCs/>
          <w:iCs/>
          <w:smallCaps/>
          <w:color w:val="000000" w:themeColor="text1"/>
        </w:rPr>
        <w:t xml:space="preserve"> </w:t>
      </w:r>
      <w:r w:rsidRPr="00CC534E">
        <w:rPr>
          <w:rFonts w:ascii="Arial Negrita" w:hAnsi="Arial Negrita"/>
          <w:b/>
          <w:bCs/>
          <w:iCs/>
          <w:smallCaps/>
          <w:color w:val="000000" w:themeColor="text1"/>
        </w:rPr>
        <w:t>por tipo de conclusión</w:t>
      </w:r>
    </w:p>
    <w:p w14:paraId="48DB8B97" w14:textId="4F479747" w:rsidR="00CC65C2" w:rsidRDefault="00CC65C2" w:rsidP="0039721C">
      <w:pPr>
        <w:tabs>
          <w:tab w:val="left" w:pos="5460"/>
        </w:tabs>
        <w:spacing w:after="0"/>
        <w:jc w:val="center"/>
        <w:rPr>
          <w:rFonts w:ascii="Arial Negrita" w:hAnsi="Arial Negrita"/>
          <w:b/>
          <w:bCs/>
          <w:iCs/>
          <w:smallCaps/>
          <w:color w:val="000000" w:themeColor="text1"/>
        </w:rPr>
      </w:pPr>
      <w:r>
        <w:rPr>
          <w:noProof/>
        </w:rPr>
        <w:drawing>
          <wp:inline distT="0" distB="0" distL="0" distR="0" wp14:anchorId="23CD5F13" wp14:editId="337AAF7B">
            <wp:extent cx="6462395" cy="2179122"/>
            <wp:effectExtent l="0" t="0" r="0" b="0"/>
            <wp:docPr id="22" name="Gráfico 22">
              <a:extLst xmlns:a="http://schemas.openxmlformats.org/drawingml/2006/main">
                <a:ext uri="{FF2B5EF4-FFF2-40B4-BE49-F238E27FC236}">
                  <a16:creationId xmlns:a16="http://schemas.microsoft.com/office/drawing/2014/main" id="{A003127F-2264-7947-7AF9-711C9E2DA3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92D56E7" w14:textId="61F01F05" w:rsidR="00A71B89" w:rsidRPr="001E7220" w:rsidRDefault="00A52DDC" w:rsidP="008A4AD6">
      <w:pPr>
        <w:spacing w:after="0" w:line="240" w:lineRule="auto"/>
        <w:jc w:val="both"/>
        <w:rPr>
          <w:rFonts w:ascii="Arial" w:eastAsia="Times New Roman" w:hAnsi="Arial" w:cs="Arial"/>
          <w:sz w:val="16"/>
          <w:szCs w:val="16"/>
        </w:rPr>
      </w:pPr>
      <w:r w:rsidRPr="00A52DDC">
        <w:rPr>
          <w:rFonts w:ascii="Arial" w:eastAsia="Times New Roman" w:hAnsi="Arial" w:cs="Arial"/>
          <w:sz w:val="16"/>
          <w:szCs w:val="16"/>
        </w:rPr>
        <w:t xml:space="preserve">(-): </w:t>
      </w:r>
      <w:r w:rsidR="004D774B">
        <w:rPr>
          <w:rFonts w:ascii="Arial" w:eastAsia="Times New Roman" w:hAnsi="Arial" w:cs="Arial"/>
          <w:sz w:val="16"/>
          <w:szCs w:val="16"/>
        </w:rPr>
        <w:t>N</w:t>
      </w:r>
      <w:r w:rsidRPr="00A52DDC">
        <w:rPr>
          <w:rFonts w:ascii="Arial" w:eastAsia="Times New Roman" w:hAnsi="Arial" w:cs="Arial"/>
          <w:sz w:val="16"/>
          <w:szCs w:val="16"/>
        </w:rPr>
        <w:t>o contó con datos o elementos para responder.</w:t>
      </w:r>
    </w:p>
    <w:p w14:paraId="2777D36F" w14:textId="77777777" w:rsidR="009626E4" w:rsidRDefault="009626E4" w:rsidP="008A4AD6">
      <w:pPr>
        <w:spacing w:after="0" w:line="240" w:lineRule="auto"/>
        <w:jc w:val="both"/>
        <w:rPr>
          <w:rFonts w:ascii="Arial" w:eastAsia="Times New Roman" w:hAnsi="Arial" w:cs="Arial"/>
          <w:sz w:val="24"/>
          <w:szCs w:val="24"/>
        </w:rPr>
      </w:pPr>
    </w:p>
    <w:p w14:paraId="30D9EFCF" w14:textId="77777777" w:rsidR="009626E4" w:rsidRDefault="009626E4" w:rsidP="008A4AD6">
      <w:pPr>
        <w:spacing w:after="0" w:line="240" w:lineRule="auto"/>
        <w:jc w:val="both"/>
        <w:rPr>
          <w:rFonts w:ascii="Arial" w:eastAsia="Times New Roman" w:hAnsi="Arial" w:cs="Arial"/>
          <w:sz w:val="24"/>
          <w:szCs w:val="24"/>
        </w:rPr>
      </w:pPr>
    </w:p>
    <w:p w14:paraId="0D12AD8B" w14:textId="77777777" w:rsidR="009626E4" w:rsidRDefault="009626E4" w:rsidP="008A4AD6">
      <w:pPr>
        <w:spacing w:after="0" w:line="240" w:lineRule="auto"/>
        <w:jc w:val="both"/>
        <w:rPr>
          <w:rFonts w:ascii="Arial" w:eastAsia="Times New Roman" w:hAnsi="Arial" w:cs="Arial"/>
          <w:sz w:val="24"/>
          <w:szCs w:val="24"/>
        </w:rPr>
      </w:pPr>
    </w:p>
    <w:p w14:paraId="11935935" w14:textId="77777777" w:rsidR="009626E4" w:rsidRDefault="009626E4" w:rsidP="008A4AD6">
      <w:pPr>
        <w:spacing w:after="0" w:line="240" w:lineRule="auto"/>
        <w:jc w:val="both"/>
        <w:rPr>
          <w:rFonts w:ascii="Arial" w:eastAsia="Times New Roman" w:hAnsi="Arial" w:cs="Arial"/>
          <w:sz w:val="24"/>
          <w:szCs w:val="24"/>
        </w:rPr>
      </w:pPr>
    </w:p>
    <w:p w14:paraId="01B64675" w14:textId="77777777" w:rsidR="009626E4" w:rsidRDefault="009626E4" w:rsidP="008A4AD6">
      <w:pPr>
        <w:spacing w:after="0" w:line="240" w:lineRule="auto"/>
        <w:jc w:val="both"/>
        <w:rPr>
          <w:rFonts w:ascii="Arial" w:eastAsia="Times New Roman" w:hAnsi="Arial" w:cs="Arial"/>
          <w:sz w:val="24"/>
          <w:szCs w:val="24"/>
        </w:rPr>
      </w:pPr>
    </w:p>
    <w:p w14:paraId="1772A013" w14:textId="77777777" w:rsidR="009626E4" w:rsidRDefault="009626E4" w:rsidP="008A4AD6">
      <w:pPr>
        <w:spacing w:after="0" w:line="240" w:lineRule="auto"/>
        <w:jc w:val="both"/>
        <w:rPr>
          <w:rFonts w:ascii="Arial" w:eastAsia="Times New Roman" w:hAnsi="Arial" w:cs="Arial"/>
          <w:sz w:val="24"/>
          <w:szCs w:val="24"/>
        </w:rPr>
      </w:pPr>
    </w:p>
    <w:p w14:paraId="28890CD3" w14:textId="77777777" w:rsidR="009626E4" w:rsidRDefault="009626E4" w:rsidP="008A4AD6">
      <w:pPr>
        <w:spacing w:after="0" w:line="240" w:lineRule="auto"/>
        <w:jc w:val="both"/>
        <w:rPr>
          <w:rFonts w:ascii="Arial" w:eastAsia="Times New Roman" w:hAnsi="Arial" w:cs="Arial"/>
          <w:sz w:val="24"/>
          <w:szCs w:val="24"/>
        </w:rPr>
      </w:pPr>
    </w:p>
    <w:p w14:paraId="074ED150" w14:textId="77777777" w:rsidR="009626E4" w:rsidRDefault="009626E4" w:rsidP="008A4AD6">
      <w:pPr>
        <w:spacing w:after="0" w:line="240" w:lineRule="auto"/>
        <w:jc w:val="both"/>
        <w:rPr>
          <w:rFonts w:ascii="Arial" w:eastAsia="Times New Roman" w:hAnsi="Arial" w:cs="Arial"/>
          <w:sz w:val="24"/>
          <w:szCs w:val="24"/>
        </w:rPr>
      </w:pPr>
    </w:p>
    <w:p w14:paraId="7C202981" w14:textId="77777777" w:rsidR="009626E4" w:rsidRDefault="009626E4" w:rsidP="008A4AD6">
      <w:pPr>
        <w:spacing w:after="0" w:line="240" w:lineRule="auto"/>
        <w:jc w:val="both"/>
        <w:rPr>
          <w:rFonts w:ascii="Arial" w:eastAsia="Times New Roman" w:hAnsi="Arial" w:cs="Arial"/>
          <w:sz w:val="24"/>
          <w:szCs w:val="24"/>
        </w:rPr>
      </w:pPr>
    </w:p>
    <w:p w14:paraId="24A9DD93" w14:textId="75C0AFAB" w:rsidR="0039721C" w:rsidRDefault="008A4AD6" w:rsidP="008A4AD6">
      <w:pPr>
        <w:spacing w:after="0" w:line="240" w:lineRule="auto"/>
        <w:jc w:val="both"/>
        <w:rPr>
          <w:rFonts w:ascii="Arial" w:eastAsia="Times New Roman" w:hAnsi="Arial" w:cs="Arial"/>
          <w:sz w:val="24"/>
          <w:szCs w:val="24"/>
        </w:rPr>
      </w:pPr>
      <w:r w:rsidRPr="008A4AD6">
        <w:rPr>
          <w:rFonts w:ascii="Arial" w:eastAsia="Times New Roman" w:hAnsi="Arial" w:cs="Arial"/>
          <w:sz w:val="24"/>
          <w:szCs w:val="24"/>
        </w:rPr>
        <w:lastRenderedPageBreak/>
        <w:t xml:space="preserve">En cuanto a las </w:t>
      </w:r>
      <w:r w:rsidRPr="0039721C">
        <w:rPr>
          <w:rFonts w:ascii="Arial" w:eastAsia="Times New Roman" w:hAnsi="Arial" w:cs="Arial"/>
          <w:sz w:val="24"/>
          <w:szCs w:val="24"/>
        </w:rPr>
        <w:t>causas penales concluidas efectuadas</w:t>
      </w:r>
      <w:r>
        <w:rPr>
          <w:rFonts w:ascii="Arial" w:eastAsia="Times New Roman" w:hAnsi="Arial" w:cs="Arial"/>
          <w:sz w:val="24"/>
          <w:szCs w:val="24"/>
        </w:rPr>
        <w:t xml:space="preserve"> </w:t>
      </w:r>
      <w:r w:rsidRPr="008A4AD6">
        <w:rPr>
          <w:rFonts w:ascii="Arial" w:eastAsia="Times New Roman" w:hAnsi="Arial" w:cs="Arial"/>
          <w:sz w:val="24"/>
          <w:szCs w:val="24"/>
        </w:rPr>
        <w:t xml:space="preserve">por los jueces de enjuiciamiento o juicio oral del Sistema Penal Acusatorio, </w:t>
      </w:r>
      <w:r w:rsidR="00875ACE">
        <w:rPr>
          <w:rFonts w:ascii="Arial" w:eastAsia="Times New Roman" w:hAnsi="Arial" w:cs="Arial"/>
          <w:sz w:val="24"/>
          <w:szCs w:val="24"/>
        </w:rPr>
        <w:t>75.0</w:t>
      </w:r>
      <w:r w:rsidR="004D774B">
        <w:rPr>
          <w:rFonts w:ascii="Arial" w:eastAsia="Times New Roman" w:hAnsi="Arial" w:cs="Arial"/>
          <w:sz w:val="24"/>
          <w:szCs w:val="24"/>
        </w:rPr>
        <w:t xml:space="preserve"> </w:t>
      </w:r>
      <w:r w:rsidRPr="008A4AD6">
        <w:rPr>
          <w:rFonts w:ascii="Arial" w:eastAsia="Times New Roman" w:hAnsi="Arial" w:cs="Arial"/>
          <w:sz w:val="24"/>
          <w:szCs w:val="24"/>
        </w:rPr>
        <w:t>%</w:t>
      </w:r>
      <w:r>
        <w:rPr>
          <w:rFonts w:ascii="Arial" w:eastAsia="Times New Roman" w:hAnsi="Arial" w:cs="Arial"/>
          <w:sz w:val="24"/>
          <w:szCs w:val="24"/>
        </w:rPr>
        <w:t xml:space="preserve"> </w:t>
      </w:r>
      <w:r w:rsidRPr="008A4AD6">
        <w:rPr>
          <w:rFonts w:ascii="Arial" w:eastAsia="Times New Roman" w:hAnsi="Arial" w:cs="Arial"/>
          <w:sz w:val="24"/>
          <w:szCs w:val="24"/>
        </w:rPr>
        <w:t>correspondió a sentencia condenatoria</w:t>
      </w:r>
      <w:r w:rsidR="004D774B">
        <w:rPr>
          <w:rFonts w:ascii="Arial" w:eastAsia="Times New Roman" w:hAnsi="Arial" w:cs="Arial"/>
          <w:sz w:val="24"/>
          <w:szCs w:val="24"/>
        </w:rPr>
        <w:t xml:space="preserve"> y 25.0 % </w:t>
      </w:r>
      <w:r w:rsidRPr="008A4AD6">
        <w:rPr>
          <w:rFonts w:ascii="Arial" w:eastAsia="Times New Roman" w:hAnsi="Arial" w:cs="Arial"/>
          <w:sz w:val="24"/>
          <w:szCs w:val="24"/>
        </w:rPr>
        <w:t>de sentencia absolutoria</w:t>
      </w:r>
      <w:r w:rsidR="004D774B">
        <w:rPr>
          <w:rFonts w:ascii="Arial" w:eastAsia="Times New Roman" w:hAnsi="Arial" w:cs="Arial"/>
          <w:sz w:val="24"/>
          <w:szCs w:val="24"/>
        </w:rPr>
        <w:t xml:space="preserve">. </w:t>
      </w:r>
      <w:r w:rsidRPr="008A4AD6">
        <w:rPr>
          <w:rFonts w:ascii="Arial" w:eastAsia="Times New Roman" w:hAnsi="Arial" w:cs="Arial"/>
          <w:sz w:val="24"/>
          <w:szCs w:val="24"/>
        </w:rPr>
        <w:t>Enseguida los datos para 202</w:t>
      </w:r>
      <w:r w:rsidR="00631AFC">
        <w:rPr>
          <w:rFonts w:ascii="Arial" w:eastAsia="Times New Roman" w:hAnsi="Arial" w:cs="Arial"/>
          <w:sz w:val="24"/>
          <w:szCs w:val="24"/>
        </w:rPr>
        <w:t>0 y 202</w:t>
      </w:r>
      <w:r>
        <w:rPr>
          <w:rFonts w:ascii="Arial" w:eastAsia="Times New Roman" w:hAnsi="Arial" w:cs="Arial"/>
          <w:sz w:val="24"/>
          <w:szCs w:val="24"/>
        </w:rPr>
        <w:t>1</w:t>
      </w:r>
      <w:r w:rsidRPr="008A4AD6">
        <w:rPr>
          <w:rFonts w:ascii="Arial" w:eastAsia="Times New Roman" w:hAnsi="Arial" w:cs="Arial"/>
          <w:sz w:val="24"/>
          <w:szCs w:val="24"/>
        </w:rPr>
        <w:t>.</w:t>
      </w:r>
      <w:r w:rsidRPr="008A4AD6">
        <w:rPr>
          <w:rFonts w:ascii="Arial" w:eastAsia="Times New Roman" w:hAnsi="Arial" w:cs="Arial"/>
          <w:sz w:val="24"/>
          <w:szCs w:val="24"/>
        </w:rPr>
        <w:cr/>
      </w:r>
    </w:p>
    <w:p w14:paraId="30583289" w14:textId="04A53D53" w:rsidR="008A4AD6" w:rsidRPr="00DE7C9F" w:rsidRDefault="008A4AD6" w:rsidP="008A4AD6">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22</w:t>
      </w:r>
    </w:p>
    <w:p w14:paraId="60CBA779" w14:textId="61CEABF9" w:rsidR="00DA25CB" w:rsidRDefault="008A4AD6" w:rsidP="008A4AD6">
      <w:pPr>
        <w:tabs>
          <w:tab w:val="left" w:pos="5460"/>
        </w:tabs>
        <w:spacing w:after="0"/>
        <w:jc w:val="center"/>
        <w:rPr>
          <w:rFonts w:ascii="Arial Negrita" w:hAnsi="Arial Negrita"/>
          <w:b/>
          <w:bCs/>
          <w:iCs/>
          <w:smallCaps/>
          <w:color w:val="000000" w:themeColor="text1"/>
        </w:rPr>
      </w:pPr>
      <w:r w:rsidRPr="00293F4D">
        <w:rPr>
          <w:rFonts w:ascii="Arial Negrita" w:hAnsi="Arial Negrita"/>
          <w:b/>
          <w:bCs/>
          <w:iCs/>
          <w:smallCaps/>
          <w:color w:val="000000" w:themeColor="text1"/>
        </w:rPr>
        <w:t xml:space="preserve">Causas penales </w:t>
      </w:r>
      <w:r>
        <w:rPr>
          <w:rFonts w:ascii="Arial Negrita" w:hAnsi="Arial Negrita"/>
          <w:b/>
          <w:bCs/>
          <w:iCs/>
          <w:smallCaps/>
          <w:color w:val="000000" w:themeColor="text1"/>
        </w:rPr>
        <w:t>concluidas</w:t>
      </w:r>
      <w:r w:rsidRPr="00CC534E">
        <w:rPr>
          <w:rFonts w:ascii="Arial Negrita" w:hAnsi="Arial Negrita"/>
          <w:b/>
          <w:bCs/>
          <w:iCs/>
          <w:smallCaps/>
          <w:color w:val="000000" w:themeColor="text1"/>
        </w:rPr>
        <w:t xml:space="preserve"> </w:t>
      </w:r>
      <w:r w:rsidRPr="008A4AD6">
        <w:rPr>
          <w:rFonts w:ascii="Arial Negrita" w:hAnsi="Arial Negrita"/>
          <w:b/>
          <w:bCs/>
          <w:iCs/>
          <w:smallCaps/>
          <w:color w:val="000000" w:themeColor="text1"/>
        </w:rPr>
        <w:t>por</w:t>
      </w:r>
      <w:r w:rsidR="00DA25CB" w:rsidRPr="00DA25CB">
        <w:rPr>
          <w:rFonts w:ascii="Arial Negrita" w:hAnsi="Arial Negrita"/>
          <w:b/>
          <w:bCs/>
          <w:iCs/>
          <w:smallCaps/>
          <w:color w:val="000000" w:themeColor="text1"/>
        </w:rPr>
        <w:t xml:space="preserve"> los jueces de enjuiciamiento </w:t>
      </w:r>
      <w:r w:rsidRPr="008A4AD6">
        <w:rPr>
          <w:rFonts w:ascii="Arial Negrita" w:hAnsi="Arial Negrita"/>
          <w:b/>
          <w:bCs/>
          <w:iCs/>
          <w:smallCaps/>
          <w:color w:val="000000" w:themeColor="text1"/>
        </w:rPr>
        <w:t>(Sistema Penal Acusatorio)</w:t>
      </w:r>
      <w:r w:rsidRPr="00CC534E">
        <w:rPr>
          <w:rFonts w:ascii="Arial Negrita" w:hAnsi="Arial Negrita"/>
          <w:b/>
          <w:bCs/>
          <w:iCs/>
          <w:smallCaps/>
          <w:color w:val="000000" w:themeColor="text1"/>
        </w:rPr>
        <w:t>,</w:t>
      </w:r>
      <w:r>
        <w:rPr>
          <w:rFonts w:ascii="Arial Negrita" w:hAnsi="Arial Negrita"/>
          <w:b/>
          <w:bCs/>
          <w:iCs/>
          <w:smallCaps/>
          <w:color w:val="000000" w:themeColor="text1"/>
        </w:rPr>
        <w:t xml:space="preserve"> </w:t>
      </w:r>
      <w:r w:rsidRPr="00CC534E">
        <w:rPr>
          <w:rFonts w:ascii="Arial Negrita" w:hAnsi="Arial Negrita"/>
          <w:b/>
          <w:bCs/>
          <w:iCs/>
          <w:smallCaps/>
          <w:color w:val="000000" w:themeColor="text1"/>
        </w:rPr>
        <w:t>por tipo de conclusión</w:t>
      </w:r>
    </w:p>
    <w:p w14:paraId="0594471C" w14:textId="5E7779AA" w:rsidR="00DA25CB" w:rsidRDefault="004F1125" w:rsidP="008A4AD6">
      <w:pPr>
        <w:tabs>
          <w:tab w:val="left" w:pos="5460"/>
        </w:tabs>
        <w:spacing w:after="0"/>
        <w:jc w:val="center"/>
        <w:rPr>
          <w:rFonts w:ascii="Arial Negrita" w:hAnsi="Arial Negrita"/>
          <w:b/>
          <w:bCs/>
          <w:iCs/>
          <w:smallCaps/>
          <w:color w:val="000000" w:themeColor="text1"/>
        </w:rPr>
      </w:pPr>
      <w:r>
        <w:rPr>
          <w:noProof/>
        </w:rPr>
        <w:drawing>
          <wp:inline distT="0" distB="0" distL="0" distR="0" wp14:anchorId="381A7FA5" wp14:editId="7DBA4518">
            <wp:extent cx="6404610" cy="2319655"/>
            <wp:effectExtent l="0" t="0" r="0" b="4445"/>
            <wp:docPr id="23" name="Gráfico 23">
              <a:extLst xmlns:a="http://schemas.openxmlformats.org/drawingml/2006/main">
                <a:ext uri="{FF2B5EF4-FFF2-40B4-BE49-F238E27FC236}">
                  <a16:creationId xmlns:a16="http://schemas.microsoft.com/office/drawing/2014/main" id="{B3D3B71D-BF42-7D7B-7571-E44846EC7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CFBE0D" w14:textId="6994A491" w:rsidR="008A4AD6" w:rsidRDefault="004F1125" w:rsidP="008A4AD6">
      <w:pPr>
        <w:spacing w:after="0" w:line="240" w:lineRule="auto"/>
        <w:jc w:val="both"/>
        <w:rPr>
          <w:rFonts w:ascii="Arial" w:eastAsia="Times New Roman" w:hAnsi="Arial" w:cs="Arial"/>
          <w:sz w:val="16"/>
          <w:szCs w:val="16"/>
        </w:rPr>
      </w:pPr>
      <w:r w:rsidRPr="004F1125">
        <w:rPr>
          <w:rFonts w:ascii="Arial" w:eastAsia="Times New Roman" w:hAnsi="Arial" w:cs="Arial"/>
          <w:sz w:val="16"/>
          <w:szCs w:val="16"/>
        </w:rPr>
        <w:t xml:space="preserve">(-): </w:t>
      </w:r>
      <w:r w:rsidR="004D774B">
        <w:rPr>
          <w:rFonts w:ascii="Arial" w:eastAsia="Times New Roman" w:hAnsi="Arial" w:cs="Arial"/>
          <w:sz w:val="16"/>
          <w:szCs w:val="16"/>
        </w:rPr>
        <w:t>N</w:t>
      </w:r>
      <w:r w:rsidRPr="004F1125">
        <w:rPr>
          <w:rFonts w:ascii="Arial" w:eastAsia="Times New Roman" w:hAnsi="Arial" w:cs="Arial"/>
          <w:sz w:val="16"/>
          <w:szCs w:val="16"/>
        </w:rPr>
        <w:t>o contó con datos o elementos para responder.</w:t>
      </w:r>
    </w:p>
    <w:p w14:paraId="2E91E335" w14:textId="2DC6301D" w:rsidR="004F1125" w:rsidRDefault="004F1125" w:rsidP="008A4AD6">
      <w:pPr>
        <w:spacing w:after="0" w:line="240" w:lineRule="auto"/>
        <w:jc w:val="both"/>
        <w:rPr>
          <w:rFonts w:ascii="Arial" w:eastAsia="Times New Roman" w:hAnsi="Arial" w:cs="Arial"/>
          <w:sz w:val="16"/>
          <w:szCs w:val="16"/>
        </w:rPr>
      </w:pPr>
    </w:p>
    <w:p w14:paraId="2730836E" w14:textId="0B2EE3F6" w:rsidR="004F1125" w:rsidRDefault="004F1125" w:rsidP="008A4AD6">
      <w:pPr>
        <w:spacing w:after="0" w:line="240" w:lineRule="auto"/>
        <w:jc w:val="both"/>
        <w:rPr>
          <w:rFonts w:ascii="Arial" w:eastAsia="Times New Roman" w:hAnsi="Arial" w:cs="Arial"/>
          <w:sz w:val="16"/>
          <w:szCs w:val="16"/>
        </w:rPr>
      </w:pPr>
    </w:p>
    <w:p w14:paraId="20EC1568" w14:textId="4CE6D785" w:rsidR="004F1125" w:rsidRDefault="004F1125" w:rsidP="008A4AD6">
      <w:pPr>
        <w:spacing w:after="0" w:line="240" w:lineRule="auto"/>
        <w:jc w:val="both"/>
        <w:rPr>
          <w:rFonts w:ascii="Arial" w:eastAsia="Times New Roman" w:hAnsi="Arial" w:cs="Arial"/>
          <w:sz w:val="16"/>
          <w:szCs w:val="16"/>
        </w:rPr>
      </w:pPr>
    </w:p>
    <w:p w14:paraId="7D1A0D68" w14:textId="1A7AE3D3" w:rsidR="004F1125" w:rsidRPr="00BA306B" w:rsidRDefault="004F1125" w:rsidP="00BA306B">
      <w:pPr>
        <w:pStyle w:val="Prrafodelista"/>
        <w:numPr>
          <w:ilvl w:val="0"/>
          <w:numId w:val="31"/>
        </w:numPr>
        <w:tabs>
          <w:tab w:val="left" w:pos="5460"/>
        </w:tabs>
        <w:spacing w:after="0"/>
        <w:jc w:val="both"/>
        <w:rPr>
          <w:rFonts w:ascii="Arial" w:hAnsi="Arial" w:cs="Arial"/>
          <w:bCs/>
          <w:smallCaps/>
          <w:sz w:val="24"/>
          <w:szCs w:val="24"/>
        </w:rPr>
      </w:pPr>
      <w:r w:rsidRPr="00BA306B">
        <w:rPr>
          <w:rFonts w:ascii="Arial" w:hAnsi="Arial" w:cs="Arial"/>
          <w:bCs/>
          <w:smallCaps/>
          <w:sz w:val="24"/>
          <w:szCs w:val="24"/>
        </w:rPr>
        <w:t xml:space="preserve">Delitos </w:t>
      </w:r>
    </w:p>
    <w:p w14:paraId="56E21589" w14:textId="77777777" w:rsidR="004F1125" w:rsidRDefault="004F1125" w:rsidP="004F1125">
      <w:pPr>
        <w:spacing w:after="0" w:line="240" w:lineRule="auto"/>
        <w:jc w:val="both"/>
        <w:rPr>
          <w:rFonts w:ascii="Arial" w:eastAsia="Times New Roman" w:hAnsi="Arial" w:cs="Arial"/>
          <w:sz w:val="24"/>
          <w:szCs w:val="24"/>
        </w:rPr>
      </w:pPr>
    </w:p>
    <w:p w14:paraId="214F80E5" w14:textId="34F0D31A" w:rsidR="004F1125" w:rsidRDefault="00F766D7" w:rsidP="004F112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En 2021 se registraron </w:t>
      </w:r>
      <w:r w:rsidRPr="00CB6AE3">
        <w:rPr>
          <w:rFonts w:ascii="Arial" w:eastAsia="Times New Roman" w:hAnsi="Arial" w:cs="Arial"/>
          <w:sz w:val="24"/>
          <w:szCs w:val="24"/>
        </w:rPr>
        <w:t>33</w:t>
      </w:r>
      <w:r w:rsidR="004D774B">
        <w:rPr>
          <w:rFonts w:ascii="Arial" w:eastAsia="Times New Roman" w:hAnsi="Arial" w:cs="Arial"/>
          <w:sz w:val="24"/>
          <w:szCs w:val="24"/>
        </w:rPr>
        <w:t xml:space="preserve"> </w:t>
      </w:r>
      <w:r w:rsidRPr="00CB6AE3">
        <w:rPr>
          <w:rFonts w:ascii="Arial" w:eastAsia="Times New Roman" w:hAnsi="Arial" w:cs="Arial"/>
          <w:sz w:val="24"/>
          <w:szCs w:val="24"/>
        </w:rPr>
        <w:t>157</w:t>
      </w:r>
      <w:r w:rsidR="004F1125" w:rsidRPr="004F1125">
        <w:rPr>
          <w:rFonts w:ascii="Arial" w:eastAsia="Times New Roman" w:hAnsi="Arial" w:cs="Arial"/>
          <w:sz w:val="24"/>
          <w:szCs w:val="24"/>
        </w:rPr>
        <w:t xml:space="preserve"> delitos en las causas penales ingresadas</w:t>
      </w:r>
      <w:r>
        <w:rPr>
          <w:rFonts w:ascii="Arial" w:eastAsia="Times New Roman" w:hAnsi="Arial" w:cs="Arial"/>
          <w:sz w:val="24"/>
          <w:szCs w:val="24"/>
        </w:rPr>
        <w:t>. D</w:t>
      </w:r>
      <w:r w:rsidR="004F1125" w:rsidRPr="004F1125">
        <w:rPr>
          <w:rFonts w:ascii="Arial" w:eastAsia="Times New Roman" w:hAnsi="Arial" w:cs="Arial"/>
          <w:sz w:val="24"/>
          <w:szCs w:val="24"/>
        </w:rPr>
        <w:t xml:space="preserve">e </w:t>
      </w:r>
      <w:r>
        <w:rPr>
          <w:rFonts w:ascii="Arial" w:eastAsia="Times New Roman" w:hAnsi="Arial" w:cs="Arial"/>
          <w:sz w:val="24"/>
          <w:szCs w:val="24"/>
        </w:rPr>
        <w:t>este total</w:t>
      </w:r>
      <w:r w:rsidR="004F1125" w:rsidRPr="004F1125">
        <w:rPr>
          <w:rFonts w:ascii="Arial" w:eastAsia="Times New Roman" w:hAnsi="Arial" w:cs="Arial"/>
          <w:sz w:val="24"/>
          <w:szCs w:val="24"/>
        </w:rPr>
        <w:t>, 1</w:t>
      </w:r>
      <w:r w:rsidR="004D774B">
        <w:rPr>
          <w:rFonts w:ascii="Arial" w:eastAsia="Times New Roman" w:hAnsi="Arial" w:cs="Arial"/>
          <w:sz w:val="24"/>
          <w:szCs w:val="24"/>
        </w:rPr>
        <w:t xml:space="preserve"> </w:t>
      </w:r>
      <w:r w:rsidR="00BC004A">
        <w:rPr>
          <w:rFonts w:ascii="Arial" w:eastAsia="Times New Roman" w:hAnsi="Arial" w:cs="Arial"/>
          <w:sz w:val="24"/>
          <w:szCs w:val="24"/>
        </w:rPr>
        <w:t>649</w:t>
      </w:r>
      <w:r w:rsidR="004F1125" w:rsidRPr="004F1125">
        <w:rPr>
          <w:rFonts w:ascii="Arial" w:eastAsia="Times New Roman" w:hAnsi="Arial" w:cs="Arial"/>
          <w:sz w:val="24"/>
          <w:szCs w:val="24"/>
        </w:rPr>
        <w:t xml:space="preserve"> (</w:t>
      </w:r>
      <w:r w:rsidR="00BC004A">
        <w:rPr>
          <w:rFonts w:ascii="Arial" w:eastAsia="Times New Roman" w:hAnsi="Arial" w:cs="Arial"/>
          <w:sz w:val="24"/>
          <w:szCs w:val="24"/>
        </w:rPr>
        <w:t>5.0</w:t>
      </w:r>
      <w:r w:rsidR="004D774B">
        <w:rPr>
          <w:rFonts w:ascii="Arial" w:eastAsia="Times New Roman" w:hAnsi="Arial" w:cs="Arial"/>
          <w:sz w:val="24"/>
          <w:szCs w:val="24"/>
        </w:rPr>
        <w:t xml:space="preserve"> </w:t>
      </w:r>
      <w:r w:rsidR="004F1125" w:rsidRPr="004F1125">
        <w:rPr>
          <w:rFonts w:ascii="Arial" w:eastAsia="Times New Roman" w:hAnsi="Arial" w:cs="Arial"/>
          <w:sz w:val="24"/>
          <w:szCs w:val="24"/>
        </w:rPr>
        <w:t>%) ingresaron mediante el Sistema Tradicional (</w:t>
      </w:r>
      <w:r w:rsidR="00A73859">
        <w:rPr>
          <w:rFonts w:ascii="Arial" w:eastAsia="Times New Roman" w:hAnsi="Arial" w:cs="Arial"/>
          <w:sz w:val="24"/>
          <w:szCs w:val="24"/>
        </w:rPr>
        <w:t>JD</w:t>
      </w:r>
      <w:r w:rsidR="004F1125" w:rsidRPr="004F1125">
        <w:rPr>
          <w:rFonts w:ascii="Arial" w:eastAsia="Times New Roman" w:hAnsi="Arial" w:cs="Arial"/>
          <w:sz w:val="24"/>
          <w:szCs w:val="24"/>
        </w:rPr>
        <w:t xml:space="preserve">) y </w:t>
      </w:r>
      <w:r w:rsidR="00BC004A">
        <w:rPr>
          <w:rFonts w:ascii="Arial" w:eastAsia="Times New Roman" w:hAnsi="Arial" w:cs="Arial"/>
          <w:sz w:val="24"/>
          <w:szCs w:val="24"/>
        </w:rPr>
        <w:t>31</w:t>
      </w:r>
      <w:r w:rsidR="004D774B">
        <w:rPr>
          <w:rFonts w:ascii="Arial" w:eastAsia="Times New Roman" w:hAnsi="Arial" w:cs="Arial"/>
          <w:sz w:val="24"/>
          <w:szCs w:val="24"/>
        </w:rPr>
        <w:t xml:space="preserve"> </w:t>
      </w:r>
      <w:r w:rsidR="00BC004A">
        <w:rPr>
          <w:rFonts w:ascii="Arial" w:eastAsia="Times New Roman" w:hAnsi="Arial" w:cs="Arial"/>
          <w:sz w:val="24"/>
          <w:szCs w:val="24"/>
        </w:rPr>
        <w:t>508</w:t>
      </w:r>
      <w:r w:rsidR="004F1125" w:rsidRPr="004F1125">
        <w:rPr>
          <w:rFonts w:ascii="Arial" w:eastAsia="Times New Roman" w:hAnsi="Arial" w:cs="Arial"/>
          <w:sz w:val="24"/>
          <w:szCs w:val="24"/>
        </w:rPr>
        <w:t xml:space="preserve"> (9</w:t>
      </w:r>
      <w:r w:rsidR="00BC004A">
        <w:rPr>
          <w:rFonts w:ascii="Arial" w:eastAsia="Times New Roman" w:hAnsi="Arial" w:cs="Arial"/>
          <w:sz w:val="24"/>
          <w:szCs w:val="24"/>
        </w:rPr>
        <w:t>5.0</w:t>
      </w:r>
      <w:r w:rsidR="004D774B">
        <w:rPr>
          <w:rFonts w:ascii="Arial" w:eastAsia="Times New Roman" w:hAnsi="Arial" w:cs="Arial"/>
          <w:sz w:val="24"/>
          <w:szCs w:val="24"/>
        </w:rPr>
        <w:t xml:space="preserve"> </w:t>
      </w:r>
      <w:r w:rsidR="004F1125" w:rsidRPr="004F1125">
        <w:rPr>
          <w:rFonts w:ascii="Arial" w:eastAsia="Times New Roman" w:hAnsi="Arial" w:cs="Arial"/>
          <w:sz w:val="24"/>
          <w:szCs w:val="24"/>
        </w:rPr>
        <w:t>%) por medio del Sistema Penal Acusatorio (jueces de control o</w:t>
      </w:r>
      <w:r w:rsidR="004F1125">
        <w:rPr>
          <w:rFonts w:ascii="Arial" w:eastAsia="Times New Roman" w:hAnsi="Arial" w:cs="Arial"/>
          <w:sz w:val="24"/>
          <w:szCs w:val="24"/>
        </w:rPr>
        <w:t xml:space="preserve"> </w:t>
      </w:r>
      <w:r w:rsidR="004F1125" w:rsidRPr="004F1125">
        <w:rPr>
          <w:rFonts w:ascii="Arial" w:eastAsia="Times New Roman" w:hAnsi="Arial" w:cs="Arial"/>
          <w:sz w:val="24"/>
          <w:szCs w:val="24"/>
        </w:rPr>
        <w:t>garantías). En comparación con 20</w:t>
      </w:r>
      <w:r w:rsidR="00BC004A">
        <w:rPr>
          <w:rFonts w:ascii="Arial" w:eastAsia="Times New Roman" w:hAnsi="Arial" w:cs="Arial"/>
          <w:sz w:val="24"/>
          <w:szCs w:val="24"/>
        </w:rPr>
        <w:t>20</w:t>
      </w:r>
      <w:r w:rsidR="004F1125" w:rsidRPr="004F1125">
        <w:rPr>
          <w:rFonts w:ascii="Arial" w:eastAsia="Times New Roman" w:hAnsi="Arial" w:cs="Arial"/>
          <w:sz w:val="24"/>
          <w:szCs w:val="24"/>
        </w:rPr>
        <w:t xml:space="preserve">, </w:t>
      </w:r>
      <w:r w:rsidR="00BC004A">
        <w:rPr>
          <w:rFonts w:ascii="Arial" w:eastAsia="Times New Roman" w:hAnsi="Arial" w:cs="Arial"/>
          <w:sz w:val="24"/>
          <w:szCs w:val="24"/>
        </w:rPr>
        <w:t xml:space="preserve">el aumento de </w:t>
      </w:r>
      <w:r w:rsidR="004F1125" w:rsidRPr="004F1125">
        <w:rPr>
          <w:rFonts w:ascii="Arial" w:eastAsia="Times New Roman" w:hAnsi="Arial" w:cs="Arial"/>
          <w:sz w:val="24"/>
          <w:szCs w:val="24"/>
        </w:rPr>
        <w:t>delitos registrados en causas</w:t>
      </w:r>
      <w:r w:rsidR="004F1125">
        <w:rPr>
          <w:rFonts w:ascii="Arial" w:eastAsia="Times New Roman" w:hAnsi="Arial" w:cs="Arial"/>
          <w:sz w:val="24"/>
          <w:szCs w:val="24"/>
        </w:rPr>
        <w:t xml:space="preserve"> </w:t>
      </w:r>
      <w:r w:rsidR="004F1125" w:rsidRPr="004F1125">
        <w:rPr>
          <w:rFonts w:ascii="Arial" w:eastAsia="Times New Roman" w:hAnsi="Arial" w:cs="Arial"/>
          <w:sz w:val="24"/>
          <w:szCs w:val="24"/>
        </w:rPr>
        <w:t xml:space="preserve">penales ingresadas fue de </w:t>
      </w:r>
      <w:r w:rsidR="00BC004A">
        <w:rPr>
          <w:rFonts w:ascii="Arial" w:eastAsia="Times New Roman" w:hAnsi="Arial" w:cs="Arial"/>
          <w:sz w:val="24"/>
          <w:szCs w:val="24"/>
        </w:rPr>
        <w:t>20.4</w:t>
      </w:r>
      <w:r w:rsidR="004D774B">
        <w:rPr>
          <w:rFonts w:ascii="Arial" w:eastAsia="Times New Roman" w:hAnsi="Arial" w:cs="Arial"/>
          <w:sz w:val="24"/>
          <w:szCs w:val="24"/>
        </w:rPr>
        <w:t xml:space="preserve"> por ciento</w:t>
      </w:r>
      <w:r w:rsidR="00935332">
        <w:rPr>
          <w:rFonts w:ascii="Arial" w:eastAsia="Times New Roman" w:hAnsi="Arial" w:cs="Arial"/>
          <w:sz w:val="24"/>
          <w:szCs w:val="24"/>
        </w:rPr>
        <w:t>.</w:t>
      </w:r>
      <w:r w:rsidR="00BC004A">
        <w:rPr>
          <w:rFonts w:ascii="Arial" w:eastAsia="Times New Roman" w:hAnsi="Arial" w:cs="Arial"/>
          <w:sz w:val="24"/>
          <w:szCs w:val="24"/>
        </w:rPr>
        <w:t xml:space="preserve"> </w:t>
      </w:r>
      <w:r w:rsidR="004F1125" w:rsidRPr="004F1125">
        <w:rPr>
          <w:rFonts w:ascii="Arial" w:eastAsia="Times New Roman" w:hAnsi="Arial" w:cs="Arial"/>
          <w:sz w:val="24"/>
          <w:szCs w:val="24"/>
        </w:rPr>
        <w:cr/>
      </w:r>
    </w:p>
    <w:p w14:paraId="516BEF48" w14:textId="111AE72C" w:rsidR="00BC004A" w:rsidRPr="00DE7C9F" w:rsidRDefault="00BC004A" w:rsidP="00BC004A">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23</w:t>
      </w:r>
    </w:p>
    <w:p w14:paraId="1DFB6C06" w14:textId="06D15FED" w:rsidR="00BC004A" w:rsidRDefault="00BC004A" w:rsidP="00BC004A">
      <w:pPr>
        <w:spacing w:after="0" w:line="240" w:lineRule="auto"/>
        <w:jc w:val="center"/>
        <w:rPr>
          <w:rFonts w:ascii="Arial Negrita" w:hAnsi="Arial Negrita"/>
          <w:b/>
          <w:bCs/>
          <w:iCs/>
          <w:smallCaps/>
          <w:color w:val="000000" w:themeColor="text1"/>
        </w:rPr>
      </w:pPr>
      <w:r w:rsidRPr="00BC004A">
        <w:rPr>
          <w:rFonts w:ascii="Arial Negrita" w:hAnsi="Arial Negrita"/>
          <w:b/>
          <w:bCs/>
          <w:iCs/>
          <w:smallCaps/>
          <w:color w:val="000000" w:themeColor="text1"/>
        </w:rPr>
        <w:t>Delitos registrados en las causas penales ingresadas, según órgano</w:t>
      </w:r>
    </w:p>
    <w:p w14:paraId="2959C1C5" w14:textId="543B07AB" w:rsidR="00BC004A" w:rsidRDefault="00BC004A" w:rsidP="00BC004A">
      <w:pPr>
        <w:spacing w:after="0" w:line="240" w:lineRule="auto"/>
        <w:jc w:val="center"/>
        <w:rPr>
          <w:rFonts w:ascii="Arial" w:eastAsia="Times New Roman" w:hAnsi="Arial" w:cs="Arial"/>
          <w:sz w:val="24"/>
          <w:szCs w:val="24"/>
        </w:rPr>
      </w:pPr>
      <w:r>
        <w:rPr>
          <w:noProof/>
        </w:rPr>
        <w:drawing>
          <wp:inline distT="0" distB="0" distL="0" distR="0" wp14:anchorId="77A1FEAA" wp14:editId="63249594">
            <wp:extent cx="6317673" cy="2202872"/>
            <wp:effectExtent l="0" t="0" r="6985" b="6985"/>
            <wp:docPr id="24" name="Gráfico 24">
              <a:extLst xmlns:a="http://schemas.openxmlformats.org/drawingml/2006/main">
                <a:ext uri="{FF2B5EF4-FFF2-40B4-BE49-F238E27FC236}">
                  <a16:creationId xmlns:a16="http://schemas.microsoft.com/office/drawing/2014/main" id="{C721C990-6724-DDEB-0FD5-86E549F57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645DF5D" w14:textId="77777777" w:rsidR="00452B7B" w:rsidRDefault="00452B7B" w:rsidP="00FE4B0E">
      <w:pPr>
        <w:spacing w:after="0" w:line="240" w:lineRule="auto"/>
        <w:jc w:val="both"/>
        <w:rPr>
          <w:rFonts w:ascii="Arial" w:eastAsia="Times New Roman" w:hAnsi="Arial" w:cs="Arial"/>
          <w:sz w:val="24"/>
          <w:szCs w:val="24"/>
        </w:rPr>
      </w:pPr>
    </w:p>
    <w:p w14:paraId="04DC0A6C" w14:textId="62968D9E" w:rsidR="00FE4B0E" w:rsidRDefault="00F766D7" w:rsidP="00FE4B0E">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D</w:t>
      </w:r>
      <w:r w:rsidR="00FE4B0E" w:rsidRPr="00FE4B0E">
        <w:rPr>
          <w:rFonts w:ascii="Arial" w:eastAsia="Times New Roman" w:hAnsi="Arial" w:cs="Arial"/>
          <w:sz w:val="24"/>
          <w:szCs w:val="24"/>
        </w:rPr>
        <w:t>el tipo de delitos registrados en 20</w:t>
      </w:r>
      <w:r w:rsidR="00E36074">
        <w:rPr>
          <w:rFonts w:ascii="Arial" w:eastAsia="Times New Roman" w:hAnsi="Arial" w:cs="Arial"/>
          <w:sz w:val="24"/>
          <w:szCs w:val="24"/>
        </w:rPr>
        <w:t>21</w:t>
      </w:r>
      <w:r w:rsidR="00FE4B0E" w:rsidRPr="00FE4B0E">
        <w:rPr>
          <w:rFonts w:ascii="Arial" w:eastAsia="Times New Roman" w:hAnsi="Arial" w:cs="Arial"/>
          <w:sz w:val="24"/>
          <w:szCs w:val="24"/>
        </w:rPr>
        <w:t xml:space="preserve">, </w:t>
      </w:r>
      <w:r w:rsidR="00812765">
        <w:rPr>
          <w:rFonts w:ascii="Arial" w:eastAsia="Times New Roman" w:hAnsi="Arial" w:cs="Arial"/>
          <w:sz w:val="24"/>
          <w:szCs w:val="24"/>
        </w:rPr>
        <w:t>49.5</w:t>
      </w:r>
      <w:r w:rsidR="00C8693E">
        <w:rPr>
          <w:rFonts w:ascii="Arial" w:eastAsia="Times New Roman" w:hAnsi="Arial" w:cs="Arial"/>
          <w:sz w:val="24"/>
          <w:szCs w:val="24"/>
        </w:rPr>
        <w:t xml:space="preserve"> </w:t>
      </w:r>
      <w:r w:rsidR="00FE4B0E" w:rsidRPr="00FE4B0E">
        <w:rPr>
          <w:rFonts w:ascii="Arial" w:eastAsia="Times New Roman" w:hAnsi="Arial" w:cs="Arial"/>
          <w:sz w:val="24"/>
          <w:szCs w:val="24"/>
        </w:rPr>
        <w:t>% (</w:t>
      </w:r>
      <w:r w:rsidR="00812765" w:rsidRPr="00812765">
        <w:rPr>
          <w:rFonts w:ascii="Arial" w:eastAsia="Times New Roman" w:hAnsi="Arial" w:cs="Arial"/>
          <w:sz w:val="24"/>
          <w:szCs w:val="24"/>
        </w:rPr>
        <w:t>16</w:t>
      </w:r>
      <w:r w:rsidR="00C8693E">
        <w:rPr>
          <w:rFonts w:ascii="Arial" w:eastAsia="Times New Roman" w:hAnsi="Arial" w:cs="Arial"/>
          <w:sz w:val="24"/>
          <w:szCs w:val="24"/>
        </w:rPr>
        <w:t xml:space="preserve"> </w:t>
      </w:r>
      <w:r w:rsidR="00812765" w:rsidRPr="00812765">
        <w:rPr>
          <w:rFonts w:ascii="Arial" w:eastAsia="Times New Roman" w:hAnsi="Arial" w:cs="Arial"/>
          <w:sz w:val="24"/>
          <w:szCs w:val="24"/>
        </w:rPr>
        <w:t>422</w:t>
      </w:r>
      <w:r w:rsidR="00FE4B0E" w:rsidRPr="00FE4B0E">
        <w:rPr>
          <w:rFonts w:ascii="Arial" w:eastAsia="Times New Roman" w:hAnsi="Arial" w:cs="Arial"/>
          <w:sz w:val="24"/>
          <w:szCs w:val="24"/>
        </w:rPr>
        <w:t xml:space="preserve">) correspondió a </w:t>
      </w:r>
      <w:r w:rsidR="00A8265F" w:rsidRPr="00A8265F">
        <w:rPr>
          <w:rFonts w:ascii="Arial" w:eastAsia="Times New Roman" w:hAnsi="Arial" w:cs="Arial"/>
          <w:i/>
          <w:iCs/>
          <w:sz w:val="24"/>
          <w:szCs w:val="24"/>
        </w:rPr>
        <w:t>D</w:t>
      </w:r>
      <w:r w:rsidR="00FE4B0E" w:rsidRPr="00A8265F">
        <w:rPr>
          <w:rFonts w:ascii="Arial" w:eastAsia="Times New Roman" w:hAnsi="Arial" w:cs="Arial"/>
          <w:i/>
          <w:iCs/>
          <w:sz w:val="24"/>
          <w:szCs w:val="24"/>
        </w:rPr>
        <w:t>elitos en materia de armas, explosivos y otros materiales destructivos</w:t>
      </w:r>
      <w:r w:rsidR="00FE4B0E" w:rsidRPr="00FE4B0E">
        <w:rPr>
          <w:rFonts w:ascii="Arial" w:eastAsia="Times New Roman" w:hAnsi="Arial" w:cs="Arial"/>
          <w:sz w:val="24"/>
          <w:szCs w:val="24"/>
        </w:rPr>
        <w:t xml:space="preserve">. En comparación con </w:t>
      </w:r>
      <w:r w:rsidR="00A8265F">
        <w:rPr>
          <w:rFonts w:ascii="Arial" w:eastAsia="Times New Roman" w:hAnsi="Arial" w:cs="Arial"/>
          <w:sz w:val="24"/>
          <w:szCs w:val="24"/>
        </w:rPr>
        <w:t>2020</w:t>
      </w:r>
      <w:r>
        <w:rPr>
          <w:rFonts w:ascii="Arial" w:eastAsia="Times New Roman" w:hAnsi="Arial" w:cs="Arial"/>
          <w:sz w:val="24"/>
          <w:szCs w:val="24"/>
        </w:rPr>
        <w:t>,</w:t>
      </w:r>
      <w:r w:rsidR="00A8265F">
        <w:rPr>
          <w:rFonts w:ascii="Arial" w:eastAsia="Times New Roman" w:hAnsi="Arial" w:cs="Arial"/>
          <w:sz w:val="24"/>
          <w:szCs w:val="24"/>
        </w:rPr>
        <w:t xml:space="preserve"> </w:t>
      </w:r>
      <w:r w:rsidR="00FE4B0E" w:rsidRPr="00FE4B0E">
        <w:rPr>
          <w:rFonts w:ascii="Arial" w:eastAsia="Times New Roman" w:hAnsi="Arial" w:cs="Arial"/>
          <w:sz w:val="24"/>
          <w:szCs w:val="24"/>
        </w:rPr>
        <w:t>para este</w:t>
      </w:r>
      <w:r>
        <w:rPr>
          <w:rFonts w:ascii="Arial" w:eastAsia="Times New Roman" w:hAnsi="Arial" w:cs="Arial"/>
          <w:sz w:val="24"/>
          <w:szCs w:val="24"/>
        </w:rPr>
        <w:t xml:space="preserve"> tipo de</w:t>
      </w:r>
      <w:r w:rsidR="00FE4B0E" w:rsidRPr="00FE4B0E">
        <w:rPr>
          <w:rFonts w:ascii="Arial" w:eastAsia="Times New Roman" w:hAnsi="Arial" w:cs="Arial"/>
          <w:sz w:val="24"/>
          <w:szCs w:val="24"/>
        </w:rPr>
        <w:t xml:space="preserve"> delito</w:t>
      </w:r>
      <w:r w:rsidR="00A8265F">
        <w:rPr>
          <w:rFonts w:ascii="Arial" w:eastAsia="Times New Roman" w:hAnsi="Arial" w:cs="Arial"/>
          <w:sz w:val="24"/>
          <w:szCs w:val="24"/>
        </w:rPr>
        <w:t xml:space="preserve"> </w:t>
      </w:r>
      <w:r w:rsidR="00FE4B0E" w:rsidRPr="00FE4B0E">
        <w:rPr>
          <w:rFonts w:ascii="Arial" w:eastAsia="Times New Roman" w:hAnsi="Arial" w:cs="Arial"/>
          <w:sz w:val="24"/>
          <w:szCs w:val="24"/>
        </w:rPr>
        <w:t>se observ</w:t>
      </w:r>
      <w:r w:rsidR="00040D12">
        <w:rPr>
          <w:rFonts w:ascii="Arial" w:eastAsia="Times New Roman" w:hAnsi="Arial" w:cs="Arial"/>
          <w:sz w:val="24"/>
          <w:szCs w:val="24"/>
        </w:rPr>
        <w:t>ó</w:t>
      </w:r>
      <w:r w:rsidR="00FE4B0E" w:rsidRPr="00FE4B0E">
        <w:rPr>
          <w:rFonts w:ascii="Arial" w:eastAsia="Times New Roman" w:hAnsi="Arial" w:cs="Arial"/>
          <w:sz w:val="24"/>
          <w:szCs w:val="24"/>
        </w:rPr>
        <w:t xml:space="preserve"> un</w:t>
      </w:r>
      <w:r w:rsidR="00812765">
        <w:rPr>
          <w:rFonts w:ascii="Arial" w:eastAsia="Times New Roman" w:hAnsi="Arial" w:cs="Arial"/>
          <w:sz w:val="24"/>
          <w:szCs w:val="24"/>
        </w:rPr>
        <w:t xml:space="preserve"> aumento de 2.2</w:t>
      </w:r>
      <w:r w:rsidR="00C8693E">
        <w:rPr>
          <w:rFonts w:ascii="Arial" w:eastAsia="Times New Roman" w:hAnsi="Arial" w:cs="Arial"/>
          <w:sz w:val="24"/>
          <w:szCs w:val="24"/>
        </w:rPr>
        <w:t xml:space="preserve"> </w:t>
      </w:r>
      <w:r w:rsidR="00812765">
        <w:rPr>
          <w:rFonts w:ascii="Arial" w:eastAsia="Times New Roman" w:hAnsi="Arial" w:cs="Arial"/>
          <w:sz w:val="24"/>
          <w:szCs w:val="24"/>
        </w:rPr>
        <w:t>% en 2021.</w:t>
      </w:r>
    </w:p>
    <w:p w14:paraId="27691CB1" w14:textId="77777777" w:rsidR="00FE4B0E" w:rsidRDefault="00FE4B0E" w:rsidP="00FE4B0E">
      <w:pPr>
        <w:spacing w:after="0" w:line="240" w:lineRule="auto"/>
        <w:jc w:val="both"/>
        <w:rPr>
          <w:rFonts w:ascii="Arial" w:eastAsia="Times New Roman" w:hAnsi="Arial" w:cs="Arial"/>
          <w:sz w:val="24"/>
          <w:szCs w:val="24"/>
        </w:rPr>
      </w:pPr>
    </w:p>
    <w:p w14:paraId="76D1384E" w14:textId="4A662086" w:rsidR="00FE4B0E" w:rsidRPr="00DE7C9F" w:rsidRDefault="00FE4B0E" w:rsidP="00FE4B0E">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77270A">
        <w:rPr>
          <w:bCs/>
          <w:iCs/>
          <w:color w:val="000000" w:themeColor="text1"/>
          <w:sz w:val="20"/>
          <w:szCs w:val="20"/>
        </w:rPr>
        <w:t>24</w:t>
      </w:r>
    </w:p>
    <w:p w14:paraId="536A0A30" w14:textId="547D0125" w:rsidR="00FE4B0E" w:rsidRDefault="00FE4B0E" w:rsidP="00FE4B0E">
      <w:pPr>
        <w:spacing w:after="0" w:line="240" w:lineRule="auto"/>
        <w:jc w:val="center"/>
        <w:rPr>
          <w:rFonts w:ascii="Arial Negrita" w:hAnsi="Arial Negrita"/>
          <w:b/>
          <w:bCs/>
          <w:iCs/>
          <w:smallCaps/>
          <w:color w:val="000000" w:themeColor="text1"/>
        </w:rPr>
      </w:pPr>
      <w:r w:rsidRPr="00FE4B0E">
        <w:rPr>
          <w:rFonts w:ascii="Arial Negrita" w:hAnsi="Arial Negrita"/>
          <w:b/>
          <w:bCs/>
          <w:iCs/>
          <w:smallCaps/>
          <w:color w:val="000000" w:themeColor="text1"/>
        </w:rPr>
        <w:t>principales delitos registrados en las causas penales ingresadas,</w:t>
      </w:r>
      <w:r>
        <w:rPr>
          <w:rFonts w:ascii="Arial Negrita" w:hAnsi="Arial Negrita"/>
          <w:b/>
          <w:bCs/>
          <w:iCs/>
          <w:smallCaps/>
          <w:color w:val="000000" w:themeColor="text1"/>
        </w:rPr>
        <w:t xml:space="preserve"> </w:t>
      </w:r>
      <w:r w:rsidRPr="00FE4B0E">
        <w:rPr>
          <w:rFonts w:ascii="Arial Negrita" w:hAnsi="Arial Negrita"/>
          <w:b/>
          <w:bCs/>
          <w:iCs/>
          <w:smallCaps/>
          <w:color w:val="000000" w:themeColor="text1"/>
        </w:rPr>
        <w:t>por tipo de delito</w:t>
      </w:r>
    </w:p>
    <w:p w14:paraId="5AA1B94A" w14:textId="77777777" w:rsidR="00E36074" w:rsidRDefault="00E36074" w:rsidP="00FE4B0E">
      <w:pPr>
        <w:spacing w:after="0" w:line="240" w:lineRule="auto"/>
        <w:jc w:val="center"/>
        <w:rPr>
          <w:rFonts w:ascii="Arial Negrita" w:hAnsi="Arial Negrita"/>
          <w:b/>
          <w:bCs/>
          <w:iCs/>
          <w:smallCaps/>
          <w:color w:val="000000" w:themeColor="text1"/>
        </w:rPr>
      </w:pPr>
    </w:p>
    <w:p w14:paraId="4729A312" w14:textId="15156401" w:rsidR="00FE4B0E" w:rsidRDefault="00E36074" w:rsidP="00FE4B0E">
      <w:pPr>
        <w:spacing w:after="0" w:line="240" w:lineRule="auto"/>
        <w:jc w:val="center"/>
        <w:rPr>
          <w:rFonts w:ascii="Arial Negrita" w:hAnsi="Arial Negrita"/>
          <w:b/>
          <w:bCs/>
          <w:iCs/>
          <w:smallCaps/>
          <w:color w:val="000000" w:themeColor="text1"/>
        </w:rPr>
      </w:pPr>
      <w:r>
        <w:rPr>
          <w:noProof/>
        </w:rPr>
        <w:drawing>
          <wp:inline distT="0" distB="0" distL="0" distR="0" wp14:anchorId="1AECB280" wp14:editId="219B4938">
            <wp:extent cx="6447790" cy="2250374"/>
            <wp:effectExtent l="0" t="0" r="0" b="0"/>
            <wp:docPr id="25" name="Gráfico 25">
              <a:extLst xmlns:a="http://schemas.openxmlformats.org/drawingml/2006/main">
                <a:ext uri="{FF2B5EF4-FFF2-40B4-BE49-F238E27FC236}">
                  <a16:creationId xmlns:a16="http://schemas.microsoft.com/office/drawing/2014/main" id="{E1787EA7-43D5-EE47-F69D-CA66D18160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0AA285E" w14:textId="04193E7D" w:rsidR="00812765" w:rsidRPr="00812765" w:rsidRDefault="00812765" w:rsidP="00812765">
      <w:pPr>
        <w:spacing w:after="0" w:line="240" w:lineRule="auto"/>
        <w:jc w:val="both"/>
        <w:rPr>
          <w:rFonts w:ascii="Arial" w:hAnsi="Arial" w:cs="Arial"/>
          <w:b/>
          <w:bCs/>
          <w:iCs/>
          <w:smallCaps/>
          <w:color w:val="000000" w:themeColor="text1"/>
          <w:sz w:val="16"/>
          <w:szCs w:val="16"/>
        </w:rPr>
      </w:pPr>
      <w:r w:rsidRPr="00812765">
        <w:rPr>
          <w:rFonts w:ascii="Arial" w:hAnsi="Arial" w:cs="Arial"/>
          <w:sz w:val="16"/>
          <w:szCs w:val="16"/>
        </w:rPr>
        <w:t>Nota: incluye información tanto de los juzgados de distrito (Sistema Tradicional) como de los jueces de control o garantías (Sistema Penal Acusatorio).</w:t>
      </w:r>
    </w:p>
    <w:p w14:paraId="33E86C63" w14:textId="77777777" w:rsidR="00C8693E" w:rsidRPr="00BA306B" w:rsidRDefault="00C8693E" w:rsidP="00B6214B">
      <w:pPr>
        <w:spacing w:after="0" w:line="240" w:lineRule="auto"/>
        <w:jc w:val="both"/>
        <w:rPr>
          <w:rFonts w:ascii="Arial Negrita" w:hAnsi="Arial Negrita" w:cs="Arial"/>
          <w:bCs/>
          <w:smallCaps/>
          <w:sz w:val="24"/>
          <w:szCs w:val="24"/>
        </w:rPr>
      </w:pPr>
    </w:p>
    <w:p w14:paraId="35CDBC58" w14:textId="28A4F0D7" w:rsidR="00890840" w:rsidRPr="00BA306B" w:rsidRDefault="00C8693E" w:rsidP="00C8693E">
      <w:pPr>
        <w:pStyle w:val="Prrafodelista"/>
        <w:numPr>
          <w:ilvl w:val="0"/>
          <w:numId w:val="31"/>
        </w:numPr>
        <w:spacing w:after="0" w:line="240" w:lineRule="auto"/>
        <w:jc w:val="both"/>
        <w:rPr>
          <w:rFonts w:ascii="Arial" w:eastAsia="Times New Roman" w:hAnsi="Arial" w:cs="Arial"/>
          <w:smallCaps/>
          <w:sz w:val="24"/>
          <w:szCs w:val="24"/>
        </w:rPr>
      </w:pPr>
      <w:r w:rsidRPr="00BA306B">
        <w:rPr>
          <w:rFonts w:ascii="Arial" w:eastAsia="Times New Roman" w:hAnsi="Arial" w:cs="Arial"/>
          <w:smallCaps/>
          <w:sz w:val="24"/>
          <w:szCs w:val="24"/>
        </w:rPr>
        <w:t>Procesados y/</w:t>
      </w:r>
      <w:r w:rsidR="00040D12">
        <w:rPr>
          <w:rFonts w:ascii="Arial" w:eastAsia="Times New Roman" w:hAnsi="Arial" w:cs="Arial"/>
          <w:smallCaps/>
          <w:sz w:val="24"/>
          <w:szCs w:val="24"/>
        </w:rPr>
        <w:t xml:space="preserve"> </w:t>
      </w:r>
      <w:r w:rsidRPr="00BA306B">
        <w:rPr>
          <w:rFonts w:ascii="Arial" w:eastAsia="Times New Roman" w:hAnsi="Arial" w:cs="Arial"/>
          <w:smallCaps/>
          <w:sz w:val="24"/>
          <w:szCs w:val="24"/>
        </w:rPr>
        <w:t>o indiciados y/</w:t>
      </w:r>
      <w:r w:rsidR="00040D12">
        <w:rPr>
          <w:rFonts w:ascii="Arial" w:eastAsia="Times New Roman" w:hAnsi="Arial" w:cs="Arial"/>
          <w:smallCaps/>
          <w:sz w:val="24"/>
          <w:szCs w:val="24"/>
        </w:rPr>
        <w:t xml:space="preserve"> </w:t>
      </w:r>
      <w:r w:rsidRPr="00BA306B">
        <w:rPr>
          <w:rFonts w:ascii="Arial" w:eastAsia="Times New Roman" w:hAnsi="Arial" w:cs="Arial"/>
          <w:smallCaps/>
          <w:sz w:val="24"/>
          <w:szCs w:val="24"/>
        </w:rPr>
        <w:t>o imputados</w:t>
      </w:r>
    </w:p>
    <w:p w14:paraId="1AA51423" w14:textId="77777777" w:rsidR="00C8693E" w:rsidRPr="00BA306B" w:rsidRDefault="00C8693E" w:rsidP="00BA306B">
      <w:pPr>
        <w:pStyle w:val="Prrafodelista"/>
        <w:spacing w:after="0" w:line="240" w:lineRule="auto"/>
        <w:jc w:val="both"/>
        <w:rPr>
          <w:rFonts w:ascii="Arial" w:eastAsia="Times New Roman" w:hAnsi="Arial" w:cs="Arial"/>
          <w:sz w:val="24"/>
          <w:szCs w:val="24"/>
        </w:rPr>
      </w:pPr>
    </w:p>
    <w:p w14:paraId="6AA2F3DD" w14:textId="43795F70" w:rsidR="00A174A1" w:rsidRDefault="00F766D7" w:rsidP="00B6214B">
      <w:pPr>
        <w:spacing w:after="0" w:line="240" w:lineRule="auto"/>
        <w:jc w:val="both"/>
        <w:rPr>
          <w:rFonts w:ascii="Arial" w:eastAsia="Times New Roman" w:hAnsi="Arial" w:cs="Arial"/>
          <w:sz w:val="24"/>
          <w:szCs w:val="24"/>
        </w:rPr>
      </w:pPr>
      <w:r>
        <w:rPr>
          <w:rFonts w:ascii="Arial" w:eastAsia="Times New Roman" w:hAnsi="Arial" w:cs="Arial"/>
          <w:sz w:val="24"/>
          <w:szCs w:val="24"/>
        </w:rPr>
        <w:t>D</w:t>
      </w:r>
      <w:r w:rsidRPr="00B6214B">
        <w:rPr>
          <w:rFonts w:ascii="Arial" w:eastAsia="Times New Roman" w:hAnsi="Arial" w:cs="Arial"/>
          <w:sz w:val="24"/>
          <w:szCs w:val="24"/>
        </w:rPr>
        <w:t>urante 202</w:t>
      </w:r>
      <w:r>
        <w:rPr>
          <w:rFonts w:ascii="Arial" w:eastAsia="Times New Roman" w:hAnsi="Arial" w:cs="Arial"/>
          <w:sz w:val="24"/>
          <w:szCs w:val="24"/>
        </w:rPr>
        <w:t>1</w:t>
      </w:r>
      <w:r w:rsidR="00FD2373">
        <w:rPr>
          <w:rFonts w:ascii="Arial" w:eastAsia="Times New Roman" w:hAnsi="Arial" w:cs="Arial"/>
          <w:sz w:val="24"/>
          <w:szCs w:val="24"/>
        </w:rPr>
        <w:t>,</w:t>
      </w:r>
      <w:r w:rsidRPr="00B6214B">
        <w:rPr>
          <w:rFonts w:ascii="Arial" w:eastAsia="Times New Roman" w:hAnsi="Arial" w:cs="Arial"/>
          <w:sz w:val="24"/>
          <w:szCs w:val="24"/>
        </w:rPr>
        <w:t xml:space="preserve"> se</w:t>
      </w:r>
      <w:r>
        <w:rPr>
          <w:rFonts w:ascii="Arial" w:eastAsia="Times New Roman" w:hAnsi="Arial" w:cs="Arial"/>
          <w:sz w:val="24"/>
          <w:szCs w:val="24"/>
        </w:rPr>
        <w:t xml:space="preserve"> </w:t>
      </w:r>
      <w:r w:rsidRPr="00B6214B">
        <w:rPr>
          <w:rFonts w:ascii="Arial" w:eastAsia="Times New Roman" w:hAnsi="Arial" w:cs="Arial"/>
          <w:sz w:val="24"/>
          <w:szCs w:val="24"/>
        </w:rPr>
        <w:t>report</w:t>
      </w:r>
      <w:r w:rsidR="00C8693E">
        <w:rPr>
          <w:rFonts w:ascii="Arial" w:eastAsia="Times New Roman" w:hAnsi="Arial" w:cs="Arial"/>
          <w:sz w:val="24"/>
          <w:szCs w:val="24"/>
        </w:rPr>
        <w:t xml:space="preserve">aron </w:t>
      </w:r>
      <w:r w:rsidRPr="00333460">
        <w:rPr>
          <w:rFonts w:ascii="Arial" w:eastAsia="Times New Roman" w:hAnsi="Arial" w:cs="Arial"/>
          <w:sz w:val="24"/>
          <w:szCs w:val="24"/>
        </w:rPr>
        <w:t>25</w:t>
      </w:r>
      <w:r w:rsidR="00C8693E">
        <w:rPr>
          <w:rFonts w:ascii="Arial" w:eastAsia="Times New Roman" w:hAnsi="Arial" w:cs="Arial"/>
          <w:sz w:val="24"/>
          <w:szCs w:val="24"/>
        </w:rPr>
        <w:t xml:space="preserve"> </w:t>
      </w:r>
      <w:r w:rsidRPr="00333460">
        <w:rPr>
          <w:rFonts w:ascii="Arial" w:eastAsia="Times New Roman" w:hAnsi="Arial" w:cs="Arial"/>
          <w:sz w:val="24"/>
          <w:szCs w:val="24"/>
        </w:rPr>
        <w:t>396</w:t>
      </w:r>
      <w:r>
        <w:rPr>
          <w:rFonts w:ascii="Arial" w:eastAsia="Times New Roman" w:hAnsi="Arial" w:cs="Arial"/>
          <w:sz w:val="24"/>
          <w:szCs w:val="24"/>
        </w:rPr>
        <w:t xml:space="preserve"> </w:t>
      </w:r>
      <w:r w:rsidR="00B6214B" w:rsidRPr="00B6214B">
        <w:rPr>
          <w:rFonts w:ascii="Arial" w:eastAsia="Times New Roman" w:hAnsi="Arial" w:cs="Arial"/>
          <w:sz w:val="24"/>
          <w:szCs w:val="24"/>
        </w:rPr>
        <w:t>procesados y/</w:t>
      </w:r>
      <w:r w:rsidR="00040D12">
        <w:rPr>
          <w:rFonts w:ascii="Arial" w:eastAsia="Times New Roman" w:hAnsi="Arial" w:cs="Arial"/>
          <w:sz w:val="24"/>
          <w:szCs w:val="24"/>
        </w:rPr>
        <w:t xml:space="preserve"> </w:t>
      </w:r>
      <w:r w:rsidR="00B6214B" w:rsidRPr="00B6214B">
        <w:rPr>
          <w:rFonts w:ascii="Arial" w:eastAsia="Times New Roman" w:hAnsi="Arial" w:cs="Arial"/>
          <w:sz w:val="24"/>
          <w:szCs w:val="24"/>
        </w:rPr>
        <w:t>o imputados registrados en las causas penales ingresadas</w:t>
      </w:r>
      <w:r w:rsidR="00040D12">
        <w:rPr>
          <w:rFonts w:ascii="Arial" w:eastAsia="Times New Roman" w:hAnsi="Arial" w:cs="Arial"/>
          <w:sz w:val="24"/>
          <w:szCs w:val="24"/>
        </w:rPr>
        <w:t xml:space="preserve">. De estos, </w:t>
      </w:r>
      <w:r w:rsidR="00333460">
        <w:rPr>
          <w:rFonts w:ascii="Arial" w:eastAsia="Times New Roman" w:hAnsi="Arial" w:cs="Arial"/>
          <w:sz w:val="24"/>
          <w:szCs w:val="24"/>
        </w:rPr>
        <w:t>36.4</w:t>
      </w:r>
      <w:r w:rsidR="00C8693E">
        <w:rPr>
          <w:rFonts w:ascii="Arial" w:eastAsia="Times New Roman" w:hAnsi="Arial" w:cs="Arial"/>
          <w:sz w:val="24"/>
          <w:szCs w:val="24"/>
        </w:rPr>
        <w:t xml:space="preserve"> </w:t>
      </w:r>
      <w:r w:rsidR="00B6214B" w:rsidRPr="00B6214B">
        <w:rPr>
          <w:rFonts w:ascii="Arial" w:eastAsia="Times New Roman" w:hAnsi="Arial" w:cs="Arial"/>
          <w:sz w:val="24"/>
          <w:szCs w:val="24"/>
        </w:rPr>
        <w:t xml:space="preserve">% </w:t>
      </w:r>
      <w:r w:rsidR="00C8693E">
        <w:rPr>
          <w:rFonts w:ascii="Arial" w:eastAsia="Times New Roman" w:hAnsi="Arial" w:cs="Arial"/>
          <w:sz w:val="24"/>
          <w:szCs w:val="24"/>
        </w:rPr>
        <w:t>correspondió a hombres</w:t>
      </w:r>
      <w:r w:rsidR="00B6214B" w:rsidRPr="00B6214B">
        <w:rPr>
          <w:rFonts w:ascii="Arial" w:eastAsia="Times New Roman" w:hAnsi="Arial" w:cs="Arial"/>
          <w:sz w:val="24"/>
          <w:szCs w:val="24"/>
        </w:rPr>
        <w:t xml:space="preserve"> y 4.7</w:t>
      </w:r>
      <w:r w:rsidR="00C8693E">
        <w:rPr>
          <w:rFonts w:ascii="Arial" w:eastAsia="Times New Roman" w:hAnsi="Arial" w:cs="Arial"/>
          <w:sz w:val="24"/>
          <w:szCs w:val="24"/>
        </w:rPr>
        <w:t xml:space="preserve"> </w:t>
      </w:r>
      <w:r w:rsidR="00B6214B" w:rsidRPr="00B6214B">
        <w:rPr>
          <w:rFonts w:ascii="Arial" w:eastAsia="Times New Roman" w:hAnsi="Arial" w:cs="Arial"/>
          <w:sz w:val="24"/>
          <w:szCs w:val="24"/>
        </w:rPr>
        <w:t>%</w:t>
      </w:r>
      <w:r w:rsidR="00040D12">
        <w:rPr>
          <w:rFonts w:ascii="Arial" w:eastAsia="Times New Roman" w:hAnsi="Arial" w:cs="Arial"/>
          <w:sz w:val="24"/>
          <w:szCs w:val="24"/>
        </w:rPr>
        <w:t>,</w:t>
      </w:r>
      <w:r w:rsidR="00B6214B" w:rsidRPr="00B6214B">
        <w:rPr>
          <w:rFonts w:ascii="Arial" w:eastAsia="Times New Roman" w:hAnsi="Arial" w:cs="Arial"/>
          <w:sz w:val="24"/>
          <w:szCs w:val="24"/>
        </w:rPr>
        <w:t xml:space="preserve"> </w:t>
      </w:r>
      <w:r w:rsidR="00C8693E">
        <w:rPr>
          <w:rFonts w:ascii="Arial" w:eastAsia="Times New Roman" w:hAnsi="Arial" w:cs="Arial"/>
          <w:sz w:val="24"/>
          <w:szCs w:val="24"/>
        </w:rPr>
        <w:t xml:space="preserve">a </w:t>
      </w:r>
      <w:r w:rsidR="00B6214B" w:rsidRPr="00B6214B">
        <w:rPr>
          <w:rFonts w:ascii="Arial" w:eastAsia="Times New Roman" w:hAnsi="Arial" w:cs="Arial"/>
          <w:sz w:val="24"/>
          <w:szCs w:val="24"/>
        </w:rPr>
        <w:t>mujeres</w:t>
      </w:r>
      <w:r w:rsidR="00040D12">
        <w:rPr>
          <w:rFonts w:ascii="Arial" w:eastAsia="Times New Roman" w:hAnsi="Arial" w:cs="Arial"/>
          <w:sz w:val="24"/>
          <w:szCs w:val="24"/>
        </w:rPr>
        <w:t>.</w:t>
      </w:r>
      <w:r w:rsidR="00333460">
        <w:rPr>
          <w:rStyle w:val="Refdenotaalpie"/>
          <w:rFonts w:ascii="Arial" w:eastAsia="Times New Roman" w:hAnsi="Arial" w:cs="Arial"/>
          <w:sz w:val="24"/>
          <w:szCs w:val="24"/>
        </w:rPr>
        <w:footnoteReference w:id="21"/>
      </w:r>
      <w:r w:rsidR="00B6214B" w:rsidRPr="00B6214B">
        <w:rPr>
          <w:rFonts w:ascii="Arial" w:eastAsia="Times New Roman" w:hAnsi="Arial" w:cs="Arial"/>
          <w:sz w:val="24"/>
          <w:szCs w:val="24"/>
        </w:rPr>
        <w:t xml:space="preserve"> Comparado</w:t>
      </w:r>
      <w:r w:rsidR="00B6214B">
        <w:rPr>
          <w:rFonts w:ascii="Arial" w:eastAsia="Times New Roman" w:hAnsi="Arial" w:cs="Arial"/>
          <w:sz w:val="24"/>
          <w:szCs w:val="24"/>
        </w:rPr>
        <w:t xml:space="preserve"> </w:t>
      </w:r>
      <w:r w:rsidR="00B6214B" w:rsidRPr="00B6214B">
        <w:rPr>
          <w:rFonts w:ascii="Arial" w:eastAsia="Times New Roman" w:hAnsi="Arial" w:cs="Arial"/>
          <w:sz w:val="24"/>
          <w:szCs w:val="24"/>
        </w:rPr>
        <w:t>con 20</w:t>
      </w:r>
      <w:r w:rsidR="00EC1FF0">
        <w:rPr>
          <w:rFonts w:ascii="Arial" w:eastAsia="Times New Roman" w:hAnsi="Arial" w:cs="Arial"/>
          <w:sz w:val="24"/>
          <w:szCs w:val="24"/>
        </w:rPr>
        <w:t>20</w:t>
      </w:r>
      <w:r w:rsidR="00B6214B" w:rsidRPr="00B6214B">
        <w:rPr>
          <w:rFonts w:ascii="Arial" w:eastAsia="Times New Roman" w:hAnsi="Arial" w:cs="Arial"/>
          <w:sz w:val="24"/>
          <w:szCs w:val="24"/>
        </w:rPr>
        <w:t>, hubo un</w:t>
      </w:r>
      <w:r w:rsidR="00EC1FF0">
        <w:rPr>
          <w:rFonts w:ascii="Arial" w:eastAsia="Times New Roman" w:hAnsi="Arial" w:cs="Arial"/>
          <w:sz w:val="24"/>
          <w:szCs w:val="24"/>
        </w:rPr>
        <w:t xml:space="preserve"> aumento</w:t>
      </w:r>
      <w:r w:rsidR="00B6214B" w:rsidRPr="00B6214B">
        <w:rPr>
          <w:rFonts w:ascii="Arial" w:eastAsia="Times New Roman" w:hAnsi="Arial" w:cs="Arial"/>
          <w:sz w:val="24"/>
          <w:szCs w:val="24"/>
        </w:rPr>
        <w:t xml:space="preserve"> de </w:t>
      </w:r>
      <w:r w:rsidR="00EC1FF0">
        <w:rPr>
          <w:rFonts w:ascii="Arial" w:eastAsia="Times New Roman" w:hAnsi="Arial" w:cs="Arial"/>
          <w:sz w:val="24"/>
          <w:szCs w:val="24"/>
        </w:rPr>
        <w:t>21.3</w:t>
      </w:r>
      <w:r w:rsidR="00C8693E">
        <w:rPr>
          <w:rFonts w:ascii="Arial" w:eastAsia="Times New Roman" w:hAnsi="Arial" w:cs="Arial"/>
          <w:sz w:val="24"/>
          <w:szCs w:val="24"/>
        </w:rPr>
        <w:t xml:space="preserve"> </w:t>
      </w:r>
      <w:r w:rsidR="00040D12">
        <w:rPr>
          <w:rFonts w:ascii="Arial" w:eastAsia="Times New Roman" w:hAnsi="Arial" w:cs="Arial"/>
          <w:sz w:val="24"/>
          <w:szCs w:val="24"/>
        </w:rPr>
        <w:t>por ciento</w:t>
      </w:r>
      <w:r w:rsidR="00B6214B" w:rsidRPr="00B6214B">
        <w:rPr>
          <w:rFonts w:ascii="Arial" w:eastAsia="Times New Roman" w:hAnsi="Arial" w:cs="Arial"/>
          <w:sz w:val="24"/>
          <w:szCs w:val="24"/>
        </w:rPr>
        <w:t>.</w:t>
      </w:r>
      <w:r w:rsidR="00EC1FF0">
        <w:rPr>
          <w:rFonts w:ascii="Arial" w:eastAsia="Times New Roman" w:hAnsi="Arial" w:cs="Arial"/>
          <w:sz w:val="24"/>
          <w:szCs w:val="24"/>
        </w:rPr>
        <w:t xml:space="preserve"> Del total de</w:t>
      </w:r>
      <w:r w:rsidR="00EC1FF0" w:rsidRPr="00EC1FF0">
        <w:rPr>
          <w:rFonts w:ascii="Arial" w:eastAsia="Times New Roman" w:hAnsi="Arial" w:cs="Arial"/>
          <w:sz w:val="24"/>
          <w:szCs w:val="24"/>
        </w:rPr>
        <w:t xml:space="preserve"> </w:t>
      </w:r>
      <w:r w:rsidR="00EC1FF0" w:rsidRPr="00B6214B">
        <w:rPr>
          <w:rFonts w:ascii="Arial" w:eastAsia="Times New Roman" w:hAnsi="Arial" w:cs="Arial"/>
          <w:sz w:val="24"/>
          <w:szCs w:val="24"/>
        </w:rPr>
        <w:t>procesados y/</w:t>
      </w:r>
      <w:r w:rsidR="00040D12">
        <w:rPr>
          <w:rFonts w:ascii="Arial" w:eastAsia="Times New Roman" w:hAnsi="Arial" w:cs="Arial"/>
          <w:sz w:val="24"/>
          <w:szCs w:val="24"/>
        </w:rPr>
        <w:t xml:space="preserve"> </w:t>
      </w:r>
      <w:r w:rsidR="00EC1FF0" w:rsidRPr="00B6214B">
        <w:rPr>
          <w:rFonts w:ascii="Arial" w:eastAsia="Times New Roman" w:hAnsi="Arial" w:cs="Arial"/>
          <w:sz w:val="24"/>
          <w:szCs w:val="24"/>
        </w:rPr>
        <w:t>o imputados</w:t>
      </w:r>
      <w:r w:rsidR="00EC1FF0">
        <w:rPr>
          <w:rFonts w:ascii="Arial" w:eastAsia="Times New Roman" w:hAnsi="Arial" w:cs="Arial"/>
          <w:sz w:val="24"/>
          <w:szCs w:val="24"/>
        </w:rPr>
        <w:t>,</w:t>
      </w:r>
      <w:r w:rsidR="00C8693E">
        <w:rPr>
          <w:rFonts w:ascii="Arial" w:eastAsia="Times New Roman" w:hAnsi="Arial" w:cs="Arial"/>
          <w:sz w:val="24"/>
          <w:szCs w:val="24"/>
        </w:rPr>
        <w:t xml:space="preserve"> </w:t>
      </w:r>
      <w:r w:rsidR="00EC1FF0">
        <w:rPr>
          <w:rFonts w:ascii="Arial" w:eastAsia="Times New Roman" w:hAnsi="Arial" w:cs="Arial"/>
          <w:sz w:val="24"/>
          <w:szCs w:val="24"/>
        </w:rPr>
        <w:t>4.6</w:t>
      </w:r>
      <w:r w:rsidR="00C8693E">
        <w:rPr>
          <w:rFonts w:ascii="Arial" w:eastAsia="Times New Roman" w:hAnsi="Arial" w:cs="Arial"/>
          <w:sz w:val="24"/>
          <w:szCs w:val="24"/>
        </w:rPr>
        <w:t xml:space="preserve"> </w:t>
      </w:r>
      <w:r w:rsidR="00EC1FF0">
        <w:rPr>
          <w:rFonts w:ascii="Arial" w:eastAsia="Times New Roman" w:hAnsi="Arial" w:cs="Arial"/>
          <w:sz w:val="24"/>
          <w:szCs w:val="24"/>
        </w:rPr>
        <w:t>%</w:t>
      </w:r>
      <w:r w:rsidR="00726D69">
        <w:rPr>
          <w:rFonts w:ascii="Arial" w:eastAsia="Times New Roman" w:hAnsi="Arial" w:cs="Arial"/>
          <w:sz w:val="24"/>
          <w:szCs w:val="24"/>
        </w:rPr>
        <w:t xml:space="preserve"> (</w:t>
      </w:r>
      <w:r w:rsidR="00726D69" w:rsidRPr="00726D69">
        <w:rPr>
          <w:rFonts w:ascii="Arial" w:eastAsia="Times New Roman" w:hAnsi="Arial" w:cs="Arial"/>
          <w:sz w:val="24"/>
          <w:szCs w:val="24"/>
        </w:rPr>
        <w:t>1</w:t>
      </w:r>
      <w:r w:rsidR="00C8693E">
        <w:rPr>
          <w:rFonts w:ascii="Arial" w:eastAsia="Times New Roman" w:hAnsi="Arial" w:cs="Arial"/>
          <w:sz w:val="24"/>
          <w:szCs w:val="24"/>
        </w:rPr>
        <w:t xml:space="preserve"> </w:t>
      </w:r>
      <w:r w:rsidR="00726D69" w:rsidRPr="00726D69">
        <w:rPr>
          <w:rFonts w:ascii="Arial" w:eastAsia="Times New Roman" w:hAnsi="Arial" w:cs="Arial"/>
          <w:sz w:val="24"/>
          <w:szCs w:val="24"/>
        </w:rPr>
        <w:t>156)</w:t>
      </w:r>
      <w:r w:rsidR="00EC1FF0">
        <w:rPr>
          <w:rFonts w:ascii="Arial" w:eastAsia="Times New Roman" w:hAnsi="Arial" w:cs="Arial"/>
          <w:sz w:val="24"/>
          <w:szCs w:val="24"/>
        </w:rPr>
        <w:t xml:space="preserve"> correspondió a los </w:t>
      </w:r>
      <w:r w:rsidR="00A73859">
        <w:rPr>
          <w:rFonts w:ascii="Arial" w:eastAsia="Times New Roman" w:hAnsi="Arial" w:cs="Arial"/>
          <w:sz w:val="24"/>
          <w:szCs w:val="24"/>
        </w:rPr>
        <w:t>JD</w:t>
      </w:r>
      <w:r w:rsidR="00EC1FF0">
        <w:rPr>
          <w:rFonts w:ascii="Arial" w:eastAsia="Times New Roman" w:hAnsi="Arial" w:cs="Arial"/>
          <w:sz w:val="24"/>
          <w:szCs w:val="24"/>
        </w:rPr>
        <w:t xml:space="preserve"> y 95.4</w:t>
      </w:r>
      <w:r w:rsidR="00C8693E">
        <w:rPr>
          <w:rFonts w:ascii="Arial" w:eastAsia="Times New Roman" w:hAnsi="Arial" w:cs="Arial"/>
          <w:sz w:val="24"/>
          <w:szCs w:val="24"/>
        </w:rPr>
        <w:t xml:space="preserve"> </w:t>
      </w:r>
      <w:r w:rsidR="00EC1FF0">
        <w:rPr>
          <w:rFonts w:ascii="Arial" w:eastAsia="Times New Roman" w:hAnsi="Arial" w:cs="Arial"/>
          <w:sz w:val="24"/>
          <w:szCs w:val="24"/>
        </w:rPr>
        <w:t>%</w:t>
      </w:r>
      <w:r w:rsidR="00726D69">
        <w:rPr>
          <w:rFonts w:ascii="Arial" w:eastAsia="Times New Roman" w:hAnsi="Arial" w:cs="Arial"/>
          <w:sz w:val="24"/>
          <w:szCs w:val="24"/>
        </w:rPr>
        <w:t xml:space="preserve"> (</w:t>
      </w:r>
      <w:r w:rsidR="00726D69" w:rsidRPr="00726D69">
        <w:rPr>
          <w:rFonts w:ascii="Arial" w:eastAsia="Times New Roman" w:hAnsi="Arial" w:cs="Arial"/>
          <w:sz w:val="24"/>
          <w:szCs w:val="24"/>
        </w:rPr>
        <w:t>24</w:t>
      </w:r>
      <w:r w:rsidR="00C8693E">
        <w:rPr>
          <w:rFonts w:ascii="Arial" w:eastAsia="Times New Roman" w:hAnsi="Arial" w:cs="Arial"/>
          <w:sz w:val="24"/>
          <w:szCs w:val="24"/>
        </w:rPr>
        <w:t xml:space="preserve"> </w:t>
      </w:r>
      <w:r w:rsidR="00726D69" w:rsidRPr="00726D69">
        <w:rPr>
          <w:rFonts w:ascii="Arial" w:eastAsia="Times New Roman" w:hAnsi="Arial" w:cs="Arial"/>
          <w:sz w:val="24"/>
          <w:szCs w:val="24"/>
        </w:rPr>
        <w:t>240</w:t>
      </w:r>
      <w:r w:rsidR="00726D69">
        <w:rPr>
          <w:rFonts w:ascii="Arial" w:eastAsia="Times New Roman" w:hAnsi="Arial" w:cs="Arial"/>
          <w:sz w:val="24"/>
          <w:szCs w:val="24"/>
        </w:rPr>
        <w:t xml:space="preserve">) se reportó por los jueces de control o garantías. </w:t>
      </w:r>
    </w:p>
    <w:p w14:paraId="1BA4B6A6" w14:textId="18FFB6BA" w:rsidR="00B6214B" w:rsidRDefault="00B6214B" w:rsidP="00B6214B">
      <w:pPr>
        <w:spacing w:after="0" w:line="240" w:lineRule="auto"/>
        <w:jc w:val="both"/>
        <w:rPr>
          <w:rFonts w:ascii="Arial" w:eastAsia="Times New Roman" w:hAnsi="Arial" w:cs="Arial"/>
          <w:sz w:val="24"/>
          <w:szCs w:val="24"/>
        </w:rPr>
      </w:pPr>
    </w:p>
    <w:p w14:paraId="373717B1" w14:textId="1BF26D2C" w:rsidR="00B6214B" w:rsidRPr="00DE7C9F" w:rsidRDefault="00B6214B" w:rsidP="00B6214B">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647895">
        <w:rPr>
          <w:bCs/>
          <w:iCs/>
          <w:color w:val="000000" w:themeColor="text1"/>
          <w:sz w:val="20"/>
          <w:szCs w:val="20"/>
        </w:rPr>
        <w:t>25</w:t>
      </w:r>
    </w:p>
    <w:p w14:paraId="2582A373" w14:textId="224F2CCC" w:rsidR="00D628BA" w:rsidRDefault="00A8265F" w:rsidP="00B6214B">
      <w:pPr>
        <w:spacing w:after="0" w:line="240" w:lineRule="auto"/>
        <w:jc w:val="center"/>
        <w:rPr>
          <w:rFonts w:ascii="Arial Negrita" w:hAnsi="Arial Negrita"/>
          <w:b/>
          <w:bCs/>
          <w:iCs/>
          <w:smallCaps/>
          <w:color w:val="000000" w:themeColor="text1"/>
        </w:rPr>
      </w:pPr>
      <w:r>
        <w:rPr>
          <w:rFonts w:ascii="Arial Negrita" w:hAnsi="Arial Negrita"/>
          <w:b/>
          <w:bCs/>
          <w:iCs/>
          <w:smallCaps/>
          <w:color w:val="000000" w:themeColor="text1"/>
        </w:rPr>
        <w:t>P</w:t>
      </w:r>
      <w:r w:rsidR="00566C70" w:rsidRPr="00566C70">
        <w:rPr>
          <w:rFonts w:ascii="Arial Negrita" w:hAnsi="Arial Negrita"/>
          <w:b/>
          <w:bCs/>
          <w:iCs/>
          <w:smallCaps/>
          <w:color w:val="000000" w:themeColor="text1"/>
        </w:rPr>
        <w:t>rocesados</w:t>
      </w:r>
      <w:r w:rsidR="00726D69">
        <w:rPr>
          <w:rFonts w:ascii="Arial Negrita" w:hAnsi="Arial Negrita"/>
          <w:b/>
          <w:bCs/>
          <w:iCs/>
          <w:smallCaps/>
          <w:color w:val="000000" w:themeColor="text1"/>
        </w:rPr>
        <w:t xml:space="preserve"> y/</w:t>
      </w:r>
      <w:r w:rsidR="00040D12">
        <w:rPr>
          <w:rFonts w:ascii="Arial Negrita" w:hAnsi="Arial Negrita"/>
          <w:b/>
          <w:bCs/>
          <w:iCs/>
          <w:smallCaps/>
          <w:color w:val="000000" w:themeColor="text1"/>
        </w:rPr>
        <w:t xml:space="preserve"> </w:t>
      </w:r>
      <w:r w:rsidR="00726D69">
        <w:rPr>
          <w:rFonts w:ascii="Arial Negrita" w:hAnsi="Arial Negrita"/>
          <w:b/>
          <w:bCs/>
          <w:iCs/>
          <w:smallCaps/>
          <w:color w:val="000000" w:themeColor="text1"/>
        </w:rPr>
        <w:t>o</w:t>
      </w:r>
      <w:r>
        <w:rPr>
          <w:rFonts w:ascii="Arial Negrita" w:hAnsi="Arial Negrita"/>
          <w:b/>
          <w:bCs/>
          <w:iCs/>
          <w:smallCaps/>
          <w:color w:val="000000" w:themeColor="text1"/>
        </w:rPr>
        <w:t xml:space="preserve"> indiciados y/</w:t>
      </w:r>
      <w:r w:rsidR="00040D12">
        <w:rPr>
          <w:rFonts w:ascii="Arial Negrita" w:hAnsi="Arial Negrita"/>
          <w:b/>
          <w:bCs/>
          <w:iCs/>
          <w:smallCaps/>
          <w:color w:val="000000" w:themeColor="text1"/>
        </w:rPr>
        <w:t xml:space="preserve"> </w:t>
      </w:r>
      <w:r>
        <w:rPr>
          <w:rFonts w:ascii="Arial Negrita" w:hAnsi="Arial Negrita"/>
          <w:b/>
          <w:bCs/>
          <w:iCs/>
          <w:smallCaps/>
          <w:color w:val="000000" w:themeColor="text1"/>
        </w:rPr>
        <w:t>o</w:t>
      </w:r>
      <w:r w:rsidR="00726D69">
        <w:rPr>
          <w:rFonts w:ascii="Arial Negrita" w:hAnsi="Arial Negrita"/>
          <w:b/>
          <w:bCs/>
          <w:iCs/>
          <w:smallCaps/>
          <w:color w:val="000000" w:themeColor="text1"/>
        </w:rPr>
        <w:t xml:space="preserve"> imputados</w:t>
      </w:r>
      <w:r w:rsidR="00726D69" w:rsidRPr="00726D69">
        <w:rPr>
          <w:rFonts w:ascii="Arial Negrita" w:hAnsi="Arial Negrita"/>
          <w:b/>
          <w:bCs/>
          <w:iCs/>
          <w:smallCaps/>
          <w:color w:val="000000" w:themeColor="text1"/>
        </w:rPr>
        <w:t xml:space="preserve"> </w:t>
      </w:r>
      <w:r w:rsidR="00566C70" w:rsidRPr="00566C70">
        <w:rPr>
          <w:rFonts w:ascii="Arial Negrita" w:hAnsi="Arial Negrita"/>
          <w:b/>
          <w:bCs/>
          <w:iCs/>
          <w:smallCaps/>
          <w:color w:val="000000" w:themeColor="text1"/>
        </w:rPr>
        <w:t xml:space="preserve">registrados en las causas penales ingresadas, </w:t>
      </w:r>
      <w:r w:rsidR="00040D12">
        <w:rPr>
          <w:rFonts w:ascii="Arial Negrita" w:hAnsi="Arial Negrita"/>
          <w:b/>
          <w:bCs/>
          <w:iCs/>
          <w:smallCaps/>
          <w:color w:val="000000" w:themeColor="text1"/>
        </w:rPr>
        <w:t xml:space="preserve">distribución por </w:t>
      </w:r>
      <w:r w:rsidR="00566C70" w:rsidRPr="00566C70">
        <w:rPr>
          <w:rFonts w:ascii="Arial Negrita" w:hAnsi="Arial Negrita"/>
          <w:b/>
          <w:bCs/>
          <w:iCs/>
          <w:smallCaps/>
          <w:color w:val="000000" w:themeColor="text1"/>
        </w:rPr>
        <w:t>sexo</w:t>
      </w:r>
    </w:p>
    <w:p w14:paraId="2511CECB" w14:textId="4C71C776" w:rsidR="00B6214B" w:rsidRDefault="00D70BE1" w:rsidP="00B6214B">
      <w:pPr>
        <w:spacing w:after="0" w:line="240" w:lineRule="auto"/>
        <w:jc w:val="both"/>
        <w:rPr>
          <w:rFonts w:ascii="Arial" w:eastAsia="Times New Roman" w:hAnsi="Arial" w:cs="Arial"/>
          <w:sz w:val="24"/>
          <w:szCs w:val="24"/>
        </w:rPr>
      </w:pPr>
      <w:r>
        <w:rPr>
          <w:noProof/>
        </w:rPr>
        <w:drawing>
          <wp:inline distT="0" distB="0" distL="0" distR="0" wp14:anchorId="2782BBA0" wp14:editId="6208E93E">
            <wp:extent cx="6501740" cy="1971304"/>
            <wp:effectExtent l="0" t="0" r="0" b="0"/>
            <wp:docPr id="26" name="Gráfico 26">
              <a:extLst xmlns:a="http://schemas.openxmlformats.org/drawingml/2006/main">
                <a:ext uri="{FF2B5EF4-FFF2-40B4-BE49-F238E27FC236}">
                  <a16:creationId xmlns:a16="http://schemas.microsoft.com/office/drawing/2014/main" id="{DFDA6DD8-4EC6-1DE2-4949-88EBA05240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AE26728" w14:textId="5276512B" w:rsidR="00B6214B" w:rsidRDefault="00566C70" w:rsidP="00B6214B">
      <w:pPr>
        <w:spacing w:after="0" w:line="240" w:lineRule="auto"/>
        <w:jc w:val="both"/>
        <w:rPr>
          <w:rFonts w:ascii="Arial" w:eastAsia="Times New Roman" w:hAnsi="Arial" w:cs="Arial"/>
          <w:sz w:val="18"/>
          <w:szCs w:val="18"/>
        </w:rPr>
      </w:pPr>
      <w:r w:rsidRPr="00566C70">
        <w:rPr>
          <w:rFonts w:ascii="Arial" w:hAnsi="Arial" w:cs="Arial"/>
          <w:sz w:val="16"/>
          <w:szCs w:val="16"/>
        </w:rPr>
        <w:t xml:space="preserve">Nota: </w:t>
      </w:r>
      <w:r w:rsidR="00040D12">
        <w:rPr>
          <w:rFonts w:ascii="Arial" w:hAnsi="Arial" w:cs="Arial"/>
          <w:sz w:val="16"/>
          <w:szCs w:val="16"/>
        </w:rPr>
        <w:t>I</w:t>
      </w:r>
      <w:r w:rsidRPr="00566C70">
        <w:rPr>
          <w:rFonts w:ascii="Arial" w:hAnsi="Arial" w:cs="Arial"/>
          <w:sz w:val="16"/>
          <w:szCs w:val="16"/>
        </w:rPr>
        <w:t>ncluye información tanto de los juzgados de distrito (Sistema Tradicional) como de los jueces de control o garantías (Sistema Penal Acusatorio)</w:t>
      </w:r>
      <w:r w:rsidR="00726D69">
        <w:rPr>
          <w:rFonts w:ascii="Arial" w:eastAsia="Times New Roman" w:hAnsi="Arial" w:cs="Arial"/>
          <w:sz w:val="18"/>
          <w:szCs w:val="18"/>
        </w:rPr>
        <w:t>.</w:t>
      </w:r>
    </w:p>
    <w:p w14:paraId="76F73B52" w14:textId="3E2D7B4B" w:rsidR="00726D69" w:rsidRPr="00BA306B" w:rsidRDefault="00726D69" w:rsidP="00BA306B">
      <w:pPr>
        <w:pStyle w:val="Prrafodelista"/>
        <w:numPr>
          <w:ilvl w:val="0"/>
          <w:numId w:val="31"/>
        </w:numPr>
        <w:rPr>
          <w:rFonts w:ascii="Arial" w:hAnsi="Arial" w:cs="Arial"/>
          <w:bCs/>
          <w:smallCaps/>
          <w:sz w:val="24"/>
          <w:szCs w:val="24"/>
        </w:rPr>
      </w:pPr>
      <w:r w:rsidRPr="00BA306B">
        <w:rPr>
          <w:rFonts w:ascii="Arial" w:hAnsi="Arial" w:cs="Arial"/>
          <w:bCs/>
          <w:smallCaps/>
          <w:sz w:val="24"/>
          <w:szCs w:val="24"/>
        </w:rPr>
        <w:lastRenderedPageBreak/>
        <w:t>Vinculaciones a proceso</w:t>
      </w:r>
    </w:p>
    <w:p w14:paraId="54A70078" w14:textId="77777777" w:rsidR="00726D69" w:rsidRPr="00726D69" w:rsidRDefault="00726D69" w:rsidP="00B6214B">
      <w:pPr>
        <w:spacing w:after="0" w:line="240" w:lineRule="auto"/>
        <w:jc w:val="both"/>
        <w:rPr>
          <w:rFonts w:ascii="Arial" w:eastAsia="Times New Roman" w:hAnsi="Arial" w:cs="Arial"/>
          <w:sz w:val="18"/>
          <w:szCs w:val="18"/>
        </w:rPr>
      </w:pPr>
    </w:p>
    <w:p w14:paraId="2F5E1257" w14:textId="0A0B316A" w:rsidR="00726D69" w:rsidRDefault="00024609" w:rsidP="00726D69">
      <w:pPr>
        <w:spacing w:after="0" w:line="240" w:lineRule="auto"/>
        <w:jc w:val="both"/>
        <w:rPr>
          <w:rStyle w:val="Hipervnculo"/>
          <w:rFonts w:ascii="Arial" w:hAnsi="Arial" w:cs="Arial"/>
          <w:color w:val="auto"/>
          <w:spacing w:val="-2"/>
          <w:sz w:val="24"/>
          <w:szCs w:val="24"/>
          <w:u w:val="none"/>
        </w:rPr>
      </w:pPr>
      <w:r>
        <w:rPr>
          <w:rStyle w:val="Hipervnculo"/>
          <w:rFonts w:ascii="Arial" w:hAnsi="Arial" w:cs="Arial"/>
          <w:color w:val="auto"/>
          <w:spacing w:val="-2"/>
          <w:sz w:val="24"/>
          <w:szCs w:val="24"/>
          <w:u w:val="none"/>
        </w:rPr>
        <w:t>D</w:t>
      </w:r>
      <w:r w:rsidR="008F514B">
        <w:rPr>
          <w:rStyle w:val="Hipervnculo"/>
          <w:rFonts w:ascii="Arial" w:hAnsi="Arial" w:cs="Arial"/>
          <w:color w:val="auto"/>
          <w:spacing w:val="-2"/>
          <w:sz w:val="24"/>
          <w:szCs w:val="24"/>
          <w:u w:val="none"/>
        </w:rPr>
        <w:t xml:space="preserve">urante 2021, </w:t>
      </w:r>
      <w:r w:rsidR="00A8265F">
        <w:rPr>
          <w:rStyle w:val="Hipervnculo"/>
          <w:rFonts w:ascii="Arial" w:hAnsi="Arial" w:cs="Arial"/>
          <w:color w:val="auto"/>
          <w:spacing w:val="-2"/>
          <w:sz w:val="24"/>
          <w:szCs w:val="24"/>
          <w:u w:val="none"/>
        </w:rPr>
        <w:t>se registraron</w:t>
      </w:r>
      <w:r w:rsidR="00726D69" w:rsidRPr="00726D69">
        <w:rPr>
          <w:rStyle w:val="Hipervnculo"/>
          <w:rFonts w:ascii="Arial" w:hAnsi="Arial" w:cs="Arial"/>
          <w:color w:val="auto"/>
          <w:spacing w:val="-2"/>
          <w:sz w:val="24"/>
          <w:szCs w:val="24"/>
          <w:u w:val="none"/>
        </w:rPr>
        <w:t xml:space="preserve"> </w:t>
      </w:r>
      <w:r w:rsidR="008012D3" w:rsidRPr="008012D3">
        <w:rPr>
          <w:rStyle w:val="Hipervnculo"/>
          <w:rFonts w:ascii="Arial" w:hAnsi="Arial" w:cs="Arial"/>
          <w:color w:val="auto"/>
          <w:spacing w:val="-2"/>
          <w:sz w:val="24"/>
          <w:szCs w:val="24"/>
          <w:u w:val="none"/>
        </w:rPr>
        <w:t>23</w:t>
      </w:r>
      <w:r w:rsidR="002226E2">
        <w:rPr>
          <w:rStyle w:val="Hipervnculo"/>
          <w:rFonts w:ascii="Arial" w:hAnsi="Arial" w:cs="Arial"/>
          <w:color w:val="auto"/>
          <w:spacing w:val="-2"/>
          <w:sz w:val="24"/>
          <w:szCs w:val="24"/>
          <w:u w:val="none"/>
        </w:rPr>
        <w:t xml:space="preserve"> </w:t>
      </w:r>
      <w:r w:rsidR="008012D3" w:rsidRPr="008012D3">
        <w:rPr>
          <w:rStyle w:val="Hipervnculo"/>
          <w:rFonts w:ascii="Arial" w:hAnsi="Arial" w:cs="Arial"/>
          <w:color w:val="auto"/>
          <w:spacing w:val="-2"/>
          <w:sz w:val="24"/>
          <w:szCs w:val="24"/>
          <w:u w:val="none"/>
        </w:rPr>
        <w:t>740</w:t>
      </w:r>
      <w:r w:rsidR="008012D3">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procesados y/</w:t>
      </w:r>
      <w:r w:rsidR="00040D12">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 xml:space="preserve">o imputados </w:t>
      </w:r>
      <w:r w:rsidR="00040D12">
        <w:rPr>
          <w:rStyle w:val="Hipervnculo"/>
          <w:rFonts w:ascii="Arial" w:hAnsi="Arial" w:cs="Arial"/>
          <w:color w:val="auto"/>
          <w:spacing w:val="-2"/>
          <w:sz w:val="24"/>
          <w:szCs w:val="24"/>
          <w:u w:val="none"/>
        </w:rPr>
        <w:t xml:space="preserve">para </w:t>
      </w:r>
      <w:r w:rsidR="00726D69" w:rsidRPr="00726D69">
        <w:rPr>
          <w:rStyle w:val="Hipervnculo"/>
          <w:rFonts w:ascii="Arial" w:hAnsi="Arial" w:cs="Arial"/>
          <w:color w:val="auto"/>
          <w:spacing w:val="-2"/>
          <w:sz w:val="24"/>
          <w:szCs w:val="24"/>
          <w:u w:val="none"/>
        </w:rPr>
        <w:t>quienes se determinó una resolución sobre la vinculación a proceso por parte de los jueces de control o</w:t>
      </w:r>
      <w:r w:rsidR="00726D69">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 xml:space="preserve">garantías. De ellos, </w:t>
      </w:r>
      <w:r w:rsidR="008012D3">
        <w:rPr>
          <w:rStyle w:val="Hipervnculo"/>
          <w:rFonts w:ascii="Arial" w:hAnsi="Arial" w:cs="Arial"/>
          <w:color w:val="auto"/>
          <w:spacing w:val="-2"/>
          <w:sz w:val="24"/>
          <w:szCs w:val="24"/>
          <w:u w:val="none"/>
        </w:rPr>
        <w:t>38.5</w:t>
      </w:r>
      <w:r w:rsidR="002226E2">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 xml:space="preserve">% fue vinculado a proceso y </w:t>
      </w:r>
      <w:r w:rsidR="008012D3">
        <w:rPr>
          <w:rStyle w:val="Hipervnculo"/>
          <w:rFonts w:ascii="Arial" w:hAnsi="Arial" w:cs="Arial"/>
          <w:color w:val="auto"/>
          <w:spacing w:val="-2"/>
          <w:sz w:val="24"/>
          <w:szCs w:val="24"/>
          <w:u w:val="none"/>
        </w:rPr>
        <w:t>5.6</w:t>
      </w:r>
      <w:r w:rsidR="002226E2">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 no fue vinculado</w:t>
      </w:r>
      <w:r w:rsidR="00040D12">
        <w:rPr>
          <w:rStyle w:val="Hipervnculo"/>
          <w:rFonts w:ascii="Arial" w:hAnsi="Arial" w:cs="Arial"/>
          <w:color w:val="auto"/>
          <w:spacing w:val="-2"/>
          <w:sz w:val="24"/>
          <w:szCs w:val="24"/>
          <w:u w:val="none"/>
        </w:rPr>
        <w:t>. P</w:t>
      </w:r>
      <w:r w:rsidR="00726D69" w:rsidRPr="00726D69">
        <w:rPr>
          <w:rStyle w:val="Hipervnculo"/>
          <w:rFonts w:ascii="Arial" w:hAnsi="Arial" w:cs="Arial"/>
          <w:color w:val="auto"/>
          <w:spacing w:val="-2"/>
          <w:sz w:val="24"/>
          <w:szCs w:val="24"/>
          <w:u w:val="none"/>
        </w:rPr>
        <w:t>ara</w:t>
      </w:r>
      <w:r w:rsidR="00726D69">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el restante 5</w:t>
      </w:r>
      <w:r w:rsidR="008012D3">
        <w:rPr>
          <w:rStyle w:val="Hipervnculo"/>
          <w:rFonts w:ascii="Arial" w:hAnsi="Arial" w:cs="Arial"/>
          <w:color w:val="auto"/>
          <w:spacing w:val="-2"/>
          <w:sz w:val="24"/>
          <w:szCs w:val="24"/>
          <w:u w:val="none"/>
        </w:rPr>
        <w:t>5.9</w:t>
      </w:r>
      <w:r w:rsidR="002226E2">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 xml:space="preserve">% no se identificó la existencia o no de vinculación. </w:t>
      </w:r>
      <w:r w:rsidR="008012D3">
        <w:rPr>
          <w:rStyle w:val="Hipervnculo"/>
          <w:rFonts w:ascii="Arial" w:hAnsi="Arial" w:cs="Arial"/>
          <w:color w:val="auto"/>
          <w:spacing w:val="-2"/>
          <w:sz w:val="24"/>
          <w:szCs w:val="24"/>
          <w:u w:val="none"/>
        </w:rPr>
        <w:t xml:space="preserve">En comparación con </w:t>
      </w:r>
      <w:r w:rsidR="009E62BC">
        <w:rPr>
          <w:rStyle w:val="Hipervnculo"/>
          <w:rFonts w:ascii="Arial" w:hAnsi="Arial" w:cs="Arial"/>
          <w:color w:val="auto"/>
          <w:spacing w:val="-2"/>
          <w:sz w:val="24"/>
          <w:szCs w:val="24"/>
          <w:u w:val="none"/>
        </w:rPr>
        <w:t>los 8 333</w:t>
      </w:r>
      <w:r w:rsidR="00726D69" w:rsidRPr="00726D69">
        <w:rPr>
          <w:rStyle w:val="Hipervnculo"/>
          <w:rFonts w:ascii="Arial" w:hAnsi="Arial" w:cs="Arial"/>
          <w:color w:val="auto"/>
          <w:spacing w:val="-2"/>
          <w:sz w:val="24"/>
          <w:szCs w:val="24"/>
          <w:u w:val="none"/>
        </w:rPr>
        <w:t xml:space="preserve"> procesados y/</w:t>
      </w:r>
      <w:r w:rsidR="00040D12">
        <w:rPr>
          <w:rStyle w:val="Hipervnculo"/>
          <w:rFonts w:ascii="Arial" w:hAnsi="Arial" w:cs="Arial"/>
          <w:color w:val="auto"/>
          <w:spacing w:val="-2"/>
          <w:sz w:val="24"/>
          <w:szCs w:val="24"/>
          <w:u w:val="none"/>
        </w:rPr>
        <w:t xml:space="preserve"> </w:t>
      </w:r>
      <w:r w:rsidR="00726D69" w:rsidRPr="00726D69">
        <w:rPr>
          <w:rStyle w:val="Hipervnculo"/>
          <w:rFonts w:ascii="Arial" w:hAnsi="Arial" w:cs="Arial"/>
          <w:color w:val="auto"/>
          <w:spacing w:val="-2"/>
          <w:sz w:val="24"/>
          <w:szCs w:val="24"/>
          <w:u w:val="none"/>
        </w:rPr>
        <w:t xml:space="preserve">o imputados vinculados a proceso </w:t>
      </w:r>
      <w:r w:rsidR="000D5ED7">
        <w:rPr>
          <w:rStyle w:val="Hipervnculo"/>
          <w:rFonts w:ascii="Arial" w:hAnsi="Arial" w:cs="Arial"/>
          <w:color w:val="auto"/>
          <w:spacing w:val="-2"/>
          <w:sz w:val="24"/>
          <w:szCs w:val="24"/>
          <w:u w:val="none"/>
        </w:rPr>
        <w:t xml:space="preserve">en 2020, </w:t>
      </w:r>
      <w:r w:rsidR="00994C30">
        <w:rPr>
          <w:rStyle w:val="Hipervnculo"/>
          <w:rFonts w:ascii="Arial" w:hAnsi="Arial" w:cs="Arial"/>
          <w:color w:val="auto"/>
          <w:spacing w:val="-2"/>
          <w:sz w:val="24"/>
          <w:szCs w:val="24"/>
          <w:u w:val="none"/>
        </w:rPr>
        <w:t xml:space="preserve">hubo un </w:t>
      </w:r>
      <w:r w:rsidR="00726D69" w:rsidRPr="00726D69">
        <w:rPr>
          <w:rStyle w:val="Hipervnculo"/>
          <w:rFonts w:ascii="Arial" w:hAnsi="Arial" w:cs="Arial"/>
          <w:color w:val="auto"/>
          <w:spacing w:val="-2"/>
          <w:sz w:val="24"/>
          <w:szCs w:val="24"/>
          <w:u w:val="none"/>
        </w:rPr>
        <w:t>aument</w:t>
      </w:r>
      <w:r w:rsidR="000D5ED7">
        <w:rPr>
          <w:rStyle w:val="Hipervnculo"/>
          <w:rFonts w:ascii="Arial" w:hAnsi="Arial" w:cs="Arial"/>
          <w:color w:val="auto"/>
          <w:spacing w:val="-2"/>
          <w:sz w:val="24"/>
          <w:szCs w:val="24"/>
          <w:u w:val="none"/>
        </w:rPr>
        <w:t xml:space="preserve">o de </w:t>
      </w:r>
      <w:r w:rsidR="002177F7">
        <w:rPr>
          <w:rStyle w:val="Hipervnculo"/>
          <w:rFonts w:ascii="Arial" w:hAnsi="Arial" w:cs="Arial"/>
          <w:color w:val="auto"/>
          <w:spacing w:val="-2"/>
          <w:sz w:val="24"/>
          <w:szCs w:val="24"/>
          <w:u w:val="none"/>
        </w:rPr>
        <w:t>9.6</w:t>
      </w:r>
      <w:r w:rsidR="002226E2">
        <w:rPr>
          <w:rStyle w:val="Hipervnculo"/>
          <w:rFonts w:ascii="Arial" w:hAnsi="Arial" w:cs="Arial"/>
          <w:color w:val="auto"/>
          <w:spacing w:val="-2"/>
          <w:sz w:val="24"/>
          <w:szCs w:val="24"/>
          <w:u w:val="none"/>
        </w:rPr>
        <w:t xml:space="preserve"> </w:t>
      </w:r>
      <w:r w:rsidR="008012D3">
        <w:rPr>
          <w:rStyle w:val="Hipervnculo"/>
          <w:rFonts w:ascii="Arial" w:hAnsi="Arial" w:cs="Arial"/>
          <w:color w:val="auto"/>
          <w:spacing w:val="-2"/>
          <w:sz w:val="24"/>
          <w:szCs w:val="24"/>
          <w:u w:val="none"/>
        </w:rPr>
        <w:t>% en 2021</w:t>
      </w:r>
      <w:r w:rsidR="00726D69" w:rsidRPr="00726D69">
        <w:rPr>
          <w:rStyle w:val="Hipervnculo"/>
          <w:rFonts w:ascii="Arial" w:hAnsi="Arial" w:cs="Arial"/>
          <w:color w:val="auto"/>
          <w:spacing w:val="-2"/>
          <w:sz w:val="24"/>
          <w:szCs w:val="24"/>
          <w:u w:val="none"/>
        </w:rPr>
        <w:t>.</w:t>
      </w:r>
    </w:p>
    <w:p w14:paraId="5B1EF76D" w14:textId="77777777" w:rsidR="00024609" w:rsidRDefault="00024609" w:rsidP="00726D69">
      <w:pPr>
        <w:spacing w:after="0" w:line="240" w:lineRule="auto"/>
        <w:jc w:val="both"/>
        <w:rPr>
          <w:rStyle w:val="Hipervnculo"/>
          <w:rFonts w:ascii="Arial" w:hAnsi="Arial" w:cs="Arial"/>
          <w:color w:val="auto"/>
          <w:spacing w:val="-2"/>
          <w:sz w:val="24"/>
          <w:szCs w:val="24"/>
          <w:u w:val="none"/>
        </w:rPr>
      </w:pPr>
    </w:p>
    <w:p w14:paraId="531D1953" w14:textId="1F917969" w:rsidR="00024609" w:rsidRPr="00DE7C9F" w:rsidRDefault="00024609" w:rsidP="00024609">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647895">
        <w:rPr>
          <w:bCs/>
          <w:iCs/>
          <w:color w:val="000000" w:themeColor="text1"/>
          <w:sz w:val="20"/>
          <w:szCs w:val="20"/>
        </w:rPr>
        <w:t>26</w:t>
      </w:r>
    </w:p>
    <w:p w14:paraId="46ADEB41" w14:textId="3F99AC4A" w:rsidR="00024609" w:rsidRDefault="00456892" w:rsidP="00456892">
      <w:pPr>
        <w:spacing w:after="0" w:line="240" w:lineRule="auto"/>
        <w:jc w:val="center"/>
        <w:rPr>
          <w:rFonts w:ascii="Arial Negrita" w:hAnsi="Arial Negrita"/>
          <w:b/>
          <w:bCs/>
          <w:iCs/>
          <w:smallCaps/>
          <w:color w:val="000000" w:themeColor="text1"/>
        </w:rPr>
      </w:pPr>
      <w:r w:rsidRPr="00456892">
        <w:rPr>
          <w:rFonts w:ascii="Arial Negrita" w:hAnsi="Arial Negrita"/>
          <w:b/>
          <w:bCs/>
          <w:iCs/>
          <w:smallCaps/>
          <w:color w:val="000000" w:themeColor="text1"/>
        </w:rPr>
        <w:t>procesados y/</w:t>
      </w:r>
      <w:r w:rsidR="00994C30">
        <w:rPr>
          <w:rFonts w:ascii="Arial Negrita" w:hAnsi="Arial Negrita"/>
          <w:b/>
          <w:bCs/>
          <w:iCs/>
          <w:smallCaps/>
          <w:color w:val="000000" w:themeColor="text1"/>
        </w:rPr>
        <w:t xml:space="preserve"> </w:t>
      </w:r>
      <w:r w:rsidRPr="00456892">
        <w:rPr>
          <w:rFonts w:ascii="Arial Negrita" w:hAnsi="Arial Negrita"/>
          <w:b/>
          <w:bCs/>
          <w:iCs/>
          <w:smallCaps/>
          <w:color w:val="000000" w:themeColor="text1"/>
        </w:rPr>
        <w:t>o imputados con resoluciones sobre la vinculación a proceso</w:t>
      </w:r>
      <w:r>
        <w:rPr>
          <w:rFonts w:ascii="Arial Negrita" w:hAnsi="Arial Negrita"/>
          <w:b/>
          <w:bCs/>
          <w:iCs/>
          <w:smallCaps/>
          <w:color w:val="000000" w:themeColor="text1"/>
        </w:rPr>
        <w:t>, según tipo</w:t>
      </w:r>
    </w:p>
    <w:p w14:paraId="1D5AB4F3" w14:textId="77777777" w:rsidR="00456892" w:rsidRDefault="00456892" w:rsidP="00456892">
      <w:pPr>
        <w:spacing w:after="0" w:line="240" w:lineRule="auto"/>
        <w:jc w:val="center"/>
        <w:rPr>
          <w:rStyle w:val="Hipervnculo"/>
          <w:rFonts w:ascii="Arial" w:hAnsi="Arial" w:cs="Arial"/>
          <w:color w:val="auto"/>
          <w:spacing w:val="-2"/>
          <w:sz w:val="24"/>
          <w:szCs w:val="24"/>
          <w:u w:val="none"/>
        </w:rPr>
      </w:pPr>
    </w:p>
    <w:p w14:paraId="09A970B5" w14:textId="0DFAFFE0" w:rsidR="00024609" w:rsidRDefault="00024609" w:rsidP="00726D69">
      <w:pPr>
        <w:spacing w:after="0" w:line="240" w:lineRule="auto"/>
        <w:jc w:val="both"/>
        <w:rPr>
          <w:rStyle w:val="Hipervnculo"/>
          <w:rFonts w:ascii="Arial" w:hAnsi="Arial" w:cs="Arial"/>
          <w:color w:val="auto"/>
          <w:spacing w:val="-2"/>
          <w:sz w:val="24"/>
          <w:szCs w:val="24"/>
          <w:u w:val="none"/>
        </w:rPr>
      </w:pPr>
      <w:r>
        <w:rPr>
          <w:noProof/>
        </w:rPr>
        <w:drawing>
          <wp:inline distT="0" distB="0" distL="0" distR="0" wp14:anchorId="1DC77DFD" wp14:editId="1D82AE61">
            <wp:extent cx="6513616" cy="1353787"/>
            <wp:effectExtent l="0" t="0" r="1905" b="0"/>
            <wp:docPr id="27" name="Gráfico 27">
              <a:extLst xmlns:a="http://schemas.openxmlformats.org/drawingml/2006/main">
                <a:ext uri="{FF2B5EF4-FFF2-40B4-BE49-F238E27FC236}">
                  <a16:creationId xmlns:a16="http://schemas.microsoft.com/office/drawing/2014/main" id="{784CEF85-B88B-E13A-F67D-3305633D8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758B0C3" w14:textId="77777777" w:rsidR="00024609" w:rsidRDefault="00024609" w:rsidP="00024609">
      <w:pPr>
        <w:spacing w:after="0" w:line="240" w:lineRule="auto"/>
        <w:rPr>
          <w:rStyle w:val="Hipervnculo"/>
          <w:rFonts w:ascii="Arial" w:hAnsi="Arial" w:cs="Arial"/>
          <w:color w:val="auto"/>
          <w:spacing w:val="-2"/>
          <w:sz w:val="16"/>
          <w:szCs w:val="16"/>
          <w:u w:val="none"/>
        </w:rPr>
      </w:pPr>
    </w:p>
    <w:p w14:paraId="7136E407" w14:textId="30EE1D7E" w:rsidR="00024609" w:rsidRDefault="00024609" w:rsidP="00024609">
      <w:pPr>
        <w:spacing w:after="0" w:line="240" w:lineRule="auto"/>
        <w:rPr>
          <w:rStyle w:val="Hipervnculo"/>
          <w:rFonts w:ascii="Arial" w:hAnsi="Arial" w:cs="Arial"/>
          <w:color w:val="auto"/>
          <w:spacing w:val="-2"/>
          <w:sz w:val="16"/>
          <w:szCs w:val="16"/>
          <w:u w:val="none"/>
        </w:rPr>
      </w:pPr>
      <w:r w:rsidRPr="00024609">
        <w:rPr>
          <w:rStyle w:val="Hipervnculo"/>
          <w:rFonts w:ascii="Arial" w:hAnsi="Arial" w:cs="Arial"/>
          <w:color w:val="auto"/>
          <w:spacing w:val="-2"/>
          <w:sz w:val="16"/>
          <w:szCs w:val="16"/>
          <w:u w:val="none"/>
        </w:rPr>
        <w:t xml:space="preserve">Nota: </w:t>
      </w:r>
      <w:r w:rsidR="00994C30">
        <w:rPr>
          <w:rStyle w:val="Hipervnculo"/>
          <w:rFonts w:ascii="Arial" w:hAnsi="Arial" w:cs="Arial"/>
          <w:color w:val="auto"/>
          <w:spacing w:val="-2"/>
          <w:sz w:val="16"/>
          <w:szCs w:val="16"/>
          <w:u w:val="none"/>
        </w:rPr>
        <w:t>L</w:t>
      </w:r>
      <w:r w:rsidRPr="00024609">
        <w:rPr>
          <w:rStyle w:val="Hipervnculo"/>
          <w:rFonts w:ascii="Arial" w:hAnsi="Arial" w:cs="Arial"/>
          <w:color w:val="auto"/>
          <w:spacing w:val="-2"/>
          <w:sz w:val="16"/>
          <w:szCs w:val="16"/>
          <w:u w:val="none"/>
        </w:rPr>
        <w:t>a información se refiere a los procesados y/</w:t>
      </w:r>
      <w:r w:rsidR="00994C30">
        <w:rPr>
          <w:rStyle w:val="Hipervnculo"/>
          <w:rFonts w:ascii="Arial" w:hAnsi="Arial" w:cs="Arial"/>
          <w:color w:val="auto"/>
          <w:spacing w:val="-2"/>
          <w:sz w:val="16"/>
          <w:szCs w:val="16"/>
          <w:u w:val="none"/>
        </w:rPr>
        <w:t xml:space="preserve"> </w:t>
      </w:r>
      <w:r w:rsidRPr="00024609">
        <w:rPr>
          <w:rStyle w:val="Hipervnculo"/>
          <w:rFonts w:ascii="Arial" w:hAnsi="Arial" w:cs="Arial"/>
          <w:color w:val="auto"/>
          <w:spacing w:val="-2"/>
          <w:sz w:val="16"/>
          <w:szCs w:val="16"/>
          <w:u w:val="none"/>
        </w:rPr>
        <w:t xml:space="preserve">o imputados </w:t>
      </w:r>
      <w:r w:rsidR="00994C30">
        <w:rPr>
          <w:rStyle w:val="Hipervnculo"/>
          <w:rFonts w:ascii="Arial" w:hAnsi="Arial" w:cs="Arial"/>
          <w:color w:val="auto"/>
          <w:spacing w:val="-2"/>
          <w:sz w:val="16"/>
          <w:szCs w:val="16"/>
          <w:u w:val="none"/>
        </w:rPr>
        <w:t xml:space="preserve">para </w:t>
      </w:r>
      <w:r w:rsidRPr="00024609">
        <w:rPr>
          <w:rStyle w:val="Hipervnculo"/>
          <w:rFonts w:ascii="Arial" w:hAnsi="Arial" w:cs="Arial"/>
          <w:color w:val="auto"/>
          <w:spacing w:val="-2"/>
          <w:sz w:val="16"/>
          <w:szCs w:val="16"/>
          <w:u w:val="none"/>
        </w:rPr>
        <w:t>quienes se determinó una resolución sobre la vinculación a proceso por parte de los jueces de control o garantías</w:t>
      </w:r>
      <w:r w:rsidR="00994C30">
        <w:rPr>
          <w:rStyle w:val="Hipervnculo"/>
          <w:rFonts w:ascii="Arial" w:hAnsi="Arial" w:cs="Arial"/>
          <w:color w:val="auto"/>
          <w:spacing w:val="-2"/>
          <w:sz w:val="16"/>
          <w:szCs w:val="16"/>
          <w:u w:val="none"/>
        </w:rPr>
        <w:t>.</w:t>
      </w:r>
    </w:p>
    <w:p w14:paraId="5A56C611" w14:textId="2C35EBFF" w:rsidR="000E0A39" w:rsidRDefault="000E0A39" w:rsidP="00024609">
      <w:pPr>
        <w:spacing w:after="0" w:line="240" w:lineRule="auto"/>
        <w:rPr>
          <w:rStyle w:val="Hipervnculo"/>
          <w:rFonts w:ascii="Arial" w:hAnsi="Arial" w:cs="Arial"/>
          <w:color w:val="auto"/>
          <w:spacing w:val="-2"/>
          <w:sz w:val="16"/>
          <w:szCs w:val="16"/>
          <w:u w:val="none"/>
        </w:rPr>
      </w:pPr>
    </w:p>
    <w:p w14:paraId="5E03D0E5" w14:textId="77777777" w:rsidR="002226E2" w:rsidRDefault="002226E2" w:rsidP="002226E2">
      <w:pPr>
        <w:tabs>
          <w:tab w:val="left" w:pos="6495"/>
        </w:tabs>
        <w:spacing w:after="0" w:line="240" w:lineRule="auto"/>
        <w:rPr>
          <w:rStyle w:val="Hipervnculo"/>
          <w:rFonts w:ascii="Arial" w:hAnsi="Arial" w:cs="Arial"/>
          <w:color w:val="auto"/>
          <w:spacing w:val="-2"/>
          <w:sz w:val="16"/>
          <w:szCs w:val="16"/>
          <w:u w:val="none"/>
        </w:rPr>
      </w:pPr>
    </w:p>
    <w:p w14:paraId="1248F98E" w14:textId="08D49279" w:rsidR="00A71B89" w:rsidRPr="00024609" w:rsidRDefault="002226E2" w:rsidP="00BA306B">
      <w:pPr>
        <w:tabs>
          <w:tab w:val="left" w:pos="6495"/>
        </w:tabs>
        <w:spacing w:after="0" w:line="240" w:lineRule="auto"/>
        <w:rPr>
          <w:rStyle w:val="Hipervnculo"/>
          <w:rFonts w:ascii="Arial" w:hAnsi="Arial" w:cs="Arial"/>
          <w:color w:val="auto"/>
          <w:spacing w:val="-2"/>
          <w:sz w:val="16"/>
          <w:szCs w:val="16"/>
          <w:u w:val="none"/>
        </w:rPr>
      </w:pPr>
      <w:r>
        <w:rPr>
          <w:rStyle w:val="Hipervnculo"/>
          <w:rFonts w:ascii="Arial" w:hAnsi="Arial" w:cs="Arial"/>
          <w:color w:val="auto"/>
          <w:spacing w:val="-2"/>
          <w:sz w:val="16"/>
          <w:szCs w:val="16"/>
          <w:u w:val="none"/>
        </w:rPr>
        <w:tab/>
      </w:r>
    </w:p>
    <w:p w14:paraId="5D46811E" w14:textId="20FA3060" w:rsidR="00726D69" w:rsidRPr="00BA306B" w:rsidRDefault="00024609" w:rsidP="00BA306B">
      <w:pPr>
        <w:pStyle w:val="Prrafodelista"/>
        <w:numPr>
          <w:ilvl w:val="0"/>
          <w:numId w:val="26"/>
        </w:numPr>
        <w:spacing w:after="0" w:line="240" w:lineRule="auto"/>
        <w:jc w:val="both"/>
        <w:rPr>
          <w:rFonts w:ascii="Arial Negrita" w:hAnsi="Arial Negrita" w:cs="Arial"/>
          <w:b/>
          <w:bCs/>
          <w:smallCaps/>
          <w:sz w:val="24"/>
          <w:szCs w:val="24"/>
        </w:rPr>
      </w:pPr>
      <w:r w:rsidRPr="00BA306B">
        <w:rPr>
          <w:rFonts w:ascii="Arial Negrita" w:hAnsi="Arial Negrita" w:cs="Arial"/>
          <w:b/>
          <w:bCs/>
          <w:smallCaps/>
          <w:sz w:val="24"/>
          <w:szCs w:val="24"/>
        </w:rPr>
        <w:t>Centro Nacional de Justicia Especializado en Control de Técnicas de Investigación, Arraigo e Intervención de Comunicaciones</w:t>
      </w:r>
    </w:p>
    <w:p w14:paraId="391EA705" w14:textId="77777777" w:rsidR="00024609" w:rsidRDefault="00024609" w:rsidP="00726D69">
      <w:pPr>
        <w:spacing w:after="0" w:line="240" w:lineRule="auto"/>
        <w:jc w:val="both"/>
        <w:rPr>
          <w:rStyle w:val="Hipervnculo"/>
          <w:rFonts w:ascii="Arial" w:hAnsi="Arial" w:cs="Arial"/>
          <w:color w:val="auto"/>
          <w:spacing w:val="-2"/>
          <w:sz w:val="24"/>
          <w:szCs w:val="24"/>
          <w:u w:val="none"/>
        </w:rPr>
      </w:pPr>
    </w:p>
    <w:p w14:paraId="5EE2C3C3" w14:textId="25B9FE0C" w:rsidR="00024609" w:rsidRDefault="003827AC" w:rsidP="008012D3">
      <w:pPr>
        <w:spacing w:after="0" w:line="240" w:lineRule="auto"/>
        <w:jc w:val="both"/>
        <w:rPr>
          <w:rFonts w:ascii="Arial" w:eastAsia="Times New Roman" w:hAnsi="Arial" w:cs="Arial"/>
          <w:sz w:val="24"/>
          <w:szCs w:val="24"/>
        </w:rPr>
      </w:pPr>
      <w:r>
        <w:rPr>
          <w:rFonts w:ascii="Arial" w:eastAsia="Times New Roman" w:hAnsi="Arial" w:cs="Arial"/>
          <w:sz w:val="24"/>
          <w:szCs w:val="24"/>
        </w:rPr>
        <w:t>D</w:t>
      </w:r>
      <w:r w:rsidR="006277DA">
        <w:rPr>
          <w:rFonts w:ascii="Arial" w:eastAsia="Times New Roman" w:hAnsi="Arial" w:cs="Arial"/>
          <w:sz w:val="24"/>
          <w:szCs w:val="24"/>
        </w:rPr>
        <w:t>urante 2021</w:t>
      </w:r>
      <w:r w:rsidR="004F0108">
        <w:rPr>
          <w:rFonts w:ascii="Arial" w:eastAsia="Times New Roman" w:hAnsi="Arial" w:cs="Arial"/>
          <w:sz w:val="24"/>
          <w:szCs w:val="24"/>
        </w:rPr>
        <w:t>,</w:t>
      </w:r>
      <w:r w:rsidR="00A8265F">
        <w:rPr>
          <w:rFonts w:ascii="Arial" w:eastAsia="Times New Roman" w:hAnsi="Arial" w:cs="Arial"/>
          <w:sz w:val="24"/>
          <w:szCs w:val="24"/>
        </w:rPr>
        <w:t xml:space="preserve"> </w:t>
      </w:r>
      <w:r w:rsidR="008012D3" w:rsidRPr="008012D3">
        <w:rPr>
          <w:rFonts w:ascii="Arial" w:eastAsia="Times New Roman" w:hAnsi="Arial" w:cs="Arial"/>
          <w:sz w:val="24"/>
          <w:szCs w:val="24"/>
        </w:rPr>
        <w:t xml:space="preserve">ingresaron </w:t>
      </w:r>
      <w:r w:rsidR="003F2D19" w:rsidRPr="003F2D19">
        <w:rPr>
          <w:rFonts w:ascii="Arial" w:eastAsia="Times New Roman" w:hAnsi="Arial" w:cs="Arial"/>
          <w:sz w:val="24"/>
          <w:szCs w:val="24"/>
        </w:rPr>
        <w:t>20</w:t>
      </w:r>
      <w:r w:rsidR="002226E2">
        <w:rPr>
          <w:rFonts w:ascii="Arial" w:eastAsia="Times New Roman" w:hAnsi="Arial" w:cs="Arial"/>
          <w:sz w:val="24"/>
          <w:szCs w:val="24"/>
        </w:rPr>
        <w:t xml:space="preserve"> </w:t>
      </w:r>
      <w:r w:rsidR="003F2D19" w:rsidRPr="003F2D19">
        <w:rPr>
          <w:rFonts w:ascii="Arial" w:eastAsia="Times New Roman" w:hAnsi="Arial" w:cs="Arial"/>
          <w:sz w:val="24"/>
          <w:szCs w:val="24"/>
        </w:rPr>
        <w:t>623</w:t>
      </w:r>
      <w:r w:rsidR="003F2D19">
        <w:rPr>
          <w:rFonts w:ascii="Arial" w:eastAsia="Times New Roman" w:hAnsi="Arial" w:cs="Arial"/>
          <w:sz w:val="24"/>
          <w:szCs w:val="24"/>
        </w:rPr>
        <w:t xml:space="preserve"> </w:t>
      </w:r>
      <w:r w:rsidR="008012D3" w:rsidRPr="008012D3">
        <w:rPr>
          <w:rFonts w:ascii="Arial" w:eastAsia="Times New Roman" w:hAnsi="Arial" w:cs="Arial"/>
          <w:sz w:val="24"/>
          <w:szCs w:val="24"/>
        </w:rPr>
        <w:t>solicitudes al Centro Nacional de Justicia Especializado en Control de Técnicas</w:t>
      </w:r>
      <w:r w:rsidR="008012D3">
        <w:rPr>
          <w:rFonts w:ascii="Arial" w:eastAsia="Times New Roman" w:hAnsi="Arial" w:cs="Arial"/>
          <w:sz w:val="24"/>
          <w:szCs w:val="24"/>
        </w:rPr>
        <w:t xml:space="preserve"> </w:t>
      </w:r>
      <w:r w:rsidR="008012D3" w:rsidRPr="008012D3">
        <w:rPr>
          <w:rFonts w:ascii="Arial" w:eastAsia="Times New Roman" w:hAnsi="Arial" w:cs="Arial"/>
          <w:sz w:val="24"/>
          <w:szCs w:val="24"/>
        </w:rPr>
        <w:t>de Investigación, Arraigo e Intervención de Comunicaciones</w:t>
      </w:r>
      <w:r w:rsidR="00994C30">
        <w:rPr>
          <w:rFonts w:ascii="Arial" w:eastAsia="Times New Roman" w:hAnsi="Arial" w:cs="Arial"/>
          <w:sz w:val="24"/>
          <w:szCs w:val="24"/>
        </w:rPr>
        <w:t>. C</w:t>
      </w:r>
      <w:r w:rsidR="008012D3" w:rsidRPr="008012D3">
        <w:rPr>
          <w:rFonts w:ascii="Arial" w:eastAsia="Times New Roman" w:hAnsi="Arial" w:cs="Arial"/>
          <w:sz w:val="24"/>
          <w:szCs w:val="24"/>
        </w:rPr>
        <w:t xml:space="preserve">oncluyeron </w:t>
      </w:r>
      <w:r w:rsidR="003F2D19" w:rsidRPr="003F2D19">
        <w:rPr>
          <w:rFonts w:ascii="Arial" w:eastAsia="Times New Roman" w:hAnsi="Arial" w:cs="Arial"/>
          <w:sz w:val="24"/>
          <w:szCs w:val="24"/>
        </w:rPr>
        <w:t>20</w:t>
      </w:r>
      <w:r w:rsidR="002226E2">
        <w:rPr>
          <w:rFonts w:ascii="Arial" w:eastAsia="Times New Roman" w:hAnsi="Arial" w:cs="Arial"/>
          <w:sz w:val="24"/>
          <w:szCs w:val="24"/>
        </w:rPr>
        <w:t xml:space="preserve"> </w:t>
      </w:r>
      <w:r w:rsidR="003F2D19" w:rsidRPr="003F2D19">
        <w:rPr>
          <w:rFonts w:ascii="Arial" w:eastAsia="Times New Roman" w:hAnsi="Arial" w:cs="Arial"/>
          <w:sz w:val="24"/>
          <w:szCs w:val="24"/>
        </w:rPr>
        <w:t>687</w:t>
      </w:r>
      <w:r w:rsidR="008012D3" w:rsidRPr="008012D3">
        <w:rPr>
          <w:rFonts w:ascii="Arial" w:eastAsia="Times New Roman" w:hAnsi="Arial" w:cs="Arial"/>
          <w:sz w:val="24"/>
          <w:szCs w:val="24"/>
        </w:rPr>
        <w:t>. Comparado con</w:t>
      </w:r>
      <w:r w:rsidR="008012D3">
        <w:rPr>
          <w:rFonts w:ascii="Arial" w:eastAsia="Times New Roman" w:hAnsi="Arial" w:cs="Arial"/>
          <w:sz w:val="24"/>
          <w:szCs w:val="24"/>
        </w:rPr>
        <w:t xml:space="preserve"> </w:t>
      </w:r>
      <w:r w:rsidR="007E7805">
        <w:rPr>
          <w:rFonts w:ascii="Arial" w:eastAsia="Times New Roman" w:hAnsi="Arial" w:cs="Arial"/>
          <w:sz w:val="24"/>
          <w:szCs w:val="24"/>
        </w:rPr>
        <w:t>las</w:t>
      </w:r>
      <w:r w:rsidR="00660080">
        <w:rPr>
          <w:rFonts w:ascii="Arial" w:eastAsia="Times New Roman" w:hAnsi="Arial" w:cs="Arial"/>
          <w:sz w:val="24"/>
          <w:szCs w:val="24"/>
        </w:rPr>
        <w:t xml:space="preserve"> 15 900</w:t>
      </w:r>
      <w:r w:rsidR="00C31B55">
        <w:rPr>
          <w:rFonts w:ascii="Arial" w:eastAsia="Times New Roman" w:hAnsi="Arial" w:cs="Arial"/>
          <w:sz w:val="24"/>
          <w:szCs w:val="24"/>
        </w:rPr>
        <w:t xml:space="preserve"> </w:t>
      </w:r>
      <w:r w:rsidR="008012D3" w:rsidRPr="008012D3">
        <w:rPr>
          <w:rFonts w:ascii="Arial" w:eastAsia="Times New Roman" w:hAnsi="Arial" w:cs="Arial"/>
          <w:sz w:val="24"/>
          <w:szCs w:val="24"/>
        </w:rPr>
        <w:t xml:space="preserve">solicitudes ingresadas </w:t>
      </w:r>
      <w:r w:rsidR="00660080">
        <w:rPr>
          <w:rFonts w:ascii="Arial" w:eastAsia="Times New Roman" w:hAnsi="Arial" w:cs="Arial"/>
          <w:sz w:val="24"/>
          <w:szCs w:val="24"/>
        </w:rPr>
        <w:t>y las 15 898 concluidas</w:t>
      </w:r>
      <w:r w:rsidR="009D10C1">
        <w:rPr>
          <w:rFonts w:ascii="Arial" w:eastAsia="Times New Roman" w:hAnsi="Arial" w:cs="Arial"/>
          <w:sz w:val="24"/>
          <w:szCs w:val="24"/>
        </w:rPr>
        <w:t xml:space="preserve"> reportadas en 2020, </w:t>
      </w:r>
      <w:r w:rsidR="00C65F72">
        <w:rPr>
          <w:rFonts w:ascii="Arial" w:eastAsia="Times New Roman" w:hAnsi="Arial" w:cs="Arial"/>
          <w:sz w:val="24"/>
          <w:szCs w:val="24"/>
        </w:rPr>
        <w:t xml:space="preserve">en 2021 </w:t>
      </w:r>
      <w:r w:rsidR="009D10C1">
        <w:rPr>
          <w:rFonts w:ascii="Arial" w:eastAsia="Times New Roman" w:hAnsi="Arial" w:cs="Arial"/>
          <w:sz w:val="24"/>
          <w:szCs w:val="24"/>
        </w:rPr>
        <w:t>se observa</w:t>
      </w:r>
      <w:r w:rsidR="00994C30">
        <w:rPr>
          <w:rFonts w:ascii="Arial" w:eastAsia="Times New Roman" w:hAnsi="Arial" w:cs="Arial"/>
          <w:sz w:val="24"/>
          <w:szCs w:val="24"/>
        </w:rPr>
        <w:t>ro</w:t>
      </w:r>
      <w:r w:rsidR="009D10C1">
        <w:rPr>
          <w:rFonts w:ascii="Arial" w:eastAsia="Times New Roman" w:hAnsi="Arial" w:cs="Arial"/>
          <w:sz w:val="24"/>
          <w:szCs w:val="24"/>
        </w:rPr>
        <w:t>n incrementos de</w:t>
      </w:r>
      <w:r w:rsidR="00C31B55">
        <w:rPr>
          <w:rFonts w:ascii="Arial" w:eastAsia="Times New Roman" w:hAnsi="Arial" w:cs="Arial"/>
          <w:sz w:val="24"/>
          <w:szCs w:val="24"/>
        </w:rPr>
        <w:t xml:space="preserve"> 29.7</w:t>
      </w:r>
      <w:r w:rsidR="00EB22BA">
        <w:rPr>
          <w:rFonts w:ascii="Arial" w:eastAsia="Times New Roman" w:hAnsi="Arial" w:cs="Arial"/>
          <w:sz w:val="24"/>
          <w:szCs w:val="24"/>
        </w:rPr>
        <w:t xml:space="preserve"> y </w:t>
      </w:r>
      <w:r w:rsidR="002226E2">
        <w:rPr>
          <w:rFonts w:ascii="Arial" w:eastAsia="Times New Roman" w:hAnsi="Arial" w:cs="Arial"/>
          <w:sz w:val="24"/>
          <w:szCs w:val="24"/>
        </w:rPr>
        <w:t>30.1 %</w:t>
      </w:r>
      <w:r w:rsidR="00C65F72">
        <w:rPr>
          <w:rFonts w:ascii="Arial" w:eastAsia="Times New Roman" w:hAnsi="Arial" w:cs="Arial"/>
          <w:sz w:val="24"/>
          <w:szCs w:val="24"/>
        </w:rPr>
        <w:t>, respectivamente</w:t>
      </w:r>
      <w:r w:rsidR="004F0108">
        <w:rPr>
          <w:rFonts w:ascii="Arial" w:eastAsia="Times New Roman" w:hAnsi="Arial" w:cs="Arial"/>
          <w:sz w:val="24"/>
          <w:szCs w:val="24"/>
        </w:rPr>
        <w:t>.</w:t>
      </w:r>
    </w:p>
    <w:p w14:paraId="5048AF3D" w14:textId="6DFA9EEA" w:rsidR="002226E2" w:rsidRDefault="002226E2" w:rsidP="003F2D19">
      <w:pPr>
        <w:pStyle w:val="Default"/>
        <w:spacing w:after="10"/>
        <w:ind w:right="284"/>
        <w:jc w:val="center"/>
        <w:rPr>
          <w:bCs/>
          <w:iCs/>
          <w:color w:val="000000" w:themeColor="text1"/>
          <w:sz w:val="20"/>
          <w:szCs w:val="20"/>
        </w:rPr>
      </w:pPr>
    </w:p>
    <w:p w14:paraId="42AF6C1F" w14:textId="6F45DF11" w:rsidR="002226E2" w:rsidRDefault="002226E2" w:rsidP="003F2D19">
      <w:pPr>
        <w:pStyle w:val="Default"/>
        <w:spacing w:after="10"/>
        <w:ind w:right="284"/>
        <w:jc w:val="center"/>
        <w:rPr>
          <w:bCs/>
          <w:iCs/>
          <w:color w:val="000000" w:themeColor="text1"/>
          <w:sz w:val="20"/>
          <w:szCs w:val="20"/>
        </w:rPr>
      </w:pPr>
    </w:p>
    <w:p w14:paraId="5173C004" w14:textId="7CFD46BC" w:rsidR="003F2D19" w:rsidRPr="00DE7C9F" w:rsidRDefault="003F2D19" w:rsidP="003F2D19">
      <w:pPr>
        <w:pStyle w:val="Default"/>
        <w:spacing w:after="10"/>
        <w:ind w:right="284"/>
        <w:jc w:val="center"/>
        <w:rPr>
          <w:bCs/>
          <w:iCs/>
          <w:color w:val="000000" w:themeColor="text1"/>
          <w:sz w:val="20"/>
          <w:szCs w:val="20"/>
        </w:rPr>
      </w:pPr>
      <w:r w:rsidRPr="00DE7C9F">
        <w:rPr>
          <w:bCs/>
          <w:iCs/>
          <w:color w:val="000000" w:themeColor="text1"/>
          <w:sz w:val="20"/>
          <w:szCs w:val="20"/>
        </w:rPr>
        <w:t xml:space="preserve">Gráfica </w:t>
      </w:r>
      <w:r w:rsidR="00647895">
        <w:rPr>
          <w:bCs/>
          <w:iCs/>
          <w:color w:val="000000" w:themeColor="text1"/>
          <w:sz w:val="20"/>
          <w:szCs w:val="20"/>
        </w:rPr>
        <w:t>27</w:t>
      </w:r>
    </w:p>
    <w:p w14:paraId="10FDED35" w14:textId="70EFFE53" w:rsidR="00726D69" w:rsidRDefault="003F2D19" w:rsidP="003F2D19">
      <w:pPr>
        <w:spacing w:after="0" w:line="240" w:lineRule="auto"/>
        <w:jc w:val="center"/>
        <w:rPr>
          <w:rFonts w:ascii="Arial Negrita" w:hAnsi="Arial Negrita"/>
          <w:b/>
          <w:bCs/>
          <w:iCs/>
          <w:smallCaps/>
          <w:color w:val="000000" w:themeColor="text1"/>
        </w:rPr>
      </w:pPr>
      <w:r>
        <w:rPr>
          <w:rFonts w:ascii="Arial Negrita" w:hAnsi="Arial Negrita"/>
          <w:b/>
          <w:bCs/>
          <w:iCs/>
          <w:smallCaps/>
          <w:color w:val="000000" w:themeColor="text1"/>
        </w:rPr>
        <w:t>S</w:t>
      </w:r>
      <w:r w:rsidRPr="003F2D19">
        <w:rPr>
          <w:rFonts w:ascii="Arial Negrita" w:hAnsi="Arial Negrita"/>
          <w:b/>
          <w:bCs/>
          <w:iCs/>
          <w:smallCaps/>
          <w:color w:val="000000" w:themeColor="text1"/>
        </w:rPr>
        <w:t>olicitudes ingresadas al Centro Nacional de Justicia Especializado en Control de Técnicas de Investigación, Arraigo e Intervención de Comunicaciones, según su tipo</w:t>
      </w:r>
    </w:p>
    <w:p w14:paraId="41FCA113" w14:textId="77777777" w:rsidR="002B77CF" w:rsidRDefault="002B77CF" w:rsidP="003F2D19">
      <w:pPr>
        <w:spacing w:after="0" w:line="240" w:lineRule="auto"/>
        <w:jc w:val="center"/>
        <w:rPr>
          <w:rFonts w:ascii="Arial Negrita" w:hAnsi="Arial Negrita"/>
          <w:b/>
          <w:bCs/>
          <w:iCs/>
          <w:smallCaps/>
          <w:color w:val="000000" w:themeColor="text1"/>
        </w:rPr>
      </w:pPr>
    </w:p>
    <w:p w14:paraId="1464B008" w14:textId="77777777" w:rsidR="00C31B55" w:rsidRDefault="00C31B55" w:rsidP="003F2D19">
      <w:pPr>
        <w:spacing w:after="0" w:line="240" w:lineRule="auto"/>
        <w:jc w:val="center"/>
        <w:rPr>
          <w:rFonts w:ascii="Arial Negrita" w:hAnsi="Arial Negrita"/>
          <w:b/>
          <w:bCs/>
          <w:iCs/>
          <w:smallCaps/>
          <w:color w:val="000000" w:themeColor="text1"/>
        </w:rPr>
      </w:pPr>
    </w:p>
    <w:p w14:paraId="7BC42DCF" w14:textId="4EB68377" w:rsidR="00C31B55" w:rsidRDefault="00C31B55" w:rsidP="003F2D19">
      <w:pPr>
        <w:spacing w:after="0" w:line="240" w:lineRule="auto"/>
        <w:jc w:val="center"/>
        <w:rPr>
          <w:rFonts w:ascii="Arial Negrita" w:hAnsi="Arial Negrita"/>
          <w:b/>
          <w:bCs/>
          <w:iCs/>
          <w:smallCaps/>
          <w:color w:val="000000" w:themeColor="text1"/>
        </w:rPr>
      </w:pPr>
      <w:r>
        <w:rPr>
          <w:noProof/>
        </w:rPr>
        <w:drawing>
          <wp:inline distT="0" distB="0" distL="0" distR="0" wp14:anchorId="4ADE5714" wp14:editId="3D5BDB38">
            <wp:extent cx="5925185" cy="1727860"/>
            <wp:effectExtent l="0" t="0" r="0" b="5715"/>
            <wp:docPr id="28" name="Gráfico 28">
              <a:extLst xmlns:a="http://schemas.openxmlformats.org/drawingml/2006/main">
                <a:ext uri="{FF2B5EF4-FFF2-40B4-BE49-F238E27FC236}">
                  <a16:creationId xmlns:a16="http://schemas.microsoft.com/office/drawing/2014/main" id="{35FD6341-2CD4-DDAB-D685-95A4E6766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C9E1474" w14:textId="042D4740" w:rsidR="00B14DE5" w:rsidRPr="00DE7C9F" w:rsidRDefault="00B14DE5" w:rsidP="00B14DE5">
      <w:pPr>
        <w:pStyle w:val="Default"/>
        <w:spacing w:after="10"/>
        <w:ind w:right="284"/>
        <w:jc w:val="center"/>
        <w:rPr>
          <w:bCs/>
          <w:iCs/>
          <w:color w:val="000000" w:themeColor="text1"/>
          <w:sz w:val="20"/>
          <w:szCs w:val="20"/>
        </w:rPr>
      </w:pPr>
      <w:r w:rsidRPr="00DE7C9F">
        <w:rPr>
          <w:bCs/>
          <w:iCs/>
          <w:color w:val="000000" w:themeColor="text1"/>
          <w:sz w:val="20"/>
          <w:szCs w:val="20"/>
        </w:rPr>
        <w:lastRenderedPageBreak/>
        <w:t xml:space="preserve">Gráfica </w:t>
      </w:r>
      <w:r w:rsidR="00647895">
        <w:rPr>
          <w:bCs/>
          <w:iCs/>
          <w:color w:val="000000" w:themeColor="text1"/>
          <w:sz w:val="20"/>
          <w:szCs w:val="20"/>
        </w:rPr>
        <w:t>28</w:t>
      </w:r>
    </w:p>
    <w:p w14:paraId="4783618F" w14:textId="13BC3789" w:rsidR="00B14DE5" w:rsidRDefault="00B14DE5" w:rsidP="00B14DE5">
      <w:pPr>
        <w:spacing w:after="0" w:line="240" w:lineRule="auto"/>
        <w:jc w:val="center"/>
        <w:rPr>
          <w:rFonts w:ascii="Arial Negrita" w:hAnsi="Arial Negrita"/>
          <w:b/>
          <w:bCs/>
          <w:iCs/>
          <w:smallCaps/>
          <w:color w:val="000000" w:themeColor="text1"/>
        </w:rPr>
      </w:pPr>
      <w:r>
        <w:rPr>
          <w:rFonts w:ascii="Arial Negrita" w:hAnsi="Arial Negrita"/>
          <w:b/>
          <w:bCs/>
          <w:iCs/>
          <w:smallCaps/>
          <w:color w:val="000000" w:themeColor="text1"/>
        </w:rPr>
        <w:t>S</w:t>
      </w:r>
      <w:r w:rsidRPr="003F2D19">
        <w:rPr>
          <w:rFonts w:ascii="Arial Negrita" w:hAnsi="Arial Negrita"/>
          <w:b/>
          <w:bCs/>
          <w:iCs/>
          <w:smallCaps/>
          <w:color w:val="000000" w:themeColor="text1"/>
        </w:rPr>
        <w:t xml:space="preserve">olicitudes </w:t>
      </w:r>
      <w:r>
        <w:rPr>
          <w:rFonts w:ascii="Arial Negrita" w:hAnsi="Arial Negrita"/>
          <w:b/>
          <w:bCs/>
          <w:iCs/>
          <w:smallCaps/>
          <w:color w:val="000000" w:themeColor="text1"/>
        </w:rPr>
        <w:t>concluidas</w:t>
      </w:r>
      <w:r w:rsidRPr="003F2D19">
        <w:rPr>
          <w:rFonts w:ascii="Arial Negrita" w:hAnsi="Arial Negrita"/>
          <w:b/>
          <w:bCs/>
          <w:iCs/>
          <w:smallCaps/>
          <w:color w:val="000000" w:themeColor="text1"/>
        </w:rPr>
        <w:t xml:space="preserve"> al Centro Nacional de Justicia Especializado en Control de Técnicas de Investigación, Arraigo e Intervención de Comunicaciones, según su tipo</w:t>
      </w:r>
    </w:p>
    <w:p w14:paraId="36AB503F" w14:textId="77777777" w:rsidR="002B77CF" w:rsidRDefault="002B77CF" w:rsidP="00B14DE5">
      <w:pPr>
        <w:spacing w:after="0" w:line="240" w:lineRule="auto"/>
        <w:jc w:val="center"/>
        <w:rPr>
          <w:rFonts w:ascii="Arial Negrita" w:hAnsi="Arial Negrita"/>
          <w:b/>
          <w:bCs/>
          <w:iCs/>
          <w:smallCaps/>
          <w:color w:val="000000" w:themeColor="text1"/>
        </w:rPr>
      </w:pPr>
    </w:p>
    <w:p w14:paraId="7B60C003" w14:textId="77777777" w:rsidR="009F5D7E" w:rsidRDefault="009F5D7E" w:rsidP="00B14DE5">
      <w:pPr>
        <w:spacing w:after="0" w:line="240" w:lineRule="auto"/>
        <w:jc w:val="center"/>
        <w:rPr>
          <w:rFonts w:ascii="Arial Negrita" w:hAnsi="Arial Negrita"/>
          <w:b/>
          <w:bCs/>
          <w:iCs/>
          <w:smallCaps/>
          <w:color w:val="000000" w:themeColor="text1"/>
        </w:rPr>
      </w:pPr>
    </w:p>
    <w:p w14:paraId="34B6D9EB" w14:textId="1CC21E2E" w:rsidR="009F5D7E" w:rsidRDefault="009F5D7E" w:rsidP="00B14DE5">
      <w:pPr>
        <w:spacing w:after="0" w:line="240" w:lineRule="auto"/>
        <w:jc w:val="center"/>
        <w:rPr>
          <w:rStyle w:val="Hipervnculo"/>
          <w:rFonts w:ascii="Arial" w:hAnsi="Arial" w:cs="Arial"/>
          <w:color w:val="auto"/>
          <w:spacing w:val="-2"/>
          <w:sz w:val="24"/>
          <w:szCs w:val="24"/>
          <w:u w:val="none"/>
        </w:rPr>
      </w:pPr>
      <w:r>
        <w:rPr>
          <w:noProof/>
        </w:rPr>
        <w:drawing>
          <wp:inline distT="0" distB="0" distL="0" distR="0" wp14:anchorId="5E0C8335" wp14:editId="1176DF21">
            <wp:extent cx="5913911" cy="1810385"/>
            <wp:effectExtent l="0" t="0" r="0" b="0"/>
            <wp:docPr id="29" name="Gráfico 29">
              <a:extLst xmlns:a="http://schemas.openxmlformats.org/drawingml/2006/main">
                <a:ext uri="{FF2B5EF4-FFF2-40B4-BE49-F238E27FC236}">
                  <a16:creationId xmlns:a16="http://schemas.microsoft.com/office/drawing/2014/main" id="{E3E2BDBB-E82B-98CB-FCF0-680D1C977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69F71AF" w14:textId="3DD91F11" w:rsidR="00726D69" w:rsidRDefault="00726D69" w:rsidP="00726D69">
      <w:pPr>
        <w:spacing w:after="0" w:line="240" w:lineRule="auto"/>
        <w:jc w:val="both"/>
        <w:rPr>
          <w:rStyle w:val="Hipervnculo"/>
          <w:rFonts w:ascii="Arial" w:hAnsi="Arial" w:cs="Arial"/>
          <w:color w:val="auto"/>
          <w:spacing w:val="-2"/>
          <w:sz w:val="24"/>
          <w:szCs w:val="24"/>
          <w:u w:val="none"/>
        </w:rPr>
      </w:pPr>
    </w:p>
    <w:p w14:paraId="37B7765A" w14:textId="77777777" w:rsidR="00ED3476" w:rsidRDefault="00ED3476" w:rsidP="00306AB2">
      <w:pPr>
        <w:spacing w:after="0" w:line="240" w:lineRule="auto"/>
        <w:jc w:val="both"/>
        <w:rPr>
          <w:rFonts w:ascii="Arial" w:eastAsia="Times New Roman" w:hAnsi="Arial" w:cs="Arial"/>
          <w:sz w:val="24"/>
          <w:szCs w:val="24"/>
        </w:rPr>
      </w:pPr>
    </w:p>
    <w:p w14:paraId="61453156" w14:textId="2A05B32C" w:rsidR="00462B4C" w:rsidRDefault="00D115C8" w:rsidP="00306AB2">
      <w:pPr>
        <w:spacing w:after="0" w:line="240" w:lineRule="auto"/>
        <w:jc w:val="both"/>
        <w:rPr>
          <w:rFonts w:ascii="Arial" w:eastAsia="Times New Roman" w:hAnsi="Arial" w:cs="Arial"/>
          <w:sz w:val="24"/>
          <w:szCs w:val="24"/>
        </w:rPr>
      </w:pPr>
      <w:r w:rsidRPr="00AB1FA2">
        <w:rPr>
          <w:rFonts w:ascii="Arial" w:eastAsia="Times New Roman" w:hAnsi="Arial" w:cs="Arial"/>
          <w:sz w:val="24"/>
          <w:szCs w:val="24"/>
        </w:rPr>
        <w:t>Puede obtener más información sobre los resultados publicados en este reporte en la página de internet del Instituto</w:t>
      </w:r>
      <w:r w:rsidR="00462B4C" w:rsidRPr="00AB1FA2">
        <w:rPr>
          <w:rFonts w:ascii="Arial" w:eastAsia="Times New Roman" w:hAnsi="Arial" w:cs="Arial"/>
          <w:sz w:val="24"/>
          <w:szCs w:val="24"/>
        </w:rPr>
        <w:t>:</w:t>
      </w:r>
      <w:r w:rsidRPr="00AB1FA2">
        <w:rPr>
          <w:rFonts w:ascii="Arial" w:eastAsia="Times New Roman" w:hAnsi="Arial" w:cs="Arial"/>
          <w:sz w:val="24"/>
          <w:szCs w:val="24"/>
        </w:rPr>
        <w:t xml:space="preserve"> </w:t>
      </w:r>
      <w:hyperlink r:id="rId36" w:history="1">
        <w:r w:rsidR="00AB1FA2" w:rsidRPr="005A3C10">
          <w:rPr>
            <w:rStyle w:val="Hipervnculo"/>
            <w:rFonts w:ascii="Arial" w:eastAsia="Times New Roman" w:hAnsi="Arial" w:cs="Arial"/>
            <w:sz w:val="24"/>
            <w:szCs w:val="24"/>
          </w:rPr>
          <w:t>https://www.inegi.org.mx/programas/cnijf/2022/</w:t>
        </w:r>
      </w:hyperlink>
      <w:r w:rsidR="00AB1FA2" w:rsidRPr="005A3C10">
        <w:rPr>
          <w:rFonts w:ascii="Arial" w:eastAsia="Times New Roman" w:hAnsi="Arial" w:cs="Arial"/>
          <w:sz w:val="24"/>
          <w:szCs w:val="24"/>
        </w:rPr>
        <w:t xml:space="preserve"> .</w:t>
      </w:r>
    </w:p>
    <w:p w14:paraId="79DB93F8" w14:textId="027114E0" w:rsidR="00A056F0" w:rsidRDefault="00A056F0" w:rsidP="00306AB2">
      <w:pPr>
        <w:spacing w:after="0" w:line="240" w:lineRule="auto"/>
        <w:jc w:val="both"/>
        <w:rPr>
          <w:rFonts w:ascii="Arial" w:hAnsi="Arial" w:cs="Arial"/>
          <w:color w:val="FF0000"/>
          <w:spacing w:val="-2"/>
          <w:sz w:val="24"/>
          <w:szCs w:val="24"/>
        </w:rPr>
      </w:pPr>
    </w:p>
    <w:p w14:paraId="5AA38461" w14:textId="7A81CEED" w:rsidR="00480A11" w:rsidRDefault="00480A11" w:rsidP="00A056F0">
      <w:pPr>
        <w:pStyle w:val="NormalWeb"/>
        <w:spacing w:before="0" w:beforeAutospacing="0" w:after="0" w:afterAutospacing="0"/>
        <w:contextualSpacing/>
        <w:jc w:val="center"/>
        <w:rPr>
          <w:rFonts w:ascii="Arial" w:hAnsi="Arial" w:cs="Arial"/>
          <w:sz w:val="22"/>
          <w:szCs w:val="22"/>
        </w:rPr>
      </w:pPr>
    </w:p>
    <w:p w14:paraId="60EC58E0" w14:textId="661A701A" w:rsidR="002226E2" w:rsidRDefault="002226E2" w:rsidP="00A056F0">
      <w:pPr>
        <w:pStyle w:val="NormalWeb"/>
        <w:spacing w:before="0" w:beforeAutospacing="0" w:after="0" w:afterAutospacing="0"/>
        <w:contextualSpacing/>
        <w:jc w:val="center"/>
        <w:rPr>
          <w:rFonts w:ascii="Arial" w:hAnsi="Arial" w:cs="Arial"/>
          <w:sz w:val="22"/>
          <w:szCs w:val="22"/>
        </w:rPr>
      </w:pPr>
    </w:p>
    <w:p w14:paraId="1F4B7069" w14:textId="2C243341" w:rsidR="002226E2" w:rsidRDefault="002226E2" w:rsidP="00A056F0">
      <w:pPr>
        <w:pStyle w:val="NormalWeb"/>
        <w:spacing w:before="0" w:beforeAutospacing="0" w:after="0" w:afterAutospacing="0"/>
        <w:contextualSpacing/>
        <w:jc w:val="center"/>
        <w:rPr>
          <w:rFonts w:ascii="Arial" w:hAnsi="Arial" w:cs="Arial"/>
          <w:sz w:val="22"/>
          <w:szCs w:val="22"/>
        </w:rPr>
      </w:pPr>
    </w:p>
    <w:p w14:paraId="03CF068E" w14:textId="383B2311" w:rsidR="002226E2" w:rsidRDefault="002226E2" w:rsidP="00A056F0">
      <w:pPr>
        <w:pStyle w:val="NormalWeb"/>
        <w:spacing w:before="0" w:beforeAutospacing="0" w:after="0" w:afterAutospacing="0"/>
        <w:contextualSpacing/>
        <w:jc w:val="center"/>
        <w:rPr>
          <w:rFonts w:ascii="Arial" w:hAnsi="Arial" w:cs="Arial"/>
          <w:sz w:val="22"/>
          <w:szCs w:val="22"/>
        </w:rPr>
      </w:pPr>
    </w:p>
    <w:p w14:paraId="4FBD26D4" w14:textId="2687832F" w:rsidR="002226E2" w:rsidRDefault="002226E2" w:rsidP="00A056F0">
      <w:pPr>
        <w:pStyle w:val="NormalWeb"/>
        <w:spacing w:before="0" w:beforeAutospacing="0" w:after="0" w:afterAutospacing="0"/>
        <w:contextualSpacing/>
        <w:jc w:val="center"/>
        <w:rPr>
          <w:rFonts w:ascii="Arial" w:hAnsi="Arial" w:cs="Arial"/>
          <w:sz w:val="22"/>
          <w:szCs w:val="22"/>
        </w:rPr>
      </w:pPr>
    </w:p>
    <w:p w14:paraId="37C078B1" w14:textId="6DE2F73D" w:rsidR="002226E2" w:rsidRDefault="002226E2" w:rsidP="00A056F0">
      <w:pPr>
        <w:pStyle w:val="NormalWeb"/>
        <w:spacing w:before="0" w:beforeAutospacing="0" w:after="0" w:afterAutospacing="0"/>
        <w:contextualSpacing/>
        <w:jc w:val="center"/>
        <w:rPr>
          <w:rFonts w:ascii="Arial" w:hAnsi="Arial" w:cs="Arial"/>
          <w:sz w:val="22"/>
          <w:szCs w:val="22"/>
        </w:rPr>
      </w:pPr>
    </w:p>
    <w:p w14:paraId="3733D04E" w14:textId="59CAFE9A" w:rsidR="002226E2" w:rsidRDefault="002226E2" w:rsidP="00A056F0">
      <w:pPr>
        <w:pStyle w:val="NormalWeb"/>
        <w:spacing w:before="0" w:beforeAutospacing="0" w:after="0" w:afterAutospacing="0"/>
        <w:contextualSpacing/>
        <w:jc w:val="center"/>
        <w:rPr>
          <w:rFonts w:ascii="Arial" w:hAnsi="Arial" w:cs="Arial"/>
          <w:sz w:val="22"/>
          <w:szCs w:val="22"/>
        </w:rPr>
      </w:pPr>
    </w:p>
    <w:p w14:paraId="5B96319C" w14:textId="2BFA1B72" w:rsidR="002226E2" w:rsidRDefault="002226E2" w:rsidP="00A056F0">
      <w:pPr>
        <w:pStyle w:val="NormalWeb"/>
        <w:spacing w:before="0" w:beforeAutospacing="0" w:after="0" w:afterAutospacing="0"/>
        <w:contextualSpacing/>
        <w:jc w:val="center"/>
        <w:rPr>
          <w:rFonts w:ascii="Arial" w:hAnsi="Arial" w:cs="Arial"/>
          <w:sz w:val="22"/>
          <w:szCs w:val="22"/>
        </w:rPr>
      </w:pPr>
    </w:p>
    <w:p w14:paraId="34FB9BDD" w14:textId="339730A6" w:rsidR="002226E2" w:rsidRDefault="002226E2" w:rsidP="00A056F0">
      <w:pPr>
        <w:pStyle w:val="NormalWeb"/>
        <w:spacing w:before="0" w:beforeAutospacing="0" w:after="0" w:afterAutospacing="0"/>
        <w:contextualSpacing/>
        <w:jc w:val="center"/>
        <w:rPr>
          <w:rFonts w:ascii="Arial" w:hAnsi="Arial" w:cs="Arial"/>
          <w:sz w:val="22"/>
          <w:szCs w:val="22"/>
        </w:rPr>
      </w:pPr>
    </w:p>
    <w:p w14:paraId="4A320F18" w14:textId="7D79EDCC" w:rsidR="002226E2" w:rsidRDefault="002226E2" w:rsidP="00A056F0">
      <w:pPr>
        <w:pStyle w:val="NormalWeb"/>
        <w:spacing w:before="0" w:beforeAutospacing="0" w:after="0" w:afterAutospacing="0"/>
        <w:contextualSpacing/>
        <w:jc w:val="center"/>
        <w:rPr>
          <w:rFonts w:ascii="Arial" w:hAnsi="Arial" w:cs="Arial"/>
          <w:sz w:val="22"/>
          <w:szCs w:val="22"/>
        </w:rPr>
      </w:pPr>
    </w:p>
    <w:p w14:paraId="49A4A265" w14:textId="4BF6DD20" w:rsidR="002226E2" w:rsidRDefault="002226E2" w:rsidP="00A056F0">
      <w:pPr>
        <w:pStyle w:val="NormalWeb"/>
        <w:spacing w:before="0" w:beforeAutospacing="0" w:after="0" w:afterAutospacing="0"/>
        <w:contextualSpacing/>
        <w:jc w:val="center"/>
        <w:rPr>
          <w:rFonts w:ascii="Arial" w:hAnsi="Arial" w:cs="Arial"/>
          <w:sz w:val="22"/>
          <w:szCs w:val="22"/>
        </w:rPr>
      </w:pPr>
    </w:p>
    <w:p w14:paraId="588DE5B2" w14:textId="56B1CC08" w:rsidR="002226E2" w:rsidRDefault="002226E2" w:rsidP="00A056F0">
      <w:pPr>
        <w:pStyle w:val="NormalWeb"/>
        <w:spacing w:before="0" w:beforeAutospacing="0" w:after="0" w:afterAutospacing="0"/>
        <w:contextualSpacing/>
        <w:jc w:val="center"/>
        <w:rPr>
          <w:rFonts w:ascii="Arial" w:hAnsi="Arial" w:cs="Arial"/>
          <w:sz w:val="22"/>
          <w:szCs w:val="22"/>
        </w:rPr>
      </w:pPr>
    </w:p>
    <w:p w14:paraId="7DED3E19" w14:textId="11743434" w:rsidR="002226E2" w:rsidRDefault="002226E2" w:rsidP="00A056F0">
      <w:pPr>
        <w:pStyle w:val="NormalWeb"/>
        <w:spacing w:before="0" w:beforeAutospacing="0" w:after="0" w:afterAutospacing="0"/>
        <w:contextualSpacing/>
        <w:jc w:val="center"/>
        <w:rPr>
          <w:rFonts w:ascii="Arial" w:hAnsi="Arial" w:cs="Arial"/>
          <w:sz w:val="22"/>
          <w:szCs w:val="22"/>
        </w:rPr>
      </w:pPr>
    </w:p>
    <w:p w14:paraId="320370C1" w14:textId="77777777" w:rsidR="002226E2" w:rsidRDefault="002226E2" w:rsidP="00A056F0">
      <w:pPr>
        <w:pStyle w:val="NormalWeb"/>
        <w:spacing w:before="0" w:beforeAutospacing="0" w:after="0" w:afterAutospacing="0"/>
        <w:contextualSpacing/>
        <w:jc w:val="center"/>
        <w:rPr>
          <w:rFonts w:ascii="Arial" w:hAnsi="Arial" w:cs="Arial"/>
          <w:sz w:val="22"/>
          <w:szCs w:val="22"/>
        </w:rPr>
      </w:pPr>
    </w:p>
    <w:p w14:paraId="477F0931" w14:textId="1A2D65B5" w:rsidR="00A056F0" w:rsidRPr="00270E17" w:rsidRDefault="00A056F0" w:rsidP="00A056F0">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Para consultas de medios y periodistas, contactar a: </w:t>
      </w:r>
      <w:hyperlink r:id="rId37" w:history="1">
        <w:r w:rsidRPr="00270E17">
          <w:rPr>
            <w:rStyle w:val="Hipervnculo"/>
            <w:rFonts w:ascii="Arial" w:hAnsi="Arial" w:cs="Arial"/>
            <w:sz w:val="22"/>
            <w:szCs w:val="22"/>
          </w:rPr>
          <w:t>comunicacionsocial@inegi.org.mx</w:t>
        </w:r>
      </w:hyperlink>
      <w:r w:rsidRPr="00270E17">
        <w:rPr>
          <w:rFonts w:ascii="Arial" w:hAnsi="Arial" w:cs="Arial"/>
          <w:sz w:val="22"/>
          <w:szCs w:val="22"/>
        </w:rPr>
        <w:t xml:space="preserve"> </w:t>
      </w:r>
    </w:p>
    <w:p w14:paraId="12D3F262" w14:textId="77777777" w:rsidR="00A056F0" w:rsidRPr="00270E17" w:rsidRDefault="00A056F0" w:rsidP="00A056F0">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o llamar al teléfono (55) 52-78-10-00, exts. 1134, 1260 y 1241.</w:t>
      </w:r>
    </w:p>
    <w:p w14:paraId="68066281" w14:textId="77777777" w:rsidR="00A056F0" w:rsidRPr="00270E17" w:rsidRDefault="00A056F0" w:rsidP="00A056F0">
      <w:pPr>
        <w:pStyle w:val="NormalWeb"/>
        <w:spacing w:before="0" w:beforeAutospacing="0" w:after="0" w:afterAutospacing="0"/>
        <w:contextualSpacing/>
        <w:jc w:val="center"/>
        <w:rPr>
          <w:rFonts w:ascii="Arial" w:hAnsi="Arial" w:cs="Arial"/>
          <w:sz w:val="22"/>
          <w:szCs w:val="22"/>
        </w:rPr>
      </w:pPr>
    </w:p>
    <w:p w14:paraId="57FDE4F3" w14:textId="77E6F071" w:rsidR="00A056F0" w:rsidRDefault="00A056F0" w:rsidP="00A056F0">
      <w:pPr>
        <w:contextualSpacing/>
        <w:jc w:val="center"/>
        <w:rPr>
          <w:rFonts w:ascii="Arial" w:hAnsi="Arial" w:cs="Arial"/>
        </w:rPr>
      </w:pPr>
      <w:r w:rsidRPr="00270E17">
        <w:rPr>
          <w:rFonts w:ascii="Arial" w:hAnsi="Arial" w:cs="Arial"/>
        </w:rPr>
        <w:t>Dirección de Atención a Medios/Dirección General Adjunta de Comunicación</w:t>
      </w:r>
    </w:p>
    <w:p w14:paraId="71A3253F" w14:textId="77777777" w:rsidR="00D115C8" w:rsidRPr="00270E17" w:rsidRDefault="00D115C8" w:rsidP="00A056F0">
      <w:pPr>
        <w:contextualSpacing/>
        <w:jc w:val="center"/>
        <w:rPr>
          <w:rFonts w:ascii="Arial" w:hAnsi="Arial" w:cs="Arial"/>
        </w:rPr>
      </w:pPr>
    </w:p>
    <w:p w14:paraId="4245224F" w14:textId="77777777" w:rsidR="00A056F0" w:rsidRPr="00270E17" w:rsidRDefault="00A056F0" w:rsidP="00A056F0">
      <w:pPr>
        <w:contextualSpacing/>
        <w:jc w:val="center"/>
        <w:rPr>
          <w:rFonts w:ascii="Arial" w:hAnsi="Arial" w:cs="Arial"/>
          <w:sz w:val="16"/>
          <w:szCs w:val="24"/>
        </w:rPr>
      </w:pPr>
    </w:p>
    <w:p w14:paraId="7141F6FB" w14:textId="77777777" w:rsidR="00A056F0" w:rsidRPr="00270E17" w:rsidRDefault="00A056F0" w:rsidP="00A056F0">
      <w:pPr>
        <w:ind w:left="-425" w:right="-516"/>
        <w:contextualSpacing/>
        <w:jc w:val="center"/>
        <w:rPr>
          <w:noProof/>
          <w:lang w:eastAsia="es-MX"/>
        </w:rPr>
        <w:sectPr w:rsidR="00A056F0" w:rsidRPr="00270E17" w:rsidSect="0005255F">
          <w:headerReference w:type="default" r:id="rId38"/>
          <w:footerReference w:type="default" r:id="rId39"/>
          <w:type w:val="continuous"/>
          <w:pgSz w:w="12240" w:h="15840"/>
          <w:pgMar w:top="1702" w:right="1020" w:bottom="993" w:left="1134" w:header="426" w:footer="413" w:gutter="0"/>
          <w:pgNumType w:start="1"/>
          <w:cols w:space="720"/>
        </w:sectPr>
      </w:pPr>
      <w:r w:rsidRPr="00270E17">
        <w:rPr>
          <w:noProof/>
          <w:lang w:eastAsia="es-MX"/>
        </w:rPr>
        <w:drawing>
          <wp:inline distT="0" distB="0" distL="0" distR="0" wp14:anchorId="0AACE390" wp14:editId="25A2BFD7">
            <wp:extent cx="266700" cy="278296"/>
            <wp:effectExtent l="0" t="0" r="0" b="7620"/>
            <wp:docPr id="83" name="Imagen 83" descr="C:\Users\saladeprensa\Desktop\NVOS LOGOS\F.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6FA65B3E" wp14:editId="5C0745F1">
            <wp:extent cx="285750" cy="285750"/>
            <wp:effectExtent l="0" t="0" r="0" b="0"/>
            <wp:docPr id="4" name="Imagen 4" descr="C:\Users\saladeprensa\Desktop\NVOS LOGOS\I.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1E132876" wp14:editId="6003FEA6">
            <wp:extent cx="276225" cy="276225"/>
            <wp:effectExtent l="0" t="0" r="9525" b="9525"/>
            <wp:docPr id="84" name="Imagen 84" descr="C:\Users\saladeprensa\Desktop\NVOS LOGOS\T.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144D0099" wp14:editId="691C9C56">
            <wp:extent cx="285750" cy="285750"/>
            <wp:effectExtent l="0" t="0" r="0" b="0"/>
            <wp:docPr id="85" name="Imagen 85" descr="C:\Users\saladeprensa\Desktop\NVOS LOGOS\Y.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sz w:val="14"/>
          <w:szCs w:val="18"/>
          <w:lang w:eastAsia="es-MX"/>
        </w:rPr>
        <w:drawing>
          <wp:inline distT="0" distB="0" distL="0" distR="0" wp14:anchorId="09A67646" wp14:editId="5214058A">
            <wp:extent cx="2291293" cy="274955"/>
            <wp:effectExtent l="0" t="0" r="0" b="0"/>
            <wp:docPr id="86" name="Imagen 8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1A306DD6" w14:textId="75C3077E" w:rsidR="00A056F0" w:rsidRDefault="00A056F0" w:rsidP="00797111">
      <w:pPr>
        <w:spacing w:after="0" w:line="240" w:lineRule="auto"/>
        <w:ind w:left="-567"/>
        <w:jc w:val="both"/>
        <w:rPr>
          <w:rFonts w:ascii="Arial" w:hAnsi="Arial" w:cs="Arial"/>
          <w:color w:val="FF0000"/>
          <w:spacing w:val="-2"/>
          <w:sz w:val="24"/>
          <w:szCs w:val="24"/>
        </w:rPr>
      </w:pPr>
    </w:p>
    <w:p w14:paraId="04F219E9" w14:textId="56D8B451" w:rsidR="0050509E" w:rsidRDefault="0050509E" w:rsidP="00797111">
      <w:pPr>
        <w:spacing w:after="0" w:line="240" w:lineRule="auto"/>
        <w:ind w:left="-567"/>
        <w:jc w:val="both"/>
        <w:rPr>
          <w:rFonts w:ascii="Arial" w:hAnsi="Arial" w:cs="Arial"/>
          <w:color w:val="FF0000"/>
          <w:spacing w:val="-2"/>
          <w:sz w:val="24"/>
          <w:szCs w:val="24"/>
        </w:rPr>
      </w:pPr>
    </w:p>
    <w:p w14:paraId="528A7BDD" w14:textId="25BEB177" w:rsidR="0050509E" w:rsidRDefault="0050509E" w:rsidP="00797111">
      <w:pPr>
        <w:spacing w:after="0" w:line="240" w:lineRule="auto"/>
        <w:ind w:left="-567"/>
        <w:jc w:val="both"/>
        <w:rPr>
          <w:rFonts w:ascii="Arial" w:hAnsi="Arial" w:cs="Arial"/>
          <w:color w:val="FF0000"/>
          <w:spacing w:val="-2"/>
          <w:sz w:val="24"/>
          <w:szCs w:val="24"/>
        </w:rPr>
      </w:pPr>
    </w:p>
    <w:p w14:paraId="1FAAF674" w14:textId="7CBD79E8" w:rsidR="0050509E" w:rsidRDefault="0050509E" w:rsidP="00797111">
      <w:pPr>
        <w:spacing w:after="0" w:line="240" w:lineRule="auto"/>
        <w:ind w:left="-567"/>
        <w:jc w:val="both"/>
        <w:rPr>
          <w:rFonts w:ascii="Arial" w:hAnsi="Arial" w:cs="Arial"/>
          <w:color w:val="FF0000"/>
          <w:spacing w:val="-2"/>
          <w:sz w:val="24"/>
          <w:szCs w:val="24"/>
        </w:rPr>
      </w:pPr>
    </w:p>
    <w:p w14:paraId="0BFABB36" w14:textId="7A636FAA" w:rsidR="0050509E" w:rsidRDefault="0050509E" w:rsidP="00797111">
      <w:pPr>
        <w:spacing w:after="0" w:line="240" w:lineRule="auto"/>
        <w:ind w:left="-567"/>
        <w:jc w:val="both"/>
        <w:rPr>
          <w:rFonts w:ascii="Arial" w:hAnsi="Arial" w:cs="Arial"/>
          <w:color w:val="FF0000"/>
          <w:spacing w:val="-2"/>
          <w:sz w:val="24"/>
          <w:szCs w:val="24"/>
        </w:rPr>
      </w:pPr>
    </w:p>
    <w:p w14:paraId="53BFCC49" w14:textId="000CEC5B" w:rsidR="00AC24EB" w:rsidRDefault="00AC24EB" w:rsidP="00797111">
      <w:pPr>
        <w:spacing w:after="0" w:line="240" w:lineRule="auto"/>
        <w:ind w:left="-567"/>
        <w:jc w:val="both"/>
        <w:rPr>
          <w:rFonts w:ascii="Arial" w:hAnsi="Arial" w:cs="Arial"/>
          <w:color w:val="FF0000"/>
          <w:spacing w:val="-2"/>
          <w:sz w:val="24"/>
          <w:szCs w:val="24"/>
        </w:rPr>
      </w:pPr>
    </w:p>
    <w:p w14:paraId="0AD41EC0" w14:textId="06AC6E5E" w:rsidR="00AC24EB" w:rsidRDefault="00AC24EB" w:rsidP="00797111">
      <w:pPr>
        <w:spacing w:after="0" w:line="240" w:lineRule="auto"/>
        <w:ind w:left="-567"/>
        <w:jc w:val="both"/>
        <w:rPr>
          <w:rFonts w:ascii="Arial" w:hAnsi="Arial" w:cs="Arial"/>
          <w:color w:val="FF0000"/>
          <w:spacing w:val="-2"/>
          <w:sz w:val="24"/>
          <w:szCs w:val="24"/>
        </w:rPr>
      </w:pPr>
    </w:p>
    <w:p w14:paraId="7DF4C105" w14:textId="1C6E0C3A" w:rsidR="00BF58D2" w:rsidRPr="001D0E9F" w:rsidRDefault="00D115C8" w:rsidP="00462B4C">
      <w:pPr>
        <w:pStyle w:val="Default"/>
        <w:ind w:left="-567"/>
        <w:jc w:val="center"/>
        <w:rPr>
          <w:b/>
          <w:bCs/>
          <w:color w:val="000000" w:themeColor="text1"/>
        </w:rPr>
      </w:pPr>
      <w:r w:rsidRPr="001D0E9F">
        <w:rPr>
          <w:b/>
          <w:bCs/>
          <w:color w:val="000000" w:themeColor="text1"/>
        </w:rPr>
        <w:lastRenderedPageBreak/>
        <w:t>ANEXO</w:t>
      </w:r>
    </w:p>
    <w:p w14:paraId="44D7D9A6" w14:textId="27C58135" w:rsidR="00D115C8" w:rsidRPr="001D0E9F" w:rsidRDefault="00D115C8" w:rsidP="00462B4C">
      <w:pPr>
        <w:pStyle w:val="Default"/>
        <w:ind w:left="-567"/>
        <w:jc w:val="center"/>
        <w:rPr>
          <w:b/>
          <w:bCs/>
          <w:color w:val="000000" w:themeColor="text1"/>
        </w:rPr>
      </w:pPr>
    </w:p>
    <w:p w14:paraId="5EFAA82B" w14:textId="3D1AB624" w:rsidR="00D115C8" w:rsidRPr="001D0E9F" w:rsidRDefault="00D115C8" w:rsidP="00462B4C">
      <w:pPr>
        <w:pStyle w:val="Default"/>
        <w:ind w:left="-567"/>
        <w:jc w:val="center"/>
        <w:rPr>
          <w:b/>
          <w:bCs/>
          <w:color w:val="000000" w:themeColor="text1"/>
        </w:rPr>
      </w:pPr>
      <w:r w:rsidRPr="001D0E9F">
        <w:rPr>
          <w:b/>
          <w:bCs/>
          <w:color w:val="000000" w:themeColor="text1"/>
        </w:rPr>
        <w:t>NOTA TÉCNICA</w:t>
      </w:r>
    </w:p>
    <w:p w14:paraId="6098E72B" w14:textId="77777777" w:rsidR="00BF58D2" w:rsidRPr="001D0E9F" w:rsidRDefault="00BF58D2" w:rsidP="00BF58D2">
      <w:pPr>
        <w:autoSpaceDE w:val="0"/>
        <w:autoSpaceDN w:val="0"/>
        <w:adjustRightInd w:val="0"/>
        <w:spacing w:after="0" w:line="240" w:lineRule="auto"/>
        <w:ind w:left="-567"/>
        <w:jc w:val="center"/>
        <w:rPr>
          <w:rFonts w:ascii="Arial" w:hAnsi="Arial" w:cs="Arial"/>
          <w:b/>
          <w:bCs/>
          <w:sz w:val="24"/>
          <w:szCs w:val="24"/>
        </w:rPr>
      </w:pPr>
    </w:p>
    <w:p w14:paraId="25BFCD6F" w14:textId="77777777" w:rsidR="00846BAE" w:rsidRPr="00AB1FA2" w:rsidRDefault="00D115C8" w:rsidP="00846BAE">
      <w:pPr>
        <w:pStyle w:val="Prrafodelista"/>
        <w:autoSpaceDE w:val="0"/>
        <w:autoSpaceDN w:val="0"/>
        <w:adjustRightInd w:val="0"/>
        <w:spacing w:after="0" w:line="240" w:lineRule="auto"/>
        <w:ind w:left="-567" w:right="142"/>
        <w:jc w:val="both"/>
        <w:rPr>
          <w:rFonts w:ascii="Arial" w:hAnsi="Arial" w:cs="Arial"/>
          <w:bCs/>
          <w:sz w:val="24"/>
          <w:szCs w:val="24"/>
        </w:rPr>
      </w:pPr>
      <w:r w:rsidRPr="00AB1FA2">
        <w:rPr>
          <w:rFonts w:ascii="Arial" w:hAnsi="Arial" w:cs="Arial"/>
          <w:bCs/>
          <w:sz w:val="24"/>
          <w:szCs w:val="24"/>
        </w:rPr>
        <w:t xml:space="preserve">El </w:t>
      </w:r>
      <w:r w:rsidR="00846BAE" w:rsidRPr="00AB1FA2">
        <w:rPr>
          <w:rFonts w:ascii="Arial" w:hAnsi="Arial" w:cs="Arial"/>
          <w:bCs/>
          <w:sz w:val="24"/>
          <w:szCs w:val="24"/>
        </w:rPr>
        <w:t>Censo Nacional de Impartición de Justicia Federal (CNIJF)</w:t>
      </w:r>
      <w:r w:rsidRPr="00AB1FA2">
        <w:rPr>
          <w:rFonts w:ascii="Arial" w:hAnsi="Arial" w:cs="Arial"/>
          <w:bCs/>
          <w:sz w:val="24"/>
          <w:szCs w:val="24"/>
        </w:rPr>
        <w:t xml:space="preserve"> es u</w:t>
      </w:r>
      <w:r w:rsidR="00BF58D2" w:rsidRPr="00AB1FA2">
        <w:rPr>
          <w:rFonts w:ascii="Arial" w:hAnsi="Arial" w:cs="Arial"/>
          <w:bCs/>
          <w:sz w:val="24"/>
          <w:szCs w:val="24"/>
        </w:rPr>
        <w:t xml:space="preserve">n programa estadístico que se realiza en el ámbito </w:t>
      </w:r>
      <w:r w:rsidR="00846BAE" w:rsidRPr="00AB1FA2">
        <w:rPr>
          <w:rFonts w:ascii="Arial" w:hAnsi="Arial" w:cs="Arial"/>
          <w:bCs/>
          <w:sz w:val="24"/>
          <w:szCs w:val="24"/>
        </w:rPr>
        <w:t>federal</w:t>
      </w:r>
      <w:r w:rsidR="00BF58D2" w:rsidRPr="00AB1FA2">
        <w:rPr>
          <w:rFonts w:ascii="Arial" w:hAnsi="Arial" w:cs="Arial"/>
          <w:bCs/>
          <w:sz w:val="24"/>
          <w:szCs w:val="24"/>
        </w:rPr>
        <w:t xml:space="preserve"> del Estado mexicano</w:t>
      </w:r>
      <w:r w:rsidRPr="00AB1FA2">
        <w:rPr>
          <w:rFonts w:ascii="Arial" w:hAnsi="Arial" w:cs="Arial"/>
          <w:bCs/>
          <w:sz w:val="24"/>
          <w:szCs w:val="24"/>
        </w:rPr>
        <w:t xml:space="preserve"> y </w:t>
      </w:r>
      <w:r w:rsidR="00846BAE" w:rsidRPr="00AB1FA2">
        <w:rPr>
          <w:rFonts w:ascii="Arial" w:hAnsi="Arial" w:cs="Arial"/>
          <w:bCs/>
          <w:sz w:val="24"/>
          <w:szCs w:val="24"/>
        </w:rPr>
        <w:t>ofrece información relevante de la</w:t>
      </w:r>
    </w:p>
    <w:p w14:paraId="64E9387B" w14:textId="6B53DD79" w:rsidR="00BF58D2" w:rsidRPr="00AB1FA2" w:rsidRDefault="00846BAE" w:rsidP="00846BAE">
      <w:pPr>
        <w:pStyle w:val="Prrafodelista"/>
        <w:autoSpaceDE w:val="0"/>
        <w:autoSpaceDN w:val="0"/>
        <w:adjustRightInd w:val="0"/>
        <w:spacing w:after="0" w:line="240" w:lineRule="auto"/>
        <w:ind w:left="-567" w:right="142"/>
        <w:jc w:val="both"/>
        <w:rPr>
          <w:rFonts w:ascii="Arial" w:hAnsi="Arial" w:cs="Arial"/>
          <w:bCs/>
          <w:sz w:val="24"/>
          <w:szCs w:val="24"/>
        </w:rPr>
      </w:pPr>
      <w:r w:rsidRPr="00AB1FA2">
        <w:rPr>
          <w:rFonts w:ascii="Arial" w:hAnsi="Arial" w:cs="Arial"/>
          <w:bCs/>
          <w:sz w:val="24"/>
          <w:szCs w:val="24"/>
        </w:rPr>
        <w:t xml:space="preserve">estructura organizacional, recursos y ejercicio de la función de los órganos que conforman </w:t>
      </w:r>
      <w:r w:rsidR="00231479">
        <w:rPr>
          <w:rFonts w:ascii="Arial" w:hAnsi="Arial" w:cs="Arial"/>
          <w:bCs/>
          <w:sz w:val="24"/>
          <w:szCs w:val="24"/>
        </w:rPr>
        <w:t>e</w:t>
      </w:r>
      <w:r w:rsidRPr="00AB1FA2">
        <w:rPr>
          <w:rFonts w:ascii="Arial" w:hAnsi="Arial" w:cs="Arial"/>
          <w:bCs/>
          <w:sz w:val="24"/>
          <w:szCs w:val="24"/>
        </w:rPr>
        <w:t>l Poder Judicial de la Federación.</w:t>
      </w:r>
    </w:p>
    <w:p w14:paraId="6228BB0C" w14:textId="77777777" w:rsidR="00BF58D2" w:rsidRPr="00AB1FA2" w:rsidRDefault="00BF58D2" w:rsidP="00BF58D2">
      <w:pPr>
        <w:pStyle w:val="Prrafodelista"/>
        <w:autoSpaceDE w:val="0"/>
        <w:autoSpaceDN w:val="0"/>
        <w:adjustRightInd w:val="0"/>
        <w:spacing w:after="0" w:line="240" w:lineRule="auto"/>
        <w:ind w:left="709" w:right="1134"/>
        <w:jc w:val="both"/>
        <w:rPr>
          <w:rFonts w:ascii="Arial" w:hAnsi="Arial" w:cs="Arial"/>
          <w:b/>
          <w:bCs/>
          <w:color w:val="FF0000"/>
          <w:sz w:val="24"/>
          <w:szCs w:val="24"/>
        </w:rPr>
      </w:pPr>
    </w:p>
    <w:p w14:paraId="5535F47A" w14:textId="0B645B9E" w:rsidR="00D115C8" w:rsidRPr="00AB1FA2" w:rsidRDefault="008828B3" w:rsidP="008828B3">
      <w:pPr>
        <w:spacing w:after="0" w:line="240" w:lineRule="auto"/>
        <w:ind w:left="-567"/>
        <w:jc w:val="both"/>
        <w:rPr>
          <w:rFonts w:ascii="Arial" w:hAnsi="Arial" w:cs="Arial"/>
          <w:sz w:val="24"/>
          <w:szCs w:val="24"/>
        </w:rPr>
      </w:pPr>
      <w:r w:rsidRPr="00AB1FA2">
        <w:rPr>
          <w:rFonts w:ascii="Arial" w:hAnsi="Arial" w:cs="Arial"/>
          <w:sz w:val="24"/>
          <w:szCs w:val="24"/>
        </w:rPr>
        <w:t xml:space="preserve">Los resultados del </w:t>
      </w:r>
      <w:r w:rsidR="00846BAE" w:rsidRPr="00AB1FA2">
        <w:rPr>
          <w:rFonts w:ascii="Arial" w:hAnsi="Arial" w:cs="Arial"/>
          <w:sz w:val="24"/>
          <w:szCs w:val="24"/>
        </w:rPr>
        <w:t xml:space="preserve">CNIJF </w:t>
      </w:r>
      <w:r w:rsidRPr="00AB1FA2">
        <w:rPr>
          <w:rFonts w:ascii="Arial" w:hAnsi="Arial" w:cs="Arial"/>
          <w:sz w:val="24"/>
          <w:szCs w:val="24"/>
        </w:rPr>
        <w:t>202</w:t>
      </w:r>
      <w:r w:rsidR="00846BAE" w:rsidRPr="00AB1FA2">
        <w:rPr>
          <w:rFonts w:ascii="Arial" w:hAnsi="Arial" w:cs="Arial"/>
          <w:sz w:val="24"/>
          <w:szCs w:val="24"/>
        </w:rPr>
        <w:t>2</w:t>
      </w:r>
      <w:r w:rsidRPr="00AB1FA2">
        <w:rPr>
          <w:rFonts w:ascii="Arial" w:hAnsi="Arial" w:cs="Arial"/>
          <w:sz w:val="24"/>
          <w:szCs w:val="24"/>
        </w:rPr>
        <w:t xml:space="preserve"> integran información correspondiente a </w:t>
      </w:r>
      <w:r w:rsidR="008F5B13" w:rsidRPr="00AB1FA2">
        <w:rPr>
          <w:rFonts w:ascii="Arial" w:hAnsi="Arial" w:cs="Arial"/>
          <w:sz w:val="24"/>
          <w:szCs w:val="24"/>
        </w:rPr>
        <w:t>2021 y 2022</w:t>
      </w:r>
      <w:r w:rsidR="00231479">
        <w:rPr>
          <w:rFonts w:ascii="Arial" w:hAnsi="Arial" w:cs="Arial"/>
          <w:sz w:val="24"/>
          <w:szCs w:val="24"/>
        </w:rPr>
        <w:t>. E</w:t>
      </w:r>
      <w:r w:rsidR="008F5B13" w:rsidRPr="00AB1FA2">
        <w:rPr>
          <w:rFonts w:ascii="Arial" w:hAnsi="Arial" w:cs="Arial"/>
          <w:sz w:val="24"/>
          <w:szCs w:val="24"/>
        </w:rPr>
        <w:t>ste último solo para las preguntas que solicitan datos al momento de la aplicación del cuestionario.</w:t>
      </w:r>
    </w:p>
    <w:p w14:paraId="0E651286" w14:textId="5684536E" w:rsidR="00D115C8" w:rsidRPr="00AB1FA2" w:rsidRDefault="00D115C8" w:rsidP="008828B3">
      <w:pPr>
        <w:spacing w:after="0" w:line="240" w:lineRule="auto"/>
        <w:ind w:left="-567"/>
        <w:jc w:val="both"/>
        <w:rPr>
          <w:rFonts w:ascii="Arial" w:hAnsi="Arial" w:cs="Arial"/>
          <w:sz w:val="24"/>
          <w:szCs w:val="24"/>
        </w:rPr>
      </w:pPr>
    </w:p>
    <w:p w14:paraId="5AE59E6C" w14:textId="484109B9" w:rsidR="00D115C8" w:rsidRDefault="00D115C8" w:rsidP="00D115C8">
      <w:pPr>
        <w:ind w:left="-567"/>
        <w:jc w:val="both"/>
        <w:rPr>
          <w:rFonts w:ascii="Arial" w:hAnsi="Arial" w:cs="Arial"/>
          <w:sz w:val="24"/>
          <w:szCs w:val="24"/>
        </w:rPr>
      </w:pPr>
      <w:r w:rsidRPr="00AB1FA2">
        <w:rPr>
          <w:rFonts w:ascii="Arial" w:hAnsi="Arial" w:cs="Arial"/>
          <w:sz w:val="24"/>
          <w:szCs w:val="24"/>
        </w:rPr>
        <w:t>La</w:t>
      </w:r>
      <w:r w:rsidR="008F5B13" w:rsidRPr="00AB1FA2">
        <w:rPr>
          <w:rFonts w:ascii="Arial" w:hAnsi="Arial" w:cs="Arial"/>
          <w:sz w:val="24"/>
          <w:szCs w:val="24"/>
        </w:rPr>
        <w:t>s</w:t>
      </w:r>
      <w:r w:rsidRPr="00AB1FA2">
        <w:rPr>
          <w:rFonts w:ascii="Arial" w:hAnsi="Arial" w:cs="Arial"/>
          <w:sz w:val="24"/>
          <w:szCs w:val="24"/>
        </w:rPr>
        <w:t xml:space="preserve"> unidad</w:t>
      </w:r>
      <w:r w:rsidR="008F5B13" w:rsidRPr="00AB1FA2">
        <w:rPr>
          <w:rFonts w:ascii="Arial" w:hAnsi="Arial" w:cs="Arial"/>
          <w:sz w:val="24"/>
          <w:szCs w:val="24"/>
        </w:rPr>
        <w:t>es</w:t>
      </w:r>
      <w:r w:rsidRPr="00AB1FA2">
        <w:rPr>
          <w:rFonts w:ascii="Arial" w:hAnsi="Arial" w:cs="Arial"/>
          <w:sz w:val="24"/>
          <w:szCs w:val="24"/>
        </w:rPr>
        <w:t xml:space="preserve"> de análisis son l</w:t>
      </w:r>
      <w:r w:rsidR="008F5B13" w:rsidRPr="00AB1FA2">
        <w:rPr>
          <w:rFonts w:ascii="Arial" w:hAnsi="Arial" w:cs="Arial"/>
          <w:sz w:val="24"/>
          <w:szCs w:val="24"/>
        </w:rPr>
        <w:t>os órganos</w:t>
      </w:r>
      <w:r w:rsidRPr="00AB1FA2">
        <w:rPr>
          <w:rFonts w:ascii="Arial" w:hAnsi="Arial" w:cs="Arial"/>
          <w:sz w:val="24"/>
          <w:szCs w:val="24"/>
        </w:rPr>
        <w:t xml:space="preserve"> que</w:t>
      </w:r>
      <w:r w:rsidR="008F5B13" w:rsidRPr="00AB1FA2">
        <w:rPr>
          <w:rFonts w:ascii="Arial" w:hAnsi="Arial" w:cs="Arial"/>
          <w:sz w:val="24"/>
          <w:szCs w:val="24"/>
        </w:rPr>
        <w:t xml:space="preserve"> integran el Poder Judicial de la Federación (Suprema Corte de Justicia de la Nación, Tribunal Electoral del Poder Judicial de la Federación, Consejo de la Judicatura Federal, Defensoría Pública Electoral para Pueblos y Comunidades Indígenas y el Instituto Federal de Defensoría Pública</w:t>
      </w:r>
      <w:r w:rsidR="00AB1FA2" w:rsidRPr="00AB1FA2">
        <w:rPr>
          <w:rFonts w:ascii="Arial" w:hAnsi="Arial" w:cs="Arial"/>
          <w:sz w:val="24"/>
          <w:szCs w:val="24"/>
        </w:rPr>
        <w:t xml:space="preserve">). </w:t>
      </w:r>
      <w:r w:rsidRPr="00AB1FA2">
        <w:rPr>
          <w:rFonts w:ascii="Arial" w:hAnsi="Arial" w:cs="Arial"/>
          <w:sz w:val="24"/>
          <w:szCs w:val="24"/>
        </w:rPr>
        <w:t xml:space="preserve">El levantamiento fue del </w:t>
      </w:r>
      <w:r w:rsidR="00AB1FA2">
        <w:rPr>
          <w:rFonts w:ascii="Arial" w:hAnsi="Arial" w:cs="Arial"/>
          <w:sz w:val="24"/>
          <w:szCs w:val="24"/>
        </w:rPr>
        <w:t>14</w:t>
      </w:r>
      <w:r w:rsidRPr="00AB1FA2">
        <w:rPr>
          <w:rFonts w:ascii="Arial" w:hAnsi="Arial" w:cs="Arial"/>
          <w:sz w:val="24"/>
          <w:szCs w:val="24"/>
        </w:rPr>
        <w:t xml:space="preserve"> de </w:t>
      </w:r>
      <w:r w:rsidR="00AB1FA2">
        <w:rPr>
          <w:rFonts w:ascii="Arial" w:hAnsi="Arial" w:cs="Arial"/>
          <w:sz w:val="24"/>
          <w:szCs w:val="24"/>
        </w:rPr>
        <w:t>febrero</w:t>
      </w:r>
      <w:r w:rsidRPr="00AB1FA2">
        <w:rPr>
          <w:rFonts w:ascii="Arial" w:hAnsi="Arial" w:cs="Arial"/>
          <w:sz w:val="24"/>
          <w:szCs w:val="24"/>
        </w:rPr>
        <w:t xml:space="preserve"> al 1</w:t>
      </w:r>
      <w:r w:rsidR="00AB1FA2">
        <w:rPr>
          <w:rFonts w:ascii="Arial" w:hAnsi="Arial" w:cs="Arial"/>
          <w:sz w:val="24"/>
          <w:szCs w:val="24"/>
        </w:rPr>
        <w:t>8</w:t>
      </w:r>
      <w:r w:rsidRPr="00AB1FA2">
        <w:rPr>
          <w:rFonts w:ascii="Arial" w:hAnsi="Arial" w:cs="Arial"/>
          <w:sz w:val="24"/>
          <w:szCs w:val="24"/>
        </w:rPr>
        <w:t xml:space="preserve"> de </w:t>
      </w:r>
      <w:r w:rsidR="00AB1FA2">
        <w:rPr>
          <w:rFonts w:ascii="Arial" w:hAnsi="Arial" w:cs="Arial"/>
          <w:sz w:val="24"/>
          <w:szCs w:val="24"/>
        </w:rPr>
        <w:t>mayo de 2022.</w:t>
      </w:r>
    </w:p>
    <w:p w14:paraId="4B792A12" w14:textId="34E24946" w:rsidR="008828B3" w:rsidRDefault="00D115C8" w:rsidP="00EE0193">
      <w:pPr>
        <w:spacing w:after="0" w:line="240" w:lineRule="auto"/>
        <w:ind w:left="-567"/>
        <w:jc w:val="both"/>
        <w:rPr>
          <w:rFonts w:ascii="Arial" w:hAnsi="Arial" w:cs="Arial"/>
          <w:sz w:val="24"/>
          <w:szCs w:val="24"/>
        </w:rPr>
      </w:pPr>
      <w:r w:rsidRPr="001D0E9F">
        <w:rPr>
          <w:rFonts w:ascii="Arial" w:hAnsi="Arial" w:cs="Arial"/>
          <w:sz w:val="24"/>
          <w:szCs w:val="24"/>
        </w:rPr>
        <w:t xml:space="preserve">Los resultados se </w:t>
      </w:r>
      <w:r w:rsidR="008828B3" w:rsidRPr="001D0E9F">
        <w:rPr>
          <w:rFonts w:ascii="Arial" w:hAnsi="Arial" w:cs="Arial"/>
          <w:sz w:val="24"/>
          <w:szCs w:val="24"/>
        </w:rPr>
        <w:t>presenta</w:t>
      </w:r>
      <w:r w:rsidRPr="001D0E9F">
        <w:rPr>
          <w:rFonts w:ascii="Arial" w:hAnsi="Arial" w:cs="Arial"/>
          <w:sz w:val="24"/>
          <w:szCs w:val="24"/>
        </w:rPr>
        <w:t>n</w:t>
      </w:r>
      <w:r w:rsidR="008828B3" w:rsidRPr="001D0E9F">
        <w:rPr>
          <w:rFonts w:ascii="Arial" w:hAnsi="Arial" w:cs="Arial"/>
          <w:sz w:val="24"/>
          <w:szCs w:val="24"/>
        </w:rPr>
        <w:t xml:space="preserve"> </w:t>
      </w:r>
      <w:r w:rsidR="00590A70">
        <w:rPr>
          <w:rFonts w:ascii="Arial" w:hAnsi="Arial" w:cs="Arial"/>
          <w:sz w:val="24"/>
          <w:szCs w:val="24"/>
        </w:rPr>
        <w:t>en</w:t>
      </w:r>
      <w:r w:rsidR="00590A70" w:rsidRPr="00D115C8">
        <w:rPr>
          <w:rFonts w:ascii="Arial" w:eastAsia="Times New Roman" w:hAnsi="Arial" w:cs="Arial"/>
          <w:sz w:val="24"/>
          <w:szCs w:val="24"/>
        </w:rPr>
        <w:t xml:space="preserve"> la página de internet del Instituto</w:t>
      </w:r>
      <w:r w:rsidR="00590A70" w:rsidRPr="00D115C8">
        <w:rPr>
          <w:rFonts w:ascii="Arial" w:hAnsi="Arial" w:cs="Arial"/>
          <w:spacing w:val="-2"/>
          <w:sz w:val="24"/>
          <w:szCs w:val="24"/>
        </w:rPr>
        <w:t>:</w:t>
      </w:r>
      <w:r w:rsidR="00590A70">
        <w:rPr>
          <w:rFonts w:ascii="Arial" w:hAnsi="Arial" w:cs="Arial"/>
          <w:spacing w:val="-2"/>
          <w:sz w:val="24"/>
          <w:szCs w:val="24"/>
        </w:rPr>
        <w:t xml:space="preserve"> </w:t>
      </w:r>
      <w:hyperlink r:id="rId50" w:history="1">
        <w:r w:rsidR="00AB1FA2" w:rsidRPr="005A3C10">
          <w:rPr>
            <w:rStyle w:val="Hipervnculo"/>
            <w:rFonts w:ascii="Arial" w:hAnsi="Arial" w:cs="Arial"/>
            <w:sz w:val="24"/>
            <w:szCs w:val="24"/>
          </w:rPr>
          <w:t>https://www.inegi.org.mx/programas/cnijf/2022/</w:t>
        </w:r>
      </w:hyperlink>
      <w:r w:rsidR="00AB1FA2">
        <w:rPr>
          <w:rFonts w:ascii="Arial" w:hAnsi="Arial" w:cs="Arial"/>
          <w:sz w:val="24"/>
          <w:szCs w:val="24"/>
        </w:rPr>
        <w:t xml:space="preserve"> </w:t>
      </w:r>
      <w:r w:rsidR="00590A70">
        <w:rPr>
          <w:rFonts w:ascii="Arial" w:hAnsi="Arial" w:cs="Arial"/>
          <w:sz w:val="24"/>
          <w:szCs w:val="24"/>
        </w:rPr>
        <w:t xml:space="preserve"> </w:t>
      </w:r>
      <w:r w:rsidR="008828B3" w:rsidRPr="001D0E9F">
        <w:rPr>
          <w:rFonts w:ascii="Arial" w:hAnsi="Arial" w:cs="Arial"/>
          <w:sz w:val="24"/>
          <w:szCs w:val="24"/>
        </w:rPr>
        <w:t xml:space="preserve">mediante </w:t>
      </w:r>
      <w:r w:rsidR="00AB1FA2" w:rsidRPr="00AB1FA2">
        <w:rPr>
          <w:rFonts w:ascii="Arial" w:hAnsi="Arial" w:cs="Arial"/>
          <w:sz w:val="24"/>
          <w:szCs w:val="24"/>
        </w:rPr>
        <w:t>cuadros estadísticos</w:t>
      </w:r>
      <w:r w:rsidR="00AB1FA2">
        <w:rPr>
          <w:rFonts w:ascii="Arial" w:hAnsi="Arial" w:cs="Arial"/>
          <w:sz w:val="24"/>
          <w:szCs w:val="24"/>
        </w:rPr>
        <w:t xml:space="preserve"> </w:t>
      </w:r>
      <w:r w:rsidR="00AB1FA2" w:rsidRPr="00AB1FA2">
        <w:rPr>
          <w:rFonts w:ascii="Arial" w:hAnsi="Arial" w:cs="Arial"/>
          <w:sz w:val="24"/>
          <w:szCs w:val="24"/>
        </w:rPr>
        <w:t xml:space="preserve">organizados en los siguientes apartados: </w:t>
      </w:r>
      <w:r w:rsidR="00AB1FA2" w:rsidRPr="00EE0193">
        <w:rPr>
          <w:rFonts w:ascii="Arial" w:hAnsi="Arial" w:cs="Arial"/>
          <w:sz w:val="24"/>
          <w:szCs w:val="24"/>
        </w:rPr>
        <w:t xml:space="preserve">Estructura organizacional y recursos; Trámites y servicios y ejercicio de funciones específicas; </w:t>
      </w:r>
      <w:r w:rsidR="00EE0193" w:rsidRPr="00EE0193">
        <w:rPr>
          <w:rFonts w:ascii="Arial" w:hAnsi="Arial" w:cs="Arial"/>
          <w:sz w:val="24"/>
          <w:szCs w:val="24"/>
        </w:rPr>
        <w:t>Transparencia, acceso a la información pública y protección de datos personales</w:t>
      </w:r>
      <w:r w:rsidR="00AB1FA2" w:rsidRPr="00EE0193">
        <w:rPr>
          <w:rFonts w:ascii="Arial" w:hAnsi="Arial" w:cs="Arial"/>
          <w:sz w:val="24"/>
          <w:szCs w:val="24"/>
        </w:rPr>
        <w:t>; Control interno y anticorrupció</w:t>
      </w:r>
      <w:r w:rsidR="00EE0193">
        <w:rPr>
          <w:rFonts w:ascii="Arial" w:hAnsi="Arial" w:cs="Arial"/>
          <w:sz w:val="24"/>
          <w:szCs w:val="24"/>
        </w:rPr>
        <w:t>n</w:t>
      </w:r>
      <w:r w:rsidR="00AB1FA2" w:rsidRPr="00EE0193">
        <w:rPr>
          <w:rFonts w:ascii="Arial" w:hAnsi="Arial" w:cs="Arial"/>
          <w:sz w:val="24"/>
          <w:szCs w:val="24"/>
        </w:rPr>
        <w:t>; Suprema Corte de Justicia de la Nación; Tribunal Electoral del Poder Judicial de la Federación; Órganos jurisdiccionales del Consejo de la Judicatura Federal; Defensoría Pública Electoral para Pueblos y Comunidades Indígenas; Instituto Federal de Defensoría Pública; Impartición de justicia federal en materia</w:t>
      </w:r>
      <w:r w:rsidR="00EE0193">
        <w:rPr>
          <w:rFonts w:ascii="Arial" w:hAnsi="Arial" w:cs="Arial"/>
          <w:sz w:val="24"/>
          <w:szCs w:val="24"/>
        </w:rPr>
        <w:t xml:space="preserve"> p</w:t>
      </w:r>
      <w:r w:rsidR="00AB1FA2" w:rsidRPr="00EE0193">
        <w:rPr>
          <w:rFonts w:ascii="Arial" w:hAnsi="Arial" w:cs="Arial"/>
          <w:sz w:val="24"/>
          <w:szCs w:val="24"/>
        </w:rPr>
        <w:t>enal</w:t>
      </w:r>
      <w:r w:rsidR="00EE0193">
        <w:rPr>
          <w:rFonts w:ascii="Arial" w:hAnsi="Arial" w:cs="Arial"/>
          <w:sz w:val="24"/>
          <w:szCs w:val="24"/>
        </w:rPr>
        <w:t>.</w:t>
      </w:r>
    </w:p>
    <w:p w14:paraId="2D2509A0" w14:textId="00EF0F14" w:rsidR="00044658" w:rsidRDefault="00044658" w:rsidP="00EE0193">
      <w:pPr>
        <w:tabs>
          <w:tab w:val="left" w:pos="5460"/>
        </w:tabs>
        <w:spacing w:after="0"/>
        <w:rPr>
          <w:rFonts w:ascii="Arial" w:hAnsi="Arial" w:cs="Arial"/>
          <w:sz w:val="16"/>
          <w:szCs w:val="16"/>
        </w:rPr>
      </w:pPr>
    </w:p>
    <w:p w14:paraId="4D11DA55" w14:textId="5F5CD959" w:rsidR="00462B4C" w:rsidRPr="001D0E9F" w:rsidRDefault="00462B4C" w:rsidP="002B77CF">
      <w:pPr>
        <w:spacing w:after="0"/>
        <w:ind w:left="-567"/>
        <w:rPr>
          <w:rFonts w:ascii="Arial Negrita" w:hAnsi="Arial Negrita" w:cs="Arial"/>
          <w:b/>
          <w:bCs/>
          <w:iCs/>
          <w:smallCaps/>
          <w:noProof/>
          <w:sz w:val="24"/>
          <w:szCs w:val="24"/>
          <w:lang w:eastAsia="es-MX"/>
        </w:rPr>
      </w:pPr>
      <w:r w:rsidRPr="001D0E9F">
        <w:rPr>
          <w:rFonts w:ascii="Arial Negrita" w:hAnsi="Arial Negrita" w:cs="Arial"/>
          <w:b/>
          <w:bCs/>
          <w:iCs/>
          <w:smallCaps/>
          <w:noProof/>
          <w:sz w:val="24"/>
          <w:szCs w:val="24"/>
          <w:lang w:eastAsia="es-MX"/>
        </w:rPr>
        <w:t>Productos y documentos del</w:t>
      </w:r>
      <w:r w:rsidR="002B77CF">
        <w:rPr>
          <w:rFonts w:ascii="Arial Negrita" w:hAnsi="Arial Negrita" w:cs="Arial"/>
          <w:b/>
          <w:bCs/>
          <w:iCs/>
          <w:smallCaps/>
          <w:noProof/>
          <w:sz w:val="24"/>
          <w:szCs w:val="24"/>
          <w:lang w:eastAsia="es-MX"/>
        </w:rPr>
        <w:t xml:space="preserve"> </w:t>
      </w:r>
      <w:r w:rsidR="00250594" w:rsidRPr="00250594">
        <w:rPr>
          <w:rFonts w:ascii="Arial Negrita" w:hAnsi="Arial Negrita" w:cs="Arial"/>
          <w:b/>
          <w:bCs/>
          <w:iCs/>
          <w:smallCaps/>
          <w:noProof/>
          <w:sz w:val="24"/>
          <w:szCs w:val="24"/>
          <w:lang w:eastAsia="es-MX"/>
        </w:rPr>
        <w:t>CNIJF 2022</w:t>
      </w:r>
    </w:p>
    <w:p w14:paraId="40F1D1B6" w14:textId="77777777" w:rsidR="00462B4C" w:rsidRPr="00642A24" w:rsidRDefault="00462B4C" w:rsidP="00462B4C">
      <w:pPr>
        <w:autoSpaceDE w:val="0"/>
        <w:autoSpaceDN w:val="0"/>
        <w:adjustRightInd w:val="0"/>
        <w:spacing w:after="0" w:line="240" w:lineRule="auto"/>
        <w:rPr>
          <w:rFonts w:ascii="Arial" w:hAnsi="Arial" w:cs="Arial"/>
        </w:rPr>
      </w:pPr>
    </w:p>
    <w:p w14:paraId="1806FD00" w14:textId="366E88C3" w:rsidR="00462B4C" w:rsidRPr="00642A24" w:rsidRDefault="00462B4C" w:rsidP="00462B4C">
      <w:pPr>
        <w:autoSpaceDE w:val="0"/>
        <w:autoSpaceDN w:val="0"/>
        <w:adjustRightInd w:val="0"/>
        <w:spacing w:after="0" w:line="240" w:lineRule="auto"/>
        <w:ind w:left="-567"/>
        <w:jc w:val="both"/>
        <w:rPr>
          <w:rFonts w:ascii="Arial" w:hAnsi="Arial" w:cs="Arial"/>
          <w:sz w:val="24"/>
          <w:szCs w:val="24"/>
        </w:rPr>
      </w:pPr>
      <w:r w:rsidRPr="00642A24">
        <w:rPr>
          <w:rFonts w:ascii="Arial" w:hAnsi="Arial" w:cs="Arial"/>
          <w:sz w:val="24"/>
          <w:szCs w:val="24"/>
        </w:rPr>
        <w:t xml:space="preserve">Los productos y documentos derivados del </w:t>
      </w:r>
      <w:r w:rsidR="00250594" w:rsidRPr="00250594">
        <w:rPr>
          <w:rFonts w:ascii="Arial" w:hAnsi="Arial" w:cs="Arial"/>
          <w:sz w:val="24"/>
          <w:szCs w:val="24"/>
        </w:rPr>
        <w:t xml:space="preserve">CNIJF 2022 </w:t>
      </w:r>
      <w:r w:rsidRPr="00642A24">
        <w:rPr>
          <w:rFonts w:ascii="Arial" w:hAnsi="Arial" w:cs="Arial"/>
          <w:sz w:val="24"/>
          <w:szCs w:val="24"/>
        </w:rPr>
        <w:t xml:space="preserve">que el INEGI pone a disposición de </w:t>
      </w:r>
      <w:r w:rsidR="00231479">
        <w:rPr>
          <w:rFonts w:ascii="Arial" w:hAnsi="Arial" w:cs="Arial"/>
          <w:sz w:val="24"/>
          <w:szCs w:val="24"/>
        </w:rPr>
        <w:t xml:space="preserve">las y </w:t>
      </w:r>
      <w:r w:rsidRPr="00642A24">
        <w:rPr>
          <w:rFonts w:ascii="Arial" w:hAnsi="Arial" w:cs="Arial"/>
          <w:sz w:val="24"/>
          <w:szCs w:val="24"/>
        </w:rPr>
        <w:t xml:space="preserve">los usuarios son los siguientes: </w:t>
      </w:r>
    </w:p>
    <w:p w14:paraId="5F24A038" w14:textId="77777777" w:rsidR="00462B4C" w:rsidRPr="00642A24" w:rsidRDefault="00462B4C" w:rsidP="00462B4C">
      <w:p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 xml:space="preserve"> </w:t>
      </w:r>
    </w:p>
    <w:p w14:paraId="1B237F87"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Presentación de resultados</w:t>
      </w:r>
    </w:p>
    <w:p w14:paraId="3BE02932"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Cuestionarios</w:t>
      </w:r>
    </w:p>
    <w:p w14:paraId="21994420"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Glosario</w:t>
      </w:r>
    </w:p>
    <w:p w14:paraId="0FD734C1" w14:textId="00EFCA69" w:rsidR="00462B4C"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Documento de diseño</w:t>
      </w:r>
    </w:p>
    <w:p w14:paraId="0A34DD50" w14:textId="7A590162" w:rsidR="00EE0193" w:rsidRPr="00642A24" w:rsidRDefault="00EE0193" w:rsidP="00462B4C">
      <w:pPr>
        <w:pStyle w:val="Prrafodelista"/>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Síntesis metodológicas</w:t>
      </w:r>
    </w:p>
    <w:p w14:paraId="4E0F7B45" w14:textId="4396F5E0" w:rsidR="00462B4C"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Tabulados predefinidos</w:t>
      </w:r>
    </w:p>
    <w:p w14:paraId="11637429" w14:textId="291E1B57" w:rsidR="00EE0193" w:rsidRDefault="00EE0193" w:rsidP="00462B4C">
      <w:pPr>
        <w:pStyle w:val="Prrafodelista"/>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Datos abiertos</w:t>
      </w:r>
    </w:p>
    <w:p w14:paraId="3EEBA7A4" w14:textId="081BAE34" w:rsidR="00AD7337" w:rsidRPr="00462B4C" w:rsidRDefault="00EE0193" w:rsidP="0099461B">
      <w:pPr>
        <w:pStyle w:val="Prrafodelista"/>
        <w:numPr>
          <w:ilvl w:val="0"/>
          <w:numId w:val="13"/>
        </w:numPr>
        <w:autoSpaceDE w:val="0"/>
        <w:autoSpaceDN w:val="0"/>
        <w:adjustRightInd w:val="0"/>
        <w:spacing w:after="0" w:line="240" w:lineRule="auto"/>
        <w:jc w:val="both"/>
      </w:pPr>
      <w:r w:rsidRPr="00465ECE">
        <w:rPr>
          <w:rFonts w:ascii="Arial" w:hAnsi="Arial" w:cs="Arial"/>
          <w:sz w:val="24"/>
          <w:szCs w:val="24"/>
        </w:rPr>
        <w:t>Metadatos</w:t>
      </w:r>
    </w:p>
    <w:sectPr w:rsidR="00AD7337" w:rsidRPr="00462B4C" w:rsidSect="00EC31DB">
      <w:headerReference w:type="default" r:id="rId51"/>
      <w:footerReference w:type="default" r:id="rId52"/>
      <w:type w:val="continuous"/>
      <w:pgSz w:w="12240" w:h="15840"/>
      <w:pgMar w:top="993" w:right="1183"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E1CF" w14:textId="77777777" w:rsidR="00E11103" w:rsidRDefault="00E11103" w:rsidP="00462B4C">
      <w:pPr>
        <w:spacing w:after="0" w:line="240" w:lineRule="auto"/>
      </w:pPr>
      <w:r>
        <w:separator/>
      </w:r>
    </w:p>
  </w:endnote>
  <w:endnote w:type="continuationSeparator" w:id="0">
    <w:p w14:paraId="2126A303" w14:textId="77777777" w:rsidR="00E11103" w:rsidRDefault="00E11103" w:rsidP="00462B4C">
      <w:pPr>
        <w:spacing w:after="0" w:line="240" w:lineRule="auto"/>
      </w:pPr>
      <w:r>
        <w:continuationSeparator/>
      </w:r>
    </w:p>
  </w:endnote>
  <w:endnote w:type="continuationNotice" w:id="1">
    <w:p w14:paraId="12563A82" w14:textId="77777777" w:rsidR="00E11103" w:rsidRDefault="00E11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2907" w14:textId="77777777" w:rsidR="00511B07" w:rsidRDefault="00511B07"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3B878F0D" w14:textId="65778423" w:rsidR="00511B07" w:rsidRPr="007A0634" w:rsidRDefault="00511B07" w:rsidP="001D0E9F">
    <w:pPr>
      <w:pStyle w:val="Piedepgina"/>
      <w:tabs>
        <w:tab w:val="clear" w:pos="4419"/>
        <w:tab w:val="clear" w:pos="8838"/>
        <w:tab w:val="left" w:pos="9781"/>
        <w:tab w:val="left" w:pos="10065"/>
      </w:tabs>
      <w:ind w:left="-709" w:firstLine="4537"/>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815D" w14:textId="77777777" w:rsidR="00511B07" w:rsidRDefault="00511B07"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0B987566" w14:textId="77777777" w:rsidR="00511B07" w:rsidRPr="007A0634" w:rsidRDefault="00511B07"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643F" w14:textId="77777777" w:rsidR="00E11103" w:rsidRDefault="00E11103" w:rsidP="00462B4C">
      <w:pPr>
        <w:spacing w:after="0" w:line="240" w:lineRule="auto"/>
      </w:pPr>
      <w:r>
        <w:separator/>
      </w:r>
    </w:p>
  </w:footnote>
  <w:footnote w:type="continuationSeparator" w:id="0">
    <w:p w14:paraId="7833AE93" w14:textId="77777777" w:rsidR="00E11103" w:rsidRDefault="00E11103" w:rsidP="00462B4C">
      <w:pPr>
        <w:spacing w:after="0" w:line="240" w:lineRule="auto"/>
      </w:pPr>
      <w:r>
        <w:continuationSeparator/>
      </w:r>
    </w:p>
  </w:footnote>
  <w:footnote w:type="continuationNotice" w:id="1">
    <w:p w14:paraId="02BDA2D3" w14:textId="77777777" w:rsidR="00E11103" w:rsidRDefault="00E11103">
      <w:pPr>
        <w:spacing w:after="0" w:line="240" w:lineRule="auto"/>
      </w:pPr>
    </w:p>
  </w:footnote>
  <w:footnote w:id="2">
    <w:p w14:paraId="34E66188" w14:textId="65C73761" w:rsidR="000C6F07" w:rsidRPr="00F34BCB" w:rsidRDefault="000C6F07">
      <w:pPr>
        <w:pStyle w:val="Textonotapie"/>
        <w:rPr>
          <w:rFonts w:ascii="Arial" w:hAnsi="Arial" w:cs="Arial"/>
          <w:sz w:val="16"/>
          <w:szCs w:val="16"/>
        </w:rPr>
      </w:pPr>
      <w:r w:rsidRPr="00F34BCB">
        <w:rPr>
          <w:rStyle w:val="Refdenotaalpie"/>
          <w:rFonts w:ascii="Arial" w:hAnsi="Arial" w:cs="Arial"/>
          <w:sz w:val="16"/>
          <w:szCs w:val="16"/>
        </w:rPr>
        <w:footnoteRef/>
      </w:r>
      <w:r w:rsidRPr="00F34BCB">
        <w:rPr>
          <w:rFonts w:ascii="Arial" w:hAnsi="Arial" w:cs="Arial"/>
          <w:sz w:val="16"/>
          <w:szCs w:val="16"/>
        </w:rPr>
        <w:t xml:space="preserve"> </w:t>
      </w:r>
      <w:r w:rsidR="00BA256D" w:rsidRPr="00BA256D">
        <w:rPr>
          <w:rFonts w:ascii="Arial" w:hAnsi="Arial" w:cs="Arial"/>
          <w:sz w:val="16"/>
          <w:szCs w:val="16"/>
        </w:rPr>
        <w:t>Se refiere a los asuntos ingresados por primera vez, derivado del criterio de asignación de competencia y que tiene que ver con la distribución del trabajo entre el Pleno y las Salas</w:t>
      </w:r>
      <w:r w:rsidR="00252CD7">
        <w:rPr>
          <w:rFonts w:ascii="Arial" w:hAnsi="Arial" w:cs="Arial"/>
          <w:sz w:val="16"/>
          <w:szCs w:val="16"/>
        </w:rPr>
        <w:t>.</w:t>
      </w:r>
    </w:p>
  </w:footnote>
  <w:footnote w:id="3">
    <w:p w14:paraId="037C7183" w14:textId="241B6071" w:rsidR="00511B07" w:rsidRPr="00C660F4" w:rsidRDefault="00511B07">
      <w:pPr>
        <w:pStyle w:val="Textonotapie"/>
        <w:rPr>
          <w:rFonts w:ascii="Arial" w:hAnsi="Arial" w:cs="Arial"/>
        </w:rPr>
      </w:pPr>
      <w:r w:rsidRPr="00C660F4">
        <w:rPr>
          <w:rStyle w:val="Refdenotaalpie"/>
          <w:rFonts w:ascii="Arial" w:hAnsi="Arial" w:cs="Arial"/>
          <w:sz w:val="16"/>
          <w:szCs w:val="16"/>
        </w:rPr>
        <w:footnoteRef/>
      </w:r>
      <w:r w:rsidRPr="00C660F4">
        <w:rPr>
          <w:rFonts w:ascii="Arial" w:hAnsi="Arial" w:cs="Arial"/>
          <w:sz w:val="16"/>
          <w:szCs w:val="16"/>
        </w:rPr>
        <w:t xml:space="preserve"> El 4.</w:t>
      </w:r>
      <w:r>
        <w:rPr>
          <w:rFonts w:ascii="Arial" w:hAnsi="Arial" w:cs="Arial"/>
          <w:sz w:val="16"/>
          <w:szCs w:val="16"/>
        </w:rPr>
        <w:t xml:space="preserve">2 </w:t>
      </w:r>
      <w:r w:rsidRPr="00C660F4">
        <w:rPr>
          <w:rFonts w:ascii="Arial" w:hAnsi="Arial" w:cs="Arial"/>
          <w:sz w:val="16"/>
          <w:szCs w:val="16"/>
        </w:rPr>
        <w:t>% restante corresponde a una vacante en el Pleno del Consejo de la Judicatura Federal.</w:t>
      </w:r>
    </w:p>
  </w:footnote>
  <w:footnote w:id="4">
    <w:p w14:paraId="59886149" w14:textId="77777777" w:rsidR="00511B07" w:rsidRPr="00B97852" w:rsidRDefault="00511B07" w:rsidP="0062239E">
      <w:pPr>
        <w:pStyle w:val="Textonotapie"/>
        <w:jc w:val="both"/>
        <w:rPr>
          <w:rFonts w:ascii="Arial" w:hAnsi="Arial" w:cs="Arial"/>
        </w:rPr>
      </w:pPr>
      <w:r w:rsidRPr="00B97852">
        <w:rPr>
          <w:rStyle w:val="Refdenotaalpie"/>
          <w:rFonts w:ascii="Arial" w:hAnsi="Arial" w:cs="Arial"/>
          <w:sz w:val="16"/>
          <w:szCs w:val="16"/>
        </w:rPr>
        <w:footnoteRef/>
      </w:r>
      <w:r w:rsidRPr="00B97852">
        <w:rPr>
          <w:rFonts w:ascii="Arial" w:hAnsi="Arial" w:cs="Arial"/>
          <w:sz w:val="16"/>
          <w:szCs w:val="16"/>
        </w:rPr>
        <w:t xml:space="preserve"> El Ministro Presidente de la Suprema Corte de Justicia de la Nación es, además, el Consejero Presidente del Consejo de la Judicatura Federal.</w:t>
      </w:r>
    </w:p>
  </w:footnote>
  <w:footnote w:id="5">
    <w:p w14:paraId="1831DE35" w14:textId="7602E8FA" w:rsidR="00511B07" w:rsidRPr="00B071EB" w:rsidRDefault="00511B07">
      <w:pPr>
        <w:pStyle w:val="Textonotapie"/>
        <w:rPr>
          <w:rFonts w:ascii="Arial" w:hAnsi="Arial" w:cs="Arial"/>
        </w:rPr>
      </w:pPr>
      <w:r w:rsidRPr="00B071EB">
        <w:rPr>
          <w:rStyle w:val="Refdenotaalpie"/>
          <w:rFonts w:ascii="Arial" w:hAnsi="Arial" w:cs="Arial"/>
          <w:color w:val="000000" w:themeColor="text1"/>
          <w:sz w:val="16"/>
          <w:szCs w:val="16"/>
        </w:rPr>
        <w:footnoteRef/>
      </w:r>
      <w:r w:rsidRPr="00B071EB">
        <w:rPr>
          <w:rFonts w:ascii="Arial" w:hAnsi="Arial" w:cs="Arial"/>
          <w:color w:val="000000" w:themeColor="text1"/>
          <w:sz w:val="16"/>
          <w:szCs w:val="16"/>
        </w:rPr>
        <w:t xml:space="preserve"> Se incluye al personal de la Defensoría Pública Electoral para Pueblos y Comunidades Indígenas</w:t>
      </w:r>
      <w:r>
        <w:rPr>
          <w:rFonts w:ascii="Arial" w:hAnsi="Arial" w:cs="Arial"/>
          <w:color w:val="000000" w:themeColor="text1"/>
          <w:sz w:val="16"/>
          <w:szCs w:val="16"/>
        </w:rPr>
        <w:t>.</w:t>
      </w:r>
    </w:p>
  </w:footnote>
  <w:footnote w:id="6">
    <w:p w14:paraId="18C8DB29" w14:textId="48BEEE2D" w:rsidR="00511B07" w:rsidRPr="0093656A" w:rsidRDefault="00511B07" w:rsidP="0093656A">
      <w:pPr>
        <w:pStyle w:val="Textonotapie"/>
        <w:jc w:val="both"/>
        <w:rPr>
          <w:rFonts w:ascii="Arial" w:hAnsi="Arial" w:cs="Arial"/>
        </w:rPr>
      </w:pPr>
      <w:r w:rsidRPr="0093656A">
        <w:rPr>
          <w:rStyle w:val="Refdenotaalpie"/>
          <w:rFonts w:ascii="Arial" w:hAnsi="Arial" w:cs="Arial"/>
          <w:sz w:val="16"/>
          <w:szCs w:val="16"/>
        </w:rPr>
        <w:footnoteRef/>
      </w:r>
      <w:r w:rsidRPr="0093656A">
        <w:rPr>
          <w:rFonts w:ascii="Arial" w:hAnsi="Arial" w:cs="Arial"/>
          <w:sz w:val="16"/>
          <w:szCs w:val="16"/>
        </w:rPr>
        <w:t xml:space="preserve"> No se incluye al Consejero Presidente, toda vez que se contabiliza dentro de la SCJN.</w:t>
      </w:r>
    </w:p>
  </w:footnote>
  <w:footnote w:id="7">
    <w:p w14:paraId="244B9D43" w14:textId="30822A91" w:rsidR="00511B07" w:rsidRPr="0093656A" w:rsidRDefault="00511B07" w:rsidP="0093656A">
      <w:pPr>
        <w:pStyle w:val="Textonotapie"/>
        <w:jc w:val="both"/>
        <w:rPr>
          <w:rFonts w:ascii="Arial" w:hAnsi="Arial" w:cs="Arial"/>
        </w:rPr>
      </w:pPr>
      <w:r w:rsidRPr="006041D2">
        <w:rPr>
          <w:rStyle w:val="Refdenotaalpie"/>
          <w:rFonts w:ascii="Arial" w:hAnsi="Arial" w:cs="Arial"/>
          <w:sz w:val="16"/>
          <w:szCs w:val="16"/>
        </w:rPr>
        <w:footnoteRef/>
      </w:r>
      <w:r w:rsidRPr="006041D2">
        <w:rPr>
          <w:rFonts w:ascii="Arial" w:hAnsi="Arial" w:cs="Arial"/>
          <w:sz w:val="16"/>
          <w:szCs w:val="16"/>
        </w:rPr>
        <w:t xml:space="preserve"> Se incluye al personal de los TCC, los TUC, los JD, los CJPF, el CNJE, los </w:t>
      </w:r>
      <w:r>
        <w:rPr>
          <w:rFonts w:ascii="Arial" w:hAnsi="Arial" w:cs="Arial"/>
          <w:sz w:val="16"/>
          <w:szCs w:val="16"/>
        </w:rPr>
        <w:t xml:space="preserve">TLF, los </w:t>
      </w:r>
      <w:r w:rsidRPr="006041D2">
        <w:rPr>
          <w:rFonts w:ascii="Arial" w:hAnsi="Arial" w:cs="Arial"/>
          <w:sz w:val="16"/>
          <w:szCs w:val="16"/>
        </w:rPr>
        <w:t>PC, y otros órganos, así como del Instituto Federal de Defensoría Pública.</w:t>
      </w:r>
    </w:p>
  </w:footnote>
  <w:footnote w:id="8">
    <w:p w14:paraId="7C9215E5" w14:textId="77777777" w:rsidR="00AA4134" w:rsidRPr="00CB532A" w:rsidRDefault="00AA4134" w:rsidP="00AA4134">
      <w:pPr>
        <w:pStyle w:val="Textonotapie"/>
        <w:rPr>
          <w:rFonts w:ascii="Arial" w:hAnsi="Arial" w:cs="Arial"/>
          <w:sz w:val="16"/>
          <w:szCs w:val="16"/>
        </w:rPr>
      </w:pPr>
      <w:r w:rsidRPr="00CB532A">
        <w:rPr>
          <w:rStyle w:val="Refdenotaalpie"/>
          <w:rFonts w:ascii="Arial" w:hAnsi="Arial" w:cs="Arial"/>
          <w:sz w:val="16"/>
          <w:szCs w:val="16"/>
        </w:rPr>
        <w:footnoteRef/>
      </w:r>
      <w:r w:rsidRPr="00CB532A">
        <w:rPr>
          <w:rFonts w:ascii="Arial" w:hAnsi="Arial" w:cs="Arial"/>
          <w:sz w:val="16"/>
          <w:szCs w:val="16"/>
        </w:rPr>
        <w:t xml:space="preserve"> Incluye los jueces de distrito especializados en el Sistema Penal Acusatorio y especializados en materia laboral.</w:t>
      </w:r>
    </w:p>
  </w:footnote>
  <w:footnote w:id="9">
    <w:p w14:paraId="17545608" w14:textId="1A803B31" w:rsidR="00511B07" w:rsidRPr="0019576A" w:rsidRDefault="00511B07">
      <w:pPr>
        <w:pStyle w:val="Textonotapie"/>
        <w:rPr>
          <w:rFonts w:ascii="Arial" w:hAnsi="Arial" w:cs="Arial"/>
        </w:rPr>
      </w:pPr>
      <w:r w:rsidRPr="0019576A">
        <w:rPr>
          <w:rStyle w:val="Refdenotaalpie"/>
          <w:rFonts w:ascii="Arial" w:hAnsi="Arial" w:cs="Arial"/>
          <w:color w:val="000000" w:themeColor="text1"/>
          <w:sz w:val="16"/>
          <w:szCs w:val="16"/>
        </w:rPr>
        <w:footnoteRef/>
      </w:r>
      <w:r w:rsidRPr="0019576A">
        <w:rPr>
          <w:rFonts w:ascii="Arial" w:hAnsi="Arial" w:cs="Arial"/>
          <w:color w:val="000000" w:themeColor="text1"/>
          <w:sz w:val="16"/>
          <w:szCs w:val="16"/>
        </w:rPr>
        <w:t xml:space="preserve"> Se refiere a las sentencias emitidas que fueron publicadas en el sitio web.</w:t>
      </w:r>
    </w:p>
  </w:footnote>
  <w:footnote w:id="10">
    <w:p w14:paraId="65B2C823" w14:textId="7C438147" w:rsidR="00511B07" w:rsidRPr="00C9589F" w:rsidRDefault="00511B07" w:rsidP="00C9589F">
      <w:pPr>
        <w:pStyle w:val="Textonotapie"/>
        <w:rPr>
          <w:rFonts w:ascii="Arial" w:hAnsi="Arial" w:cs="Arial"/>
          <w:sz w:val="16"/>
          <w:szCs w:val="16"/>
        </w:rPr>
      </w:pPr>
      <w:r w:rsidRPr="00C9589F">
        <w:rPr>
          <w:rStyle w:val="Refdenotaalpie"/>
          <w:rFonts w:ascii="Arial" w:hAnsi="Arial" w:cs="Arial"/>
          <w:sz w:val="16"/>
          <w:szCs w:val="16"/>
        </w:rPr>
        <w:footnoteRef/>
      </w:r>
      <w:r w:rsidRPr="00C9589F">
        <w:rPr>
          <w:rFonts w:ascii="Arial" w:hAnsi="Arial" w:cs="Arial"/>
          <w:sz w:val="16"/>
          <w:szCs w:val="16"/>
        </w:rPr>
        <w:t xml:space="preserve"> Los asuntos jurisdiccionales resueltos con y sin sentencia en el Pleno y la Primera y Segunda Salas incluyen únicamente los asuntos fallados, resueltos por dictamen o acuerdo.</w:t>
      </w:r>
    </w:p>
  </w:footnote>
  <w:footnote w:id="11">
    <w:p w14:paraId="25F59E13" w14:textId="1BB4888E" w:rsidR="00511B07" w:rsidRPr="00E84547" w:rsidRDefault="00511B07" w:rsidP="0081026B">
      <w:pPr>
        <w:pStyle w:val="Textonotapie"/>
        <w:jc w:val="both"/>
        <w:rPr>
          <w:rFonts w:ascii="Arial" w:hAnsi="Arial" w:cs="Arial"/>
          <w:sz w:val="16"/>
          <w:szCs w:val="16"/>
        </w:rPr>
      </w:pPr>
      <w:r w:rsidRPr="00E84547">
        <w:rPr>
          <w:rStyle w:val="Refdenotaalpie"/>
          <w:rFonts w:ascii="Arial" w:hAnsi="Arial" w:cs="Arial"/>
          <w:sz w:val="16"/>
          <w:szCs w:val="16"/>
        </w:rPr>
        <w:footnoteRef/>
      </w:r>
      <w:r w:rsidRPr="00E84547">
        <w:rPr>
          <w:rFonts w:ascii="Arial" w:hAnsi="Arial" w:cs="Arial"/>
          <w:sz w:val="16"/>
          <w:szCs w:val="16"/>
        </w:rPr>
        <w:t xml:space="preserve"> Para el Pleno se refiere a asuntos enviados a las salas.</w:t>
      </w:r>
    </w:p>
  </w:footnote>
  <w:footnote w:id="12">
    <w:p w14:paraId="27C7DE58" w14:textId="245A0105" w:rsidR="00511B07" w:rsidRPr="00E84547" w:rsidRDefault="00511B07">
      <w:pPr>
        <w:pStyle w:val="Textonotapie"/>
        <w:rPr>
          <w:rFonts w:ascii="Arial" w:hAnsi="Arial" w:cs="Arial"/>
          <w:sz w:val="16"/>
          <w:szCs w:val="16"/>
        </w:rPr>
      </w:pPr>
      <w:r w:rsidRPr="00E84547">
        <w:rPr>
          <w:rStyle w:val="Refdenotaalpie"/>
          <w:rFonts w:ascii="Arial" w:hAnsi="Arial" w:cs="Arial"/>
          <w:sz w:val="16"/>
          <w:szCs w:val="16"/>
        </w:rPr>
        <w:footnoteRef/>
      </w:r>
      <w:r w:rsidRPr="00E84547">
        <w:rPr>
          <w:rFonts w:ascii="Arial" w:hAnsi="Arial" w:cs="Arial"/>
          <w:sz w:val="16"/>
          <w:szCs w:val="16"/>
        </w:rPr>
        <w:t xml:space="preserve"> Para la Primera Sala, a asuntos enviados al Pleno y a la Segunda Sala.</w:t>
      </w:r>
    </w:p>
  </w:footnote>
  <w:footnote w:id="13">
    <w:p w14:paraId="2F9506B1" w14:textId="4FF26011" w:rsidR="00511B07" w:rsidRDefault="00511B07">
      <w:pPr>
        <w:pStyle w:val="Textonotapie"/>
      </w:pPr>
      <w:r w:rsidRPr="00E84547">
        <w:rPr>
          <w:rStyle w:val="Refdenotaalpie"/>
          <w:rFonts w:ascii="Arial" w:hAnsi="Arial" w:cs="Arial"/>
          <w:sz w:val="16"/>
          <w:szCs w:val="16"/>
        </w:rPr>
        <w:footnoteRef/>
      </w:r>
      <w:r w:rsidRPr="00E84547">
        <w:rPr>
          <w:rFonts w:ascii="Arial" w:hAnsi="Arial" w:cs="Arial"/>
          <w:sz w:val="16"/>
          <w:szCs w:val="16"/>
        </w:rPr>
        <w:t xml:space="preserve"> Para la Segunda Sala, a asuntos enviados al Pleno y a la Primera Sala.</w:t>
      </w:r>
    </w:p>
  </w:footnote>
  <w:footnote w:id="14">
    <w:p w14:paraId="55365C46" w14:textId="7489B392" w:rsidR="00511B07" w:rsidRPr="007A328C" w:rsidRDefault="00511B07">
      <w:pPr>
        <w:pStyle w:val="Textonotapie"/>
        <w:rPr>
          <w:rFonts w:ascii="Arial" w:hAnsi="Arial" w:cs="Arial"/>
        </w:rPr>
      </w:pPr>
      <w:r w:rsidRPr="007A328C">
        <w:rPr>
          <w:rStyle w:val="Refdenotaalpie"/>
          <w:rFonts w:ascii="Arial" w:hAnsi="Arial" w:cs="Arial"/>
          <w:sz w:val="16"/>
          <w:szCs w:val="16"/>
        </w:rPr>
        <w:footnoteRef/>
      </w:r>
      <w:r w:rsidRPr="007A328C">
        <w:rPr>
          <w:rFonts w:ascii="Arial" w:hAnsi="Arial" w:cs="Arial"/>
          <w:sz w:val="16"/>
          <w:szCs w:val="16"/>
        </w:rPr>
        <w:t xml:space="preserve"> En 2020, se reportaron 14</w:t>
      </w:r>
      <w:r>
        <w:rPr>
          <w:rFonts w:ascii="Arial" w:hAnsi="Arial" w:cs="Arial"/>
          <w:sz w:val="16"/>
          <w:szCs w:val="16"/>
        </w:rPr>
        <w:t xml:space="preserve"> </w:t>
      </w:r>
      <w:r w:rsidRPr="007A328C">
        <w:rPr>
          <w:rFonts w:ascii="Arial" w:hAnsi="Arial" w:cs="Arial"/>
          <w:sz w:val="16"/>
          <w:szCs w:val="16"/>
        </w:rPr>
        <w:t>525 asuntos ingresados, mientras que la cantidad de asuntos resueltos fue de 14</w:t>
      </w:r>
      <w:r>
        <w:rPr>
          <w:rFonts w:ascii="Arial" w:hAnsi="Arial" w:cs="Arial"/>
          <w:sz w:val="16"/>
          <w:szCs w:val="16"/>
        </w:rPr>
        <w:t xml:space="preserve"> </w:t>
      </w:r>
      <w:r w:rsidRPr="007A328C">
        <w:rPr>
          <w:rFonts w:ascii="Arial" w:hAnsi="Arial" w:cs="Arial"/>
          <w:sz w:val="16"/>
          <w:szCs w:val="16"/>
        </w:rPr>
        <w:t>556.</w:t>
      </w:r>
    </w:p>
  </w:footnote>
  <w:footnote w:id="15">
    <w:p w14:paraId="523C2C0F" w14:textId="494F90B0" w:rsidR="00511B07" w:rsidRPr="009432B7" w:rsidRDefault="00511B07" w:rsidP="009432B7">
      <w:pPr>
        <w:pStyle w:val="Textonotapie"/>
        <w:jc w:val="both"/>
        <w:rPr>
          <w:rFonts w:ascii="Arial" w:hAnsi="Arial" w:cs="Arial"/>
        </w:rPr>
      </w:pPr>
      <w:r w:rsidRPr="009432B7">
        <w:rPr>
          <w:rStyle w:val="Refdenotaalpie"/>
          <w:rFonts w:ascii="Arial" w:hAnsi="Arial" w:cs="Arial"/>
          <w:sz w:val="16"/>
          <w:szCs w:val="16"/>
        </w:rPr>
        <w:footnoteRef/>
      </w:r>
      <w:r w:rsidRPr="009432B7">
        <w:rPr>
          <w:rFonts w:ascii="Arial" w:hAnsi="Arial" w:cs="Arial"/>
          <w:sz w:val="16"/>
          <w:szCs w:val="16"/>
        </w:rPr>
        <w:t xml:space="preserve"> En 2020, para el procedimiento de </w:t>
      </w:r>
      <w:r w:rsidRPr="009432B7">
        <w:rPr>
          <w:rFonts w:ascii="Arial" w:hAnsi="Arial" w:cs="Arial"/>
          <w:i/>
          <w:iCs/>
          <w:sz w:val="16"/>
          <w:szCs w:val="16"/>
        </w:rPr>
        <w:t>Juicio para la protección de los derechos político-electorales del ciudadano</w:t>
      </w:r>
      <w:r w:rsidR="007D0F9F">
        <w:rPr>
          <w:rFonts w:ascii="Arial" w:hAnsi="Arial" w:cs="Arial"/>
          <w:i/>
          <w:iCs/>
          <w:sz w:val="16"/>
          <w:szCs w:val="16"/>
        </w:rPr>
        <w:t>,</w:t>
      </w:r>
      <w:r w:rsidRPr="009432B7">
        <w:rPr>
          <w:rFonts w:ascii="Arial" w:hAnsi="Arial" w:cs="Arial"/>
          <w:sz w:val="16"/>
          <w:szCs w:val="16"/>
        </w:rPr>
        <w:t xml:space="preserve"> se </w:t>
      </w:r>
      <w:r>
        <w:rPr>
          <w:rFonts w:ascii="Arial" w:hAnsi="Arial" w:cs="Arial"/>
          <w:sz w:val="16"/>
          <w:szCs w:val="16"/>
        </w:rPr>
        <w:t xml:space="preserve">ingresaron 12 134 asuntos y 12 385 fueron resueltos. </w:t>
      </w:r>
    </w:p>
  </w:footnote>
  <w:footnote w:id="16">
    <w:p w14:paraId="04F0FBF0" w14:textId="483692F4" w:rsidR="00511B07" w:rsidRPr="00556A0F" w:rsidRDefault="00511B07">
      <w:pPr>
        <w:pStyle w:val="Textonotapie"/>
        <w:rPr>
          <w:rFonts w:ascii="Arial" w:hAnsi="Arial" w:cs="Arial"/>
        </w:rPr>
      </w:pPr>
      <w:r w:rsidRPr="00556A0F">
        <w:rPr>
          <w:rStyle w:val="Refdenotaalpie"/>
          <w:rFonts w:ascii="Arial" w:hAnsi="Arial" w:cs="Arial"/>
          <w:sz w:val="16"/>
          <w:szCs w:val="16"/>
        </w:rPr>
        <w:footnoteRef/>
      </w:r>
      <w:r w:rsidRPr="00556A0F">
        <w:rPr>
          <w:rFonts w:ascii="Arial" w:hAnsi="Arial" w:cs="Arial"/>
          <w:sz w:val="16"/>
          <w:szCs w:val="16"/>
        </w:rPr>
        <w:t xml:space="preserve"> En 2020</w:t>
      </w:r>
      <w:r w:rsidR="00237A2D">
        <w:rPr>
          <w:rFonts w:ascii="Arial" w:hAnsi="Arial" w:cs="Arial"/>
          <w:sz w:val="16"/>
          <w:szCs w:val="16"/>
        </w:rPr>
        <w:t>,</w:t>
      </w:r>
      <w:r w:rsidRPr="00556A0F">
        <w:rPr>
          <w:rFonts w:ascii="Arial" w:hAnsi="Arial" w:cs="Arial"/>
          <w:sz w:val="16"/>
          <w:szCs w:val="16"/>
        </w:rPr>
        <w:t xml:space="preserve"> la cantidad de personas físicas involucradas en los asuntos y servicios atendidos fue de 402. </w:t>
      </w:r>
    </w:p>
  </w:footnote>
  <w:footnote w:id="17">
    <w:p w14:paraId="141F5F19" w14:textId="0C6E8E47" w:rsidR="00511B07" w:rsidRPr="00FD3BCA" w:rsidRDefault="00511B07" w:rsidP="00F220A7">
      <w:pPr>
        <w:pStyle w:val="Textonotapie"/>
        <w:jc w:val="both"/>
        <w:rPr>
          <w:rFonts w:ascii="Arial" w:hAnsi="Arial" w:cs="Arial"/>
          <w:color w:val="000000" w:themeColor="text1"/>
        </w:rPr>
      </w:pPr>
      <w:r w:rsidRPr="00FD3BCA">
        <w:rPr>
          <w:rStyle w:val="Refdenotaalpie"/>
          <w:rFonts w:ascii="Arial" w:hAnsi="Arial" w:cs="Arial"/>
          <w:color w:val="000000" w:themeColor="text1"/>
          <w:sz w:val="16"/>
          <w:szCs w:val="16"/>
        </w:rPr>
        <w:footnoteRef/>
      </w:r>
      <w:r w:rsidRPr="00FD3BCA">
        <w:rPr>
          <w:rFonts w:ascii="Arial" w:hAnsi="Arial" w:cs="Arial"/>
          <w:color w:val="000000" w:themeColor="text1"/>
          <w:sz w:val="16"/>
          <w:szCs w:val="16"/>
        </w:rPr>
        <w:t xml:space="preserve"> La cantidad de personas involucradas es menor a la de asuntos y servicios atendidos</w:t>
      </w:r>
      <w:r w:rsidR="00237A2D">
        <w:rPr>
          <w:rFonts w:ascii="Arial" w:hAnsi="Arial" w:cs="Arial"/>
          <w:color w:val="000000" w:themeColor="text1"/>
          <w:sz w:val="16"/>
          <w:szCs w:val="16"/>
        </w:rPr>
        <w:t xml:space="preserve"> porque </w:t>
      </w:r>
      <w:r w:rsidRPr="00FD3BCA">
        <w:rPr>
          <w:rFonts w:ascii="Arial" w:hAnsi="Arial" w:cs="Arial"/>
          <w:color w:val="000000" w:themeColor="text1"/>
          <w:sz w:val="16"/>
          <w:szCs w:val="16"/>
        </w:rPr>
        <w:t>una persona pudo recibir más de un asunto o servicio.</w:t>
      </w:r>
    </w:p>
  </w:footnote>
  <w:footnote w:id="18">
    <w:p w14:paraId="5C7B8067" w14:textId="0854E135" w:rsidR="00511B07" w:rsidRPr="00FD3BCA" w:rsidRDefault="00511B07">
      <w:pPr>
        <w:pStyle w:val="Textonotapie"/>
        <w:rPr>
          <w:rFonts w:ascii="Arial" w:hAnsi="Arial" w:cs="Arial"/>
        </w:rPr>
      </w:pPr>
      <w:r w:rsidRPr="00FD3BCA">
        <w:rPr>
          <w:rStyle w:val="Refdenotaalpie"/>
          <w:rFonts w:ascii="Arial" w:hAnsi="Arial" w:cs="Arial"/>
          <w:color w:val="000000" w:themeColor="text1"/>
          <w:sz w:val="16"/>
          <w:szCs w:val="16"/>
        </w:rPr>
        <w:footnoteRef/>
      </w:r>
      <w:r w:rsidRPr="00FD3BCA">
        <w:rPr>
          <w:rFonts w:ascii="Arial" w:hAnsi="Arial" w:cs="Arial"/>
          <w:color w:val="000000" w:themeColor="text1"/>
          <w:sz w:val="16"/>
          <w:szCs w:val="16"/>
        </w:rPr>
        <w:t xml:space="preserve"> En 2020</w:t>
      </w:r>
      <w:r w:rsidR="00237A2D">
        <w:rPr>
          <w:rFonts w:ascii="Arial" w:hAnsi="Arial" w:cs="Arial"/>
          <w:color w:val="000000" w:themeColor="text1"/>
          <w:sz w:val="16"/>
          <w:szCs w:val="16"/>
        </w:rPr>
        <w:t>,</w:t>
      </w:r>
      <w:r w:rsidRPr="00FD3BCA">
        <w:rPr>
          <w:rFonts w:ascii="Arial" w:hAnsi="Arial" w:cs="Arial"/>
          <w:color w:val="000000" w:themeColor="text1"/>
          <w:sz w:val="16"/>
          <w:szCs w:val="16"/>
        </w:rPr>
        <w:t xml:space="preserve"> la cantidad de personas involucradas en los asuntos y servicios atendidos fue de 69</w:t>
      </w:r>
      <w:r w:rsidR="00237A2D">
        <w:rPr>
          <w:rFonts w:ascii="Arial" w:hAnsi="Arial" w:cs="Arial"/>
          <w:color w:val="000000" w:themeColor="text1"/>
          <w:sz w:val="16"/>
          <w:szCs w:val="16"/>
        </w:rPr>
        <w:t xml:space="preserve"> </w:t>
      </w:r>
      <w:r w:rsidRPr="00FD3BCA">
        <w:rPr>
          <w:rFonts w:ascii="Arial" w:hAnsi="Arial" w:cs="Arial"/>
          <w:color w:val="000000" w:themeColor="text1"/>
          <w:sz w:val="16"/>
          <w:szCs w:val="16"/>
        </w:rPr>
        <w:t xml:space="preserve">016. </w:t>
      </w:r>
    </w:p>
  </w:footnote>
  <w:footnote w:id="19">
    <w:p w14:paraId="20F833FB" w14:textId="3B50768F" w:rsidR="00511B07" w:rsidRPr="00934F66" w:rsidRDefault="00511B07" w:rsidP="00934F66">
      <w:pPr>
        <w:pStyle w:val="Textonotapie"/>
        <w:jc w:val="both"/>
        <w:rPr>
          <w:rFonts w:ascii="Arial" w:hAnsi="Arial" w:cs="Arial"/>
        </w:rPr>
      </w:pPr>
      <w:r w:rsidRPr="00934F66">
        <w:rPr>
          <w:rStyle w:val="Refdenotaalpie"/>
          <w:rFonts w:ascii="Arial" w:hAnsi="Arial" w:cs="Arial"/>
          <w:color w:val="000000" w:themeColor="text1"/>
          <w:sz w:val="16"/>
          <w:szCs w:val="16"/>
        </w:rPr>
        <w:footnoteRef/>
      </w:r>
      <w:r w:rsidR="0092025D">
        <w:rPr>
          <w:rFonts w:ascii="Arial" w:hAnsi="Arial" w:cs="Arial"/>
          <w:color w:val="000000" w:themeColor="text1"/>
          <w:sz w:val="16"/>
          <w:szCs w:val="16"/>
        </w:rPr>
        <w:t xml:space="preserve"> Solo</w:t>
      </w:r>
      <w:r w:rsidRPr="00934F66">
        <w:rPr>
          <w:rFonts w:ascii="Arial" w:hAnsi="Arial" w:cs="Arial"/>
          <w:color w:val="000000" w:themeColor="text1"/>
          <w:sz w:val="16"/>
          <w:szCs w:val="16"/>
        </w:rPr>
        <w:t xml:space="preserve"> se contabilizaron las causas penales ingresadas en los juzgados de distrito y </w:t>
      </w:r>
      <w:r>
        <w:rPr>
          <w:rFonts w:ascii="Arial" w:hAnsi="Arial" w:cs="Arial"/>
          <w:color w:val="000000" w:themeColor="text1"/>
          <w:sz w:val="16"/>
          <w:szCs w:val="16"/>
        </w:rPr>
        <w:t>en</w:t>
      </w:r>
      <w:r w:rsidRPr="00934F66">
        <w:rPr>
          <w:rFonts w:ascii="Arial" w:hAnsi="Arial" w:cs="Arial"/>
          <w:color w:val="000000" w:themeColor="text1"/>
          <w:sz w:val="16"/>
          <w:szCs w:val="16"/>
        </w:rPr>
        <w:t xml:space="preserve"> los jueces de control o garantías.</w:t>
      </w:r>
    </w:p>
  </w:footnote>
  <w:footnote w:id="20">
    <w:p w14:paraId="6AD4FF7D" w14:textId="4A68EF2D" w:rsidR="006D0A10" w:rsidRPr="00A448EC" w:rsidRDefault="006D0A10" w:rsidP="00A448EC">
      <w:pPr>
        <w:pStyle w:val="Textonotapie"/>
        <w:jc w:val="both"/>
        <w:rPr>
          <w:rFonts w:ascii="Arial" w:hAnsi="Arial" w:cs="Arial"/>
          <w:sz w:val="16"/>
          <w:szCs w:val="16"/>
        </w:rPr>
      </w:pPr>
      <w:r w:rsidRPr="00A448EC">
        <w:rPr>
          <w:rStyle w:val="Refdenotaalpie"/>
          <w:rFonts w:ascii="Arial" w:hAnsi="Arial" w:cs="Arial"/>
          <w:sz w:val="16"/>
          <w:szCs w:val="16"/>
        </w:rPr>
        <w:footnoteRef/>
      </w:r>
      <w:r w:rsidRPr="00A448EC">
        <w:rPr>
          <w:rFonts w:ascii="Arial" w:hAnsi="Arial" w:cs="Arial"/>
          <w:sz w:val="16"/>
          <w:szCs w:val="16"/>
        </w:rPr>
        <w:t xml:space="preserve"> </w:t>
      </w:r>
      <w:r w:rsidR="00A448EC" w:rsidRPr="00A448EC">
        <w:rPr>
          <w:rFonts w:ascii="Arial" w:hAnsi="Arial" w:cs="Arial"/>
          <w:sz w:val="16"/>
          <w:szCs w:val="16"/>
        </w:rPr>
        <w:t>Resolución judicial mediante la cual se pone término</w:t>
      </w:r>
      <w:r w:rsidR="0092025D">
        <w:rPr>
          <w:rFonts w:ascii="Arial" w:hAnsi="Arial" w:cs="Arial"/>
          <w:sz w:val="16"/>
          <w:szCs w:val="16"/>
        </w:rPr>
        <w:t>,</w:t>
      </w:r>
      <w:r w:rsidR="00A448EC" w:rsidRPr="00A448EC">
        <w:rPr>
          <w:rFonts w:ascii="Arial" w:hAnsi="Arial" w:cs="Arial"/>
          <w:sz w:val="16"/>
          <w:szCs w:val="16"/>
        </w:rPr>
        <w:t xml:space="preserve"> de forma total o parcial</w:t>
      </w:r>
      <w:r w:rsidR="0092025D">
        <w:rPr>
          <w:rFonts w:ascii="Arial" w:hAnsi="Arial" w:cs="Arial"/>
          <w:sz w:val="16"/>
          <w:szCs w:val="16"/>
        </w:rPr>
        <w:t>,</w:t>
      </w:r>
      <w:r w:rsidR="00A448EC" w:rsidRPr="00A448EC">
        <w:rPr>
          <w:rFonts w:ascii="Arial" w:hAnsi="Arial" w:cs="Arial"/>
          <w:sz w:val="16"/>
          <w:szCs w:val="16"/>
        </w:rPr>
        <w:t xml:space="preserve"> al proceso penal en relación con el imputado, a quien se dicta a su favor e inhibe una nueva persecución penal por el mismo hecho. Procede cuando el hecho no se cometió, no constituye un delito, se establece la inocencia del imputado, por la muerte del imputado, entre otras causas.</w:t>
      </w:r>
    </w:p>
  </w:footnote>
  <w:footnote w:id="21">
    <w:p w14:paraId="72C1A527" w14:textId="3119549F" w:rsidR="00511B07" w:rsidRPr="00333460" w:rsidRDefault="00511B07" w:rsidP="00333460">
      <w:pPr>
        <w:pStyle w:val="Textonotapie"/>
        <w:jc w:val="both"/>
        <w:rPr>
          <w:rFonts w:ascii="Arial" w:hAnsi="Arial" w:cs="Arial"/>
        </w:rPr>
      </w:pPr>
      <w:r w:rsidRPr="00333460">
        <w:rPr>
          <w:rStyle w:val="Refdenotaalpie"/>
          <w:rFonts w:ascii="Arial" w:hAnsi="Arial" w:cs="Arial"/>
          <w:sz w:val="16"/>
          <w:szCs w:val="16"/>
        </w:rPr>
        <w:footnoteRef/>
      </w:r>
      <w:r w:rsidRPr="00333460">
        <w:rPr>
          <w:rFonts w:ascii="Arial" w:hAnsi="Arial" w:cs="Arial"/>
          <w:sz w:val="16"/>
          <w:szCs w:val="16"/>
        </w:rPr>
        <w:t xml:space="preserve"> El 5</w:t>
      </w:r>
      <w:r>
        <w:rPr>
          <w:rFonts w:ascii="Arial" w:hAnsi="Arial" w:cs="Arial"/>
          <w:sz w:val="16"/>
          <w:szCs w:val="16"/>
        </w:rPr>
        <w:t xml:space="preserve">8.9 </w:t>
      </w:r>
      <w:r w:rsidRPr="00333460">
        <w:rPr>
          <w:rFonts w:ascii="Arial" w:hAnsi="Arial" w:cs="Arial"/>
          <w:sz w:val="16"/>
          <w:szCs w:val="16"/>
        </w:rPr>
        <w:t xml:space="preserve">% restante corresponde a la categoría </w:t>
      </w:r>
      <w:r w:rsidR="00040D12">
        <w:rPr>
          <w:rFonts w:ascii="Arial" w:hAnsi="Arial" w:cs="Arial"/>
          <w:sz w:val="16"/>
          <w:szCs w:val="16"/>
        </w:rPr>
        <w:t>«</w:t>
      </w:r>
      <w:r w:rsidRPr="00333460">
        <w:rPr>
          <w:rFonts w:ascii="Arial" w:hAnsi="Arial" w:cs="Arial"/>
          <w:sz w:val="16"/>
          <w:szCs w:val="16"/>
        </w:rPr>
        <w:t>No identificado</w:t>
      </w:r>
      <w:r w:rsidR="00040D12">
        <w:rPr>
          <w:rFonts w:ascii="Arial" w:hAnsi="Arial" w:cs="Arial"/>
          <w:sz w:val="16"/>
          <w:szCs w:val="16"/>
        </w:rPr>
        <w:t>»</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5C1E" w14:textId="1BC15299" w:rsidR="00511B07" w:rsidRPr="00CE3882" w:rsidRDefault="00511B07" w:rsidP="00A056F0">
    <w:pPr>
      <w:tabs>
        <w:tab w:val="left" w:pos="5103"/>
      </w:tabs>
      <w:spacing w:after="0" w:line="240" w:lineRule="auto"/>
      <w:ind w:right="51"/>
      <w:jc w:val="right"/>
      <w:rPr>
        <w:rFonts w:ascii="Arial" w:eastAsia="Arial" w:hAnsi="Arial" w:cs="Arial"/>
        <w:sz w:val="24"/>
        <w:szCs w:val="24"/>
      </w:rPr>
    </w:pPr>
    <w:r w:rsidRPr="00CE3882">
      <w:rPr>
        <w:noProof/>
        <w:lang w:eastAsia="es-MX"/>
      </w:rPr>
      <w:drawing>
        <wp:anchor distT="0" distB="0" distL="114300" distR="114300" simplePos="0" relativeHeight="251658240" behindDoc="0" locked="0" layoutInCell="1" allowOverlap="1" wp14:anchorId="22688FFF" wp14:editId="0F090B2C">
          <wp:simplePos x="0" y="0"/>
          <wp:positionH relativeFrom="margin">
            <wp:align>left</wp:align>
          </wp:positionH>
          <wp:positionV relativeFrom="margin">
            <wp:posOffset>-951783</wp:posOffset>
          </wp:positionV>
          <wp:extent cx="847725" cy="828675"/>
          <wp:effectExtent l="0" t="0" r="9525" b="9525"/>
          <wp:wrapSquare wrapText="bothSides"/>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1" r="-1191"/>
                  <a:stretch/>
                </pic:blipFill>
                <pic:spPr bwMode="auto">
                  <a:xfrm>
                    <a:off x="0" y="0"/>
                    <a:ext cx="8477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sidRPr="00DE6EFC">
      <w:rPr>
        <w:rFonts w:ascii="Arial" w:hAnsi="Arial"/>
        <w:b/>
        <w:color w:val="002060"/>
        <w:sz w:val="24"/>
      </w:rPr>
      <w:t xml:space="preserve"> </w:t>
    </w:r>
    <w:r>
      <w:rPr>
        <w:rFonts w:ascii="Arial" w:hAnsi="Arial"/>
        <w:b/>
        <w:color w:val="002060"/>
        <w:sz w:val="24"/>
      </w:rPr>
      <w:t>347/22</w:t>
    </w:r>
  </w:p>
  <w:p w14:paraId="654BD4B2" w14:textId="14B0B4CF" w:rsidR="00511B07" w:rsidRPr="00BA6E95" w:rsidRDefault="00511B07" w:rsidP="00A056F0">
    <w:pPr>
      <w:tabs>
        <w:tab w:val="center" w:pos="5018"/>
        <w:tab w:val="right" w:pos="10037"/>
      </w:tabs>
      <w:spacing w:after="0" w:line="240" w:lineRule="auto"/>
      <w:ind w:right="51"/>
      <w:jc w:val="right"/>
      <w:rPr>
        <w:rFonts w:ascii="Arial"/>
        <w:b/>
        <w:color w:val="002060"/>
        <w:sz w:val="24"/>
      </w:rPr>
    </w:pPr>
    <w:r>
      <w:rPr>
        <w:rFonts w:ascii="Arial"/>
        <w:b/>
        <w:color w:val="002060"/>
        <w:sz w:val="24"/>
      </w:rPr>
      <w:t>1</w:t>
    </w:r>
    <w:r w:rsidRPr="00DE6EFC">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pacing w:val="-5"/>
        <w:sz w:val="24"/>
      </w:rPr>
      <w:t>JULIO</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292B9CCA" w14:textId="7124CA7D" w:rsidR="00511B07" w:rsidRDefault="00511B07" w:rsidP="00A056F0">
    <w:pPr>
      <w:spacing w:after="0" w:line="240" w:lineRule="auto"/>
      <w:ind w:right="51"/>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Pr>
        <w:rFonts w:ascii="Arial" w:hAnsi="Arial"/>
        <w:b/>
        <w:noProof/>
        <w:color w:val="002060"/>
        <w:sz w:val="24"/>
      </w:rPr>
      <w:t>1</w:t>
    </w:r>
    <w:r w:rsidRPr="00CE3882">
      <w:fldChar w:fldCharType="end"/>
    </w:r>
    <w:r w:rsidRPr="00CE3882">
      <w:rPr>
        <w:rFonts w:ascii="Arial" w:hAnsi="Arial"/>
        <w:b/>
        <w:color w:val="002060"/>
        <w:sz w:val="24"/>
      </w:rPr>
      <w:t>/</w:t>
    </w:r>
    <w:r w:rsidR="00ED4E22">
      <w:rPr>
        <w:rFonts w:ascii="Arial" w:hAnsi="Arial"/>
        <w:b/>
        <w:color w:val="002060"/>
        <w:sz w:val="24"/>
      </w:rPr>
      <w:t>20</w:t>
    </w:r>
  </w:p>
  <w:p w14:paraId="092AA8FC" w14:textId="122FC5A2" w:rsidR="00511B07" w:rsidRDefault="00511B07" w:rsidP="0005255F">
    <w:pPr>
      <w:tabs>
        <w:tab w:val="left" w:pos="555"/>
        <w:tab w:val="left" w:pos="2790"/>
      </w:tabs>
      <w:ind w:right="4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44A1767B" w14:textId="77777777" w:rsidR="00511B07" w:rsidRDefault="00511B0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892E" w14:textId="456C346F" w:rsidR="00511B07" w:rsidRDefault="00511B07" w:rsidP="00EC31DB">
    <w:pPr>
      <w:pStyle w:val="Encabezado"/>
      <w:ind w:left="-567"/>
      <w:jc w:val="center"/>
      <w:rPr>
        <w:noProof/>
      </w:rPr>
    </w:pPr>
    <w:r>
      <w:rPr>
        <w:noProof/>
        <w:lang w:eastAsia="es-MX"/>
      </w:rPr>
      <w:drawing>
        <wp:inline distT="0" distB="0" distL="0" distR="0" wp14:anchorId="2DBA87B7" wp14:editId="67F537D7">
          <wp:extent cx="678606" cy="704850"/>
          <wp:effectExtent l="0" t="0" r="762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p w14:paraId="06595FBD" w14:textId="77777777" w:rsidR="00511B07" w:rsidRDefault="00511B07" w:rsidP="00E92F6E">
    <w:pPr>
      <w:pStyle w:val="Encabezado"/>
      <w:tabs>
        <w:tab w:val="clear" w:pos="4419"/>
        <w:tab w:val="clear" w:pos="8838"/>
      </w:tabs>
      <w:rPr>
        <w:b/>
        <w:color w:val="000000"/>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72D"/>
    <w:multiLevelType w:val="hybridMultilevel"/>
    <w:tmpl w:val="B9BA8B7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8D03E5D"/>
    <w:multiLevelType w:val="hybridMultilevel"/>
    <w:tmpl w:val="26EA66C0"/>
    <w:lvl w:ilvl="0" w:tplc="2EA499D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C444AC2"/>
    <w:multiLevelType w:val="hybridMultilevel"/>
    <w:tmpl w:val="C63A34B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A211631"/>
    <w:multiLevelType w:val="hybridMultilevel"/>
    <w:tmpl w:val="1BF84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22611C4C"/>
    <w:multiLevelType w:val="hybridMultilevel"/>
    <w:tmpl w:val="E2C09E50"/>
    <w:lvl w:ilvl="0" w:tplc="076AA74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9"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80614A"/>
    <w:multiLevelType w:val="hybridMultilevel"/>
    <w:tmpl w:val="60F05A5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99504AB"/>
    <w:multiLevelType w:val="hybridMultilevel"/>
    <w:tmpl w:val="FC24B15A"/>
    <w:lvl w:ilvl="0" w:tplc="5CB8570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0A0623"/>
    <w:multiLevelType w:val="hybridMultilevel"/>
    <w:tmpl w:val="45CE8512"/>
    <w:lvl w:ilvl="0" w:tplc="7DEE96C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020D48"/>
    <w:multiLevelType w:val="hybridMultilevel"/>
    <w:tmpl w:val="6D54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2F3DCA"/>
    <w:multiLevelType w:val="hybridMultilevel"/>
    <w:tmpl w:val="4B240908"/>
    <w:lvl w:ilvl="0" w:tplc="959E4ACE">
      <w:start w:val="1"/>
      <w:numFmt w:val="bullet"/>
      <w:lvlText w:val=""/>
      <w:lvlJc w:val="left"/>
      <w:pPr>
        <w:ind w:left="720" w:hanging="360"/>
      </w:pPr>
      <w:rPr>
        <w:rFonts w:ascii="Symbol" w:hAnsi="Symbol" w:hint="default"/>
        <w:color w:val="C1268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895A99"/>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C625D8"/>
    <w:multiLevelType w:val="hybridMultilevel"/>
    <w:tmpl w:val="F4FADA3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A64197"/>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4" w15:restartNumberingAfterBreak="0">
    <w:nsid w:val="5C335FBA"/>
    <w:multiLevelType w:val="hybridMultilevel"/>
    <w:tmpl w:val="1C0C548E"/>
    <w:lvl w:ilvl="0" w:tplc="5DF26640">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8C62B1"/>
    <w:multiLevelType w:val="hybridMultilevel"/>
    <w:tmpl w:val="F966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9" w15:restartNumberingAfterBreak="0">
    <w:nsid w:val="75A806B4"/>
    <w:multiLevelType w:val="hybridMultilevel"/>
    <w:tmpl w:val="E2300E20"/>
    <w:lvl w:ilvl="0" w:tplc="5932247A">
      <w:start w:val="1"/>
      <w:numFmt w:val="upperLetter"/>
      <w:lvlText w:val="%1)"/>
      <w:lvlJc w:val="left"/>
      <w:pPr>
        <w:ind w:left="720" w:hanging="360"/>
      </w:pPr>
      <w:rPr>
        <w:rFonts w:hint="default"/>
        <w:b w:val="0"/>
        <w:small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DA2D0F"/>
    <w:multiLevelType w:val="hybridMultilevel"/>
    <w:tmpl w:val="C0D2AE0E"/>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16cid:durableId="1945066236">
    <w:abstractNumId w:val="27"/>
  </w:num>
  <w:num w:numId="2" w16cid:durableId="553540912">
    <w:abstractNumId w:val="10"/>
  </w:num>
  <w:num w:numId="3" w16cid:durableId="1266226885">
    <w:abstractNumId w:val="15"/>
  </w:num>
  <w:num w:numId="4" w16cid:durableId="887693195">
    <w:abstractNumId w:val="18"/>
  </w:num>
  <w:num w:numId="5" w16cid:durableId="355153774">
    <w:abstractNumId w:val="9"/>
  </w:num>
  <w:num w:numId="6" w16cid:durableId="1159273579">
    <w:abstractNumId w:val="25"/>
  </w:num>
  <w:num w:numId="7" w16cid:durableId="533463232">
    <w:abstractNumId w:val="22"/>
  </w:num>
  <w:num w:numId="8" w16cid:durableId="1734885228">
    <w:abstractNumId w:val="20"/>
  </w:num>
  <w:num w:numId="9" w16cid:durableId="1266768317">
    <w:abstractNumId w:val="4"/>
  </w:num>
  <w:num w:numId="10" w16cid:durableId="209612227">
    <w:abstractNumId w:val="8"/>
  </w:num>
  <w:num w:numId="11" w16cid:durableId="1730373775">
    <w:abstractNumId w:val="26"/>
  </w:num>
  <w:num w:numId="12" w16cid:durableId="1727601154">
    <w:abstractNumId w:val="23"/>
  </w:num>
  <w:num w:numId="13" w16cid:durableId="1220440044">
    <w:abstractNumId w:val="16"/>
  </w:num>
  <w:num w:numId="14" w16cid:durableId="1946229054">
    <w:abstractNumId w:val="5"/>
  </w:num>
  <w:num w:numId="15" w16cid:durableId="157621194">
    <w:abstractNumId w:val="28"/>
  </w:num>
  <w:num w:numId="16" w16cid:durableId="614097872">
    <w:abstractNumId w:val="6"/>
  </w:num>
  <w:num w:numId="17" w16cid:durableId="949320765">
    <w:abstractNumId w:val="1"/>
  </w:num>
  <w:num w:numId="18" w16cid:durableId="271327428">
    <w:abstractNumId w:val="21"/>
  </w:num>
  <w:num w:numId="19" w16cid:durableId="1818642749">
    <w:abstractNumId w:val="30"/>
  </w:num>
  <w:num w:numId="20" w16cid:durableId="1620917586">
    <w:abstractNumId w:val="2"/>
  </w:num>
  <w:num w:numId="21" w16cid:durableId="1195850583">
    <w:abstractNumId w:val="3"/>
  </w:num>
  <w:num w:numId="22" w16cid:durableId="454252532">
    <w:abstractNumId w:val="12"/>
  </w:num>
  <w:num w:numId="23" w16cid:durableId="1518156361">
    <w:abstractNumId w:val="13"/>
  </w:num>
  <w:num w:numId="24" w16cid:durableId="1820347124">
    <w:abstractNumId w:val="17"/>
  </w:num>
  <w:num w:numId="25" w16cid:durableId="55276796">
    <w:abstractNumId w:val="24"/>
  </w:num>
  <w:num w:numId="26" w16cid:durableId="54667487">
    <w:abstractNumId w:val="7"/>
  </w:num>
  <w:num w:numId="27" w16cid:durableId="1311397323">
    <w:abstractNumId w:val="0"/>
  </w:num>
  <w:num w:numId="28" w16cid:durableId="158468015">
    <w:abstractNumId w:val="11"/>
  </w:num>
  <w:num w:numId="29" w16cid:durableId="335571390">
    <w:abstractNumId w:val="19"/>
  </w:num>
  <w:num w:numId="30" w16cid:durableId="2116946868">
    <w:abstractNumId w:val="14"/>
  </w:num>
  <w:num w:numId="31" w16cid:durableId="5056346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C"/>
    <w:rsid w:val="00000424"/>
    <w:rsid w:val="00004767"/>
    <w:rsid w:val="00011744"/>
    <w:rsid w:val="0001317A"/>
    <w:rsid w:val="000145D3"/>
    <w:rsid w:val="000156A1"/>
    <w:rsid w:val="0001725F"/>
    <w:rsid w:val="00021552"/>
    <w:rsid w:val="00024609"/>
    <w:rsid w:val="00025559"/>
    <w:rsid w:val="0002586E"/>
    <w:rsid w:val="00025E4A"/>
    <w:rsid w:val="00026F86"/>
    <w:rsid w:val="00027B5B"/>
    <w:rsid w:val="00030FF2"/>
    <w:rsid w:val="000325AE"/>
    <w:rsid w:val="000326DE"/>
    <w:rsid w:val="00032FDA"/>
    <w:rsid w:val="00033791"/>
    <w:rsid w:val="00033D2D"/>
    <w:rsid w:val="00035BF0"/>
    <w:rsid w:val="00040D12"/>
    <w:rsid w:val="000417A0"/>
    <w:rsid w:val="00043E92"/>
    <w:rsid w:val="00044658"/>
    <w:rsid w:val="00044F1F"/>
    <w:rsid w:val="00045D1B"/>
    <w:rsid w:val="00047BDB"/>
    <w:rsid w:val="00050129"/>
    <w:rsid w:val="0005255F"/>
    <w:rsid w:val="00052760"/>
    <w:rsid w:val="00052D31"/>
    <w:rsid w:val="0005371D"/>
    <w:rsid w:val="00053CA3"/>
    <w:rsid w:val="00056897"/>
    <w:rsid w:val="00061667"/>
    <w:rsid w:val="00065A38"/>
    <w:rsid w:val="00066358"/>
    <w:rsid w:val="0007094E"/>
    <w:rsid w:val="0007141C"/>
    <w:rsid w:val="0007309B"/>
    <w:rsid w:val="00074074"/>
    <w:rsid w:val="000744B9"/>
    <w:rsid w:val="0007632A"/>
    <w:rsid w:val="00080A4B"/>
    <w:rsid w:val="00081222"/>
    <w:rsid w:val="000830D9"/>
    <w:rsid w:val="00084B52"/>
    <w:rsid w:val="000924F1"/>
    <w:rsid w:val="00093A3D"/>
    <w:rsid w:val="000951B2"/>
    <w:rsid w:val="000959B2"/>
    <w:rsid w:val="00096014"/>
    <w:rsid w:val="00096C2C"/>
    <w:rsid w:val="00097674"/>
    <w:rsid w:val="000A1D50"/>
    <w:rsid w:val="000A2C8B"/>
    <w:rsid w:val="000B1A99"/>
    <w:rsid w:val="000B2CE2"/>
    <w:rsid w:val="000B42CC"/>
    <w:rsid w:val="000B4C41"/>
    <w:rsid w:val="000B5202"/>
    <w:rsid w:val="000C286D"/>
    <w:rsid w:val="000C4770"/>
    <w:rsid w:val="000C64FF"/>
    <w:rsid w:val="000C6F07"/>
    <w:rsid w:val="000C70C9"/>
    <w:rsid w:val="000D159F"/>
    <w:rsid w:val="000D1BB1"/>
    <w:rsid w:val="000D2A09"/>
    <w:rsid w:val="000D38B5"/>
    <w:rsid w:val="000D48F4"/>
    <w:rsid w:val="000D4D4A"/>
    <w:rsid w:val="000D5ED7"/>
    <w:rsid w:val="000E0A39"/>
    <w:rsid w:val="000E19F7"/>
    <w:rsid w:val="000E6128"/>
    <w:rsid w:val="000E6C7B"/>
    <w:rsid w:val="000F0009"/>
    <w:rsid w:val="000F1099"/>
    <w:rsid w:val="000F1AFE"/>
    <w:rsid w:val="000F274F"/>
    <w:rsid w:val="000F3463"/>
    <w:rsid w:val="000F37A7"/>
    <w:rsid w:val="000F7CD7"/>
    <w:rsid w:val="00102F27"/>
    <w:rsid w:val="001031EA"/>
    <w:rsid w:val="00104A43"/>
    <w:rsid w:val="00104C25"/>
    <w:rsid w:val="00113525"/>
    <w:rsid w:val="00113916"/>
    <w:rsid w:val="001148D4"/>
    <w:rsid w:val="001152A8"/>
    <w:rsid w:val="001169D7"/>
    <w:rsid w:val="001214D8"/>
    <w:rsid w:val="00124D53"/>
    <w:rsid w:val="00133253"/>
    <w:rsid w:val="001334A9"/>
    <w:rsid w:val="001343BD"/>
    <w:rsid w:val="0013511D"/>
    <w:rsid w:val="00136CA7"/>
    <w:rsid w:val="00136F02"/>
    <w:rsid w:val="00137EFF"/>
    <w:rsid w:val="00141F28"/>
    <w:rsid w:val="00143761"/>
    <w:rsid w:val="001438E6"/>
    <w:rsid w:val="001512AD"/>
    <w:rsid w:val="00152589"/>
    <w:rsid w:val="00154244"/>
    <w:rsid w:val="00156F62"/>
    <w:rsid w:val="00160141"/>
    <w:rsid w:val="00161BE7"/>
    <w:rsid w:val="00164E86"/>
    <w:rsid w:val="0017112E"/>
    <w:rsid w:val="001736A3"/>
    <w:rsid w:val="001876AD"/>
    <w:rsid w:val="00194214"/>
    <w:rsid w:val="001954A6"/>
    <w:rsid w:val="0019576A"/>
    <w:rsid w:val="001974AD"/>
    <w:rsid w:val="00197664"/>
    <w:rsid w:val="00197895"/>
    <w:rsid w:val="001A00C9"/>
    <w:rsid w:val="001A07B0"/>
    <w:rsid w:val="001A0984"/>
    <w:rsid w:val="001A3B97"/>
    <w:rsid w:val="001A3C70"/>
    <w:rsid w:val="001A4537"/>
    <w:rsid w:val="001A52EA"/>
    <w:rsid w:val="001A64C6"/>
    <w:rsid w:val="001B04C7"/>
    <w:rsid w:val="001B0DB8"/>
    <w:rsid w:val="001B119A"/>
    <w:rsid w:val="001B1BA0"/>
    <w:rsid w:val="001B5642"/>
    <w:rsid w:val="001B72FC"/>
    <w:rsid w:val="001B79F7"/>
    <w:rsid w:val="001B7F80"/>
    <w:rsid w:val="001C014F"/>
    <w:rsid w:val="001C21E2"/>
    <w:rsid w:val="001C4720"/>
    <w:rsid w:val="001C7766"/>
    <w:rsid w:val="001D0E9F"/>
    <w:rsid w:val="001D1100"/>
    <w:rsid w:val="001D1D42"/>
    <w:rsid w:val="001D3C6A"/>
    <w:rsid w:val="001D7D6A"/>
    <w:rsid w:val="001E1767"/>
    <w:rsid w:val="001E1818"/>
    <w:rsid w:val="001E1BB1"/>
    <w:rsid w:val="001E2DF3"/>
    <w:rsid w:val="001E2E7A"/>
    <w:rsid w:val="001E6791"/>
    <w:rsid w:val="001E7220"/>
    <w:rsid w:val="001E7447"/>
    <w:rsid w:val="001F0D06"/>
    <w:rsid w:val="001F36B5"/>
    <w:rsid w:val="001F51C9"/>
    <w:rsid w:val="00200655"/>
    <w:rsid w:val="00200F59"/>
    <w:rsid w:val="00203AD2"/>
    <w:rsid w:val="00206DF4"/>
    <w:rsid w:val="00210D8E"/>
    <w:rsid w:val="0021373E"/>
    <w:rsid w:val="00214D52"/>
    <w:rsid w:val="00215340"/>
    <w:rsid w:val="00216F44"/>
    <w:rsid w:val="002177F7"/>
    <w:rsid w:val="00217D18"/>
    <w:rsid w:val="002218F5"/>
    <w:rsid w:val="002226E2"/>
    <w:rsid w:val="00224804"/>
    <w:rsid w:val="00226238"/>
    <w:rsid w:val="00227631"/>
    <w:rsid w:val="0023058A"/>
    <w:rsid w:val="00231479"/>
    <w:rsid w:val="00234BDF"/>
    <w:rsid w:val="00236341"/>
    <w:rsid w:val="00237A2D"/>
    <w:rsid w:val="0024196D"/>
    <w:rsid w:val="00243E34"/>
    <w:rsid w:val="00244C05"/>
    <w:rsid w:val="0025020B"/>
    <w:rsid w:val="002504F1"/>
    <w:rsid w:val="00250594"/>
    <w:rsid w:val="00251230"/>
    <w:rsid w:val="00252CD7"/>
    <w:rsid w:val="002532D0"/>
    <w:rsid w:val="0025370D"/>
    <w:rsid w:val="002549A4"/>
    <w:rsid w:val="00256060"/>
    <w:rsid w:val="002563D4"/>
    <w:rsid w:val="00256B7F"/>
    <w:rsid w:val="00266964"/>
    <w:rsid w:val="002676A8"/>
    <w:rsid w:val="00267985"/>
    <w:rsid w:val="00270200"/>
    <w:rsid w:val="0027360F"/>
    <w:rsid w:val="00274DD5"/>
    <w:rsid w:val="002754A1"/>
    <w:rsid w:val="00275C00"/>
    <w:rsid w:val="00277C48"/>
    <w:rsid w:val="002824E0"/>
    <w:rsid w:val="002841F9"/>
    <w:rsid w:val="00284859"/>
    <w:rsid w:val="002856BB"/>
    <w:rsid w:val="00285BF4"/>
    <w:rsid w:val="0028651B"/>
    <w:rsid w:val="0029095E"/>
    <w:rsid w:val="00290CA3"/>
    <w:rsid w:val="00291060"/>
    <w:rsid w:val="00291995"/>
    <w:rsid w:val="0029243D"/>
    <w:rsid w:val="0029375D"/>
    <w:rsid w:val="00293F4D"/>
    <w:rsid w:val="0029759E"/>
    <w:rsid w:val="002A0153"/>
    <w:rsid w:val="002A0EFE"/>
    <w:rsid w:val="002A440B"/>
    <w:rsid w:val="002A51DF"/>
    <w:rsid w:val="002A6232"/>
    <w:rsid w:val="002A6561"/>
    <w:rsid w:val="002B2BCF"/>
    <w:rsid w:val="002B340D"/>
    <w:rsid w:val="002B41A7"/>
    <w:rsid w:val="002B77CF"/>
    <w:rsid w:val="002C13A8"/>
    <w:rsid w:val="002C2B54"/>
    <w:rsid w:val="002C3641"/>
    <w:rsid w:val="002C41ED"/>
    <w:rsid w:val="002C4C41"/>
    <w:rsid w:val="002C606F"/>
    <w:rsid w:val="002C6E81"/>
    <w:rsid w:val="002C774E"/>
    <w:rsid w:val="002D2044"/>
    <w:rsid w:val="002D2220"/>
    <w:rsid w:val="002D2DB7"/>
    <w:rsid w:val="002D3678"/>
    <w:rsid w:val="002D51D7"/>
    <w:rsid w:val="002D5239"/>
    <w:rsid w:val="002D5BA5"/>
    <w:rsid w:val="002D6C52"/>
    <w:rsid w:val="002E291A"/>
    <w:rsid w:val="002E2F97"/>
    <w:rsid w:val="002E5B57"/>
    <w:rsid w:val="002E5F19"/>
    <w:rsid w:val="002E783A"/>
    <w:rsid w:val="002F02AB"/>
    <w:rsid w:val="002F306F"/>
    <w:rsid w:val="002F3337"/>
    <w:rsid w:val="002F38D4"/>
    <w:rsid w:val="002F496C"/>
    <w:rsid w:val="002F4C8A"/>
    <w:rsid w:val="002F5911"/>
    <w:rsid w:val="002F6130"/>
    <w:rsid w:val="002F6B53"/>
    <w:rsid w:val="00302749"/>
    <w:rsid w:val="00303670"/>
    <w:rsid w:val="003036A8"/>
    <w:rsid w:val="00304174"/>
    <w:rsid w:val="00304933"/>
    <w:rsid w:val="00305889"/>
    <w:rsid w:val="00306AB2"/>
    <w:rsid w:val="00306E96"/>
    <w:rsid w:val="003102D0"/>
    <w:rsid w:val="003110A5"/>
    <w:rsid w:val="003144F5"/>
    <w:rsid w:val="00317211"/>
    <w:rsid w:val="003179F6"/>
    <w:rsid w:val="0032002F"/>
    <w:rsid w:val="0032003B"/>
    <w:rsid w:val="00320096"/>
    <w:rsid w:val="003203B4"/>
    <w:rsid w:val="00321F87"/>
    <w:rsid w:val="00322FDE"/>
    <w:rsid w:val="0032486D"/>
    <w:rsid w:val="00331F39"/>
    <w:rsid w:val="003321BF"/>
    <w:rsid w:val="00332B46"/>
    <w:rsid w:val="00333460"/>
    <w:rsid w:val="00333EFB"/>
    <w:rsid w:val="00334CA5"/>
    <w:rsid w:val="0033539D"/>
    <w:rsid w:val="003354DE"/>
    <w:rsid w:val="00340CA7"/>
    <w:rsid w:val="003440CC"/>
    <w:rsid w:val="00344F41"/>
    <w:rsid w:val="00346473"/>
    <w:rsid w:val="003478A9"/>
    <w:rsid w:val="00347ADD"/>
    <w:rsid w:val="0035006E"/>
    <w:rsid w:val="003510A9"/>
    <w:rsid w:val="00354280"/>
    <w:rsid w:val="00356E28"/>
    <w:rsid w:val="00357681"/>
    <w:rsid w:val="003601C2"/>
    <w:rsid w:val="00360FF4"/>
    <w:rsid w:val="003629F3"/>
    <w:rsid w:val="003644B2"/>
    <w:rsid w:val="00364E83"/>
    <w:rsid w:val="003650F7"/>
    <w:rsid w:val="00372EBD"/>
    <w:rsid w:val="00375F89"/>
    <w:rsid w:val="00377E61"/>
    <w:rsid w:val="003809FA"/>
    <w:rsid w:val="00380B69"/>
    <w:rsid w:val="00380CE2"/>
    <w:rsid w:val="0038250C"/>
    <w:rsid w:val="003827AC"/>
    <w:rsid w:val="00382F57"/>
    <w:rsid w:val="00383CF0"/>
    <w:rsid w:val="00387E40"/>
    <w:rsid w:val="00387F5B"/>
    <w:rsid w:val="003907CB"/>
    <w:rsid w:val="0039104A"/>
    <w:rsid w:val="00392912"/>
    <w:rsid w:val="00393017"/>
    <w:rsid w:val="00394621"/>
    <w:rsid w:val="00394663"/>
    <w:rsid w:val="00394C43"/>
    <w:rsid w:val="00394CEA"/>
    <w:rsid w:val="0039721C"/>
    <w:rsid w:val="00397AEB"/>
    <w:rsid w:val="003A0A26"/>
    <w:rsid w:val="003A3D39"/>
    <w:rsid w:val="003A48DA"/>
    <w:rsid w:val="003A5753"/>
    <w:rsid w:val="003A77B1"/>
    <w:rsid w:val="003B0879"/>
    <w:rsid w:val="003B09EE"/>
    <w:rsid w:val="003B319A"/>
    <w:rsid w:val="003B5D3E"/>
    <w:rsid w:val="003B60FE"/>
    <w:rsid w:val="003B78BC"/>
    <w:rsid w:val="003C6F85"/>
    <w:rsid w:val="003D2B32"/>
    <w:rsid w:val="003D3004"/>
    <w:rsid w:val="003E0FB1"/>
    <w:rsid w:val="003E2CB0"/>
    <w:rsid w:val="003E2D8A"/>
    <w:rsid w:val="003E2ECF"/>
    <w:rsid w:val="003E4507"/>
    <w:rsid w:val="003E4F85"/>
    <w:rsid w:val="003E5A57"/>
    <w:rsid w:val="003E6E51"/>
    <w:rsid w:val="003E7C88"/>
    <w:rsid w:val="003F2191"/>
    <w:rsid w:val="003F2D19"/>
    <w:rsid w:val="003F3144"/>
    <w:rsid w:val="003F3ECA"/>
    <w:rsid w:val="003F5ED3"/>
    <w:rsid w:val="003F617C"/>
    <w:rsid w:val="00400079"/>
    <w:rsid w:val="00400CE9"/>
    <w:rsid w:val="00402B43"/>
    <w:rsid w:val="00403321"/>
    <w:rsid w:val="0041079A"/>
    <w:rsid w:val="00412421"/>
    <w:rsid w:val="00413759"/>
    <w:rsid w:val="00414994"/>
    <w:rsid w:val="00415467"/>
    <w:rsid w:val="00415C02"/>
    <w:rsid w:val="00416356"/>
    <w:rsid w:val="0041655B"/>
    <w:rsid w:val="004200B8"/>
    <w:rsid w:val="00421804"/>
    <w:rsid w:val="00422BC6"/>
    <w:rsid w:val="00423CD9"/>
    <w:rsid w:val="00423DE4"/>
    <w:rsid w:val="00425AC1"/>
    <w:rsid w:val="00433853"/>
    <w:rsid w:val="00434765"/>
    <w:rsid w:val="0043493C"/>
    <w:rsid w:val="00435E14"/>
    <w:rsid w:val="00437BFD"/>
    <w:rsid w:val="00442FDB"/>
    <w:rsid w:val="00444235"/>
    <w:rsid w:val="00444EB9"/>
    <w:rsid w:val="004450F9"/>
    <w:rsid w:val="00446323"/>
    <w:rsid w:val="00451CAC"/>
    <w:rsid w:val="00452B7B"/>
    <w:rsid w:val="00454C8A"/>
    <w:rsid w:val="00456892"/>
    <w:rsid w:val="00457367"/>
    <w:rsid w:val="004575FC"/>
    <w:rsid w:val="004620B8"/>
    <w:rsid w:val="00462B4C"/>
    <w:rsid w:val="00463620"/>
    <w:rsid w:val="00465ECE"/>
    <w:rsid w:val="0047280B"/>
    <w:rsid w:val="0047481C"/>
    <w:rsid w:val="004753B7"/>
    <w:rsid w:val="00476682"/>
    <w:rsid w:val="00477EFD"/>
    <w:rsid w:val="00480527"/>
    <w:rsid w:val="00480A11"/>
    <w:rsid w:val="0048275D"/>
    <w:rsid w:val="0048402F"/>
    <w:rsid w:val="00484D7F"/>
    <w:rsid w:val="0048564E"/>
    <w:rsid w:val="00486FD5"/>
    <w:rsid w:val="0048706C"/>
    <w:rsid w:val="00490776"/>
    <w:rsid w:val="00490ECD"/>
    <w:rsid w:val="004917B4"/>
    <w:rsid w:val="00494AC3"/>
    <w:rsid w:val="00494C6D"/>
    <w:rsid w:val="00495BE7"/>
    <w:rsid w:val="004A075A"/>
    <w:rsid w:val="004A20FF"/>
    <w:rsid w:val="004A23CB"/>
    <w:rsid w:val="004A3334"/>
    <w:rsid w:val="004A4D53"/>
    <w:rsid w:val="004A62EE"/>
    <w:rsid w:val="004B2DEE"/>
    <w:rsid w:val="004B3CFF"/>
    <w:rsid w:val="004B4647"/>
    <w:rsid w:val="004B5990"/>
    <w:rsid w:val="004B6C81"/>
    <w:rsid w:val="004C00E9"/>
    <w:rsid w:val="004C041F"/>
    <w:rsid w:val="004C2ED7"/>
    <w:rsid w:val="004C56F9"/>
    <w:rsid w:val="004C5AAD"/>
    <w:rsid w:val="004C6811"/>
    <w:rsid w:val="004C7F9B"/>
    <w:rsid w:val="004D01D5"/>
    <w:rsid w:val="004D4CB2"/>
    <w:rsid w:val="004D56DE"/>
    <w:rsid w:val="004D6E31"/>
    <w:rsid w:val="004D7023"/>
    <w:rsid w:val="004D70BE"/>
    <w:rsid w:val="004D774B"/>
    <w:rsid w:val="004E266F"/>
    <w:rsid w:val="004E2E07"/>
    <w:rsid w:val="004E6F83"/>
    <w:rsid w:val="004F0108"/>
    <w:rsid w:val="004F0217"/>
    <w:rsid w:val="004F1125"/>
    <w:rsid w:val="004F1717"/>
    <w:rsid w:val="004F254F"/>
    <w:rsid w:val="004F5E1B"/>
    <w:rsid w:val="005007CE"/>
    <w:rsid w:val="0050106E"/>
    <w:rsid w:val="00501D8E"/>
    <w:rsid w:val="005023FB"/>
    <w:rsid w:val="00502A35"/>
    <w:rsid w:val="005043B1"/>
    <w:rsid w:val="0050509E"/>
    <w:rsid w:val="005118F3"/>
    <w:rsid w:val="00511B07"/>
    <w:rsid w:val="00514679"/>
    <w:rsid w:val="005153BC"/>
    <w:rsid w:val="0051585D"/>
    <w:rsid w:val="00515AD7"/>
    <w:rsid w:val="0051623F"/>
    <w:rsid w:val="00516740"/>
    <w:rsid w:val="00516893"/>
    <w:rsid w:val="00517C84"/>
    <w:rsid w:val="00521312"/>
    <w:rsid w:val="005227A3"/>
    <w:rsid w:val="005230D8"/>
    <w:rsid w:val="00524113"/>
    <w:rsid w:val="00527595"/>
    <w:rsid w:val="00531931"/>
    <w:rsid w:val="00532289"/>
    <w:rsid w:val="00535568"/>
    <w:rsid w:val="00535978"/>
    <w:rsid w:val="00535E19"/>
    <w:rsid w:val="005367AC"/>
    <w:rsid w:val="005409BA"/>
    <w:rsid w:val="00540ADE"/>
    <w:rsid w:val="00542C81"/>
    <w:rsid w:val="00542C8D"/>
    <w:rsid w:val="00543030"/>
    <w:rsid w:val="00544097"/>
    <w:rsid w:val="00545426"/>
    <w:rsid w:val="00546EEE"/>
    <w:rsid w:val="00551845"/>
    <w:rsid w:val="005537FE"/>
    <w:rsid w:val="005543E7"/>
    <w:rsid w:val="00554DBA"/>
    <w:rsid w:val="005561E4"/>
    <w:rsid w:val="00556A0F"/>
    <w:rsid w:val="0056165D"/>
    <w:rsid w:val="005641E3"/>
    <w:rsid w:val="00566C70"/>
    <w:rsid w:val="005677E5"/>
    <w:rsid w:val="00567830"/>
    <w:rsid w:val="00570D16"/>
    <w:rsid w:val="005720F3"/>
    <w:rsid w:val="0057288B"/>
    <w:rsid w:val="0057338A"/>
    <w:rsid w:val="00576475"/>
    <w:rsid w:val="0058060D"/>
    <w:rsid w:val="00581A0B"/>
    <w:rsid w:val="00583F12"/>
    <w:rsid w:val="00585DF3"/>
    <w:rsid w:val="00587C1F"/>
    <w:rsid w:val="005905BB"/>
    <w:rsid w:val="00590A70"/>
    <w:rsid w:val="00590B88"/>
    <w:rsid w:val="005927BC"/>
    <w:rsid w:val="00593C21"/>
    <w:rsid w:val="00596713"/>
    <w:rsid w:val="00596B89"/>
    <w:rsid w:val="00596DDC"/>
    <w:rsid w:val="005A3136"/>
    <w:rsid w:val="005A34C6"/>
    <w:rsid w:val="005A3C10"/>
    <w:rsid w:val="005A61B1"/>
    <w:rsid w:val="005B0A34"/>
    <w:rsid w:val="005B1764"/>
    <w:rsid w:val="005B1A32"/>
    <w:rsid w:val="005B2077"/>
    <w:rsid w:val="005B24E1"/>
    <w:rsid w:val="005B46CA"/>
    <w:rsid w:val="005B4C3F"/>
    <w:rsid w:val="005B5626"/>
    <w:rsid w:val="005B6196"/>
    <w:rsid w:val="005B6311"/>
    <w:rsid w:val="005B6510"/>
    <w:rsid w:val="005B780A"/>
    <w:rsid w:val="005C1835"/>
    <w:rsid w:val="005C1F8A"/>
    <w:rsid w:val="005C2379"/>
    <w:rsid w:val="005C4321"/>
    <w:rsid w:val="005C498A"/>
    <w:rsid w:val="005C6000"/>
    <w:rsid w:val="005C62E5"/>
    <w:rsid w:val="005C7D32"/>
    <w:rsid w:val="005D0E0F"/>
    <w:rsid w:val="005D4359"/>
    <w:rsid w:val="005D5F6B"/>
    <w:rsid w:val="005D60F4"/>
    <w:rsid w:val="005D6A9A"/>
    <w:rsid w:val="005D6F76"/>
    <w:rsid w:val="005E17BE"/>
    <w:rsid w:val="005E2CE9"/>
    <w:rsid w:val="005E3384"/>
    <w:rsid w:val="005E3446"/>
    <w:rsid w:val="005E34F7"/>
    <w:rsid w:val="005E5359"/>
    <w:rsid w:val="005E567D"/>
    <w:rsid w:val="005E5AA3"/>
    <w:rsid w:val="005E6200"/>
    <w:rsid w:val="005E73FA"/>
    <w:rsid w:val="005F0A27"/>
    <w:rsid w:val="005F26AF"/>
    <w:rsid w:val="005F5E68"/>
    <w:rsid w:val="005F7176"/>
    <w:rsid w:val="00601FFE"/>
    <w:rsid w:val="00602EC2"/>
    <w:rsid w:val="0060313B"/>
    <w:rsid w:val="006035BE"/>
    <w:rsid w:val="006041D2"/>
    <w:rsid w:val="00604328"/>
    <w:rsid w:val="00605A52"/>
    <w:rsid w:val="00607951"/>
    <w:rsid w:val="006109A2"/>
    <w:rsid w:val="00612545"/>
    <w:rsid w:val="00613BC5"/>
    <w:rsid w:val="0061469C"/>
    <w:rsid w:val="006148D1"/>
    <w:rsid w:val="006154D2"/>
    <w:rsid w:val="00617A01"/>
    <w:rsid w:val="00620324"/>
    <w:rsid w:val="00621477"/>
    <w:rsid w:val="0062239E"/>
    <w:rsid w:val="006236C7"/>
    <w:rsid w:val="006256BF"/>
    <w:rsid w:val="00626E24"/>
    <w:rsid w:val="006277DA"/>
    <w:rsid w:val="00631AFC"/>
    <w:rsid w:val="00633DEE"/>
    <w:rsid w:val="0063577A"/>
    <w:rsid w:val="006357FD"/>
    <w:rsid w:val="00636233"/>
    <w:rsid w:val="006362A7"/>
    <w:rsid w:val="006371A9"/>
    <w:rsid w:val="006429B9"/>
    <w:rsid w:val="00642A24"/>
    <w:rsid w:val="00642C2B"/>
    <w:rsid w:val="006435B5"/>
    <w:rsid w:val="00643CA4"/>
    <w:rsid w:val="00643CE5"/>
    <w:rsid w:val="00646F33"/>
    <w:rsid w:val="00647055"/>
    <w:rsid w:val="00647895"/>
    <w:rsid w:val="006503A8"/>
    <w:rsid w:val="00651BA8"/>
    <w:rsid w:val="00660080"/>
    <w:rsid w:val="00664E15"/>
    <w:rsid w:val="00667247"/>
    <w:rsid w:val="0067017C"/>
    <w:rsid w:val="00671EFC"/>
    <w:rsid w:val="00674A94"/>
    <w:rsid w:val="00674C12"/>
    <w:rsid w:val="0067684F"/>
    <w:rsid w:val="00677157"/>
    <w:rsid w:val="00677FE1"/>
    <w:rsid w:val="006814BE"/>
    <w:rsid w:val="0068346E"/>
    <w:rsid w:val="006844D3"/>
    <w:rsid w:val="00684BBD"/>
    <w:rsid w:val="006866B1"/>
    <w:rsid w:val="00686705"/>
    <w:rsid w:val="00686C92"/>
    <w:rsid w:val="0069330B"/>
    <w:rsid w:val="006950B4"/>
    <w:rsid w:val="00695248"/>
    <w:rsid w:val="00695BFC"/>
    <w:rsid w:val="00697A01"/>
    <w:rsid w:val="006A06C9"/>
    <w:rsid w:val="006A22E3"/>
    <w:rsid w:val="006A4670"/>
    <w:rsid w:val="006A4B36"/>
    <w:rsid w:val="006B1714"/>
    <w:rsid w:val="006B3154"/>
    <w:rsid w:val="006B3FCC"/>
    <w:rsid w:val="006B4A07"/>
    <w:rsid w:val="006B5295"/>
    <w:rsid w:val="006B6289"/>
    <w:rsid w:val="006B683D"/>
    <w:rsid w:val="006B699C"/>
    <w:rsid w:val="006B7003"/>
    <w:rsid w:val="006B7F26"/>
    <w:rsid w:val="006C0CAC"/>
    <w:rsid w:val="006C1678"/>
    <w:rsid w:val="006C20E2"/>
    <w:rsid w:val="006C2338"/>
    <w:rsid w:val="006C4844"/>
    <w:rsid w:val="006C7459"/>
    <w:rsid w:val="006C7637"/>
    <w:rsid w:val="006C768B"/>
    <w:rsid w:val="006D0A10"/>
    <w:rsid w:val="006D26E3"/>
    <w:rsid w:val="006D39A7"/>
    <w:rsid w:val="006D49CF"/>
    <w:rsid w:val="006D5928"/>
    <w:rsid w:val="006D62BB"/>
    <w:rsid w:val="006E0139"/>
    <w:rsid w:val="006E34AC"/>
    <w:rsid w:val="006E3666"/>
    <w:rsid w:val="006E3B14"/>
    <w:rsid w:val="006E65D2"/>
    <w:rsid w:val="006E6A5F"/>
    <w:rsid w:val="006E760A"/>
    <w:rsid w:val="006F1E99"/>
    <w:rsid w:val="006F3917"/>
    <w:rsid w:val="006F3C9E"/>
    <w:rsid w:val="006F48DB"/>
    <w:rsid w:val="006F5294"/>
    <w:rsid w:val="007023C9"/>
    <w:rsid w:val="00703017"/>
    <w:rsid w:val="0070423B"/>
    <w:rsid w:val="007048AA"/>
    <w:rsid w:val="00705DC8"/>
    <w:rsid w:val="00705E1A"/>
    <w:rsid w:val="0070674D"/>
    <w:rsid w:val="00706894"/>
    <w:rsid w:val="007069A3"/>
    <w:rsid w:val="007077E2"/>
    <w:rsid w:val="00712BB7"/>
    <w:rsid w:val="007131E7"/>
    <w:rsid w:val="00713231"/>
    <w:rsid w:val="0071600D"/>
    <w:rsid w:val="007206E7"/>
    <w:rsid w:val="00722E37"/>
    <w:rsid w:val="00725F60"/>
    <w:rsid w:val="00725FC9"/>
    <w:rsid w:val="00726D69"/>
    <w:rsid w:val="00730739"/>
    <w:rsid w:val="007333A9"/>
    <w:rsid w:val="00734FD0"/>
    <w:rsid w:val="00737EBC"/>
    <w:rsid w:val="0074164C"/>
    <w:rsid w:val="007432A6"/>
    <w:rsid w:val="00744AC3"/>
    <w:rsid w:val="0074620B"/>
    <w:rsid w:val="00747177"/>
    <w:rsid w:val="00747A36"/>
    <w:rsid w:val="00750393"/>
    <w:rsid w:val="0075043C"/>
    <w:rsid w:val="00751E33"/>
    <w:rsid w:val="007520A9"/>
    <w:rsid w:val="007527EC"/>
    <w:rsid w:val="00752DB7"/>
    <w:rsid w:val="00753BE4"/>
    <w:rsid w:val="00754451"/>
    <w:rsid w:val="007550D9"/>
    <w:rsid w:val="007565F1"/>
    <w:rsid w:val="007601FE"/>
    <w:rsid w:val="0076025E"/>
    <w:rsid w:val="00765880"/>
    <w:rsid w:val="0077003B"/>
    <w:rsid w:val="0077270A"/>
    <w:rsid w:val="00775E95"/>
    <w:rsid w:val="00777898"/>
    <w:rsid w:val="00781DDE"/>
    <w:rsid w:val="00782983"/>
    <w:rsid w:val="00782E63"/>
    <w:rsid w:val="0078343C"/>
    <w:rsid w:val="00783CE0"/>
    <w:rsid w:val="00783E99"/>
    <w:rsid w:val="00784E93"/>
    <w:rsid w:val="00786284"/>
    <w:rsid w:val="00786CA5"/>
    <w:rsid w:val="00786F89"/>
    <w:rsid w:val="00790186"/>
    <w:rsid w:val="00791A77"/>
    <w:rsid w:val="00792C46"/>
    <w:rsid w:val="00797111"/>
    <w:rsid w:val="007975F5"/>
    <w:rsid w:val="007A0B82"/>
    <w:rsid w:val="007A0BD2"/>
    <w:rsid w:val="007A18A5"/>
    <w:rsid w:val="007A328C"/>
    <w:rsid w:val="007A5263"/>
    <w:rsid w:val="007A6F0F"/>
    <w:rsid w:val="007B26A0"/>
    <w:rsid w:val="007B7B6F"/>
    <w:rsid w:val="007C08FF"/>
    <w:rsid w:val="007C0EA4"/>
    <w:rsid w:val="007C26FF"/>
    <w:rsid w:val="007C2A14"/>
    <w:rsid w:val="007C459B"/>
    <w:rsid w:val="007C4785"/>
    <w:rsid w:val="007C59E4"/>
    <w:rsid w:val="007C6348"/>
    <w:rsid w:val="007C64AC"/>
    <w:rsid w:val="007C7B82"/>
    <w:rsid w:val="007D0F9F"/>
    <w:rsid w:val="007D3309"/>
    <w:rsid w:val="007D3E05"/>
    <w:rsid w:val="007E0D54"/>
    <w:rsid w:val="007E1E21"/>
    <w:rsid w:val="007E25A5"/>
    <w:rsid w:val="007E2895"/>
    <w:rsid w:val="007E2F12"/>
    <w:rsid w:val="007E6D98"/>
    <w:rsid w:val="007E7805"/>
    <w:rsid w:val="007F23F1"/>
    <w:rsid w:val="007F4D19"/>
    <w:rsid w:val="007F50AE"/>
    <w:rsid w:val="007F66F8"/>
    <w:rsid w:val="007F68C9"/>
    <w:rsid w:val="007F78D3"/>
    <w:rsid w:val="00800F43"/>
    <w:rsid w:val="008012D3"/>
    <w:rsid w:val="00802CAD"/>
    <w:rsid w:val="0080449E"/>
    <w:rsid w:val="00804DAD"/>
    <w:rsid w:val="00807B87"/>
    <w:rsid w:val="0081026B"/>
    <w:rsid w:val="00812765"/>
    <w:rsid w:val="0081286B"/>
    <w:rsid w:val="00814437"/>
    <w:rsid w:val="00815BA7"/>
    <w:rsid w:val="00821A96"/>
    <w:rsid w:val="0082251A"/>
    <w:rsid w:val="008257BC"/>
    <w:rsid w:val="00826F27"/>
    <w:rsid w:val="008349E4"/>
    <w:rsid w:val="00834A05"/>
    <w:rsid w:val="00836B96"/>
    <w:rsid w:val="008413E3"/>
    <w:rsid w:val="008430C5"/>
    <w:rsid w:val="008437CA"/>
    <w:rsid w:val="0084406B"/>
    <w:rsid w:val="008447C1"/>
    <w:rsid w:val="00846BAE"/>
    <w:rsid w:val="00850019"/>
    <w:rsid w:val="00854915"/>
    <w:rsid w:val="0085505D"/>
    <w:rsid w:val="00855A6C"/>
    <w:rsid w:val="00857C80"/>
    <w:rsid w:val="00860C72"/>
    <w:rsid w:val="00861944"/>
    <w:rsid w:val="008619E3"/>
    <w:rsid w:val="008627C9"/>
    <w:rsid w:val="00865E7C"/>
    <w:rsid w:val="00866104"/>
    <w:rsid w:val="008668C9"/>
    <w:rsid w:val="00866E70"/>
    <w:rsid w:val="008678BA"/>
    <w:rsid w:val="00867F2B"/>
    <w:rsid w:val="008707A8"/>
    <w:rsid w:val="00871072"/>
    <w:rsid w:val="0087144A"/>
    <w:rsid w:val="00871923"/>
    <w:rsid w:val="00873989"/>
    <w:rsid w:val="00874A21"/>
    <w:rsid w:val="008757D7"/>
    <w:rsid w:val="00875ACE"/>
    <w:rsid w:val="00881516"/>
    <w:rsid w:val="008828B3"/>
    <w:rsid w:val="00883283"/>
    <w:rsid w:val="00883855"/>
    <w:rsid w:val="0088495D"/>
    <w:rsid w:val="008850A2"/>
    <w:rsid w:val="00885E5A"/>
    <w:rsid w:val="00885F96"/>
    <w:rsid w:val="00890840"/>
    <w:rsid w:val="008915A3"/>
    <w:rsid w:val="008958AA"/>
    <w:rsid w:val="008959D0"/>
    <w:rsid w:val="00897C90"/>
    <w:rsid w:val="008A1695"/>
    <w:rsid w:val="008A2817"/>
    <w:rsid w:val="008A4AD6"/>
    <w:rsid w:val="008A655E"/>
    <w:rsid w:val="008A66BF"/>
    <w:rsid w:val="008A73DF"/>
    <w:rsid w:val="008B0990"/>
    <w:rsid w:val="008B4288"/>
    <w:rsid w:val="008B70EC"/>
    <w:rsid w:val="008C06D5"/>
    <w:rsid w:val="008C4C35"/>
    <w:rsid w:val="008C57E3"/>
    <w:rsid w:val="008C58E4"/>
    <w:rsid w:val="008D1B1D"/>
    <w:rsid w:val="008D47F2"/>
    <w:rsid w:val="008D6F3F"/>
    <w:rsid w:val="008E0128"/>
    <w:rsid w:val="008E0EEB"/>
    <w:rsid w:val="008E1E7F"/>
    <w:rsid w:val="008E3B42"/>
    <w:rsid w:val="008E3DB2"/>
    <w:rsid w:val="008E4FEA"/>
    <w:rsid w:val="008E7311"/>
    <w:rsid w:val="008E7484"/>
    <w:rsid w:val="008E7C43"/>
    <w:rsid w:val="008F0753"/>
    <w:rsid w:val="008F0A7B"/>
    <w:rsid w:val="008F168A"/>
    <w:rsid w:val="008F514B"/>
    <w:rsid w:val="008F53FE"/>
    <w:rsid w:val="008F57FF"/>
    <w:rsid w:val="008F5B13"/>
    <w:rsid w:val="008F6045"/>
    <w:rsid w:val="00900835"/>
    <w:rsid w:val="0090133B"/>
    <w:rsid w:val="00901427"/>
    <w:rsid w:val="00901508"/>
    <w:rsid w:val="009026B0"/>
    <w:rsid w:val="00903DD3"/>
    <w:rsid w:val="009057A5"/>
    <w:rsid w:val="0090773B"/>
    <w:rsid w:val="00914CE5"/>
    <w:rsid w:val="0091550C"/>
    <w:rsid w:val="0091602A"/>
    <w:rsid w:val="0091790B"/>
    <w:rsid w:val="0092025D"/>
    <w:rsid w:val="00920A1F"/>
    <w:rsid w:val="00922BCC"/>
    <w:rsid w:val="00922F57"/>
    <w:rsid w:val="00931027"/>
    <w:rsid w:val="00931D2D"/>
    <w:rsid w:val="009331D4"/>
    <w:rsid w:val="00934F66"/>
    <w:rsid w:val="00935332"/>
    <w:rsid w:val="009362E4"/>
    <w:rsid w:val="0093656A"/>
    <w:rsid w:val="00937D21"/>
    <w:rsid w:val="009432B7"/>
    <w:rsid w:val="00943802"/>
    <w:rsid w:val="00944863"/>
    <w:rsid w:val="009457FB"/>
    <w:rsid w:val="00950BE1"/>
    <w:rsid w:val="0095155F"/>
    <w:rsid w:val="009525B6"/>
    <w:rsid w:val="009545B3"/>
    <w:rsid w:val="00955454"/>
    <w:rsid w:val="00955775"/>
    <w:rsid w:val="00955D19"/>
    <w:rsid w:val="00955EA5"/>
    <w:rsid w:val="00960E1C"/>
    <w:rsid w:val="00961185"/>
    <w:rsid w:val="00962069"/>
    <w:rsid w:val="009626E4"/>
    <w:rsid w:val="00963A3F"/>
    <w:rsid w:val="009640D3"/>
    <w:rsid w:val="00964FC1"/>
    <w:rsid w:val="00966124"/>
    <w:rsid w:val="00966DA8"/>
    <w:rsid w:val="00971E9C"/>
    <w:rsid w:val="00972069"/>
    <w:rsid w:val="00974884"/>
    <w:rsid w:val="0097631A"/>
    <w:rsid w:val="009800B3"/>
    <w:rsid w:val="00980EA2"/>
    <w:rsid w:val="00981C01"/>
    <w:rsid w:val="00983466"/>
    <w:rsid w:val="00985895"/>
    <w:rsid w:val="00987445"/>
    <w:rsid w:val="009902F3"/>
    <w:rsid w:val="00990577"/>
    <w:rsid w:val="009920E2"/>
    <w:rsid w:val="0099288A"/>
    <w:rsid w:val="0099461B"/>
    <w:rsid w:val="00994C30"/>
    <w:rsid w:val="009A0078"/>
    <w:rsid w:val="009A10D3"/>
    <w:rsid w:val="009A1ED8"/>
    <w:rsid w:val="009A2D7B"/>
    <w:rsid w:val="009A2E84"/>
    <w:rsid w:val="009A3553"/>
    <w:rsid w:val="009A3731"/>
    <w:rsid w:val="009A3854"/>
    <w:rsid w:val="009A57ED"/>
    <w:rsid w:val="009B0421"/>
    <w:rsid w:val="009B2BBA"/>
    <w:rsid w:val="009B2D3D"/>
    <w:rsid w:val="009B353D"/>
    <w:rsid w:val="009B430B"/>
    <w:rsid w:val="009B5EC5"/>
    <w:rsid w:val="009B79C5"/>
    <w:rsid w:val="009B7F1E"/>
    <w:rsid w:val="009C240C"/>
    <w:rsid w:val="009C274B"/>
    <w:rsid w:val="009C56F0"/>
    <w:rsid w:val="009C6220"/>
    <w:rsid w:val="009C6482"/>
    <w:rsid w:val="009C79F3"/>
    <w:rsid w:val="009C7A70"/>
    <w:rsid w:val="009D10C1"/>
    <w:rsid w:val="009D2A93"/>
    <w:rsid w:val="009D45E0"/>
    <w:rsid w:val="009E003E"/>
    <w:rsid w:val="009E09F6"/>
    <w:rsid w:val="009E62BC"/>
    <w:rsid w:val="009E6CB9"/>
    <w:rsid w:val="009F0A36"/>
    <w:rsid w:val="009F4C30"/>
    <w:rsid w:val="009F58E3"/>
    <w:rsid w:val="009F5D7E"/>
    <w:rsid w:val="00A01415"/>
    <w:rsid w:val="00A045F3"/>
    <w:rsid w:val="00A0512E"/>
    <w:rsid w:val="00A053A2"/>
    <w:rsid w:val="00A0560A"/>
    <w:rsid w:val="00A056F0"/>
    <w:rsid w:val="00A05E5C"/>
    <w:rsid w:val="00A061B2"/>
    <w:rsid w:val="00A07CD2"/>
    <w:rsid w:val="00A111B0"/>
    <w:rsid w:val="00A12AC9"/>
    <w:rsid w:val="00A13EE5"/>
    <w:rsid w:val="00A154A8"/>
    <w:rsid w:val="00A15905"/>
    <w:rsid w:val="00A15CA4"/>
    <w:rsid w:val="00A16BC4"/>
    <w:rsid w:val="00A174A1"/>
    <w:rsid w:val="00A17DE0"/>
    <w:rsid w:val="00A20986"/>
    <w:rsid w:val="00A25517"/>
    <w:rsid w:val="00A26342"/>
    <w:rsid w:val="00A26B36"/>
    <w:rsid w:val="00A26C1B"/>
    <w:rsid w:val="00A30607"/>
    <w:rsid w:val="00A30851"/>
    <w:rsid w:val="00A32E55"/>
    <w:rsid w:val="00A34AB1"/>
    <w:rsid w:val="00A352E6"/>
    <w:rsid w:val="00A35EDB"/>
    <w:rsid w:val="00A36724"/>
    <w:rsid w:val="00A370F3"/>
    <w:rsid w:val="00A41423"/>
    <w:rsid w:val="00A41D02"/>
    <w:rsid w:val="00A44795"/>
    <w:rsid w:val="00A448C4"/>
    <w:rsid w:val="00A448EC"/>
    <w:rsid w:val="00A45B73"/>
    <w:rsid w:val="00A4721A"/>
    <w:rsid w:val="00A47FF7"/>
    <w:rsid w:val="00A50D54"/>
    <w:rsid w:val="00A518D8"/>
    <w:rsid w:val="00A51DE6"/>
    <w:rsid w:val="00A52601"/>
    <w:rsid w:val="00A52DDC"/>
    <w:rsid w:val="00A54D28"/>
    <w:rsid w:val="00A54E17"/>
    <w:rsid w:val="00A60CFF"/>
    <w:rsid w:val="00A6372F"/>
    <w:rsid w:val="00A64C7F"/>
    <w:rsid w:val="00A6519D"/>
    <w:rsid w:val="00A65BF5"/>
    <w:rsid w:val="00A71B89"/>
    <w:rsid w:val="00A73859"/>
    <w:rsid w:val="00A74C13"/>
    <w:rsid w:val="00A75216"/>
    <w:rsid w:val="00A75BA4"/>
    <w:rsid w:val="00A804FC"/>
    <w:rsid w:val="00A8231F"/>
    <w:rsid w:val="00A8265F"/>
    <w:rsid w:val="00A85EEC"/>
    <w:rsid w:val="00A86A39"/>
    <w:rsid w:val="00A8794C"/>
    <w:rsid w:val="00A908A9"/>
    <w:rsid w:val="00A90F03"/>
    <w:rsid w:val="00A9121C"/>
    <w:rsid w:val="00A9192D"/>
    <w:rsid w:val="00A92A04"/>
    <w:rsid w:val="00A9375A"/>
    <w:rsid w:val="00A93937"/>
    <w:rsid w:val="00A93D7E"/>
    <w:rsid w:val="00A93F5D"/>
    <w:rsid w:val="00A95346"/>
    <w:rsid w:val="00A95C6F"/>
    <w:rsid w:val="00A96D0E"/>
    <w:rsid w:val="00AA3057"/>
    <w:rsid w:val="00AA37EA"/>
    <w:rsid w:val="00AA4134"/>
    <w:rsid w:val="00AB0BE3"/>
    <w:rsid w:val="00AB1FA2"/>
    <w:rsid w:val="00AB2D93"/>
    <w:rsid w:val="00AB42CD"/>
    <w:rsid w:val="00AB438D"/>
    <w:rsid w:val="00AB61EF"/>
    <w:rsid w:val="00AB6AB6"/>
    <w:rsid w:val="00AB72BC"/>
    <w:rsid w:val="00AC24EB"/>
    <w:rsid w:val="00AC384B"/>
    <w:rsid w:val="00AC4590"/>
    <w:rsid w:val="00AC53F1"/>
    <w:rsid w:val="00AC7442"/>
    <w:rsid w:val="00AC76E9"/>
    <w:rsid w:val="00AD38C4"/>
    <w:rsid w:val="00AD57D8"/>
    <w:rsid w:val="00AD7337"/>
    <w:rsid w:val="00AE2D9F"/>
    <w:rsid w:val="00AE4146"/>
    <w:rsid w:val="00AF1C82"/>
    <w:rsid w:val="00AF2BBD"/>
    <w:rsid w:val="00AF3C18"/>
    <w:rsid w:val="00AF419A"/>
    <w:rsid w:val="00AF5DA3"/>
    <w:rsid w:val="00B00F0D"/>
    <w:rsid w:val="00B010C2"/>
    <w:rsid w:val="00B02B61"/>
    <w:rsid w:val="00B03EA5"/>
    <w:rsid w:val="00B047F6"/>
    <w:rsid w:val="00B04EC3"/>
    <w:rsid w:val="00B071EB"/>
    <w:rsid w:val="00B10E41"/>
    <w:rsid w:val="00B11ADA"/>
    <w:rsid w:val="00B12C7F"/>
    <w:rsid w:val="00B14DE5"/>
    <w:rsid w:val="00B15983"/>
    <w:rsid w:val="00B21725"/>
    <w:rsid w:val="00B2421F"/>
    <w:rsid w:val="00B24319"/>
    <w:rsid w:val="00B26696"/>
    <w:rsid w:val="00B26EC7"/>
    <w:rsid w:val="00B307F0"/>
    <w:rsid w:val="00B335C3"/>
    <w:rsid w:val="00B336DF"/>
    <w:rsid w:val="00B3444D"/>
    <w:rsid w:val="00B34FED"/>
    <w:rsid w:val="00B36272"/>
    <w:rsid w:val="00B3655C"/>
    <w:rsid w:val="00B369CA"/>
    <w:rsid w:val="00B37942"/>
    <w:rsid w:val="00B37FA1"/>
    <w:rsid w:val="00B41A14"/>
    <w:rsid w:val="00B43640"/>
    <w:rsid w:val="00B45849"/>
    <w:rsid w:val="00B46B7B"/>
    <w:rsid w:val="00B46CFE"/>
    <w:rsid w:val="00B47B66"/>
    <w:rsid w:val="00B500B9"/>
    <w:rsid w:val="00B51A2A"/>
    <w:rsid w:val="00B52647"/>
    <w:rsid w:val="00B5292C"/>
    <w:rsid w:val="00B537E1"/>
    <w:rsid w:val="00B54CD1"/>
    <w:rsid w:val="00B55551"/>
    <w:rsid w:val="00B61FE2"/>
    <w:rsid w:val="00B6214B"/>
    <w:rsid w:val="00B64DEB"/>
    <w:rsid w:val="00B65F8E"/>
    <w:rsid w:val="00B67178"/>
    <w:rsid w:val="00B76612"/>
    <w:rsid w:val="00B76CE9"/>
    <w:rsid w:val="00B81965"/>
    <w:rsid w:val="00B82A7F"/>
    <w:rsid w:val="00B835EF"/>
    <w:rsid w:val="00B84FF2"/>
    <w:rsid w:val="00B8621D"/>
    <w:rsid w:val="00B9105C"/>
    <w:rsid w:val="00B9114F"/>
    <w:rsid w:val="00B922DE"/>
    <w:rsid w:val="00B9375D"/>
    <w:rsid w:val="00B93D45"/>
    <w:rsid w:val="00B9528D"/>
    <w:rsid w:val="00B96C40"/>
    <w:rsid w:val="00B96E38"/>
    <w:rsid w:val="00B97852"/>
    <w:rsid w:val="00BA256D"/>
    <w:rsid w:val="00BA306B"/>
    <w:rsid w:val="00BA32F0"/>
    <w:rsid w:val="00BA4BAC"/>
    <w:rsid w:val="00BA590C"/>
    <w:rsid w:val="00BA77BF"/>
    <w:rsid w:val="00BB00D8"/>
    <w:rsid w:val="00BB05FB"/>
    <w:rsid w:val="00BB191B"/>
    <w:rsid w:val="00BB2CB7"/>
    <w:rsid w:val="00BB2EA5"/>
    <w:rsid w:val="00BB6F79"/>
    <w:rsid w:val="00BB712B"/>
    <w:rsid w:val="00BC004A"/>
    <w:rsid w:val="00BC1528"/>
    <w:rsid w:val="00BC1C62"/>
    <w:rsid w:val="00BC1F85"/>
    <w:rsid w:val="00BC2821"/>
    <w:rsid w:val="00BC42CF"/>
    <w:rsid w:val="00BC4D40"/>
    <w:rsid w:val="00BD0C52"/>
    <w:rsid w:val="00BD15F1"/>
    <w:rsid w:val="00BD1C16"/>
    <w:rsid w:val="00BD3E57"/>
    <w:rsid w:val="00BD6130"/>
    <w:rsid w:val="00BD6E28"/>
    <w:rsid w:val="00BD70B9"/>
    <w:rsid w:val="00BD76BF"/>
    <w:rsid w:val="00BF149A"/>
    <w:rsid w:val="00BF2110"/>
    <w:rsid w:val="00BF2776"/>
    <w:rsid w:val="00BF5620"/>
    <w:rsid w:val="00BF58D2"/>
    <w:rsid w:val="00C02DB3"/>
    <w:rsid w:val="00C062B3"/>
    <w:rsid w:val="00C07DB4"/>
    <w:rsid w:val="00C07E27"/>
    <w:rsid w:val="00C10AC4"/>
    <w:rsid w:val="00C10F3F"/>
    <w:rsid w:val="00C1371B"/>
    <w:rsid w:val="00C1525D"/>
    <w:rsid w:val="00C15999"/>
    <w:rsid w:val="00C15CBD"/>
    <w:rsid w:val="00C223C4"/>
    <w:rsid w:val="00C25E45"/>
    <w:rsid w:val="00C264F7"/>
    <w:rsid w:val="00C271AC"/>
    <w:rsid w:val="00C300D2"/>
    <w:rsid w:val="00C31601"/>
    <w:rsid w:val="00C31B55"/>
    <w:rsid w:val="00C32822"/>
    <w:rsid w:val="00C32D7F"/>
    <w:rsid w:val="00C33921"/>
    <w:rsid w:val="00C34209"/>
    <w:rsid w:val="00C371BD"/>
    <w:rsid w:val="00C400B1"/>
    <w:rsid w:val="00C41C5C"/>
    <w:rsid w:val="00C4275B"/>
    <w:rsid w:val="00C427A1"/>
    <w:rsid w:val="00C428A9"/>
    <w:rsid w:val="00C43763"/>
    <w:rsid w:val="00C458CF"/>
    <w:rsid w:val="00C46EED"/>
    <w:rsid w:val="00C47488"/>
    <w:rsid w:val="00C52DD6"/>
    <w:rsid w:val="00C5731D"/>
    <w:rsid w:val="00C627D8"/>
    <w:rsid w:val="00C65F72"/>
    <w:rsid w:val="00C660F4"/>
    <w:rsid w:val="00C675D2"/>
    <w:rsid w:val="00C675D7"/>
    <w:rsid w:val="00C7043F"/>
    <w:rsid w:val="00C707DE"/>
    <w:rsid w:val="00C7102D"/>
    <w:rsid w:val="00C7226C"/>
    <w:rsid w:val="00C76AA8"/>
    <w:rsid w:val="00C76CD3"/>
    <w:rsid w:val="00C7706E"/>
    <w:rsid w:val="00C803B4"/>
    <w:rsid w:val="00C80E04"/>
    <w:rsid w:val="00C81CB0"/>
    <w:rsid w:val="00C83EC0"/>
    <w:rsid w:val="00C8483A"/>
    <w:rsid w:val="00C84F08"/>
    <w:rsid w:val="00C8596F"/>
    <w:rsid w:val="00C8693E"/>
    <w:rsid w:val="00C869B2"/>
    <w:rsid w:val="00C869D6"/>
    <w:rsid w:val="00C90311"/>
    <w:rsid w:val="00C9589F"/>
    <w:rsid w:val="00C95E37"/>
    <w:rsid w:val="00C96112"/>
    <w:rsid w:val="00C966B5"/>
    <w:rsid w:val="00C969F2"/>
    <w:rsid w:val="00C96AD7"/>
    <w:rsid w:val="00CA2436"/>
    <w:rsid w:val="00CA2D75"/>
    <w:rsid w:val="00CA4044"/>
    <w:rsid w:val="00CA73D4"/>
    <w:rsid w:val="00CA7D64"/>
    <w:rsid w:val="00CB0B69"/>
    <w:rsid w:val="00CB532A"/>
    <w:rsid w:val="00CB6AE3"/>
    <w:rsid w:val="00CB7877"/>
    <w:rsid w:val="00CB7D4D"/>
    <w:rsid w:val="00CC190F"/>
    <w:rsid w:val="00CC26B3"/>
    <w:rsid w:val="00CC374D"/>
    <w:rsid w:val="00CC534E"/>
    <w:rsid w:val="00CC5B57"/>
    <w:rsid w:val="00CC65C2"/>
    <w:rsid w:val="00CC66F9"/>
    <w:rsid w:val="00CC67C8"/>
    <w:rsid w:val="00CD0533"/>
    <w:rsid w:val="00CD4FC2"/>
    <w:rsid w:val="00CD51F0"/>
    <w:rsid w:val="00CD5F29"/>
    <w:rsid w:val="00CD5FF0"/>
    <w:rsid w:val="00CD75E0"/>
    <w:rsid w:val="00CE08FD"/>
    <w:rsid w:val="00CE130F"/>
    <w:rsid w:val="00CE2E45"/>
    <w:rsid w:val="00CE30D8"/>
    <w:rsid w:val="00CE315D"/>
    <w:rsid w:val="00CE5E54"/>
    <w:rsid w:val="00CE78FE"/>
    <w:rsid w:val="00CF046C"/>
    <w:rsid w:val="00CF2C2B"/>
    <w:rsid w:val="00CF4F26"/>
    <w:rsid w:val="00CF52F4"/>
    <w:rsid w:val="00CF6F7E"/>
    <w:rsid w:val="00CF77CC"/>
    <w:rsid w:val="00D021F7"/>
    <w:rsid w:val="00D030A4"/>
    <w:rsid w:val="00D05549"/>
    <w:rsid w:val="00D055E9"/>
    <w:rsid w:val="00D0686D"/>
    <w:rsid w:val="00D10C1D"/>
    <w:rsid w:val="00D1139C"/>
    <w:rsid w:val="00D115C8"/>
    <w:rsid w:val="00D12641"/>
    <w:rsid w:val="00D138DB"/>
    <w:rsid w:val="00D146C5"/>
    <w:rsid w:val="00D278F3"/>
    <w:rsid w:val="00D306BB"/>
    <w:rsid w:val="00D30DF7"/>
    <w:rsid w:val="00D3447C"/>
    <w:rsid w:val="00D34ACC"/>
    <w:rsid w:val="00D35075"/>
    <w:rsid w:val="00D35908"/>
    <w:rsid w:val="00D3649B"/>
    <w:rsid w:val="00D36824"/>
    <w:rsid w:val="00D3784C"/>
    <w:rsid w:val="00D37C3B"/>
    <w:rsid w:val="00D40377"/>
    <w:rsid w:val="00D42030"/>
    <w:rsid w:val="00D45A26"/>
    <w:rsid w:val="00D4732F"/>
    <w:rsid w:val="00D47367"/>
    <w:rsid w:val="00D475D0"/>
    <w:rsid w:val="00D529D8"/>
    <w:rsid w:val="00D55055"/>
    <w:rsid w:val="00D55A6F"/>
    <w:rsid w:val="00D57DC7"/>
    <w:rsid w:val="00D57ED6"/>
    <w:rsid w:val="00D61F5B"/>
    <w:rsid w:val="00D628BA"/>
    <w:rsid w:val="00D62B23"/>
    <w:rsid w:val="00D62F85"/>
    <w:rsid w:val="00D637AC"/>
    <w:rsid w:val="00D63B3C"/>
    <w:rsid w:val="00D65AA4"/>
    <w:rsid w:val="00D7007A"/>
    <w:rsid w:val="00D70BE1"/>
    <w:rsid w:val="00D77073"/>
    <w:rsid w:val="00D77C3B"/>
    <w:rsid w:val="00D849AC"/>
    <w:rsid w:val="00D855E7"/>
    <w:rsid w:val="00D85743"/>
    <w:rsid w:val="00D901B2"/>
    <w:rsid w:val="00D90793"/>
    <w:rsid w:val="00D93AE3"/>
    <w:rsid w:val="00D94F02"/>
    <w:rsid w:val="00D958AF"/>
    <w:rsid w:val="00DA19B2"/>
    <w:rsid w:val="00DA1D98"/>
    <w:rsid w:val="00DA25CB"/>
    <w:rsid w:val="00DA25DE"/>
    <w:rsid w:val="00DA3443"/>
    <w:rsid w:val="00DA65B3"/>
    <w:rsid w:val="00DA7E74"/>
    <w:rsid w:val="00DB0BDA"/>
    <w:rsid w:val="00DB1AC8"/>
    <w:rsid w:val="00DB380E"/>
    <w:rsid w:val="00DB6B79"/>
    <w:rsid w:val="00DB71E5"/>
    <w:rsid w:val="00DB7EC8"/>
    <w:rsid w:val="00DC048D"/>
    <w:rsid w:val="00DC2367"/>
    <w:rsid w:val="00DC3237"/>
    <w:rsid w:val="00DC3A35"/>
    <w:rsid w:val="00DC6B49"/>
    <w:rsid w:val="00DC7970"/>
    <w:rsid w:val="00DD17DB"/>
    <w:rsid w:val="00DD2EA8"/>
    <w:rsid w:val="00DD49C8"/>
    <w:rsid w:val="00DE30F9"/>
    <w:rsid w:val="00DE3FBE"/>
    <w:rsid w:val="00DE68D5"/>
    <w:rsid w:val="00DE6BD1"/>
    <w:rsid w:val="00DE7248"/>
    <w:rsid w:val="00DE7C9F"/>
    <w:rsid w:val="00DF00A0"/>
    <w:rsid w:val="00DF0FA7"/>
    <w:rsid w:val="00DF5489"/>
    <w:rsid w:val="00DF54B4"/>
    <w:rsid w:val="00DF7DDE"/>
    <w:rsid w:val="00E0135D"/>
    <w:rsid w:val="00E02644"/>
    <w:rsid w:val="00E03375"/>
    <w:rsid w:val="00E05F6C"/>
    <w:rsid w:val="00E061EE"/>
    <w:rsid w:val="00E071C8"/>
    <w:rsid w:val="00E102A3"/>
    <w:rsid w:val="00E11103"/>
    <w:rsid w:val="00E15B22"/>
    <w:rsid w:val="00E16DAF"/>
    <w:rsid w:val="00E174A3"/>
    <w:rsid w:val="00E218B6"/>
    <w:rsid w:val="00E21CA4"/>
    <w:rsid w:val="00E245A4"/>
    <w:rsid w:val="00E26399"/>
    <w:rsid w:val="00E36074"/>
    <w:rsid w:val="00E36C81"/>
    <w:rsid w:val="00E377E2"/>
    <w:rsid w:val="00E37DA8"/>
    <w:rsid w:val="00E40669"/>
    <w:rsid w:val="00E41392"/>
    <w:rsid w:val="00E43DEB"/>
    <w:rsid w:val="00E44391"/>
    <w:rsid w:val="00E44BB2"/>
    <w:rsid w:val="00E46EC1"/>
    <w:rsid w:val="00E53293"/>
    <w:rsid w:val="00E54423"/>
    <w:rsid w:val="00E55BB4"/>
    <w:rsid w:val="00E561EC"/>
    <w:rsid w:val="00E563F2"/>
    <w:rsid w:val="00E56A31"/>
    <w:rsid w:val="00E6017E"/>
    <w:rsid w:val="00E605D2"/>
    <w:rsid w:val="00E615CA"/>
    <w:rsid w:val="00E62055"/>
    <w:rsid w:val="00E644F6"/>
    <w:rsid w:val="00E64A84"/>
    <w:rsid w:val="00E666C2"/>
    <w:rsid w:val="00E71B38"/>
    <w:rsid w:val="00E72697"/>
    <w:rsid w:val="00E72DCB"/>
    <w:rsid w:val="00E73E02"/>
    <w:rsid w:val="00E74BF4"/>
    <w:rsid w:val="00E76086"/>
    <w:rsid w:val="00E76D66"/>
    <w:rsid w:val="00E7773C"/>
    <w:rsid w:val="00E809EC"/>
    <w:rsid w:val="00E81B3F"/>
    <w:rsid w:val="00E81C2D"/>
    <w:rsid w:val="00E84547"/>
    <w:rsid w:val="00E85791"/>
    <w:rsid w:val="00E85CF0"/>
    <w:rsid w:val="00E8677F"/>
    <w:rsid w:val="00E87969"/>
    <w:rsid w:val="00E91001"/>
    <w:rsid w:val="00E92F6E"/>
    <w:rsid w:val="00E94C8E"/>
    <w:rsid w:val="00EA07D5"/>
    <w:rsid w:val="00EA1A5E"/>
    <w:rsid w:val="00EA1FEC"/>
    <w:rsid w:val="00EA2F2D"/>
    <w:rsid w:val="00EA3E73"/>
    <w:rsid w:val="00EA6967"/>
    <w:rsid w:val="00EA71C2"/>
    <w:rsid w:val="00EA776C"/>
    <w:rsid w:val="00EB1188"/>
    <w:rsid w:val="00EB22BA"/>
    <w:rsid w:val="00EB25C3"/>
    <w:rsid w:val="00EB2FAE"/>
    <w:rsid w:val="00EB3553"/>
    <w:rsid w:val="00EB50B6"/>
    <w:rsid w:val="00EB545C"/>
    <w:rsid w:val="00EB65A5"/>
    <w:rsid w:val="00EB7359"/>
    <w:rsid w:val="00EC0255"/>
    <w:rsid w:val="00EC0716"/>
    <w:rsid w:val="00EC1FF0"/>
    <w:rsid w:val="00EC279F"/>
    <w:rsid w:val="00EC31DB"/>
    <w:rsid w:val="00EC3BFF"/>
    <w:rsid w:val="00EC58D1"/>
    <w:rsid w:val="00EC7361"/>
    <w:rsid w:val="00ED0353"/>
    <w:rsid w:val="00ED3476"/>
    <w:rsid w:val="00ED4E22"/>
    <w:rsid w:val="00ED53B3"/>
    <w:rsid w:val="00ED774B"/>
    <w:rsid w:val="00EE0193"/>
    <w:rsid w:val="00EE03BD"/>
    <w:rsid w:val="00EE1B15"/>
    <w:rsid w:val="00EE2CCB"/>
    <w:rsid w:val="00EE4B20"/>
    <w:rsid w:val="00EF3095"/>
    <w:rsid w:val="00EF4978"/>
    <w:rsid w:val="00EF59F8"/>
    <w:rsid w:val="00EF7262"/>
    <w:rsid w:val="00EF78FF"/>
    <w:rsid w:val="00EF79BD"/>
    <w:rsid w:val="00F02FB9"/>
    <w:rsid w:val="00F1187B"/>
    <w:rsid w:val="00F12E1C"/>
    <w:rsid w:val="00F14AC1"/>
    <w:rsid w:val="00F152C8"/>
    <w:rsid w:val="00F20B91"/>
    <w:rsid w:val="00F20D21"/>
    <w:rsid w:val="00F220A7"/>
    <w:rsid w:val="00F2376F"/>
    <w:rsid w:val="00F239E3"/>
    <w:rsid w:val="00F23EBA"/>
    <w:rsid w:val="00F23F1D"/>
    <w:rsid w:val="00F2445F"/>
    <w:rsid w:val="00F25387"/>
    <w:rsid w:val="00F27CF0"/>
    <w:rsid w:val="00F27D25"/>
    <w:rsid w:val="00F326FF"/>
    <w:rsid w:val="00F327C3"/>
    <w:rsid w:val="00F33CD9"/>
    <w:rsid w:val="00F34715"/>
    <w:rsid w:val="00F34BCB"/>
    <w:rsid w:val="00F3539A"/>
    <w:rsid w:val="00F376E6"/>
    <w:rsid w:val="00F40B95"/>
    <w:rsid w:val="00F43094"/>
    <w:rsid w:val="00F452B0"/>
    <w:rsid w:val="00F50502"/>
    <w:rsid w:val="00F52E29"/>
    <w:rsid w:val="00F53654"/>
    <w:rsid w:val="00F56822"/>
    <w:rsid w:val="00F56B94"/>
    <w:rsid w:val="00F62307"/>
    <w:rsid w:val="00F62B33"/>
    <w:rsid w:val="00F63C72"/>
    <w:rsid w:val="00F6409A"/>
    <w:rsid w:val="00F64229"/>
    <w:rsid w:val="00F64412"/>
    <w:rsid w:val="00F64DB9"/>
    <w:rsid w:val="00F65CD5"/>
    <w:rsid w:val="00F66A65"/>
    <w:rsid w:val="00F67D3E"/>
    <w:rsid w:val="00F7213F"/>
    <w:rsid w:val="00F766D7"/>
    <w:rsid w:val="00F8215E"/>
    <w:rsid w:val="00F8481D"/>
    <w:rsid w:val="00F87E28"/>
    <w:rsid w:val="00F90A12"/>
    <w:rsid w:val="00F91B63"/>
    <w:rsid w:val="00F91BB7"/>
    <w:rsid w:val="00F93A3C"/>
    <w:rsid w:val="00F943F2"/>
    <w:rsid w:val="00F962A2"/>
    <w:rsid w:val="00F9697F"/>
    <w:rsid w:val="00FA3627"/>
    <w:rsid w:val="00FA3CD8"/>
    <w:rsid w:val="00FA51EB"/>
    <w:rsid w:val="00FA7905"/>
    <w:rsid w:val="00FB07FA"/>
    <w:rsid w:val="00FB0F70"/>
    <w:rsid w:val="00FB2831"/>
    <w:rsid w:val="00FB291A"/>
    <w:rsid w:val="00FB3236"/>
    <w:rsid w:val="00FB380D"/>
    <w:rsid w:val="00FB52AF"/>
    <w:rsid w:val="00FB5670"/>
    <w:rsid w:val="00FB78A9"/>
    <w:rsid w:val="00FC0BBF"/>
    <w:rsid w:val="00FC1143"/>
    <w:rsid w:val="00FC195A"/>
    <w:rsid w:val="00FC1972"/>
    <w:rsid w:val="00FC2014"/>
    <w:rsid w:val="00FC3158"/>
    <w:rsid w:val="00FC42B1"/>
    <w:rsid w:val="00FD11FD"/>
    <w:rsid w:val="00FD2373"/>
    <w:rsid w:val="00FD3A65"/>
    <w:rsid w:val="00FD3BCA"/>
    <w:rsid w:val="00FD455F"/>
    <w:rsid w:val="00FD45F0"/>
    <w:rsid w:val="00FD7C50"/>
    <w:rsid w:val="00FE122F"/>
    <w:rsid w:val="00FE2C48"/>
    <w:rsid w:val="00FE4B0E"/>
    <w:rsid w:val="00FE61BF"/>
    <w:rsid w:val="00FF2705"/>
    <w:rsid w:val="00FF4A17"/>
    <w:rsid w:val="00FF5E9B"/>
    <w:rsid w:val="00FF65CA"/>
    <w:rsid w:val="00FF6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ECBA"/>
  <w15:chartTrackingRefBased/>
  <w15:docId w15:val="{B5CEE323-112C-4873-96A0-B4CCB0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before="46" w:line="276" w:lineRule="auto"/>
        <w:ind w:left="567" w:right="601" w:hanging="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36"/>
    <w:pPr>
      <w:spacing w:before="0" w:after="160" w:line="259" w:lineRule="auto"/>
      <w:ind w:left="0" w:right="0"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62B4C"/>
    <w:pPr>
      <w:autoSpaceDE w:val="0"/>
      <w:autoSpaceDN w:val="0"/>
      <w:adjustRightInd w:val="0"/>
      <w:spacing w:before="0" w:line="240" w:lineRule="auto"/>
      <w:ind w:left="0" w:right="0" w:firstLine="0"/>
      <w:jc w:val="left"/>
    </w:pPr>
    <w:rPr>
      <w:rFonts w:ascii="Arial" w:hAnsi="Arial" w:cs="Arial"/>
      <w:color w:val="000000"/>
      <w:sz w:val="24"/>
      <w:szCs w:val="24"/>
    </w:rPr>
  </w:style>
  <w:style w:type="paragraph" w:styleId="Prrafodelista">
    <w:name w:val="List Paragraph"/>
    <w:basedOn w:val="Normal"/>
    <w:uiPriority w:val="34"/>
    <w:qFormat/>
    <w:rsid w:val="00462B4C"/>
    <w:pPr>
      <w:ind w:left="720"/>
      <w:contextualSpacing/>
    </w:pPr>
  </w:style>
  <w:style w:type="paragraph" w:styleId="Textonotapie">
    <w:name w:val="footnote text"/>
    <w:basedOn w:val="Normal"/>
    <w:link w:val="TextonotapieCar"/>
    <w:unhideWhenUsed/>
    <w:rsid w:val="00462B4C"/>
    <w:pPr>
      <w:spacing w:after="0" w:line="240" w:lineRule="auto"/>
    </w:pPr>
    <w:rPr>
      <w:sz w:val="20"/>
      <w:szCs w:val="20"/>
    </w:rPr>
  </w:style>
  <w:style w:type="character" w:customStyle="1" w:styleId="TextonotapieCar">
    <w:name w:val="Texto nota pie Car"/>
    <w:basedOn w:val="Fuentedeprrafopredeter"/>
    <w:link w:val="Textonotapie"/>
    <w:rsid w:val="00462B4C"/>
    <w:rPr>
      <w:sz w:val="20"/>
      <w:szCs w:val="20"/>
    </w:rPr>
  </w:style>
  <w:style w:type="character" w:styleId="Refdenotaalpie">
    <w:name w:val="footnote reference"/>
    <w:basedOn w:val="Fuentedeprrafopredeter"/>
    <w:unhideWhenUsed/>
    <w:rsid w:val="00462B4C"/>
    <w:rPr>
      <w:vertAlign w:val="superscript"/>
    </w:rPr>
  </w:style>
  <w:style w:type="paragraph" w:styleId="NormalWeb">
    <w:name w:val="Normal (Web)"/>
    <w:basedOn w:val="Normal"/>
    <w:uiPriority w:val="99"/>
    <w:unhideWhenUsed/>
    <w:rsid w:val="00462B4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rsid w:val="00462B4C"/>
    <w:rPr>
      <w:color w:val="0000FF"/>
      <w:u w:val="single"/>
    </w:rPr>
  </w:style>
  <w:style w:type="paragraph" w:styleId="Encabezado">
    <w:name w:val="header"/>
    <w:basedOn w:val="Normal"/>
    <w:link w:val="EncabezadoCar"/>
    <w:uiPriority w:val="99"/>
    <w:unhideWhenUsed/>
    <w:rsid w:val="00462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2B4C"/>
  </w:style>
  <w:style w:type="paragraph" w:styleId="Piedepgina">
    <w:name w:val="footer"/>
    <w:basedOn w:val="Normal"/>
    <w:link w:val="PiedepginaCar"/>
    <w:uiPriority w:val="99"/>
    <w:unhideWhenUsed/>
    <w:rsid w:val="00462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2B4C"/>
  </w:style>
  <w:style w:type="paragraph" w:styleId="Textocomentario">
    <w:name w:val="annotation text"/>
    <w:basedOn w:val="Normal"/>
    <w:link w:val="TextocomentarioCar"/>
    <w:uiPriority w:val="99"/>
    <w:unhideWhenUsed/>
    <w:rsid w:val="00462B4C"/>
    <w:pPr>
      <w:spacing w:line="240" w:lineRule="auto"/>
    </w:pPr>
    <w:rPr>
      <w:sz w:val="20"/>
      <w:szCs w:val="20"/>
    </w:rPr>
  </w:style>
  <w:style w:type="character" w:customStyle="1" w:styleId="TextocomentarioCar">
    <w:name w:val="Texto comentario Car"/>
    <w:basedOn w:val="Fuentedeprrafopredeter"/>
    <w:link w:val="Textocomentario"/>
    <w:uiPriority w:val="99"/>
    <w:rsid w:val="00462B4C"/>
    <w:rPr>
      <w:sz w:val="20"/>
      <w:szCs w:val="20"/>
    </w:rPr>
  </w:style>
  <w:style w:type="character" w:customStyle="1" w:styleId="AsuntodelcomentarioCar">
    <w:name w:val="Asunto del comentario Car"/>
    <w:basedOn w:val="TextocomentarioCar"/>
    <w:link w:val="Asuntodelcomentario"/>
    <w:uiPriority w:val="99"/>
    <w:semiHidden/>
    <w:rsid w:val="00462B4C"/>
    <w:rPr>
      <w:b/>
      <w:bCs/>
      <w:sz w:val="20"/>
      <w:szCs w:val="20"/>
    </w:rPr>
  </w:style>
  <w:style w:type="paragraph" w:styleId="Asuntodelcomentario">
    <w:name w:val="annotation subject"/>
    <w:basedOn w:val="Textocomentario"/>
    <w:next w:val="Textocomentario"/>
    <w:link w:val="AsuntodelcomentarioCar"/>
    <w:uiPriority w:val="99"/>
    <w:semiHidden/>
    <w:unhideWhenUsed/>
    <w:rsid w:val="00462B4C"/>
    <w:rPr>
      <w:b/>
      <w:bCs/>
    </w:rPr>
  </w:style>
  <w:style w:type="character" w:customStyle="1" w:styleId="TextodegloboCar">
    <w:name w:val="Texto de globo Car"/>
    <w:basedOn w:val="Fuentedeprrafopredeter"/>
    <w:link w:val="Textodeglobo"/>
    <w:uiPriority w:val="99"/>
    <w:semiHidden/>
    <w:rsid w:val="00462B4C"/>
    <w:rPr>
      <w:rFonts w:ascii="Segoe UI" w:hAnsi="Segoe UI" w:cs="Segoe UI"/>
      <w:sz w:val="18"/>
      <w:szCs w:val="18"/>
    </w:rPr>
  </w:style>
  <w:style w:type="paragraph" w:styleId="Textodeglobo">
    <w:name w:val="Balloon Text"/>
    <w:basedOn w:val="Normal"/>
    <w:link w:val="TextodegloboCar"/>
    <w:uiPriority w:val="99"/>
    <w:semiHidden/>
    <w:unhideWhenUsed/>
    <w:rsid w:val="00462B4C"/>
    <w:pPr>
      <w:spacing w:after="0" w:line="240" w:lineRule="auto"/>
    </w:pPr>
    <w:rPr>
      <w:rFonts w:ascii="Segoe UI" w:hAnsi="Segoe UI" w:cs="Segoe UI"/>
      <w:sz w:val="18"/>
      <w:szCs w:val="18"/>
    </w:rPr>
  </w:style>
  <w:style w:type="character" w:customStyle="1" w:styleId="Mencinsinresolver1">
    <w:name w:val="Mención sin resolver1"/>
    <w:basedOn w:val="Fuentedeprrafopredeter"/>
    <w:uiPriority w:val="99"/>
    <w:rsid w:val="00462B4C"/>
    <w:rPr>
      <w:color w:val="605E5C"/>
      <w:shd w:val="clear" w:color="auto" w:fill="E1DFDD"/>
    </w:rPr>
  </w:style>
  <w:style w:type="character" w:customStyle="1" w:styleId="TextonotaalfinalCar">
    <w:name w:val="Texto nota al final Car"/>
    <w:basedOn w:val="Fuentedeprrafopredeter"/>
    <w:link w:val="Textonotaalfinal"/>
    <w:uiPriority w:val="99"/>
    <w:semiHidden/>
    <w:rsid w:val="00462B4C"/>
    <w:rPr>
      <w:sz w:val="20"/>
      <w:szCs w:val="20"/>
    </w:rPr>
  </w:style>
  <w:style w:type="paragraph" w:styleId="Textonotaalfinal">
    <w:name w:val="endnote text"/>
    <w:basedOn w:val="Normal"/>
    <w:link w:val="TextonotaalfinalCar"/>
    <w:uiPriority w:val="99"/>
    <w:semiHidden/>
    <w:unhideWhenUsed/>
    <w:rsid w:val="00462B4C"/>
    <w:pPr>
      <w:spacing w:after="0" w:line="240" w:lineRule="auto"/>
    </w:pPr>
    <w:rPr>
      <w:sz w:val="20"/>
      <w:szCs w:val="20"/>
    </w:rPr>
  </w:style>
  <w:style w:type="character" w:styleId="Mencinsinresolver">
    <w:name w:val="Unresolved Mention"/>
    <w:basedOn w:val="Fuentedeprrafopredeter"/>
    <w:uiPriority w:val="99"/>
    <w:semiHidden/>
    <w:unhideWhenUsed/>
    <w:rsid w:val="00642A24"/>
    <w:rPr>
      <w:color w:val="605E5C"/>
      <w:shd w:val="clear" w:color="auto" w:fill="E1DFDD"/>
    </w:rPr>
  </w:style>
  <w:style w:type="paragraph" w:styleId="Revisin">
    <w:name w:val="Revision"/>
    <w:hidden/>
    <w:uiPriority w:val="99"/>
    <w:semiHidden/>
    <w:rsid w:val="00C371BD"/>
    <w:pPr>
      <w:spacing w:before="0" w:line="240" w:lineRule="auto"/>
      <w:ind w:left="0" w:right="0" w:firstLine="0"/>
      <w:jc w:val="left"/>
    </w:pPr>
  </w:style>
  <w:style w:type="character" w:styleId="Refdecomentario">
    <w:name w:val="annotation reference"/>
    <w:basedOn w:val="Fuentedeprrafopredeter"/>
    <w:uiPriority w:val="99"/>
    <w:semiHidden/>
    <w:unhideWhenUsed/>
    <w:rsid w:val="00C371BD"/>
    <w:rPr>
      <w:sz w:val="16"/>
      <w:szCs w:val="16"/>
    </w:rPr>
  </w:style>
  <w:style w:type="paragraph" w:customStyle="1" w:styleId="Prrafodelista1">
    <w:name w:val="Párrafo de lista1"/>
    <w:basedOn w:val="Normal"/>
    <w:rsid w:val="00454C8A"/>
    <w:pPr>
      <w:ind w:left="720"/>
    </w:pPr>
    <w:rPr>
      <w:rFonts w:ascii="Calibri" w:eastAsia="Times New Roman" w:hAnsi="Calibri" w:cs="Times New Roman"/>
    </w:rPr>
  </w:style>
  <w:style w:type="table" w:styleId="Tablaconcuadrcula">
    <w:name w:val="Table Grid"/>
    <w:basedOn w:val="Tablanormal"/>
    <w:uiPriority w:val="39"/>
    <w:rsid w:val="0062239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5">
    <w:name w:val="Grid Table 6 Colorful Accent 5"/>
    <w:basedOn w:val="Tablanormal"/>
    <w:uiPriority w:val="51"/>
    <w:rsid w:val="00697A01"/>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167">
      <w:bodyDiv w:val="1"/>
      <w:marLeft w:val="0"/>
      <w:marRight w:val="0"/>
      <w:marTop w:val="0"/>
      <w:marBottom w:val="0"/>
      <w:divBdr>
        <w:top w:val="none" w:sz="0" w:space="0" w:color="auto"/>
        <w:left w:val="none" w:sz="0" w:space="0" w:color="auto"/>
        <w:bottom w:val="none" w:sz="0" w:space="0" w:color="auto"/>
        <w:right w:val="none" w:sz="0" w:space="0" w:color="auto"/>
      </w:divBdr>
    </w:div>
    <w:div w:id="12077184">
      <w:bodyDiv w:val="1"/>
      <w:marLeft w:val="0"/>
      <w:marRight w:val="0"/>
      <w:marTop w:val="0"/>
      <w:marBottom w:val="0"/>
      <w:divBdr>
        <w:top w:val="none" w:sz="0" w:space="0" w:color="auto"/>
        <w:left w:val="none" w:sz="0" w:space="0" w:color="auto"/>
        <w:bottom w:val="none" w:sz="0" w:space="0" w:color="auto"/>
        <w:right w:val="none" w:sz="0" w:space="0" w:color="auto"/>
      </w:divBdr>
    </w:div>
    <w:div w:id="33312957">
      <w:bodyDiv w:val="1"/>
      <w:marLeft w:val="0"/>
      <w:marRight w:val="0"/>
      <w:marTop w:val="0"/>
      <w:marBottom w:val="0"/>
      <w:divBdr>
        <w:top w:val="none" w:sz="0" w:space="0" w:color="auto"/>
        <w:left w:val="none" w:sz="0" w:space="0" w:color="auto"/>
        <w:bottom w:val="none" w:sz="0" w:space="0" w:color="auto"/>
        <w:right w:val="none" w:sz="0" w:space="0" w:color="auto"/>
      </w:divBdr>
    </w:div>
    <w:div w:id="34425712">
      <w:bodyDiv w:val="1"/>
      <w:marLeft w:val="0"/>
      <w:marRight w:val="0"/>
      <w:marTop w:val="0"/>
      <w:marBottom w:val="0"/>
      <w:divBdr>
        <w:top w:val="none" w:sz="0" w:space="0" w:color="auto"/>
        <w:left w:val="none" w:sz="0" w:space="0" w:color="auto"/>
        <w:bottom w:val="none" w:sz="0" w:space="0" w:color="auto"/>
        <w:right w:val="none" w:sz="0" w:space="0" w:color="auto"/>
      </w:divBdr>
    </w:div>
    <w:div w:id="47071081">
      <w:bodyDiv w:val="1"/>
      <w:marLeft w:val="0"/>
      <w:marRight w:val="0"/>
      <w:marTop w:val="0"/>
      <w:marBottom w:val="0"/>
      <w:divBdr>
        <w:top w:val="none" w:sz="0" w:space="0" w:color="auto"/>
        <w:left w:val="none" w:sz="0" w:space="0" w:color="auto"/>
        <w:bottom w:val="none" w:sz="0" w:space="0" w:color="auto"/>
        <w:right w:val="none" w:sz="0" w:space="0" w:color="auto"/>
      </w:divBdr>
    </w:div>
    <w:div w:id="71398345">
      <w:bodyDiv w:val="1"/>
      <w:marLeft w:val="0"/>
      <w:marRight w:val="0"/>
      <w:marTop w:val="0"/>
      <w:marBottom w:val="0"/>
      <w:divBdr>
        <w:top w:val="none" w:sz="0" w:space="0" w:color="auto"/>
        <w:left w:val="none" w:sz="0" w:space="0" w:color="auto"/>
        <w:bottom w:val="none" w:sz="0" w:space="0" w:color="auto"/>
        <w:right w:val="none" w:sz="0" w:space="0" w:color="auto"/>
      </w:divBdr>
    </w:div>
    <w:div w:id="88432701">
      <w:bodyDiv w:val="1"/>
      <w:marLeft w:val="0"/>
      <w:marRight w:val="0"/>
      <w:marTop w:val="0"/>
      <w:marBottom w:val="0"/>
      <w:divBdr>
        <w:top w:val="none" w:sz="0" w:space="0" w:color="auto"/>
        <w:left w:val="none" w:sz="0" w:space="0" w:color="auto"/>
        <w:bottom w:val="none" w:sz="0" w:space="0" w:color="auto"/>
        <w:right w:val="none" w:sz="0" w:space="0" w:color="auto"/>
      </w:divBdr>
    </w:div>
    <w:div w:id="106511407">
      <w:bodyDiv w:val="1"/>
      <w:marLeft w:val="0"/>
      <w:marRight w:val="0"/>
      <w:marTop w:val="0"/>
      <w:marBottom w:val="0"/>
      <w:divBdr>
        <w:top w:val="none" w:sz="0" w:space="0" w:color="auto"/>
        <w:left w:val="none" w:sz="0" w:space="0" w:color="auto"/>
        <w:bottom w:val="none" w:sz="0" w:space="0" w:color="auto"/>
        <w:right w:val="none" w:sz="0" w:space="0" w:color="auto"/>
      </w:divBdr>
    </w:div>
    <w:div w:id="109669132">
      <w:bodyDiv w:val="1"/>
      <w:marLeft w:val="0"/>
      <w:marRight w:val="0"/>
      <w:marTop w:val="0"/>
      <w:marBottom w:val="0"/>
      <w:divBdr>
        <w:top w:val="none" w:sz="0" w:space="0" w:color="auto"/>
        <w:left w:val="none" w:sz="0" w:space="0" w:color="auto"/>
        <w:bottom w:val="none" w:sz="0" w:space="0" w:color="auto"/>
        <w:right w:val="none" w:sz="0" w:space="0" w:color="auto"/>
      </w:divBdr>
    </w:div>
    <w:div w:id="113601208">
      <w:bodyDiv w:val="1"/>
      <w:marLeft w:val="0"/>
      <w:marRight w:val="0"/>
      <w:marTop w:val="0"/>
      <w:marBottom w:val="0"/>
      <w:divBdr>
        <w:top w:val="none" w:sz="0" w:space="0" w:color="auto"/>
        <w:left w:val="none" w:sz="0" w:space="0" w:color="auto"/>
        <w:bottom w:val="none" w:sz="0" w:space="0" w:color="auto"/>
        <w:right w:val="none" w:sz="0" w:space="0" w:color="auto"/>
      </w:divBdr>
    </w:div>
    <w:div w:id="131337971">
      <w:bodyDiv w:val="1"/>
      <w:marLeft w:val="0"/>
      <w:marRight w:val="0"/>
      <w:marTop w:val="0"/>
      <w:marBottom w:val="0"/>
      <w:divBdr>
        <w:top w:val="none" w:sz="0" w:space="0" w:color="auto"/>
        <w:left w:val="none" w:sz="0" w:space="0" w:color="auto"/>
        <w:bottom w:val="none" w:sz="0" w:space="0" w:color="auto"/>
        <w:right w:val="none" w:sz="0" w:space="0" w:color="auto"/>
      </w:divBdr>
    </w:div>
    <w:div w:id="134300931">
      <w:bodyDiv w:val="1"/>
      <w:marLeft w:val="0"/>
      <w:marRight w:val="0"/>
      <w:marTop w:val="0"/>
      <w:marBottom w:val="0"/>
      <w:divBdr>
        <w:top w:val="none" w:sz="0" w:space="0" w:color="auto"/>
        <w:left w:val="none" w:sz="0" w:space="0" w:color="auto"/>
        <w:bottom w:val="none" w:sz="0" w:space="0" w:color="auto"/>
        <w:right w:val="none" w:sz="0" w:space="0" w:color="auto"/>
      </w:divBdr>
    </w:div>
    <w:div w:id="147524229">
      <w:bodyDiv w:val="1"/>
      <w:marLeft w:val="0"/>
      <w:marRight w:val="0"/>
      <w:marTop w:val="0"/>
      <w:marBottom w:val="0"/>
      <w:divBdr>
        <w:top w:val="none" w:sz="0" w:space="0" w:color="auto"/>
        <w:left w:val="none" w:sz="0" w:space="0" w:color="auto"/>
        <w:bottom w:val="none" w:sz="0" w:space="0" w:color="auto"/>
        <w:right w:val="none" w:sz="0" w:space="0" w:color="auto"/>
      </w:divBdr>
    </w:div>
    <w:div w:id="174654839">
      <w:bodyDiv w:val="1"/>
      <w:marLeft w:val="0"/>
      <w:marRight w:val="0"/>
      <w:marTop w:val="0"/>
      <w:marBottom w:val="0"/>
      <w:divBdr>
        <w:top w:val="none" w:sz="0" w:space="0" w:color="auto"/>
        <w:left w:val="none" w:sz="0" w:space="0" w:color="auto"/>
        <w:bottom w:val="none" w:sz="0" w:space="0" w:color="auto"/>
        <w:right w:val="none" w:sz="0" w:space="0" w:color="auto"/>
      </w:divBdr>
    </w:div>
    <w:div w:id="178742542">
      <w:bodyDiv w:val="1"/>
      <w:marLeft w:val="0"/>
      <w:marRight w:val="0"/>
      <w:marTop w:val="0"/>
      <w:marBottom w:val="0"/>
      <w:divBdr>
        <w:top w:val="none" w:sz="0" w:space="0" w:color="auto"/>
        <w:left w:val="none" w:sz="0" w:space="0" w:color="auto"/>
        <w:bottom w:val="none" w:sz="0" w:space="0" w:color="auto"/>
        <w:right w:val="none" w:sz="0" w:space="0" w:color="auto"/>
      </w:divBdr>
    </w:div>
    <w:div w:id="178934855">
      <w:bodyDiv w:val="1"/>
      <w:marLeft w:val="0"/>
      <w:marRight w:val="0"/>
      <w:marTop w:val="0"/>
      <w:marBottom w:val="0"/>
      <w:divBdr>
        <w:top w:val="none" w:sz="0" w:space="0" w:color="auto"/>
        <w:left w:val="none" w:sz="0" w:space="0" w:color="auto"/>
        <w:bottom w:val="none" w:sz="0" w:space="0" w:color="auto"/>
        <w:right w:val="none" w:sz="0" w:space="0" w:color="auto"/>
      </w:divBdr>
    </w:div>
    <w:div w:id="183984458">
      <w:bodyDiv w:val="1"/>
      <w:marLeft w:val="0"/>
      <w:marRight w:val="0"/>
      <w:marTop w:val="0"/>
      <w:marBottom w:val="0"/>
      <w:divBdr>
        <w:top w:val="none" w:sz="0" w:space="0" w:color="auto"/>
        <w:left w:val="none" w:sz="0" w:space="0" w:color="auto"/>
        <w:bottom w:val="none" w:sz="0" w:space="0" w:color="auto"/>
        <w:right w:val="none" w:sz="0" w:space="0" w:color="auto"/>
      </w:divBdr>
    </w:div>
    <w:div w:id="203830686">
      <w:bodyDiv w:val="1"/>
      <w:marLeft w:val="0"/>
      <w:marRight w:val="0"/>
      <w:marTop w:val="0"/>
      <w:marBottom w:val="0"/>
      <w:divBdr>
        <w:top w:val="none" w:sz="0" w:space="0" w:color="auto"/>
        <w:left w:val="none" w:sz="0" w:space="0" w:color="auto"/>
        <w:bottom w:val="none" w:sz="0" w:space="0" w:color="auto"/>
        <w:right w:val="none" w:sz="0" w:space="0" w:color="auto"/>
      </w:divBdr>
    </w:div>
    <w:div w:id="204950065">
      <w:bodyDiv w:val="1"/>
      <w:marLeft w:val="0"/>
      <w:marRight w:val="0"/>
      <w:marTop w:val="0"/>
      <w:marBottom w:val="0"/>
      <w:divBdr>
        <w:top w:val="none" w:sz="0" w:space="0" w:color="auto"/>
        <w:left w:val="none" w:sz="0" w:space="0" w:color="auto"/>
        <w:bottom w:val="none" w:sz="0" w:space="0" w:color="auto"/>
        <w:right w:val="none" w:sz="0" w:space="0" w:color="auto"/>
      </w:divBdr>
    </w:div>
    <w:div w:id="253824959">
      <w:bodyDiv w:val="1"/>
      <w:marLeft w:val="0"/>
      <w:marRight w:val="0"/>
      <w:marTop w:val="0"/>
      <w:marBottom w:val="0"/>
      <w:divBdr>
        <w:top w:val="none" w:sz="0" w:space="0" w:color="auto"/>
        <w:left w:val="none" w:sz="0" w:space="0" w:color="auto"/>
        <w:bottom w:val="none" w:sz="0" w:space="0" w:color="auto"/>
        <w:right w:val="none" w:sz="0" w:space="0" w:color="auto"/>
      </w:divBdr>
    </w:div>
    <w:div w:id="274797397">
      <w:bodyDiv w:val="1"/>
      <w:marLeft w:val="0"/>
      <w:marRight w:val="0"/>
      <w:marTop w:val="0"/>
      <w:marBottom w:val="0"/>
      <w:divBdr>
        <w:top w:val="none" w:sz="0" w:space="0" w:color="auto"/>
        <w:left w:val="none" w:sz="0" w:space="0" w:color="auto"/>
        <w:bottom w:val="none" w:sz="0" w:space="0" w:color="auto"/>
        <w:right w:val="none" w:sz="0" w:space="0" w:color="auto"/>
      </w:divBdr>
    </w:div>
    <w:div w:id="304624732">
      <w:bodyDiv w:val="1"/>
      <w:marLeft w:val="0"/>
      <w:marRight w:val="0"/>
      <w:marTop w:val="0"/>
      <w:marBottom w:val="0"/>
      <w:divBdr>
        <w:top w:val="none" w:sz="0" w:space="0" w:color="auto"/>
        <w:left w:val="none" w:sz="0" w:space="0" w:color="auto"/>
        <w:bottom w:val="none" w:sz="0" w:space="0" w:color="auto"/>
        <w:right w:val="none" w:sz="0" w:space="0" w:color="auto"/>
      </w:divBdr>
    </w:div>
    <w:div w:id="307980553">
      <w:bodyDiv w:val="1"/>
      <w:marLeft w:val="0"/>
      <w:marRight w:val="0"/>
      <w:marTop w:val="0"/>
      <w:marBottom w:val="0"/>
      <w:divBdr>
        <w:top w:val="none" w:sz="0" w:space="0" w:color="auto"/>
        <w:left w:val="none" w:sz="0" w:space="0" w:color="auto"/>
        <w:bottom w:val="none" w:sz="0" w:space="0" w:color="auto"/>
        <w:right w:val="none" w:sz="0" w:space="0" w:color="auto"/>
      </w:divBdr>
    </w:div>
    <w:div w:id="371006748">
      <w:bodyDiv w:val="1"/>
      <w:marLeft w:val="0"/>
      <w:marRight w:val="0"/>
      <w:marTop w:val="0"/>
      <w:marBottom w:val="0"/>
      <w:divBdr>
        <w:top w:val="none" w:sz="0" w:space="0" w:color="auto"/>
        <w:left w:val="none" w:sz="0" w:space="0" w:color="auto"/>
        <w:bottom w:val="none" w:sz="0" w:space="0" w:color="auto"/>
        <w:right w:val="none" w:sz="0" w:space="0" w:color="auto"/>
      </w:divBdr>
    </w:div>
    <w:div w:id="396052072">
      <w:bodyDiv w:val="1"/>
      <w:marLeft w:val="0"/>
      <w:marRight w:val="0"/>
      <w:marTop w:val="0"/>
      <w:marBottom w:val="0"/>
      <w:divBdr>
        <w:top w:val="none" w:sz="0" w:space="0" w:color="auto"/>
        <w:left w:val="none" w:sz="0" w:space="0" w:color="auto"/>
        <w:bottom w:val="none" w:sz="0" w:space="0" w:color="auto"/>
        <w:right w:val="none" w:sz="0" w:space="0" w:color="auto"/>
      </w:divBdr>
    </w:div>
    <w:div w:id="399134358">
      <w:bodyDiv w:val="1"/>
      <w:marLeft w:val="0"/>
      <w:marRight w:val="0"/>
      <w:marTop w:val="0"/>
      <w:marBottom w:val="0"/>
      <w:divBdr>
        <w:top w:val="none" w:sz="0" w:space="0" w:color="auto"/>
        <w:left w:val="none" w:sz="0" w:space="0" w:color="auto"/>
        <w:bottom w:val="none" w:sz="0" w:space="0" w:color="auto"/>
        <w:right w:val="none" w:sz="0" w:space="0" w:color="auto"/>
      </w:divBdr>
    </w:div>
    <w:div w:id="472140957">
      <w:bodyDiv w:val="1"/>
      <w:marLeft w:val="0"/>
      <w:marRight w:val="0"/>
      <w:marTop w:val="0"/>
      <w:marBottom w:val="0"/>
      <w:divBdr>
        <w:top w:val="none" w:sz="0" w:space="0" w:color="auto"/>
        <w:left w:val="none" w:sz="0" w:space="0" w:color="auto"/>
        <w:bottom w:val="none" w:sz="0" w:space="0" w:color="auto"/>
        <w:right w:val="none" w:sz="0" w:space="0" w:color="auto"/>
      </w:divBdr>
    </w:div>
    <w:div w:id="474877503">
      <w:bodyDiv w:val="1"/>
      <w:marLeft w:val="0"/>
      <w:marRight w:val="0"/>
      <w:marTop w:val="0"/>
      <w:marBottom w:val="0"/>
      <w:divBdr>
        <w:top w:val="none" w:sz="0" w:space="0" w:color="auto"/>
        <w:left w:val="none" w:sz="0" w:space="0" w:color="auto"/>
        <w:bottom w:val="none" w:sz="0" w:space="0" w:color="auto"/>
        <w:right w:val="none" w:sz="0" w:space="0" w:color="auto"/>
      </w:divBdr>
    </w:div>
    <w:div w:id="536241855">
      <w:bodyDiv w:val="1"/>
      <w:marLeft w:val="0"/>
      <w:marRight w:val="0"/>
      <w:marTop w:val="0"/>
      <w:marBottom w:val="0"/>
      <w:divBdr>
        <w:top w:val="none" w:sz="0" w:space="0" w:color="auto"/>
        <w:left w:val="none" w:sz="0" w:space="0" w:color="auto"/>
        <w:bottom w:val="none" w:sz="0" w:space="0" w:color="auto"/>
        <w:right w:val="none" w:sz="0" w:space="0" w:color="auto"/>
      </w:divBdr>
    </w:div>
    <w:div w:id="579752217">
      <w:bodyDiv w:val="1"/>
      <w:marLeft w:val="0"/>
      <w:marRight w:val="0"/>
      <w:marTop w:val="0"/>
      <w:marBottom w:val="0"/>
      <w:divBdr>
        <w:top w:val="none" w:sz="0" w:space="0" w:color="auto"/>
        <w:left w:val="none" w:sz="0" w:space="0" w:color="auto"/>
        <w:bottom w:val="none" w:sz="0" w:space="0" w:color="auto"/>
        <w:right w:val="none" w:sz="0" w:space="0" w:color="auto"/>
      </w:divBdr>
    </w:div>
    <w:div w:id="583611906">
      <w:bodyDiv w:val="1"/>
      <w:marLeft w:val="0"/>
      <w:marRight w:val="0"/>
      <w:marTop w:val="0"/>
      <w:marBottom w:val="0"/>
      <w:divBdr>
        <w:top w:val="none" w:sz="0" w:space="0" w:color="auto"/>
        <w:left w:val="none" w:sz="0" w:space="0" w:color="auto"/>
        <w:bottom w:val="none" w:sz="0" w:space="0" w:color="auto"/>
        <w:right w:val="none" w:sz="0" w:space="0" w:color="auto"/>
      </w:divBdr>
    </w:div>
    <w:div w:id="587888182">
      <w:bodyDiv w:val="1"/>
      <w:marLeft w:val="0"/>
      <w:marRight w:val="0"/>
      <w:marTop w:val="0"/>
      <w:marBottom w:val="0"/>
      <w:divBdr>
        <w:top w:val="none" w:sz="0" w:space="0" w:color="auto"/>
        <w:left w:val="none" w:sz="0" w:space="0" w:color="auto"/>
        <w:bottom w:val="none" w:sz="0" w:space="0" w:color="auto"/>
        <w:right w:val="none" w:sz="0" w:space="0" w:color="auto"/>
      </w:divBdr>
    </w:div>
    <w:div w:id="598677527">
      <w:bodyDiv w:val="1"/>
      <w:marLeft w:val="0"/>
      <w:marRight w:val="0"/>
      <w:marTop w:val="0"/>
      <w:marBottom w:val="0"/>
      <w:divBdr>
        <w:top w:val="none" w:sz="0" w:space="0" w:color="auto"/>
        <w:left w:val="none" w:sz="0" w:space="0" w:color="auto"/>
        <w:bottom w:val="none" w:sz="0" w:space="0" w:color="auto"/>
        <w:right w:val="none" w:sz="0" w:space="0" w:color="auto"/>
      </w:divBdr>
    </w:div>
    <w:div w:id="634870422">
      <w:bodyDiv w:val="1"/>
      <w:marLeft w:val="0"/>
      <w:marRight w:val="0"/>
      <w:marTop w:val="0"/>
      <w:marBottom w:val="0"/>
      <w:divBdr>
        <w:top w:val="none" w:sz="0" w:space="0" w:color="auto"/>
        <w:left w:val="none" w:sz="0" w:space="0" w:color="auto"/>
        <w:bottom w:val="none" w:sz="0" w:space="0" w:color="auto"/>
        <w:right w:val="none" w:sz="0" w:space="0" w:color="auto"/>
      </w:divBdr>
    </w:div>
    <w:div w:id="662241552">
      <w:bodyDiv w:val="1"/>
      <w:marLeft w:val="0"/>
      <w:marRight w:val="0"/>
      <w:marTop w:val="0"/>
      <w:marBottom w:val="0"/>
      <w:divBdr>
        <w:top w:val="none" w:sz="0" w:space="0" w:color="auto"/>
        <w:left w:val="none" w:sz="0" w:space="0" w:color="auto"/>
        <w:bottom w:val="none" w:sz="0" w:space="0" w:color="auto"/>
        <w:right w:val="none" w:sz="0" w:space="0" w:color="auto"/>
      </w:divBdr>
    </w:div>
    <w:div w:id="680015490">
      <w:bodyDiv w:val="1"/>
      <w:marLeft w:val="0"/>
      <w:marRight w:val="0"/>
      <w:marTop w:val="0"/>
      <w:marBottom w:val="0"/>
      <w:divBdr>
        <w:top w:val="none" w:sz="0" w:space="0" w:color="auto"/>
        <w:left w:val="none" w:sz="0" w:space="0" w:color="auto"/>
        <w:bottom w:val="none" w:sz="0" w:space="0" w:color="auto"/>
        <w:right w:val="none" w:sz="0" w:space="0" w:color="auto"/>
      </w:divBdr>
    </w:div>
    <w:div w:id="692651836">
      <w:bodyDiv w:val="1"/>
      <w:marLeft w:val="0"/>
      <w:marRight w:val="0"/>
      <w:marTop w:val="0"/>
      <w:marBottom w:val="0"/>
      <w:divBdr>
        <w:top w:val="none" w:sz="0" w:space="0" w:color="auto"/>
        <w:left w:val="none" w:sz="0" w:space="0" w:color="auto"/>
        <w:bottom w:val="none" w:sz="0" w:space="0" w:color="auto"/>
        <w:right w:val="none" w:sz="0" w:space="0" w:color="auto"/>
      </w:divBdr>
    </w:div>
    <w:div w:id="692998959">
      <w:bodyDiv w:val="1"/>
      <w:marLeft w:val="0"/>
      <w:marRight w:val="0"/>
      <w:marTop w:val="0"/>
      <w:marBottom w:val="0"/>
      <w:divBdr>
        <w:top w:val="none" w:sz="0" w:space="0" w:color="auto"/>
        <w:left w:val="none" w:sz="0" w:space="0" w:color="auto"/>
        <w:bottom w:val="none" w:sz="0" w:space="0" w:color="auto"/>
        <w:right w:val="none" w:sz="0" w:space="0" w:color="auto"/>
      </w:divBdr>
    </w:div>
    <w:div w:id="707920368">
      <w:bodyDiv w:val="1"/>
      <w:marLeft w:val="0"/>
      <w:marRight w:val="0"/>
      <w:marTop w:val="0"/>
      <w:marBottom w:val="0"/>
      <w:divBdr>
        <w:top w:val="none" w:sz="0" w:space="0" w:color="auto"/>
        <w:left w:val="none" w:sz="0" w:space="0" w:color="auto"/>
        <w:bottom w:val="none" w:sz="0" w:space="0" w:color="auto"/>
        <w:right w:val="none" w:sz="0" w:space="0" w:color="auto"/>
      </w:divBdr>
    </w:div>
    <w:div w:id="757366353">
      <w:bodyDiv w:val="1"/>
      <w:marLeft w:val="0"/>
      <w:marRight w:val="0"/>
      <w:marTop w:val="0"/>
      <w:marBottom w:val="0"/>
      <w:divBdr>
        <w:top w:val="none" w:sz="0" w:space="0" w:color="auto"/>
        <w:left w:val="none" w:sz="0" w:space="0" w:color="auto"/>
        <w:bottom w:val="none" w:sz="0" w:space="0" w:color="auto"/>
        <w:right w:val="none" w:sz="0" w:space="0" w:color="auto"/>
      </w:divBdr>
    </w:div>
    <w:div w:id="759641938">
      <w:bodyDiv w:val="1"/>
      <w:marLeft w:val="0"/>
      <w:marRight w:val="0"/>
      <w:marTop w:val="0"/>
      <w:marBottom w:val="0"/>
      <w:divBdr>
        <w:top w:val="none" w:sz="0" w:space="0" w:color="auto"/>
        <w:left w:val="none" w:sz="0" w:space="0" w:color="auto"/>
        <w:bottom w:val="none" w:sz="0" w:space="0" w:color="auto"/>
        <w:right w:val="none" w:sz="0" w:space="0" w:color="auto"/>
      </w:divBdr>
    </w:div>
    <w:div w:id="771172693">
      <w:bodyDiv w:val="1"/>
      <w:marLeft w:val="0"/>
      <w:marRight w:val="0"/>
      <w:marTop w:val="0"/>
      <w:marBottom w:val="0"/>
      <w:divBdr>
        <w:top w:val="none" w:sz="0" w:space="0" w:color="auto"/>
        <w:left w:val="none" w:sz="0" w:space="0" w:color="auto"/>
        <w:bottom w:val="none" w:sz="0" w:space="0" w:color="auto"/>
        <w:right w:val="none" w:sz="0" w:space="0" w:color="auto"/>
      </w:divBdr>
    </w:div>
    <w:div w:id="792754580">
      <w:bodyDiv w:val="1"/>
      <w:marLeft w:val="0"/>
      <w:marRight w:val="0"/>
      <w:marTop w:val="0"/>
      <w:marBottom w:val="0"/>
      <w:divBdr>
        <w:top w:val="none" w:sz="0" w:space="0" w:color="auto"/>
        <w:left w:val="none" w:sz="0" w:space="0" w:color="auto"/>
        <w:bottom w:val="none" w:sz="0" w:space="0" w:color="auto"/>
        <w:right w:val="none" w:sz="0" w:space="0" w:color="auto"/>
      </w:divBdr>
    </w:div>
    <w:div w:id="827786954">
      <w:bodyDiv w:val="1"/>
      <w:marLeft w:val="0"/>
      <w:marRight w:val="0"/>
      <w:marTop w:val="0"/>
      <w:marBottom w:val="0"/>
      <w:divBdr>
        <w:top w:val="none" w:sz="0" w:space="0" w:color="auto"/>
        <w:left w:val="none" w:sz="0" w:space="0" w:color="auto"/>
        <w:bottom w:val="none" w:sz="0" w:space="0" w:color="auto"/>
        <w:right w:val="none" w:sz="0" w:space="0" w:color="auto"/>
      </w:divBdr>
    </w:div>
    <w:div w:id="841973756">
      <w:bodyDiv w:val="1"/>
      <w:marLeft w:val="0"/>
      <w:marRight w:val="0"/>
      <w:marTop w:val="0"/>
      <w:marBottom w:val="0"/>
      <w:divBdr>
        <w:top w:val="none" w:sz="0" w:space="0" w:color="auto"/>
        <w:left w:val="none" w:sz="0" w:space="0" w:color="auto"/>
        <w:bottom w:val="none" w:sz="0" w:space="0" w:color="auto"/>
        <w:right w:val="none" w:sz="0" w:space="0" w:color="auto"/>
      </w:divBdr>
    </w:div>
    <w:div w:id="842014555">
      <w:bodyDiv w:val="1"/>
      <w:marLeft w:val="0"/>
      <w:marRight w:val="0"/>
      <w:marTop w:val="0"/>
      <w:marBottom w:val="0"/>
      <w:divBdr>
        <w:top w:val="none" w:sz="0" w:space="0" w:color="auto"/>
        <w:left w:val="none" w:sz="0" w:space="0" w:color="auto"/>
        <w:bottom w:val="none" w:sz="0" w:space="0" w:color="auto"/>
        <w:right w:val="none" w:sz="0" w:space="0" w:color="auto"/>
      </w:divBdr>
    </w:div>
    <w:div w:id="848909999">
      <w:bodyDiv w:val="1"/>
      <w:marLeft w:val="0"/>
      <w:marRight w:val="0"/>
      <w:marTop w:val="0"/>
      <w:marBottom w:val="0"/>
      <w:divBdr>
        <w:top w:val="none" w:sz="0" w:space="0" w:color="auto"/>
        <w:left w:val="none" w:sz="0" w:space="0" w:color="auto"/>
        <w:bottom w:val="none" w:sz="0" w:space="0" w:color="auto"/>
        <w:right w:val="none" w:sz="0" w:space="0" w:color="auto"/>
      </w:divBdr>
    </w:div>
    <w:div w:id="852761035">
      <w:bodyDiv w:val="1"/>
      <w:marLeft w:val="0"/>
      <w:marRight w:val="0"/>
      <w:marTop w:val="0"/>
      <w:marBottom w:val="0"/>
      <w:divBdr>
        <w:top w:val="none" w:sz="0" w:space="0" w:color="auto"/>
        <w:left w:val="none" w:sz="0" w:space="0" w:color="auto"/>
        <w:bottom w:val="none" w:sz="0" w:space="0" w:color="auto"/>
        <w:right w:val="none" w:sz="0" w:space="0" w:color="auto"/>
      </w:divBdr>
    </w:div>
    <w:div w:id="875309618">
      <w:bodyDiv w:val="1"/>
      <w:marLeft w:val="0"/>
      <w:marRight w:val="0"/>
      <w:marTop w:val="0"/>
      <w:marBottom w:val="0"/>
      <w:divBdr>
        <w:top w:val="none" w:sz="0" w:space="0" w:color="auto"/>
        <w:left w:val="none" w:sz="0" w:space="0" w:color="auto"/>
        <w:bottom w:val="none" w:sz="0" w:space="0" w:color="auto"/>
        <w:right w:val="none" w:sz="0" w:space="0" w:color="auto"/>
      </w:divBdr>
    </w:div>
    <w:div w:id="892958597">
      <w:bodyDiv w:val="1"/>
      <w:marLeft w:val="0"/>
      <w:marRight w:val="0"/>
      <w:marTop w:val="0"/>
      <w:marBottom w:val="0"/>
      <w:divBdr>
        <w:top w:val="none" w:sz="0" w:space="0" w:color="auto"/>
        <w:left w:val="none" w:sz="0" w:space="0" w:color="auto"/>
        <w:bottom w:val="none" w:sz="0" w:space="0" w:color="auto"/>
        <w:right w:val="none" w:sz="0" w:space="0" w:color="auto"/>
      </w:divBdr>
    </w:div>
    <w:div w:id="904680177">
      <w:bodyDiv w:val="1"/>
      <w:marLeft w:val="0"/>
      <w:marRight w:val="0"/>
      <w:marTop w:val="0"/>
      <w:marBottom w:val="0"/>
      <w:divBdr>
        <w:top w:val="none" w:sz="0" w:space="0" w:color="auto"/>
        <w:left w:val="none" w:sz="0" w:space="0" w:color="auto"/>
        <w:bottom w:val="none" w:sz="0" w:space="0" w:color="auto"/>
        <w:right w:val="none" w:sz="0" w:space="0" w:color="auto"/>
      </w:divBdr>
    </w:div>
    <w:div w:id="923760218">
      <w:bodyDiv w:val="1"/>
      <w:marLeft w:val="0"/>
      <w:marRight w:val="0"/>
      <w:marTop w:val="0"/>
      <w:marBottom w:val="0"/>
      <w:divBdr>
        <w:top w:val="none" w:sz="0" w:space="0" w:color="auto"/>
        <w:left w:val="none" w:sz="0" w:space="0" w:color="auto"/>
        <w:bottom w:val="none" w:sz="0" w:space="0" w:color="auto"/>
        <w:right w:val="none" w:sz="0" w:space="0" w:color="auto"/>
      </w:divBdr>
    </w:div>
    <w:div w:id="928125596">
      <w:bodyDiv w:val="1"/>
      <w:marLeft w:val="0"/>
      <w:marRight w:val="0"/>
      <w:marTop w:val="0"/>
      <w:marBottom w:val="0"/>
      <w:divBdr>
        <w:top w:val="none" w:sz="0" w:space="0" w:color="auto"/>
        <w:left w:val="none" w:sz="0" w:space="0" w:color="auto"/>
        <w:bottom w:val="none" w:sz="0" w:space="0" w:color="auto"/>
        <w:right w:val="none" w:sz="0" w:space="0" w:color="auto"/>
      </w:divBdr>
    </w:div>
    <w:div w:id="929393450">
      <w:bodyDiv w:val="1"/>
      <w:marLeft w:val="0"/>
      <w:marRight w:val="0"/>
      <w:marTop w:val="0"/>
      <w:marBottom w:val="0"/>
      <w:divBdr>
        <w:top w:val="none" w:sz="0" w:space="0" w:color="auto"/>
        <w:left w:val="none" w:sz="0" w:space="0" w:color="auto"/>
        <w:bottom w:val="none" w:sz="0" w:space="0" w:color="auto"/>
        <w:right w:val="none" w:sz="0" w:space="0" w:color="auto"/>
      </w:divBdr>
    </w:div>
    <w:div w:id="938829103">
      <w:bodyDiv w:val="1"/>
      <w:marLeft w:val="0"/>
      <w:marRight w:val="0"/>
      <w:marTop w:val="0"/>
      <w:marBottom w:val="0"/>
      <w:divBdr>
        <w:top w:val="none" w:sz="0" w:space="0" w:color="auto"/>
        <w:left w:val="none" w:sz="0" w:space="0" w:color="auto"/>
        <w:bottom w:val="none" w:sz="0" w:space="0" w:color="auto"/>
        <w:right w:val="none" w:sz="0" w:space="0" w:color="auto"/>
      </w:divBdr>
    </w:div>
    <w:div w:id="940602929">
      <w:bodyDiv w:val="1"/>
      <w:marLeft w:val="0"/>
      <w:marRight w:val="0"/>
      <w:marTop w:val="0"/>
      <w:marBottom w:val="0"/>
      <w:divBdr>
        <w:top w:val="none" w:sz="0" w:space="0" w:color="auto"/>
        <w:left w:val="none" w:sz="0" w:space="0" w:color="auto"/>
        <w:bottom w:val="none" w:sz="0" w:space="0" w:color="auto"/>
        <w:right w:val="none" w:sz="0" w:space="0" w:color="auto"/>
      </w:divBdr>
    </w:div>
    <w:div w:id="951013779">
      <w:bodyDiv w:val="1"/>
      <w:marLeft w:val="0"/>
      <w:marRight w:val="0"/>
      <w:marTop w:val="0"/>
      <w:marBottom w:val="0"/>
      <w:divBdr>
        <w:top w:val="none" w:sz="0" w:space="0" w:color="auto"/>
        <w:left w:val="none" w:sz="0" w:space="0" w:color="auto"/>
        <w:bottom w:val="none" w:sz="0" w:space="0" w:color="auto"/>
        <w:right w:val="none" w:sz="0" w:space="0" w:color="auto"/>
      </w:divBdr>
    </w:div>
    <w:div w:id="979260747">
      <w:bodyDiv w:val="1"/>
      <w:marLeft w:val="0"/>
      <w:marRight w:val="0"/>
      <w:marTop w:val="0"/>
      <w:marBottom w:val="0"/>
      <w:divBdr>
        <w:top w:val="none" w:sz="0" w:space="0" w:color="auto"/>
        <w:left w:val="none" w:sz="0" w:space="0" w:color="auto"/>
        <w:bottom w:val="none" w:sz="0" w:space="0" w:color="auto"/>
        <w:right w:val="none" w:sz="0" w:space="0" w:color="auto"/>
      </w:divBdr>
    </w:div>
    <w:div w:id="1044599404">
      <w:bodyDiv w:val="1"/>
      <w:marLeft w:val="0"/>
      <w:marRight w:val="0"/>
      <w:marTop w:val="0"/>
      <w:marBottom w:val="0"/>
      <w:divBdr>
        <w:top w:val="none" w:sz="0" w:space="0" w:color="auto"/>
        <w:left w:val="none" w:sz="0" w:space="0" w:color="auto"/>
        <w:bottom w:val="none" w:sz="0" w:space="0" w:color="auto"/>
        <w:right w:val="none" w:sz="0" w:space="0" w:color="auto"/>
      </w:divBdr>
    </w:div>
    <w:div w:id="1096561795">
      <w:bodyDiv w:val="1"/>
      <w:marLeft w:val="0"/>
      <w:marRight w:val="0"/>
      <w:marTop w:val="0"/>
      <w:marBottom w:val="0"/>
      <w:divBdr>
        <w:top w:val="none" w:sz="0" w:space="0" w:color="auto"/>
        <w:left w:val="none" w:sz="0" w:space="0" w:color="auto"/>
        <w:bottom w:val="none" w:sz="0" w:space="0" w:color="auto"/>
        <w:right w:val="none" w:sz="0" w:space="0" w:color="auto"/>
      </w:divBdr>
    </w:div>
    <w:div w:id="1106117314">
      <w:bodyDiv w:val="1"/>
      <w:marLeft w:val="0"/>
      <w:marRight w:val="0"/>
      <w:marTop w:val="0"/>
      <w:marBottom w:val="0"/>
      <w:divBdr>
        <w:top w:val="none" w:sz="0" w:space="0" w:color="auto"/>
        <w:left w:val="none" w:sz="0" w:space="0" w:color="auto"/>
        <w:bottom w:val="none" w:sz="0" w:space="0" w:color="auto"/>
        <w:right w:val="none" w:sz="0" w:space="0" w:color="auto"/>
      </w:divBdr>
    </w:div>
    <w:div w:id="1204027598">
      <w:bodyDiv w:val="1"/>
      <w:marLeft w:val="0"/>
      <w:marRight w:val="0"/>
      <w:marTop w:val="0"/>
      <w:marBottom w:val="0"/>
      <w:divBdr>
        <w:top w:val="none" w:sz="0" w:space="0" w:color="auto"/>
        <w:left w:val="none" w:sz="0" w:space="0" w:color="auto"/>
        <w:bottom w:val="none" w:sz="0" w:space="0" w:color="auto"/>
        <w:right w:val="none" w:sz="0" w:space="0" w:color="auto"/>
      </w:divBdr>
    </w:div>
    <w:div w:id="1238327236">
      <w:bodyDiv w:val="1"/>
      <w:marLeft w:val="0"/>
      <w:marRight w:val="0"/>
      <w:marTop w:val="0"/>
      <w:marBottom w:val="0"/>
      <w:divBdr>
        <w:top w:val="none" w:sz="0" w:space="0" w:color="auto"/>
        <w:left w:val="none" w:sz="0" w:space="0" w:color="auto"/>
        <w:bottom w:val="none" w:sz="0" w:space="0" w:color="auto"/>
        <w:right w:val="none" w:sz="0" w:space="0" w:color="auto"/>
      </w:divBdr>
    </w:div>
    <w:div w:id="1238783448">
      <w:bodyDiv w:val="1"/>
      <w:marLeft w:val="0"/>
      <w:marRight w:val="0"/>
      <w:marTop w:val="0"/>
      <w:marBottom w:val="0"/>
      <w:divBdr>
        <w:top w:val="none" w:sz="0" w:space="0" w:color="auto"/>
        <w:left w:val="none" w:sz="0" w:space="0" w:color="auto"/>
        <w:bottom w:val="none" w:sz="0" w:space="0" w:color="auto"/>
        <w:right w:val="none" w:sz="0" w:space="0" w:color="auto"/>
      </w:divBdr>
    </w:div>
    <w:div w:id="1281303263">
      <w:bodyDiv w:val="1"/>
      <w:marLeft w:val="0"/>
      <w:marRight w:val="0"/>
      <w:marTop w:val="0"/>
      <w:marBottom w:val="0"/>
      <w:divBdr>
        <w:top w:val="none" w:sz="0" w:space="0" w:color="auto"/>
        <w:left w:val="none" w:sz="0" w:space="0" w:color="auto"/>
        <w:bottom w:val="none" w:sz="0" w:space="0" w:color="auto"/>
        <w:right w:val="none" w:sz="0" w:space="0" w:color="auto"/>
      </w:divBdr>
    </w:div>
    <w:div w:id="1304189070">
      <w:bodyDiv w:val="1"/>
      <w:marLeft w:val="0"/>
      <w:marRight w:val="0"/>
      <w:marTop w:val="0"/>
      <w:marBottom w:val="0"/>
      <w:divBdr>
        <w:top w:val="none" w:sz="0" w:space="0" w:color="auto"/>
        <w:left w:val="none" w:sz="0" w:space="0" w:color="auto"/>
        <w:bottom w:val="none" w:sz="0" w:space="0" w:color="auto"/>
        <w:right w:val="none" w:sz="0" w:space="0" w:color="auto"/>
      </w:divBdr>
    </w:div>
    <w:div w:id="1321276604">
      <w:bodyDiv w:val="1"/>
      <w:marLeft w:val="0"/>
      <w:marRight w:val="0"/>
      <w:marTop w:val="0"/>
      <w:marBottom w:val="0"/>
      <w:divBdr>
        <w:top w:val="none" w:sz="0" w:space="0" w:color="auto"/>
        <w:left w:val="none" w:sz="0" w:space="0" w:color="auto"/>
        <w:bottom w:val="none" w:sz="0" w:space="0" w:color="auto"/>
        <w:right w:val="none" w:sz="0" w:space="0" w:color="auto"/>
      </w:divBdr>
    </w:div>
    <w:div w:id="1326276520">
      <w:bodyDiv w:val="1"/>
      <w:marLeft w:val="0"/>
      <w:marRight w:val="0"/>
      <w:marTop w:val="0"/>
      <w:marBottom w:val="0"/>
      <w:divBdr>
        <w:top w:val="none" w:sz="0" w:space="0" w:color="auto"/>
        <w:left w:val="none" w:sz="0" w:space="0" w:color="auto"/>
        <w:bottom w:val="none" w:sz="0" w:space="0" w:color="auto"/>
        <w:right w:val="none" w:sz="0" w:space="0" w:color="auto"/>
      </w:divBdr>
    </w:div>
    <w:div w:id="1355688970">
      <w:bodyDiv w:val="1"/>
      <w:marLeft w:val="0"/>
      <w:marRight w:val="0"/>
      <w:marTop w:val="0"/>
      <w:marBottom w:val="0"/>
      <w:divBdr>
        <w:top w:val="none" w:sz="0" w:space="0" w:color="auto"/>
        <w:left w:val="none" w:sz="0" w:space="0" w:color="auto"/>
        <w:bottom w:val="none" w:sz="0" w:space="0" w:color="auto"/>
        <w:right w:val="none" w:sz="0" w:space="0" w:color="auto"/>
      </w:divBdr>
    </w:div>
    <w:div w:id="1358502748">
      <w:bodyDiv w:val="1"/>
      <w:marLeft w:val="0"/>
      <w:marRight w:val="0"/>
      <w:marTop w:val="0"/>
      <w:marBottom w:val="0"/>
      <w:divBdr>
        <w:top w:val="none" w:sz="0" w:space="0" w:color="auto"/>
        <w:left w:val="none" w:sz="0" w:space="0" w:color="auto"/>
        <w:bottom w:val="none" w:sz="0" w:space="0" w:color="auto"/>
        <w:right w:val="none" w:sz="0" w:space="0" w:color="auto"/>
      </w:divBdr>
    </w:div>
    <w:div w:id="1363433705">
      <w:bodyDiv w:val="1"/>
      <w:marLeft w:val="0"/>
      <w:marRight w:val="0"/>
      <w:marTop w:val="0"/>
      <w:marBottom w:val="0"/>
      <w:divBdr>
        <w:top w:val="none" w:sz="0" w:space="0" w:color="auto"/>
        <w:left w:val="none" w:sz="0" w:space="0" w:color="auto"/>
        <w:bottom w:val="none" w:sz="0" w:space="0" w:color="auto"/>
        <w:right w:val="none" w:sz="0" w:space="0" w:color="auto"/>
      </w:divBdr>
    </w:div>
    <w:div w:id="1367566331">
      <w:bodyDiv w:val="1"/>
      <w:marLeft w:val="0"/>
      <w:marRight w:val="0"/>
      <w:marTop w:val="0"/>
      <w:marBottom w:val="0"/>
      <w:divBdr>
        <w:top w:val="none" w:sz="0" w:space="0" w:color="auto"/>
        <w:left w:val="none" w:sz="0" w:space="0" w:color="auto"/>
        <w:bottom w:val="none" w:sz="0" w:space="0" w:color="auto"/>
        <w:right w:val="none" w:sz="0" w:space="0" w:color="auto"/>
      </w:divBdr>
    </w:div>
    <w:div w:id="1387414160">
      <w:bodyDiv w:val="1"/>
      <w:marLeft w:val="0"/>
      <w:marRight w:val="0"/>
      <w:marTop w:val="0"/>
      <w:marBottom w:val="0"/>
      <w:divBdr>
        <w:top w:val="none" w:sz="0" w:space="0" w:color="auto"/>
        <w:left w:val="none" w:sz="0" w:space="0" w:color="auto"/>
        <w:bottom w:val="none" w:sz="0" w:space="0" w:color="auto"/>
        <w:right w:val="none" w:sz="0" w:space="0" w:color="auto"/>
      </w:divBdr>
    </w:div>
    <w:div w:id="1426344453">
      <w:bodyDiv w:val="1"/>
      <w:marLeft w:val="0"/>
      <w:marRight w:val="0"/>
      <w:marTop w:val="0"/>
      <w:marBottom w:val="0"/>
      <w:divBdr>
        <w:top w:val="none" w:sz="0" w:space="0" w:color="auto"/>
        <w:left w:val="none" w:sz="0" w:space="0" w:color="auto"/>
        <w:bottom w:val="none" w:sz="0" w:space="0" w:color="auto"/>
        <w:right w:val="none" w:sz="0" w:space="0" w:color="auto"/>
      </w:divBdr>
    </w:div>
    <w:div w:id="1428502034">
      <w:bodyDiv w:val="1"/>
      <w:marLeft w:val="0"/>
      <w:marRight w:val="0"/>
      <w:marTop w:val="0"/>
      <w:marBottom w:val="0"/>
      <w:divBdr>
        <w:top w:val="none" w:sz="0" w:space="0" w:color="auto"/>
        <w:left w:val="none" w:sz="0" w:space="0" w:color="auto"/>
        <w:bottom w:val="none" w:sz="0" w:space="0" w:color="auto"/>
        <w:right w:val="none" w:sz="0" w:space="0" w:color="auto"/>
      </w:divBdr>
    </w:div>
    <w:div w:id="1429236142">
      <w:bodyDiv w:val="1"/>
      <w:marLeft w:val="0"/>
      <w:marRight w:val="0"/>
      <w:marTop w:val="0"/>
      <w:marBottom w:val="0"/>
      <w:divBdr>
        <w:top w:val="none" w:sz="0" w:space="0" w:color="auto"/>
        <w:left w:val="none" w:sz="0" w:space="0" w:color="auto"/>
        <w:bottom w:val="none" w:sz="0" w:space="0" w:color="auto"/>
        <w:right w:val="none" w:sz="0" w:space="0" w:color="auto"/>
      </w:divBdr>
    </w:div>
    <w:div w:id="1449809395">
      <w:bodyDiv w:val="1"/>
      <w:marLeft w:val="0"/>
      <w:marRight w:val="0"/>
      <w:marTop w:val="0"/>
      <w:marBottom w:val="0"/>
      <w:divBdr>
        <w:top w:val="none" w:sz="0" w:space="0" w:color="auto"/>
        <w:left w:val="none" w:sz="0" w:space="0" w:color="auto"/>
        <w:bottom w:val="none" w:sz="0" w:space="0" w:color="auto"/>
        <w:right w:val="none" w:sz="0" w:space="0" w:color="auto"/>
      </w:divBdr>
    </w:div>
    <w:div w:id="1451822295">
      <w:bodyDiv w:val="1"/>
      <w:marLeft w:val="0"/>
      <w:marRight w:val="0"/>
      <w:marTop w:val="0"/>
      <w:marBottom w:val="0"/>
      <w:divBdr>
        <w:top w:val="none" w:sz="0" w:space="0" w:color="auto"/>
        <w:left w:val="none" w:sz="0" w:space="0" w:color="auto"/>
        <w:bottom w:val="none" w:sz="0" w:space="0" w:color="auto"/>
        <w:right w:val="none" w:sz="0" w:space="0" w:color="auto"/>
      </w:divBdr>
    </w:div>
    <w:div w:id="1488207396">
      <w:bodyDiv w:val="1"/>
      <w:marLeft w:val="0"/>
      <w:marRight w:val="0"/>
      <w:marTop w:val="0"/>
      <w:marBottom w:val="0"/>
      <w:divBdr>
        <w:top w:val="none" w:sz="0" w:space="0" w:color="auto"/>
        <w:left w:val="none" w:sz="0" w:space="0" w:color="auto"/>
        <w:bottom w:val="none" w:sz="0" w:space="0" w:color="auto"/>
        <w:right w:val="none" w:sz="0" w:space="0" w:color="auto"/>
      </w:divBdr>
    </w:div>
    <w:div w:id="1511985749">
      <w:bodyDiv w:val="1"/>
      <w:marLeft w:val="0"/>
      <w:marRight w:val="0"/>
      <w:marTop w:val="0"/>
      <w:marBottom w:val="0"/>
      <w:divBdr>
        <w:top w:val="none" w:sz="0" w:space="0" w:color="auto"/>
        <w:left w:val="none" w:sz="0" w:space="0" w:color="auto"/>
        <w:bottom w:val="none" w:sz="0" w:space="0" w:color="auto"/>
        <w:right w:val="none" w:sz="0" w:space="0" w:color="auto"/>
      </w:divBdr>
    </w:div>
    <w:div w:id="1518353019">
      <w:bodyDiv w:val="1"/>
      <w:marLeft w:val="0"/>
      <w:marRight w:val="0"/>
      <w:marTop w:val="0"/>
      <w:marBottom w:val="0"/>
      <w:divBdr>
        <w:top w:val="none" w:sz="0" w:space="0" w:color="auto"/>
        <w:left w:val="none" w:sz="0" w:space="0" w:color="auto"/>
        <w:bottom w:val="none" w:sz="0" w:space="0" w:color="auto"/>
        <w:right w:val="none" w:sz="0" w:space="0" w:color="auto"/>
      </w:divBdr>
    </w:div>
    <w:div w:id="1548179906">
      <w:bodyDiv w:val="1"/>
      <w:marLeft w:val="0"/>
      <w:marRight w:val="0"/>
      <w:marTop w:val="0"/>
      <w:marBottom w:val="0"/>
      <w:divBdr>
        <w:top w:val="none" w:sz="0" w:space="0" w:color="auto"/>
        <w:left w:val="none" w:sz="0" w:space="0" w:color="auto"/>
        <w:bottom w:val="none" w:sz="0" w:space="0" w:color="auto"/>
        <w:right w:val="none" w:sz="0" w:space="0" w:color="auto"/>
      </w:divBdr>
    </w:div>
    <w:div w:id="1566990396">
      <w:bodyDiv w:val="1"/>
      <w:marLeft w:val="0"/>
      <w:marRight w:val="0"/>
      <w:marTop w:val="0"/>
      <w:marBottom w:val="0"/>
      <w:divBdr>
        <w:top w:val="none" w:sz="0" w:space="0" w:color="auto"/>
        <w:left w:val="none" w:sz="0" w:space="0" w:color="auto"/>
        <w:bottom w:val="none" w:sz="0" w:space="0" w:color="auto"/>
        <w:right w:val="none" w:sz="0" w:space="0" w:color="auto"/>
      </w:divBdr>
    </w:div>
    <w:div w:id="1567447446">
      <w:bodyDiv w:val="1"/>
      <w:marLeft w:val="0"/>
      <w:marRight w:val="0"/>
      <w:marTop w:val="0"/>
      <w:marBottom w:val="0"/>
      <w:divBdr>
        <w:top w:val="none" w:sz="0" w:space="0" w:color="auto"/>
        <w:left w:val="none" w:sz="0" w:space="0" w:color="auto"/>
        <w:bottom w:val="none" w:sz="0" w:space="0" w:color="auto"/>
        <w:right w:val="none" w:sz="0" w:space="0" w:color="auto"/>
      </w:divBdr>
    </w:div>
    <w:div w:id="1570383087">
      <w:bodyDiv w:val="1"/>
      <w:marLeft w:val="0"/>
      <w:marRight w:val="0"/>
      <w:marTop w:val="0"/>
      <w:marBottom w:val="0"/>
      <w:divBdr>
        <w:top w:val="none" w:sz="0" w:space="0" w:color="auto"/>
        <w:left w:val="none" w:sz="0" w:space="0" w:color="auto"/>
        <w:bottom w:val="none" w:sz="0" w:space="0" w:color="auto"/>
        <w:right w:val="none" w:sz="0" w:space="0" w:color="auto"/>
      </w:divBdr>
    </w:div>
    <w:div w:id="1596471598">
      <w:bodyDiv w:val="1"/>
      <w:marLeft w:val="0"/>
      <w:marRight w:val="0"/>
      <w:marTop w:val="0"/>
      <w:marBottom w:val="0"/>
      <w:divBdr>
        <w:top w:val="none" w:sz="0" w:space="0" w:color="auto"/>
        <w:left w:val="none" w:sz="0" w:space="0" w:color="auto"/>
        <w:bottom w:val="none" w:sz="0" w:space="0" w:color="auto"/>
        <w:right w:val="none" w:sz="0" w:space="0" w:color="auto"/>
      </w:divBdr>
    </w:div>
    <w:div w:id="1615018306">
      <w:bodyDiv w:val="1"/>
      <w:marLeft w:val="0"/>
      <w:marRight w:val="0"/>
      <w:marTop w:val="0"/>
      <w:marBottom w:val="0"/>
      <w:divBdr>
        <w:top w:val="none" w:sz="0" w:space="0" w:color="auto"/>
        <w:left w:val="none" w:sz="0" w:space="0" w:color="auto"/>
        <w:bottom w:val="none" w:sz="0" w:space="0" w:color="auto"/>
        <w:right w:val="none" w:sz="0" w:space="0" w:color="auto"/>
      </w:divBdr>
    </w:div>
    <w:div w:id="1617517541">
      <w:bodyDiv w:val="1"/>
      <w:marLeft w:val="0"/>
      <w:marRight w:val="0"/>
      <w:marTop w:val="0"/>
      <w:marBottom w:val="0"/>
      <w:divBdr>
        <w:top w:val="none" w:sz="0" w:space="0" w:color="auto"/>
        <w:left w:val="none" w:sz="0" w:space="0" w:color="auto"/>
        <w:bottom w:val="none" w:sz="0" w:space="0" w:color="auto"/>
        <w:right w:val="none" w:sz="0" w:space="0" w:color="auto"/>
      </w:divBdr>
    </w:div>
    <w:div w:id="1634289400">
      <w:bodyDiv w:val="1"/>
      <w:marLeft w:val="0"/>
      <w:marRight w:val="0"/>
      <w:marTop w:val="0"/>
      <w:marBottom w:val="0"/>
      <w:divBdr>
        <w:top w:val="none" w:sz="0" w:space="0" w:color="auto"/>
        <w:left w:val="none" w:sz="0" w:space="0" w:color="auto"/>
        <w:bottom w:val="none" w:sz="0" w:space="0" w:color="auto"/>
        <w:right w:val="none" w:sz="0" w:space="0" w:color="auto"/>
      </w:divBdr>
    </w:div>
    <w:div w:id="1634553880">
      <w:bodyDiv w:val="1"/>
      <w:marLeft w:val="0"/>
      <w:marRight w:val="0"/>
      <w:marTop w:val="0"/>
      <w:marBottom w:val="0"/>
      <w:divBdr>
        <w:top w:val="none" w:sz="0" w:space="0" w:color="auto"/>
        <w:left w:val="none" w:sz="0" w:space="0" w:color="auto"/>
        <w:bottom w:val="none" w:sz="0" w:space="0" w:color="auto"/>
        <w:right w:val="none" w:sz="0" w:space="0" w:color="auto"/>
      </w:divBdr>
    </w:div>
    <w:div w:id="1636914350">
      <w:bodyDiv w:val="1"/>
      <w:marLeft w:val="0"/>
      <w:marRight w:val="0"/>
      <w:marTop w:val="0"/>
      <w:marBottom w:val="0"/>
      <w:divBdr>
        <w:top w:val="none" w:sz="0" w:space="0" w:color="auto"/>
        <w:left w:val="none" w:sz="0" w:space="0" w:color="auto"/>
        <w:bottom w:val="none" w:sz="0" w:space="0" w:color="auto"/>
        <w:right w:val="none" w:sz="0" w:space="0" w:color="auto"/>
      </w:divBdr>
    </w:div>
    <w:div w:id="1654144663">
      <w:bodyDiv w:val="1"/>
      <w:marLeft w:val="0"/>
      <w:marRight w:val="0"/>
      <w:marTop w:val="0"/>
      <w:marBottom w:val="0"/>
      <w:divBdr>
        <w:top w:val="none" w:sz="0" w:space="0" w:color="auto"/>
        <w:left w:val="none" w:sz="0" w:space="0" w:color="auto"/>
        <w:bottom w:val="none" w:sz="0" w:space="0" w:color="auto"/>
        <w:right w:val="none" w:sz="0" w:space="0" w:color="auto"/>
      </w:divBdr>
    </w:div>
    <w:div w:id="1654212676">
      <w:bodyDiv w:val="1"/>
      <w:marLeft w:val="0"/>
      <w:marRight w:val="0"/>
      <w:marTop w:val="0"/>
      <w:marBottom w:val="0"/>
      <w:divBdr>
        <w:top w:val="none" w:sz="0" w:space="0" w:color="auto"/>
        <w:left w:val="none" w:sz="0" w:space="0" w:color="auto"/>
        <w:bottom w:val="none" w:sz="0" w:space="0" w:color="auto"/>
        <w:right w:val="none" w:sz="0" w:space="0" w:color="auto"/>
      </w:divBdr>
    </w:div>
    <w:div w:id="1682584263">
      <w:bodyDiv w:val="1"/>
      <w:marLeft w:val="0"/>
      <w:marRight w:val="0"/>
      <w:marTop w:val="0"/>
      <w:marBottom w:val="0"/>
      <w:divBdr>
        <w:top w:val="none" w:sz="0" w:space="0" w:color="auto"/>
        <w:left w:val="none" w:sz="0" w:space="0" w:color="auto"/>
        <w:bottom w:val="none" w:sz="0" w:space="0" w:color="auto"/>
        <w:right w:val="none" w:sz="0" w:space="0" w:color="auto"/>
      </w:divBdr>
    </w:div>
    <w:div w:id="1688218041">
      <w:bodyDiv w:val="1"/>
      <w:marLeft w:val="0"/>
      <w:marRight w:val="0"/>
      <w:marTop w:val="0"/>
      <w:marBottom w:val="0"/>
      <w:divBdr>
        <w:top w:val="none" w:sz="0" w:space="0" w:color="auto"/>
        <w:left w:val="none" w:sz="0" w:space="0" w:color="auto"/>
        <w:bottom w:val="none" w:sz="0" w:space="0" w:color="auto"/>
        <w:right w:val="none" w:sz="0" w:space="0" w:color="auto"/>
      </w:divBdr>
    </w:div>
    <w:div w:id="1690334416">
      <w:bodyDiv w:val="1"/>
      <w:marLeft w:val="0"/>
      <w:marRight w:val="0"/>
      <w:marTop w:val="0"/>
      <w:marBottom w:val="0"/>
      <w:divBdr>
        <w:top w:val="none" w:sz="0" w:space="0" w:color="auto"/>
        <w:left w:val="none" w:sz="0" w:space="0" w:color="auto"/>
        <w:bottom w:val="none" w:sz="0" w:space="0" w:color="auto"/>
        <w:right w:val="none" w:sz="0" w:space="0" w:color="auto"/>
      </w:divBdr>
    </w:div>
    <w:div w:id="1701852794">
      <w:bodyDiv w:val="1"/>
      <w:marLeft w:val="0"/>
      <w:marRight w:val="0"/>
      <w:marTop w:val="0"/>
      <w:marBottom w:val="0"/>
      <w:divBdr>
        <w:top w:val="none" w:sz="0" w:space="0" w:color="auto"/>
        <w:left w:val="none" w:sz="0" w:space="0" w:color="auto"/>
        <w:bottom w:val="none" w:sz="0" w:space="0" w:color="auto"/>
        <w:right w:val="none" w:sz="0" w:space="0" w:color="auto"/>
      </w:divBdr>
    </w:div>
    <w:div w:id="1864586245">
      <w:bodyDiv w:val="1"/>
      <w:marLeft w:val="0"/>
      <w:marRight w:val="0"/>
      <w:marTop w:val="0"/>
      <w:marBottom w:val="0"/>
      <w:divBdr>
        <w:top w:val="none" w:sz="0" w:space="0" w:color="auto"/>
        <w:left w:val="none" w:sz="0" w:space="0" w:color="auto"/>
        <w:bottom w:val="none" w:sz="0" w:space="0" w:color="auto"/>
        <w:right w:val="none" w:sz="0" w:space="0" w:color="auto"/>
      </w:divBdr>
    </w:div>
    <w:div w:id="1876235454">
      <w:bodyDiv w:val="1"/>
      <w:marLeft w:val="0"/>
      <w:marRight w:val="0"/>
      <w:marTop w:val="0"/>
      <w:marBottom w:val="0"/>
      <w:divBdr>
        <w:top w:val="none" w:sz="0" w:space="0" w:color="auto"/>
        <w:left w:val="none" w:sz="0" w:space="0" w:color="auto"/>
        <w:bottom w:val="none" w:sz="0" w:space="0" w:color="auto"/>
        <w:right w:val="none" w:sz="0" w:space="0" w:color="auto"/>
      </w:divBdr>
    </w:div>
    <w:div w:id="1910532369">
      <w:bodyDiv w:val="1"/>
      <w:marLeft w:val="0"/>
      <w:marRight w:val="0"/>
      <w:marTop w:val="0"/>
      <w:marBottom w:val="0"/>
      <w:divBdr>
        <w:top w:val="none" w:sz="0" w:space="0" w:color="auto"/>
        <w:left w:val="none" w:sz="0" w:space="0" w:color="auto"/>
        <w:bottom w:val="none" w:sz="0" w:space="0" w:color="auto"/>
        <w:right w:val="none" w:sz="0" w:space="0" w:color="auto"/>
      </w:divBdr>
    </w:div>
    <w:div w:id="1926449412">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71129394">
      <w:bodyDiv w:val="1"/>
      <w:marLeft w:val="0"/>
      <w:marRight w:val="0"/>
      <w:marTop w:val="0"/>
      <w:marBottom w:val="0"/>
      <w:divBdr>
        <w:top w:val="none" w:sz="0" w:space="0" w:color="auto"/>
        <w:left w:val="none" w:sz="0" w:space="0" w:color="auto"/>
        <w:bottom w:val="none" w:sz="0" w:space="0" w:color="auto"/>
        <w:right w:val="none" w:sz="0" w:space="0" w:color="auto"/>
      </w:divBdr>
    </w:div>
    <w:div w:id="1988244015">
      <w:bodyDiv w:val="1"/>
      <w:marLeft w:val="0"/>
      <w:marRight w:val="0"/>
      <w:marTop w:val="0"/>
      <w:marBottom w:val="0"/>
      <w:divBdr>
        <w:top w:val="none" w:sz="0" w:space="0" w:color="auto"/>
        <w:left w:val="none" w:sz="0" w:space="0" w:color="auto"/>
        <w:bottom w:val="none" w:sz="0" w:space="0" w:color="auto"/>
        <w:right w:val="none" w:sz="0" w:space="0" w:color="auto"/>
      </w:divBdr>
    </w:div>
    <w:div w:id="1994404403">
      <w:bodyDiv w:val="1"/>
      <w:marLeft w:val="0"/>
      <w:marRight w:val="0"/>
      <w:marTop w:val="0"/>
      <w:marBottom w:val="0"/>
      <w:divBdr>
        <w:top w:val="none" w:sz="0" w:space="0" w:color="auto"/>
        <w:left w:val="none" w:sz="0" w:space="0" w:color="auto"/>
        <w:bottom w:val="none" w:sz="0" w:space="0" w:color="auto"/>
        <w:right w:val="none" w:sz="0" w:space="0" w:color="auto"/>
      </w:divBdr>
    </w:div>
    <w:div w:id="1996251781">
      <w:bodyDiv w:val="1"/>
      <w:marLeft w:val="0"/>
      <w:marRight w:val="0"/>
      <w:marTop w:val="0"/>
      <w:marBottom w:val="0"/>
      <w:divBdr>
        <w:top w:val="none" w:sz="0" w:space="0" w:color="auto"/>
        <w:left w:val="none" w:sz="0" w:space="0" w:color="auto"/>
        <w:bottom w:val="none" w:sz="0" w:space="0" w:color="auto"/>
        <w:right w:val="none" w:sz="0" w:space="0" w:color="auto"/>
      </w:divBdr>
    </w:div>
    <w:div w:id="2008051171">
      <w:bodyDiv w:val="1"/>
      <w:marLeft w:val="0"/>
      <w:marRight w:val="0"/>
      <w:marTop w:val="0"/>
      <w:marBottom w:val="0"/>
      <w:divBdr>
        <w:top w:val="none" w:sz="0" w:space="0" w:color="auto"/>
        <w:left w:val="none" w:sz="0" w:space="0" w:color="auto"/>
        <w:bottom w:val="none" w:sz="0" w:space="0" w:color="auto"/>
        <w:right w:val="none" w:sz="0" w:space="0" w:color="auto"/>
      </w:divBdr>
    </w:div>
    <w:div w:id="2037801908">
      <w:bodyDiv w:val="1"/>
      <w:marLeft w:val="0"/>
      <w:marRight w:val="0"/>
      <w:marTop w:val="0"/>
      <w:marBottom w:val="0"/>
      <w:divBdr>
        <w:top w:val="none" w:sz="0" w:space="0" w:color="auto"/>
        <w:left w:val="none" w:sz="0" w:space="0" w:color="auto"/>
        <w:bottom w:val="none" w:sz="0" w:space="0" w:color="auto"/>
        <w:right w:val="none" w:sz="0" w:space="0" w:color="auto"/>
      </w:divBdr>
    </w:div>
    <w:div w:id="2049447795">
      <w:bodyDiv w:val="1"/>
      <w:marLeft w:val="0"/>
      <w:marRight w:val="0"/>
      <w:marTop w:val="0"/>
      <w:marBottom w:val="0"/>
      <w:divBdr>
        <w:top w:val="none" w:sz="0" w:space="0" w:color="auto"/>
        <w:left w:val="none" w:sz="0" w:space="0" w:color="auto"/>
        <w:bottom w:val="none" w:sz="0" w:space="0" w:color="auto"/>
        <w:right w:val="none" w:sz="0" w:space="0" w:color="auto"/>
      </w:divBdr>
    </w:div>
    <w:div w:id="2059476152">
      <w:bodyDiv w:val="1"/>
      <w:marLeft w:val="0"/>
      <w:marRight w:val="0"/>
      <w:marTop w:val="0"/>
      <w:marBottom w:val="0"/>
      <w:divBdr>
        <w:top w:val="none" w:sz="0" w:space="0" w:color="auto"/>
        <w:left w:val="none" w:sz="0" w:space="0" w:color="auto"/>
        <w:bottom w:val="none" w:sz="0" w:space="0" w:color="auto"/>
        <w:right w:val="none" w:sz="0" w:space="0" w:color="auto"/>
      </w:divBdr>
    </w:div>
    <w:div w:id="2078432278">
      <w:bodyDiv w:val="1"/>
      <w:marLeft w:val="0"/>
      <w:marRight w:val="0"/>
      <w:marTop w:val="0"/>
      <w:marBottom w:val="0"/>
      <w:divBdr>
        <w:top w:val="none" w:sz="0" w:space="0" w:color="auto"/>
        <w:left w:val="none" w:sz="0" w:space="0" w:color="auto"/>
        <w:bottom w:val="none" w:sz="0" w:space="0" w:color="auto"/>
        <w:right w:val="none" w:sz="0" w:space="0" w:color="auto"/>
      </w:divBdr>
    </w:div>
    <w:div w:id="2082673936">
      <w:bodyDiv w:val="1"/>
      <w:marLeft w:val="0"/>
      <w:marRight w:val="0"/>
      <w:marTop w:val="0"/>
      <w:marBottom w:val="0"/>
      <w:divBdr>
        <w:top w:val="none" w:sz="0" w:space="0" w:color="auto"/>
        <w:left w:val="none" w:sz="0" w:space="0" w:color="auto"/>
        <w:bottom w:val="none" w:sz="0" w:space="0" w:color="auto"/>
        <w:right w:val="none" w:sz="0" w:space="0" w:color="auto"/>
      </w:divBdr>
    </w:div>
    <w:div w:id="2085251679">
      <w:bodyDiv w:val="1"/>
      <w:marLeft w:val="0"/>
      <w:marRight w:val="0"/>
      <w:marTop w:val="0"/>
      <w:marBottom w:val="0"/>
      <w:divBdr>
        <w:top w:val="none" w:sz="0" w:space="0" w:color="auto"/>
        <w:left w:val="none" w:sz="0" w:space="0" w:color="auto"/>
        <w:bottom w:val="none" w:sz="0" w:space="0" w:color="auto"/>
        <w:right w:val="none" w:sz="0" w:space="0" w:color="auto"/>
      </w:divBdr>
    </w:div>
    <w:div w:id="2106415296">
      <w:bodyDiv w:val="1"/>
      <w:marLeft w:val="0"/>
      <w:marRight w:val="0"/>
      <w:marTop w:val="0"/>
      <w:marBottom w:val="0"/>
      <w:divBdr>
        <w:top w:val="none" w:sz="0" w:space="0" w:color="auto"/>
        <w:left w:val="none" w:sz="0" w:space="0" w:color="auto"/>
        <w:bottom w:val="none" w:sz="0" w:space="0" w:color="auto"/>
        <w:right w:val="none" w:sz="0" w:space="0" w:color="auto"/>
      </w:divBdr>
    </w:div>
    <w:div w:id="21347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footer" Target="footer1.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hyperlink" Target="https://www.instagram.com/inegi_informa/" TargetMode="External"/><Relationship Id="rId47" Type="http://schemas.openxmlformats.org/officeDocument/2006/relationships/image" Target="media/image7.jpeg"/><Relationship Id="rId50" Type="http://schemas.openxmlformats.org/officeDocument/2006/relationships/hyperlink" Target="https://www.inegi.org.mx/programas/cnijf/20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chart" Target="charts/chart20.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hyperlink" Target="mailto:comunicacionsocial@inegi.org.mx" TargetMode="External"/><Relationship Id="rId40" Type="http://schemas.openxmlformats.org/officeDocument/2006/relationships/hyperlink" Target="https://www.facebook.com/INEGIInforma/" TargetMode="External"/><Relationship Id="rId45" Type="http://schemas.openxmlformats.org/officeDocument/2006/relationships/image" Target="media/image6.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yperlink" Target="https://twitter.com/INEGI_INFORMA"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image" Target="media/image5.jpeg"/><Relationship Id="rId48" Type="http://schemas.openxmlformats.org/officeDocument/2006/relationships/hyperlink" Target="http://www.inegi.org.mx/" TargetMode="Externa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header" Target="header1.xml"/><Relationship Id="rId46" Type="http://schemas.openxmlformats.org/officeDocument/2006/relationships/hyperlink" Target="https://www.youtube.com/user/INEGIInforma" TargetMode="External"/><Relationship Id="rId20" Type="http://schemas.openxmlformats.org/officeDocument/2006/relationships/chart" Target="charts/chart11.xml"/><Relationship Id="rId41" Type="http://schemas.openxmlformats.org/officeDocument/2006/relationships/image" Target="media/image4.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s://www.inegi.org.mx/programas/cnijf/2022/" TargetMode="External"/><Relationship Id="rId4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driana.callejas\Desktop\Censos_2022\IJF_2022\BD_CNIJF_20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450858034321372E-2"/>
          <c:y val="5.8185665167944989E-2"/>
          <c:w val="0.95709828393135721"/>
          <c:h val="0.50659555548151036"/>
        </c:manualLayout>
      </c:layout>
      <c:barChart>
        <c:barDir val="col"/>
        <c:grouping val="clustered"/>
        <c:varyColors val="0"/>
        <c:ser>
          <c:idx val="0"/>
          <c:order val="0"/>
          <c:tx>
            <c:strRef>
              <c:f>BOLETIN!$A$663</c:f>
              <c:strCache>
                <c:ptCount val="1"/>
                <c:pt idx="0">
                  <c:v>Suprema Corte de Justicia de la Nación</c:v>
                </c:pt>
              </c:strCache>
            </c:strRef>
          </c:tx>
          <c:spPr>
            <a:solidFill>
              <a:srgbClr val="58267A"/>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BOLETIN!$B$662:$M$662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BOLETIN!$B$663:$M$663</c:f>
              <c:numCache>
                <c:formatCode>#,##0</c:formatCode>
                <c:ptCount val="12"/>
                <c:pt idx="0">
                  <c:v>3677</c:v>
                </c:pt>
                <c:pt idx="1">
                  <c:v>3470</c:v>
                </c:pt>
                <c:pt idx="2">
                  <c:v>3296</c:v>
                </c:pt>
                <c:pt idx="3">
                  <c:v>3363</c:v>
                </c:pt>
                <c:pt idx="4">
                  <c:v>3286</c:v>
                </c:pt>
                <c:pt idx="5">
                  <c:v>3418</c:v>
                </c:pt>
                <c:pt idx="6">
                  <c:v>3509</c:v>
                </c:pt>
                <c:pt idx="7">
                  <c:v>3509</c:v>
                </c:pt>
                <c:pt idx="8">
                  <c:v>3401</c:v>
                </c:pt>
                <c:pt idx="9">
                  <c:v>3424</c:v>
                </c:pt>
                <c:pt idx="10">
                  <c:v>3621</c:v>
                </c:pt>
                <c:pt idx="11">
                  <c:v>3725</c:v>
                </c:pt>
              </c:numCache>
            </c:numRef>
          </c:val>
          <c:extLst>
            <c:ext xmlns:c16="http://schemas.microsoft.com/office/drawing/2014/chart" uri="{C3380CC4-5D6E-409C-BE32-E72D297353CC}">
              <c16:uniqueId val="{00000000-7D21-4438-AE98-6EF8621E3936}"/>
            </c:ext>
          </c:extLst>
        </c:ser>
        <c:ser>
          <c:idx val="1"/>
          <c:order val="1"/>
          <c:tx>
            <c:strRef>
              <c:f>BOLETIN!$A$664</c:f>
              <c:strCache>
                <c:ptCount val="1"/>
                <c:pt idx="0">
                  <c:v>Tribunal Electoral del Poder Judicial de la Federación</c:v>
                </c:pt>
              </c:strCache>
            </c:strRef>
          </c:tx>
          <c:spPr>
            <a:solidFill>
              <a:srgbClr val="CE941F"/>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BOLETIN!$B$662:$M$662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BOLETIN!$B$664:$M$664</c:f>
              <c:numCache>
                <c:formatCode>#,##0</c:formatCode>
                <c:ptCount val="12"/>
                <c:pt idx="0">
                  <c:v>1416</c:v>
                </c:pt>
                <c:pt idx="1">
                  <c:v>1425</c:v>
                </c:pt>
                <c:pt idx="2">
                  <c:v>1672</c:v>
                </c:pt>
                <c:pt idx="3">
                  <c:v>1417</c:v>
                </c:pt>
                <c:pt idx="4">
                  <c:v>1491</c:v>
                </c:pt>
                <c:pt idx="5">
                  <c:v>1630</c:v>
                </c:pt>
                <c:pt idx="6">
                  <c:v>1535</c:v>
                </c:pt>
                <c:pt idx="7">
                  <c:v>1573</c:v>
                </c:pt>
                <c:pt idx="8">
                  <c:v>1593</c:v>
                </c:pt>
                <c:pt idx="9">
                  <c:v>1443</c:v>
                </c:pt>
                <c:pt idx="10">
                  <c:v>1501</c:v>
                </c:pt>
                <c:pt idx="11">
                  <c:v>1830</c:v>
                </c:pt>
              </c:numCache>
            </c:numRef>
          </c:val>
          <c:extLst>
            <c:ext xmlns:c16="http://schemas.microsoft.com/office/drawing/2014/chart" uri="{C3380CC4-5D6E-409C-BE32-E72D297353CC}">
              <c16:uniqueId val="{00000001-7D21-4438-AE98-6EF8621E3936}"/>
            </c:ext>
          </c:extLst>
        </c:ser>
        <c:ser>
          <c:idx val="2"/>
          <c:order val="2"/>
          <c:tx>
            <c:strRef>
              <c:f>BOLETIN!$A$665</c:f>
              <c:strCache>
                <c:ptCount val="1"/>
                <c:pt idx="0">
                  <c:v>Consejo de la Judicatura Federal</c:v>
                </c:pt>
              </c:strCache>
            </c:strRef>
          </c:tx>
          <c:spPr>
            <a:solidFill>
              <a:srgbClr val="8C1B67"/>
            </a:solidFill>
            <a:ln>
              <a:noFill/>
            </a:ln>
            <a:effectLst>
              <a:outerShdw blurRad="50800" dist="38100" dir="2700000" algn="tl" rotWithShape="0">
                <a:prstClr val="black">
                  <a:alpha val="40000"/>
                </a:prstClr>
              </a:outerShdw>
            </a:effectLst>
          </c:spPr>
          <c:invertIfNegative val="0"/>
          <c:dLbls>
            <c:dLbl>
              <c:idx val="0"/>
              <c:layout>
                <c:manualLayout>
                  <c:x val="-8.9377542646006197E-18"/>
                  <c:y val="0.203650661096614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21-4438-AE98-6EF8621E3936}"/>
                </c:ext>
              </c:extLst>
            </c:dLbl>
            <c:dLbl>
              <c:idx val="1"/>
              <c:layout>
                <c:manualLayout>
                  <c:x val="0"/>
                  <c:y val="0.204077994614598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21-4438-AE98-6EF8621E3936}"/>
                </c:ext>
              </c:extLst>
            </c:dLbl>
            <c:dLbl>
              <c:idx val="2"/>
              <c:layout>
                <c:manualLayout>
                  <c:x val="0"/>
                  <c:y val="0.204815942430113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21-4438-AE98-6EF8621E3936}"/>
                </c:ext>
              </c:extLst>
            </c:dLbl>
            <c:dLbl>
              <c:idx val="3"/>
              <c:layout>
                <c:manualLayout>
                  <c:x val="-3.5751017058402479E-17"/>
                  <c:y val="0.204324148717062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21-4438-AE98-6EF8621E3936}"/>
                </c:ext>
              </c:extLst>
            </c:dLbl>
            <c:dLbl>
              <c:idx val="4"/>
              <c:layout>
                <c:manualLayout>
                  <c:x val="0"/>
                  <c:y val="0.204815942430113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21-4438-AE98-6EF8621E3936}"/>
                </c:ext>
              </c:extLst>
            </c:dLbl>
            <c:dLbl>
              <c:idx val="5"/>
              <c:layout>
                <c:manualLayout>
                  <c:x val="0"/>
                  <c:y val="0.204815942430113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21-4438-AE98-6EF8621E3936}"/>
                </c:ext>
              </c:extLst>
            </c:dLbl>
            <c:dLbl>
              <c:idx val="6"/>
              <c:layout>
                <c:manualLayout>
                  <c:x val="0"/>
                  <c:y val="0.193744810406864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21-4438-AE98-6EF8621E3936}"/>
                </c:ext>
              </c:extLst>
            </c:dLbl>
            <c:dLbl>
              <c:idx val="7"/>
              <c:layout>
                <c:manualLayout>
                  <c:x val="-7.2707204233784617E-17"/>
                  <c:y val="0.182673678383614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D21-4438-AE98-6EF8621E3936}"/>
                </c:ext>
              </c:extLst>
            </c:dLbl>
            <c:dLbl>
              <c:idx val="8"/>
              <c:layout>
                <c:manualLayout>
                  <c:x val="-1.4541440846756923E-16"/>
                  <c:y val="0.182673678383614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D21-4438-AE98-6EF8621E3936}"/>
                </c:ext>
              </c:extLst>
            </c:dLbl>
            <c:dLbl>
              <c:idx val="9"/>
              <c:layout>
                <c:manualLayout>
                  <c:x val="1.9500780031201249E-3"/>
                  <c:y val="0.192514999364830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D21-4438-AE98-6EF8621E3936}"/>
                </c:ext>
              </c:extLst>
            </c:dLbl>
            <c:dLbl>
              <c:idx val="10"/>
              <c:layout>
                <c:manualLayout>
                  <c:x val="0"/>
                  <c:y val="0.170864683966871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D21-4438-AE98-6EF8621E3936}"/>
                </c:ext>
              </c:extLst>
            </c:dLbl>
            <c:dLbl>
              <c:idx val="11"/>
              <c:layout>
                <c:manualLayout>
                  <c:x val="-1.4300406823360991E-16"/>
                  <c:y val="0.165328923940048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D21-4438-AE98-6EF8621E3936}"/>
                </c:ext>
              </c:extLst>
            </c:dLbl>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BOLETIN!$B$662:$M$662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BOLETIN!$B$665:$M$665</c:f>
              <c:numCache>
                <c:formatCode>#,##0</c:formatCode>
                <c:ptCount val="12"/>
                <c:pt idx="0">
                  <c:v>32388</c:v>
                </c:pt>
                <c:pt idx="1">
                  <c:v>33451</c:v>
                </c:pt>
                <c:pt idx="2">
                  <c:v>35150</c:v>
                </c:pt>
                <c:pt idx="3">
                  <c:v>36547</c:v>
                </c:pt>
                <c:pt idx="4">
                  <c:v>37674</c:v>
                </c:pt>
                <c:pt idx="5">
                  <c:v>39512</c:v>
                </c:pt>
                <c:pt idx="6">
                  <c:v>41414</c:v>
                </c:pt>
                <c:pt idx="7">
                  <c:v>43043</c:v>
                </c:pt>
                <c:pt idx="8">
                  <c:v>43781</c:v>
                </c:pt>
                <c:pt idx="9">
                  <c:v>44844</c:v>
                </c:pt>
                <c:pt idx="10">
                  <c:v>45877</c:v>
                </c:pt>
                <c:pt idx="11">
                  <c:v>47605</c:v>
                </c:pt>
              </c:numCache>
            </c:numRef>
          </c:val>
          <c:extLst>
            <c:ext xmlns:c16="http://schemas.microsoft.com/office/drawing/2014/chart" uri="{C3380CC4-5D6E-409C-BE32-E72D297353CC}">
              <c16:uniqueId val="{00000002-7D21-4438-AE98-6EF8621E3936}"/>
            </c:ext>
          </c:extLst>
        </c:ser>
        <c:dLbls>
          <c:showLegendKey val="0"/>
          <c:showVal val="1"/>
          <c:showCatName val="0"/>
          <c:showSerName val="0"/>
          <c:showPercent val="0"/>
          <c:showBubbleSize val="0"/>
        </c:dLbls>
        <c:gapWidth val="60"/>
        <c:axId val="947337792"/>
        <c:axId val="947343200"/>
      </c:barChart>
      <c:lineChart>
        <c:grouping val="standard"/>
        <c:varyColors val="0"/>
        <c:ser>
          <c:idx val="3"/>
          <c:order val="3"/>
          <c:tx>
            <c:strRef>
              <c:f>BOLETIN!$A$666</c:f>
              <c:strCache>
                <c:ptCount val="1"/>
                <c:pt idx="0">
                  <c:v>Total </c:v>
                </c:pt>
              </c:strCache>
            </c:strRef>
          </c:tx>
          <c:spPr>
            <a:ln w="28575" cap="rnd">
              <a:solidFill>
                <a:srgbClr val="706F6F"/>
              </a:solidFill>
              <a:round/>
            </a:ln>
            <a:effectLst>
              <a:outerShdw blurRad="50800" dist="38100" dir="2700000" algn="tl" rotWithShape="0">
                <a:prstClr val="black">
                  <a:alpha val="40000"/>
                </a:prstClr>
              </a:outerShdw>
            </a:effectLst>
          </c:spPr>
          <c:marker>
            <c:symbol val="diamond"/>
            <c:size val="5"/>
            <c:spPr>
              <a:solidFill>
                <a:srgbClr val="706F6F"/>
              </a:solidFill>
              <a:ln w="9525">
                <a:solidFill>
                  <a:srgbClr val="706F6F"/>
                </a:solidFill>
              </a:ln>
              <a:effectLst>
                <a:outerShdw blurRad="50800" dist="38100" dir="2700000" algn="tl" rotWithShape="0">
                  <a:prstClr val="black">
                    <a:alpha val="40000"/>
                  </a:prstClr>
                </a:outerShdw>
              </a:effectLst>
            </c:spPr>
          </c:marker>
          <c:dLbls>
            <c:dLbl>
              <c:idx val="0"/>
              <c:layout>
                <c:manualLayout>
                  <c:x val="-5.1556613127106882E-2"/>
                  <c:y val="-4.4284528092997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D21-4438-AE98-6EF8621E3936}"/>
                </c:ext>
              </c:extLst>
            </c:dLbl>
            <c:dLbl>
              <c:idx val="1"/>
              <c:layout>
                <c:manualLayout>
                  <c:x val="-4.3624826492167361E-2"/>
                  <c:y val="-4.4284528092997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D21-4438-AE98-6EF8621E3936}"/>
                </c:ext>
              </c:extLst>
            </c:dLbl>
            <c:dLbl>
              <c:idx val="2"/>
              <c:layout>
                <c:manualLayout>
                  <c:x val="-3.9658933174697604E-2"/>
                  <c:y val="-3.8748962081372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D21-4438-AE98-6EF8621E3936}"/>
                </c:ext>
              </c:extLst>
            </c:dLbl>
            <c:dLbl>
              <c:idx val="3"/>
              <c:layout>
                <c:manualLayout>
                  <c:x val="-4.7590719809637159E-2"/>
                  <c:y val="-3.8748962081372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D21-4438-AE98-6EF8621E3936}"/>
                </c:ext>
              </c:extLst>
            </c:dLbl>
            <c:dLbl>
              <c:idx val="4"/>
              <c:layout>
                <c:manualLayout>
                  <c:x val="-4.7590719809637118E-2"/>
                  <c:y val="-4.98200941046221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D21-4438-AE98-6EF8621E3936}"/>
                </c:ext>
              </c:extLst>
            </c:dLbl>
            <c:dLbl>
              <c:idx val="5"/>
              <c:layout>
                <c:manualLayout>
                  <c:x val="-5.1556613127106882E-2"/>
                  <c:y val="-4.4284528092997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D21-4438-AE98-6EF8621E3936}"/>
                </c:ext>
              </c:extLst>
            </c:dLbl>
            <c:dLbl>
              <c:idx val="6"/>
              <c:layout>
                <c:manualLayout>
                  <c:x val="-4.5607773150902239E-2"/>
                  <c:y val="-4.4284528092997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D21-4438-AE98-6EF8621E3936}"/>
                </c:ext>
              </c:extLst>
            </c:dLbl>
            <c:dLbl>
              <c:idx val="7"/>
              <c:layout>
                <c:manualLayout>
                  <c:x val="-4.362482649216743E-2"/>
                  <c:y val="-3.8748962081372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D21-4438-AE98-6EF8621E3936}"/>
                </c:ext>
              </c:extLst>
            </c:dLbl>
            <c:dLbl>
              <c:idx val="8"/>
              <c:layout>
                <c:manualLayout>
                  <c:x val="-4.7590719809637118E-2"/>
                  <c:y val="-4.9820094104622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D21-4438-AE98-6EF8621E3936}"/>
                </c:ext>
              </c:extLst>
            </c:dLbl>
            <c:dLbl>
              <c:idx val="9"/>
              <c:layout>
                <c:manualLayout>
                  <c:x val="-4.9573666468372003E-2"/>
                  <c:y val="-4.4284528092997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D21-4438-AE98-6EF8621E3936}"/>
                </c:ext>
              </c:extLst>
            </c:dLbl>
            <c:dLbl>
              <c:idx val="10"/>
              <c:layout>
                <c:manualLayout>
                  <c:x val="-5.1556613127106882E-2"/>
                  <c:y val="-4.4284528092997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D21-4438-AE98-6EF8621E3936}"/>
                </c:ext>
              </c:extLst>
            </c:dLbl>
            <c:dLbl>
              <c:idx val="11"/>
              <c:layout>
                <c:manualLayout>
                  <c:x val="-3.569303985722784E-2"/>
                  <c:y val="-3.874896208137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D21-4438-AE98-6EF8621E3936}"/>
                </c:ext>
              </c:extLst>
            </c:dLbl>
            <c:numFmt formatCode="#\ ###\ ###\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BOLETIN!$B$662:$M$662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BOLETIN!$B$666:$M$666</c:f>
              <c:numCache>
                <c:formatCode>#,##0</c:formatCode>
                <c:ptCount val="12"/>
                <c:pt idx="0">
                  <c:v>37481</c:v>
                </c:pt>
                <c:pt idx="1">
                  <c:v>38346</c:v>
                </c:pt>
                <c:pt idx="2">
                  <c:v>40118</c:v>
                </c:pt>
                <c:pt idx="3">
                  <c:v>41327</c:v>
                </c:pt>
                <c:pt idx="4">
                  <c:v>42451</c:v>
                </c:pt>
                <c:pt idx="5">
                  <c:v>44560</c:v>
                </c:pt>
                <c:pt idx="6">
                  <c:v>46458</c:v>
                </c:pt>
                <c:pt idx="7">
                  <c:v>48125</c:v>
                </c:pt>
                <c:pt idx="8">
                  <c:v>48775</c:v>
                </c:pt>
                <c:pt idx="9">
                  <c:v>49711</c:v>
                </c:pt>
                <c:pt idx="10">
                  <c:v>50999</c:v>
                </c:pt>
                <c:pt idx="11">
                  <c:v>53160</c:v>
                </c:pt>
              </c:numCache>
            </c:numRef>
          </c:val>
          <c:smooth val="0"/>
          <c:extLst>
            <c:ext xmlns:c16="http://schemas.microsoft.com/office/drawing/2014/chart" uri="{C3380CC4-5D6E-409C-BE32-E72D297353CC}">
              <c16:uniqueId val="{00000003-7D21-4438-AE98-6EF8621E3936}"/>
            </c:ext>
          </c:extLst>
        </c:ser>
        <c:dLbls>
          <c:showLegendKey val="0"/>
          <c:showVal val="1"/>
          <c:showCatName val="0"/>
          <c:showSerName val="0"/>
          <c:showPercent val="0"/>
          <c:showBubbleSize val="0"/>
        </c:dLbls>
        <c:marker val="1"/>
        <c:smooth val="0"/>
        <c:axId val="947337792"/>
        <c:axId val="947343200"/>
      </c:lineChart>
      <c:catAx>
        <c:axId val="94733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47343200"/>
        <c:crosses val="autoZero"/>
        <c:auto val="1"/>
        <c:lblAlgn val="ctr"/>
        <c:lblOffset val="100"/>
        <c:noMultiLvlLbl val="0"/>
      </c:catAx>
      <c:valAx>
        <c:axId val="947343200"/>
        <c:scaling>
          <c:orientation val="minMax"/>
        </c:scaling>
        <c:delete val="1"/>
        <c:axPos val="l"/>
        <c:numFmt formatCode="#,##0" sourceLinked="1"/>
        <c:majorTickMark val="none"/>
        <c:minorTickMark val="none"/>
        <c:tickLblPos val="nextTo"/>
        <c:crossAx val="947337792"/>
        <c:crosses val="autoZero"/>
        <c:crossBetween val="between"/>
      </c:valAx>
      <c:spPr>
        <a:noFill/>
        <a:ln>
          <a:noFill/>
        </a:ln>
        <a:effectLst/>
      </c:spPr>
    </c:plotArea>
    <c:legend>
      <c:legendPos val="b"/>
      <c:layout>
        <c:manualLayout>
          <c:xMode val="edge"/>
          <c:yMode val="edge"/>
          <c:x val="0.25499585454852053"/>
          <c:y val="0.68159279613983714"/>
          <c:w val="0.57924089054602856"/>
          <c:h val="0.31840720386016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TEPJF!$L$129</c:f>
              <c:strCache>
                <c:ptCount val="1"/>
                <c:pt idx="0">
                  <c:v>Juicio de revisión constitucional electoral</c:v>
                </c:pt>
              </c:strCache>
            </c:strRef>
          </c:tx>
          <c:spPr>
            <a:ln w="28575" cap="rnd">
              <a:solidFill>
                <a:srgbClr val="8C1B67"/>
              </a:solidFill>
              <a:round/>
            </a:ln>
            <a:effectLst>
              <a:outerShdw blurRad="50800" dist="38100" dir="2700000" algn="tl" rotWithShape="0">
                <a:prstClr val="black">
                  <a:alpha val="40000"/>
                </a:prstClr>
              </a:outerShdw>
            </a:effectLst>
          </c:spPr>
          <c:marker>
            <c:symbol val="diamond"/>
            <c:size val="5"/>
            <c:spPr>
              <a:solidFill>
                <a:srgbClr val="8C1B67"/>
              </a:solidFill>
              <a:ln w="9525">
                <a:solidFill>
                  <a:srgbClr val="8C1B67"/>
                </a:solidFill>
              </a:ln>
              <a:effectLst>
                <a:outerShdw blurRad="50800" dist="38100" dir="2700000" algn="tl" rotWithShape="0">
                  <a:prstClr val="black">
                    <a:alpha val="40000"/>
                  </a:prstClr>
                </a:outerShdw>
              </a:effectLst>
            </c:spPr>
          </c:marker>
          <c:dLbls>
            <c:dLbl>
              <c:idx val="10"/>
              <c:layout>
                <c:manualLayout>
                  <c:x val="-3.8186712383736235E-2"/>
                  <c:y val="-0.1206082645869584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CA-47B5-94D4-FBA63F48F408}"/>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TEPJF!$M$128:$X$128</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TEPJF!$M$129:$X$129</c:f>
              <c:numCache>
                <c:formatCode>0.0%</c:formatCode>
                <c:ptCount val="12"/>
                <c:pt idx="0">
                  <c:v>0.98160696999031949</c:v>
                </c:pt>
                <c:pt idx="1">
                  <c:v>0.99484536082474229</c:v>
                </c:pt>
                <c:pt idx="2">
                  <c:v>1.0049365303244007</c:v>
                </c:pt>
                <c:pt idx="3">
                  <c:v>0.99695121951219512</c:v>
                </c:pt>
                <c:pt idx="4">
                  <c:v>0.98288159771754635</c:v>
                </c:pt>
                <c:pt idx="5">
                  <c:v>1.0060949063996518</c:v>
                </c:pt>
                <c:pt idx="6">
                  <c:v>0.99190647482014394</c:v>
                </c:pt>
                <c:pt idx="7">
                  <c:v>1.0260545905707197</c:v>
                </c:pt>
                <c:pt idx="8">
                  <c:v>1.0023474178403755</c:v>
                </c:pt>
                <c:pt idx="9">
                  <c:v>1.0035460992907801</c:v>
                </c:pt>
                <c:pt idx="10">
                  <c:v>0.94656488549618323</c:v>
                </c:pt>
                <c:pt idx="11">
                  <c:v>0.99702970297029703</c:v>
                </c:pt>
              </c:numCache>
            </c:numRef>
          </c:val>
          <c:smooth val="0"/>
          <c:extLst>
            <c:ext xmlns:c16="http://schemas.microsoft.com/office/drawing/2014/chart" uri="{C3380CC4-5D6E-409C-BE32-E72D297353CC}">
              <c16:uniqueId val="{00000000-72CA-47B5-94D4-FBA63F48F408}"/>
            </c:ext>
          </c:extLst>
        </c:ser>
        <c:dLbls>
          <c:dLblPos val="t"/>
          <c:showLegendKey val="0"/>
          <c:showVal val="1"/>
          <c:showCatName val="0"/>
          <c:showSerName val="0"/>
          <c:showPercent val="0"/>
          <c:showBubbleSize val="0"/>
        </c:dLbls>
        <c:marker val="1"/>
        <c:smooth val="0"/>
        <c:axId val="1024873184"/>
        <c:axId val="1024868192"/>
      </c:lineChart>
      <c:catAx>
        <c:axId val="102487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024868192"/>
        <c:crosses val="autoZero"/>
        <c:auto val="1"/>
        <c:lblAlgn val="ctr"/>
        <c:lblOffset val="100"/>
        <c:noMultiLvlLbl val="0"/>
      </c:catAx>
      <c:valAx>
        <c:axId val="1024868192"/>
        <c:scaling>
          <c:orientation val="minMax"/>
        </c:scaling>
        <c:delete val="1"/>
        <c:axPos val="l"/>
        <c:numFmt formatCode="0.0%" sourceLinked="1"/>
        <c:majorTickMark val="none"/>
        <c:minorTickMark val="none"/>
        <c:tickLblPos val="nextTo"/>
        <c:crossAx val="1024873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03614323501991E-2"/>
          <c:y val="0.16265020580086934"/>
          <c:w val="0.92623050684229835"/>
          <c:h val="0.47320936423990639"/>
        </c:manualLayout>
      </c:layout>
      <c:barChart>
        <c:barDir val="col"/>
        <c:grouping val="clustered"/>
        <c:varyColors val="0"/>
        <c:ser>
          <c:idx val="0"/>
          <c:order val="0"/>
          <c:tx>
            <c:strRef>
              <c:f>cjf!$A$3</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cjf!$B$1:$I$2</c:f>
              <c:multiLvlStrCache>
                <c:ptCount val="8"/>
                <c:lvl>
                  <c:pt idx="0">
                    <c:v>Ingresados</c:v>
                  </c:pt>
                  <c:pt idx="1">
                    <c:v>Resueltos</c:v>
                  </c:pt>
                  <c:pt idx="2">
                    <c:v>Ingresados</c:v>
                  </c:pt>
                  <c:pt idx="3">
                    <c:v>Resueltos</c:v>
                  </c:pt>
                  <c:pt idx="4">
                    <c:v>Ingresados</c:v>
                  </c:pt>
                  <c:pt idx="5">
                    <c:v>Resueltos</c:v>
                  </c:pt>
                  <c:pt idx="6">
                    <c:v>Ingresados</c:v>
                  </c:pt>
                  <c:pt idx="7">
                    <c:v>Resueltos</c:v>
                  </c:pt>
                </c:lvl>
                <c:lvl>
                  <c:pt idx="0">
                    <c:v>Tribunales Colegiados de Circuito</c:v>
                  </c:pt>
                  <c:pt idx="2">
                    <c:v>Tribunales Unitarios de Circuito</c:v>
                  </c:pt>
                  <c:pt idx="4">
                    <c:v>Juzgados de Distrito*</c:v>
                  </c:pt>
                  <c:pt idx="6">
                    <c:v>Centros de Justicia Penal Federal**</c:v>
                  </c:pt>
                </c:lvl>
              </c:multiLvlStrCache>
            </c:multiLvlStrRef>
          </c:cat>
          <c:val>
            <c:numRef>
              <c:f>cjf!$B$3:$I$3</c:f>
              <c:numCache>
                <c:formatCode>#,##0</c:formatCode>
                <c:ptCount val="8"/>
                <c:pt idx="0">
                  <c:v>237373</c:v>
                </c:pt>
                <c:pt idx="1">
                  <c:v>266717</c:v>
                </c:pt>
                <c:pt idx="2">
                  <c:v>15393</c:v>
                </c:pt>
                <c:pt idx="3">
                  <c:v>16527</c:v>
                </c:pt>
                <c:pt idx="4">
                  <c:v>413309</c:v>
                </c:pt>
                <c:pt idx="5">
                  <c:v>363583</c:v>
                </c:pt>
                <c:pt idx="6">
                  <c:v>23194</c:v>
                </c:pt>
                <c:pt idx="7">
                  <c:v>12492</c:v>
                </c:pt>
              </c:numCache>
            </c:numRef>
          </c:val>
          <c:extLst>
            <c:ext xmlns:c16="http://schemas.microsoft.com/office/drawing/2014/chart" uri="{C3380CC4-5D6E-409C-BE32-E72D297353CC}">
              <c16:uniqueId val="{00000000-EFF8-4105-B72C-1D7334DE8D5E}"/>
            </c:ext>
          </c:extLst>
        </c:ser>
        <c:ser>
          <c:idx val="1"/>
          <c:order val="1"/>
          <c:tx>
            <c:strRef>
              <c:f>cjf!$A$4</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cjf!$B$1:$I$2</c:f>
              <c:multiLvlStrCache>
                <c:ptCount val="8"/>
                <c:lvl>
                  <c:pt idx="0">
                    <c:v>Ingresados</c:v>
                  </c:pt>
                  <c:pt idx="1">
                    <c:v>Resueltos</c:v>
                  </c:pt>
                  <c:pt idx="2">
                    <c:v>Ingresados</c:v>
                  </c:pt>
                  <c:pt idx="3">
                    <c:v>Resueltos</c:v>
                  </c:pt>
                  <c:pt idx="4">
                    <c:v>Ingresados</c:v>
                  </c:pt>
                  <c:pt idx="5">
                    <c:v>Resueltos</c:v>
                  </c:pt>
                  <c:pt idx="6">
                    <c:v>Ingresados</c:v>
                  </c:pt>
                  <c:pt idx="7">
                    <c:v>Resueltos</c:v>
                  </c:pt>
                </c:lvl>
                <c:lvl>
                  <c:pt idx="0">
                    <c:v>Tribunales Colegiados de Circuito</c:v>
                  </c:pt>
                  <c:pt idx="2">
                    <c:v>Tribunales Unitarios de Circuito</c:v>
                  </c:pt>
                  <c:pt idx="4">
                    <c:v>Juzgados de Distrito*</c:v>
                  </c:pt>
                  <c:pt idx="6">
                    <c:v>Centros de Justicia Penal Federal**</c:v>
                  </c:pt>
                </c:lvl>
              </c:multiLvlStrCache>
            </c:multiLvlStrRef>
          </c:cat>
          <c:val>
            <c:numRef>
              <c:f>cjf!$B$4:$I$4</c:f>
              <c:numCache>
                <c:formatCode>#,##0</c:formatCode>
                <c:ptCount val="8"/>
                <c:pt idx="0">
                  <c:v>384701</c:v>
                </c:pt>
                <c:pt idx="1">
                  <c:v>340653</c:v>
                </c:pt>
                <c:pt idx="2">
                  <c:v>22443</c:v>
                </c:pt>
                <c:pt idx="3">
                  <c:v>21977</c:v>
                </c:pt>
                <c:pt idx="4">
                  <c:v>627291</c:v>
                </c:pt>
                <c:pt idx="5">
                  <c:v>607624</c:v>
                </c:pt>
                <c:pt idx="6">
                  <c:v>32394</c:v>
                </c:pt>
                <c:pt idx="7">
                  <c:v>12995</c:v>
                </c:pt>
              </c:numCache>
            </c:numRef>
          </c:val>
          <c:extLst>
            <c:ext xmlns:c16="http://schemas.microsoft.com/office/drawing/2014/chart" uri="{C3380CC4-5D6E-409C-BE32-E72D297353CC}">
              <c16:uniqueId val="{00000001-EFF8-4105-B72C-1D7334DE8D5E}"/>
            </c:ext>
          </c:extLst>
        </c:ser>
        <c:dLbls>
          <c:dLblPos val="outEnd"/>
          <c:showLegendKey val="0"/>
          <c:showVal val="1"/>
          <c:showCatName val="0"/>
          <c:showSerName val="0"/>
          <c:showPercent val="0"/>
          <c:showBubbleSize val="0"/>
        </c:dLbls>
        <c:gapWidth val="50"/>
        <c:overlap val="-27"/>
        <c:axId val="1910069328"/>
        <c:axId val="1910075152"/>
      </c:barChart>
      <c:catAx>
        <c:axId val="1910069328"/>
        <c:scaling>
          <c:orientation val="minMax"/>
        </c:scaling>
        <c:delete val="0"/>
        <c:axPos val="b"/>
        <c:numFmt formatCode="General" sourceLinked="1"/>
        <c:majorTickMark val="none"/>
        <c:minorTickMark val="none"/>
        <c:tickLblPos val="nextTo"/>
        <c:spPr>
          <a:noFill/>
          <a:ln w="9525" cap="flat" cmpd="sng" algn="ctr">
            <a:solidFill>
              <a:schemeClr val="accent3"/>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10075152"/>
        <c:crosses val="autoZero"/>
        <c:auto val="1"/>
        <c:lblAlgn val="ctr"/>
        <c:lblOffset val="100"/>
        <c:noMultiLvlLbl val="0"/>
      </c:catAx>
      <c:valAx>
        <c:axId val="1910075152"/>
        <c:scaling>
          <c:orientation val="minMax"/>
        </c:scaling>
        <c:delete val="1"/>
        <c:axPos val="l"/>
        <c:numFmt formatCode="#,##0" sourceLinked="1"/>
        <c:majorTickMark val="none"/>
        <c:minorTickMark val="none"/>
        <c:tickLblPos val="nextTo"/>
        <c:crossAx val="1910069328"/>
        <c:crosses val="autoZero"/>
        <c:crossBetween val="between"/>
      </c:valAx>
      <c:spPr>
        <a:noFill/>
        <a:ln>
          <a:noFill/>
        </a:ln>
        <a:effectLst/>
      </c:spPr>
    </c:plotArea>
    <c:legend>
      <c:legendPos val="b"/>
      <c:layout>
        <c:manualLayout>
          <c:xMode val="edge"/>
          <c:yMode val="edge"/>
          <c:x val="0.38223961135292872"/>
          <c:y val="0.89163402834334671"/>
          <c:w val="0.24587258114474822"/>
          <c:h val="0.108365971656653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cjf!$B$28</c:f>
              <c:strCache>
                <c:ptCount val="1"/>
                <c:pt idx="0">
                  <c:v>Penal</c:v>
                </c:pt>
              </c:strCache>
            </c:strRef>
          </c:tx>
          <c:spPr>
            <a:solidFill>
              <a:srgbClr val="08497F"/>
            </a:solidFill>
            <a:ln>
              <a:noFill/>
            </a:ln>
            <a:effectLst>
              <a:outerShdw blurRad="50800" dist="38100" dir="2700000" algn="tl" rotWithShape="0">
                <a:prstClr val="black">
                  <a:alpha val="40000"/>
                </a:prstClr>
              </a:outerShdw>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cjf!$H$27:$J$27</c:f>
              <c:strCache>
                <c:ptCount val="3"/>
                <c:pt idx="0">
                  <c:v>Tribunales
Colegiados
de Circuito</c:v>
                </c:pt>
                <c:pt idx="1">
                  <c:v>Tribunales
Unitarios
de Circuito</c:v>
                </c:pt>
                <c:pt idx="2">
                  <c:v>Juzgados
de Distrito</c:v>
                </c:pt>
              </c:strCache>
            </c:strRef>
          </c:cat>
          <c:val>
            <c:numRef>
              <c:f>cjf!$H$28:$J$28</c:f>
              <c:numCache>
                <c:formatCode>0.0%</c:formatCode>
                <c:ptCount val="3"/>
                <c:pt idx="0">
                  <c:v>0.10160618246378356</c:v>
                </c:pt>
                <c:pt idx="1">
                  <c:v>0.71037740052577636</c:v>
                </c:pt>
                <c:pt idx="2">
                  <c:v>0.19436593223878551</c:v>
                </c:pt>
              </c:numCache>
            </c:numRef>
          </c:val>
          <c:extLst>
            <c:ext xmlns:c16="http://schemas.microsoft.com/office/drawing/2014/chart" uri="{C3380CC4-5D6E-409C-BE32-E72D297353CC}">
              <c16:uniqueId val="{00000000-EFE6-4358-BC36-63B1EE8B6154}"/>
            </c:ext>
          </c:extLst>
        </c:ser>
        <c:ser>
          <c:idx val="1"/>
          <c:order val="1"/>
          <c:tx>
            <c:strRef>
              <c:f>cjf!$B$29</c:f>
              <c:strCache>
                <c:ptCount val="1"/>
                <c:pt idx="0">
                  <c:v>Civil</c:v>
                </c:pt>
              </c:strCache>
            </c:strRef>
          </c:tx>
          <c:spPr>
            <a:solidFill>
              <a:srgbClr val="8E61A5"/>
            </a:solidFill>
            <a:ln>
              <a:noFill/>
            </a:ln>
            <a:effectLst>
              <a:outerShdw blurRad="50800" dist="38100" dir="2700000" algn="tl" rotWithShape="0">
                <a:prstClr val="black">
                  <a:alpha val="40000"/>
                </a:prstClr>
              </a:outerShdw>
            </a:effectLst>
          </c:spPr>
          <c:invertIfNegative val="0"/>
          <c:dLbls>
            <c:numFmt formatCode="0.0\ %" sourceLinked="0"/>
            <c:spPr>
              <a:no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cjf!$H$27:$J$27</c:f>
              <c:strCache>
                <c:ptCount val="3"/>
                <c:pt idx="0">
                  <c:v>Tribunales
Colegiados
de Circuito</c:v>
                </c:pt>
                <c:pt idx="1">
                  <c:v>Tribunales
Unitarios
de Circuito</c:v>
                </c:pt>
                <c:pt idx="2">
                  <c:v>Juzgados
de Distrito</c:v>
                </c:pt>
              </c:strCache>
            </c:strRef>
          </c:cat>
          <c:val>
            <c:numRef>
              <c:f>cjf!$H$29:$J$29</c:f>
              <c:numCache>
                <c:formatCode>0.0%</c:formatCode>
                <c:ptCount val="3"/>
                <c:pt idx="0">
                  <c:v>0.23633939085159644</c:v>
                </c:pt>
                <c:pt idx="1">
                  <c:v>0.11019025976919307</c:v>
                </c:pt>
                <c:pt idx="2">
                  <c:v>0.16618602849395256</c:v>
                </c:pt>
              </c:numCache>
            </c:numRef>
          </c:val>
          <c:extLst>
            <c:ext xmlns:c16="http://schemas.microsoft.com/office/drawing/2014/chart" uri="{C3380CC4-5D6E-409C-BE32-E72D297353CC}">
              <c16:uniqueId val="{00000001-EFE6-4358-BC36-63B1EE8B6154}"/>
            </c:ext>
          </c:extLst>
        </c:ser>
        <c:ser>
          <c:idx val="2"/>
          <c:order val="2"/>
          <c:tx>
            <c:strRef>
              <c:f>cjf!$B$30</c:f>
              <c:strCache>
                <c:ptCount val="1"/>
                <c:pt idx="0">
                  <c:v>Administrativa</c:v>
                </c:pt>
              </c:strCache>
            </c:strRef>
          </c:tx>
          <c:spPr>
            <a:solidFill>
              <a:srgbClr val="C12686"/>
            </a:solidFill>
            <a:ln>
              <a:noFill/>
            </a:ln>
            <a:effectLst>
              <a:outerShdw blurRad="50800" dist="38100" dir="2700000" algn="tl" rotWithShape="0">
                <a:prstClr val="black">
                  <a:alpha val="40000"/>
                </a:prstClr>
              </a:outerShdw>
            </a:effectLst>
          </c:spPr>
          <c:invertIfNegative val="0"/>
          <c:dLbls>
            <c:dLbl>
              <c:idx val="1"/>
              <c:layout>
                <c:manualLayout>
                  <c:x val="0.11133200795228629"/>
                  <c:y val="0"/>
                </c:manualLayout>
              </c:layout>
              <c:numFmt formatCode="0.0\ %" sourceLinked="0"/>
              <c:spPr>
                <a:no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E6-4358-BC36-63B1EE8B6154}"/>
                </c:ext>
              </c:extLst>
            </c:dLbl>
            <c:numFmt formatCode="0.0\ %" sourceLinked="0"/>
            <c:spPr>
              <a:no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cjf!$H$27:$J$27</c:f>
              <c:strCache>
                <c:ptCount val="3"/>
                <c:pt idx="0">
                  <c:v>Tribunales
Colegiados
de Circuito</c:v>
                </c:pt>
                <c:pt idx="1">
                  <c:v>Tribunales
Unitarios
de Circuito</c:v>
                </c:pt>
                <c:pt idx="2">
                  <c:v>Juzgados
de Distrito</c:v>
                </c:pt>
              </c:strCache>
            </c:strRef>
          </c:cat>
          <c:val>
            <c:numRef>
              <c:f>cjf!$H$30:$J$30</c:f>
              <c:numCache>
                <c:formatCode>0.0%</c:formatCode>
                <c:ptCount val="3"/>
                <c:pt idx="0">
                  <c:v>0.40944005864294608</c:v>
                </c:pt>
                <c:pt idx="1">
                  <c:v>2.8071113487501669E-3</c:v>
                </c:pt>
                <c:pt idx="2">
                  <c:v>0.33765030902722981</c:v>
                </c:pt>
              </c:numCache>
            </c:numRef>
          </c:val>
          <c:extLst>
            <c:ext xmlns:c16="http://schemas.microsoft.com/office/drawing/2014/chart" uri="{C3380CC4-5D6E-409C-BE32-E72D297353CC}">
              <c16:uniqueId val="{00000002-EFE6-4358-BC36-63B1EE8B6154}"/>
            </c:ext>
          </c:extLst>
        </c:ser>
        <c:ser>
          <c:idx val="3"/>
          <c:order val="3"/>
          <c:tx>
            <c:strRef>
              <c:f>cjf!$B$31</c:f>
              <c:strCache>
                <c:ptCount val="1"/>
                <c:pt idx="0">
                  <c:v>Laboral</c:v>
                </c:pt>
              </c:strCache>
            </c:strRef>
          </c:tx>
          <c:spPr>
            <a:solidFill>
              <a:srgbClr val="ECB538"/>
            </a:solidFill>
            <a:ln>
              <a:noFill/>
            </a:ln>
            <a:effectLst>
              <a:outerShdw blurRad="50800" dist="38100" dir="2700000" algn="tl" rotWithShape="0">
                <a:prstClr val="black">
                  <a:alpha val="40000"/>
                </a:prstClr>
              </a:outerShdw>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EFE6-4358-BC36-63B1EE8B6154}"/>
                </c:ext>
              </c:extLst>
            </c:dLbl>
            <c:numFmt formatCode="0.0\ %" sourceLinked="0"/>
            <c:spPr>
              <a:no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cjf!$H$27:$J$27</c:f>
              <c:strCache>
                <c:ptCount val="3"/>
                <c:pt idx="0">
                  <c:v>Tribunales
Colegiados
de Circuito</c:v>
                </c:pt>
                <c:pt idx="1">
                  <c:v>Tribunales
Unitarios
de Circuito</c:v>
                </c:pt>
                <c:pt idx="2">
                  <c:v>Juzgados
de Distrito</c:v>
                </c:pt>
              </c:strCache>
            </c:strRef>
          </c:cat>
          <c:val>
            <c:numRef>
              <c:f>cjf!$H$31:$J$31</c:f>
              <c:numCache>
                <c:formatCode>0.0%</c:formatCode>
                <c:ptCount val="3"/>
                <c:pt idx="0">
                  <c:v>0.25261436804167392</c:v>
                </c:pt>
                <c:pt idx="1">
                  <c:v>4.4557322996034399E-5</c:v>
                </c:pt>
                <c:pt idx="2">
                  <c:v>0.23</c:v>
                </c:pt>
              </c:numCache>
            </c:numRef>
          </c:val>
          <c:extLst>
            <c:ext xmlns:c16="http://schemas.microsoft.com/office/drawing/2014/chart" uri="{C3380CC4-5D6E-409C-BE32-E72D297353CC}">
              <c16:uniqueId val="{00000004-EFE6-4358-BC36-63B1EE8B6154}"/>
            </c:ext>
          </c:extLst>
        </c:ser>
        <c:ser>
          <c:idx val="4"/>
          <c:order val="4"/>
          <c:tx>
            <c:strRef>
              <c:f>cjf!$B$32</c:f>
              <c:strCache>
                <c:ptCount val="1"/>
                <c:pt idx="0">
                  <c:v>Mercantil</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EFE6-4358-BC36-63B1EE8B6154}"/>
                </c:ext>
              </c:extLst>
            </c:dLbl>
            <c:numFmt formatCode="0.0\ %" sourceLinked="0"/>
            <c:spPr>
              <a:no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cjf!$H$27:$J$27</c:f>
              <c:strCache>
                <c:ptCount val="3"/>
                <c:pt idx="0">
                  <c:v>Tribunales
Colegiados
de Circuito</c:v>
                </c:pt>
                <c:pt idx="1">
                  <c:v>Tribunales
Unitarios
de Circuito</c:v>
                </c:pt>
                <c:pt idx="2">
                  <c:v>Juzgados
de Distrito</c:v>
                </c:pt>
              </c:strCache>
            </c:strRef>
          </c:cat>
          <c:val>
            <c:numRef>
              <c:f>cjf!$H$32:$J$32</c:f>
              <c:numCache>
                <c:formatCode>0.0%</c:formatCode>
                <c:ptCount val="3"/>
                <c:pt idx="0">
                  <c:v>0</c:v>
                </c:pt>
                <c:pt idx="1">
                  <c:v>0.17658067103328431</c:v>
                </c:pt>
                <c:pt idx="2">
                  <c:v>7.2307748716305506E-2</c:v>
                </c:pt>
              </c:numCache>
            </c:numRef>
          </c:val>
          <c:extLst>
            <c:ext xmlns:c16="http://schemas.microsoft.com/office/drawing/2014/chart" uri="{C3380CC4-5D6E-409C-BE32-E72D297353CC}">
              <c16:uniqueId val="{00000006-EFE6-4358-BC36-63B1EE8B6154}"/>
            </c:ext>
          </c:extLst>
        </c:ser>
        <c:dLbls>
          <c:dLblPos val="ctr"/>
          <c:showLegendKey val="0"/>
          <c:showVal val="1"/>
          <c:showCatName val="0"/>
          <c:showSerName val="0"/>
          <c:showPercent val="0"/>
          <c:showBubbleSize val="0"/>
        </c:dLbls>
        <c:gapWidth val="50"/>
        <c:overlap val="100"/>
        <c:axId val="1348199584"/>
        <c:axId val="1348200000"/>
      </c:barChart>
      <c:catAx>
        <c:axId val="134819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348200000"/>
        <c:crosses val="autoZero"/>
        <c:auto val="1"/>
        <c:lblAlgn val="ctr"/>
        <c:lblOffset val="100"/>
        <c:noMultiLvlLbl val="0"/>
      </c:catAx>
      <c:valAx>
        <c:axId val="1348200000"/>
        <c:scaling>
          <c:orientation val="minMax"/>
          <c:max val="1"/>
        </c:scaling>
        <c:delete val="1"/>
        <c:axPos val="l"/>
        <c:numFmt formatCode="0.0%" sourceLinked="1"/>
        <c:majorTickMark val="none"/>
        <c:minorTickMark val="none"/>
        <c:tickLblPos val="nextTo"/>
        <c:crossAx val="1348199584"/>
        <c:crosses val="autoZero"/>
        <c:crossBetween val="between"/>
      </c:valAx>
      <c:spPr>
        <a:noFill/>
        <a:ln>
          <a:noFill/>
        </a:ln>
        <a:effectLst/>
      </c:spPr>
    </c:plotArea>
    <c:legend>
      <c:legendPos val="r"/>
      <c:layout>
        <c:manualLayout>
          <c:xMode val="edge"/>
          <c:yMode val="edge"/>
          <c:x val="0.81215040465866217"/>
          <c:y val="0.11642976090129728"/>
          <c:w val="0.17147226874970647"/>
          <c:h val="0.529167574679796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BOLETIN!$E$292</c:f>
              <c:strCache>
                <c:ptCount val="1"/>
                <c:pt idx="0">
                  <c:v>Atendidos</c:v>
                </c:pt>
              </c:strCache>
            </c:strRef>
          </c:tx>
          <c:spPr>
            <a:solidFill>
              <a:srgbClr val="58267A"/>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8267A"/>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2-5B36-40C2-8B66-BD28B58441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BOLETIN!$D$293:$D$295</c:f>
              <c:numCache>
                <c:formatCode>General</c:formatCode>
                <c:ptCount val="3"/>
                <c:pt idx="0">
                  <c:v>2019</c:v>
                </c:pt>
                <c:pt idx="1">
                  <c:v>2020</c:v>
                </c:pt>
                <c:pt idx="2">
                  <c:v>2021</c:v>
                </c:pt>
              </c:numCache>
            </c:numRef>
          </c:cat>
          <c:val>
            <c:numRef>
              <c:f>BOLETIN!$E$293:$E$295</c:f>
              <c:numCache>
                <c:formatCode>General</c:formatCode>
                <c:ptCount val="3"/>
                <c:pt idx="0">
                  <c:v>354</c:v>
                </c:pt>
                <c:pt idx="1">
                  <c:v>289</c:v>
                </c:pt>
                <c:pt idx="2">
                  <c:v>543</c:v>
                </c:pt>
              </c:numCache>
            </c:numRef>
          </c:val>
          <c:extLst>
            <c:ext xmlns:c16="http://schemas.microsoft.com/office/drawing/2014/chart" uri="{C3380CC4-5D6E-409C-BE32-E72D297353CC}">
              <c16:uniqueId val="{00000000-5B36-40C2-8B66-BD28B5844185}"/>
            </c:ext>
          </c:extLst>
        </c:ser>
        <c:ser>
          <c:idx val="1"/>
          <c:order val="1"/>
          <c:tx>
            <c:strRef>
              <c:f>BOLETIN!$F$292</c:f>
              <c:strCache>
                <c:ptCount val="1"/>
                <c:pt idx="0">
                  <c:v>Concluidos y/o resueltos</c:v>
                </c:pt>
              </c:strCache>
            </c:strRef>
          </c:tx>
          <c:spPr>
            <a:solidFill>
              <a:srgbClr val="8C1B67"/>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BOLETIN!$D$293:$D$295</c:f>
              <c:numCache>
                <c:formatCode>General</c:formatCode>
                <c:ptCount val="3"/>
                <c:pt idx="0">
                  <c:v>2019</c:v>
                </c:pt>
                <c:pt idx="1">
                  <c:v>2020</c:v>
                </c:pt>
                <c:pt idx="2">
                  <c:v>2021</c:v>
                </c:pt>
              </c:numCache>
            </c:numRef>
          </c:cat>
          <c:val>
            <c:numRef>
              <c:f>BOLETIN!$F$293:$F$295</c:f>
              <c:numCache>
                <c:formatCode>General</c:formatCode>
                <c:ptCount val="3"/>
                <c:pt idx="0">
                  <c:v>157</c:v>
                </c:pt>
                <c:pt idx="1">
                  <c:v>65</c:v>
                </c:pt>
                <c:pt idx="2">
                  <c:v>258</c:v>
                </c:pt>
              </c:numCache>
            </c:numRef>
          </c:val>
          <c:extLst>
            <c:ext xmlns:c16="http://schemas.microsoft.com/office/drawing/2014/chart" uri="{C3380CC4-5D6E-409C-BE32-E72D297353CC}">
              <c16:uniqueId val="{00000001-5B36-40C2-8B66-BD28B5844185}"/>
            </c:ext>
          </c:extLst>
        </c:ser>
        <c:dLbls>
          <c:dLblPos val="outEnd"/>
          <c:showLegendKey val="0"/>
          <c:showVal val="1"/>
          <c:showCatName val="0"/>
          <c:showSerName val="0"/>
          <c:showPercent val="0"/>
          <c:showBubbleSize val="0"/>
        </c:dLbls>
        <c:gapWidth val="60"/>
        <c:overlap val="-27"/>
        <c:axId val="1151932255"/>
        <c:axId val="1151943903"/>
      </c:barChart>
      <c:catAx>
        <c:axId val="1151932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151943903"/>
        <c:crosses val="autoZero"/>
        <c:auto val="1"/>
        <c:lblAlgn val="ctr"/>
        <c:lblOffset val="100"/>
        <c:noMultiLvlLbl val="0"/>
      </c:catAx>
      <c:valAx>
        <c:axId val="1151943903"/>
        <c:scaling>
          <c:orientation val="minMax"/>
        </c:scaling>
        <c:delete val="1"/>
        <c:axPos val="l"/>
        <c:numFmt formatCode="General" sourceLinked="1"/>
        <c:majorTickMark val="none"/>
        <c:minorTickMark val="none"/>
        <c:tickLblPos val="nextTo"/>
        <c:crossAx val="1151932255"/>
        <c:crosses val="autoZero"/>
        <c:crossBetween val="between"/>
      </c:valAx>
      <c:spPr>
        <a:noFill/>
        <a:ln>
          <a:noFill/>
        </a:ln>
        <a:effectLst/>
      </c:spPr>
    </c:plotArea>
    <c:legend>
      <c:legendPos val="b"/>
      <c:layout>
        <c:manualLayout>
          <c:xMode val="edge"/>
          <c:yMode val="edge"/>
          <c:x val="0.19780809841517905"/>
          <c:y val="0.83878097956406661"/>
          <c:w val="0.61650041836373504"/>
          <c:h val="0.161219020435933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095186458500195E-2"/>
          <c:y val="0.11418783899514702"/>
          <c:w val="0.96295228354671625"/>
          <c:h val="0.54921383471085528"/>
        </c:manualLayout>
      </c:layout>
      <c:barChart>
        <c:barDir val="col"/>
        <c:grouping val="clustered"/>
        <c:varyColors val="0"/>
        <c:ser>
          <c:idx val="0"/>
          <c:order val="0"/>
          <c:tx>
            <c:strRef>
              <c:f>BOLETIN!$H$328</c:f>
              <c:strCache>
                <c:ptCount val="1"/>
                <c:pt idx="0">
                  <c:v>%</c:v>
                </c:pt>
              </c:strCache>
            </c:strRef>
          </c:tx>
          <c:spPr>
            <a:solidFill>
              <a:srgbClr val="FEDE8F"/>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E941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1E7-48BE-ACE6-C0D5D533B685}"/>
              </c:ext>
            </c:extLst>
          </c:dPt>
          <c:dLbls>
            <c:numFmt formatCode="0.0\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BOLETIN!$G$329:$G$346</c:f>
              <c:strCache>
                <c:ptCount val="18"/>
                <c:pt idx="0">
                  <c:v>Náhuatl</c:v>
                </c:pt>
                <c:pt idx="1">
                  <c:v>Mixteco</c:v>
                </c:pt>
                <c:pt idx="2">
                  <c:v>Zapoteco</c:v>
                </c:pt>
                <c:pt idx="3">
                  <c:v>Maya</c:v>
                </c:pt>
                <c:pt idx="4">
                  <c:v>Otro pueblo indígena</c:v>
                </c:pt>
                <c:pt idx="5">
                  <c:v>Huichol</c:v>
                </c:pt>
                <c:pt idx="6">
                  <c:v>Otomí</c:v>
                </c:pt>
                <c:pt idx="7">
                  <c:v>Mayo</c:v>
                </c:pt>
                <c:pt idx="8">
                  <c:v>Mazateco</c:v>
                </c:pt>
                <c:pt idx="9">
                  <c:v>Tsotsil</c:v>
                </c:pt>
                <c:pt idx="10">
                  <c:v>Tarasco / Purépecha</c:v>
                </c:pt>
                <c:pt idx="11">
                  <c:v>Chinanteco</c:v>
                </c:pt>
                <c:pt idx="12">
                  <c:v>Mixe</c:v>
                </c:pt>
                <c:pt idx="13">
                  <c:v>Tepehuano</c:v>
                </c:pt>
                <c:pt idx="14">
                  <c:v>Tseltal</c:v>
                </c:pt>
                <c:pt idx="15">
                  <c:v>Mazahua</c:v>
                </c:pt>
                <c:pt idx="16">
                  <c:v>Totonaco</c:v>
                </c:pt>
                <c:pt idx="17">
                  <c:v>Ch'ol</c:v>
                </c:pt>
              </c:strCache>
            </c:strRef>
          </c:cat>
          <c:val>
            <c:numRef>
              <c:f>BOLETIN!$H$329:$H$346</c:f>
              <c:numCache>
                <c:formatCode>0.0%</c:formatCode>
                <c:ptCount val="18"/>
                <c:pt idx="0">
                  <c:v>0.26600985221674878</c:v>
                </c:pt>
                <c:pt idx="1">
                  <c:v>0.16748768472906403</c:v>
                </c:pt>
                <c:pt idx="2">
                  <c:v>0.15270935960591134</c:v>
                </c:pt>
                <c:pt idx="3">
                  <c:v>8.2101806239737271E-2</c:v>
                </c:pt>
                <c:pt idx="4">
                  <c:v>7.3891625615763554E-2</c:v>
                </c:pt>
                <c:pt idx="5">
                  <c:v>2.7914614121510674E-2</c:v>
                </c:pt>
                <c:pt idx="6">
                  <c:v>2.7914614121510674E-2</c:v>
                </c:pt>
                <c:pt idx="7">
                  <c:v>2.2988505747126436E-2</c:v>
                </c:pt>
                <c:pt idx="8">
                  <c:v>1.4778325123152709E-2</c:v>
                </c:pt>
                <c:pt idx="9">
                  <c:v>1.3136288998357963E-2</c:v>
                </c:pt>
                <c:pt idx="10">
                  <c:v>8.2101806239737278E-3</c:v>
                </c:pt>
                <c:pt idx="11">
                  <c:v>6.5681444991789817E-3</c:v>
                </c:pt>
                <c:pt idx="12">
                  <c:v>6.5681444991789817E-3</c:v>
                </c:pt>
                <c:pt idx="13">
                  <c:v>6.5681444991789817E-3</c:v>
                </c:pt>
                <c:pt idx="14">
                  <c:v>6.5681444991789817E-3</c:v>
                </c:pt>
                <c:pt idx="15">
                  <c:v>3.2840722495894909E-3</c:v>
                </c:pt>
                <c:pt idx="16">
                  <c:v>3.2840722495894909E-3</c:v>
                </c:pt>
                <c:pt idx="17">
                  <c:v>1.6420361247947454E-3</c:v>
                </c:pt>
              </c:numCache>
            </c:numRef>
          </c:val>
          <c:extLst>
            <c:ext xmlns:c16="http://schemas.microsoft.com/office/drawing/2014/chart" uri="{C3380CC4-5D6E-409C-BE32-E72D297353CC}">
              <c16:uniqueId val="{00000000-11E7-48BE-ACE6-C0D5D533B685}"/>
            </c:ext>
          </c:extLst>
        </c:ser>
        <c:dLbls>
          <c:dLblPos val="outEnd"/>
          <c:showLegendKey val="0"/>
          <c:showVal val="1"/>
          <c:showCatName val="0"/>
          <c:showSerName val="0"/>
          <c:showPercent val="0"/>
          <c:showBubbleSize val="0"/>
        </c:dLbls>
        <c:gapWidth val="60"/>
        <c:overlap val="-27"/>
        <c:axId val="1181454143"/>
        <c:axId val="1181465791"/>
      </c:barChart>
      <c:catAx>
        <c:axId val="1181454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181465791"/>
        <c:crosses val="autoZero"/>
        <c:auto val="1"/>
        <c:lblAlgn val="ctr"/>
        <c:lblOffset val="100"/>
        <c:noMultiLvlLbl val="0"/>
      </c:catAx>
      <c:valAx>
        <c:axId val="1181465791"/>
        <c:scaling>
          <c:orientation val="minMax"/>
        </c:scaling>
        <c:delete val="1"/>
        <c:axPos val="l"/>
        <c:numFmt formatCode="0.0%" sourceLinked="1"/>
        <c:majorTickMark val="none"/>
        <c:minorTickMark val="none"/>
        <c:tickLblPos val="nextTo"/>
        <c:crossAx val="118145414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032790443133927E-2"/>
          <c:y val="0.18430605975984363"/>
          <c:w val="0.91915479631078234"/>
          <c:h val="0.48388982094914762"/>
        </c:manualLayout>
      </c:layout>
      <c:barChart>
        <c:barDir val="col"/>
        <c:grouping val="clustered"/>
        <c:varyColors val="0"/>
        <c:ser>
          <c:idx val="0"/>
          <c:order val="0"/>
          <c:tx>
            <c:strRef>
              <c:f>BOLETIN!$D$375</c:f>
              <c:strCache>
                <c:ptCount val="1"/>
                <c:pt idx="0">
                  <c:v>2019</c:v>
                </c:pt>
              </c:strCache>
            </c:strRef>
          </c:tx>
          <c:spPr>
            <a:solidFill>
              <a:srgbClr val="ECB538"/>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BOLETIN!$E$373:$H$374</c:f>
              <c:multiLvlStrCache>
                <c:ptCount val="4"/>
                <c:lvl>
                  <c:pt idx="0">
                    <c:v>Atendidos</c:v>
                  </c:pt>
                  <c:pt idx="1">
                    <c:v>Concluidos y/o resueltos</c:v>
                  </c:pt>
                  <c:pt idx="2">
                    <c:v>Atendidos</c:v>
                  </c:pt>
                  <c:pt idx="3">
                    <c:v>Concluidos y/o resueltos</c:v>
                  </c:pt>
                </c:lvl>
                <c:lvl>
                  <c:pt idx="0">
                    <c:v>Asuntos atendidos</c:v>
                  </c:pt>
                  <c:pt idx="2">
                    <c:v>Servicios atendidos</c:v>
                  </c:pt>
                </c:lvl>
              </c:multiLvlStrCache>
            </c:multiLvlStrRef>
          </c:cat>
          <c:val>
            <c:numRef>
              <c:f>BOLETIN!$E$375:$H$375</c:f>
              <c:numCache>
                <c:formatCode>#,##0</c:formatCode>
                <c:ptCount val="4"/>
                <c:pt idx="0">
                  <c:v>79954</c:v>
                </c:pt>
                <c:pt idx="1">
                  <c:v>69181</c:v>
                </c:pt>
                <c:pt idx="2">
                  <c:v>97958</c:v>
                </c:pt>
                <c:pt idx="3">
                  <c:v>96256</c:v>
                </c:pt>
              </c:numCache>
            </c:numRef>
          </c:val>
          <c:extLst>
            <c:ext xmlns:c16="http://schemas.microsoft.com/office/drawing/2014/chart" uri="{C3380CC4-5D6E-409C-BE32-E72D297353CC}">
              <c16:uniqueId val="{00000000-4E55-4662-A0B1-EC8A758E4C50}"/>
            </c:ext>
          </c:extLst>
        </c:ser>
        <c:ser>
          <c:idx val="1"/>
          <c:order val="1"/>
          <c:tx>
            <c:strRef>
              <c:f>BOLETIN!$D$376</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BOLETIN!$E$373:$H$374</c:f>
              <c:multiLvlStrCache>
                <c:ptCount val="4"/>
                <c:lvl>
                  <c:pt idx="0">
                    <c:v>Atendidos</c:v>
                  </c:pt>
                  <c:pt idx="1">
                    <c:v>Concluidos y/o resueltos</c:v>
                  </c:pt>
                  <c:pt idx="2">
                    <c:v>Atendidos</c:v>
                  </c:pt>
                  <c:pt idx="3">
                    <c:v>Concluidos y/o resueltos</c:v>
                  </c:pt>
                </c:lvl>
                <c:lvl>
                  <c:pt idx="0">
                    <c:v>Asuntos atendidos</c:v>
                  </c:pt>
                  <c:pt idx="2">
                    <c:v>Servicios atendidos</c:v>
                  </c:pt>
                </c:lvl>
              </c:multiLvlStrCache>
            </c:multiLvlStrRef>
          </c:cat>
          <c:val>
            <c:numRef>
              <c:f>BOLETIN!$E$376:$H$376</c:f>
              <c:numCache>
                <c:formatCode>#,##0</c:formatCode>
                <c:ptCount val="4"/>
                <c:pt idx="0">
                  <c:v>51819</c:v>
                </c:pt>
                <c:pt idx="1">
                  <c:v>42699</c:v>
                </c:pt>
                <c:pt idx="2">
                  <c:v>25851</c:v>
                </c:pt>
                <c:pt idx="3">
                  <c:v>24233</c:v>
                </c:pt>
              </c:numCache>
            </c:numRef>
          </c:val>
          <c:extLst>
            <c:ext xmlns:c16="http://schemas.microsoft.com/office/drawing/2014/chart" uri="{C3380CC4-5D6E-409C-BE32-E72D297353CC}">
              <c16:uniqueId val="{00000001-4E55-4662-A0B1-EC8A758E4C50}"/>
            </c:ext>
          </c:extLst>
        </c:ser>
        <c:ser>
          <c:idx val="2"/>
          <c:order val="2"/>
          <c:tx>
            <c:strRef>
              <c:f>BOLETIN!$D$377</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BOLETIN!$E$373:$H$374</c:f>
              <c:multiLvlStrCache>
                <c:ptCount val="4"/>
                <c:lvl>
                  <c:pt idx="0">
                    <c:v>Atendidos</c:v>
                  </c:pt>
                  <c:pt idx="1">
                    <c:v>Concluidos y/o resueltos</c:v>
                  </c:pt>
                  <c:pt idx="2">
                    <c:v>Atendidos</c:v>
                  </c:pt>
                  <c:pt idx="3">
                    <c:v>Concluidos y/o resueltos</c:v>
                  </c:pt>
                </c:lvl>
                <c:lvl>
                  <c:pt idx="0">
                    <c:v>Asuntos atendidos</c:v>
                  </c:pt>
                  <c:pt idx="2">
                    <c:v>Servicios atendidos</c:v>
                  </c:pt>
                </c:lvl>
              </c:multiLvlStrCache>
            </c:multiLvlStrRef>
          </c:cat>
          <c:val>
            <c:numRef>
              <c:f>BOLETIN!$E$377:$H$377</c:f>
              <c:numCache>
                <c:formatCode>#,##0</c:formatCode>
                <c:ptCount val="4"/>
                <c:pt idx="0">
                  <c:v>67452</c:v>
                </c:pt>
                <c:pt idx="1">
                  <c:v>57112</c:v>
                </c:pt>
                <c:pt idx="2">
                  <c:v>32320</c:v>
                </c:pt>
                <c:pt idx="3">
                  <c:v>26603</c:v>
                </c:pt>
              </c:numCache>
            </c:numRef>
          </c:val>
          <c:extLst>
            <c:ext xmlns:c16="http://schemas.microsoft.com/office/drawing/2014/chart" uri="{C3380CC4-5D6E-409C-BE32-E72D297353CC}">
              <c16:uniqueId val="{00000002-4E55-4662-A0B1-EC8A758E4C50}"/>
            </c:ext>
          </c:extLst>
        </c:ser>
        <c:dLbls>
          <c:dLblPos val="outEnd"/>
          <c:showLegendKey val="0"/>
          <c:showVal val="1"/>
          <c:showCatName val="0"/>
          <c:showSerName val="0"/>
          <c:showPercent val="0"/>
          <c:showBubbleSize val="0"/>
        </c:dLbls>
        <c:gapWidth val="50"/>
        <c:overlap val="-27"/>
        <c:axId val="1186407343"/>
        <c:axId val="1186408175"/>
      </c:barChart>
      <c:catAx>
        <c:axId val="1186407343"/>
        <c:scaling>
          <c:orientation val="minMax"/>
        </c:scaling>
        <c:delete val="0"/>
        <c:axPos val="b"/>
        <c:numFmt formatCode="General" sourceLinked="1"/>
        <c:majorTickMark val="none"/>
        <c:minorTickMark val="none"/>
        <c:tickLblPos val="nextTo"/>
        <c:spPr>
          <a:noFill/>
          <a:ln w="9525" cap="flat" cmpd="sng" algn="ctr">
            <a:solidFill>
              <a:schemeClr val="accent3"/>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186408175"/>
        <c:crosses val="autoZero"/>
        <c:auto val="1"/>
        <c:lblAlgn val="ctr"/>
        <c:lblOffset val="100"/>
        <c:noMultiLvlLbl val="0"/>
      </c:catAx>
      <c:valAx>
        <c:axId val="1186408175"/>
        <c:scaling>
          <c:orientation val="minMax"/>
          <c:max val="120000"/>
        </c:scaling>
        <c:delete val="1"/>
        <c:axPos val="l"/>
        <c:numFmt formatCode="#,##0" sourceLinked="1"/>
        <c:majorTickMark val="none"/>
        <c:minorTickMark val="none"/>
        <c:tickLblPos val="nextTo"/>
        <c:crossAx val="1186407343"/>
        <c:crosses val="autoZero"/>
        <c:crossBetween val="between"/>
      </c:valAx>
      <c:spPr>
        <a:noFill/>
        <a:ln>
          <a:noFill/>
        </a:ln>
        <a:effectLst/>
      </c:spPr>
    </c:plotArea>
    <c:legend>
      <c:legendPos val="b"/>
      <c:layout>
        <c:manualLayout>
          <c:xMode val="edge"/>
          <c:yMode val="edge"/>
          <c:x val="0.39960778251915419"/>
          <c:y val="0.90575192342789057"/>
          <c:w val="0.27415330519734998"/>
          <c:h val="9.42480765721095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494190785878729E-2"/>
          <c:y val="7.4450084602368863E-2"/>
          <c:w val="0.97323049635860359"/>
          <c:h val="0.62822654782365406"/>
        </c:manualLayout>
      </c:layout>
      <c:lineChart>
        <c:grouping val="standard"/>
        <c:varyColors val="0"/>
        <c:ser>
          <c:idx val="0"/>
          <c:order val="0"/>
          <c:tx>
            <c:strRef>
              <c:f>BOLETIN!$I$404</c:f>
              <c:strCache>
                <c:ptCount val="1"/>
                <c:pt idx="0">
                  <c:v>Juzgados de Distrito </c:v>
                </c:pt>
              </c:strCache>
            </c:strRef>
          </c:tx>
          <c:spPr>
            <a:ln w="28575" cap="rnd">
              <a:solidFill>
                <a:srgbClr val="6F9CC0"/>
              </a:solidFill>
              <a:round/>
            </a:ln>
            <a:effectLst>
              <a:outerShdw blurRad="50800" dist="38100" dir="2700000" algn="tl" rotWithShape="0">
                <a:prstClr val="black">
                  <a:alpha val="40000"/>
                </a:prstClr>
              </a:outerShdw>
            </a:effectLst>
          </c:spPr>
          <c:marker>
            <c:symbol val="diamond"/>
            <c:size val="5"/>
            <c:spPr>
              <a:solidFill>
                <a:srgbClr val="6F9CC0"/>
              </a:solidFill>
              <a:ln w="9525">
                <a:solidFill>
                  <a:srgbClr val="6F9CC0"/>
                </a:solidFill>
              </a:ln>
              <a:effectLst>
                <a:outerShdw blurRad="50800" dist="38100" dir="2700000" algn="tl" rotWithShape="0">
                  <a:prstClr val="black">
                    <a:alpha val="40000"/>
                  </a:prstClr>
                </a:outerShdw>
              </a:effectLst>
            </c:spPr>
          </c:marker>
          <c:dLbls>
            <c:numFmt formatCode="#\ ###\ ###\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BOLETIN!$J$403:$O$403</c:f>
              <c:numCache>
                <c:formatCode>General</c:formatCode>
                <c:ptCount val="6"/>
                <c:pt idx="0">
                  <c:v>2016</c:v>
                </c:pt>
                <c:pt idx="1">
                  <c:v>2017</c:v>
                </c:pt>
                <c:pt idx="2">
                  <c:v>2018</c:v>
                </c:pt>
                <c:pt idx="3">
                  <c:v>2019</c:v>
                </c:pt>
                <c:pt idx="4">
                  <c:v>2020</c:v>
                </c:pt>
                <c:pt idx="5">
                  <c:v>2021</c:v>
                </c:pt>
              </c:numCache>
            </c:numRef>
          </c:cat>
          <c:val>
            <c:numRef>
              <c:f>BOLETIN!$J$404:$O$404</c:f>
              <c:numCache>
                <c:formatCode>#,##0</c:formatCode>
                <c:ptCount val="6"/>
                <c:pt idx="0">
                  <c:v>18402</c:v>
                </c:pt>
                <c:pt idx="1">
                  <c:v>7818</c:v>
                </c:pt>
                <c:pt idx="2">
                  <c:v>4375</c:v>
                </c:pt>
                <c:pt idx="3">
                  <c:v>4116</c:v>
                </c:pt>
                <c:pt idx="4">
                  <c:v>407</c:v>
                </c:pt>
                <c:pt idx="5">
                  <c:v>439</c:v>
                </c:pt>
              </c:numCache>
            </c:numRef>
          </c:val>
          <c:smooth val="0"/>
          <c:extLst>
            <c:ext xmlns:c16="http://schemas.microsoft.com/office/drawing/2014/chart" uri="{C3380CC4-5D6E-409C-BE32-E72D297353CC}">
              <c16:uniqueId val="{00000000-1F5A-4FE8-9AC8-11477E481427}"/>
            </c:ext>
          </c:extLst>
        </c:ser>
        <c:ser>
          <c:idx val="1"/>
          <c:order val="1"/>
          <c:tx>
            <c:strRef>
              <c:f>BOLETIN!$I$405</c:f>
              <c:strCache>
                <c:ptCount val="1"/>
                <c:pt idx="0">
                  <c:v>Juez de Control o Garantías </c:v>
                </c:pt>
              </c:strCache>
            </c:strRef>
          </c:tx>
          <c:spPr>
            <a:ln w="28575" cap="rnd">
              <a:solidFill>
                <a:srgbClr val="706F6F"/>
              </a:solidFill>
              <a:round/>
            </a:ln>
            <a:effectLst>
              <a:outerShdw blurRad="50800" dist="38100" dir="2700000" algn="tl" rotWithShape="0">
                <a:prstClr val="black">
                  <a:alpha val="40000"/>
                </a:prstClr>
              </a:outerShdw>
            </a:effectLst>
          </c:spPr>
          <c:marker>
            <c:symbol val="diamond"/>
            <c:size val="5"/>
            <c:spPr>
              <a:solidFill>
                <a:srgbClr val="706F6F"/>
              </a:solidFill>
              <a:ln w="9525">
                <a:solidFill>
                  <a:srgbClr val="706F6F"/>
                </a:solidFill>
              </a:ln>
              <a:effectLst>
                <a:outerShdw blurRad="50800" dist="38100" dir="2700000" algn="tl" rotWithShape="0">
                  <a:prstClr val="black">
                    <a:alpha val="40000"/>
                  </a:prstClr>
                </a:outerShdw>
              </a:effectLst>
            </c:spPr>
          </c:marker>
          <c:dLbls>
            <c:numFmt formatCode="#\ ###\ ###\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BOLETIN!$J$403:$O$403</c:f>
              <c:numCache>
                <c:formatCode>General</c:formatCode>
                <c:ptCount val="6"/>
                <c:pt idx="0">
                  <c:v>2016</c:v>
                </c:pt>
                <c:pt idx="1">
                  <c:v>2017</c:v>
                </c:pt>
                <c:pt idx="2">
                  <c:v>2018</c:v>
                </c:pt>
                <c:pt idx="3">
                  <c:v>2019</c:v>
                </c:pt>
                <c:pt idx="4">
                  <c:v>2020</c:v>
                </c:pt>
                <c:pt idx="5">
                  <c:v>2021</c:v>
                </c:pt>
              </c:numCache>
            </c:numRef>
          </c:cat>
          <c:val>
            <c:numRef>
              <c:f>BOLETIN!$J$405:$O$405</c:f>
              <c:numCache>
                <c:formatCode>#,##0</c:formatCode>
                <c:ptCount val="6"/>
                <c:pt idx="0">
                  <c:v>7750</c:v>
                </c:pt>
                <c:pt idx="1">
                  <c:v>15884</c:v>
                </c:pt>
                <c:pt idx="2">
                  <c:v>15851</c:v>
                </c:pt>
                <c:pt idx="3">
                  <c:v>17029</c:v>
                </c:pt>
                <c:pt idx="4">
                  <c:v>12972</c:v>
                </c:pt>
                <c:pt idx="5">
                  <c:v>16186</c:v>
                </c:pt>
              </c:numCache>
            </c:numRef>
          </c:val>
          <c:smooth val="0"/>
          <c:extLst>
            <c:ext xmlns:c16="http://schemas.microsoft.com/office/drawing/2014/chart" uri="{C3380CC4-5D6E-409C-BE32-E72D297353CC}">
              <c16:uniqueId val="{00000001-1F5A-4FE8-9AC8-11477E481427}"/>
            </c:ext>
          </c:extLst>
        </c:ser>
        <c:dLbls>
          <c:dLblPos val="t"/>
          <c:showLegendKey val="0"/>
          <c:showVal val="1"/>
          <c:showCatName val="0"/>
          <c:showSerName val="0"/>
          <c:showPercent val="0"/>
          <c:showBubbleSize val="0"/>
        </c:dLbls>
        <c:marker val="1"/>
        <c:smooth val="0"/>
        <c:axId val="404011119"/>
        <c:axId val="403990735"/>
      </c:lineChart>
      <c:catAx>
        <c:axId val="40401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03990735"/>
        <c:crosses val="autoZero"/>
        <c:auto val="1"/>
        <c:lblAlgn val="ctr"/>
        <c:lblOffset val="100"/>
        <c:noMultiLvlLbl val="0"/>
      </c:catAx>
      <c:valAx>
        <c:axId val="403990735"/>
        <c:scaling>
          <c:orientation val="minMax"/>
        </c:scaling>
        <c:delete val="1"/>
        <c:axPos val="l"/>
        <c:numFmt formatCode="#,##0" sourceLinked="1"/>
        <c:majorTickMark val="none"/>
        <c:minorTickMark val="none"/>
        <c:tickLblPos val="nextTo"/>
        <c:crossAx val="404011119"/>
        <c:crosses val="autoZero"/>
        <c:crossBetween val="between"/>
      </c:valAx>
      <c:spPr>
        <a:noFill/>
        <a:ln>
          <a:noFill/>
        </a:ln>
        <a:effectLst/>
      </c:spPr>
    </c:plotArea>
    <c:legend>
      <c:legendPos val="b"/>
      <c:layout>
        <c:manualLayout>
          <c:xMode val="edge"/>
          <c:yMode val="edge"/>
          <c:x val="0.19256528087572672"/>
          <c:y val="0.84517686558215754"/>
          <c:w val="0.67402757249200507"/>
          <c:h val="0.15482313441784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210384394990484E-2"/>
          <c:y val="6.4383962540239981E-2"/>
          <c:w val="0.96080666894627464"/>
          <c:h val="0.67849266866224689"/>
        </c:manualLayout>
      </c:layout>
      <c:lineChart>
        <c:grouping val="standard"/>
        <c:varyColors val="0"/>
        <c:ser>
          <c:idx val="0"/>
          <c:order val="0"/>
          <c:tx>
            <c:strRef>
              <c:f>BOLETIN!$H$416</c:f>
              <c:strCache>
                <c:ptCount val="1"/>
                <c:pt idx="0">
                  <c:v>Juzgados de distrito</c:v>
                </c:pt>
              </c:strCache>
            </c:strRef>
          </c:tx>
          <c:spPr>
            <a:ln w="28575" cap="rnd">
              <a:solidFill>
                <a:srgbClr val="6F9CC0"/>
              </a:solidFill>
              <a:round/>
            </a:ln>
            <a:effectLst>
              <a:outerShdw blurRad="50800" dist="38100" dir="2700000" algn="tl" rotWithShape="0">
                <a:prstClr val="black">
                  <a:alpha val="40000"/>
                </a:prstClr>
              </a:outerShdw>
            </a:effectLst>
          </c:spPr>
          <c:marker>
            <c:symbol val="diamond"/>
            <c:size val="5"/>
            <c:spPr>
              <a:solidFill>
                <a:srgbClr val="6F9CC0"/>
              </a:solidFill>
              <a:ln w="9525">
                <a:solidFill>
                  <a:srgbClr val="6F9CC0"/>
                </a:solidFill>
              </a:ln>
              <a:effectLst>
                <a:outerShdw blurRad="50800" dist="38100" dir="2700000" algn="tl" rotWithShape="0">
                  <a:prstClr val="black">
                    <a:alpha val="40000"/>
                  </a:prstClr>
                </a:outerShdw>
              </a:effectLst>
            </c:spPr>
          </c:marker>
          <c:dLbls>
            <c:dLbl>
              <c:idx val="0"/>
              <c:layout>
                <c:manualLayout>
                  <c:x val="-5.0094229000672952E-2"/>
                  <c:y val="-4.46890143999778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151-4B0F-8F04-0CB70A30293A}"/>
                </c:ext>
              </c:extLst>
            </c:dLbl>
            <c:dLbl>
              <c:idx val="1"/>
              <c:layout>
                <c:manualLayout>
                  <c:x val="-2.4315922437119511E-2"/>
                  <c:y val="-3.6128297834588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151-4B0F-8F04-0CB70A30293A}"/>
                </c:ext>
              </c:extLst>
            </c:dLbl>
            <c:dLbl>
              <c:idx val="2"/>
              <c:layout>
                <c:manualLayout>
                  <c:x val="-2.5302399365457143E-2"/>
                  <c:y val="-2.442212282727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151-4B0F-8F04-0CB70A30293A}"/>
                </c:ext>
              </c:extLst>
            </c:dLbl>
            <c:dLbl>
              <c:idx val="3"/>
              <c:layout>
                <c:manualLayout>
                  <c:x val="-3.7200079317866348E-2"/>
                  <c:y val="-5.36875603455627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151-4B0F-8F04-0CB70A30293A}"/>
                </c:ext>
              </c:extLst>
            </c:dLbl>
            <c:dLbl>
              <c:idx val="4"/>
              <c:layout>
                <c:manualLayout>
                  <c:x val="-3.9183025976601227E-2"/>
                  <c:y val="-6.53937353528789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151-4B0F-8F04-0CB70A30293A}"/>
                </c:ext>
              </c:extLst>
            </c:dLbl>
            <c:dLbl>
              <c:idx val="5"/>
              <c:layout>
                <c:manualLayout>
                  <c:x val="-3.1251239341661706E-2"/>
                  <c:y val="-5.368756034556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51-4B0F-8F04-0CB70A30293A}"/>
                </c:ext>
              </c:extLst>
            </c:dLbl>
            <c:numFmt formatCode="#\ ###\ ###\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BOLETIN!$I$415:$N$415</c:f>
              <c:numCache>
                <c:formatCode>General</c:formatCode>
                <c:ptCount val="6"/>
                <c:pt idx="0">
                  <c:v>2016</c:v>
                </c:pt>
                <c:pt idx="1">
                  <c:v>2017</c:v>
                </c:pt>
                <c:pt idx="2">
                  <c:v>2018</c:v>
                </c:pt>
                <c:pt idx="3">
                  <c:v>2019</c:v>
                </c:pt>
                <c:pt idx="4">
                  <c:v>2020</c:v>
                </c:pt>
                <c:pt idx="5">
                  <c:v>2021</c:v>
                </c:pt>
              </c:numCache>
            </c:numRef>
          </c:cat>
          <c:val>
            <c:numRef>
              <c:f>BOLETIN!$I$416:$N$416</c:f>
              <c:numCache>
                <c:formatCode>#,##0</c:formatCode>
                <c:ptCount val="6"/>
                <c:pt idx="0">
                  <c:v>23424</c:v>
                </c:pt>
                <c:pt idx="1">
                  <c:v>12506</c:v>
                </c:pt>
                <c:pt idx="2">
                  <c:v>7475</c:v>
                </c:pt>
                <c:pt idx="3">
                  <c:v>5076</c:v>
                </c:pt>
                <c:pt idx="4">
                  <c:v>1893</c:v>
                </c:pt>
                <c:pt idx="5">
                  <c:v>1411</c:v>
                </c:pt>
              </c:numCache>
            </c:numRef>
          </c:val>
          <c:smooth val="0"/>
          <c:extLst>
            <c:ext xmlns:c16="http://schemas.microsoft.com/office/drawing/2014/chart" uri="{C3380CC4-5D6E-409C-BE32-E72D297353CC}">
              <c16:uniqueId val="{00000000-C151-4B0F-8F04-0CB70A30293A}"/>
            </c:ext>
          </c:extLst>
        </c:ser>
        <c:ser>
          <c:idx val="1"/>
          <c:order val="1"/>
          <c:tx>
            <c:strRef>
              <c:f>BOLETIN!$H$417</c:f>
              <c:strCache>
                <c:ptCount val="1"/>
                <c:pt idx="0">
                  <c:v>Juez de control o garantías </c:v>
                </c:pt>
              </c:strCache>
            </c:strRef>
          </c:tx>
          <c:spPr>
            <a:ln w="28575" cap="rnd">
              <a:solidFill>
                <a:srgbClr val="CCBBDC"/>
              </a:solidFill>
              <a:round/>
            </a:ln>
            <a:effectLst>
              <a:outerShdw blurRad="50800" dist="38100" dir="2700000" algn="tl" rotWithShape="0">
                <a:prstClr val="black">
                  <a:alpha val="40000"/>
                </a:prstClr>
              </a:outerShdw>
            </a:effectLst>
          </c:spPr>
          <c:marker>
            <c:symbol val="diamond"/>
            <c:size val="5"/>
            <c:spPr>
              <a:solidFill>
                <a:srgbClr val="CCBBDC"/>
              </a:solidFill>
              <a:ln w="9525">
                <a:solidFill>
                  <a:srgbClr val="CCBBDC"/>
                </a:solidFill>
              </a:ln>
              <a:effectLst>
                <a:outerShdw blurRad="50800" dist="38100" dir="2700000" algn="tl" rotWithShape="0">
                  <a:prstClr val="black">
                    <a:alpha val="40000"/>
                  </a:prstClr>
                </a:outerShdw>
              </a:effectLst>
            </c:spPr>
          </c:marker>
          <c:dLbls>
            <c:dLbl>
              <c:idx val="0"/>
              <c:layout>
                <c:manualLayout>
                  <c:x val="-4.5131865952805869E-2"/>
                  <c:y val="-6.53937353528789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151-4B0F-8F04-0CB70A30293A}"/>
                </c:ext>
              </c:extLst>
            </c:dLbl>
            <c:dLbl>
              <c:idx val="1"/>
              <c:layout>
                <c:manualLayout>
                  <c:x val="-4.3148919294070991E-2"/>
                  <c:y val="-5.368756034556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151-4B0F-8F04-0CB70A30293A}"/>
                </c:ext>
              </c:extLst>
            </c:dLbl>
            <c:dLbl>
              <c:idx val="2"/>
              <c:layout>
                <c:manualLayout>
                  <c:x val="-4.9097759270275702E-2"/>
                  <c:y val="-5.368756034556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151-4B0F-8F04-0CB70A30293A}"/>
                </c:ext>
              </c:extLst>
            </c:dLbl>
            <c:dLbl>
              <c:idx val="3"/>
              <c:layout>
                <c:manualLayout>
                  <c:x val="-5.207717565940783E-2"/>
                  <c:y val="-5.368756034556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151-4B0F-8F04-0CB70A30293A}"/>
                </c:ext>
              </c:extLst>
            </c:dLbl>
            <c:dLbl>
              <c:idx val="4"/>
              <c:layout>
                <c:manualLayout>
                  <c:x val="-2.3319452706722189E-2"/>
                  <c:y val="-4.19813853382463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151-4B0F-8F04-0CB70A30293A}"/>
                </c:ext>
              </c:extLst>
            </c:dLbl>
            <c:dLbl>
              <c:idx val="5"/>
              <c:layout>
                <c:manualLayout>
                  <c:x val="-3.3234186000396737E-2"/>
                  <c:y val="-6.53937353528789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151-4B0F-8F04-0CB70A30293A}"/>
                </c:ext>
              </c:extLst>
            </c:dLbl>
            <c:numFmt formatCode="#\ ###\ ###\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BOLETIN!$I$415:$N$415</c:f>
              <c:numCache>
                <c:formatCode>General</c:formatCode>
                <c:ptCount val="6"/>
                <c:pt idx="0">
                  <c:v>2016</c:v>
                </c:pt>
                <c:pt idx="1">
                  <c:v>2017</c:v>
                </c:pt>
                <c:pt idx="2">
                  <c:v>2018</c:v>
                </c:pt>
                <c:pt idx="3">
                  <c:v>2019</c:v>
                </c:pt>
                <c:pt idx="4">
                  <c:v>2020</c:v>
                </c:pt>
                <c:pt idx="5">
                  <c:v>2021</c:v>
                </c:pt>
              </c:numCache>
            </c:numRef>
          </c:cat>
          <c:val>
            <c:numRef>
              <c:f>BOLETIN!$I$417:$N$417</c:f>
              <c:numCache>
                <c:formatCode>#,##0</c:formatCode>
                <c:ptCount val="6"/>
                <c:pt idx="0">
                  <c:v>1689</c:v>
                </c:pt>
                <c:pt idx="1">
                  <c:v>4450</c:v>
                </c:pt>
                <c:pt idx="2">
                  <c:v>8930</c:v>
                </c:pt>
                <c:pt idx="3">
                  <c:v>13552</c:v>
                </c:pt>
                <c:pt idx="4">
                  <c:v>6335</c:v>
                </c:pt>
                <c:pt idx="5">
                  <c:v>4644</c:v>
                </c:pt>
              </c:numCache>
            </c:numRef>
          </c:val>
          <c:smooth val="0"/>
          <c:extLst>
            <c:ext xmlns:c16="http://schemas.microsoft.com/office/drawing/2014/chart" uri="{C3380CC4-5D6E-409C-BE32-E72D297353CC}">
              <c16:uniqueId val="{00000001-C151-4B0F-8F04-0CB70A30293A}"/>
            </c:ext>
          </c:extLst>
        </c:ser>
        <c:ser>
          <c:idx val="2"/>
          <c:order val="2"/>
          <c:tx>
            <c:strRef>
              <c:f>BOLETIN!$H$418</c:f>
              <c:strCache>
                <c:ptCount val="1"/>
                <c:pt idx="0">
                  <c:v>Juez de enjuiciamiento o juicio oral</c:v>
                </c:pt>
              </c:strCache>
            </c:strRef>
          </c:tx>
          <c:spPr>
            <a:ln w="28575" cap="rnd">
              <a:solidFill>
                <a:srgbClr val="EC68A0"/>
              </a:solidFill>
              <a:round/>
            </a:ln>
            <a:effectLst>
              <a:outerShdw blurRad="50800" dist="38100" dir="2700000" algn="tl" rotWithShape="0">
                <a:prstClr val="black">
                  <a:alpha val="40000"/>
                </a:prstClr>
              </a:outerShdw>
            </a:effectLst>
          </c:spPr>
          <c:marker>
            <c:symbol val="diamond"/>
            <c:size val="5"/>
            <c:spPr>
              <a:solidFill>
                <a:srgbClr val="EC68A0"/>
              </a:solidFill>
              <a:ln w="9525">
                <a:solidFill>
                  <a:srgbClr val="EC68A0"/>
                </a:solidFill>
              </a:ln>
              <a:effectLst>
                <a:outerShdw blurRad="50800" dist="38100" dir="2700000" algn="tl" rotWithShape="0">
                  <a:prstClr val="black">
                    <a:alpha val="40000"/>
                  </a:prstClr>
                </a:outerShdw>
              </a:effectLst>
            </c:spPr>
          </c:marker>
          <c:dLbls>
            <c:dLbl>
              <c:idx val="0"/>
              <c:layout>
                <c:manualLayout>
                  <c:x val="-4.0660399306124806E-2"/>
                  <c:y val="-3.02752103309298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51-4B0F-8F04-0CB70A30293A}"/>
                </c:ext>
              </c:extLst>
            </c:dLbl>
            <c:dLbl>
              <c:idx val="1"/>
              <c:layout>
                <c:manualLayout>
                  <c:x val="-3.1742135742847767E-2"/>
                  <c:y val="-4.198138533824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51-4B0F-8F04-0CB70A30293A}"/>
                </c:ext>
              </c:extLst>
            </c:dLbl>
            <c:dLbl>
              <c:idx val="2"/>
              <c:layout>
                <c:manualLayout>
                  <c:x val="-3.5708029060317489E-2"/>
                  <c:y val="-4.7834242405388527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1671702102079593E-2"/>
                      <c:h val="7.8109683172834288E-2"/>
                    </c:manualLayout>
                  </c15:layout>
                </c:ext>
                <c:ext xmlns:c16="http://schemas.microsoft.com/office/drawing/2014/chart" uri="{C3380CC4-5D6E-409C-BE32-E72D297353CC}">
                  <c16:uniqueId val="{00000005-C151-4B0F-8F04-0CB70A30293A}"/>
                </c:ext>
              </c:extLst>
            </c:dLbl>
            <c:dLbl>
              <c:idx val="3"/>
              <c:layout>
                <c:manualLayout>
                  <c:x val="-3.1742135742847732E-2"/>
                  <c:y val="-4.78344728419044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51-4B0F-8F04-0CB70A30293A}"/>
                </c:ext>
              </c:extLst>
            </c:dLbl>
            <c:dLbl>
              <c:idx val="4"/>
              <c:layout>
                <c:manualLayout>
                  <c:x val="-3.1742135742847878E-2"/>
                  <c:y val="-3.61282978345880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51-4B0F-8F04-0CB70A30293A}"/>
                </c:ext>
              </c:extLst>
            </c:dLbl>
            <c:dLbl>
              <c:idx val="5"/>
              <c:layout>
                <c:manualLayout>
                  <c:x val="-1.0916199425101606E-2"/>
                  <c:y val="-1.85690353236135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151-4B0F-8F04-0CB70A30293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BOLETIN!$I$415:$N$415</c:f>
              <c:numCache>
                <c:formatCode>General</c:formatCode>
                <c:ptCount val="6"/>
                <c:pt idx="0">
                  <c:v>2016</c:v>
                </c:pt>
                <c:pt idx="1">
                  <c:v>2017</c:v>
                </c:pt>
                <c:pt idx="2">
                  <c:v>2018</c:v>
                </c:pt>
                <c:pt idx="3">
                  <c:v>2019</c:v>
                </c:pt>
                <c:pt idx="4">
                  <c:v>2020</c:v>
                </c:pt>
                <c:pt idx="5">
                  <c:v>2021</c:v>
                </c:pt>
              </c:numCache>
            </c:numRef>
          </c:cat>
          <c:val>
            <c:numRef>
              <c:f>BOLETIN!$I$418:$N$418</c:f>
              <c:numCache>
                <c:formatCode>#,##0</c:formatCode>
                <c:ptCount val="6"/>
                <c:pt idx="0">
                  <c:v>39</c:v>
                </c:pt>
                <c:pt idx="1">
                  <c:v>176</c:v>
                </c:pt>
                <c:pt idx="2">
                  <c:v>659</c:v>
                </c:pt>
                <c:pt idx="3">
                  <c:v>618</c:v>
                </c:pt>
                <c:pt idx="4">
                  <c:v>194</c:v>
                </c:pt>
                <c:pt idx="5">
                  <c:v>28</c:v>
                </c:pt>
              </c:numCache>
            </c:numRef>
          </c:val>
          <c:smooth val="0"/>
          <c:extLst>
            <c:ext xmlns:c16="http://schemas.microsoft.com/office/drawing/2014/chart" uri="{C3380CC4-5D6E-409C-BE32-E72D297353CC}">
              <c16:uniqueId val="{00000002-C151-4B0F-8F04-0CB70A30293A}"/>
            </c:ext>
          </c:extLst>
        </c:ser>
        <c:dLbls>
          <c:dLblPos val="t"/>
          <c:showLegendKey val="0"/>
          <c:showVal val="1"/>
          <c:showCatName val="0"/>
          <c:showSerName val="0"/>
          <c:showPercent val="0"/>
          <c:showBubbleSize val="0"/>
        </c:dLbls>
        <c:marker val="1"/>
        <c:smooth val="0"/>
        <c:axId val="403957039"/>
        <c:axId val="403959119"/>
      </c:lineChart>
      <c:catAx>
        <c:axId val="403957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03959119"/>
        <c:crosses val="autoZero"/>
        <c:auto val="1"/>
        <c:lblAlgn val="ctr"/>
        <c:lblOffset val="100"/>
        <c:noMultiLvlLbl val="0"/>
      </c:catAx>
      <c:valAx>
        <c:axId val="403959119"/>
        <c:scaling>
          <c:orientation val="minMax"/>
        </c:scaling>
        <c:delete val="1"/>
        <c:axPos val="l"/>
        <c:numFmt formatCode="#,##0" sourceLinked="1"/>
        <c:majorTickMark val="none"/>
        <c:minorTickMark val="none"/>
        <c:tickLblPos val="nextTo"/>
        <c:crossAx val="403957039"/>
        <c:crosses val="autoZero"/>
        <c:crossBetween val="between"/>
      </c:valAx>
      <c:spPr>
        <a:noFill/>
        <a:ln>
          <a:noFill/>
        </a:ln>
        <a:effectLst/>
      </c:spPr>
    </c:plotArea>
    <c:legend>
      <c:legendPos val="b"/>
      <c:layout>
        <c:manualLayout>
          <c:xMode val="edge"/>
          <c:yMode val="edge"/>
          <c:x val="5.1982868589968791E-2"/>
          <c:y val="0.90664601955484281"/>
          <c:w val="0.92577830656355342"/>
          <c:h val="9.33539804451572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501173820784747E-2"/>
          <c:y val="0.14067084299833263"/>
          <c:w val="0.9541042554148631"/>
          <c:h val="0.2162180215724484"/>
        </c:manualLayout>
      </c:layout>
      <c:barChart>
        <c:barDir val="col"/>
        <c:grouping val="clustered"/>
        <c:varyColors val="0"/>
        <c:ser>
          <c:idx val="0"/>
          <c:order val="0"/>
          <c:tx>
            <c:strRef>
              <c:f>BOLETIN!$D$435</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BOLETIN!$B$436:$C$445</c:f>
              <c:multiLvlStrCache>
                <c:ptCount val="10"/>
                <c:lvl>
                  <c:pt idx="0">
                    <c:v>   Condenatoria</c:v>
                  </c:pt>
                  <c:pt idx="1">
                    <c:v>   Absolutoria</c:v>
                  </c:pt>
                  <c:pt idx="2">
                    <c:v>   Prescripción</c:v>
                  </c:pt>
                  <c:pt idx="3">
                    <c:v>   Amnistía</c:v>
                  </c:pt>
                  <c:pt idx="4">
                    <c:v>   Otro tipo de sobreseimiento</c:v>
                  </c:pt>
                  <c:pt idx="5">
                    <c:v>   Acumulación</c:v>
                  </c:pt>
                  <c:pt idx="6">
                    <c:v>   Incompetencia</c:v>
                  </c:pt>
                  <c:pt idx="7">
                    <c:v>   Impedimento</c:v>
                  </c:pt>
                  <c:pt idx="8">
                    <c:v>   Negativa de orden</c:v>
                  </c:pt>
                  <c:pt idx="9">
                    <c:v>   Otra resolución que pone fin a la instancia</c:v>
                  </c:pt>
                </c:lvl>
                <c:lvl>
                  <c:pt idx="0">
                    <c:v>Sentencia </c:v>
                  </c:pt>
                  <c:pt idx="2">
                    <c:v>Sobreseimiento</c:v>
                  </c:pt>
                  <c:pt idx="5">
                    <c:v>Resolución que pone fin a la instancia</c:v>
                  </c:pt>
                </c:lvl>
              </c:multiLvlStrCache>
            </c:multiLvlStrRef>
          </c:cat>
          <c:val>
            <c:numRef>
              <c:f>BOLETIN!$D$436:$D$445</c:f>
              <c:numCache>
                <c:formatCode>General</c:formatCode>
                <c:ptCount val="10"/>
                <c:pt idx="0">
                  <c:v>485</c:v>
                </c:pt>
                <c:pt idx="1">
                  <c:v>96</c:v>
                </c:pt>
                <c:pt idx="2">
                  <c:v>652</c:v>
                </c:pt>
                <c:pt idx="3">
                  <c:v>0</c:v>
                </c:pt>
                <c:pt idx="4">
                  <c:v>60</c:v>
                </c:pt>
                <c:pt idx="5">
                  <c:v>1</c:v>
                </c:pt>
                <c:pt idx="6">
                  <c:v>139</c:v>
                </c:pt>
                <c:pt idx="7">
                  <c:v>3</c:v>
                </c:pt>
                <c:pt idx="8">
                  <c:v>117</c:v>
                </c:pt>
                <c:pt idx="9">
                  <c:v>340</c:v>
                </c:pt>
              </c:numCache>
            </c:numRef>
          </c:val>
          <c:extLst>
            <c:ext xmlns:c16="http://schemas.microsoft.com/office/drawing/2014/chart" uri="{C3380CC4-5D6E-409C-BE32-E72D297353CC}">
              <c16:uniqueId val="{00000000-F259-4EF0-B9D1-7DDA9BACACC3}"/>
            </c:ext>
          </c:extLst>
        </c:ser>
        <c:ser>
          <c:idx val="1"/>
          <c:order val="1"/>
          <c:tx>
            <c:strRef>
              <c:f>BOLETIN!$E$435</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BOLETIN!$B$436:$C$445</c:f>
              <c:multiLvlStrCache>
                <c:ptCount val="10"/>
                <c:lvl>
                  <c:pt idx="0">
                    <c:v>   Condenatoria</c:v>
                  </c:pt>
                  <c:pt idx="1">
                    <c:v>   Absolutoria</c:v>
                  </c:pt>
                  <c:pt idx="2">
                    <c:v>   Prescripción</c:v>
                  </c:pt>
                  <c:pt idx="3">
                    <c:v>   Amnistía</c:v>
                  </c:pt>
                  <c:pt idx="4">
                    <c:v>   Otro tipo de sobreseimiento</c:v>
                  </c:pt>
                  <c:pt idx="5">
                    <c:v>   Acumulación</c:v>
                  </c:pt>
                  <c:pt idx="6">
                    <c:v>   Incompetencia</c:v>
                  </c:pt>
                  <c:pt idx="7">
                    <c:v>   Impedimento</c:v>
                  </c:pt>
                  <c:pt idx="8">
                    <c:v>   Negativa de orden</c:v>
                  </c:pt>
                  <c:pt idx="9">
                    <c:v>   Otra resolución que pone fin a la instancia</c:v>
                  </c:pt>
                </c:lvl>
                <c:lvl>
                  <c:pt idx="0">
                    <c:v>Sentencia </c:v>
                  </c:pt>
                  <c:pt idx="2">
                    <c:v>Sobreseimiento</c:v>
                  </c:pt>
                  <c:pt idx="5">
                    <c:v>Resolución que pone fin a la instancia</c:v>
                  </c:pt>
                </c:lvl>
              </c:multiLvlStrCache>
            </c:multiLvlStrRef>
          </c:cat>
          <c:val>
            <c:numRef>
              <c:f>BOLETIN!$E$436:$E$445</c:f>
              <c:numCache>
                <c:formatCode>General</c:formatCode>
                <c:ptCount val="10"/>
                <c:pt idx="0">
                  <c:v>442</c:v>
                </c:pt>
                <c:pt idx="1">
                  <c:v>82</c:v>
                </c:pt>
                <c:pt idx="2">
                  <c:v>493</c:v>
                </c:pt>
                <c:pt idx="3">
                  <c:v>0</c:v>
                </c:pt>
                <c:pt idx="4">
                  <c:v>48</c:v>
                </c:pt>
                <c:pt idx="5">
                  <c:v>0</c:v>
                </c:pt>
                <c:pt idx="6">
                  <c:v>94</c:v>
                </c:pt>
                <c:pt idx="7">
                  <c:v>6</c:v>
                </c:pt>
                <c:pt idx="8">
                  <c:v>123</c:v>
                </c:pt>
                <c:pt idx="9">
                  <c:v>123</c:v>
                </c:pt>
              </c:numCache>
            </c:numRef>
          </c:val>
          <c:extLst>
            <c:ext xmlns:c16="http://schemas.microsoft.com/office/drawing/2014/chart" uri="{C3380CC4-5D6E-409C-BE32-E72D297353CC}">
              <c16:uniqueId val="{00000001-F259-4EF0-B9D1-7DDA9BACACC3}"/>
            </c:ext>
          </c:extLst>
        </c:ser>
        <c:dLbls>
          <c:dLblPos val="outEnd"/>
          <c:showLegendKey val="0"/>
          <c:showVal val="1"/>
          <c:showCatName val="0"/>
          <c:showSerName val="0"/>
          <c:showPercent val="0"/>
          <c:showBubbleSize val="0"/>
        </c:dLbls>
        <c:gapWidth val="60"/>
        <c:overlap val="-27"/>
        <c:axId val="837693935"/>
        <c:axId val="837684367"/>
      </c:barChart>
      <c:catAx>
        <c:axId val="837693935"/>
        <c:scaling>
          <c:orientation val="minMax"/>
        </c:scaling>
        <c:delete val="0"/>
        <c:axPos val="b"/>
        <c:numFmt formatCode="General" sourceLinked="1"/>
        <c:majorTickMark val="none"/>
        <c:minorTickMark val="none"/>
        <c:tickLblPos val="nextTo"/>
        <c:spPr>
          <a:noFill/>
          <a:ln w="9525" cap="flat" cmpd="sng" algn="ctr">
            <a:solidFill>
              <a:schemeClr val="accent3">
                <a:lumMod val="60000"/>
                <a:lumOff val="4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37684367"/>
        <c:crosses val="autoZero"/>
        <c:auto val="1"/>
        <c:lblAlgn val="ctr"/>
        <c:lblOffset val="100"/>
        <c:noMultiLvlLbl val="0"/>
      </c:catAx>
      <c:valAx>
        <c:axId val="837684367"/>
        <c:scaling>
          <c:orientation val="minMax"/>
        </c:scaling>
        <c:delete val="1"/>
        <c:axPos val="l"/>
        <c:numFmt formatCode="General" sourceLinked="1"/>
        <c:majorTickMark val="none"/>
        <c:minorTickMark val="none"/>
        <c:tickLblPos val="nextTo"/>
        <c:crossAx val="837693935"/>
        <c:crosses val="autoZero"/>
        <c:crossBetween val="between"/>
      </c:valAx>
      <c:spPr>
        <a:noFill/>
        <a:ln>
          <a:noFill/>
        </a:ln>
        <a:effectLst/>
      </c:spPr>
    </c:plotArea>
    <c:legend>
      <c:legendPos val="b"/>
      <c:layout>
        <c:manualLayout>
          <c:xMode val="edge"/>
          <c:yMode val="edge"/>
          <c:x val="0.40870053197451228"/>
          <c:y val="0.92676077675786328"/>
          <c:w val="0.19237332914483782"/>
          <c:h val="7.323922324213666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649654655897699E-2"/>
          <c:y val="0.1012809055704498"/>
          <c:w val="0.91273297283746968"/>
          <c:h val="0.43468929654570654"/>
        </c:manualLayout>
      </c:layout>
      <c:barChart>
        <c:barDir val="col"/>
        <c:grouping val="clustered"/>
        <c:varyColors val="0"/>
        <c:ser>
          <c:idx val="0"/>
          <c:order val="0"/>
          <c:tx>
            <c:strRef>
              <c:f>BOLETIN!$G$449</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dLbl>
              <c:idx val="4"/>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6="http://schemas.microsoft.com/office/drawing/2014/chart" uri="{C3380CC4-5D6E-409C-BE32-E72D297353CC}">
                  <c16:uniqueId val="{00000000-A23A-4D9A-9870-11432086EBDC}"/>
                </c:ext>
              </c:extLst>
            </c:dLbl>
            <c:numFmt formatCode="#\ ###\ ###\ ###"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BOLETIN!$F$450:$F$456</c:f>
              <c:strCache>
                <c:ptCount val="7"/>
                <c:pt idx="0">
                  <c:v>Sentencias definitivas condenatorias en procedimiento abreviado</c:v>
                </c:pt>
                <c:pt idx="1">
                  <c:v>Sobreseimiento</c:v>
                </c:pt>
                <c:pt idx="2">
                  <c:v>Acuerdos reparatorios (cumplidos)</c:v>
                </c:pt>
                <c:pt idx="3">
                  <c:v>Suspensión condicional del proceso (cumplidos)</c:v>
                </c:pt>
                <c:pt idx="4">
                  <c:v>Apertura de juicio oral</c:v>
                </c:pt>
                <c:pt idx="5">
                  <c:v>Otro tipo de determinación y/o conclusión</c:v>
                </c:pt>
                <c:pt idx="6">
                  <c:v>No identificado</c:v>
                </c:pt>
              </c:strCache>
            </c:strRef>
          </c:cat>
          <c:val>
            <c:numRef>
              <c:f>BOLETIN!$G$450:$G$456</c:f>
              <c:numCache>
                <c:formatCode>#,##0</c:formatCode>
                <c:ptCount val="7"/>
                <c:pt idx="0">
                  <c:v>4462</c:v>
                </c:pt>
                <c:pt idx="1">
                  <c:v>77</c:v>
                </c:pt>
                <c:pt idx="2">
                  <c:v>209</c:v>
                </c:pt>
                <c:pt idx="3">
                  <c:v>2176</c:v>
                </c:pt>
                <c:pt idx="4">
                  <c:v>0</c:v>
                </c:pt>
                <c:pt idx="5">
                  <c:v>10</c:v>
                </c:pt>
                <c:pt idx="6">
                  <c:v>1736</c:v>
                </c:pt>
              </c:numCache>
            </c:numRef>
          </c:val>
          <c:extLst>
            <c:ext xmlns:c16="http://schemas.microsoft.com/office/drawing/2014/chart" uri="{C3380CC4-5D6E-409C-BE32-E72D297353CC}">
              <c16:uniqueId val="{00000000-B168-412C-B52E-B655D7A7ACE0}"/>
            </c:ext>
          </c:extLst>
        </c:ser>
        <c:ser>
          <c:idx val="1"/>
          <c:order val="1"/>
          <c:tx>
            <c:strRef>
              <c:f>BOLETIN!$H$449</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8DD-4E4C-8ECB-24DE0CF7772A}"/>
                </c:ext>
              </c:extLst>
            </c:dLbl>
            <c:numFmt formatCode="#\ ###\ ###\ ###"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BOLETIN!$F$450:$F$456</c:f>
              <c:strCache>
                <c:ptCount val="7"/>
                <c:pt idx="0">
                  <c:v>Sentencias definitivas condenatorias en procedimiento abreviado</c:v>
                </c:pt>
                <c:pt idx="1">
                  <c:v>Sobreseimiento</c:v>
                </c:pt>
                <c:pt idx="2">
                  <c:v>Acuerdos reparatorios (cumplidos)</c:v>
                </c:pt>
                <c:pt idx="3">
                  <c:v>Suspensión condicional del proceso (cumplidos)</c:v>
                </c:pt>
                <c:pt idx="4">
                  <c:v>Apertura de juicio oral</c:v>
                </c:pt>
                <c:pt idx="5">
                  <c:v>Otro tipo de determinación y/o conclusión</c:v>
                </c:pt>
                <c:pt idx="6">
                  <c:v>No identificado</c:v>
                </c:pt>
              </c:strCache>
            </c:strRef>
          </c:cat>
          <c:val>
            <c:numRef>
              <c:f>BOLETIN!$H$450:$H$456</c:f>
              <c:numCache>
                <c:formatCode>#,##0</c:formatCode>
                <c:ptCount val="7"/>
                <c:pt idx="0">
                  <c:v>3005</c:v>
                </c:pt>
                <c:pt idx="1">
                  <c:v>6</c:v>
                </c:pt>
                <c:pt idx="2">
                  <c:v>0</c:v>
                </c:pt>
                <c:pt idx="3">
                  <c:v>286</c:v>
                </c:pt>
                <c:pt idx="4">
                  <c:v>3</c:v>
                </c:pt>
                <c:pt idx="5">
                  <c:v>12</c:v>
                </c:pt>
                <c:pt idx="6">
                  <c:v>1332</c:v>
                </c:pt>
              </c:numCache>
            </c:numRef>
          </c:val>
          <c:extLst>
            <c:ext xmlns:c16="http://schemas.microsoft.com/office/drawing/2014/chart" uri="{C3380CC4-5D6E-409C-BE32-E72D297353CC}">
              <c16:uniqueId val="{00000001-B168-412C-B52E-B655D7A7ACE0}"/>
            </c:ext>
          </c:extLst>
        </c:ser>
        <c:dLbls>
          <c:dLblPos val="outEnd"/>
          <c:showLegendKey val="0"/>
          <c:showVal val="1"/>
          <c:showCatName val="0"/>
          <c:showSerName val="0"/>
          <c:showPercent val="0"/>
          <c:showBubbleSize val="0"/>
        </c:dLbls>
        <c:gapWidth val="60"/>
        <c:overlap val="-27"/>
        <c:axId val="706360415"/>
        <c:axId val="706371647"/>
      </c:barChart>
      <c:catAx>
        <c:axId val="706360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706371647"/>
        <c:crosses val="autoZero"/>
        <c:auto val="1"/>
        <c:lblAlgn val="ctr"/>
        <c:lblOffset val="100"/>
        <c:noMultiLvlLbl val="0"/>
      </c:catAx>
      <c:valAx>
        <c:axId val="706371647"/>
        <c:scaling>
          <c:orientation val="minMax"/>
        </c:scaling>
        <c:delete val="1"/>
        <c:axPos val="l"/>
        <c:numFmt formatCode="#,##0" sourceLinked="1"/>
        <c:majorTickMark val="none"/>
        <c:minorTickMark val="none"/>
        <c:tickLblPos val="nextTo"/>
        <c:crossAx val="706360415"/>
        <c:crosses val="autoZero"/>
        <c:crossBetween val="between"/>
      </c:valAx>
      <c:spPr>
        <a:noFill/>
        <a:ln>
          <a:noFill/>
        </a:ln>
        <a:effectLst/>
      </c:spPr>
    </c:plotArea>
    <c:legend>
      <c:legendPos val="b"/>
      <c:layout>
        <c:manualLayout>
          <c:xMode val="edge"/>
          <c:yMode val="edge"/>
          <c:x val="0.37944121335820541"/>
          <c:y val="0.86073523651366646"/>
          <c:w val="0.2434195056373456"/>
          <c:h val="7.09498556897469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CJF!$J$62</c:f>
              <c:strCache>
                <c:ptCount val="1"/>
                <c:pt idx="0">
                  <c:v>Hombres</c:v>
                </c:pt>
              </c:strCache>
            </c:strRef>
          </c:tx>
          <c:spPr>
            <a:solidFill>
              <a:srgbClr val="ECB538"/>
            </a:solidFill>
            <a:ln>
              <a:noFill/>
            </a:ln>
            <a:effectLst>
              <a:outerShdw blurRad="50800" dist="38100" dir="2700000" algn="tl" rotWithShape="0">
                <a:prstClr val="black">
                  <a:alpha val="40000"/>
                </a:prstClr>
              </a:outerShdw>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CJF!$F$63:$F$65</c:f>
              <c:strCache>
                <c:ptCount val="3"/>
                <c:pt idx="0">
                  <c:v>Tribunales Colegiados de Circuito</c:v>
                </c:pt>
                <c:pt idx="1">
                  <c:v>Tribunales Unitarios de Circuito</c:v>
                </c:pt>
                <c:pt idx="2">
                  <c:v>Jueces de Distrito*</c:v>
                </c:pt>
              </c:strCache>
            </c:strRef>
          </c:cat>
          <c:val>
            <c:numRef>
              <c:f>CJF!$J$63:$J$65</c:f>
              <c:numCache>
                <c:formatCode>0.0%</c:formatCode>
                <c:ptCount val="3"/>
                <c:pt idx="0">
                  <c:v>0.79288437102922493</c:v>
                </c:pt>
                <c:pt idx="1">
                  <c:v>0.72043010752688175</c:v>
                </c:pt>
                <c:pt idx="2">
                  <c:v>0.69526627218934911</c:v>
                </c:pt>
              </c:numCache>
            </c:numRef>
          </c:val>
          <c:extLst>
            <c:ext xmlns:c16="http://schemas.microsoft.com/office/drawing/2014/chart" uri="{C3380CC4-5D6E-409C-BE32-E72D297353CC}">
              <c16:uniqueId val="{00000000-0964-4F9B-AD95-A603A2BB3894}"/>
            </c:ext>
          </c:extLst>
        </c:ser>
        <c:ser>
          <c:idx val="1"/>
          <c:order val="1"/>
          <c:tx>
            <c:strRef>
              <c:f>CJF!$K$62</c:f>
              <c:strCache>
                <c:ptCount val="1"/>
                <c:pt idx="0">
                  <c:v>Mujeres</c:v>
                </c:pt>
              </c:strCache>
            </c:strRef>
          </c:tx>
          <c:spPr>
            <a:solidFill>
              <a:srgbClr val="8E61A5"/>
            </a:solidFill>
            <a:ln>
              <a:noFill/>
            </a:ln>
            <a:effectLst>
              <a:outerShdw blurRad="50800" dist="38100" dir="2700000" algn="tl" rotWithShape="0">
                <a:prstClr val="black">
                  <a:alpha val="40000"/>
                </a:prstClr>
              </a:outerShdw>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CJF!$F$63:$F$65</c:f>
              <c:strCache>
                <c:ptCount val="3"/>
                <c:pt idx="0">
                  <c:v>Tribunales Colegiados de Circuito</c:v>
                </c:pt>
                <c:pt idx="1">
                  <c:v>Tribunales Unitarios de Circuito</c:v>
                </c:pt>
                <c:pt idx="2">
                  <c:v>Jueces de Distrito*</c:v>
                </c:pt>
              </c:strCache>
            </c:strRef>
          </c:cat>
          <c:val>
            <c:numRef>
              <c:f>CJF!$K$63:$K$65</c:f>
              <c:numCache>
                <c:formatCode>0.0%</c:formatCode>
                <c:ptCount val="3"/>
                <c:pt idx="0">
                  <c:v>0.2071156289707751</c:v>
                </c:pt>
                <c:pt idx="1">
                  <c:v>0.27956989247311825</c:v>
                </c:pt>
                <c:pt idx="2">
                  <c:v>0.30473372781065089</c:v>
                </c:pt>
              </c:numCache>
            </c:numRef>
          </c:val>
          <c:extLst>
            <c:ext xmlns:c16="http://schemas.microsoft.com/office/drawing/2014/chart" uri="{C3380CC4-5D6E-409C-BE32-E72D297353CC}">
              <c16:uniqueId val="{00000001-0964-4F9B-AD95-A603A2BB3894}"/>
            </c:ext>
          </c:extLst>
        </c:ser>
        <c:dLbls>
          <c:dLblPos val="ctr"/>
          <c:showLegendKey val="0"/>
          <c:showVal val="1"/>
          <c:showCatName val="0"/>
          <c:showSerName val="0"/>
          <c:showPercent val="0"/>
          <c:showBubbleSize val="0"/>
        </c:dLbls>
        <c:gapWidth val="150"/>
        <c:overlap val="100"/>
        <c:axId val="296006112"/>
        <c:axId val="295993632"/>
      </c:barChart>
      <c:catAx>
        <c:axId val="29600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95993632"/>
        <c:crosses val="autoZero"/>
        <c:auto val="1"/>
        <c:lblAlgn val="ctr"/>
        <c:lblOffset val="100"/>
        <c:noMultiLvlLbl val="0"/>
      </c:catAx>
      <c:valAx>
        <c:axId val="295993632"/>
        <c:scaling>
          <c:orientation val="minMax"/>
          <c:max val="1"/>
        </c:scaling>
        <c:delete val="1"/>
        <c:axPos val="l"/>
        <c:numFmt formatCode="0.0%" sourceLinked="1"/>
        <c:majorTickMark val="none"/>
        <c:minorTickMark val="none"/>
        <c:tickLblPos val="nextTo"/>
        <c:crossAx val="296006112"/>
        <c:crosses val="autoZero"/>
        <c:crossBetween val="between"/>
      </c:valAx>
      <c:spPr>
        <a:noFill/>
        <a:ln>
          <a:noFill/>
        </a:ln>
        <a:effectLst/>
      </c:spPr>
    </c:plotArea>
    <c:legend>
      <c:legendPos val="b"/>
      <c:layout>
        <c:manualLayout>
          <c:xMode val="edge"/>
          <c:yMode val="edge"/>
          <c:x val="0.33499618363839606"/>
          <c:y val="0.87088118607670173"/>
          <c:w val="0.34001388663190091"/>
          <c:h val="9.83021729371656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BOLETIN!$G$469</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dLbl>
              <c:idx val="4"/>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7A0-4DAC-A0CE-14C372D7DC3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BOLETIN!$F$470:$F$476</c:f>
              <c:strCache>
                <c:ptCount val="7"/>
                <c:pt idx="0">
                  <c:v>Sentencia definitiva condenatoria</c:v>
                </c:pt>
                <c:pt idx="1">
                  <c:v>Sentencia definitiva absolutoria</c:v>
                </c:pt>
                <c:pt idx="2">
                  <c:v>Sentencia definitiva mixta</c:v>
                </c:pt>
                <c:pt idx="3">
                  <c:v>Sobreseimiento</c:v>
                </c:pt>
                <c:pt idx="4">
                  <c:v>Amnistía</c:v>
                </c:pt>
                <c:pt idx="5">
                  <c:v>Otro</c:v>
                </c:pt>
                <c:pt idx="6">
                  <c:v>No identificado</c:v>
                </c:pt>
              </c:strCache>
            </c:strRef>
          </c:cat>
          <c:val>
            <c:numRef>
              <c:f>BOLETIN!$G$470:$G$476</c:f>
              <c:numCache>
                <c:formatCode>General</c:formatCode>
                <c:ptCount val="7"/>
                <c:pt idx="0">
                  <c:v>222</c:v>
                </c:pt>
                <c:pt idx="1">
                  <c:v>98</c:v>
                </c:pt>
                <c:pt idx="2">
                  <c:v>0</c:v>
                </c:pt>
                <c:pt idx="3">
                  <c:v>3</c:v>
                </c:pt>
                <c:pt idx="4">
                  <c:v>0</c:v>
                </c:pt>
                <c:pt idx="5">
                  <c:v>0</c:v>
                </c:pt>
                <c:pt idx="6">
                  <c:v>53</c:v>
                </c:pt>
              </c:numCache>
            </c:numRef>
          </c:val>
          <c:extLst>
            <c:ext xmlns:c16="http://schemas.microsoft.com/office/drawing/2014/chart" uri="{C3380CC4-5D6E-409C-BE32-E72D297353CC}">
              <c16:uniqueId val="{00000000-97A0-4DAC-A0CE-14C372D7DC31}"/>
            </c:ext>
          </c:extLst>
        </c:ser>
        <c:ser>
          <c:idx val="1"/>
          <c:order val="1"/>
          <c:tx>
            <c:strRef>
              <c:f>BOLETIN!$H$469</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BOLETIN!$F$470:$F$476</c:f>
              <c:strCache>
                <c:ptCount val="7"/>
                <c:pt idx="0">
                  <c:v>Sentencia definitiva condenatoria</c:v>
                </c:pt>
                <c:pt idx="1">
                  <c:v>Sentencia definitiva absolutoria</c:v>
                </c:pt>
                <c:pt idx="2">
                  <c:v>Sentencia definitiva mixta</c:v>
                </c:pt>
                <c:pt idx="3">
                  <c:v>Sobreseimiento</c:v>
                </c:pt>
                <c:pt idx="4">
                  <c:v>Amnistía</c:v>
                </c:pt>
                <c:pt idx="5">
                  <c:v>Otro</c:v>
                </c:pt>
                <c:pt idx="6">
                  <c:v>No identificado</c:v>
                </c:pt>
              </c:strCache>
            </c:strRef>
          </c:cat>
          <c:val>
            <c:numRef>
              <c:f>BOLETIN!$H$470:$H$476</c:f>
              <c:numCache>
                <c:formatCode>General</c:formatCode>
                <c:ptCount val="7"/>
                <c:pt idx="0">
                  <c:v>21</c:v>
                </c:pt>
                <c:pt idx="1">
                  <c:v>7</c:v>
                </c:pt>
                <c:pt idx="2">
                  <c:v>0</c:v>
                </c:pt>
                <c:pt idx="3">
                  <c:v>0</c:v>
                </c:pt>
                <c:pt idx="4">
                  <c:v>0</c:v>
                </c:pt>
                <c:pt idx="5">
                  <c:v>0</c:v>
                </c:pt>
                <c:pt idx="6">
                  <c:v>0</c:v>
                </c:pt>
              </c:numCache>
            </c:numRef>
          </c:val>
          <c:extLst>
            <c:ext xmlns:c16="http://schemas.microsoft.com/office/drawing/2014/chart" uri="{C3380CC4-5D6E-409C-BE32-E72D297353CC}">
              <c16:uniqueId val="{00000001-97A0-4DAC-A0CE-14C372D7DC31}"/>
            </c:ext>
          </c:extLst>
        </c:ser>
        <c:dLbls>
          <c:dLblPos val="outEnd"/>
          <c:showLegendKey val="0"/>
          <c:showVal val="1"/>
          <c:showCatName val="0"/>
          <c:showSerName val="0"/>
          <c:showPercent val="0"/>
          <c:showBubbleSize val="0"/>
        </c:dLbls>
        <c:gapWidth val="50"/>
        <c:overlap val="-27"/>
        <c:axId val="889772287"/>
        <c:axId val="889772703"/>
      </c:barChart>
      <c:catAx>
        <c:axId val="889772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89772703"/>
        <c:crosses val="autoZero"/>
        <c:auto val="1"/>
        <c:lblAlgn val="ctr"/>
        <c:lblOffset val="100"/>
        <c:noMultiLvlLbl val="0"/>
      </c:catAx>
      <c:valAx>
        <c:axId val="889772703"/>
        <c:scaling>
          <c:orientation val="minMax"/>
        </c:scaling>
        <c:delete val="1"/>
        <c:axPos val="l"/>
        <c:numFmt formatCode="General" sourceLinked="1"/>
        <c:majorTickMark val="none"/>
        <c:minorTickMark val="none"/>
        <c:tickLblPos val="nextTo"/>
        <c:crossAx val="889772287"/>
        <c:crosses val="autoZero"/>
        <c:crossBetween val="between"/>
      </c:valAx>
      <c:spPr>
        <a:noFill/>
        <a:ln>
          <a:noFill/>
        </a:ln>
        <a:effectLst/>
      </c:spPr>
    </c:plotArea>
    <c:legend>
      <c:legendPos val="b"/>
      <c:layout>
        <c:manualLayout>
          <c:xMode val="edge"/>
          <c:yMode val="edge"/>
          <c:x val="0.39316226905307272"/>
          <c:y val="0.8798273881245271"/>
          <c:w val="0.25135129227228514"/>
          <c:h val="8.732289931045780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BOLETIN!$A$559</c:f>
              <c:strCache>
                <c:ptCount val="1"/>
                <c:pt idx="0">
                  <c:v>Juzgados de distrito </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0"/>
              <c:layout>
                <c:manualLayout>
                  <c:x val="-9.2135498781529758E-18"/>
                  <c:y val="1.7296050735082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66-4634-A079-5FB34F9AA49D}"/>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BOLETIN!$B$558:$G$558</c:f>
              <c:numCache>
                <c:formatCode>General</c:formatCode>
                <c:ptCount val="6"/>
                <c:pt idx="0">
                  <c:v>2016</c:v>
                </c:pt>
                <c:pt idx="1">
                  <c:v>2017</c:v>
                </c:pt>
                <c:pt idx="2">
                  <c:v>2018</c:v>
                </c:pt>
                <c:pt idx="3">
                  <c:v>2019</c:v>
                </c:pt>
                <c:pt idx="4">
                  <c:v>2020</c:v>
                </c:pt>
                <c:pt idx="5">
                  <c:v>2021</c:v>
                </c:pt>
              </c:numCache>
            </c:numRef>
          </c:cat>
          <c:val>
            <c:numRef>
              <c:f>BOLETIN!$B$559:$G$559</c:f>
              <c:numCache>
                <c:formatCode>#,##0</c:formatCode>
                <c:ptCount val="6"/>
                <c:pt idx="0">
                  <c:v>24976</c:v>
                </c:pt>
                <c:pt idx="1">
                  <c:v>8037</c:v>
                </c:pt>
                <c:pt idx="2">
                  <c:v>5336</c:v>
                </c:pt>
                <c:pt idx="3">
                  <c:v>16055</c:v>
                </c:pt>
                <c:pt idx="4">
                  <c:v>1679</c:v>
                </c:pt>
                <c:pt idx="5">
                  <c:v>1649</c:v>
                </c:pt>
              </c:numCache>
            </c:numRef>
          </c:val>
          <c:extLst>
            <c:ext xmlns:c16="http://schemas.microsoft.com/office/drawing/2014/chart" uri="{C3380CC4-5D6E-409C-BE32-E72D297353CC}">
              <c16:uniqueId val="{00000000-4F66-4634-A079-5FB34F9AA49D}"/>
            </c:ext>
          </c:extLst>
        </c:ser>
        <c:ser>
          <c:idx val="1"/>
          <c:order val="1"/>
          <c:tx>
            <c:strRef>
              <c:f>BOLETIN!$A$560</c:f>
              <c:strCache>
                <c:ptCount val="1"/>
                <c:pt idx="0">
                  <c:v>Juez de control o garantías</c:v>
                </c:pt>
              </c:strCache>
            </c:strRef>
          </c:tx>
          <c:spPr>
            <a:solidFill>
              <a:srgbClr val="CCBBDC"/>
            </a:solidFill>
            <a:ln>
              <a:noFill/>
            </a:ln>
            <a:effectLst>
              <a:outerShdw blurRad="50800" dist="38100" dir="2700000" algn="tl" rotWithShape="0">
                <a:prstClr val="black">
                  <a:alpha val="40000"/>
                </a:prstClr>
              </a:outerShdw>
            </a:effectLst>
          </c:spPr>
          <c:invertIfNegative val="0"/>
          <c:dLbls>
            <c:dLbl>
              <c:idx val="0"/>
              <c:layout>
                <c:manualLayout>
                  <c:x val="0"/>
                  <c:y val="1.7296050735082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66-4634-A079-5FB34F9AA49D}"/>
                </c:ext>
              </c:extLst>
            </c:dLbl>
            <c:dLbl>
              <c:idx val="1"/>
              <c:layout>
                <c:manualLayout>
                  <c:x val="-3.6854199512611903E-17"/>
                  <c:y val="0.23061400980109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66-4634-A079-5FB34F9AA49D}"/>
                </c:ext>
              </c:extLst>
            </c:dLbl>
            <c:dLbl>
              <c:idx val="2"/>
              <c:layout>
                <c:manualLayout>
                  <c:x val="-7.3708399025223806E-17"/>
                  <c:y val="0.230614009801095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66-4634-A079-5FB34F9AA49D}"/>
                </c:ext>
              </c:extLst>
            </c:dLbl>
            <c:dLbl>
              <c:idx val="3"/>
              <c:layout>
                <c:manualLayout>
                  <c:x val="0"/>
                  <c:y val="0.247910060536177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66-4634-A079-5FB34F9AA49D}"/>
                </c:ext>
              </c:extLst>
            </c:dLbl>
            <c:dLbl>
              <c:idx val="4"/>
              <c:layout>
                <c:manualLayout>
                  <c:x val="0"/>
                  <c:y val="0.21908330931104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66-4634-A079-5FB34F9AA49D}"/>
                </c:ext>
              </c:extLst>
            </c:dLbl>
            <c:dLbl>
              <c:idx val="5"/>
              <c:layout>
                <c:manualLayout>
                  <c:x val="0"/>
                  <c:y val="0.242144710291150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66-4634-A079-5FB34F9AA49D}"/>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BOLETIN!$B$558:$G$558</c:f>
              <c:numCache>
                <c:formatCode>General</c:formatCode>
                <c:ptCount val="6"/>
                <c:pt idx="0">
                  <c:v>2016</c:v>
                </c:pt>
                <c:pt idx="1">
                  <c:v>2017</c:v>
                </c:pt>
                <c:pt idx="2">
                  <c:v>2018</c:v>
                </c:pt>
                <c:pt idx="3">
                  <c:v>2019</c:v>
                </c:pt>
                <c:pt idx="4">
                  <c:v>2020</c:v>
                </c:pt>
                <c:pt idx="5">
                  <c:v>2021</c:v>
                </c:pt>
              </c:numCache>
            </c:numRef>
          </c:cat>
          <c:val>
            <c:numRef>
              <c:f>BOLETIN!$B$560:$G$560</c:f>
              <c:numCache>
                <c:formatCode>#,##0</c:formatCode>
                <c:ptCount val="6"/>
                <c:pt idx="0">
                  <c:v>12987</c:v>
                </c:pt>
                <c:pt idx="1">
                  <c:v>28187</c:v>
                </c:pt>
                <c:pt idx="2">
                  <c:v>28325</c:v>
                </c:pt>
                <c:pt idx="3">
                  <c:v>32061</c:v>
                </c:pt>
                <c:pt idx="4">
                  <c:v>25866</c:v>
                </c:pt>
                <c:pt idx="5">
                  <c:v>31508</c:v>
                </c:pt>
              </c:numCache>
            </c:numRef>
          </c:val>
          <c:extLst>
            <c:ext xmlns:c16="http://schemas.microsoft.com/office/drawing/2014/chart" uri="{C3380CC4-5D6E-409C-BE32-E72D297353CC}">
              <c16:uniqueId val="{00000001-4F66-4634-A079-5FB34F9AA49D}"/>
            </c:ext>
          </c:extLst>
        </c:ser>
        <c:dLbls>
          <c:showLegendKey val="0"/>
          <c:showVal val="1"/>
          <c:showCatName val="0"/>
          <c:showSerName val="0"/>
          <c:showPercent val="0"/>
          <c:showBubbleSize val="0"/>
        </c:dLbls>
        <c:gapWidth val="50"/>
        <c:overlap val="-27"/>
        <c:axId val="811856207"/>
        <c:axId val="811857871"/>
      </c:barChart>
      <c:lineChart>
        <c:grouping val="standard"/>
        <c:varyColors val="0"/>
        <c:ser>
          <c:idx val="2"/>
          <c:order val="2"/>
          <c:tx>
            <c:strRef>
              <c:f>BOLETIN!$A$561</c:f>
              <c:strCache>
                <c:ptCount val="1"/>
                <c:pt idx="0">
                  <c:v>Total </c:v>
                </c:pt>
              </c:strCache>
            </c:strRef>
          </c:tx>
          <c:spPr>
            <a:ln w="28575" cap="rnd">
              <a:solidFill>
                <a:srgbClr val="706F6F"/>
              </a:solidFill>
              <a:round/>
            </a:ln>
            <a:effectLst>
              <a:outerShdw blurRad="50800" dist="38100" dir="2700000" algn="tl" rotWithShape="0">
                <a:prstClr val="black">
                  <a:alpha val="40000"/>
                </a:prstClr>
              </a:outerShdw>
            </a:effectLst>
          </c:spPr>
          <c:marker>
            <c:symbol val="diamond"/>
            <c:size val="5"/>
            <c:spPr>
              <a:solidFill>
                <a:srgbClr val="706F6F"/>
              </a:solidFill>
              <a:ln w="9525">
                <a:solidFill>
                  <a:srgbClr val="706F6F"/>
                </a:solidFill>
              </a:ln>
              <a:effectLst>
                <a:outerShdw blurRad="50800" dist="38100" dir="2700000" algn="tl" rotWithShape="0">
                  <a:prstClr val="black">
                    <a:alpha val="40000"/>
                  </a:prstClr>
                </a:outerShdw>
              </a:effectLst>
            </c:spPr>
          </c:marker>
          <c:dLbls>
            <c:dLbl>
              <c:idx val="0"/>
              <c:layout>
                <c:manualLayout>
                  <c:x val="-4.4225550306563485E-2"/>
                  <c:y val="-6.9184202940328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F66-4634-A079-5FB34F9AA49D}"/>
                </c:ext>
              </c:extLst>
            </c:dLbl>
            <c:dLbl>
              <c:idx val="1"/>
              <c:layout>
                <c:manualLayout>
                  <c:x val="-4.4225550306563513E-2"/>
                  <c:y val="-5.7653502450273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F66-4634-A079-5FB34F9AA49D}"/>
                </c:ext>
              </c:extLst>
            </c:dLbl>
            <c:dLbl>
              <c:idx val="2"/>
              <c:layout>
                <c:manualLayout>
                  <c:x val="-5.0256307166549399E-2"/>
                  <c:y val="-5.1888152205246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F66-4634-A079-5FB34F9AA49D}"/>
                </c:ext>
              </c:extLst>
            </c:dLbl>
            <c:dLbl>
              <c:idx val="3"/>
              <c:layout>
                <c:manualLayout>
                  <c:x val="-4.4225550306563548E-2"/>
                  <c:y val="-4.0357451715191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F66-4634-A079-5FB34F9AA49D}"/>
                </c:ext>
              </c:extLst>
            </c:dLbl>
            <c:dLbl>
              <c:idx val="4"/>
              <c:layout>
                <c:manualLayout>
                  <c:x val="-3.2164036586591616E-2"/>
                  <c:y val="-5.765350245027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F66-4634-A079-5FB34F9AA49D}"/>
                </c:ext>
              </c:extLst>
            </c:dLbl>
            <c:dLbl>
              <c:idx val="5"/>
              <c:layout>
                <c:manualLayout>
                  <c:x val="-3.6184541159915568E-2"/>
                  <c:y val="-4.0357451715191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F66-4634-A079-5FB34F9AA49D}"/>
                </c:ext>
              </c:extLst>
            </c:dLbl>
            <c:numFmt formatCode="#\ ###\ ###\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BOLETIN!$B$558:$G$558</c:f>
              <c:numCache>
                <c:formatCode>General</c:formatCode>
                <c:ptCount val="6"/>
                <c:pt idx="0">
                  <c:v>2016</c:v>
                </c:pt>
                <c:pt idx="1">
                  <c:v>2017</c:v>
                </c:pt>
                <c:pt idx="2">
                  <c:v>2018</c:v>
                </c:pt>
                <c:pt idx="3">
                  <c:v>2019</c:v>
                </c:pt>
                <c:pt idx="4">
                  <c:v>2020</c:v>
                </c:pt>
                <c:pt idx="5">
                  <c:v>2021</c:v>
                </c:pt>
              </c:numCache>
            </c:numRef>
          </c:cat>
          <c:val>
            <c:numRef>
              <c:f>BOLETIN!$B$561:$G$561</c:f>
              <c:numCache>
                <c:formatCode>#,##0</c:formatCode>
                <c:ptCount val="6"/>
                <c:pt idx="0">
                  <c:v>37963</c:v>
                </c:pt>
                <c:pt idx="1">
                  <c:v>36224</c:v>
                </c:pt>
                <c:pt idx="2">
                  <c:v>33661</c:v>
                </c:pt>
                <c:pt idx="3">
                  <c:v>48116</c:v>
                </c:pt>
                <c:pt idx="4">
                  <c:v>27545</c:v>
                </c:pt>
                <c:pt idx="5">
                  <c:v>33157</c:v>
                </c:pt>
              </c:numCache>
            </c:numRef>
          </c:val>
          <c:smooth val="0"/>
          <c:extLst>
            <c:ext xmlns:c16="http://schemas.microsoft.com/office/drawing/2014/chart" uri="{C3380CC4-5D6E-409C-BE32-E72D297353CC}">
              <c16:uniqueId val="{00000002-4F66-4634-A079-5FB34F9AA49D}"/>
            </c:ext>
          </c:extLst>
        </c:ser>
        <c:dLbls>
          <c:showLegendKey val="0"/>
          <c:showVal val="1"/>
          <c:showCatName val="0"/>
          <c:showSerName val="0"/>
          <c:showPercent val="0"/>
          <c:showBubbleSize val="0"/>
        </c:dLbls>
        <c:marker val="1"/>
        <c:smooth val="0"/>
        <c:axId val="811856207"/>
        <c:axId val="811857871"/>
      </c:lineChart>
      <c:catAx>
        <c:axId val="811856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11857871"/>
        <c:crosses val="autoZero"/>
        <c:auto val="1"/>
        <c:lblAlgn val="ctr"/>
        <c:lblOffset val="100"/>
        <c:noMultiLvlLbl val="0"/>
      </c:catAx>
      <c:valAx>
        <c:axId val="811857871"/>
        <c:scaling>
          <c:orientation val="minMax"/>
        </c:scaling>
        <c:delete val="1"/>
        <c:axPos val="l"/>
        <c:numFmt formatCode="#,##0" sourceLinked="1"/>
        <c:majorTickMark val="none"/>
        <c:minorTickMark val="none"/>
        <c:tickLblPos val="nextTo"/>
        <c:crossAx val="811856207"/>
        <c:crosses val="autoZero"/>
        <c:crossBetween val="between"/>
      </c:valAx>
      <c:spPr>
        <a:noFill/>
        <a:ln>
          <a:noFill/>
        </a:ln>
        <a:effectLst/>
      </c:spPr>
    </c:plotArea>
    <c:legend>
      <c:legendPos val="b"/>
      <c:layout>
        <c:manualLayout>
          <c:xMode val="edge"/>
          <c:yMode val="edge"/>
          <c:x val="0.15551580778505814"/>
          <c:y val="0.87345328590916627"/>
          <c:w val="0.72113226272889375"/>
          <c:h val="9.19546126206694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763686472419226E-2"/>
          <c:y val="1.8455377243805578E-2"/>
          <c:w val="0.96032159856322863"/>
          <c:h val="0.3412820222197035"/>
        </c:manualLayout>
      </c:layout>
      <c:barChart>
        <c:barDir val="col"/>
        <c:grouping val="clustered"/>
        <c:varyColors val="0"/>
        <c:ser>
          <c:idx val="0"/>
          <c:order val="0"/>
          <c:tx>
            <c:strRef>
              <c:f>BOLETIN!$L$483</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dLbl>
              <c:idx val="0"/>
              <c:layout>
                <c:manualLayout>
                  <c:x val="0"/>
                  <c:y val="6.6391087227559722E-2"/>
                </c:manualLayout>
              </c:layout>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CF-4124-962C-B24E037D271F}"/>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BOLETIN!$K$484:$K$493</c:f>
              <c:strCache>
                <c:ptCount val="10"/>
                <c:pt idx="0">
                  <c:v>Delitos en materia de armas, explosivos y otros materiales destructivos</c:v>
                </c:pt>
                <c:pt idx="1">
                  <c:v>Delitos en materia fiscal</c:v>
                </c:pt>
                <c:pt idx="2">
                  <c:v>Delitos en materia de migración</c:v>
                </c:pt>
                <c:pt idx="3">
                  <c:v>Delitos de delincuencia organizada</c:v>
                </c:pt>
                <c:pt idx="4">
                  <c:v>Delitos por hechos de corrupción</c:v>
                </c:pt>
                <c:pt idx="5">
                  <c:v>Delitos en materia de hidrocarburos y sus derivados</c:v>
                </c:pt>
                <c:pt idx="6">
                  <c:v>Delitos en materia de vías de comunicación y correspondencia</c:v>
                </c:pt>
                <c:pt idx="7">
                  <c:v>Falsedad</c:v>
                </c:pt>
                <c:pt idx="8">
                  <c:v>Homicidio</c:v>
                </c:pt>
                <c:pt idx="9">
                  <c:v>Delitos contra la administración de justicia</c:v>
                </c:pt>
              </c:strCache>
            </c:strRef>
          </c:cat>
          <c:val>
            <c:numRef>
              <c:f>BOLETIN!$L$484:$L$493</c:f>
              <c:numCache>
                <c:formatCode>#,##0</c:formatCode>
                <c:ptCount val="10"/>
                <c:pt idx="0">
                  <c:v>16071</c:v>
                </c:pt>
                <c:pt idx="1">
                  <c:v>623</c:v>
                </c:pt>
                <c:pt idx="2">
                  <c:v>243</c:v>
                </c:pt>
                <c:pt idx="3">
                  <c:v>517</c:v>
                </c:pt>
                <c:pt idx="4">
                  <c:v>358</c:v>
                </c:pt>
                <c:pt idx="5">
                  <c:v>376</c:v>
                </c:pt>
                <c:pt idx="6">
                  <c:v>178</c:v>
                </c:pt>
                <c:pt idx="7">
                  <c:v>218</c:v>
                </c:pt>
                <c:pt idx="8">
                  <c:v>170</c:v>
                </c:pt>
                <c:pt idx="9">
                  <c:v>155</c:v>
                </c:pt>
              </c:numCache>
            </c:numRef>
          </c:val>
          <c:extLst>
            <c:ext xmlns:c16="http://schemas.microsoft.com/office/drawing/2014/chart" uri="{C3380CC4-5D6E-409C-BE32-E72D297353CC}">
              <c16:uniqueId val="{00000000-E028-4582-B0EA-EAD7742EA399}"/>
            </c:ext>
          </c:extLst>
        </c:ser>
        <c:ser>
          <c:idx val="1"/>
          <c:order val="1"/>
          <c:tx>
            <c:strRef>
              <c:f>BOLETIN!$M$483</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dLbl>
              <c:idx val="0"/>
              <c:layout>
                <c:manualLayout>
                  <c:x val="0"/>
                  <c:y val="5.5101219883501015E-2"/>
                </c:manualLayout>
              </c:layout>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CF-4124-962C-B24E037D271F}"/>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BOLETIN!$K$484:$K$493</c:f>
              <c:strCache>
                <c:ptCount val="10"/>
                <c:pt idx="0">
                  <c:v>Delitos en materia de armas, explosivos y otros materiales destructivos</c:v>
                </c:pt>
                <c:pt idx="1">
                  <c:v>Delitos en materia fiscal</c:v>
                </c:pt>
                <c:pt idx="2">
                  <c:v>Delitos en materia de migración</c:v>
                </c:pt>
                <c:pt idx="3">
                  <c:v>Delitos de delincuencia organizada</c:v>
                </c:pt>
                <c:pt idx="4">
                  <c:v>Delitos por hechos de corrupción</c:v>
                </c:pt>
                <c:pt idx="5">
                  <c:v>Delitos en materia de hidrocarburos y sus derivados</c:v>
                </c:pt>
                <c:pt idx="6">
                  <c:v>Delitos en materia de vías de comunicación y correspondencia</c:v>
                </c:pt>
                <c:pt idx="7">
                  <c:v>Falsedad</c:v>
                </c:pt>
                <c:pt idx="8">
                  <c:v>Homicidio</c:v>
                </c:pt>
                <c:pt idx="9">
                  <c:v>Delitos contra la administración de justicia</c:v>
                </c:pt>
              </c:strCache>
            </c:strRef>
          </c:cat>
          <c:val>
            <c:numRef>
              <c:f>BOLETIN!$M$484:$M$493</c:f>
              <c:numCache>
                <c:formatCode>#,##0</c:formatCode>
                <c:ptCount val="10"/>
                <c:pt idx="0">
                  <c:v>16422</c:v>
                </c:pt>
                <c:pt idx="1">
                  <c:v>1284</c:v>
                </c:pt>
                <c:pt idx="2">
                  <c:v>992</c:v>
                </c:pt>
                <c:pt idx="3">
                  <c:v>782</c:v>
                </c:pt>
                <c:pt idx="4">
                  <c:v>675</c:v>
                </c:pt>
                <c:pt idx="5">
                  <c:v>514</c:v>
                </c:pt>
                <c:pt idx="6">
                  <c:v>481</c:v>
                </c:pt>
                <c:pt idx="7">
                  <c:v>460</c:v>
                </c:pt>
                <c:pt idx="8">
                  <c:v>390</c:v>
                </c:pt>
                <c:pt idx="9">
                  <c:v>379</c:v>
                </c:pt>
              </c:numCache>
            </c:numRef>
          </c:val>
          <c:extLst>
            <c:ext xmlns:c16="http://schemas.microsoft.com/office/drawing/2014/chart" uri="{C3380CC4-5D6E-409C-BE32-E72D297353CC}">
              <c16:uniqueId val="{00000001-E028-4582-B0EA-EAD7742EA399}"/>
            </c:ext>
          </c:extLst>
        </c:ser>
        <c:dLbls>
          <c:dLblPos val="outEnd"/>
          <c:showLegendKey val="0"/>
          <c:showVal val="1"/>
          <c:showCatName val="0"/>
          <c:showSerName val="0"/>
          <c:showPercent val="0"/>
          <c:showBubbleSize val="0"/>
        </c:dLbls>
        <c:gapWidth val="60"/>
        <c:overlap val="-27"/>
        <c:axId val="711224719"/>
        <c:axId val="711226799"/>
      </c:barChart>
      <c:catAx>
        <c:axId val="711224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711226799"/>
        <c:crosses val="autoZero"/>
        <c:auto val="1"/>
        <c:lblAlgn val="ctr"/>
        <c:lblOffset val="100"/>
        <c:noMultiLvlLbl val="0"/>
      </c:catAx>
      <c:valAx>
        <c:axId val="711226799"/>
        <c:scaling>
          <c:orientation val="minMax"/>
        </c:scaling>
        <c:delete val="1"/>
        <c:axPos val="l"/>
        <c:numFmt formatCode="#,##0" sourceLinked="1"/>
        <c:majorTickMark val="none"/>
        <c:minorTickMark val="none"/>
        <c:tickLblPos val="nextTo"/>
        <c:crossAx val="711224719"/>
        <c:crosses val="autoZero"/>
        <c:crossBetween val="between"/>
      </c:valAx>
      <c:spPr>
        <a:noFill/>
        <a:ln>
          <a:noFill/>
        </a:ln>
        <a:effectLst/>
      </c:spPr>
    </c:plotArea>
    <c:legend>
      <c:legendPos val="b"/>
      <c:layout>
        <c:manualLayout>
          <c:xMode val="edge"/>
          <c:yMode val="edge"/>
          <c:x val="0.42264571925534888"/>
          <c:y val="0.92384924056844775"/>
          <c:w val="0.1785039213941208"/>
          <c:h val="7.615075943155220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BOLETIN!$C$577</c:f>
              <c:strCache>
                <c:ptCount val="1"/>
                <c:pt idx="0">
                  <c:v>Hombres</c:v>
                </c:pt>
              </c:strCache>
            </c:strRef>
          </c:tx>
          <c:spPr>
            <a:solidFill>
              <a:srgbClr val="ECB538"/>
            </a:solidFill>
            <a:ln>
              <a:noFill/>
            </a:ln>
            <a:effectLst>
              <a:outerShdw blurRad="50800" dist="38100" dir="2700000" algn="tl" rotWithShape="0">
                <a:prstClr val="black">
                  <a:alpha val="40000"/>
                </a:prstClr>
              </a:outerShdw>
            </a:effectLst>
          </c:spPr>
          <c:invertIfNegative val="0"/>
          <c:dLbls>
            <c:dLbl>
              <c:idx val="0"/>
              <c:layout>
                <c:manualLayout>
                  <c:x val="0"/>
                  <c:y val="0.248401351570744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6A-4CB6-88C2-1F3C142AEE78}"/>
                </c:ext>
              </c:extLst>
            </c:dLbl>
            <c:dLbl>
              <c:idx val="1"/>
              <c:layout>
                <c:manualLayout>
                  <c:x val="0"/>
                  <c:y val="0.234327563113889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6A-4CB6-88C2-1F3C142AEE78}"/>
                </c:ext>
              </c:extLst>
            </c:dLbl>
            <c:dLbl>
              <c:idx val="2"/>
              <c:layout>
                <c:manualLayout>
                  <c:x val="-7.1627745839221679E-17"/>
                  <c:y val="0.260100758990177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6A-4CB6-88C2-1F3C142AEE78}"/>
                </c:ext>
              </c:extLst>
            </c:dLbl>
            <c:dLbl>
              <c:idx val="3"/>
              <c:layout>
                <c:manualLayout>
                  <c:x val="1.9535065442468514E-3"/>
                  <c:y val="0.261287949508888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6A-4CB6-88C2-1F3C142AEE78}"/>
                </c:ext>
              </c:extLst>
            </c:dLbl>
            <c:dLbl>
              <c:idx val="4"/>
              <c:layout>
                <c:manualLayout>
                  <c:x val="-1.4325549167844336E-16"/>
                  <c:y val="0.219745920935140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6A-4CB6-88C2-1F3C142AEE78}"/>
                </c:ext>
              </c:extLst>
            </c:dLbl>
            <c:dLbl>
              <c:idx val="5"/>
              <c:layout>
                <c:manualLayout>
                  <c:x val="0"/>
                  <c:y val="0.213398003084665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A6A-4CB6-88C2-1F3C142AEE78}"/>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BOLETIN!$A$578:$A$583</c:f>
              <c:numCache>
                <c:formatCode>General</c:formatCode>
                <c:ptCount val="6"/>
                <c:pt idx="0">
                  <c:v>2016</c:v>
                </c:pt>
                <c:pt idx="1">
                  <c:v>2017</c:v>
                </c:pt>
                <c:pt idx="2">
                  <c:v>2018</c:v>
                </c:pt>
                <c:pt idx="3">
                  <c:v>2019</c:v>
                </c:pt>
                <c:pt idx="4">
                  <c:v>2020</c:v>
                </c:pt>
                <c:pt idx="5">
                  <c:v>2021</c:v>
                </c:pt>
              </c:numCache>
            </c:numRef>
          </c:cat>
          <c:val>
            <c:numRef>
              <c:f>BOLETIN!$C$578:$C$583</c:f>
              <c:numCache>
                <c:formatCode>#,##0</c:formatCode>
                <c:ptCount val="6"/>
                <c:pt idx="0">
                  <c:v>16209</c:v>
                </c:pt>
                <c:pt idx="1">
                  <c:v>20841</c:v>
                </c:pt>
                <c:pt idx="2">
                  <c:v>20490</c:v>
                </c:pt>
                <c:pt idx="3">
                  <c:v>17043</c:v>
                </c:pt>
                <c:pt idx="4">
                  <c:v>8795</c:v>
                </c:pt>
                <c:pt idx="5">
                  <c:v>9245</c:v>
                </c:pt>
              </c:numCache>
            </c:numRef>
          </c:val>
          <c:extLst>
            <c:ext xmlns:c16="http://schemas.microsoft.com/office/drawing/2014/chart" uri="{C3380CC4-5D6E-409C-BE32-E72D297353CC}">
              <c16:uniqueId val="{00000000-EA6A-4CB6-88C2-1F3C142AEE78}"/>
            </c:ext>
          </c:extLst>
        </c:ser>
        <c:ser>
          <c:idx val="2"/>
          <c:order val="2"/>
          <c:tx>
            <c:strRef>
              <c:f>BOLETIN!$D$577</c:f>
              <c:strCache>
                <c:ptCount val="1"/>
                <c:pt idx="0">
                  <c:v>Mujeres</c:v>
                </c:pt>
              </c:strCache>
            </c:strRef>
          </c:tx>
          <c:spPr>
            <a:solidFill>
              <a:srgbClr val="8E61A5"/>
            </a:solidFill>
            <a:ln>
              <a:noFill/>
            </a:ln>
            <a:effectLst>
              <a:outerShdw blurRad="50800" dist="38100" dir="2700000" algn="tl" rotWithShape="0">
                <a:prstClr val="black">
                  <a:alpha val="40000"/>
                </a:prstClr>
              </a:outerShdw>
            </a:effectLst>
          </c:spPr>
          <c:invertIfNegative val="0"/>
          <c:dLbls>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BOLETIN!$A$578:$A$583</c:f>
              <c:numCache>
                <c:formatCode>General</c:formatCode>
                <c:ptCount val="6"/>
                <c:pt idx="0">
                  <c:v>2016</c:v>
                </c:pt>
                <c:pt idx="1">
                  <c:v>2017</c:v>
                </c:pt>
                <c:pt idx="2">
                  <c:v>2018</c:v>
                </c:pt>
                <c:pt idx="3">
                  <c:v>2019</c:v>
                </c:pt>
                <c:pt idx="4">
                  <c:v>2020</c:v>
                </c:pt>
                <c:pt idx="5">
                  <c:v>2021</c:v>
                </c:pt>
              </c:numCache>
            </c:numRef>
          </c:cat>
          <c:val>
            <c:numRef>
              <c:f>BOLETIN!$D$578:$D$583</c:f>
              <c:numCache>
                <c:formatCode>#,##0</c:formatCode>
                <c:ptCount val="6"/>
                <c:pt idx="0">
                  <c:v>1331</c:v>
                </c:pt>
                <c:pt idx="1">
                  <c:v>2013</c:v>
                </c:pt>
                <c:pt idx="2">
                  <c:v>3153</c:v>
                </c:pt>
                <c:pt idx="3">
                  <c:v>1880</c:v>
                </c:pt>
                <c:pt idx="4">
                  <c:v>981</c:v>
                </c:pt>
                <c:pt idx="5">
                  <c:v>1192</c:v>
                </c:pt>
              </c:numCache>
            </c:numRef>
          </c:val>
          <c:extLst>
            <c:ext xmlns:c16="http://schemas.microsoft.com/office/drawing/2014/chart" uri="{C3380CC4-5D6E-409C-BE32-E72D297353CC}">
              <c16:uniqueId val="{00000001-EA6A-4CB6-88C2-1F3C142AEE78}"/>
            </c:ext>
          </c:extLst>
        </c:ser>
        <c:ser>
          <c:idx val="3"/>
          <c:order val="3"/>
          <c:tx>
            <c:strRef>
              <c:f>BOLETIN!$E$577</c:f>
              <c:strCache>
                <c:ptCount val="1"/>
                <c:pt idx="0">
                  <c:v>No identificado </c:v>
                </c:pt>
              </c:strCache>
            </c:strRef>
          </c:tx>
          <c:spPr>
            <a:solidFill>
              <a:srgbClr val="6F9CC0"/>
            </a:solidFill>
            <a:ln>
              <a:noFill/>
            </a:ln>
            <a:effectLst>
              <a:outerShdw blurRad="50800" dist="38100" dir="2700000" algn="tl" rotWithShape="0">
                <a:prstClr val="black">
                  <a:alpha val="40000"/>
                </a:prstClr>
              </a:outerShdw>
            </a:effectLst>
          </c:spPr>
          <c:invertIfNegative val="0"/>
          <c:dLbls>
            <c:dLbl>
              <c:idx val="3"/>
              <c:layout>
                <c:manualLayout>
                  <c:x val="-1.4325549167844336E-16"/>
                  <c:y val="0.244840287360987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6A-4CB6-88C2-1F3C142AEE78}"/>
                </c:ext>
              </c:extLst>
            </c:dLbl>
            <c:dLbl>
              <c:idx val="4"/>
              <c:layout>
                <c:manualLayout>
                  <c:x val="0"/>
                  <c:y val="0.240770862082961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A6A-4CB6-88C2-1F3C142AEE78}"/>
                </c:ext>
              </c:extLst>
            </c:dLbl>
            <c:dLbl>
              <c:idx val="5"/>
              <c:layout>
                <c:manualLayout>
                  <c:x val="1.9588902236994288E-3"/>
                  <c:y val="0.239584178910625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A6A-4CB6-88C2-1F3C142AEE78}"/>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BOLETIN!$A$578:$A$583</c:f>
              <c:numCache>
                <c:formatCode>General</c:formatCode>
                <c:ptCount val="6"/>
                <c:pt idx="0">
                  <c:v>2016</c:v>
                </c:pt>
                <c:pt idx="1">
                  <c:v>2017</c:v>
                </c:pt>
                <c:pt idx="2">
                  <c:v>2018</c:v>
                </c:pt>
                <c:pt idx="3">
                  <c:v>2019</c:v>
                </c:pt>
                <c:pt idx="4">
                  <c:v>2020</c:v>
                </c:pt>
                <c:pt idx="5">
                  <c:v>2021</c:v>
                </c:pt>
              </c:numCache>
            </c:numRef>
          </c:cat>
          <c:val>
            <c:numRef>
              <c:f>BOLETIN!$E$578:$E$583</c:f>
              <c:numCache>
                <c:formatCode>#,##0</c:formatCode>
                <c:ptCount val="6"/>
                <c:pt idx="0">
                  <c:v>23</c:v>
                </c:pt>
                <c:pt idx="1">
                  <c:v>2</c:v>
                </c:pt>
                <c:pt idx="2">
                  <c:v>48</c:v>
                </c:pt>
                <c:pt idx="3">
                  <c:v>13611</c:v>
                </c:pt>
                <c:pt idx="4">
                  <c:v>11153</c:v>
                </c:pt>
                <c:pt idx="5">
                  <c:v>14959</c:v>
                </c:pt>
              </c:numCache>
            </c:numRef>
          </c:val>
          <c:extLst>
            <c:ext xmlns:c16="http://schemas.microsoft.com/office/drawing/2014/chart" uri="{C3380CC4-5D6E-409C-BE32-E72D297353CC}">
              <c16:uniqueId val="{00000002-EA6A-4CB6-88C2-1F3C142AEE78}"/>
            </c:ext>
          </c:extLst>
        </c:ser>
        <c:dLbls>
          <c:showLegendKey val="0"/>
          <c:showVal val="1"/>
          <c:showCatName val="0"/>
          <c:showSerName val="0"/>
          <c:showPercent val="0"/>
          <c:showBubbleSize val="0"/>
        </c:dLbls>
        <c:gapWidth val="60"/>
        <c:axId val="1020452880"/>
        <c:axId val="1020447472"/>
      </c:barChart>
      <c:lineChart>
        <c:grouping val="standard"/>
        <c:varyColors val="0"/>
        <c:ser>
          <c:idx val="0"/>
          <c:order val="0"/>
          <c:tx>
            <c:strRef>
              <c:f>BOLETIN!$B$577</c:f>
              <c:strCache>
                <c:ptCount val="1"/>
                <c:pt idx="0">
                  <c:v>Total</c:v>
                </c:pt>
              </c:strCache>
            </c:strRef>
          </c:tx>
          <c:spPr>
            <a:ln w="28575" cap="rnd">
              <a:solidFill>
                <a:srgbClr val="706F6F"/>
              </a:solidFill>
              <a:round/>
            </a:ln>
            <a:effectLst>
              <a:outerShdw blurRad="50800" dist="38100" dir="2700000" algn="tl" rotWithShape="0">
                <a:prstClr val="black">
                  <a:alpha val="40000"/>
                </a:prstClr>
              </a:outerShdw>
            </a:effectLst>
          </c:spPr>
          <c:marker>
            <c:symbol val="diamond"/>
            <c:size val="5"/>
            <c:spPr>
              <a:solidFill>
                <a:srgbClr val="706F6F"/>
              </a:solidFill>
              <a:ln w="9525">
                <a:solidFill>
                  <a:srgbClr val="706F6F"/>
                </a:solidFill>
              </a:ln>
              <a:effectLst>
                <a:outerShdw blurRad="50800" dist="38100" dir="2700000" algn="tl" rotWithShape="0">
                  <a:prstClr val="black">
                    <a:alpha val="40000"/>
                  </a:prstClr>
                </a:outerShdw>
              </a:effectLst>
            </c:spPr>
          </c:marker>
          <c:dLbls>
            <c:dLbl>
              <c:idx val="0"/>
              <c:layout>
                <c:manualLayout>
                  <c:x val="-4.5053868756121447E-2"/>
                  <c:y val="-4.2049934296977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A6A-4CB6-88C2-1F3C142AEE78}"/>
                </c:ext>
              </c:extLst>
            </c:dLbl>
            <c:dLbl>
              <c:idx val="1"/>
              <c:layout>
                <c:manualLayout>
                  <c:x val="-4.3095004897159644E-2"/>
                  <c:y val="-3.6793692509855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A6A-4CB6-88C2-1F3C142AEE78}"/>
                </c:ext>
              </c:extLst>
            </c:dLbl>
            <c:dLbl>
              <c:idx val="2"/>
              <c:layout>
                <c:manualLayout>
                  <c:x val="-5.0930460333006855E-2"/>
                  <c:y val="-4.2049934296977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A6A-4CB6-88C2-1F3C142AEE78}"/>
                </c:ext>
              </c:extLst>
            </c:dLbl>
            <c:dLbl>
              <c:idx val="3"/>
              <c:layout>
                <c:manualLayout>
                  <c:x val="-4.3095004897159644E-2"/>
                  <c:y val="-3.67936925098554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A6A-4CB6-88C2-1F3C142AEE78}"/>
                </c:ext>
              </c:extLst>
            </c:dLbl>
            <c:dLbl>
              <c:idx val="4"/>
              <c:layout>
                <c:manualLayout>
                  <c:x val="-2.5465230166503573E-2"/>
                  <c:y val="-5.25624178712220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A6A-4CB6-88C2-1F3C142AEE78}"/>
                </c:ext>
              </c:extLst>
            </c:dLbl>
            <c:dLbl>
              <c:idx val="5"/>
              <c:layout>
                <c:manualLayout>
                  <c:x val="-2.1547502448579822E-2"/>
                  <c:y val="-3.6793692509855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A6A-4CB6-88C2-1F3C142AEE78}"/>
                </c:ext>
              </c:extLst>
            </c:dLbl>
            <c:numFmt formatCode="#\ ###\ ###\ ##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BOLETIN!$A$578:$A$583</c:f>
              <c:numCache>
                <c:formatCode>General</c:formatCode>
                <c:ptCount val="6"/>
                <c:pt idx="0">
                  <c:v>2016</c:v>
                </c:pt>
                <c:pt idx="1">
                  <c:v>2017</c:v>
                </c:pt>
                <c:pt idx="2">
                  <c:v>2018</c:v>
                </c:pt>
                <c:pt idx="3">
                  <c:v>2019</c:v>
                </c:pt>
                <c:pt idx="4">
                  <c:v>2020</c:v>
                </c:pt>
                <c:pt idx="5">
                  <c:v>2021</c:v>
                </c:pt>
              </c:numCache>
            </c:numRef>
          </c:cat>
          <c:val>
            <c:numRef>
              <c:f>BOLETIN!$B$578:$B$583</c:f>
              <c:numCache>
                <c:formatCode>#,##0</c:formatCode>
                <c:ptCount val="6"/>
                <c:pt idx="0">
                  <c:v>17563</c:v>
                </c:pt>
                <c:pt idx="1">
                  <c:v>22856</c:v>
                </c:pt>
                <c:pt idx="2">
                  <c:v>23691</c:v>
                </c:pt>
                <c:pt idx="3">
                  <c:v>32534</c:v>
                </c:pt>
                <c:pt idx="4">
                  <c:v>20929</c:v>
                </c:pt>
                <c:pt idx="5">
                  <c:v>25396</c:v>
                </c:pt>
              </c:numCache>
            </c:numRef>
          </c:val>
          <c:smooth val="0"/>
          <c:extLst>
            <c:ext xmlns:c16="http://schemas.microsoft.com/office/drawing/2014/chart" uri="{C3380CC4-5D6E-409C-BE32-E72D297353CC}">
              <c16:uniqueId val="{00000003-EA6A-4CB6-88C2-1F3C142AEE78}"/>
            </c:ext>
          </c:extLst>
        </c:ser>
        <c:dLbls>
          <c:showLegendKey val="0"/>
          <c:showVal val="1"/>
          <c:showCatName val="0"/>
          <c:showSerName val="0"/>
          <c:showPercent val="0"/>
          <c:showBubbleSize val="0"/>
        </c:dLbls>
        <c:marker val="1"/>
        <c:smooth val="0"/>
        <c:axId val="1020452880"/>
        <c:axId val="1020447472"/>
      </c:lineChart>
      <c:catAx>
        <c:axId val="102045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020447472"/>
        <c:crosses val="autoZero"/>
        <c:auto val="1"/>
        <c:lblAlgn val="ctr"/>
        <c:lblOffset val="100"/>
        <c:noMultiLvlLbl val="0"/>
      </c:catAx>
      <c:valAx>
        <c:axId val="1020447472"/>
        <c:scaling>
          <c:orientation val="minMax"/>
        </c:scaling>
        <c:delete val="1"/>
        <c:axPos val="l"/>
        <c:numFmt formatCode="#,##0" sourceLinked="1"/>
        <c:majorTickMark val="none"/>
        <c:minorTickMark val="none"/>
        <c:tickLblPos val="nextTo"/>
        <c:crossAx val="1020452880"/>
        <c:crosses val="autoZero"/>
        <c:crossBetween val="between"/>
      </c:valAx>
      <c:spPr>
        <a:noFill/>
        <a:ln>
          <a:noFill/>
        </a:ln>
        <a:effectLst/>
      </c:spPr>
    </c:plotArea>
    <c:legend>
      <c:legendPos val="b"/>
      <c:layout>
        <c:manualLayout>
          <c:xMode val="edge"/>
          <c:yMode val="edge"/>
          <c:x val="0.22558463646426846"/>
          <c:y val="0.88508494734740295"/>
          <c:w val="0.59061745726715009"/>
          <c:h val="8.183897768016043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88908746014819E-2"/>
          <c:y val="6.5696855936180201E-2"/>
          <c:w val="0.9224623245580702"/>
          <c:h val="0.52201288072214813"/>
        </c:manualLayout>
      </c:layout>
      <c:barChart>
        <c:barDir val="col"/>
        <c:grouping val="clustered"/>
        <c:varyColors val="0"/>
        <c:ser>
          <c:idx val="0"/>
          <c:order val="0"/>
          <c:tx>
            <c:strRef>
              <c:f>BOLETIN!$B$589</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BOLETIN!$A$590:$A$592</c:f>
              <c:strCache>
                <c:ptCount val="3"/>
                <c:pt idx="0">
                  <c:v>Vinculados a proceso</c:v>
                </c:pt>
                <c:pt idx="1">
                  <c:v>No vinculados a proceso</c:v>
                </c:pt>
                <c:pt idx="2">
                  <c:v>No identificado</c:v>
                </c:pt>
              </c:strCache>
            </c:strRef>
          </c:cat>
          <c:val>
            <c:numRef>
              <c:f>BOLETIN!$B$590:$B$592</c:f>
              <c:numCache>
                <c:formatCode>#,##0</c:formatCode>
                <c:ptCount val="3"/>
                <c:pt idx="0">
                  <c:v>8333</c:v>
                </c:pt>
                <c:pt idx="1">
                  <c:v>907</c:v>
                </c:pt>
                <c:pt idx="2">
                  <c:v>10114</c:v>
                </c:pt>
              </c:numCache>
            </c:numRef>
          </c:val>
          <c:extLst>
            <c:ext xmlns:c16="http://schemas.microsoft.com/office/drawing/2014/chart" uri="{C3380CC4-5D6E-409C-BE32-E72D297353CC}">
              <c16:uniqueId val="{00000000-7076-4778-A996-C11871E718A4}"/>
            </c:ext>
          </c:extLst>
        </c:ser>
        <c:ser>
          <c:idx val="1"/>
          <c:order val="1"/>
          <c:tx>
            <c:strRef>
              <c:f>BOLETIN!$C$589</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BOLETIN!$A$590:$A$592</c:f>
              <c:strCache>
                <c:ptCount val="3"/>
                <c:pt idx="0">
                  <c:v>Vinculados a proceso</c:v>
                </c:pt>
                <c:pt idx="1">
                  <c:v>No vinculados a proceso</c:v>
                </c:pt>
                <c:pt idx="2">
                  <c:v>No identificado</c:v>
                </c:pt>
              </c:strCache>
            </c:strRef>
          </c:cat>
          <c:val>
            <c:numRef>
              <c:f>BOLETIN!$C$590:$C$592</c:f>
              <c:numCache>
                <c:formatCode>#,##0</c:formatCode>
                <c:ptCount val="3"/>
                <c:pt idx="0">
                  <c:v>9132</c:v>
                </c:pt>
                <c:pt idx="1">
                  <c:v>1335</c:v>
                </c:pt>
                <c:pt idx="2">
                  <c:v>13273</c:v>
                </c:pt>
              </c:numCache>
            </c:numRef>
          </c:val>
          <c:extLst>
            <c:ext xmlns:c16="http://schemas.microsoft.com/office/drawing/2014/chart" uri="{C3380CC4-5D6E-409C-BE32-E72D297353CC}">
              <c16:uniqueId val="{00000001-7076-4778-A996-C11871E718A4}"/>
            </c:ext>
          </c:extLst>
        </c:ser>
        <c:dLbls>
          <c:dLblPos val="outEnd"/>
          <c:showLegendKey val="0"/>
          <c:showVal val="1"/>
          <c:showCatName val="0"/>
          <c:showSerName val="0"/>
          <c:showPercent val="0"/>
          <c:showBubbleSize val="0"/>
        </c:dLbls>
        <c:gapWidth val="219"/>
        <c:overlap val="-27"/>
        <c:axId val="1396574880"/>
        <c:axId val="1396572800"/>
      </c:barChart>
      <c:catAx>
        <c:axId val="139657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396572800"/>
        <c:crosses val="autoZero"/>
        <c:auto val="1"/>
        <c:lblAlgn val="ctr"/>
        <c:lblOffset val="100"/>
        <c:noMultiLvlLbl val="0"/>
      </c:catAx>
      <c:valAx>
        <c:axId val="1396572800"/>
        <c:scaling>
          <c:orientation val="minMax"/>
        </c:scaling>
        <c:delete val="1"/>
        <c:axPos val="l"/>
        <c:numFmt formatCode="#,##0" sourceLinked="1"/>
        <c:majorTickMark val="none"/>
        <c:minorTickMark val="none"/>
        <c:tickLblPos val="nextTo"/>
        <c:crossAx val="1396574880"/>
        <c:crosses val="autoZero"/>
        <c:crossBetween val="between"/>
      </c:valAx>
      <c:spPr>
        <a:noFill/>
        <a:ln>
          <a:noFill/>
        </a:ln>
        <a:effectLst/>
      </c:spPr>
    </c:plotArea>
    <c:legend>
      <c:legendPos val="b"/>
      <c:layout>
        <c:manualLayout>
          <c:xMode val="edge"/>
          <c:yMode val="edge"/>
          <c:x val="0.3460123641315821"/>
          <c:y val="0.85152214959521444"/>
          <c:w val="0.31215560750638444"/>
          <c:h val="0.120321697755694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BOLETIN!$C$627</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BOLETIN!$B$628:$B$632</c:f>
              <c:strCache>
                <c:ptCount val="5"/>
                <c:pt idx="0">
                  <c:v>De información</c:v>
                </c:pt>
                <c:pt idx="1">
                  <c:v>Intervención de comunicaciones</c:v>
                </c:pt>
                <c:pt idx="2">
                  <c:v>Cateos</c:v>
                </c:pt>
                <c:pt idx="3">
                  <c:v>Arraigos </c:v>
                </c:pt>
                <c:pt idx="4">
                  <c:v>Aseguramiento de activos financieros</c:v>
                </c:pt>
              </c:strCache>
            </c:strRef>
          </c:cat>
          <c:val>
            <c:numRef>
              <c:f>BOLETIN!$C$628:$C$632</c:f>
              <c:numCache>
                <c:formatCode>#,##0</c:formatCode>
                <c:ptCount val="5"/>
                <c:pt idx="0">
                  <c:v>10523</c:v>
                </c:pt>
                <c:pt idx="1">
                  <c:v>5183</c:v>
                </c:pt>
                <c:pt idx="2">
                  <c:v>123</c:v>
                </c:pt>
                <c:pt idx="3">
                  <c:v>12</c:v>
                </c:pt>
                <c:pt idx="4">
                  <c:v>59</c:v>
                </c:pt>
              </c:numCache>
            </c:numRef>
          </c:val>
          <c:extLst>
            <c:ext xmlns:c16="http://schemas.microsoft.com/office/drawing/2014/chart" uri="{C3380CC4-5D6E-409C-BE32-E72D297353CC}">
              <c16:uniqueId val="{00000000-BF45-4B3C-8D41-4EEA975D8399}"/>
            </c:ext>
          </c:extLst>
        </c:ser>
        <c:ser>
          <c:idx val="1"/>
          <c:order val="1"/>
          <c:tx>
            <c:strRef>
              <c:f>BOLETIN!$D$627</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BOLETIN!$B$628:$B$632</c:f>
              <c:strCache>
                <c:ptCount val="5"/>
                <c:pt idx="0">
                  <c:v>De información</c:v>
                </c:pt>
                <c:pt idx="1">
                  <c:v>Intervención de comunicaciones</c:v>
                </c:pt>
                <c:pt idx="2">
                  <c:v>Cateos</c:v>
                </c:pt>
                <c:pt idx="3">
                  <c:v>Arraigos </c:v>
                </c:pt>
                <c:pt idx="4">
                  <c:v>Aseguramiento de activos financieros</c:v>
                </c:pt>
              </c:strCache>
            </c:strRef>
          </c:cat>
          <c:val>
            <c:numRef>
              <c:f>BOLETIN!$D$628:$D$632</c:f>
              <c:numCache>
                <c:formatCode>#,##0</c:formatCode>
                <c:ptCount val="5"/>
                <c:pt idx="0">
                  <c:v>13969</c:v>
                </c:pt>
                <c:pt idx="1">
                  <c:v>6458</c:v>
                </c:pt>
                <c:pt idx="2">
                  <c:v>138</c:v>
                </c:pt>
                <c:pt idx="3">
                  <c:v>15</c:v>
                </c:pt>
                <c:pt idx="4">
                  <c:v>43</c:v>
                </c:pt>
              </c:numCache>
            </c:numRef>
          </c:val>
          <c:extLst>
            <c:ext xmlns:c16="http://schemas.microsoft.com/office/drawing/2014/chart" uri="{C3380CC4-5D6E-409C-BE32-E72D297353CC}">
              <c16:uniqueId val="{00000001-BF45-4B3C-8D41-4EEA975D8399}"/>
            </c:ext>
          </c:extLst>
        </c:ser>
        <c:dLbls>
          <c:dLblPos val="outEnd"/>
          <c:showLegendKey val="0"/>
          <c:showVal val="1"/>
          <c:showCatName val="0"/>
          <c:showSerName val="0"/>
          <c:showPercent val="0"/>
          <c:showBubbleSize val="0"/>
        </c:dLbls>
        <c:gapWidth val="60"/>
        <c:overlap val="-27"/>
        <c:axId val="1019637280"/>
        <c:axId val="1019637696"/>
      </c:barChart>
      <c:catAx>
        <c:axId val="101963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019637696"/>
        <c:crosses val="autoZero"/>
        <c:auto val="1"/>
        <c:lblAlgn val="ctr"/>
        <c:lblOffset val="100"/>
        <c:noMultiLvlLbl val="0"/>
      </c:catAx>
      <c:valAx>
        <c:axId val="1019637696"/>
        <c:scaling>
          <c:orientation val="minMax"/>
        </c:scaling>
        <c:delete val="1"/>
        <c:axPos val="l"/>
        <c:numFmt formatCode="#,##0" sourceLinked="1"/>
        <c:majorTickMark val="none"/>
        <c:minorTickMark val="none"/>
        <c:tickLblPos val="nextTo"/>
        <c:crossAx val="1019637280"/>
        <c:crosses val="autoZero"/>
        <c:crossBetween val="between"/>
      </c:valAx>
      <c:spPr>
        <a:noFill/>
        <a:ln>
          <a:noFill/>
        </a:ln>
        <a:effectLst/>
      </c:spPr>
    </c:plotArea>
    <c:legend>
      <c:legendPos val="b"/>
      <c:layout>
        <c:manualLayout>
          <c:xMode val="edge"/>
          <c:yMode val="edge"/>
          <c:x val="0.42524224982004782"/>
          <c:y val="0.83346337208607646"/>
          <c:w val="0.23953800598631098"/>
          <c:h val="0.166536627913923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BOLETIN!$C$637</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BOLETIN!$B$638:$B$642</c:f>
              <c:strCache>
                <c:ptCount val="5"/>
                <c:pt idx="0">
                  <c:v>De información</c:v>
                </c:pt>
                <c:pt idx="1">
                  <c:v>Intervención de comunicaciones</c:v>
                </c:pt>
                <c:pt idx="2">
                  <c:v>Cateos</c:v>
                </c:pt>
                <c:pt idx="3">
                  <c:v>Arraigos </c:v>
                </c:pt>
                <c:pt idx="4">
                  <c:v>Aseguramiento de activos financieros</c:v>
                </c:pt>
              </c:strCache>
            </c:strRef>
          </c:cat>
          <c:val>
            <c:numRef>
              <c:f>BOLETIN!$C$638:$C$642</c:f>
              <c:numCache>
                <c:formatCode>#,##0</c:formatCode>
                <c:ptCount val="5"/>
                <c:pt idx="0">
                  <c:v>10523</c:v>
                </c:pt>
                <c:pt idx="1">
                  <c:v>5181</c:v>
                </c:pt>
                <c:pt idx="2">
                  <c:v>123</c:v>
                </c:pt>
                <c:pt idx="3">
                  <c:v>12</c:v>
                </c:pt>
                <c:pt idx="4">
                  <c:v>59</c:v>
                </c:pt>
              </c:numCache>
            </c:numRef>
          </c:val>
          <c:extLst>
            <c:ext xmlns:c16="http://schemas.microsoft.com/office/drawing/2014/chart" uri="{C3380CC4-5D6E-409C-BE32-E72D297353CC}">
              <c16:uniqueId val="{00000000-BE6B-41A6-A501-6F1EDC967942}"/>
            </c:ext>
          </c:extLst>
        </c:ser>
        <c:ser>
          <c:idx val="1"/>
          <c:order val="1"/>
          <c:tx>
            <c:strRef>
              <c:f>BOLETIN!$D$637</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BOLETIN!$B$638:$B$642</c:f>
              <c:strCache>
                <c:ptCount val="5"/>
                <c:pt idx="0">
                  <c:v>De información</c:v>
                </c:pt>
                <c:pt idx="1">
                  <c:v>Intervención de comunicaciones</c:v>
                </c:pt>
                <c:pt idx="2">
                  <c:v>Cateos</c:v>
                </c:pt>
                <c:pt idx="3">
                  <c:v>Arraigos </c:v>
                </c:pt>
                <c:pt idx="4">
                  <c:v>Aseguramiento de activos financieros</c:v>
                </c:pt>
              </c:strCache>
            </c:strRef>
          </c:cat>
          <c:val>
            <c:numRef>
              <c:f>BOLETIN!$D$638:$D$642</c:f>
              <c:numCache>
                <c:formatCode>#,##0</c:formatCode>
                <c:ptCount val="5"/>
                <c:pt idx="0">
                  <c:v>14029</c:v>
                </c:pt>
                <c:pt idx="1">
                  <c:v>6461</c:v>
                </c:pt>
                <c:pt idx="2">
                  <c:v>139</c:v>
                </c:pt>
                <c:pt idx="3">
                  <c:v>15</c:v>
                </c:pt>
                <c:pt idx="4">
                  <c:v>43</c:v>
                </c:pt>
              </c:numCache>
            </c:numRef>
          </c:val>
          <c:extLst>
            <c:ext xmlns:c16="http://schemas.microsoft.com/office/drawing/2014/chart" uri="{C3380CC4-5D6E-409C-BE32-E72D297353CC}">
              <c16:uniqueId val="{00000001-BE6B-41A6-A501-6F1EDC967942}"/>
            </c:ext>
          </c:extLst>
        </c:ser>
        <c:dLbls>
          <c:dLblPos val="outEnd"/>
          <c:showLegendKey val="0"/>
          <c:showVal val="1"/>
          <c:showCatName val="0"/>
          <c:showSerName val="0"/>
          <c:showPercent val="0"/>
          <c:showBubbleSize val="0"/>
        </c:dLbls>
        <c:gapWidth val="60"/>
        <c:overlap val="-27"/>
        <c:axId val="1316998816"/>
        <c:axId val="1316996320"/>
      </c:barChart>
      <c:catAx>
        <c:axId val="131699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316996320"/>
        <c:crosses val="autoZero"/>
        <c:auto val="1"/>
        <c:lblAlgn val="ctr"/>
        <c:lblOffset val="100"/>
        <c:noMultiLvlLbl val="0"/>
      </c:catAx>
      <c:valAx>
        <c:axId val="1316996320"/>
        <c:scaling>
          <c:orientation val="minMax"/>
        </c:scaling>
        <c:delete val="1"/>
        <c:axPos val="l"/>
        <c:numFmt formatCode="#,##0" sourceLinked="1"/>
        <c:majorTickMark val="none"/>
        <c:minorTickMark val="none"/>
        <c:tickLblPos val="nextTo"/>
        <c:crossAx val="1316998816"/>
        <c:crosses val="autoZero"/>
        <c:crossBetween val="between"/>
      </c:valAx>
      <c:spPr>
        <a:noFill/>
        <a:ln>
          <a:noFill/>
        </a:ln>
        <a:effectLst/>
      </c:spPr>
    </c:plotArea>
    <c:legend>
      <c:legendPos val="b"/>
      <c:layout>
        <c:manualLayout>
          <c:xMode val="edge"/>
          <c:yMode val="edge"/>
          <c:x val="0.42055064301472567"/>
          <c:y val="0.8670675022163794"/>
          <c:w val="0.26823794235287785"/>
          <c:h val="0.111887250501965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604635176274183E-2"/>
          <c:y val="1.6257813134182976E-3"/>
          <c:w val="0.9567907296474516"/>
          <c:h val="0.64702784316908835"/>
        </c:manualLayout>
      </c:layout>
      <c:barChart>
        <c:barDir val="col"/>
        <c:grouping val="clustered"/>
        <c:varyColors val="0"/>
        <c:ser>
          <c:idx val="0"/>
          <c:order val="0"/>
          <c:tx>
            <c:strRef>
              <c:f>BOLETIN!$F$684</c:f>
              <c:strCache>
                <c:ptCount val="1"/>
                <c:pt idx="0">
                  <c:v>Suprema Corte de Justicia de la Nación</c:v>
                </c:pt>
              </c:strCache>
            </c:strRef>
          </c:tx>
          <c:spPr>
            <a:solidFill>
              <a:srgbClr val="58267A"/>
            </a:solidFill>
            <a:ln>
              <a:noFill/>
            </a:ln>
            <a:effectLst>
              <a:outerShdw blurRad="50800" dist="38100" dir="2700000" algn="tl" rotWithShape="0">
                <a:prstClr val="black">
                  <a:alpha val="40000"/>
                </a:prstClr>
              </a:outerShdw>
            </a:effectLst>
          </c:spPr>
          <c:invertIfNegative val="0"/>
          <c:dLbls>
            <c:dLbl>
              <c:idx val="0"/>
              <c:layout>
                <c:manualLayout>
                  <c:x val="0"/>
                  <c:y val="2.0618556701030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ACE-408B-97BF-DB48784DFA4A}"/>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7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BOLETIN!$A$685:$A$696</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BOLETIN!$F$685:$F$696</c:f>
              <c:numCache>
                <c:formatCode>#,##0.0</c:formatCode>
                <c:ptCount val="12"/>
                <c:pt idx="0">
                  <c:v>3271.8236489999999</c:v>
                </c:pt>
                <c:pt idx="1">
                  <c:v>3334.4877099999994</c:v>
                </c:pt>
                <c:pt idx="2">
                  <c:v>3532.8594469999994</c:v>
                </c:pt>
                <c:pt idx="3">
                  <c:v>3699.7987189999999</c:v>
                </c:pt>
                <c:pt idx="4">
                  <c:v>4073.227179</c:v>
                </c:pt>
                <c:pt idx="5">
                  <c:v>4000.9574439999997</c:v>
                </c:pt>
                <c:pt idx="6">
                  <c:v>4468.2560440000007</c:v>
                </c:pt>
                <c:pt idx="7">
                  <c:v>4622.8179760000012</c:v>
                </c:pt>
                <c:pt idx="8">
                  <c:v>4805.6323149999989</c:v>
                </c:pt>
                <c:pt idx="9">
                  <c:v>4696.4295585600003</c:v>
                </c:pt>
                <c:pt idx="10">
                  <c:v>4723.8454073999992</c:v>
                </c:pt>
                <c:pt idx="11">
                  <c:v>4944.5008886300002</c:v>
                </c:pt>
              </c:numCache>
            </c:numRef>
          </c:val>
          <c:extLst>
            <c:ext xmlns:c16="http://schemas.microsoft.com/office/drawing/2014/chart" uri="{C3380CC4-5D6E-409C-BE32-E72D297353CC}">
              <c16:uniqueId val="{00000000-4ACE-408B-97BF-DB48784DFA4A}"/>
            </c:ext>
          </c:extLst>
        </c:ser>
        <c:ser>
          <c:idx val="1"/>
          <c:order val="1"/>
          <c:tx>
            <c:strRef>
              <c:f>BOLETIN!$G$684</c:f>
              <c:strCache>
                <c:ptCount val="1"/>
                <c:pt idx="0">
                  <c:v>Tribunal Electoral del Poder Judicial de la Federación</c:v>
                </c:pt>
              </c:strCache>
            </c:strRef>
          </c:tx>
          <c:spPr>
            <a:solidFill>
              <a:srgbClr val="CE941F"/>
            </a:solidFill>
            <a:ln>
              <a:noFill/>
            </a:ln>
            <a:effectLst>
              <a:outerShdw blurRad="50800" dist="38100" dir="2700000" algn="tl" rotWithShape="0">
                <a:prstClr val="black">
                  <a:alpha val="40000"/>
                </a:prstClr>
              </a:outerShdw>
            </a:effectLst>
          </c:spPr>
          <c:invertIfNegative val="0"/>
          <c:dLbls>
            <c:dLbl>
              <c:idx val="0"/>
              <c:layout>
                <c:manualLayout>
                  <c:x val="-1.9930244145490781E-3"/>
                  <c:y val="1.6494845360824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ACE-408B-97BF-DB48784DFA4A}"/>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7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BOLETIN!$A$685:$A$696</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BOLETIN!$G$685:$G$696</c:f>
              <c:numCache>
                <c:formatCode>#,##0.0</c:formatCode>
                <c:ptCount val="12"/>
                <c:pt idx="0">
                  <c:v>1904.4908090000001</c:v>
                </c:pt>
                <c:pt idx="1">
                  <c:v>1957.2852999999998</c:v>
                </c:pt>
                <c:pt idx="2">
                  <c:v>2309.0371319999995</c:v>
                </c:pt>
                <c:pt idx="3">
                  <c:v>2145.7846980000004</c:v>
                </c:pt>
                <c:pt idx="4">
                  <c:v>2312.0677109999997</c:v>
                </c:pt>
                <c:pt idx="5">
                  <c:v>2750.6833060000004</c:v>
                </c:pt>
                <c:pt idx="6">
                  <c:v>2616.9747649999999</c:v>
                </c:pt>
                <c:pt idx="7">
                  <c:v>2747.3827537800003</c:v>
                </c:pt>
                <c:pt idx="8">
                  <c:v>3760.5838660000004</c:v>
                </c:pt>
                <c:pt idx="9">
                  <c:v>2565.4935139999998</c:v>
                </c:pt>
                <c:pt idx="10">
                  <c:v>2557.361922</c:v>
                </c:pt>
                <c:pt idx="11">
                  <c:v>2972.322737</c:v>
                </c:pt>
              </c:numCache>
            </c:numRef>
          </c:val>
          <c:extLst>
            <c:ext xmlns:c16="http://schemas.microsoft.com/office/drawing/2014/chart" uri="{C3380CC4-5D6E-409C-BE32-E72D297353CC}">
              <c16:uniqueId val="{00000001-4ACE-408B-97BF-DB48784DFA4A}"/>
            </c:ext>
          </c:extLst>
        </c:ser>
        <c:ser>
          <c:idx val="2"/>
          <c:order val="2"/>
          <c:tx>
            <c:strRef>
              <c:f>BOLETIN!$H$684</c:f>
              <c:strCache>
                <c:ptCount val="1"/>
                <c:pt idx="0">
                  <c:v>Consejo de la Judicatura Federal</c:v>
                </c:pt>
              </c:strCache>
            </c:strRef>
          </c:tx>
          <c:spPr>
            <a:solidFill>
              <a:srgbClr val="8C1B67"/>
            </a:solidFill>
            <a:ln>
              <a:noFill/>
            </a:ln>
            <a:effectLst>
              <a:outerShdw blurRad="50800" dist="38100" dir="2700000" algn="tl" rotWithShape="0">
                <a:prstClr val="black">
                  <a:alpha val="40000"/>
                </a:prstClr>
              </a:outerShdw>
            </a:effectLst>
          </c:spPr>
          <c:invertIfNegative val="0"/>
          <c:dLbls>
            <c:dLbl>
              <c:idx val="0"/>
              <c:layout>
                <c:manualLayout>
                  <c:x val="-2.0219870706206975E-3"/>
                  <c:y val="0.225103925839057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CE-408B-97BF-DB48784DFA4A}"/>
                </c:ext>
              </c:extLst>
            </c:dLbl>
            <c:dLbl>
              <c:idx val="1"/>
              <c:layout>
                <c:manualLayout>
                  <c:x val="-1.843451136002895E-17"/>
                  <c:y val="0.24031898140392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CE-408B-97BF-DB48784DFA4A}"/>
                </c:ext>
              </c:extLst>
            </c:dLbl>
            <c:dLbl>
              <c:idx val="2"/>
              <c:layout>
                <c:manualLayout>
                  <c:x val="0"/>
                  <c:y val="0.254842017088289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CE-408B-97BF-DB48784DFA4A}"/>
                </c:ext>
              </c:extLst>
            </c:dLbl>
            <c:dLbl>
              <c:idx val="3"/>
              <c:layout>
                <c:manualLayout>
                  <c:x val="-1.9930087924529796E-3"/>
                  <c:y val="0.243494499357793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CE-408B-97BF-DB48784DFA4A}"/>
                </c:ext>
              </c:extLst>
            </c:dLbl>
            <c:dLbl>
              <c:idx val="4"/>
              <c:layout>
                <c:manualLayout>
                  <c:x val="0"/>
                  <c:y val="0.232568716144524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ACE-408B-97BF-DB48784DFA4A}"/>
                </c:ext>
              </c:extLst>
            </c:dLbl>
            <c:dLbl>
              <c:idx val="5"/>
              <c:layout>
                <c:manualLayout>
                  <c:x val="2.0110608345902461E-3"/>
                  <c:y val="0.235066957055899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CE-408B-97BF-DB48784DFA4A}"/>
                </c:ext>
              </c:extLst>
            </c:dLbl>
            <c:dLbl>
              <c:idx val="6"/>
              <c:layout>
                <c:manualLayout>
                  <c:x val="1.9930087924530534E-3"/>
                  <c:y val="0.252690009493494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CE-408B-97BF-DB48784DFA4A}"/>
                </c:ext>
              </c:extLst>
            </c:dLbl>
            <c:dLbl>
              <c:idx val="7"/>
              <c:layout>
                <c:manualLayout>
                  <c:x val="7.3738045440115802E-17"/>
                  <c:y val="0.213922153347852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CE-408B-97BF-DB48784DFA4A}"/>
                </c:ext>
              </c:extLst>
            </c:dLbl>
            <c:dLbl>
              <c:idx val="8"/>
              <c:layout>
                <c:manualLayout>
                  <c:x val="-1.4615343535664206E-16"/>
                  <c:y val="0.177381280948128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ACE-408B-97BF-DB48784DFA4A}"/>
                </c:ext>
              </c:extLst>
            </c:dLbl>
            <c:dLbl>
              <c:idx val="9"/>
              <c:layout>
                <c:manualLayout>
                  <c:x val="-1.4615343535664206E-16"/>
                  <c:y val="0.177983277863462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ACE-408B-97BF-DB48784DFA4A}"/>
                </c:ext>
              </c:extLst>
            </c:dLbl>
            <c:dLbl>
              <c:idx val="10"/>
              <c:layout>
                <c:manualLayout>
                  <c:x val="-6.2929353561892633E-5"/>
                  <c:y val="0.169133858267716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ACE-408B-97BF-DB48784DFA4A}"/>
                </c:ext>
              </c:extLst>
            </c:dLbl>
            <c:dLbl>
              <c:idx val="11"/>
              <c:layout>
                <c:manualLayout>
                  <c:x val="-1.9930244145490781E-3"/>
                  <c:y val="0.140779933436155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ACE-408B-97BF-DB48784DFA4A}"/>
                </c:ext>
              </c:extLst>
            </c:dLbl>
            <c:numFmt formatCode="#\ ###\ ###\ ###.0" sourceLinked="0"/>
            <c:spPr>
              <a:noFill/>
              <a:ln>
                <a:noFill/>
              </a:ln>
              <a:effectLst/>
            </c:spPr>
            <c:txPr>
              <a:bodyPr rot="-5400000" spcFirstLastPara="1" vertOverflow="ellipsis" wrap="square" lIns="38100" tIns="19050" rIns="38100" bIns="19050" anchor="ctr" anchorCtr="1">
                <a:spAutoFit/>
              </a:bodyPr>
              <a:lstStyle/>
              <a:p>
                <a:pPr>
                  <a:defRPr sz="75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BOLETIN!$A$685:$A$696</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BOLETIN!$H$685:$H$696</c:f>
              <c:numCache>
                <c:formatCode>#,##0.0</c:formatCode>
                <c:ptCount val="12"/>
                <c:pt idx="0">
                  <c:v>28715.864979000005</c:v>
                </c:pt>
                <c:pt idx="1">
                  <c:v>32522.336199999998</c:v>
                </c:pt>
                <c:pt idx="2">
                  <c:v>33874.485099999998</c:v>
                </c:pt>
                <c:pt idx="3">
                  <c:v>37255.086569999999</c:v>
                </c:pt>
                <c:pt idx="4">
                  <c:v>43426.908621170005</c:v>
                </c:pt>
                <c:pt idx="5">
                  <c:v>43830.338703879999</c:v>
                </c:pt>
                <c:pt idx="6">
                  <c:v>56222</c:v>
                </c:pt>
                <c:pt idx="7">
                  <c:v>52833.581836950005</c:v>
                </c:pt>
                <c:pt idx="8">
                  <c:v>57087.701427800013</c:v>
                </c:pt>
                <c:pt idx="9">
                  <c:v>56493.15040405</c:v>
                </c:pt>
                <c:pt idx="10">
                  <c:v>59147.62345744</c:v>
                </c:pt>
                <c:pt idx="11">
                  <c:v>66134.933626669997</c:v>
                </c:pt>
              </c:numCache>
            </c:numRef>
          </c:val>
          <c:extLst>
            <c:ext xmlns:c16="http://schemas.microsoft.com/office/drawing/2014/chart" uri="{C3380CC4-5D6E-409C-BE32-E72D297353CC}">
              <c16:uniqueId val="{00000002-4ACE-408B-97BF-DB48784DFA4A}"/>
            </c:ext>
          </c:extLst>
        </c:ser>
        <c:dLbls>
          <c:showLegendKey val="0"/>
          <c:showVal val="1"/>
          <c:showCatName val="0"/>
          <c:showSerName val="0"/>
          <c:showPercent val="0"/>
          <c:showBubbleSize val="0"/>
        </c:dLbls>
        <c:gapWidth val="50"/>
        <c:axId val="954090704"/>
        <c:axId val="954092368"/>
      </c:barChart>
      <c:lineChart>
        <c:grouping val="standard"/>
        <c:varyColors val="0"/>
        <c:ser>
          <c:idx val="3"/>
          <c:order val="3"/>
          <c:tx>
            <c:strRef>
              <c:f>BOLETIN!$I$684</c:f>
              <c:strCache>
                <c:ptCount val="1"/>
                <c:pt idx="0">
                  <c:v>Total</c:v>
                </c:pt>
              </c:strCache>
            </c:strRef>
          </c:tx>
          <c:spPr>
            <a:ln w="28575" cap="rnd">
              <a:solidFill>
                <a:srgbClr val="706F6F"/>
              </a:solidFill>
              <a:round/>
            </a:ln>
            <a:effectLst>
              <a:outerShdw blurRad="50800" dist="38100" dir="2700000" algn="tl" rotWithShape="0">
                <a:prstClr val="black">
                  <a:alpha val="40000"/>
                </a:prstClr>
              </a:outerShdw>
            </a:effectLst>
          </c:spPr>
          <c:marker>
            <c:symbol val="diamond"/>
            <c:size val="5"/>
            <c:spPr>
              <a:solidFill>
                <a:srgbClr val="706F6F"/>
              </a:solidFill>
              <a:ln w="9525">
                <a:solidFill>
                  <a:srgbClr val="706F6F"/>
                </a:solidFill>
              </a:ln>
              <a:effectLst>
                <a:outerShdw blurRad="50800" dist="38100" dir="2700000" algn="tl" rotWithShape="0">
                  <a:prstClr val="black">
                    <a:alpha val="40000"/>
                  </a:prstClr>
                </a:outerShdw>
              </a:effectLst>
            </c:spPr>
          </c:marker>
          <c:dLbls>
            <c:dLbl>
              <c:idx val="0"/>
              <c:layout>
                <c:manualLayout>
                  <c:x val="-4.4581602187618925E-2"/>
                  <c:y val="-3.2899748356197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ACE-408B-97BF-DB48784DFA4A}"/>
                </c:ext>
              </c:extLst>
            </c:dLbl>
            <c:dLbl>
              <c:idx val="1"/>
              <c:layout>
                <c:manualLayout>
                  <c:x val="-4.2525805350564362E-2"/>
                  <c:y val="-3.229775144086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ACE-408B-97BF-DB48784DFA4A}"/>
                </c:ext>
              </c:extLst>
            </c:dLbl>
            <c:dLbl>
              <c:idx val="2"/>
              <c:layout>
                <c:manualLayout>
                  <c:x val="-4.6448924826100774E-2"/>
                  <c:y val="-3.9341180290608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ACE-408B-97BF-DB48784DFA4A}"/>
                </c:ext>
              </c:extLst>
            </c:dLbl>
            <c:dLbl>
              <c:idx val="3"/>
              <c:layout>
                <c:manualLayout>
                  <c:x val="-4.4392971057989949E-2"/>
                  <c:y val="-3.6421462781069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ACE-408B-97BF-DB48784DFA4A}"/>
                </c:ext>
              </c:extLst>
            </c:dLbl>
            <c:dLbl>
              <c:idx val="4"/>
              <c:layout>
                <c:manualLayout>
                  <c:x val="-5.4421022484297088E-2"/>
                  <c:y val="-3.2899728006672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ACE-408B-97BF-DB48784DFA4A}"/>
                </c:ext>
              </c:extLst>
            </c:dLbl>
            <c:dLbl>
              <c:idx val="5"/>
              <c:layout>
                <c:manualLayout>
                  <c:x val="-5.6351117545284421E-2"/>
                  <c:y val="-4.06418178525320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ACE-408B-97BF-DB48784DFA4A}"/>
                </c:ext>
              </c:extLst>
            </c:dLbl>
            <c:dLbl>
              <c:idx val="6"/>
              <c:layout>
                <c:manualLayout>
                  <c:x val="-5.6351117545284421E-2"/>
                  <c:y val="-2.8776037015991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ACE-408B-97BF-DB48784DFA4A}"/>
                </c:ext>
              </c:extLst>
            </c:dLbl>
            <c:dLbl>
              <c:idx val="7"/>
              <c:layout>
                <c:manualLayout>
                  <c:x val="-5.255369984581524E-2"/>
                  <c:y val="-3.9341180290608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ACE-408B-97BF-DB48784DFA4A}"/>
                </c:ext>
              </c:extLst>
            </c:dLbl>
            <c:dLbl>
              <c:idx val="8"/>
              <c:layout>
                <c:manualLayout>
                  <c:x val="-5.6288188191722668E-2"/>
                  <c:y val="-3.229775144086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ACE-408B-97BF-DB48784DFA4A}"/>
                </c:ext>
              </c:extLst>
            </c:dLbl>
            <c:dLbl>
              <c:idx val="9"/>
              <c:layout>
                <c:manualLayout>
                  <c:x val="-5.6099557062093693E-2"/>
                  <c:y val="-3.2899748356197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ACE-408B-97BF-DB48784DFA4A}"/>
                </c:ext>
              </c:extLst>
            </c:dLbl>
            <c:dLbl>
              <c:idx val="10"/>
              <c:layout>
                <c:manualLayout>
                  <c:x val="-6.1764140468988461E-2"/>
                  <c:y val="-3.2899748356197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ACE-408B-97BF-DB48784DFA4A}"/>
                </c:ext>
              </c:extLst>
            </c:dLbl>
            <c:dLbl>
              <c:idx val="11"/>
              <c:layout>
                <c:manualLayout>
                  <c:x val="-1.9552824955176566E-2"/>
                  <c:y val="-3.5217468950401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ACE-408B-97BF-DB48784DFA4A}"/>
                </c:ext>
              </c:extLst>
            </c:dLbl>
            <c:numFmt formatCode="#\ ###\ ###\ ###.0" sourceLinked="0"/>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BOLETIN!$A$685:$A$696</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BOLETIN!$I$685:$I$696</c:f>
              <c:numCache>
                <c:formatCode>#,##0.0</c:formatCode>
                <c:ptCount val="12"/>
                <c:pt idx="0">
                  <c:v>33892.179437000006</c:v>
                </c:pt>
                <c:pt idx="1">
                  <c:v>37814.109209999995</c:v>
                </c:pt>
                <c:pt idx="2">
                  <c:v>39716.381678999998</c:v>
                </c:pt>
                <c:pt idx="3">
                  <c:v>43100.669987000001</c:v>
                </c:pt>
                <c:pt idx="4">
                  <c:v>49812.203511170002</c:v>
                </c:pt>
                <c:pt idx="5">
                  <c:v>50581.979453879998</c:v>
                </c:pt>
                <c:pt idx="6">
                  <c:v>63307.230809000001</c:v>
                </c:pt>
                <c:pt idx="7">
                  <c:v>60203.782566730006</c:v>
                </c:pt>
                <c:pt idx="8">
                  <c:v>65653.917608800009</c:v>
                </c:pt>
                <c:pt idx="9">
                  <c:v>63755.073476609999</c:v>
                </c:pt>
                <c:pt idx="10">
                  <c:v>66428.830786840001</c:v>
                </c:pt>
                <c:pt idx="11">
                  <c:v>74051.757252299998</c:v>
                </c:pt>
              </c:numCache>
            </c:numRef>
          </c:val>
          <c:smooth val="0"/>
          <c:extLst>
            <c:ext xmlns:c16="http://schemas.microsoft.com/office/drawing/2014/chart" uri="{C3380CC4-5D6E-409C-BE32-E72D297353CC}">
              <c16:uniqueId val="{00000003-4ACE-408B-97BF-DB48784DFA4A}"/>
            </c:ext>
          </c:extLst>
        </c:ser>
        <c:dLbls>
          <c:showLegendKey val="0"/>
          <c:showVal val="1"/>
          <c:showCatName val="0"/>
          <c:showSerName val="0"/>
          <c:showPercent val="0"/>
          <c:showBubbleSize val="0"/>
        </c:dLbls>
        <c:marker val="1"/>
        <c:smooth val="0"/>
        <c:axId val="954090704"/>
        <c:axId val="954092368"/>
      </c:lineChart>
      <c:catAx>
        <c:axId val="95409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954092368"/>
        <c:crosses val="autoZero"/>
        <c:auto val="1"/>
        <c:lblAlgn val="ctr"/>
        <c:lblOffset val="100"/>
        <c:noMultiLvlLbl val="0"/>
      </c:catAx>
      <c:valAx>
        <c:axId val="954092368"/>
        <c:scaling>
          <c:orientation val="minMax"/>
        </c:scaling>
        <c:delete val="1"/>
        <c:axPos val="l"/>
        <c:numFmt formatCode="#,##0.0" sourceLinked="1"/>
        <c:majorTickMark val="none"/>
        <c:minorTickMark val="none"/>
        <c:tickLblPos val="nextTo"/>
        <c:crossAx val="954090704"/>
        <c:crosses val="autoZero"/>
        <c:crossBetween val="between"/>
      </c:valAx>
      <c:spPr>
        <a:noFill/>
        <a:ln>
          <a:noFill/>
        </a:ln>
        <a:effectLst/>
      </c:spPr>
    </c:plotArea>
    <c:legend>
      <c:legendPos val="b"/>
      <c:layout>
        <c:manualLayout>
          <c:xMode val="edge"/>
          <c:yMode val="edge"/>
          <c:x val="0.26316380855980448"/>
          <c:y val="0.74779223498096714"/>
          <c:w val="0.58845646536335428"/>
          <c:h val="0.2311062668126602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6415770609319E-2"/>
          <c:y val="1.5910898965791568E-2"/>
          <c:w val="0.97535842293906805"/>
          <c:h val="0.61074361528198007"/>
        </c:manualLayout>
      </c:layout>
      <c:barChart>
        <c:barDir val="col"/>
        <c:grouping val="clustered"/>
        <c:varyColors val="0"/>
        <c:ser>
          <c:idx val="0"/>
          <c:order val="0"/>
          <c:tx>
            <c:strRef>
              <c:f>BOLETIN!$A$270</c:f>
              <c:strCache>
                <c:ptCount val="1"/>
                <c:pt idx="0">
                  <c:v>Suprema Corte de Justicia de la Nación</c:v>
                </c:pt>
              </c:strCache>
            </c:strRef>
          </c:tx>
          <c:spPr>
            <a:solidFill>
              <a:srgbClr val="58267A"/>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BOLETIN!$B$269:$D$269</c:f>
              <c:numCache>
                <c:formatCode>General</c:formatCode>
                <c:ptCount val="3"/>
                <c:pt idx="0">
                  <c:v>2019</c:v>
                </c:pt>
                <c:pt idx="1">
                  <c:v>2020</c:v>
                </c:pt>
                <c:pt idx="2">
                  <c:v>2021</c:v>
                </c:pt>
              </c:numCache>
            </c:numRef>
          </c:cat>
          <c:val>
            <c:numRef>
              <c:f>BOLETIN!$B$270:$D$270</c:f>
              <c:numCache>
                <c:formatCode>#,##0</c:formatCode>
                <c:ptCount val="3"/>
                <c:pt idx="0">
                  <c:v>6590</c:v>
                </c:pt>
                <c:pt idx="1">
                  <c:v>3953</c:v>
                </c:pt>
                <c:pt idx="2">
                  <c:v>3110</c:v>
                </c:pt>
              </c:numCache>
            </c:numRef>
          </c:val>
          <c:extLst>
            <c:ext xmlns:c16="http://schemas.microsoft.com/office/drawing/2014/chart" uri="{C3380CC4-5D6E-409C-BE32-E72D297353CC}">
              <c16:uniqueId val="{00000000-000E-4080-8B44-9D7D8E05125E}"/>
            </c:ext>
          </c:extLst>
        </c:ser>
        <c:ser>
          <c:idx val="1"/>
          <c:order val="1"/>
          <c:tx>
            <c:strRef>
              <c:f>BOLETIN!$A$271</c:f>
              <c:strCache>
                <c:ptCount val="1"/>
                <c:pt idx="0">
                  <c:v>Tribunal Electoral del Poder Judicial de la Federación</c:v>
                </c:pt>
              </c:strCache>
            </c:strRef>
          </c:tx>
          <c:spPr>
            <a:solidFill>
              <a:srgbClr val="CE941F"/>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BOLETIN!$B$269:$D$269</c:f>
              <c:numCache>
                <c:formatCode>General</c:formatCode>
                <c:ptCount val="3"/>
                <c:pt idx="0">
                  <c:v>2019</c:v>
                </c:pt>
                <c:pt idx="1">
                  <c:v>2020</c:v>
                </c:pt>
                <c:pt idx="2">
                  <c:v>2021</c:v>
                </c:pt>
              </c:numCache>
            </c:numRef>
          </c:cat>
          <c:val>
            <c:numRef>
              <c:f>BOLETIN!$B$271:$D$271</c:f>
              <c:numCache>
                <c:formatCode>#,##0</c:formatCode>
                <c:ptCount val="3"/>
                <c:pt idx="0">
                  <c:v>7998</c:v>
                </c:pt>
                <c:pt idx="1">
                  <c:v>3353</c:v>
                </c:pt>
                <c:pt idx="2">
                  <c:v>12532</c:v>
                </c:pt>
              </c:numCache>
            </c:numRef>
          </c:val>
          <c:extLst>
            <c:ext xmlns:c16="http://schemas.microsoft.com/office/drawing/2014/chart" uri="{C3380CC4-5D6E-409C-BE32-E72D297353CC}">
              <c16:uniqueId val="{00000001-000E-4080-8B44-9D7D8E05125E}"/>
            </c:ext>
          </c:extLst>
        </c:ser>
        <c:dLbls>
          <c:dLblPos val="outEnd"/>
          <c:showLegendKey val="0"/>
          <c:showVal val="1"/>
          <c:showCatName val="0"/>
          <c:showSerName val="0"/>
          <c:showPercent val="0"/>
          <c:showBubbleSize val="0"/>
        </c:dLbls>
        <c:gapWidth val="60"/>
        <c:overlap val="-27"/>
        <c:axId val="1893571871"/>
        <c:axId val="1893553567"/>
      </c:barChart>
      <c:catAx>
        <c:axId val="189357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893553567"/>
        <c:crosses val="autoZero"/>
        <c:auto val="1"/>
        <c:lblAlgn val="ctr"/>
        <c:lblOffset val="100"/>
        <c:noMultiLvlLbl val="0"/>
      </c:catAx>
      <c:valAx>
        <c:axId val="1893553567"/>
        <c:scaling>
          <c:orientation val="minMax"/>
        </c:scaling>
        <c:delete val="1"/>
        <c:axPos val="l"/>
        <c:numFmt formatCode="#,##0" sourceLinked="1"/>
        <c:majorTickMark val="none"/>
        <c:minorTickMark val="none"/>
        <c:tickLblPos val="nextTo"/>
        <c:crossAx val="1893571871"/>
        <c:crosses val="autoZero"/>
        <c:crossBetween val="between"/>
      </c:valAx>
      <c:spPr>
        <a:noFill/>
        <a:ln>
          <a:noFill/>
        </a:ln>
        <a:effectLst/>
      </c:spPr>
    </c:plotArea>
    <c:legend>
      <c:legendPos val="b"/>
      <c:layout>
        <c:manualLayout>
          <c:xMode val="edge"/>
          <c:yMode val="edge"/>
          <c:x val="0.15418486161299935"/>
          <c:y val="0.81648793476006654"/>
          <c:w val="0.76464943524994766"/>
          <c:h val="0.172183829612632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8386602911595E-2"/>
          <c:y val="0.1438653397126162"/>
          <c:w val="0.89282146650880079"/>
          <c:h val="0.53630620557778996"/>
        </c:manualLayout>
      </c:layout>
      <c:barChart>
        <c:barDir val="col"/>
        <c:grouping val="clustered"/>
        <c:varyColors val="0"/>
        <c:ser>
          <c:idx val="0"/>
          <c:order val="0"/>
          <c:tx>
            <c:strRef>
              <c:f>CJF!$G$103</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dLbl>
              <c:idx val="3"/>
              <c:tx>
                <c:rich>
                  <a:bodyPr/>
                  <a:lstStyle/>
                  <a:p>
                    <a:r>
                      <a:rPr lang="en-US"/>
                      <a:t>NA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864-42D8-B35A-0EFD07338C6B}"/>
                </c:ext>
              </c:extLst>
            </c:dLbl>
            <c:dLbl>
              <c:idx val="4"/>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864-42D8-B35A-0EFD07338C6B}"/>
                </c:ext>
              </c:extLst>
            </c:dLbl>
            <c:numFmt formatCode="#\ ###\ ###\ ###"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CJF!$F$104:$F$109</c:f>
              <c:strCache>
                <c:ptCount val="6"/>
                <c:pt idx="0">
                  <c:v>Juzgados de Distrito</c:v>
                </c:pt>
                <c:pt idx="1">
                  <c:v>Tribunales Colegiados de Circuito</c:v>
                </c:pt>
                <c:pt idx="2">
                  <c:v>Tribunales Unitarios de Circuito</c:v>
                </c:pt>
                <c:pt idx="3">
                  <c:v>Centros de Justicia Penal Federal</c:v>
                </c:pt>
                <c:pt idx="4">
                  <c:v>Tribunales Laborales Federales</c:v>
                </c:pt>
                <c:pt idx="5">
                  <c:v>Plenos de Circuito</c:v>
                </c:pt>
              </c:strCache>
            </c:strRef>
          </c:cat>
          <c:val>
            <c:numRef>
              <c:f>CJF!$G$104:$G$109</c:f>
              <c:numCache>
                <c:formatCode>#,##0</c:formatCode>
                <c:ptCount val="6"/>
                <c:pt idx="0">
                  <c:v>254403</c:v>
                </c:pt>
                <c:pt idx="1">
                  <c:v>244185</c:v>
                </c:pt>
                <c:pt idx="2">
                  <c:v>14414</c:v>
                </c:pt>
                <c:pt idx="3">
                  <c:v>0</c:v>
                </c:pt>
                <c:pt idx="4">
                  <c:v>0</c:v>
                </c:pt>
                <c:pt idx="5">
                  <c:v>160</c:v>
                </c:pt>
              </c:numCache>
            </c:numRef>
          </c:val>
          <c:extLst>
            <c:ext xmlns:c16="http://schemas.microsoft.com/office/drawing/2014/chart" uri="{C3380CC4-5D6E-409C-BE32-E72D297353CC}">
              <c16:uniqueId val="{00000000-2864-42D8-B35A-0EFD07338C6B}"/>
            </c:ext>
          </c:extLst>
        </c:ser>
        <c:ser>
          <c:idx val="1"/>
          <c:order val="1"/>
          <c:tx>
            <c:strRef>
              <c:f>CJF!$H$103</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CJF!$F$104:$F$109</c:f>
              <c:strCache>
                <c:ptCount val="6"/>
                <c:pt idx="0">
                  <c:v>Juzgados de Distrito</c:v>
                </c:pt>
                <c:pt idx="1">
                  <c:v>Tribunales Colegiados de Circuito</c:v>
                </c:pt>
                <c:pt idx="2">
                  <c:v>Tribunales Unitarios de Circuito</c:v>
                </c:pt>
                <c:pt idx="3">
                  <c:v>Centros de Justicia Penal Federal</c:v>
                </c:pt>
                <c:pt idx="4">
                  <c:v>Tribunales Laborales Federales</c:v>
                </c:pt>
                <c:pt idx="5">
                  <c:v>Plenos de Circuito</c:v>
                </c:pt>
              </c:strCache>
            </c:strRef>
          </c:cat>
          <c:val>
            <c:numRef>
              <c:f>CJF!$H$104:$H$109</c:f>
              <c:numCache>
                <c:formatCode>#,##0</c:formatCode>
                <c:ptCount val="6"/>
                <c:pt idx="0">
                  <c:v>438762</c:v>
                </c:pt>
                <c:pt idx="1">
                  <c:v>316779</c:v>
                </c:pt>
                <c:pt idx="2">
                  <c:v>19398</c:v>
                </c:pt>
                <c:pt idx="3">
                  <c:v>9035</c:v>
                </c:pt>
                <c:pt idx="4">
                  <c:v>1330</c:v>
                </c:pt>
                <c:pt idx="5">
                  <c:v>245</c:v>
                </c:pt>
              </c:numCache>
            </c:numRef>
          </c:val>
          <c:extLst>
            <c:ext xmlns:c16="http://schemas.microsoft.com/office/drawing/2014/chart" uri="{C3380CC4-5D6E-409C-BE32-E72D297353CC}">
              <c16:uniqueId val="{00000001-2864-42D8-B35A-0EFD07338C6B}"/>
            </c:ext>
          </c:extLst>
        </c:ser>
        <c:dLbls>
          <c:dLblPos val="outEnd"/>
          <c:showLegendKey val="0"/>
          <c:showVal val="1"/>
          <c:showCatName val="0"/>
          <c:showSerName val="0"/>
          <c:showPercent val="0"/>
          <c:showBubbleSize val="0"/>
        </c:dLbls>
        <c:gapWidth val="50"/>
        <c:overlap val="-27"/>
        <c:axId val="56514112"/>
        <c:axId val="56495392"/>
      </c:barChart>
      <c:catAx>
        <c:axId val="5651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6495392"/>
        <c:crosses val="autoZero"/>
        <c:auto val="1"/>
        <c:lblAlgn val="ctr"/>
        <c:lblOffset val="100"/>
        <c:noMultiLvlLbl val="0"/>
      </c:catAx>
      <c:valAx>
        <c:axId val="56495392"/>
        <c:scaling>
          <c:orientation val="minMax"/>
        </c:scaling>
        <c:delete val="1"/>
        <c:axPos val="l"/>
        <c:numFmt formatCode="#,##0" sourceLinked="1"/>
        <c:majorTickMark val="none"/>
        <c:minorTickMark val="none"/>
        <c:tickLblPos val="nextTo"/>
        <c:crossAx val="56514112"/>
        <c:crosses val="autoZero"/>
        <c:crossBetween val="between"/>
      </c:valAx>
      <c:spPr>
        <a:noFill/>
        <a:ln>
          <a:noFill/>
        </a:ln>
        <a:effectLst/>
      </c:spPr>
    </c:plotArea>
    <c:legend>
      <c:legendPos val="b"/>
      <c:layout>
        <c:manualLayout>
          <c:xMode val="edge"/>
          <c:yMode val="edge"/>
          <c:x val="0.37435222553218417"/>
          <c:y val="0.90491958073730494"/>
          <c:w val="0.28421895360300842"/>
          <c:h val="8.002773486731118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065780742309056E-2"/>
          <c:y val="0.11167242754586545"/>
          <c:w val="0.9081218060116073"/>
          <c:h val="0.49610905124495702"/>
        </c:manualLayout>
      </c:layout>
      <c:barChart>
        <c:barDir val="col"/>
        <c:grouping val="clustered"/>
        <c:varyColors val="0"/>
        <c:ser>
          <c:idx val="0"/>
          <c:order val="0"/>
          <c:tx>
            <c:strRef>
              <c:f>BOLETIN!$B$170</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BOLETIN!$C$168:$H$169</c:f>
              <c:multiLvlStrCache>
                <c:ptCount val="6"/>
                <c:lvl>
                  <c:pt idx="0">
                    <c:v>Turnos</c:v>
                  </c:pt>
                  <c:pt idx="1">
                    <c:v>Recibidos de otro órgano</c:v>
                  </c:pt>
                  <c:pt idx="2">
                    <c:v>Turnos</c:v>
                  </c:pt>
                  <c:pt idx="3">
                    <c:v>Recibidos de otro órgano</c:v>
                  </c:pt>
                  <c:pt idx="4">
                    <c:v>Turnos</c:v>
                  </c:pt>
                  <c:pt idx="5">
                    <c:v>Recibidos de otro órgano</c:v>
                  </c:pt>
                </c:lvl>
                <c:lvl>
                  <c:pt idx="0">
                    <c:v>Pleno</c:v>
                  </c:pt>
                  <c:pt idx="2">
                    <c:v>Primera Sala</c:v>
                  </c:pt>
                  <c:pt idx="4">
                    <c:v>Segunda Sala</c:v>
                  </c:pt>
                </c:lvl>
              </c:multiLvlStrCache>
            </c:multiLvlStrRef>
          </c:cat>
          <c:val>
            <c:numRef>
              <c:f>BOLETIN!$C$170:$H$170</c:f>
              <c:numCache>
                <c:formatCode>#,##0</c:formatCode>
                <c:ptCount val="6"/>
                <c:pt idx="0">
                  <c:v>3537</c:v>
                </c:pt>
                <c:pt idx="1">
                  <c:v>23</c:v>
                </c:pt>
                <c:pt idx="2">
                  <c:v>42</c:v>
                </c:pt>
                <c:pt idx="3">
                  <c:v>1480</c:v>
                </c:pt>
                <c:pt idx="4">
                  <c:v>3</c:v>
                </c:pt>
                <c:pt idx="5">
                  <c:v>1539</c:v>
                </c:pt>
              </c:numCache>
            </c:numRef>
          </c:val>
          <c:extLst>
            <c:ext xmlns:c16="http://schemas.microsoft.com/office/drawing/2014/chart" uri="{C3380CC4-5D6E-409C-BE32-E72D297353CC}">
              <c16:uniqueId val="{00000000-CC97-48D2-9ECF-AEBF3B196AEC}"/>
            </c:ext>
          </c:extLst>
        </c:ser>
        <c:ser>
          <c:idx val="1"/>
          <c:order val="1"/>
          <c:tx>
            <c:strRef>
              <c:f>BOLETIN!$B$171</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BOLETIN!$C$168:$H$169</c:f>
              <c:multiLvlStrCache>
                <c:ptCount val="6"/>
                <c:lvl>
                  <c:pt idx="0">
                    <c:v>Turnos</c:v>
                  </c:pt>
                  <c:pt idx="1">
                    <c:v>Recibidos de otro órgano</c:v>
                  </c:pt>
                  <c:pt idx="2">
                    <c:v>Turnos</c:v>
                  </c:pt>
                  <c:pt idx="3">
                    <c:v>Recibidos de otro órgano</c:v>
                  </c:pt>
                  <c:pt idx="4">
                    <c:v>Turnos</c:v>
                  </c:pt>
                  <c:pt idx="5">
                    <c:v>Recibidos de otro órgano</c:v>
                  </c:pt>
                </c:lvl>
                <c:lvl>
                  <c:pt idx="0">
                    <c:v>Pleno</c:v>
                  </c:pt>
                  <c:pt idx="2">
                    <c:v>Primera Sala</c:v>
                  </c:pt>
                  <c:pt idx="4">
                    <c:v>Segunda Sala</c:v>
                  </c:pt>
                </c:lvl>
              </c:multiLvlStrCache>
            </c:multiLvlStrRef>
          </c:cat>
          <c:val>
            <c:numRef>
              <c:f>BOLETIN!$C$171:$H$171</c:f>
              <c:numCache>
                <c:formatCode>#,##0</c:formatCode>
                <c:ptCount val="6"/>
                <c:pt idx="0">
                  <c:v>3008</c:v>
                </c:pt>
                <c:pt idx="1">
                  <c:v>26</c:v>
                </c:pt>
                <c:pt idx="2">
                  <c:v>53</c:v>
                </c:pt>
                <c:pt idx="3">
                  <c:v>1300</c:v>
                </c:pt>
                <c:pt idx="4">
                  <c:v>7</c:v>
                </c:pt>
                <c:pt idx="5">
                  <c:v>1555</c:v>
                </c:pt>
              </c:numCache>
            </c:numRef>
          </c:val>
          <c:extLst>
            <c:ext xmlns:c16="http://schemas.microsoft.com/office/drawing/2014/chart" uri="{C3380CC4-5D6E-409C-BE32-E72D297353CC}">
              <c16:uniqueId val="{00000001-CC97-48D2-9ECF-AEBF3B196AEC}"/>
            </c:ext>
          </c:extLst>
        </c:ser>
        <c:dLbls>
          <c:dLblPos val="outEnd"/>
          <c:showLegendKey val="0"/>
          <c:showVal val="1"/>
          <c:showCatName val="0"/>
          <c:showSerName val="0"/>
          <c:showPercent val="0"/>
          <c:showBubbleSize val="0"/>
        </c:dLbls>
        <c:gapWidth val="60"/>
        <c:overlap val="-27"/>
        <c:axId val="80713088"/>
        <c:axId val="80715168"/>
      </c:barChart>
      <c:catAx>
        <c:axId val="80713088"/>
        <c:scaling>
          <c:orientation val="minMax"/>
        </c:scaling>
        <c:delete val="0"/>
        <c:axPos val="b"/>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0715168"/>
        <c:crosses val="autoZero"/>
        <c:auto val="1"/>
        <c:lblAlgn val="ctr"/>
        <c:lblOffset val="100"/>
        <c:noMultiLvlLbl val="0"/>
      </c:catAx>
      <c:valAx>
        <c:axId val="80715168"/>
        <c:scaling>
          <c:orientation val="minMax"/>
        </c:scaling>
        <c:delete val="1"/>
        <c:axPos val="l"/>
        <c:numFmt formatCode="#,##0" sourceLinked="1"/>
        <c:majorTickMark val="none"/>
        <c:minorTickMark val="none"/>
        <c:tickLblPos val="nextTo"/>
        <c:crossAx val="80713088"/>
        <c:crosses val="autoZero"/>
        <c:crossBetween val="between"/>
      </c:valAx>
      <c:spPr>
        <a:noFill/>
        <a:ln>
          <a:noFill/>
        </a:ln>
        <a:effectLst/>
      </c:spPr>
    </c:plotArea>
    <c:legend>
      <c:legendPos val="b"/>
      <c:layout>
        <c:manualLayout>
          <c:xMode val="edge"/>
          <c:yMode val="edge"/>
          <c:x val="0.38721342907686807"/>
          <c:y val="0.89923144079204931"/>
          <c:w val="0.22160709239126192"/>
          <c:h val="8.48153552728270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065780742309056E-2"/>
          <c:y val="9.8135426889106966E-2"/>
          <c:w val="0.9081218060116073"/>
          <c:h val="0.45099914657907031"/>
        </c:manualLayout>
      </c:layout>
      <c:barChart>
        <c:barDir val="col"/>
        <c:grouping val="clustered"/>
        <c:varyColors val="0"/>
        <c:ser>
          <c:idx val="0"/>
          <c:order val="0"/>
          <c:tx>
            <c:strRef>
              <c:f>BOLETIN!$K$170</c:f>
              <c:strCache>
                <c:ptCount val="1"/>
                <c:pt idx="0">
                  <c:v>2020</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BOLETIN!$L$168:$Q$169</c:f>
              <c:multiLvlStrCache>
                <c:ptCount val="6"/>
                <c:lvl>
                  <c:pt idx="0">
                    <c:v>Fallados, resueltos por dictamen o acuerdo</c:v>
                  </c:pt>
                  <c:pt idx="1">
                    <c:v>Enviados a otro órgano</c:v>
                  </c:pt>
                  <c:pt idx="2">
                    <c:v>Fallados, resueltos por dictamen o acuerdo</c:v>
                  </c:pt>
                  <c:pt idx="3">
                    <c:v>Enviados a otro órgano</c:v>
                  </c:pt>
                  <c:pt idx="4">
                    <c:v>Fallados, resueltos por dictamen o acuerdo</c:v>
                  </c:pt>
                  <c:pt idx="5">
                    <c:v>Enviados a otro órgano</c:v>
                  </c:pt>
                </c:lvl>
                <c:lvl>
                  <c:pt idx="0">
                    <c:v>Pleno</c:v>
                  </c:pt>
                  <c:pt idx="2">
                    <c:v>Primera Sala</c:v>
                  </c:pt>
                  <c:pt idx="4">
                    <c:v>Segunda Sala</c:v>
                  </c:pt>
                </c:lvl>
              </c:multiLvlStrCache>
            </c:multiLvlStrRef>
          </c:cat>
          <c:val>
            <c:numRef>
              <c:f>BOLETIN!$L$170:$Q$170</c:f>
              <c:numCache>
                <c:formatCode>#,##0</c:formatCode>
                <c:ptCount val="6"/>
                <c:pt idx="0">
                  <c:v>390</c:v>
                </c:pt>
                <c:pt idx="1">
                  <c:v>3017</c:v>
                </c:pt>
                <c:pt idx="2">
                  <c:v>1836</c:v>
                </c:pt>
                <c:pt idx="3">
                  <c:v>13</c:v>
                </c:pt>
                <c:pt idx="4">
                  <c:v>1744</c:v>
                </c:pt>
                <c:pt idx="5">
                  <c:v>12</c:v>
                </c:pt>
              </c:numCache>
            </c:numRef>
          </c:val>
          <c:extLst>
            <c:ext xmlns:c16="http://schemas.microsoft.com/office/drawing/2014/chart" uri="{C3380CC4-5D6E-409C-BE32-E72D297353CC}">
              <c16:uniqueId val="{00000000-D551-4A79-99F2-81CB7BE737B6}"/>
            </c:ext>
          </c:extLst>
        </c:ser>
        <c:ser>
          <c:idx val="1"/>
          <c:order val="1"/>
          <c:tx>
            <c:strRef>
              <c:f>BOLETIN!$K$171</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BOLETIN!$L$168:$Q$169</c:f>
              <c:multiLvlStrCache>
                <c:ptCount val="6"/>
                <c:lvl>
                  <c:pt idx="0">
                    <c:v>Fallados, resueltos por dictamen o acuerdo</c:v>
                  </c:pt>
                  <c:pt idx="1">
                    <c:v>Enviados a otro órgano</c:v>
                  </c:pt>
                  <c:pt idx="2">
                    <c:v>Fallados, resueltos por dictamen o acuerdo</c:v>
                  </c:pt>
                  <c:pt idx="3">
                    <c:v>Enviados a otro órgano</c:v>
                  </c:pt>
                  <c:pt idx="4">
                    <c:v>Fallados, resueltos por dictamen o acuerdo</c:v>
                  </c:pt>
                  <c:pt idx="5">
                    <c:v>Enviados a otro órgano</c:v>
                  </c:pt>
                </c:lvl>
                <c:lvl>
                  <c:pt idx="0">
                    <c:v>Pleno</c:v>
                  </c:pt>
                  <c:pt idx="2">
                    <c:v>Primera Sala</c:v>
                  </c:pt>
                  <c:pt idx="4">
                    <c:v>Segunda Sala</c:v>
                  </c:pt>
                </c:lvl>
              </c:multiLvlStrCache>
            </c:multiLvlStrRef>
          </c:cat>
          <c:val>
            <c:numRef>
              <c:f>BOLETIN!$L$171:$Q$171</c:f>
              <c:numCache>
                <c:formatCode>#,##0</c:formatCode>
                <c:ptCount val="6"/>
                <c:pt idx="0">
                  <c:v>392</c:v>
                </c:pt>
                <c:pt idx="1">
                  <c:v>2854</c:v>
                </c:pt>
                <c:pt idx="2">
                  <c:v>1498</c:v>
                </c:pt>
                <c:pt idx="3">
                  <c:v>15</c:v>
                </c:pt>
                <c:pt idx="4">
                  <c:v>1513</c:v>
                </c:pt>
                <c:pt idx="5">
                  <c:v>12</c:v>
                </c:pt>
              </c:numCache>
            </c:numRef>
          </c:val>
          <c:extLst>
            <c:ext xmlns:c16="http://schemas.microsoft.com/office/drawing/2014/chart" uri="{C3380CC4-5D6E-409C-BE32-E72D297353CC}">
              <c16:uniqueId val="{00000001-D551-4A79-99F2-81CB7BE737B6}"/>
            </c:ext>
          </c:extLst>
        </c:ser>
        <c:dLbls>
          <c:dLblPos val="outEnd"/>
          <c:showLegendKey val="0"/>
          <c:showVal val="1"/>
          <c:showCatName val="0"/>
          <c:showSerName val="0"/>
          <c:showPercent val="0"/>
          <c:showBubbleSize val="0"/>
        </c:dLbls>
        <c:gapWidth val="60"/>
        <c:overlap val="-27"/>
        <c:axId val="1998424192"/>
        <c:axId val="1998423776"/>
      </c:barChart>
      <c:catAx>
        <c:axId val="1998424192"/>
        <c:scaling>
          <c:orientation val="minMax"/>
        </c:scaling>
        <c:delete val="0"/>
        <c:axPos val="b"/>
        <c:numFmt formatCode="General" sourceLinked="1"/>
        <c:majorTickMark val="none"/>
        <c:minorTickMark val="none"/>
        <c:tickLblPos val="nextTo"/>
        <c:spPr>
          <a:noFill/>
          <a:ln w="9525" cap="flat" cmpd="sng" algn="ctr">
            <a:solidFill>
              <a:schemeClr val="accent3"/>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998423776"/>
        <c:crosses val="autoZero"/>
        <c:auto val="1"/>
        <c:lblAlgn val="ctr"/>
        <c:lblOffset val="100"/>
        <c:noMultiLvlLbl val="0"/>
      </c:catAx>
      <c:valAx>
        <c:axId val="1998423776"/>
        <c:scaling>
          <c:orientation val="minMax"/>
        </c:scaling>
        <c:delete val="1"/>
        <c:axPos val="l"/>
        <c:numFmt formatCode="#,##0" sourceLinked="1"/>
        <c:majorTickMark val="none"/>
        <c:minorTickMark val="none"/>
        <c:tickLblPos val="nextTo"/>
        <c:crossAx val="1998424192"/>
        <c:crosses val="autoZero"/>
        <c:crossBetween val="between"/>
      </c:valAx>
      <c:spPr>
        <a:noFill/>
        <a:ln>
          <a:noFill/>
        </a:ln>
        <a:effectLst/>
      </c:spPr>
    </c:plotArea>
    <c:legend>
      <c:legendPos val="b"/>
      <c:layout>
        <c:manualLayout>
          <c:xMode val="edge"/>
          <c:yMode val="edge"/>
          <c:x val="0.38108222169778322"/>
          <c:y val="0.92151287837486562"/>
          <c:w val="0.25888792115375892"/>
          <c:h val="7.82606847843725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436104604118009"/>
          <c:y val="3.490955252300857E-2"/>
          <c:w val="0.28535037592159113"/>
          <c:h val="0.94563047131554356"/>
        </c:manualLayout>
      </c:layout>
      <c:barChart>
        <c:barDir val="bar"/>
        <c:grouping val="clustered"/>
        <c:varyColors val="0"/>
        <c:ser>
          <c:idx val="0"/>
          <c:order val="0"/>
          <c:tx>
            <c:strRef>
              <c:f>TEPJF!$M$63</c:f>
              <c:strCache>
                <c:ptCount val="1"/>
                <c:pt idx="0">
                  <c:v>Ingresados</c:v>
                </c:pt>
              </c:strCache>
            </c:strRef>
          </c:tx>
          <c:spPr>
            <a:solidFill>
              <a:srgbClr val="8E61A5"/>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TEPJF!$L$64:$L$82</c:f>
              <c:strCache>
                <c:ptCount val="19"/>
                <c:pt idx="0">
                  <c:v>Juicio para la protección de los derechos político-electorales del ciudadano</c:v>
                </c:pt>
                <c:pt idx="1">
                  <c:v>Recurso de reconsideración</c:v>
                </c:pt>
                <c:pt idx="2">
                  <c:v>Juicio de revisión constitucional electoral</c:v>
                </c:pt>
                <c:pt idx="3">
                  <c:v>Juicio electoral</c:v>
                </c:pt>
                <c:pt idx="4">
                  <c:v>Recurso de apelación</c:v>
                </c:pt>
                <c:pt idx="5">
                  <c:v>Asunto general</c:v>
                </c:pt>
                <c:pt idx="6">
                  <c:v>Recurso de revisión del procedimiento especial sancionador</c:v>
                </c:pt>
                <c:pt idx="7">
                  <c:v>Juicio de inconformidad</c:v>
                </c:pt>
                <c:pt idx="8">
                  <c:v>Procedimiento especial sancionador de órgano central del INE</c:v>
                </c:pt>
                <c:pt idx="9">
                  <c:v>Juicio para dirimir los conflictos o diferencias laborales de los servidores del Instituto Nacional Electoral</c:v>
                </c:pt>
                <c:pt idx="10">
                  <c:v>Procedimiento especial sancionador de órgano distrital del INE</c:v>
                </c:pt>
                <c:pt idx="11">
                  <c:v>Solicitud de ejercicio de la facultad de atracción de la sala superior</c:v>
                </c:pt>
                <c:pt idx="12">
                  <c:v>Procedimiento especial sancionador de órgano local del INE</c:v>
                </c:pt>
                <c:pt idx="13">
                  <c:v>Recurso de revisión</c:v>
                </c:pt>
                <c:pt idx="14">
                  <c:v>Contradicción de criterios</c:v>
                </c:pt>
                <c:pt idx="15">
                  <c:v>Conflictos o diferencias laborales entre el TEPJF y sus servidores</c:v>
                </c:pt>
                <c:pt idx="16">
                  <c:v>Opinión de acción de inconstitucionalidad</c:v>
                </c:pt>
                <c:pt idx="17">
                  <c:v>Impedimento</c:v>
                </c:pt>
                <c:pt idx="18">
                  <c:v>Ratificación de jurisprudencia planteada por sala regional</c:v>
                </c:pt>
              </c:strCache>
            </c:strRef>
          </c:cat>
          <c:val>
            <c:numRef>
              <c:f>TEPJF!$M$64:$M$82</c:f>
              <c:numCache>
                <c:formatCode>#,##0</c:formatCode>
                <c:ptCount val="19"/>
                <c:pt idx="0">
                  <c:v>8560</c:v>
                </c:pt>
                <c:pt idx="1">
                  <c:v>2328</c:v>
                </c:pt>
                <c:pt idx="2">
                  <c:v>2020</c:v>
                </c:pt>
                <c:pt idx="3">
                  <c:v>1629</c:v>
                </c:pt>
                <c:pt idx="4">
                  <c:v>1273</c:v>
                </c:pt>
                <c:pt idx="5">
                  <c:v>683</c:v>
                </c:pt>
                <c:pt idx="6">
                  <c:v>617</c:v>
                </c:pt>
                <c:pt idx="7">
                  <c:v>518</c:v>
                </c:pt>
                <c:pt idx="8">
                  <c:v>202</c:v>
                </c:pt>
                <c:pt idx="9">
                  <c:v>199</c:v>
                </c:pt>
                <c:pt idx="10">
                  <c:v>132</c:v>
                </c:pt>
                <c:pt idx="11">
                  <c:v>78</c:v>
                </c:pt>
                <c:pt idx="12">
                  <c:v>18</c:v>
                </c:pt>
                <c:pt idx="13">
                  <c:v>14</c:v>
                </c:pt>
                <c:pt idx="14">
                  <c:v>12</c:v>
                </c:pt>
                <c:pt idx="15">
                  <c:v>8</c:v>
                </c:pt>
                <c:pt idx="16">
                  <c:v>7</c:v>
                </c:pt>
                <c:pt idx="17">
                  <c:v>2</c:v>
                </c:pt>
                <c:pt idx="18">
                  <c:v>2</c:v>
                </c:pt>
              </c:numCache>
            </c:numRef>
          </c:val>
          <c:extLst>
            <c:ext xmlns:c16="http://schemas.microsoft.com/office/drawing/2014/chart" uri="{C3380CC4-5D6E-409C-BE32-E72D297353CC}">
              <c16:uniqueId val="{00000000-907D-49E7-9A03-048CB407443D}"/>
            </c:ext>
          </c:extLst>
        </c:ser>
        <c:ser>
          <c:idx val="1"/>
          <c:order val="1"/>
          <c:tx>
            <c:strRef>
              <c:f>TEPJF!$N$63</c:f>
              <c:strCache>
                <c:ptCount val="1"/>
                <c:pt idx="0">
                  <c:v>Resueltos</c:v>
                </c:pt>
              </c:strCache>
            </c:strRef>
          </c:tx>
          <c:spPr>
            <a:solidFill>
              <a:srgbClr val="C12686"/>
            </a:solidFill>
            <a:ln>
              <a:noFill/>
            </a:ln>
            <a:effectLst>
              <a:outerShdw blurRad="50800" dist="38100" dir="2700000" algn="tl" rotWithShape="0">
                <a:prstClr val="black">
                  <a:alpha val="40000"/>
                </a:prstClr>
              </a:outerShdw>
            </a:effectLst>
          </c:spPr>
          <c:invertIfNegative val="0"/>
          <c:dLbls>
            <c:numFmt formatCode="#\ ###\ ###\ ###"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TEPJF!$L$64:$L$82</c:f>
              <c:strCache>
                <c:ptCount val="19"/>
                <c:pt idx="0">
                  <c:v>Juicio para la protección de los derechos político-electorales del ciudadano</c:v>
                </c:pt>
                <c:pt idx="1">
                  <c:v>Recurso de reconsideración</c:v>
                </c:pt>
                <c:pt idx="2">
                  <c:v>Juicio de revisión constitucional electoral</c:v>
                </c:pt>
                <c:pt idx="3">
                  <c:v>Juicio electoral</c:v>
                </c:pt>
                <c:pt idx="4">
                  <c:v>Recurso de apelación</c:v>
                </c:pt>
                <c:pt idx="5">
                  <c:v>Asunto general</c:v>
                </c:pt>
                <c:pt idx="6">
                  <c:v>Recurso de revisión del procedimiento especial sancionador</c:v>
                </c:pt>
                <c:pt idx="7">
                  <c:v>Juicio de inconformidad</c:v>
                </c:pt>
                <c:pt idx="8">
                  <c:v>Procedimiento especial sancionador de órgano central del INE</c:v>
                </c:pt>
                <c:pt idx="9">
                  <c:v>Juicio para dirimir los conflictos o diferencias laborales de los servidores del Instituto Nacional Electoral</c:v>
                </c:pt>
                <c:pt idx="10">
                  <c:v>Procedimiento especial sancionador de órgano distrital del INE</c:v>
                </c:pt>
                <c:pt idx="11">
                  <c:v>Solicitud de ejercicio de la facultad de atracción de la sala superior</c:v>
                </c:pt>
                <c:pt idx="12">
                  <c:v>Procedimiento especial sancionador de órgano local del INE</c:v>
                </c:pt>
                <c:pt idx="13">
                  <c:v>Recurso de revisión</c:v>
                </c:pt>
                <c:pt idx="14">
                  <c:v>Contradicción de criterios</c:v>
                </c:pt>
                <c:pt idx="15">
                  <c:v>Conflictos o diferencias laborales entre el TEPJF y sus servidores</c:v>
                </c:pt>
                <c:pt idx="16">
                  <c:v>Opinión de acción de inconstitucionalidad</c:v>
                </c:pt>
                <c:pt idx="17">
                  <c:v>Impedimento</c:v>
                </c:pt>
                <c:pt idx="18">
                  <c:v>Ratificación de jurisprudencia planteada por sala regional</c:v>
                </c:pt>
              </c:strCache>
            </c:strRef>
          </c:cat>
          <c:val>
            <c:numRef>
              <c:f>TEPJF!$N$64:$N$82</c:f>
              <c:numCache>
                <c:formatCode>#,##0</c:formatCode>
                <c:ptCount val="19"/>
                <c:pt idx="0">
                  <c:v>8492</c:v>
                </c:pt>
                <c:pt idx="1">
                  <c:v>2311</c:v>
                </c:pt>
                <c:pt idx="2">
                  <c:v>2014</c:v>
                </c:pt>
                <c:pt idx="3">
                  <c:v>1581</c:v>
                </c:pt>
                <c:pt idx="4">
                  <c:v>1263</c:v>
                </c:pt>
                <c:pt idx="5">
                  <c:v>661</c:v>
                </c:pt>
                <c:pt idx="6">
                  <c:v>599</c:v>
                </c:pt>
                <c:pt idx="7">
                  <c:v>518</c:v>
                </c:pt>
                <c:pt idx="8">
                  <c:v>202</c:v>
                </c:pt>
                <c:pt idx="9">
                  <c:v>156</c:v>
                </c:pt>
                <c:pt idx="10">
                  <c:v>132</c:v>
                </c:pt>
                <c:pt idx="11">
                  <c:v>78</c:v>
                </c:pt>
                <c:pt idx="12">
                  <c:v>18</c:v>
                </c:pt>
                <c:pt idx="13">
                  <c:v>14</c:v>
                </c:pt>
                <c:pt idx="14">
                  <c:v>11</c:v>
                </c:pt>
                <c:pt idx="15">
                  <c:v>1</c:v>
                </c:pt>
                <c:pt idx="16">
                  <c:v>7</c:v>
                </c:pt>
                <c:pt idx="17">
                  <c:v>2</c:v>
                </c:pt>
                <c:pt idx="18">
                  <c:v>2</c:v>
                </c:pt>
              </c:numCache>
            </c:numRef>
          </c:val>
          <c:extLst>
            <c:ext xmlns:c16="http://schemas.microsoft.com/office/drawing/2014/chart" uri="{C3380CC4-5D6E-409C-BE32-E72D297353CC}">
              <c16:uniqueId val="{00000001-907D-49E7-9A03-048CB407443D}"/>
            </c:ext>
          </c:extLst>
        </c:ser>
        <c:dLbls>
          <c:dLblPos val="outEnd"/>
          <c:showLegendKey val="0"/>
          <c:showVal val="1"/>
          <c:showCatName val="0"/>
          <c:showSerName val="0"/>
          <c:showPercent val="0"/>
          <c:showBubbleSize val="0"/>
        </c:dLbls>
        <c:gapWidth val="50"/>
        <c:axId val="789306416"/>
        <c:axId val="789309328"/>
      </c:barChart>
      <c:catAx>
        <c:axId val="7893064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789309328"/>
        <c:crosses val="autoZero"/>
        <c:auto val="1"/>
        <c:lblAlgn val="ctr"/>
        <c:lblOffset val="100"/>
        <c:noMultiLvlLbl val="0"/>
      </c:catAx>
      <c:valAx>
        <c:axId val="789309328"/>
        <c:scaling>
          <c:orientation val="minMax"/>
        </c:scaling>
        <c:delete val="1"/>
        <c:axPos val="t"/>
        <c:numFmt formatCode="#,##0" sourceLinked="1"/>
        <c:majorTickMark val="none"/>
        <c:minorTickMark val="none"/>
        <c:tickLblPos val="nextTo"/>
        <c:crossAx val="789306416"/>
        <c:crosses val="autoZero"/>
        <c:crossBetween val="between"/>
      </c:valAx>
      <c:spPr>
        <a:noFill/>
        <a:ln>
          <a:noFill/>
        </a:ln>
        <a:effectLst/>
      </c:spPr>
    </c:plotArea>
    <c:legend>
      <c:legendPos val="b"/>
      <c:layout>
        <c:manualLayout>
          <c:xMode val="edge"/>
          <c:yMode val="edge"/>
          <c:x val="0.68948582901923183"/>
          <c:y val="0.54640129175358776"/>
          <c:w val="0.13438390134629935"/>
          <c:h val="9.16379502070333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242914744084798E-2"/>
          <c:y val="0.12308923128747121"/>
          <c:w val="0.92498519498763987"/>
          <c:h val="0.72959185326021825"/>
        </c:manualLayout>
      </c:layout>
      <c:lineChart>
        <c:grouping val="standard"/>
        <c:varyColors val="0"/>
        <c:ser>
          <c:idx val="0"/>
          <c:order val="0"/>
          <c:tx>
            <c:strRef>
              <c:f>TEPJF!$L$109</c:f>
              <c:strCache>
                <c:ptCount val="1"/>
                <c:pt idx="0">
                  <c:v>Juicio para la protección de los derechos político-electorales del ciudadano</c:v>
                </c:pt>
              </c:strCache>
            </c:strRef>
          </c:tx>
          <c:spPr>
            <a:ln w="28575" cap="rnd">
              <a:solidFill>
                <a:srgbClr val="58267A"/>
              </a:solidFill>
              <a:round/>
            </a:ln>
            <a:effectLst>
              <a:outerShdw blurRad="50800" dist="38100" dir="2700000" algn="tl" rotWithShape="0">
                <a:prstClr val="black">
                  <a:alpha val="40000"/>
                </a:prstClr>
              </a:outerShdw>
            </a:effectLst>
          </c:spPr>
          <c:marker>
            <c:symbol val="diamond"/>
            <c:size val="5"/>
            <c:spPr>
              <a:solidFill>
                <a:srgbClr val="58267A"/>
              </a:solidFill>
              <a:ln w="9525">
                <a:solidFill>
                  <a:srgbClr val="58267A"/>
                </a:solidFill>
              </a:ln>
              <a:effectLst>
                <a:outerShdw blurRad="50800" dist="38100" dir="2700000" algn="tl" rotWithShape="0">
                  <a:prstClr val="black">
                    <a:alpha val="40000"/>
                  </a:prstClr>
                </a:outerShdw>
              </a:effectLst>
            </c:spPr>
          </c:marker>
          <c:dLbls>
            <c:numFmt formatCode="0.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TEPJF!$M$108:$X$108</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TEPJF!$M$109:$X$109</c:f>
              <c:numCache>
                <c:formatCode>0.0%</c:formatCode>
                <c:ptCount val="12"/>
                <c:pt idx="0">
                  <c:v>0.99354270619313179</c:v>
                </c:pt>
                <c:pt idx="1">
                  <c:v>0.99762616493757694</c:v>
                </c:pt>
                <c:pt idx="2">
                  <c:v>1.0010493602938209</c:v>
                </c:pt>
                <c:pt idx="3">
                  <c:v>1.0056219255094869</c:v>
                </c:pt>
                <c:pt idx="4">
                  <c:v>0.87845903418339666</c:v>
                </c:pt>
                <c:pt idx="5">
                  <c:v>1.0117611427994548</c:v>
                </c:pt>
                <c:pt idx="6">
                  <c:v>1.1070961412688032</c:v>
                </c:pt>
                <c:pt idx="7">
                  <c:v>0.99479708636836628</c:v>
                </c:pt>
                <c:pt idx="8">
                  <c:v>1.0058024961681629</c:v>
                </c:pt>
                <c:pt idx="9">
                  <c:v>0.92836676217765046</c:v>
                </c:pt>
                <c:pt idx="10">
                  <c:v>1.0206856766111752</c:v>
                </c:pt>
                <c:pt idx="11">
                  <c:v>0.99205607476635516</c:v>
                </c:pt>
              </c:numCache>
            </c:numRef>
          </c:val>
          <c:smooth val="0"/>
          <c:extLst>
            <c:ext xmlns:c16="http://schemas.microsoft.com/office/drawing/2014/chart" uri="{C3380CC4-5D6E-409C-BE32-E72D297353CC}">
              <c16:uniqueId val="{00000000-E958-418A-B453-AFFC2B8B322F}"/>
            </c:ext>
          </c:extLst>
        </c:ser>
        <c:dLbls>
          <c:dLblPos val="t"/>
          <c:showLegendKey val="0"/>
          <c:showVal val="1"/>
          <c:showCatName val="0"/>
          <c:showSerName val="0"/>
          <c:showPercent val="0"/>
          <c:showBubbleSize val="0"/>
        </c:dLbls>
        <c:marker val="1"/>
        <c:smooth val="0"/>
        <c:axId val="1024878592"/>
        <c:axId val="1024870688"/>
      </c:lineChart>
      <c:catAx>
        <c:axId val="102487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024870688"/>
        <c:crosses val="autoZero"/>
        <c:auto val="1"/>
        <c:lblAlgn val="ctr"/>
        <c:lblOffset val="100"/>
        <c:noMultiLvlLbl val="0"/>
      </c:catAx>
      <c:valAx>
        <c:axId val="1024870688"/>
        <c:scaling>
          <c:orientation val="minMax"/>
        </c:scaling>
        <c:delete val="1"/>
        <c:axPos val="l"/>
        <c:numFmt formatCode="0.0%" sourceLinked="1"/>
        <c:majorTickMark val="none"/>
        <c:minorTickMark val="none"/>
        <c:tickLblPos val="nextTo"/>
        <c:crossAx val="1024878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0FBF-8465-4CB0-AC15-86B6A959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3477</Words>
  <Characters>19125</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Censo Nacional de Impartición de Justicia Federal</vt:lpstr>
      <vt:lpstr/>
    </vt:vector>
  </TitlesOfParts>
  <Company/>
  <LinksUpToDate>false</LinksUpToDate>
  <CharactersWithSpaces>22557</CharactersWithSpaces>
  <SharedDoc>false</SharedDoc>
  <HLinks>
    <vt:vector size="18" baseType="variant">
      <vt:variant>
        <vt:i4>8061052</vt:i4>
      </vt:variant>
      <vt:variant>
        <vt:i4>6</vt:i4>
      </vt:variant>
      <vt:variant>
        <vt:i4>0</vt:i4>
      </vt:variant>
      <vt:variant>
        <vt:i4>5</vt:i4>
      </vt:variant>
      <vt:variant>
        <vt:lpwstr>https://www.inegi.org.mx/programas/cnijf/2022/</vt:lpwstr>
      </vt:variant>
      <vt:variant>
        <vt:lpwstr/>
      </vt:variant>
      <vt:variant>
        <vt:i4>6225973</vt:i4>
      </vt:variant>
      <vt:variant>
        <vt:i4>3</vt:i4>
      </vt:variant>
      <vt:variant>
        <vt:i4>0</vt:i4>
      </vt:variant>
      <vt:variant>
        <vt:i4>5</vt:i4>
      </vt:variant>
      <vt:variant>
        <vt:lpwstr>mailto:comunicacionsocial@inegi.org.mx</vt:lpwstr>
      </vt:variant>
      <vt:variant>
        <vt:lpwstr/>
      </vt:variant>
      <vt:variant>
        <vt:i4>8061052</vt:i4>
      </vt:variant>
      <vt:variant>
        <vt:i4>0</vt:i4>
      </vt:variant>
      <vt:variant>
        <vt:i4>0</vt:i4>
      </vt:variant>
      <vt:variant>
        <vt:i4>5</vt:i4>
      </vt:variant>
      <vt:variant>
        <vt:lpwstr>https://www.inegi.org.mx/programas/cnijf/2022/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Censo Nacional de Impartición de Justicia Federal</dc:title>
  <dc:subject/>
  <dc:creator>INEGI</dc:creator>
  <cp:keywords/>
  <dc:description/>
  <cp:lastModifiedBy>LUEVANO SERAFIN REBECA</cp:lastModifiedBy>
  <cp:revision>2</cp:revision>
  <cp:lastPrinted>2022-07-01T02:53:00Z</cp:lastPrinted>
  <dcterms:created xsi:type="dcterms:W3CDTF">2022-07-01T14:10:00Z</dcterms:created>
  <dcterms:modified xsi:type="dcterms:W3CDTF">2022-07-01T14:10:00Z</dcterms:modified>
</cp:coreProperties>
</file>