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6196E" w14:textId="77777777" w:rsidR="001D3EFE" w:rsidRDefault="001D3EFE" w:rsidP="001D3EFE">
      <w:pPr>
        <w:pStyle w:val="Ttulo"/>
        <w:ind w:left="709"/>
        <w:jc w:val="right"/>
        <w:rPr>
          <w:b w:val="0"/>
          <w:bCs/>
          <w:caps/>
          <w:sz w:val="28"/>
          <w:szCs w:val="28"/>
          <w:lang w:val="es-MX"/>
        </w:rPr>
      </w:pPr>
      <w:r>
        <w:rPr>
          <w:noProof/>
          <w:lang w:eastAsia="es-MX"/>
        </w:rPr>
        <mc:AlternateContent>
          <mc:Choice Requires="wps">
            <w:drawing>
              <wp:anchor distT="45720" distB="45720" distL="114300" distR="114300" simplePos="0" relativeHeight="251660288" behindDoc="0" locked="0" layoutInCell="1" allowOverlap="1" wp14:anchorId="2C77F83F" wp14:editId="117B6115">
                <wp:simplePos x="0" y="0"/>
                <wp:positionH relativeFrom="column">
                  <wp:posOffset>3084479</wp:posOffset>
                </wp:positionH>
                <wp:positionV relativeFrom="paragraph">
                  <wp:posOffset>433</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596BD93E" w14:textId="77777777" w:rsidR="0009313F" w:rsidRPr="003D4E37" w:rsidRDefault="0009313F" w:rsidP="001D3EFE">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3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mayo</w:t>
                            </w:r>
                            <w:proofErr w:type="spellEnd"/>
                          </w:p>
                          <w:p w14:paraId="197A0B7F" w14:textId="77777777" w:rsidR="0009313F" w:rsidRPr="003D4E37" w:rsidRDefault="0009313F" w:rsidP="001D3EFE">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77F83F"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596BD93E" w14:textId="77777777" w:rsidR="0009313F" w:rsidRPr="003D4E37" w:rsidRDefault="0009313F" w:rsidP="001D3EFE">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3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mayo</w:t>
                      </w:r>
                      <w:proofErr w:type="spellEnd"/>
                    </w:p>
                    <w:p w14:paraId="197A0B7F" w14:textId="77777777" w:rsidR="0009313F" w:rsidRPr="003D4E37" w:rsidRDefault="0009313F" w:rsidP="001D3EFE">
                      <w:pPr>
                        <w:jc w:val="right"/>
                      </w:pPr>
                    </w:p>
                  </w:txbxContent>
                </v:textbox>
                <w10:wrap type="square"/>
              </v:shape>
            </w:pict>
          </mc:Fallback>
        </mc:AlternateContent>
      </w:r>
      <w:bookmarkStart w:id="0" w:name="_Hlk61875621"/>
    </w:p>
    <w:p w14:paraId="222A9390" w14:textId="77777777" w:rsidR="001D3EFE" w:rsidRDefault="001D3EFE" w:rsidP="001D3EFE">
      <w:pPr>
        <w:pStyle w:val="Subttulo"/>
        <w:rPr>
          <w:spacing w:val="20"/>
        </w:rPr>
      </w:pPr>
    </w:p>
    <w:p w14:paraId="566BC5DD" w14:textId="50F1C81D" w:rsidR="001D3EFE" w:rsidRPr="003C6054" w:rsidRDefault="001D3EFE" w:rsidP="001D3EFE">
      <w:pPr>
        <w:jc w:val="center"/>
        <w:outlineLvl w:val="0"/>
        <w:rPr>
          <w:b/>
          <w:spacing w:val="20"/>
        </w:rPr>
      </w:pPr>
      <w:bookmarkStart w:id="1" w:name="_GoBack"/>
      <w:bookmarkEnd w:id="1"/>
      <w:r w:rsidRPr="003C6054">
        <w:rPr>
          <w:b/>
          <w:spacing w:val="20"/>
        </w:rPr>
        <w:t xml:space="preserve">INDICADORES AGREGADOS DE TENDENCIA </w:t>
      </w:r>
      <w:r w:rsidRPr="003C6054">
        <w:rPr>
          <w:b/>
          <w:spacing w:val="20"/>
        </w:rPr>
        <w:br/>
        <w:t>Y EXPECTATIVAS EMPRESARIALES</w:t>
      </w:r>
    </w:p>
    <w:p w14:paraId="7F92A538" w14:textId="77777777" w:rsidR="001D3EFE" w:rsidRPr="003C6054" w:rsidRDefault="001D3EFE" w:rsidP="001D3EFE">
      <w:pPr>
        <w:spacing w:before="40"/>
        <w:jc w:val="center"/>
        <w:outlineLvl w:val="0"/>
        <w:rPr>
          <w:b/>
        </w:rPr>
      </w:pPr>
      <w:r w:rsidRPr="003C6054">
        <w:rPr>
          <w:b/>
        </w:rPr>
        <w:t>MARZO DE 2022</w:t>
      </w:r>
    </w:p>
    <w:p w14:paraId="37D951CD" w14:textId="77777777" w:rsidR="001D3EFE" w:rsidRDefault="001D3EFE" w:rsidP="001D3EFE">
      <w:pPr>
        <w:ind w:right="49"/>
        <w:rPr>
          <w:spacing w:val="6"/>
          <w:sz w:val="8"/>
          <w:szCs w:val="8"/>
        </w:rPr>
      </w:pPr>
    </w:p>
    <w:p w14:paraId="2723F413" w14:textId="77777777" w:rsidR="001D3EFE" w:rsidRPr="003C6054" w:rsidRDefault="001D3EFE" w:rsidP="001D3EFE">
      <w:pPr>
        <w:ind w:right="49"/>
        <w:rPr>
          <w:spacing w:val="6"/>
        </w:rPr>
      </w:pPr>
      <w:r w:rsidRPr="003C6054">
        <w:rPr>
          <w:spacing w:val="6"/>
        </w:rPr>
        <w:t>En marzo de 2022 y con cifras desestacionalizadas</w:t>
      </w:r>
      <w:r w:rsidRPr="003C6054">
        <w:rPr>
          <w:spacing w:val="6"/>
          <w:vertAlign w:val="superscript"/>
        </w:rPr>
        <w:footnoteReference w:id="1"/>
      </w:r>
      <w:r w:rsidRPr="003C6054">
        <w:rPr>
          <w:spacing w:val="6"/>
        </w:rPr>
        <w:t>, el Indicador Agregado de Tendencia (IAT) del sector Manufacturero fue de 52.2 puntos, lo que representó un descenso mensual de 2.1 puntos.</w:t>
      </w:r>
    </w:p>
    <w:p w14:paraId="29574523" w14:textId="77777777" w:rsidR="001D3EFE" w:rsidRPr="003D5E1B" w:rsidRDefault="001D3EFE" w:rsidP="001D3EFE">
      <w:pPr>
        <w:pStyle w:val="Titcuadrograf"/>
        <w:ind w:left="0"/>
        <w:rPr>
          <w:sz w:val="8"/>
          <w:szCs w:val="8"/>
        </w:rPr>
      </w:pPr>
    </w:p>
    <w:p w14:paraId="14040717" w14:textId="77777777" w:rsidR="001D3EFE" w:rsidRDefault="001D3EFE" w:rsidP="001D3EFE">
      <w:pPr>
        <w:keepNext/>
        <w:keepLines/>
        <w:widowControl w:val="0"/>
        <w:jc w:val="center"/>
        <w:outlineLvl w:val="0"/>
        <w:rPr>
          <w:b/>
          <w:smallCaps/>
          <w:sz w:val="22"/>
          <w:lang w:val="es-MX"/>
        </w:rPr>
      </w:pPr>
      <w:r>
        <w:rPr>
          <w:b/>
          <w:smallCaps/>
          <w:sz w:val="22"/>
          <w:lang w:val="es-MX"/>
        </w:rPr>
        <w:t>IAT y Expectativas empresariales del sector manufacturero</w:t>
      </w:r>
    </w:p>
    <w:p w14:paraId="7990B9BF" w14:textId="77777777" w:rsidR="001D3EFE" w:rsidRDefault="001D3EFE" w:rsidP="001D3EFE">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4950" w:type="pct"/>
        <w:jc w:val="center"/>
        <w:tblLook w:val="04A0" w:firstRow="1" w:lastRow="0" w:firstColumn="1" w:lastColumn="0" w:noHBand="0" w:noVBand="1"/>
      </w:tblPr>
      <w:tblGrid>
        <w:gridCol w:w="4793"/>
        <w:gridCol w:w="1030"/>
        <w:gridCol w:w="1053"/>
        <w:gridCol w:w="1041"/>
        <w:gridCol w:w="464"/>
        <w:gridCol w:w="1481"/>
      </w:tblGrid>
      <w:tr w:rsidR="001D3EFE" w14:paraId="1AC78045" w14:textId="77777777" w:rsidTr="00C91187">
        <w:trPr>
          <w:trHeight w:val="518"/>
          <w:tblHeader/>
          <w:jc w:val="center"/>
        </w:trPr>
        <w:tc>
          <w:tcPr>
            <w:tcW w:w="2430" w:type="pct"/>
            <w:vMerge w:val="restart"/>
            <w:tcBorders>
              <w:top w:val="single" w:sz="4" w:space="0" w:color="404040"/>
              <w:left w:val="single" w:sz="4" w:space="0" w:color="404040"/>
              <w:bottom w:val="single" w:sz="4" w:space="0" w:color="404040"/>
              <w:right w:val="single" w:sz="4" w:space="0" w:color="404040"/>
            </w:tcBorders>
            <w:shd w:val="clear" w:color="auto" w:fill="CCCCFF"/>
            <w:vAlign w:val="center"/>
            <w:hideMark/>
          </w:tcPr>
          <w:p w14:paraId="4032BDA9" w14:textId="77777777" w:rsidR="001D3EFE" w:rsidRDefault="001D3EFE" w:rsidP="0009313F">
            <w:pPr>
              <w:widowControl w:val="0"/>
              <w:tabs>
                <w:tab w:val="left" w:pos="708"/>
                <w:tab w:val="center" w:pos="3348"/>
              </w:tabs>
              <w:ind w:firstLine="307"/>
              <w:jc w:val="left"/>
              <w:rPr>
                <w:spacing w:val="4"/>
                <w:sz w:val="18"/>
                <w:szCs w:val="18"/>
              </w:rPr>
            </w:pPr>
            <w:r>
              <w:rPr>
                <w:spacing w:val="4"/>
                <w:sz w:val="18"/>
                <w:szCs w:val="18"/>
              </w:rPr>
              <w:t>Indicador</w:t>
            </w:r>
          </w:p>
        </w:tc>
        <w:tc>
          <w:tcPr>
            <w:tcW w:w="522" w:type="pct"/>
            <w:vMerge w:val="restart"/>
            <w:tcBorders>
              <w:top w:val="single" w:sz="4" w:space="0" w:color="404040"/>
              <w:left w:val="single" w:sz="4" w:space="0" w:color="404040"/>
              <w:bottom w:val="single" w:sz="4" w:space="0" w:color="404040"/>
              <w:right w:val="single" w:sz="4" w:space="0" w:color="404040"/>
            </w:tcBorders>
            <w:shd w:val="clear" w:color="auto" w:fill="CCCCFF"/>
            <w:vAlign w:val="center"/>
            <w:hideMark/>
          </w:tcPr>
          <w:p w14:paraId="75A2DE2C" w14:textId="77777777" w:rsidR="001D3EFE" w:rsidRDefault="001D3EFE" w:rsidP="0009313F">
            <w:pPr>
              <w:ind w:left="-108" w:right="-82"/>
              <w:jc w:val="center"/>
              <w:rPr>
                <w:spacing w:val="-4"/>
                <w:sz w:val="18"/>
                <w:szCs w:val="18"/>
              </w:rPr>
            </w:pPr>
            <w:r>
              <w:rPr>
                <w:spacing w:val="-4"/>
                <w:sz w:val="18"/>
                <w:szCs w:val="18"/>
              </w:rPr>
              <w:t>Marzo</w:t>
            </w:r>
            <w:r>
              <w:rPr>
                <w:spacing w:val="-4"/>
                <w:sz w:val="18"/>
                <w:szCs w:val="18"/>
              </w:rPr>
              <w:br/>
              <w:t>de 2022</w:t>
            </w:r>
          </w:p>
        </w:tc>
        <w:tc>
          <w:tcPr>
            <w:tcW w:w="1062"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hideMark/>
          </w:tcPr>
          <w:p w14:paraId="04323FC4" w14:textId="77777777" w:rsidR="001D3EFE" w:rsidRDefault="001D3EFE" w:rsidP="0009313F">
            <w:pPr>
              <w:ind w:left="-106" w:right="-95"/>
              <w:jc w:val="center"/>
              <w:rPr>
                <w:spacing w:val="-4"/>
                <w:sz w:val="18"/>
                <w:szCs w:val="18"/>
              </w:rPr>
            </w:pPr>
            <w:r>
              <w:rPr>
                <w:spacing w:val="-4"/>
                <w:sz w:val="18"/>
                <w:szCs w:val="18"/>
              </w:rPr>
              <w:t>Diferencias</w:t>
            </w:r>
            <w:r>
              <w:rPr>
                <w:spacing w:val="-4"/>
                <w:sz w:val="18"/>
                <w:szCs w:val="18"/>
                <w:vertAlign w:val="superscript"/>
                <w:lang w:val="es-MX"/>
              </w:rPr>
              <w:t>1/</w:t>
            </w:r>
            <w:r>
              <w:rPr>
                <w:spacing w:val="-4"/>
                <w:sz w:val="18"/>
                <w:szCs w:val="18"/>
              </w:rPr>
              <w:t xml:space="preserve"> en</w:t>
            </w:r>
            <w:r>
              <w:rPr>
                <w:spacing w:val="-4"/>
                <w:sz w:val="18"/>
                <w:szCs w:val="18"/>
              </w:rPr>
              <w:br/>
              <w:t>puntos respecto al:</w:t>
            </w:r>
          </w:p>
        </w:tc>
        <w:tc>
          <w:tcPr>
            <w:tcW w:w="986" w:type="pct"/>
            <w:gridSpan w:val="2"/>
            <w:vMerge w:val="restart"/>
            <w:tcBorders>
              <w:top w:val="single" w:sz="4" w:space="0" w:color="404040"/>
              <w:left w:val="single" w:sz="4" w:space="0" w:color="404040"/>
              <w:bottom w:val="single" w:sz="4" w:space="0" w:color="auto"/>
              <w:right w:val="single" w:sz="4" w:space="0" w:color="404040"/>
            </w:tcBorders>
            <w:shd w:val="clear" w:color="auto" w:fill="CCCCFF"/>
            <w:vAlign w:val="center"/>
            <w:hideMark/>
          </w:tcPr>
          <w:p w14:paraId="16C4E665" w14:textId="77777777" w:rsidR="001D3EFE" w:rsidRDefault="001D3EFE" w:rsidP="0009313F">
            <w:pPr>
              <w:tabs>
                <w:tab w:val="center" w:pos="3348"/>
              </w:tabs>
              <w:ind w:left="-84" w:right="-99"/>
              <w:jc w:val="center"/>
              <w:rPr>
                <w:spacing w:val="-4"/>
                <w:sz w:val="18"/>
                <w:szCs w:val="18"/>
              </w:rPr>
            </w:pPr>
            <w:r>
              <w:rPr>
                <w:spacing w:val="-4"/>
                <w:sz w:val="18"/>
                <w:szCs w:val="18"/>
              </w:rPr>
              <w:t xml:space="preserve">Número de meses consecutivos por </w:t>
            </w:r>
            <w:r>
              <w:rPr>
                <w:spacing w:val="-4"/>
                <w:sz w:val="18"/>
                <w:szCs w:val="18"/>
              </w:rPr>
              <w:br/>
              <w:t>arriba o por debajo</w:t>
            </w:r>
            <w:r>
              <w:rPr>
                <w:spacing w:val="-4"/>
                <w:sz w:val="18"/>
                <w:szCs w:val="18"/>
              </w:rPr>
              <w:br/>
              <w:t xml:space="preserve"> del umbral de </w:t>
            </w:r>
            <w:r>
              <w:rPr>
                <w:spacing w:val="-4"/>
                <w:sz w:val="18"/>
                <w:szCs w:val="18"/>
              </w:rPr>
              <w:br/>
              <w:t>50 puntos</w:t>
            </w:r>
          </w:p>
        </w:tc>
      </w:tr>
      <w:tr w:rsidR="001D3EFE" w14:paraId="646B3A5D" w14:textId="77777777" w:rsidTr="00C91187">
        <w:trPr>
          <w:trHeight w:val="517"/>
          <w:tblHeader/>
          <w:jc w:val="center"/>
        </w:trPr>
        <w:tc>
          <w:tcPr>
            <w:tcW w:w="0" w:type="auto"/>
            <w:vMerge/>
            <w:tcBorders>
              <w:top w:val="single" w:sz="4" w:space="0" w:color="404040"/>
              <w:left w:val="single" w:sz="4" w:space="0" w:color="404040"/>
              <w:bottom w:val="single" w:sz="4" w:space="0" w:color="404040"/>
              <w:right w:val="single" w:sz="4" w:space="0" w:color="404040"/>
            </w:tcBorders>
            <w:vAlign w:val="center"/>
            <w:hideMark/>
          </w:tcPr>
          <w:p w14:paraId="729086CB" w14:textId="77777777" w:rsidR="001D3EFE" w:rsidRDefault="001D3EFE" w:rsidP="0009313F">
            <w:pPr>
              <w:jc w:val="left"/>
              <w:rPr>
                <w:spacing w:val="4"/>
                <w:sz w:val="18"/>
                <w:szCs w:val="18"/>
              </w:rPr>
            </w:pPr>
          </w:p>
        </w:tc>
        <w:tc>
          <w:tcPr>
            <w:tcW w:w="0" w:type="auto"/>
            <w:vMerge/>
            <w:tcBorders>
              <w:top w:val="single" w:sz="4" w:space="0" w:color="404040"/>
              <w:left w:val="single" w:sz="4" w:space="0" w:color="404040"/>
              <w:bottom w:val="single" w:sz="4" w:space="0" w:color="404040"/>
              <w:right w:val="single" w:sz="4" w:space="0" w:color="404040"/>
            </w:tcBorders>
            <w:vAlign w:val="center"/>
            <w:hideMark/>
          </w:tcPr>
          <w:p w14:paraId="2D900EA3" w14:textId="77777777" w:rsidR="001D3EFE" w:rsidRDefault="001D3EFE" w:rsidP="0009313F">
            <w:pPr>
              <w:jc w:val="left"/>
              <w:rPr>
                <w:spacing w:val="-4"/>
                <w:sz w:val="18"/>
                <w:szCs w:val="18"/>
              </w:rPr>
            </w:pPr>
          </w:p>
        </w:tc>
        <w:tc>
          <w:tcPr>
            <w:tcW w:w="534" w:type="pct"/>
            <w:tcBorders>
              <w:top w:val="single" w:sz="4" w:space="0" w:color="404040"/>
              <w:left w:val="single" w:sz="4" w:space="0" w:color="404040"/>
              <w:bottom w:val="nil"/>
              <w:right w:val="single" w:sz="4" w:space="0" w:color="404040"/>
            </w:tcBorders>
            <w:shd w:val="clear" w:color="auto" w:fill="CCCCFF"/>
            <w:vAlign w:val="center"/>
            <w:hideMark/>
          </w:tcPr>
          <w:p w14:paraId="0A8E447B" w14:textId="77777777" w:rsidR="001D3EFE" w:rsidRDefault="001D3EFE" w:rsidP="0009313F">
            <w:pPr>
              <w:ind w:left="-106" w:right="-95"/>
              <w:jc w:val="center"/>
              <w:rPr>
                <w:spacing w:val="-4"/>
                <w:sz w:val="18"/>
                <w:szCs w:val="18"/>
              </w:rPr>
            </w:pPr>
            <w:r>
              <w:rPr>
                <w:spacing w:val="-4"/>
                <w:sz w:val="18"/>
                <w:szCs w:val="18"/>
              </w:rPr>
              <w:t xml:space="preserve">Mes </w:t>
            </w:r>
            <w:r>
              <w:rPr>
                <w:spacing w:val="-4"/>
                <w:sz w:val="18"/>
                <w:szCs w:val="18"/>
              </w:rPr>
              <w:br/>
              <w:t>previo</w:t>
            </w:r>
          </w:p>
        </w:tc>
        <w:tc>
          <w:tcPr>
            <w:tcW w:w="528" w:type="pct"/>
            <w:tcBorders>
              <w:top w:val="single" w:sz="4" w:space="0" w:color="404040"/>
              <w:left w:val="single" w:sz="4" w:space="0" w:color="404040"/>
              <w:bottom w:val="nil"/>
              <w:right w:val="single" w:sz="4" w:space="0" w:color="404040"/>
            </w:tcBorders>
            <w:shd w:val="clear" w:color="auto" w:fill="CCCCFF"/>
            <w:vAlign w:val="center"/>
            <w:hideMark/>
          </w:tcPr>
          <w:p w14:paraId="0EE5DE2E" w14:textId="77777777" w:rsidR="001D3EFE" w:rsidRDefault="001D3EFE" w:rsidP="0009313F">
            <w:pPr>
              <w:ind w:left="-106" w:right="-95"/>
              <w:jc w:val="center"/>
              <w:rPr>
                <w:spacing w:val="-4"/>
                <w:sz w:val="18"/>
                <w:szCs w:val="18"/>
              </w:rPr>
            </w:pPr>
            <w:r>
              <w:rPr>
                <w:spacing w:val="-4"/>
                <w:sz w:val="18"/>
                <w:szCs w:val="18"/>
              </w:rPr>
              <w:t>Mismo mes del año anterior</w:t>
            </w:r>
          </w:p>
        </w:tc>
        <w:tc>
          <w:tcPr>
            <w:tcW w:w="0" w:type="auto"/>
            <w:gridSpan w:val="2"/>
            <w:vMerge/>
            <w:tcBorders>
              <w:top w:val="single" w:sz="4" w:space="0" w:color="404040"/>
              <w:left w:val="single" w:sz="4" w:space="0" w:color="404040"/>
              <w:bottom w:val="single" w:sz="4" w:space="0" w:color="auto"/>
              <w:right w:val="single" w:sz="4" w:space="0" w:color="404040"/>
            </w:tcBorders>
            <w:vAlign w:val="center"/>
            <w:hideMark/>
          </w:tcPr>
          <w:p w14:paraId="238946BB" w14:textId="77777777" w:rsidR="001D3EFE" w:rsidRDefault="001D3EFE" w:rsidP="0009313F">
            <w:pPr>
              <w:jc w:val="left"/>
              <w:rPr>
                <w:spacing w:val="-4"/>
                <w:sz w:val="18"/>
                <w:szCs w:val="18"/>
              </w:rPr>
            </w:pPr>
          </w:p>
        </w:tc>
      </w:tr>
      <w:tr w:rsidR="001D3EFE" w14:paraId="547DA496" w14:textId="77777777" w:rsidTr="00C91187">
        <w:trPr>
          <w:jc w:val="center"/>
        </w:trPr>
        <w:tc>
          <w:tcPr>
            <w:tcW w:w="2430" w:type="pct"/>
            <w:tcBorders>
              <w:top w:val="nil"/>
              <w:left w:val="single" w:sz="4" w:space="0" w:color="404040"/>
              <w:bottom w:val="nil"/>
              <w:right w:val="single" w:sz="4" w:space="0" w:color="404040"/>
            </w:tcBorders>
            <w:vAlign w:val="bottom"/>
            <w:hideMark/>
          </w:tcPr>
          <w:p w14:paraId="00AAF81A" w14:textId="77777777" w:rsidR="001D3EFE" w:rsidRDefault="001D3EFE" w:rsidP="0009313F">
            <w:pPr>
              <w:widowControl w:val="0"/>
              <w:spacing w:before="20" w:after="20"/>
              <w:contextualSpacing/>
              <w:jc w:val="left"/>
              <w:rPr>
                <w:b/>
                <w:sz w:val="18"/>
                <w:szCs w:val="18"/>
                <w:lang w:val="es-MX"/>
              </w:rPr>
            </w:pPr>
            <w:r>
              <w:rPr>
                <w:b/>
                <w:sz w:val="18"/>
                <w:szCs w:val="18"/>
                <w:lang w:val="es-MX"/>
              </w:rPr>
              <w:t>Indicador Agregado de Tendencia del Sector Manufacturero</w:t>
            </w:r>
          </w:p>
        </w:tc>
        <w:tc>
          <w:tcPr>
            <w:tcW w:w="522" w:type="pct"/>
            <w:tcBorders>
              <w:top w:val="single" w:sz="4" w:space="0" w:color="404040"/>
              <w:left w:val="single" w:sz="4" w:space="0" w:color="404040"/>
              <w:bottom w:val="nil"/>
              <w:right w:val="single" w:sz="4" w:space="0" w:color="404040"/>
            </w:tcBorders>
            <w:vAlign w:val="center"/>
            <w:hideMark/>
          </w:tcPr>
          <w:p w14:paraId="39FCA9A7" w14:textId="77777777" w:rsidR="001D3EFE" w:rsidRDefault="001D3EFE" w:rsidP="0009313F">
            <w:pPr>
              <w:tabs>
                <w:tab w:val="decimal" w:pos="368"/>
              </w:tabs>
              <w:jc w:val="left"/>
              <w:rPr>
                <w:b/>
                <w:sz w:val="18"/>
                <w:szCs w:val="18"/>
                <w:lang w:val="es-MX" w:eastAsia="es-MX"/>
              </w:rPr>
            </w:pPr>
            <w:r>
              <w:rPr>
                <w:b/>
                <w:bCs/>
                <w:sz w:val="18"/>
                <w:szCs w:val="18"/>
              </w:rPr>
              <w:t>52.2</w:t>
            </w:r>
          </w:p>
        </w:tc>
        <w:tc>
          <w:tcPr>
            <w:tcW w:w="534" w:type="pct"/>
            <w:tcBorders>
              <w:top w:val="single" w:sz="4" w:space="0" w:color="404040"/>
              <w:left w:val="single" w:sz="4" w:space="0" w:color="404040"/>
              <w:bottom w:val="nil"/>
              <w:right w:val="nil"/>
            </w:tcBorders>
            <w:vAlign w:val="center"/>
            <w:hideMark/>
          </w:tcPr>
          <w:p w14:paraId="2D054BF4" w14:textId="77777777" w:rsidR="001D3EFE" w:rsidRDefault="001D3EFE" w:rsidP="0009313F">
            <w:pPr>
              <w:tabs>
                <w:tab w:val="decimal" w:pos="369"/>
              </w:tabs>
              <w:jc w:val="left"/>
              <w:rPr>
                <w:b/>
                <w:bCs/>
                <w:sz w:val="18"/>
                <w:szCs w:val="18"/>
              </w:rPr>
            </w:pPr>
            <w:r>
              <w:rPr>
                <w:b/>
                <w:bCs/>
                <w:sz w:val="18"/>
                <w:szCs w:val="18"/>
              </w:rPr>
              <w:t>-2.1</w:t>
            </w:r>
          </w:p>
        </w:tc>
        <w:tc>
          <w:tcPr>
            <w:tcW w:w="528" w:type="pct"/>
            <w:tcBorders>
              <w:top w:val="single" w:sz="4" w:space="0" w:color="404040"/>
              <w:left w:val="nil"/>
              <w:bottom w:val="nil"/>
              <w:right w:val="single" w:sz="4" w:space="0" w:color="404040"/>
            </w:tcBorders>
            <w:vAlign w:val="center"/>
            <w:hideMark/>
          </w:tcPr>
          <w:p w14:paraId="3F3F9E3E" w14:textId="77777777" w:rsidR="001D3EFE" w:rsidRDefault="001D3EFE" w:rsidP="0009313F">
            <w:pPr>
              <w:tabs>
                <w:tab w:val="decimal" w:pos="309"/>
              </w:tabs>
              <w:jc w:val="left"/>
              <w:rPr>
                <w:b/>
                <w:sz w:val="18"/>
                <w:szCs w:val="18"/>
              </w:rPr>
            </w:pPr>
            <w:r>
              <w:rPr>
                <w:b/>
                <w:bCs/>
                <w:sz w:val="18"/>
                <w:szCs w:val="18"/>
              </w:rPr>
              <w:t>0.3</w:t>
            </w:r>
          </w:p>
        </w:tc>
        <w:tc>
          <w:tcPr>
            <w:tcW w:w="235" w:type="pct"/>
            <w:tcBorders>
              <w:top w:val="single" w:sz="4" w:space="0" w:color="auto"/>
              <w:left w:val="single" w:sz="4" w:space="0" w:color="404040"/>
              <w:bottom w:val="nil"/>
              <w:right w:val="nil"/>
            </w:tcBorders>
            <w:vAlign w:val="center"/>
            <w:hideMark/>
          </w:tcPr>
          <w:p w14:paraId="06A678C2" w14:textId="77777777" w:rsidR="001D3EFE" w:rsidRDefault="001D3EFE" w:rsidP="0009313F">
            <w:pPr>
              <w:ind w:left="-105" w:right="-36"/>
              <w:jc w:val="right"/>
              <w:rPr>
                <w:b/>
                <w:sz w:val="18"/>
                <w:szCs w:val="18"/>
              </w:rPr>
            </w:pPr>
            <w:r>
              <w:rPr>
                <w:b/>
                <w:bCs/>
                <w:sz w:val="18"/>
                <w:szCs w:val="18"/>
              </w:rPr>
              <w:t>11</w:t>
            </w:r>
          </w:p>
        </w:tc>
        <w:tc>
          <w:tcPr>
            <w:tcW w:w="751" w:type="pct"/>
            <w:tcBorders>
              <w:top w:val="single" w:sz="4" w:space="0" w:color="auto"/>
              <w:left w:val="nil"/>
              <w:bottom w:val="nil"/>
              <w:right w:val="single" w:sz="4" w:space="0" w:color="404040"/>
            </w:tcBorders>
            <w:vAlign w:val="center"/>
            <w:hideMark/>
          </w:tcPr>
          <w:p w14:paraId="3B7361D9" w14:textId="77777777" w:rsidR="001D3EFE" w:rsidRDefault="001D3EFE" w:rsidP="0009313F">
            <w:pPr>
              <w:tabs>
                <w:tab w:val="decimal" w:pos="810"/>
              </w:tabs>
              <w:jc w:val="left"/>
              <w:rPr>
                <w:b/>
                <w:sz w:val="18"/>
                <w:szCs w:val="18"/>
              </w:rPr>
            </w:pPr>
            <w:r>
              <w:rPr>
                <w:b/>
                <w:bCs/>
                <w:color w:val="000000"/>
                <w:sz w:val="18"/>
                <w:szCs w:val="18"/>
              </w:rPr>
              <w:t>Por arriba</w:t>
            </w:r>
          </w:p>
        </w:tc>
      </w:tr>
      <w:tr w:rsidR="001D3EFE" w14:paraId="5191685D" w14:textId="77777777" w:rsidTr="0009313F">
        <w:trPr>
          <w:jc w:val="center"/>
        </w:trPr>
        <w:tc>
          <w:tcPr>
            <w:tcW w:w="2430" w:type="pct"/>
            <w:tcBorders>
              <w:top w:val="nil"/>
              <w:left w:val="single" w:sz="4" w:space="0" w:color="404040"/>
              <w:bottom w:val="nil"/>
              <w:right w:val="single" w:sz="4" w:space="0" w:color="404040"/>
            </w:tcBorders>
            <w:vAlign w:val="bottom"/>
            <w:hideMark/>
          </w:tcPr>
          <w:p w14:paraId="731FF7C3" w14:textId="473C0481" w:rsidR="001D3EFE" w:rsidRPr="004C6001" w:rsidRDefault="004C6001" w:rsidP="004C6001">
            <w:pPr>
              <w:widowControl w:val="0"/>
              <w:spacing w:before="20" w:after="20"/>
              <w:ind w:left="57"/>
              <w:contextualSpacing/>
              <w:jc w:val="left"/>
              <w:rPr>
                <w:sz w:val="18"/>
                <w:szCs w:val="18"/>
                <w:lang w:val="es-MX"/>
              </w:rPr>
            </w:pPr>
            <w:r>
              <w:rPr>
                <w:sz w:val="18"/>
                <w:szCs w:val="18"/>
                <w:lang w:val="es-MX"/>
              </w:rPr>
              <w:t xml:space="preserve">a)  </w:t>
            </w:r>
            <w:r w:rsidR="001D3EFE" w:rsidRPr="004C6001">
              <w:rPr>
                <w:sz w:val="18"/>
                <w:szCs w:val="18"/>
                <w:lang w:val="es-MX"/>
              </w:rPr>
              <w:t>Producción</w:t>
            </w:r>
          </w:p>
        </w:tc>
        <w:tc>
          <w:tcPr>
            <w:tcW w:w="522" w:type="pct"/>
            <w:tcBorders>
              <w:top w:val="nil"/>
              <w:left w:val="single" w:sz="4" w:space="0" w:color="404040"/>
              <w:bottom w:val="nil"/>
              <w:right w:val="single" w:sz="4" w:space="0" w:color="404040"/>
            </w:tcBorders>
            <w:vAlign w:val="center"/>
            <w:hideMark/>
          </w:tcPr>
          <w:p w14:paraId="2C70FBE9" w14:textId="77777777" w:rsidR="001D3EFE" w:rsidRDefault="001D3EFE" w:rsidP="0009313F">
            <w:pPr>
              <w:tabs>
                <w:tab w:val="decimal" w:pos="368"/>
              </w:tabs>
              <w:jc w:val="left"/>
              <w:rPr>
                <w:sz w:val="18"/>
                <w:szCs w:val="18"/>
              </w:rPr>
            </w:pPr>
            <w:r>
              <w:rPr>
                <w:sz w:val="18"/>
                <w:szCs w:val="18"/>
              </w:rPr>
              <w:t xml:space="preserve">52.9 </w:t>
            </w:r>
          </w:p>
        </w:tc>
        <w:tc>
          <w:tcPr>
            <w:tcW w:w="534" w:type="pct"/>
            <w:tcBorders>
              <w:top w:val="nil"/>
              <w:left w:val="single" w:sz="4" w:space="0" w:color="404040"/>
              <w:bottom w:val="nil"/>
              <w:right w:val="nil"/>
            </w:tcBorders>
            <w:vAlign w:val="center"/>
            <w:hideMark/>
          </w:tcPr>
          <w:p w14:paraId="057CEE18" w14:textId="77777777" w:rsidR="001D3EFE" w:rsidRDefault="001D3EFE" w:rsidP="0009313F">
            <w:pPr>
              <w:tabs>
                <w:tab w:val="decimal" w:pos="369"/>
              </w:tabs>
              <w:jc w:val="left"/>
              <w:rPr>
                <w:bCs/>
                <w:sz w:val="18"/>
                <w:szCs w:val="18"/>
              </w:rPr>
            </w:pPr>
            <w:r>
              <w:rPr>
                <w:sz w:val="18"/>
                <w:szCs w:val="18"/>
              </w:rPr>
              <w:t>-2.6</w:t>
            </w:r>
          </w:p>
        </w:tc>
        <w:tc>
          <w:tcPr>
            <w:tcW w:w="528" w:type="pct"/>
            <w:tcBorders>
              <w:top w:val="nil"/>
              <w:left w:val="nil"/>
              <w:bottom w:val="nil"/>
              <w:right w:val="single" w:sz="4" w:space="0" w:color="404040"/>
            </w:tcBorders>
            <w:vAlign w:val="center"/>
            <w:hideMark/>
          </w:tcPr>
          <w:p w14:paraId="24C6B708" w14:textId="77777777" w:rsidR="001D3EFE" w:rsidRDefault="001D3EFE" w:rsidP="0009313F">
            <w:pPr>
              <w:tabs>
                <w:tab w:val="decimal" w:pos="309"/>
              </w:tabs>
              <w:jc w:val="left"/>
              <w:rPr>
                <w:sz w:val="18"/>
                <w:szCs w:val="18"/>
              </w:rPr>
            </w:pPr>
            <w:r>
              <w:rPr>
                <w:sz w:val="18"/>
                <w:szCs w:val="18"/>
              </w:rPr>
              <w:t>-0.4</w:t>
            </w:r>
          </w:p>
        </w:tc>
        <w:tc>
          <w:tcPr>
            <w:tcW w:w="235" w:type="pct"/>
            <w:tcBorders>
              <w:top w:val="nil"/>
              <w:left w:val="single" w:sz="4" w:space="0" w:color="404040"/>
              <w:bottom w:val="nil"/>
              <w:right w:val="nil"/>
            </w:tcBorders>
            <w:vAlign w:val="center"/>
            <w:hideMark/>
          </w:tcPr>
          <w:p w14:paraId="76687D1A" w14:textId="77777777" w:rsidR="001D3EFE" w:rsidRDefault="001D3EFE" w:rsidP="0009313F">
            <w:pPr>
              <w:ind w:left="-105" w:right="-36"/>
              <w:jc w:val="right"/>
              <w:rPr>
                <w:sz w:val="18"/>
                <w:szCs w:val="18"/>
              </w:rPr>
            </w:pPr>
            <w:r>
              <w:rPr>
                <w:sz w:val="18"/>
                <w:szCs w:val="18"/>
              </w:rPr>
              <w:t>11</w:t>
            </w:r>
          </w:p>
        </w:tc>
        <w:tc>
          <w:tcPr>
            <w:tcW w:w="751" w:type="pct"/>
            <w:tcBorders>
              <w:top w:val="nil"/>
              <w:left w:val="nil"/>
              <w:bottom w:val="nil"/>
              <w:right w:val="single" w:sz="4" w:space="0" w:color="404040"/>
            </w:tcBorders>
            <w:vAlign w:val="center"/>
            <w:hideMark/>
          </w:tcPr>
          <w:p w14:paraId="21944E6D" w14:textId="77777777" w:rsidR="001D3EFE" w:rsidRDefault="001D3EFE" w:rsidP="0009313F">
            <w:pPr>
              <w:tabs>
                <w:tab w:val="decimal" w:pos="810"/>
              </w:tabs>
              <w:jc w:val="left"/>
              <w:rPr>
                <w:sz w:val="18"/>
                <w:szCs w:val="18"/>
              </w:rPr>
            </w:pPr>
            <w:r>
              <w:rPr>
                <w:color w:val="000000"/>
                <w:sz w:val="18"/>
                <w:szCs w:val="18"/>
              </w:rPr>
              <w:t>Por arriba</w:t>
            </w:r>
          </w:p>
        </w:tc>
      </w:tr>
      <w:tr w:rsidR="001D3EFE" w14:paraId="574B996E" w14:textId="77777777" w:rsidTr="0009313F">
        <w:trPr>
          <w:jc w:val="center"/>
        </w:trPr>
        <w:tc>
          <w:tcPr>
            <w:tcW w:w="2430" w:type="pct"/>
            <w:tcBorders>
              <w:top w:val="nil"/>
              <w:left w:val="single" w:sz="4" w:space="0" w:color="404040"/>
              <w:bottom w:val="nil"/>
              <w:right w:val="single" w:sz="4" w:space="0" w:color="404040"/>
            </w:tcBorders>
            <w:vAlign w:val="bottom"/>
            <w:hideMark/>
          </w:tcPr>
          <w:p w14:paraId="525D9D89" w14:textId="6487DBAC" w:rsidR="001D3EFE" w:rsidRPr="004C6001" w:rsidRDefault="004C6001" w:rsidP="004C6001">
            <w:pPr>
              <w:widowControl w:val="0"/>
              <w:spacing w:before="20" w:after="20"/>
              <w:ind w:left="56"/>
              <w:contextualSpacing/>
              <w:jc w:val="left"/>
              <w:rPr>
                <w:sz w:val="18"/>
                <w:szCs w:val="18"/>
                <w:lang w:val="es-MX"/>
              </w:rPr>
            </w:pPr>
            <w:r>
              <w:rPr>
                <w:sz w:val="18"/>
                <w:szCs w:val="18"/>
                <w:lang w:val="es-MX"/>
              </w:rPr>
              <w:t xml:space="preserve">b)  </w:t>
            </w:r>
            <w:r w:rsidR="001D3EFE" w:rsidRPr="004C6001">
              <w:rPr>
                <w:sz w:val="18"/>
                <w:szCs w:val="18"/>
                <w:lang w:val="es-MX"/>
              </w:rPr>
              <w:t>Capacidad de planta utilizada</w:t>
            </w:r>
          </w:p>
        </w:tc>
        <w:tc>
          <w:tcPr>
            <w:tcW w:w="522" w:type="pct"/>
            <w:tcBorders>
              <w:top w:val="nil"/>
              <w:left w:val="single" w:sz="4" w:space="0" w:color="404040"/>
              <w:bottom w:val="nil"/>
              <w:right w:val="single" w:sz="4" w:space="0" w:color="404040"/>
            </w:tcBorders>
            <w:vAlign w:val="center"/>
            <w:hideMark/>
          </w:tcPr>
          <w:p w14:paraId="6C71843B" w14:textId="77777777" w:rsidR="001D3EFE" w:rsidRDefault="001D3EFE" w:rsidP="0009313F">
            <w:pPr>
              <w:tabs>
                <w:tab w:val="decimal" w:pos="368"/>
              </w:tabs>
              <w:jc w:val="left"/>
              <w:rPr>
                <w:sz w:val="18"/>
                <w:szCs w:val="18"/>
              </w:rPr>
            </w:pPr>
            <w:r>
              <w:rPr>
                <w:sz w:val="18"/>
                <w:szCs w:val="18"/>
              </w:rPr>
              <w:t xml:space="preserve">54.1 </w:t>
            </w:r>
          </w:p>
        </w:tc>
        <w:tc>
          <w:tcPr>
            <w:tcW w:w="534" w:type="pct"/>
            <w:tcBorders>
              <w:top w:val="nil"/>
              <w:left w:val="single" w:sz="4" w:space="0" w:color="404040"/>
              <w:bottom w:val="nil"/>
              <w:right w:val="nil"/>
            </w:tcBorders>
            <w:vAlign w:val="center"/>
            <w:hideMark/>
          </w:tcPr>
          <w:p w14:paraId="59EAC81D" w14:textId="77777777" w:rsidR="001D3EFE" w:rsidRDefault="001D3EFE" w:rsidP="0009313F">
            <w:pPr>
              <w:tabs>
                <w:tab w:val="decimal" w:pos="369"/>
              </w:tabs>
              <w:jc w:val="left"/>
              <w:rPr>
                <w:bCs/>
                <w:sz w:val="18"/>
                <w:szCs w:val="18"/>
              </w:rPr>
            </w:pPr>
            <w:r>
              <w:rPr>
                <w:sz w:val="18"/>
                <w:szCs w:val="18"/>
              </w:rPr>
              <w:t>0.6</w:t>
            </w:r>
          </w:p>
        </w:tc>
        <w:tc>
          <w:tcPr>
            <w:tcW w:w="528" w:type="pct"/>
            <w:tcBorders>
              <w:top w:val="nil"/>
              <w:left w:val="nil"/>
              <w:bottom w:val="nil"/>
              <w:right w:val="single" w:sz="4" w:space="0" w:color="404040"/>
            </w:tcBorders>
            <w:vAlign w:val="center"/>
            <w:hideMark/>
          </w:tcPr>
          <w:p w14:paraId="1F0BE3F8" w14:textId="77777777" w:rsidR="001D3EFE" w:rsidRDefault="001D3EFE" w:rsidP="0009313F">
            <w:pPr>
              <w:tabs>
                <w:tab w:val="decimal" w:pos="309"/>
              </w:tabs>
              <w:jc w:val="left"/>
              <w:rPr>
                <w:sz w:val="18"/>
                <w:szCs w:val="18"/>
              </w:rPr>
            </w:pPr>
            <w:r>
              <w:rPr>
                <w:sz w:val="18"/>
                <w:szCs w:val="18"/>
              </w:rPr>
              <w:t>1.6</w:t>
            </w:r>
          </w:p>
        </w:tc>
        <w:tc>
          <w:tcPr>
            <w:tcW w:w="235" w:type="pct"/>
            <w:tcBorders>
              <w:top w:val="nil"/>
              <w:left w:val="single" w:sz="4" w:space="0" w:color="404040"/>
              <w:bottom w:val="nil"/>
              <w:right w:val="nil"/>
            </w:tcBorders>
            <w:vAlign w:val="center"/>
            <w:hideMark/>
          </w:tcPr>
          <w:p w14:paraId="263555FF" w14:textId="77777777" w:rsidR="001D3EFE" w:rsidRDefault="001D3EFE" w:rsidP="0009313F">
            <w:pPr>
              <w:ind w:left="-105" w:right="-36"/>
              <w:jc w:val="right"/>
              <w:rPr>
                <w:sz w:val="18"/>
                <w:szCs w:val="18"/>
              </w:rPr>
            </w:pPr>
            <w:r>
              <w:rPr>
                <w:sz w:val="18"/>
                <w:szCs w:val="18"/>
              </w:rPr>
              <w:t>3</w:t>
            </w:r>
          </w:p>
        </w:tc>
        <w:tc>
          <w:tcPr>
            <w:tcW w:w="751" w:type="pct"/>
            <w:tcBorders>
              <w:top w:val="nil"/>
              <w:left w:val="nil"/>
              <w:bottom w:val="nil"/>
              <w:right w:val="single" w:sz="4" w:space="0" w:color="404040"/>
            </w:tcBorders>
            <w:vAlign w:val="center"/>
            <w:hideMark/>
          </w:tcPr>
          <w:p w14:paraId="6730D440" w14:textId="77777777" w:rsidR="001D3EFE" w:rsidRDefault="001D3EFE" w:rsidP="0009313F">
            <w:pPr>
              <w:tabs>
                <w:tab w:val="decimal" w:pos="810"/>
              </w:tabs>
              <w:jc w:val="left"/>
              <w:rPr>
                <w:sz w:val="18"/>
                <w:szCs w:val="18"/>
              </w:rPr>
            </w:pPr>
            <w:r>
              <w:rPr>
                <w:color w:val="000000"/>
                <w:sz w:val="18"/>
                <w:szCs w:val="18"/>
              </w:rPr>
              <w:t>Por arriba</w:t>
            </w:r>
          </w:p>
        </w:tc>
      </w:tr>
      <w:tr w:rsidR="001D3EFE" w14:paraId="3B757D00" w14:textId="77777777" w:rsidTr="0009313F">
        <w:trPr>
          <w:jc w:val="center"/>
        </w:trPr>
        <w:tc>
          <w:tcPr>
            <w:tcW w:w="2430" w:type="pct"/>
            <w:tcBorders>
              <w:top w:val="nil"/>
              <w:left w:val="single" w:sz="4" w:space="0" w:color="404040"/>
              <w:bottom w:val="nil"/>
              <w:right w:val="single" w:sz="4" w:space="0" w:color="404040"/>
            </w:tcBorders>
            <w:vAlign w:val="bottom"/>
            <w:hideMark/>
          </w:tcPr>
          <w:p w14:paraId="0A49E64F" w14:textId="21097D05" w:rsidR="001D3EFE" w:rsidRPr="004C6001" w:rsidRDefault="004C6001" w:rsidP="004C6001">
            <w:pPr>
              <w:widowControl w:val="0"/>
              <w:spacing w:before="20" w:after="20"/>
              <w:ind w:left="56"/>
              <w:contextualSpacing/>
              <w:jc w:val="left"/>
              <w:rPr>
                <w:sz w:val="18"/>
                <w:szCs w:val="18"/>
                <w:lang w:val="es-MX"/>
              </w:rPr>
            </w:pPr>
            <w:r>
              <w:rPr>
                <w:sz w:val="18"/>
                <w:szCs w:val="18"/>
                <w:lang w:val="es-MX"/>
              </w:rPr>
              <w:t xml:space="preserve">c)  </w:t>
            </w:r>
            <w:r w:rsidR="001D3EFE" w:rsidRPr="004C6001">
              <w:rPr>
                <w:sz w:val="18"/>
                <w:szCs w:val="18"/>
                <w:lang w:val="es-MX"/>
              </w:rPr>
              <w:t xml:space="preserve">Demanda nacional de sus productos </w:t>
            </w:r>
          </w:p>
        </w:tc>
        <w:tc>
          <w:tcPr>
            <w:tcW w:w="522" w:type="pct"/>
            <w:tcBorders>
              <w:top w:val="nil"/>
              <w:left w:val="single" w:sz="4" w:space="0" w:color="404040"/>
              <w:bottom w:val="nil"/>
              <w:right w:val="single" w:sz="4" w:space="0" w:color="404040"/>
            </w:tcBorders>
            <w:vAlign w:val="center"/>
            <w:hideMark/>
          </w:tcPr>
          <w:p w14:paraId="501513E7" w14:textId="77777777" w:rsidR="001D3EFE" w:rsidRDefault="001D3EFE" w:rsidP="0009313F">
            <w:pPr>
              <w:tabs>
                <w:tab w:val="decimal" w:pos="368"/>
              </w:tabs>
              <w:jc w:val="left"/>
              <w:rPr>
                <w:sz w:val="18"/>
                <w:szCs w:val="18"/>
              </w:rPr>
            </w:pPr>
            <w:r>
              <w:rPr>
                <w:sz w:val="18"/>
                <w:szCs w:val="18"/>
              </w:rPr>
              <w:t xml:space="preserve">53.3 </w:t>
            </w:r>
          </w:p>
        </w:tc>
        <w:tc>
          <w:tcPr>
            <w:tcW w:w="534" w:type="pct"/>
            <w:tcBorders>
              <w:top w:val="nil"/>
              <w:left w:val="single" w:sz="4" w:space="0" w:color="404040"/>
              <w:bottom w:val="nil"/>
              <w:right w:val="nil"/>
            </w:tcBorders>
            <w:vAlign w:val="center"/>
            <w:hideMark/>
          </w:tcPr>
          <w:p w14:paraId="53A96F64" w14:textId="77777777" w:rsidR="001D3EFE" w:rsidRDefault="001D3EFE" w:rsidP="0009313F">
            <w:pPr>
              <w:tabs>
                <w:tab w:val="decimal" w:pos="369"/>
              </w:tabs>
              <w:jc w:val="left"/>
              <w:rPr>
                <w:bCs/>
                <w:sz w:val="18"/>
                <w:szCs w:val="18"/>
              </w:rPr>
            </w:pPr>
            <w:r>
              <w:rPr>
                <w:sz w:val="18"/>
                <w:szCs w:val="18"/>
              </w:rPr>
              <w:t>0.7</w:t>
            </w:r>
          </w:p>
        </w:tc>
        <w:tc>
          <w:tcPr>
            <w:tcW w:w="528" w:type="pct"/>
            <w:tcBorders>
              <w:top w:val="nil"/>
              <w:left w:val="nil"/>
              <w:bottom w:val="nil"/>
              <w:right w:val="single" w:sz="4" w:space="0" w:color="404040"/>
            </w:tcBorders>
            <w:vAlign w:val="center"/>
            <w:hideMark/>
          </w:tcPr>
          <w:p w14:paraId="26232D71" w14:textId="77777777" w:rsidR="001D3EFE" w:rsidRDefault="001D3EFE" w:rsidP="0009313F">
            <w:pPr>
              <w:tabs>
                <w:tab w:val="decimal" w:pos="309"/>
              </w:tabs>
              <w:jc w:val="left"/>
              <w:rPr>
                <w:sz w:val="18"/>
                <w:szCs w:val="18"/>
              </w:rPr>
            </w:pPr>
            <w:r>
              <w:rPr>
                <w:sz w:val="18"/>
                <w:szCs w:val="18"/>
              </w:rPr>
              <w:t>4.8</w:t>
            </w:r>
          </w:p>
        </w:tc>
        <w:tc>
          <w:tcPr>
            <w:tcW w:w="235" w:type="pct"/>
            <w:tcBorders>
              <w:top w:val="nil"/>
              <w:left w:val="single" w:sz="4" w:space="0" w:color="404040"/>
              <w:bottom w:val="nil"/>
              <w:right w:val="nil"/>
            </w:tcBorders>
            <w:vAlign w:val="center"/>
            <w:hideMark/>
          </w:tcPr>
          <w:p w14:paraId="2E9300EC" w14:textId="77777777" w:rsidR="001D3EFE" w:rsidRDefault="001D3EFE" w:rsidP="0009313F">
            <w:pPr>
              <w:ind w:left="-105" w:right="-36"/>
              <w:jc w:val="right"/>
              <w:rPr>
                <w:sz w:val="18"/>
                <w:szCs w:val="18"/>
              </w:rPr>
            </w:pPr>
            <w:r>
              <w:rPr>
                <w:sz w:val="18"/>
                <w:szCs w:val="18"/>
              </w:rPr>
              <w:t>11</w:t>
            </w:r>
          </w:p>
        </w:tc>
        <w:tc>
          <w:tcPr>
            <w:tcW w:w="751" w:type="pct"/>
            <w:tcBorders>
              <w:top w:val="nil"/>
              <w:left w:val="nil"/>
              <w:bottom w:val="nil"/>
              <w:right w:val="single" w:sz="4" w:space="0" w:color="404040"/>
            </w:tcBorders>
            <w:vAlign w:val="center"/>
            <w:hideMark/>
          </w:tcPr>
          <w:p w14:paraId="58973267" w14:textId="77777777" w:rsidR="001D3EFE" w:rsidRDefault="001D3EFE" w:rsidP="0009313F">
            <w:pPr>
              <w:tabs>
                <w:tab w:val="decimal" w:pos="810"/>
              </w:tabs>
              <w:jc w:val="left"/>
              <w:rPr>
                <w:sz w:val="18"/>
                <w:szCs w:val="18"/>
              </w:rPr>
            </w:pPr>
            <w:r>
              <w:rPr>
                <w:color w:val="000000"/>
                <w:sz w:val="18"/>
                <w:szCs w:val="18"/>
              </w:rPr>
              <w:t>Por arriba</w:t>
            </w:r>
          </w:p>
        </w:tc>
      </w:tr>
      <w:tr w:rsidR="001D3EFE" w14:paraId="7AC1FF04" w14:textId="77777777" w:rsidTr="0009313F">
        <w:trPr>
          <w:jc w:val="center"/>
        </w:trPr>
        <w:tc>
          <w:tcPr>
            <w:tcW w:w="2430" w:type="pct"/>
            <w:tcBorders>
              <w:top w:val="nil"/>
              <w:left w:val="single" w:sz="4" w:space="0" w:color="404040"/>
              <w:bottom w:val="nil"/>
              <w:right w:val="single" w:sz="4" w:space="0" w:color="404040"/>
            </w:tcBorders>
            <w:vAlign w:val="bottom"/>
            <w:hideMark/>
          </w:tcPr>
          <w:p w14:paraId="25492BD7" w14:textId="39454DDE" w:rsidR="001D3EFE" w:rsidRPr="004C6001" w:rsidRDefault="004C6001" w:rsidP="004C6001">
            <w:pPr>
              <w:widowControl w:val="0"/>
              <w:spacing w:before="20" w:after="20"/>
              <w:ind w:left="56"/>
              <w:contextualSpacing/>
              <w:jc w:val="left"/>
              <w:rPr>
                <w:sz w:val="18"/>
                <w:szCs w:val="18"/>
                <w:lang w:val="es-MX"/>
              </w:rPr>
            </w:pPr>
            <w:r>
              <w:rPr>
                <w:sz w:val="18"/>
                <w:szCs w:val="18"/>
                <w:lang w:val="es-MX"/>
              </w:rPr>
              <w:t xml:space="preserve">d)  </w:t>
            </w:r>
            <w:r w:rsidR="001D3EFE" w:rsidRPr="004C6001">
              <w:rPr>
                <w:sz w:val="18"/>
                <w:szCs w:val="18"/>
                <w:lang w:val="es-MX"/>
              </w:rPr>
              <w:t>Exportaciones</w:t>
            </w:r>
          </w:p>
        </w:tc>
        <w:tc>
          <w:tcPr>
            <w:tcW w:w="522" w:type="pct"/>
            <w:tcBorders>
              <w:top w:val="nil"/>
              <w:left w:val="single" w:sz="4" w:space="0" w:color="404040"/>
              <w:bottom w:val="nil"/>
              <w:right w:val="single" w:sz="4" w:space="0" w:color="404040"/>
            </w:tcBorders>
            <w:vAlign w:val="center"/>
            <w:hideMark/>
          </w:tcPr>
          <w:p w14:paraId="03238B7C" w14:textId="77777777" w:rsidR="001D3EFE" w:rsidRDefault="001D3EFE" w:rsidP="0009313F">
            <w:pPr>
              <w:tabs>
                <w:tab w:val="decimal" w:pos="368"/>
              </w:tabs>
              <w:jc w:val="left"/>
              <w:rPr>
                <w:sz w:val="18"/>
                <w:szCs w:val="18"/>
              </w:rPr>
            </w:pPr>
            <w:r>
              <w:rPr>
                <w:sz w:val="18"/>
                <w:szCs w:val="18"/>
              </w:rPr>
              <w:t xml:space="preserve">47.3 </w:t>
            </w:r>
          </w:p>
        </w:tc>
        <w:tc>
          <w:tcPr>
            <w:tcW w:w="534" w:type="pct"/>
            <w:tcBorders>
              <w:top w:val="nil"/>
              <w:left w:val="single" w:sz="4" w:space="0" w:color="404040"/>
              <w:bottom w:val="nil"/>
              <w:right w:val="nil"/>
            </w:tcBorders>
            <w:vAlign w:val="center"/>
            <w:hideMark/>
          </w:tcPr>
          <w:p w14:paraId="05AAC641" w14:textId="77777777" w:rsidR="001D3EFE" w:rsidRDefault="001D3EFE" w:rsidP="0009313F">
            <w:pPr>
              <w:tabs>
                <w:tab w:val="decimal" w:pos="369"/>
              </w:tabs>
              <w:jc w:val="left"/>
              <w:rPr>
                <w:sz w:val="18"/>
                <w:szCs w:val="18"/>
              </w:rPr>
            </w:pPr>
            <w:r>
              <w:rPr>
                <w:sz w:val="18"/>
                <w:szCs w:val="18"/>
              </w:rPr>
              <w:t>-8.5</w:t>
            </w:r>
          </w:p>
        </w:tc>
        <w:tc>
          <w:tcPr>
            <w:tcW w:w="528" w:type="pct"/>
            <w:tcBorders>
              <w:top w:val="nil"/>
              <w:left w:val="nil"/>
              <w:bottom w:val="nil"/>
              <w:right w:val="single" w:sz="4" w:space="0" w:color="404040"/>
            </w:tcBorders>
            <w:vAlign w:val="center"/>
            <w:hideMark/>
          </w:tcPr>
          <w:p w14:paraId="0384538E" w14:textId="77777777" w:rsidR="001D3EFE" w:rsidRDefault="001D3EFE" w:rsidP="0009313F">
            <w:pPr>
              <w:tabs>
                <w:tab w:val="decimal" w:pos="309"/>
              </w:tabs>
              <w:jc w:val="left"/>
              <w:rPr>
                <w:sz w:val="18"/>
                <w:szCs w:val="18"/>
              </w:rPr>
            </w:pPr>
            <w:r>
              <w:rPr>
                <w:sz w:val="18"/>
                <w:szCs w:val="18"/>
              </w:rPr>
              <w:t>-5.2</w:t>
            </w:r>
          </w:p>
        </w:tc>
        <w:tc>
          <w:tcPr>
            <w:tcW w:w="235" w:type="pct"/>
            <w:tcBorders>
              <w:top w:val="nil"/>
              <w:left w:val="single" w:sz="4" w:space="0" w:color="404040"/>
              <w:bottom w:val="nil"/>
              <w:right w:val="nil"/>
            </w:tcBorders>
            <w:vAlign w:val="center"/>
            <w:hideMark/>
          </w:tcPr>
          <w:p w14:paraId="068631F1" w14:textId="77777777" w:rsidR="001D3EFE" w:rsidRDefault="001D3EFE" w:rsidP="0009313F">
            <w:pPr>
              <w:ind w:left="-105" w:right="-36"/>
              <w:jc w:val="right"/>
              <w:rPr>
                <w:sz w:val="18"/>
                <w:szCs w:val="18"/>
              </w:rPr>
            </w:pPr>
            <w:r>
              <w:rPr>
                <w:sz w:val="18"/>
                <w:szCs w:val="18"/>
              </w:rPr>
              <w:t>1</w:t>
            </w:r>
          </w:p>
        </w:tc>
        <w:tc>
          <w:tcPr>
            <w:tcW w:w="751" w:type="pct"/>
            <w:tcBorders>
              <w:top w:val="nil"/>
              <w:left w:val="nil"/>
              <w:bottom w:val="nil"/>
              <w:right w:val="single" w:sz="4" w:space="0" w:color="404040"/>
            </w:tcBorders>
            <w:vAlign w:val="center"/>
            <w:hideMark/>
          </w:tcPr>
          <w:p w14:paraId="65369A15" w14:textId="77777777" w:rsidR="001D3EFE" w:rsidRDefault="001D3EFE" w:rsidP="0009313F">
            <w:pPr>
              <w:tabs>
                <w:tab w:val="decimal" w:pos="810"/>
              </w:tabs>
              <w:jc w:val="left"/>
              <w:rPr>
                <w:sz w:val="18"/>
                <w:szCs w:val="18"/>
              </w:rPr>
            </w:pPr>
            <w:r>
              <w:rPr>
                <w:color w:val="000000"/>
                <w:sz w:val="18"/>
                <w:szCs w:val="18"/>
              </w:rPr>
              <w:t>Por debajo</w:t>
            </w:r>
          </w:p>
        </w:tc>
      </w:tr>
      <w:tr w:rsidR="001D3EFE" w14:paraId="32EFA3EF" w14:textId="77777777" w:rsidTr="0009313F">
        <w:trPr>
          <w:jc w:val="center"/>
        </w:trPr>
        <w:tc>
          <w:tcPr>
            <w:tcW w:w="2430" w:type="pct"/>
            <w:tcBorders>
              <w:top w:val="nil"/>
              <w:left w:val="single" w:sz="4" w:space="0" w:color="404040"/>
              <w:bottom w:val="single" w:sz="4" w:space="0" w:color="404040"/>
              <w:right w:val="single" w:sz="4" w:space="0" w:color="404040"/>
            </w:tcBorders>
            <w:vAlign w:val="bottom"/>
            <w:hideMark/>
          </w:tcPr>
          <w:p w14:paraId="7F6146D8" w14:textId="38BE53E7" w:rsidR="001D3EFE" w:rsidRPr="004C6001" w:rsidRDefault="004C6001" w:rsidP="004C6001">
            <w:pPr>
              <w:widowControl w:val="0"/>
              <w:spacing w:before="20" w:after="20"/>
              <w:ind w:left="56"/>
              <w:contextualSpacing/>
              <w:jc w:val="left"/>
              <w:rPr>
                <w:sz w:val="18"/>
                <w:szCs w:val="18"/>
                <w:lang w:val="es-MX"/>
              </w:rPr>
            </w:pPr>
            <w:r>
              <w:rPr>
                <w:sz w:val="18"/>
                <w:szCs w:val="18"/>
                <w:lang w:val="es-MX"/>
              </w:rPr>
              <w:t xml:space="preserve">e)  </w:t>
            </w:r>
            <w:r w:rsidR="001D3EFE" w:rsidRPr="004C6001">
              <w:rPr>
                <w:sz w:val="18"/>
                <w:szCs w:val="18"/>
                <w:lang w:val="es-MX"/>
              </w:rPr>
              <w:t>Personal ocupado total</w:t>
            </w:r>
          </w:p>
        </w:tc>
        <w:tc>
          <w:tcPr>
            <w:tcW w:w="522" w:type="pct"/>
            <w:tcBorders>
              <w:top w:val="nil"/>
              <w:left w:val="single" w:sz="4" w:space="0" w:color="404040"/>
              <w:bottom w:val="single" w:sz="4" w:space="0" w:color="404040"/>
              <w:right w:val="single" w:sz="4" w:space="0" w:color="404040"/>
            </w:tcBorders>
            <w:vAlign w:val="center"/>
            <w:hideMark/>
          </w:tcPr>
          <w:p w14:paraId="51E7B930" w14:textId="77777777" w:rsidR="001D3EFE" w:rsidRDefault="001D3EFE" w:rsidP="0009313F">
            <w:pPr>
              <w:tabs>
                <w:tab w:val="decimal" w:pos="368"/>
              </w:tabs>
              <w:jc w:val="left"/>
              <w:rPr>
                <w:sz w:val="18"/>
                <w:szCs w:val="18"/>
              </w:rPr>
            </w:pPr>
            <w:r>
              <w:rPr>
                <w:sz w:val="18"/>
                <w:szCs w:val="18"/>
              </w:rPr>
              <w:t xml:space="preserve">50.9 </w:t>
            </w:r>
          </w:p>
        </w:tc>
        <w:tc>
          <w:tcPr>
            <w:tcW w:w="534" w:type="pct"/>
            <w:tcBorders>
              <w:top w:val="nil"/>
              <w:left w:val="single" w:sz="4" w:space="0" w:color="404040"/>
              <w:bottom w:val="single" w:sz="4" w:space="0" w:color="404040"/>
              <w:right w:val="nil"/>
            </w:tcBorders>
            <w:vAlign w:val="center"/>
            <w:hideMark/>
          </w:tcPr>
          <w:p w14:paraId="41B855DB" w14:textId="77777777" w:rsidR="001D3EFE" w:rsidRDefault="001D3EFE" w:rsidP="0009313F">
            <w:pPr>
              <w:tabs>
                <w:tab w:val="decimal" w:pos="369"/>
              </w:tabs>
              <w:jc w:val="left"/>
              <w:rPr>
                <w:bCs/>
                <w:sz w:val="18"/>
                <w:szCs w:val="18"/>
              </w:rPr>
            </w:pPr>
            <w:r>
              <w:rPr>
                <w:sz w:val="18"/>
                <w:szCs w:val="18"/>
              </w:rPr>
              <w:t>-0.6</w:t>
            </w:r>
          </w:p>
        </w:tc>
        <w:tc>
          <w:tcPr>
            <w:tcW w:w="528" w:type="pct"/>
            <w:tcBorders>
              <w:top w:val="nil"/>
              <w:left w:val="nil"/>
              <w:bottom w:val="single" w:sz="4" w:space="0" w:color="404040"/>
              <w:right w:val="single" w:sz="4" w:space="0" w:color="404040"/>
            </w:tcBorders>
            <w:vAlign w:val="center"/>
            <w:hideMark/>
          </w:tcPr>
          <w:p w14:paraId="57C29038" w14:textId="77777777" w:rsidR="001D3EFE" w:rsidRDefault="001D3EFE" w:rsidP="0009313F">
            <w:pPr>
              <w:tabs>
                <w:tab w:val="decimal" w:pos="309"/>
              </w:tabs>
              <w:jc w:val="left"/>
              <w:rPr>
                <w:sz w:val="18"/>
                <w:szCs w:val="18"/>
              </w:rPr>
            </w:pPr>
            <w:r>
              <w:rPr>
                <w:sz w:val="18"/>
                <w:szCs w:val="18"/>
              </w:rPr>
              <w:t>0.6</w:t>
            </w:r>
          </w:p>
        </w:tc>
        <w:tc>
          <w:tcPr>
            <w:tcW w:w="235" w:type="pct"/>
            <w:tcBorders>
              <w:top w:val="nil"/>
              <w:left w:val="single" w:sz="4" w:space="0" w:color="404040"/>
              <w:bottom w:val="single" w:sz="4" w:space="0" w:color="404040"/>
              <w:right w:val="nil"/>
            </w:tcBorders>
            <w:vAlign w:val="center"/>
            <w:hideMark/>
          </w:tcPr>
          <w:p w14:paraId="5E239021" w14:textId="77777777" w:rsidR="001D3EFE" w:rsidRDefault="001D3EFE" w:rsidP="0009313F">
            <w:pPr>
              <w:ind w:left="-105" w:right="-36"/>
              <w:jc w:val="right"/>
              <w:rPr>
                <w:sz w:val="18"/>
                <w:szCs w:val="18"/>
              </w:rPr>
            </w:pPr>
            <w:r>
              <w:rPr>
                <w:sz w:val="18"/>
                <w:szCs w:val="18"/>
              </w:rPr>
              <w:t>5</w:t>
            </w:r>
          </w:p>
        </w:tc>
        <w:tc>
          <w:tcPr>
            <w:tcW w:w="751" w:type="pct"/>
            <w:tcBorders>
              <w:top w:val="nil"/>
              <w:left w:val="nil"/>
              <w:bottom w:val="single" w:sz="4" w:space="0" w:color="404040"/>
              <w:right w:val="single" w:sz="4" w:space="0" w:color="404040"/>
            </w:tcBorders>
            <w:vAlign w:val="center"/>
            <w:hideMark/>
          </w:tcPr>
          <w:p w14:paraId="155D2F63" w14:textId="77777777" w:rsidR="001D3EFE" w:rsidRDefault="001D3EFE" w:rsidP="0009313F">
            <w:pPr>
              <w:tabs>
                <w:tab w:val="decimal" w:pos="810"/>
              </w:tabs>
              <w:jc w:val="left"/>
              <w:rPr>
                <w:sz w:val="18"/>
                <w:szCs w:val="18"/>
              </w:rPr>
            </w:pPr>
            <w:r>
              <w:rPr>
                <w:sz w:val="18"/>
                <w:szCs w:val="18"/>
              </w:rPr>
              <w:t>Por arriba</w:t>
            </w:r>
          </w:p>
        </w:tc>
      </w:tr>
    </w:tbl>
    <w:p w14:paraId="2E70DFCB" w14:textId="77777777" w:rsidR="001D3EFE" w:rsidRDefault="001D3EFE" w:rsidP="0009313F">
      <w:pPr>
        <w:widowControl w:val="0"/>
        <w:spacing w:before="20"/>
        <w:ind w:left="771" w:right="191" w:hanging="595"/>
        <w:rPr>
          <w:sz w:val="16"/>
          <w:szCs w:val="14"/>
          <w:lang w:val="es-MX"/>
        </w:rPr>
      </w:pPr>
      <w:r>
        <w:rPr>
          <w:sz w:val="16"/>
          <w:szCs w:val="14"/>
          <w:lang w:val="es-MX"/>
        </w:rPr>
        <w:t>Nota:</w:t>
      </w:r>
      <w:r>
        <w:rPr>
          <w:sz w:val="16"/>
          <w:szCs w:val="14"/>
          <w:lang w:val="es-MX"/>
        </w:rPr>
        <w:tab/>
        <w:t>Los indicadores se generan con los datos referentes al mes de la entrevista. Los indicadores de los meses anteriores se van revisando por los informantes.</w:t>
      </w:r>
    </w:p>
    <w:p w14:paraId="3B462BAA" w14:textId="77777777" w:rsidR="001D3EFE" w:rsidRDefault="001D3EFE" w:rsidP="0009313F">
      <w:pPr>
        <w:widowControl w:val="0"/>
        <w:ind w:left="771" w:right="191" w:hanging="595"/>
        <w:rPr>
          <w:sz w:val="16"/>
          <w:szCs w:val="14"/>
          <w:lang w:val="es-MX"/>
        </w:rPr>
      </w:pPr>
      <w:r>
        <w:rPr>
          <w:position w:val="2"/>
          <w:sz w:val="18"/>
          <w:szCs w:val="12"/>
          <w:vertAlign w:val="superscript"/>
          <w:lang w:val="es-MX"/>
        </w:rPr>
        <w:t>1/</w:t>
      </w:r>
      <w:r>
        <w:rPr>
          <w:sz w:val="16"/>
          <w:szCs w:val="14"/>
          <w:lang w:val="es-MX"/>
        </w:rPr>
        <w:tab/>
        <w:t>Las diferencias en puntos se obtienen de los respectivos indicadores considerando todos sus decimales.</w:t>
      </w:r>
    </w:p>
    <w:p w14:paraId="0E05E616" w14:textId="77777777" w:rsidR="001D3EFE" w:rsidRDefault="001D3EFE" w:rsidP="0009313F">
      <w:pPr>
        <w:widowControl w:val="0"/>
        <w:spacing w:before="20"/>
        <w:ind w:left="770" w:right="191" w:hanging="597"/>
        <w:rPr>
          <w:sz w:val="16"/>
          <w:szCs w:val="14"/>
          <w:lang w:val="es-MX"/>
        </w:rPr>
      </w:pPr>
      <w:r>
        <w:rPr>
          <w:sz w:val="16"/>
          <w:szCs w:val="14"/>
          <w:lang w:val="es-MX"/>
        </w:rPr>
        <w:t>Fuente: INEGI.</w:t>
      </w:r>
    </w:p>
    <w:p w14:paraId="13589EDB" w14:textId="77777777" w:rsidR="001D3EFE" w:rsidRPr="003D5E1B" w:rsidRDefault="001D3EFE" w:rsidP="001D3EFE">
      <w:pPr>
        <w:ind w:right="49"/>
        <w:rPr>
          <w:spacing w:val="6"/>
          <w:sz w:val="16"/>
          <w:szCs w:val="16"/>
        </w:rPr>
      </w:pPr>
    </w:p>
    <w:p w14:paraId="49D2E843" w14:textId="77777777" w:rsidR="001D3EFE" w:rsidRPr="003C6054" w:rsidRDefault="001D3EFE" w:rsidP="001B1DD5">
      <w:pPr>
        <w:spacing w:before="240"/>
        <w:ind w:right="191"/>
        <w:rPr>
          <w:spacing w:val="6"/>
        </w:rPr>
      </w:pPr>
      <w:r w:rsidRPr="003C6054">
        <w:rPr>
          <w:spacing w:val="6"/>
        </w:rPr>
        <w:t xml:space="preserve">En la Construcción, el IAT con datos desestacionalizados se colocó en 54.1 puntos en el tercer mes de 2022, cifra 0.1 puntos mayor a la de febrero pasado. </w:t>
      </w:r>
    </w:p>
    <w:p w14:paraId="3B252EBA" w14:textId="77777777" w:rsidR="001D3EFE" w:rsidRDefault="001D3EFE" w:rsidP="001D3EFE">
      <w:pPr>
        <w:keepNext/>
        <w:keepLines/>
        <w:widowControl w:val="0"/>
        <w:spacing w:before="120"/>
        <w:jc w:val="center"/>
        <w:outlineLvl w:val="0"/>
        <w:rPr>
          <w:b/>
          <w:smallCaps/>
          <w:sz w:val="22"/>
          <w:lang w:val="es-MX"/>
        </w:rPr>
      </w:pPr>
      <w:r>
        <w:rPr>
          <w:b/>
          <w:smallCaps/>
          <w:sz w:val="22"/>
          <w:lang w:val="es-MX"/>
        </w:rPr>
        <w:t>IAT y Expectativas empresariales del sector construcción</w:t>
      </w:r>
    </w:p>
    <w:p w14:paraId="1C7E6DFD" w14:textId="77777777" w:rsidR="001D3EFE" w:rsidRDefault="001D3EFE" w:rsidP="001D3EFE">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4950" w:type="pct"/>
        <w:tblLayout w:type="fixed"/>
        <w:tblLook w:val="04A0" w:firstRow="1" w:lastRow="0" w:firstColumn="1" w:lastColumn="0" w:noHBand="0" w:noVBand="1"/>
      </w:tblPr>
      <w:tblGrid>
        <w:gridCol w:w="5069"/>
        <w:gridCol w:w="1045"/>
        <w:gridCol w:w="956"/>
        <w:gridCol w:w="956"/>
        <w:gridCol w:w="520"/>
        <w:gridCol w:w="1316"/>
      </w:tblGrid>
      <w:tr w:rsidR="001D3EFE" w14:paraId="1B013DFE" w14:textId="77777777" w:rsidTr="0009313F">
        <w:trPr>
          <w:trHeight w:val="518"/>
          <w:tblHeader/>
        </w:trPr>
        <w:tc>
          <w:tcPr>
            <w:tcW w:w="4815" w:type="dxa"/>
            <w:vMerge w:val="restart"/>
            <w:tcBorders>
              <w:top w:val="single" w:sz="4" w:space="0" w:color="404040"/>
              <w:left w:val="single" w:sz="4" w:space="0" w:color="404040"/>
              <w:bottom w:val="single" w:sz="4" w:space="0" w:color="404040"/>
              <w:right w:val="single" w:sz="4" w:space="0" w:color="404040"/>
            </w:tcBorders>
            <w:shd w:val="clear" w:color="auto" w:fill="CCCCFF"/>
            <w:vAlign w:val="center"/>
            <w:hideMark/>
          </w:tcPr>
          <w:p w14:paraId="394E4346" w14:textId="77777777" w:rsidR="001D3EFE" w:rsidRDefault="001D3EFE" w:rsidP="0009313F">
            <w:pPr>
              <w:widowControl w:val="0"/>
              <w:tabs>
                <w:tab w:val="left" w:pos="708"/>
                <w:tab w:val="center" w:pos="3348"/>
              </w:tabs>
              <w:ind w:firstLine="307"/>
              <w:jc w:val="left"/>
              <w:rPr>
                <w:spacing w:val="-4"/>
                <w:sz w:val="18"/>
                <w:szCs w:val="18"/>
              </w:rPr>
            </w:pPr>
            <w:r>
              <w:rPr>
                <w:spacing w:val="4"/>
                <w:sz w:val="18"/>
                <w:szCs w:val="18"/>
              </w:rPr>
              <w:t>Indicador</w:t>
            </w:r>
          </w:p>
        </w:tc>
        <w:tc>
          <w:tcPr>
            <w:tcW w:w="993" w:type="dxa"/>
            <w:vMerge w:val="restart"/>
            <w:tcBorders>
              <w:top w:val="single" w:sz="4" w:space="0" w:color="404040"/>
              <w:left w:val="single" w:sz="4" w:space="0" w:color="404040"/>
              <w:bottom w:val="single" w:sz="4" w:space="0" w:color="404040"/>
              <w:right w:val="single" w:sz="4" w:space="0" w:color="404040"/>
            </w:tcBorders>
            <w:shd w:val="clear" w:color="auto" w:fill="CCCCFF"/>
            <w:vAlign w:val="center"/>
            <w:hideMark/>
          </w:tcPr>
          <w:p w14:paraId="0A77AF65" w14:textId="77777777" w:rsidR="001D3EFE" w:rsidRDefault="001D3EFE" w:rsidP="0009313F">
            <w:pPr>
              <w:ind w:left="-108" w:right="-82"/>
              <w:jc w:val="center"/>
              <w:rPr>
                <w:spacing w:val="-4"/>
                <w:sz w:val="18"/>
                <w:szCs w:val="18"/>
              </w:rPr>
            </w:pPr>
            <w:r>
              <w:rPr>
                <w:spacing w:val="-4"/>
                <w:sz w:val="18"/>
                <w:szCs w:val="18"/>
              </w:rPr>
              <w:t>Marzo</w:t>
            </w:r>
            <w:r>
              <w:rPr>
                <w:spacing w:val="-4"/>
                <w:sz w:val="18"/>
                <w:szCs w:val="18"/>
              </w:rPr>
              <w:br/>
              <w:t>de 2022</w:t>
            </w:r>
          </w:p>
        </w:tc>
        <w:tc>
          <w:tcPr>
            <w:tcW w:w="181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hideMark/>
          </w:tcPr>
          <w:p w14:paraId="2C907CCD" w14:textId="77777777" w:rsidR="001D3EFE" w:rsidRDefault="001D3EFE" w:rsidP="0009313F">
            <w:pPr>
              <w:ind w:left="-106" w:right="-95"/>
              <w:jc w:val="center"/>
              <w:rPr>
                <w:spacing w:val="-4"/>
                <w:sz w:val="18"/>
                <w:szCs w:val="18"/>
              </w:rPr>
            </w:pPr>
            <w:r>
              <w:rPr>
                <w:spacing w:val="-4"/>
                <w:sz w:val="18"/>
                <w:szCs w:val="18"/>
              </w:rPr>
              <w:t>Diferencias</w:t>
            </w:r>
            <w:r>
              <w:rPr>
                <w:spacing w:val="-4"/>
                <w:sz w:val="18"/>
                <w:szCs w:val="18"/>
                <w:vertAlign w:val="superscript"/>
                <w:lang w:val="es-MX"/>
              </w:rPr>
              <w:t>1/</w:t>
            </w:r>
            <w:r>
              <w:rPr>
                <w:spacing w:val="-4"/>
                <w:sz w:val="18"/>
                <w:szCs w:val="18"/>
              </w:rPr>
              <w:t xml:space="preserve"> en </w:t>
            </w:r>
            <w:r>
              <w:rPr>
                <w:spacing w:val="-4"/>
                <w:sz w:val="18"/>
                <w:szCs w:val="18"/>
              </w:rPr>
              <w:br/>
              <w:t>puntos respecto al:</w:t>
            </w:r>
          </w:p>
        </w:tc>
        <w:tc>
          <w:tcPr>
            <w:tcW w:w="1744" w:type="dxa"/>
            <w:gridSpan w:val="2"/>
            <w:vMerge w:val="restart"/>
            <w:tcBorders>
              <w:top w:val="single" w:sz="4" w:space="0" w:color="404040"/>
              <w:left w:val="single" w:sz="4" w:space="0" w:color="404040"/>
              <w:bottom w:val="single" w:sz="4" w:space="0" w:color="404040"/>
              <w:right w:val="single" w:sz="4" w:space="0" w:color="404040"/>
            </w:tcBorders>
            <w:shd w:val="clear" w:color="auto" w:fill="CCCCFF"/>
            <w:vAlign w:val="center"/>
            <w:hideMark/>
          </w:tcPr>
          <w:p w14:paraId="3E108669" w14:textId="77777777" w:rsidR="001D3EFE" w:rsidRDefault="001D3EFE" w:rsidP="0009313F">
            <w:pPr>
              <w:tabs>
                <w:tab w:val="center" w:pos="3348"/>
              </w:tabs>
              <w:ind w:left="-84" w:right="-99"/>
              <w:jc w:val="center"/>
              <w:rPr>
                <w:spacing w:val="-4"/>
                <w:sz w:val="18"/>
                <w:szCs w:val="18"/>
              </w:rPr>
            </w:pPr>
            <w:r>
              <w:rPr>
                <w:spacing w:val="-4"/>
                <w:sz w:val="18"/>
                <w:szCs w:val="18"/>
              </w:rPr>
              <w:t xml:space="preserve">Número de meses consecutivos por </w:t>
            </w:r>
            <w:r>
              <w:rPr>
                <w:spacing w:val="-4"/>
                <w:sz w:val="18"/>
                <w:szCs w:val="18"/>
              </w:rPr>
              <w:br/>
              <w:t xml:space="preserve">arriba o por debajo </w:t>
            </w:r>
            <w:r>
              <w:rPr>
                <w:spacing w:val="-4"/>
                <w:sz w:val="18"/>
                <w:szCs w:val="18"/>
              </w:rPr>
              <w:br/>
              <w:t xml:space="preserve">del umbral de </w:t>
            </w:r>
            <w:r>
              <w:rPr>
                <w:spacing w:val="-4"/>
                <w:sz w:val="18"/>
                <w:szCs w:val="18"/>
              </w:rPr>
              <w:br/>
              <w:t>50 puntos</w:t>
            </w:r>
          </w:p>
        </w:tc>
      </w:tr>
      <w:tr w:rsidR="001D3EFE" w14:paraId="019F5F81" w14:textId="77777777" w:rsidTr="0009313F">
        <w:trPr>
          <w:trHeight w:val="517"/>
          <w:tblHeader/>
        </w:trPr>
        <w:tc>
          <w:tcPr>
            <w:tcW w:w="4815" w:type="dxa"/>
            <w:vMerge/>
            <w:tcBorders>
              <w:top w:val="single" w:sz="4" w:space="0" w:color="404040"/>
              <w:left w:val="single" w:sz="4" w:space="0" w:color="404040"/>
              <w:bottom w:val="single" w:sz="4" w:space="0" w:color="404040"/>
              <w:right w:val="single" w:sz="4" w:space="0" w:color="404040"/>
            </w:tcBorders>
            <w:vAlign w:val="center"/>
            <w:hideMark/>
          </w:tcPr>
          <w:p w14:paraId="19B3F691" w14:textId="77777777" w:rsidR="001D3EFE" w:rsidRDefault="001D3EFE" w:rsidP="0009313F">
            <w:pPr>
              <w:jc w:val="left"/>
              <w:rPr>
                <w:spacing w:val="-4"/>
                <w:sz w:val="18"/>
                <w:szCs w:val="18"/>
              </w:rPr>
            </w:pPr>
          </w:p>
        </w:tc>
        <w:tc>
          <w:tcPr>
            <w:tcW w:w="993" w:type="dxa"/>
            <w:vMerge/>
            <w:tcBorders>
              <w:top w:val="single" w:sz="4" w:space="0" w:color="404040"/>
              <w:left w:val="single" w:sz="4" w:space="0" w:color="404040"/>
              <w:bottom w:val="single" w:sz="4" w:space="0" w:color="404040"/>
              <w:right w:val="single" w:sz="4" w:space="0" w:color="404040"/>
            </w:tcBorders>
            <w:vAlign w:val="center"/>
            <w:hideMark/>
          </w:tcPr>
          <w:p w14:paraId="2806E27B" w14:textId="77777777" w:rsidR="001D3EFE" w:rsidRDefault="001D3EFE" w:rsidP="0009313F">
            <w:pPr>
              <w:jc w:val="left"/>
              <w:rPr>
                <w:spacing w:val="-4"/>
                <w:sz w:val="18"/>
                <w:szCs w:val="18"/>
              </w:rPr>
            </w:pPr>
          </w:p>
        </w:tc>
        <w:tc>
          <w:tcPr>
            <w:tcW w:w="908" w:type="dxa"/>
            <w:tcBorders>
              <w:top w:val="single" w:sz="4" w:space="0" w:color="404040"/>
              <w:left w:val="single" w:sz="4" w:space="0" w:color="404040"/>
              <w:bottom w:val="single" w:sz="4" w:space="0" w:color="404040"/>
              <w:right w:val="single" w:sz="4" w:space="0" w:color="404040"/>
            </w:tcBorders>
            <w:shd w:val="clear" w:color="auto" w:fill="CCCCFF"/>
            <w:vAlign w:val="center"/>
            <w:hideMark/>
          </w:tcPr>
          <w:p w14:paraId="2B2B5F4D" w14:textId="77777777" w:rsidR="001D3EFE" w:rsidRDefault="001D3EFE" w:rsidP="0009313F">
            <w:pPr>
              <w:ind w:left="-106" w:right="-95"/>
              <w:jc w:val="center"/>
              <w:rPr>
                <w:spacing w:val="-4"/>
                <w:sz w:val="18"/>
                <w:szCs w:val="18"/>
              </w:rPr>
            </w:pPr>
            <w:r>
              <w:rPr>
                <w:spacing w:val="-4"/>
                <w:sz w:val="18"/>
                <w:szCs w:val="18"/>
              </w:rPr>
              <w:t>Mes</w:t>
            </w:r>
            <w:r>
              <w:rPr>
                <w:spacing w:val="-4"/>
                <w:sz w:val="18"/>
                <w:szCs w:val="18"/>
              </w:rPr>
              <w:br/>
              <w:t>previo</w:t>
            </w:r>
          </w:p>
        </w:tc>
        <w:tc>
          <w:tcPr>
            <w:tcW w:w="908" w:type="dxa"/>
            <w:tcBorders>
              <w:top w:val="single" w:sz="4" w:space="0" w:color="404040"/>
              <w:left w:val="single" w:sz="4" w:space="0" w:color="404040"/>
              <w:bottom w:val="single" w:sz="4" w:space="0" w:color="404040"/>
              <w:right w:val="single" w:sz="4" w:space="0" w:color="404040"/>
            </w:tcBorders>
            <w:shd w:val="clear" w:color="auto" w:fill="CCCCFF"/>
            <w:vAlign w:val="center"/>
            <w:hideMark/>
          </w:tcPr>
          <w:p w14:paraId="39F3E5EA" w14:textId="77777777" w:rsidR="001D3EFE" w:rsidRDefault="001D3EFE" w:rsidP="0009313F">
            <w:pPr>
              <w:ind w:left="-106" w:right="-95"/>
              <w:jc w:val="center"/>
              <w:rPr>
                <w:spacing w:val="-4"/>
                <w:sz w:val="18"/>
                <w:szCs w:val="18"/>
              </w:rPr>
            </w:pPr>
            <w:r>
              <w:rPr>
                <w:spacing w:val="-4"/>
                <w:sz w:val="18"/>
                <w:szCs w:val="18"/>
              </w:rPr>
              <w:t>Mismo mes del año anterior</w:t>
            </w:r>
          </w:p>
        </w:tc>
        <w:tc>
          <w:tcPr>
            <w:tcW w:w="2994" w:type="dxa"/>
            <w:gridSpan w:val="2"/>
            <w:vMerge/>
            <w:tcBorders>
              <w:top w:val="single" w:sz="4" w:space="0" w:color="404040"/>
              <w:left w:val="single" w:sz="4" w:space="0" w:color="404040"/>
              <w:bottom w:val="single" w:sz="4" w:space="0" w:color="404040"/>
              <w:right w:val="single" w:sz="4" w:space="0" w:color="404040"/>
            </w:tcBorders>
            <w:vAlign w:val="center"/>
            <w:hideMark/>
          </w:tcPr>
          <w:p w14:paraId="5CC80CC9" w14:textId="77777777" w:rsidR="001D3EFE" w:rsidRDefault="001D3EFE" w:rsidP="0009313F">
            <w:pPr>
              <w:jc w:val="left"/>
              <w:rPr>
                <w:spacing w:val="-4"/>
                <w:sz w:val="18"/>
                <w:szCs w:val="18"/>
              </w:rPr>
            </w:pPr>
          </w:p>
        </w:tc>
      </w:tr>
      <w:tr w:rsidR="001D3EFE" w14:paraId="46917DEC" w14:textId="77777777" w:rsidTr="0009313F">
        <w:tc>
          <w:tcPr>
            <w:tcW w:w="4815" w:type="dxa"/>
            <w:tcBorders>
              <w:top w:val="single" w:sz="4" w:space="0" w:color="404040"/>
              <w:left w:val="single" w:sz="4" w:space="0" w:color="404040"/>
              <w:bottom w:val="nil"/>
              <w:right w:val="single" w:sz="4" w:space="0" w:color="404040"/>
            </w:tcBorders>
            <w:vAlign w:val="bottom"/>
            <w:hideMark/>
          </w:tcPr>
          <w:p w14:paraId="5A1F7B3A" w14:textId="77777777" w:rsidR="001D3EFE" w:rsidRDefault="001D3EFE" w:rsidP="0009313F">
            <w:pPr>
              <w:widowControl w:val="0"/>
              <w:spacing w:before="20" w:after="20"/>
              <w:contextualSpacing/>
              <w:jc w:val="left"/>
              <w:rPr>
                <w:b/>
                <w:sz w:val="18"/>
                <w:szCs w:val="18"/>
                <w:lang w:val="es-MX"/>
              </w:rPr>
            </w:pPr>
            <w:r>
              <w:rPr>
                <w:b/>
                <w:sz w:val="18"/>
                <w:szCs w:val="18"/>
                <w:lang w:val="es-MX"/>
              </w:rPr>
              <w:t>Indicador Agregado de Tendencia del Sector Construcción</w:t>
            </w:r>
          </w:p>
        </w:tc>
        <w:tc>
          <w:tcPr>
            <w:tcW w:w="993" w:type="dxa"/>
            <w:tcBorders>
              <w:top w:val="single" w:sz="4" w:space="0" w:color="404040"/>
              <w:left w:val="single" w:sz="4" w:space="0" w:color="404040"/>
              <w:bottom w:val="nil"/>
              <w:right w:val="single" w:sz="4" w:space="0" w:color="404040"/>
            </w:tcBorders>
            <w:vAlign w:val="center"/>
            <w:hideMark/>
          </w:tcPr>
          <w:p w14:paraId="04C75616" w14:textId="77777777" w:rsidR="001D3EFE" w:rsidRDefault="001D3EFE" w:rsidP="0009313F">
            <w:pPr>
              <w:tabs>
                <w:tab w:val="decimal" w:pos="390"/>
              </w:tabs>
              <w:jc w:val="left"/>
              <w:rPr>
                <w:b/>
                <w:sz w:val="18"/>
                <w:szCs w:val="18"/>
              </w:rPr>
            </w:pPr>
            <w:r>
              <w:rPr>
                <w:b/>
                <w:bCs/>
                <w:sz w:val="18"/>
                <w:szCs w:val="18"/>
              </w:rPr>
              <w:t xml:space="preserve">54.1 </w:t>
            </w:r>
          </w:p>
        </w:tc>
        <w:tc>
          <w:tcPr>
            <w:tcW w:w="908" w:type="dxa"/>
            <w:tcBorders>
              <w:top w:val="single" w:sz="4" w:space="0" w:color="404040"/>
              <w:left w:val="single" w:sz="4" w:space="0" w:color="404040"/>
              <w:bottom w:val="nil"/>
              <w:right w:val="nil"/>
            </w:tcBorders>
            <w:vAlign w:val="center"/>
            <w:hideMark/>
          </w:tcPr>
          <w:p w14:paraId="6E3E4C27" w14:textId="77777777" w:rsidR="001D3EFE" w:rsidRDefault="001D3EFE" w:rsidP="0009313F">
            <w:pPr>
              <w:tabs>
                <w:tab w:val="decimal" w:pos="302"/>
              </w:tabs>
              <w:ind w:left="-142"/>
              <w:jc w:val="left"/>
              <w:rPr>
                <w:b/>
                <w:sz w:val="18"/>
                <w:szCs w:val="18"/>
              </w:rPr>
            </w:pPr>
            <w:r>
              <w:rPr>
                <w:b/>
                <w:bCs/>
                <w:sz w:val="18"/>
                <w:szCs w:val="18"/>
              </w:rPr>
              <w:t>0.1</w:t>
            </w:r>
          </w:p>
        </w:tc>
        <w:tc>
          <w:tcPr>
            <w:tcW w:w="908" w:type="dxa"/>
            <w:tcBorders>
              <w:top w:val="single" w:sz="4" w:space="0" w:color="404040"/>
              <w:left w:val="nil"/>
              <w:bottom w:val="nil"/>
              <w:right w:val="single" w:sz="4" w:space="0" w:color="404040"/>
            </w:tcBorders>
            <w:vAlign w:val="center"/>
            <w:hideMark/>
          </w:tcPr>
          <w:p w14:paraId="66FC5CEA" w14:textId="77777777" w:rsidR="001D3EFE" w:rsidRDefault="001D3EFE" w:rsidP="0009313F">
            <w:pPr>
              <w:tabs>
                <w:tab w:val="decimal" w:pos="282"/>
              </w:tabs>
              <w:jc w:val="left"/>
              <w:rPr>
                <w:b/>
                <w:sz w:val="18"/>
                <w:szCs w:val="18"/>
              </w:rPr>
            </w:pPr>
            <w:r>
              <w:rPr>
                <w:b/>
                <w:bCs/>
                <w:sz w:val="18"/>
                <w:szCs w:val="18"/>
              </w:rPr>
              <w:t>0.9</w:t>
            </w:r>
          </w:p>
        </w:tc>
        <w:tc>
          <w:tcPr>
            <w:tcW w:w="494" w:type="dxa"/>
            <w:tcBorders>
              <w:top w:val="single" w:sz="4" w:space="0" w:color="404040"/>
              <w:left w:val="single" w:sz="4" w:space="0" w:color="404040"/>
              <w:bottom w:val="nil"/>
              <w:right w:val="nil"/>
            </w:tcBorders>
            <w:vAlign w:val="center"/>
            <w:hideMark/>
          </w:tcPr>
          <w:p w14:paraId="7A857ACF" w14:textId="77777777" w:rsidR="001D3EFE" w:rsidRDefault="001D3EFE" w:rsidP="0009313F">
            <w:pPr>
              <w:jc w:val="right"/>
              <w:rPr>
                <w:b/>
                <w:sz w:val="18"/>
                <w:szCs w:val="18"/>
              </w:rPr>
            </w:pPr>
            <w:r>
              <w:rPr>
                <w:b/>
                <w:bCs/>
                <w:sz w:val="18"/>
                <w:szCs w:val="18"/>
              </w:rPr>
              <w:t>18</w:t>
            </w:r>
          </w:p>
        </w:tc>
        <w:tc>
          <w:tcPr>
            <w:tcW w:w="1250" w:type="dxa"/>
            <w:tcBorders>
              <w:top w:val="single" w:sz="4" w:space="0" w:color="404040"/>
              <w:left w:val="nil"/>
              <w:bottom w:val="nil"/>
              <w:right w:val="single" w:sz="4" w:space="0" w:color="404040"/>
            </w:tcBorders>
            <w:vAlign w:val="center"/>
            <w:hideMark/>
          </w:tcPr>
          <w:p w14:paraId="6DC5566D" w14:textId="77777777" w:rsidR="001D3EFE" w:rsidRDefault="001D3EFE" w:rsidP="0009313F">
            <w:pPr>
              <w:tabs>
                <w:tab w:val="decimal" w:pos="810"/>
              </w:tabs>
              <w:jc w:val="left"/>
              <w:rPr>
                <w:b/>
                <w:sz w:val="18"/>
                <w:szCs w:val="18"/>
              </w:rPr>
            </w:pPr>
            <w:r>
              <w:rPr>
                <w:b/>
                <w:bCs/>
                <w:color w:val="000000"/>
                <w:sz w:val="18"/>
                <w:szCs w:val="18"/>
              </w:rPr>
              <w:t>Por arriba</w:t>
            </w:r>
          </w:p>
        </w:tc>
      </w:tr>
      <w:tr w:rsidR="001D3EFE" w14:paraId="293112D5" w14:textId="77777777" w:rsidTr="0009313F">
        <w:tc>
          <w:tcPr>
            <w:tcW w:w="4815" w:type="dxa"/>
            <w:tcBorders>
              <w:top w:val="nil"/>
              <w:left w:val="single" w:sz="4" w:space="0" w:color="404040"/>
              <w:bottom w:val="nil"/>
              <w:right w:val="single" w:sz="4" w:space="0" w:color="404040"/>
            </w:tcBorders>
            <w:vAlign w:val="bottom"/>
            <w:hideMark/>
          </w:tcPr>
          <w:p w14:paraId="569896FB" w14:textId="2308C56E" w:rsidR="001D3EFE" w:rsidRPr="004A65D4" w:rsidRDefault="004A65D4" w:rsidP="004A65D4">
            <w:pPr>
              <w:widowControl w:val="0"/>
              <w:spacing w:before="20" w:after="20"/>
              <w:ind w:left="29"/>
              <w:contextualSpacing/>
              <w:jc w:val="left"/>
              <w:rPr>
                <w:spacing w:val="-4"/>
                <w:sz w:val="18"/>
                <w:szCs w:val="18"/>
                <w:lang w:val="es-MX"/>
              </w:rPr>
            </w:pPr>
            <w:r>
              <w:rPr>
                <w:spacing w:val="-4"/>
                <w:sz w:val="18"/>
                <w:szCs w:val="18"/>
                <w:lang w:val="es-MX"/>
              </w:rPr>
              <w:t xml:space="preserve">a)  </w:t>
            </w:r>
            <w:r w:rsidR="001D3EFE" w:rsidRPr="004A65D4">
              <w:rPr>
                <w:spacing w:val="-4"/>
                <w:sz w:val="18"/>
                <w:szCs w:val="18"/>
                <w:lang w:val="es-MX"/>
              </w:rPr>
              <w:t>Valor de las obras ejecutadas como contratista principal</w:t>
            </w:r>
          </w:p>
        </w:tc>
        <w:tc>
          <w:tcPr>
            <w:tcW w:w="993" w:type="dxa"/>
            <w:tcBorders>
              <w:top w:val="nil"/>
              <w:left w:val="single" w:sz="4" w:space="0" w:color="404040"/>
              <w:bottom w:val="nil"/>
              <w:right w:val="single" w:sz="4" w:space="0" w:color="404040"/>
            </w:tcBorders>
            <w:vAlign w:val="center"/>
            <w:hideMark/>
          </w:tcPr>
          <w:p w14:paraId="36E509A1" w14:textId="77777777" w:rsidR="001D3EFE" w:rsidRDefault="001D3EFE" w:rsidP="0009313F">
            <w:pPr>
              <w:tabs>
                <w:tab w:val="decimal" w:pos="390"/>
              </w:tabs>
              <w:jc w:val="left"/>
              <w:rPr>
                <w:sz w:val="18"/>
                <w:szCs w:val="18"/>
                <w:lang w:val="es-MX" w:eastAsia="es-MX"/>
              </w:rPr>
            </w:pPr>
            <w:r>
              <w:rPr>
                <w:sz w:val="18"/>
                <w:szCs w:val="18"/>
              </w:rPr>
              <w:t xml:space="preserve">55.2 </w:t>
            </w:r>
          </w:p>
        </w:tc>
        <w:tc>
          <w:tcPr>
            <w:tcW w:w="908" w:type="dxa"/>
            <w:tcBorders>
              <w:top w:val="nil"/>
              <w:left w:val="single" w:sz="4" w:space="0" w:color="404040"/>
              <w:bottom w:val="nil"/>
              <w:right w:val="nil"/>
            </w:tcBorders>
            <w:vAlign w:val="center"/>
            <w:hideMark/>
          </w:tcPr>
          <w:p w14:paraId="0BAF354A" w14:textId="77777777" w:rsidR="001D3EFE" w:rsidRDefault="001D3EFE" w:rsidP="0009313F">
            <w:pPr>
              <w:tabs>
                <w:tab w:val="decimal" w:pos="302"/>
              </w:tabs>
              <w:ind w:left="-142"/>
              <w:jc w:val="left"/>
              <w:rPr>
                <w:sz w:val="18"/>
                <w:szCs w:val="18"/>
              </w:rPr>
            </w:pPr>
            <w:r>
              <w:rPr>
                <w:sz w:val="18"/>
                <w:szCs w:val="18"/>
              </w:rPr>
              <w:t>-0.1</w:t>
            </w:r>
          </w:p>
        </w:tc>
        <w:tc>
          <w:tcPr>
            <w:tcW w:w="908" w:type="dxa"/>
            <w:tcBorders>
              <w:top w:val="nil"/>
              <w:left w:val="nil"/>
              <w:bottom w:val="nil"/>
              <w:right w:val="single" w:sz="4" w:space="0" w:color="404040"/>
            </w:tcBorders>
            <w:vAlign w:val="center"/>
            <w:hideMark/>
          </w:tcPr>
          <w:p w14:paraId="5B9C1C84" w14:textId="77777777" w:rsidR="001D3EFE" w:rsidRDefault="001D3EFE" w:rsidP="0009313F">
            <w:pPr>
              <w:tabs>
                <w:tab w:val="decimal" w:pos="282"/>
              </w:tabs>
              <w:jc w:val="left"/>
              <w:rPr>
                <w:sz w:val="18"/>
                <w:szCs w:val="18"/>
              </w:rPr>
            </w:pPr>
            <w:r>
              <w:rPr>
                <w:sz w:val="18"/>
                <w:szCs w:val="18"/>
              </w:rPr>
              <w:t>0.5</w:t>
            </w:r>
          </w:p>
        </w:tc>
        <w:tc>
          <w:tcPr>
            <w:tcW w:w="494" w:type="dxa"/>
            <w:tcBorders>
              <w:top w:val="nil"/>
              <w:left w:val="single" w:sz="4" w:space="0" w:color="404040"/>
              <w:bottom w:val="nil"/>
              <w:right w:val="nil"/>
            </w:tcBorders>
            <w:vAlign w:val="center"/>
            <w:hideMark/>
          </w:tcPr>
          <w:p w14:paraId="0EFEDC7B" w14:textId="77777777" w:rsidR="001D3EFE" w:rsidRDefault="001D3EFE" w:rsidP="0009313F">
            <w:pPr>
              <w:jc w:val="right"/>
              <w:rPr>
                <w:sz w:val="18"/>
                <w:szCs w:val="18"/>
              </w:rPr>
            </w:pPr>
            <w:r>
              <w:rPr>
                <w:sz w:val="18"/>
                <w:szCs w:val="18"/>
              </w:rPr>
              <w:t>21</w:t>
            </w:r>
          </w:p>
        </w:tc>
        <w:tc>
          <w:tcPr>
            <w:tcW w:w="1250" w:type="dxa"/>
            <w:tcBorders>
              <w:top w:val="nil"/>
              <w:left w:val="nil"/>
              <w:bottom w:val="nil"/>
              <w:right w:val="single" w:sz="4" w:space="0" w:color="404040"/>
            </w:tcBorders>
            <w:vAlign w:val="center"/>
            <w:hideMark/>
          </w:tcPr>
          <w:p w14:paraId="625D1D11" w14:textId="77777777" w:rsidR="001D3EFE" w:rsidRDefault="001D3EFE" w:rsidP="0009313F">
            <w:pPr>
              <w:tabs>
                <w:tab w:val="decimal" w:pos="810"/>
              </w:tabs>
              <w:jc w:val="left"/>
              <w:rPr>
                <w:sz w:val="18"/>
                <w:szCs w:val="18"/>
              </w:rPr>
            </w:pPr>
            <w:r>
              <w:rPr>
                <w:color w:val="000000"/>
                <w:sz w:val="18"/>
                <w:szCs w:val="18"/>
              </w:rPr>
              <w:t>Por arriba</w:t>
            </w:r>
          </w:p>
        </w:tc>
      </w:tr>
      <w:tr w:rsidR="001D3EFE" w14:paraId="21FAE5FB" w14:textId="77777777" w:rsidTr="0009313F">
        <w:tc>
          <w:tcPr>
            <w:tcW w:w="4815" w:type="dxa"/>
            <w:tcBorders>
              <w:top w:val="nil"/>
              <w:left w:val="single" w:sz="4" w:space="0" w:color="404040"/>
              <w:bottom w:val="nil"/>
              <w:right w:val="single" w:sz="4" w:space="0" w:color="404040"/>
            </w:tcBorders>
            <w:vAlign w:val="bottom"/>
            <w:hideMark/>
          </w:tcPr>
          <w:p w14:paraId="5AAC404E" w14:textId="5CE8A7BC" w:rsidR="001D3EFE" w:rsidRPr="004A65D4" w:rsidRDefault="004A65D4" w:rsidP="004A65D4">
            <w:pPr>
              <w:widowControl w:val="0"/>
              <w:spacing w:before="20" w:after="20"/>
              <w:ind w:left="29"/>
              <w:contextualSpacing/>
              <w:jc w:val="left"/>
              <w:rPr>
                <w:spacing w:val="-4"/>
                <w:sz w:val="18"/>
                <w:szCs w:val="18"/>
                <w:lang w:val="es-MX"/>
              </w:rPr>
            </w:pPr>
            <w:r>
              <w:rPr>
                <w:spacing w:val="-4"/>
                <w:sz w:val="18"/>
                <w:szCs w:val="18"/>
                <w:lang w:val="es-MX"/>
              </w:rPr>
              <w:t xml:space="preserve">b)  </w:t>
            </w:r>
            <w:r w:rsidR="001D3EFE" w:rsidRPr="004A65D4">
              <w:rPr>
                <w:spacing w:val="-4"/>
                <w:sz w:val="18"/>
                <w:szCs w:val="18"/>
                <w:lang w:val="es-MX"/>
              </w:rPr>
              <w:t>Valor de las obras ejecutadas como subcontratista</w:t>
            </w:r>
          </w:p>
        </w:tc>
        <w:tc>
          <w:tcPr>
            <w:tcW w:w="993" w:type="dxa"/>
            <w:tcBorders>
              <w:top w:val="nil"/>
              <w:left w:val="single" w:sz="4" w:space="0" w:color="404040"/>
              <w:bottom w:val="nil"/>
              <w:right w:val="single" w:sz="4" w:space="0" w:color="404040"/>
            </w:tcBorders>
            <w:vAlign w:val="center"/>
            <w:hideMark/>
          </w:tcPr>
          <w:p w14:paraId="1D2BE2C1" w14:textId="77777777" w:rsidR="001D3EFE" w:rsidRDefault="001D3EFE" w:rsidP="0009313F">
            <w:pPr>
              <w:tabs>
                <w:tab w:val="decimal" w:pos="390"/>
              </w:tabs>
              <w:jc w:val="left"/>
              <w:rPr>
                <w:sz w:val="18"/>
                <w:szCs w:val="18"/>
              </w:rPr>
            </w:pPr>
            <w:r>
              <w:rPr>
                <w:sz w:val="18"/>
                <w:szCs w:val="18"/>
              </w:rPr>
              <w:t xml:space="preserve">55.1 </w:t>
            </w:r>
          </w:p>
        </w:tc>
        <w:tc>
          <w:tcPr>
            <w:tcW w:w="908" w:type="dxa"/>
            <w:tcBorders>
              <w:top w:val="nil"/>
              <w:left w:val="single" w:sz="4" w:space="0" w:color="404040"/>
              <w:bottom w:val="nil"/>
              <w:right w:val="nil"/>
            </w:tcBorders>
            <w:vAlign w:val="center"/>
            <w:hideMark/>
          </w:tcPr>
          <w:p w14:paraId="37A6C79A" w14:textId="77777777" w:rsidR="001D3EFE" w:rsidRDefault="001D3EFE" w:rsidP="0009313F">
            <w:pPr>
              <w:tabs>
                <w:tab w:val="decimal" w:pos="302"/>
              </w:tabs>
              <w:ind w:left="-142"/>
              <w:jc w:val="left"/>
              <w:rPr>
                <w:sz w:val="18"/>
                <w:szCs w:val="18"/>
              </w:rPr>
            </w:pPr>
            <w:r>
              <w:rPr>
                <w:sz w:val="18"/>
                <w:szCs w:val="18"/>
              </w:rPr>
              <w:t>0.2</w:t>
            </w:r>
          </w:p>
        </w:tc>
        <w:tc>
          <w:tcPr>
            <w:tcW w:w="908" w:type="dxa"/>
            <w:tcBorders>
              <w:top w:val="nil"/>
              <w:left w:val="nil"/>
              <w:bottom w:val="nil"/>
              <w:right w:val="single" w:sz="4" w:space="0" w:color="404040"/>
            </w:tcBorders>
            <w:vAlign w:val="center"/>
            <w:hideMark/>
          </w:tcPr>
          <w:p w14:paraId="14442F59" w14:textId="77777777" w:rsidR="001D3EFE" w:rsidRDefault="001D3EFE" w:rsidP="0009313F">
            <w:pPr>
              <w:tabs>
                <w:tab w:val="decimal" w:pos="282"/>
              </w:tabs>
              <w:jc w:val="left"/>
              <w:rPr>
                <w:sz w:val="18"/>
                <w:szCs w:val="18"/>
              </w:rPr>
            </w:pPr>
            <w:r>
              <w:rPr>
                <w:sz w:val="18"/>
                <w:szCs w:val="18"/>
              </w:rPr>
              <w:t>1.7</w:t>
            </w:r>
          </w:p>
        </w:tc>
        <w:tc>
          <w:tcPr>
            <w:tcW w:w="494" w:type="dxa"/>
            <w:tcBorders>
              <w:top w:val="nil"/>
              <w:left w:val="single" w:sz="4" w:space="0" w:color="404040"/>
              <w:bottom w:val="nil"/>
              <w:right w:val="nil"/>
            </w:tcBorders>
            <w:vAlign w:val="center"/>
            <w:hideMark/>
          </w:tcPr>
          <w:p w14:paraId="16D918FD" w14:textId="77777777" w:rsidR="001D3EFE" w:rsidRDefault="001D3EFE" w:rsidP="0009313F">
            <w:pPr>
              <w:jc w:val="right"/>
              <w:rPr>
                <w:sz w:val="18"/>
                <w:szCs w:val="18"/>
              </w:rPr>
            </w:pPr>
            <w:r>
              <w:rPr>
                <w:sz w:val="18"/>
                <w:szCs w:val="18"/>
              </w:rPr>
              <w:t>17</w:t>
            </w:r>
          </w:p>
        </w:tc>
        <w:tc>
          <w:tcPr>
            <w:tcW w:w="1250" w:type="dxa"/>
            <w:tcBorders>
              <w:top w:val="nil"/>
              <w:left w:val="nil"/>
              <w:bottom w:val="nil"/>
              <w:right w:val="single" w:sz="4" w:space="0" w:color="404040"/>
            </w:tcBorders>
            <w:vAlign w:val="center"/>
            <w:hideMark/>
          </w:tcPr>
          <w:p w14:paraId="21A06978" w14:textId="77777777" w:rsidR="001D3EFE" w:rsidRDefault="001D3EFE" w:rsidP="0009313F">
            <w:pPr>
              <w:tabs>
                <w:tab w:val="decimal" w:pos="810"/>
              </w:tabs>
              <w:jc w:val="left"/>
              <w:rPr>
                <w:sz w:val="18"/>
                <w:szCs w:val="18"/>
              </w:rPr>
            </w:pPr>
            <w:r>
              <w:rPr>
                <w:color w:val="000000"/>
                <w:sz w:val="18"/>
                <w:szCs w:val="18"/>
              </w:rPr>
              <w:t>Por arriba</w:t>
            </w:r>
          </w:p>
        </w:tc>
      </w:tr>
      <w:tr w:rsidR="001D3EFE" w14:paraId="09979182" w14:textId="77777777" w:rsidTr="0009313F">
        <w:tc>
          <w:tcPr>
            <w:tcW w:w="4815" w:type="dxa"/>
            <w:tcBorders>
              <w:top w:val="nil"/>
              <w:left w:val="single" w:sz="4" w:space="0" w:color="404040"/>
              <w:bottom w:val="nil"/>
              <w:right w:val="single" w:sz="4" w:space="0" w:color="404040"/>
            </w:tcBorders>
            <w:vAlign w:val="bottom"/>
            <w:hideMark/>
          </w:tcPr>
          <w:p w14:paraId="3155894E" w14:textId="0307B3C4" w:rsidR="001D3EFE" w:rsidRPr="004A65D4" w:rsidRDefault="004A65D4" w:rsidP="004A65D4">
            <w:pPr>
              <w:widowControl w:val="0"/>
              <w:spacing w:before="20" w:after="20"/>
              <w:ind w:left="29"/>
              <w:contextualSpacing/>
              <w:jc w:val="left"/>
              <w:rPr>
                <w:spacing w:val="-4"/>
                <w:sz w:val="18"/>
                <w:szCs w:val="18"/>
                <w:lang w:val="es-MX"/>
              </w:rPr>
            </w:pPr>
            <w:r>
              <w:rPr>
                <w:spacing w:val="-4"/>
                <w:sz w:val="18"/>
                <w:szCs w:val="18"/>
                <w:lang w:val="es-MX"/>
              </w:rPr>
              <w:t xml:space="preserve">c)  </w:t>
            </w:r>
            <w:r w:rsidR="001D3EFE" w:rsidRPr="004A65D4">
              <w:rPr>
                <w:spacing w:val="-4"/>
                <w:sz w:val="18"/>
                <w:szCs w:val="18"/>
                <w:lang w:val="es-MX"/>
              </w:rPr>
              <w:t>Total de contratos y subcontratos</w:t>
            </w:r>
          </w:p>
        </w:tc>
        <w:tc>
          <w:tcPr>
            <w:tcW w:w="993" w:type="dxa"/>
            <w:tcBorders>
              <w:top w:val="nil"/>
              <w:left w:val="single" w:sz="4" w:space="0" w:color="404040"/>
              <w:bottom w:val="nil"/>
              <w:right w:val="single" w:sz="4" w:space="0" w:color="404040"/>
            </w:tcBorders>
            <w:vAlign w:val="center"/>
            <w:hideMark/>
          </w:tcPr>
          <w:p w14:paraId="398134E0" w14:textId="77777777" w:rsidR="001D3EFE" w:rsidRDefault="001D3EFE" w:rsidP="0009313F">
            <w:pPr>
              <w:tabs>
                <w:tab w:val="decimal" w:pos="390"/>
              </w:tabs>
              <w:jc w:val="left"/>
              <w:rPr>
                <w:sz w:val="18"/>
                <w:szCs w:val="18"/>
              </w:rPr>
            </w:pPr>
            <w:r>
              <w:rPr>
                <w:sz w:val="18"/>
                <w:szCs w:val="18"/>
              </w:rPr>
              <w:t xml:space="preserve">54.5 </w:t>
            </w:r>
          </w:p>
        </w:tc>
        <w:tc>
          <w:tcPr>
            <w:tcW w:w="908" w:type="dxa"/>
            <w:tcBorders>
              <w:top w:val="nil"/>
              <w:left w:val="single" w:sz="4" w:space="0" w:color="404040"/>
              <w:bottom w:val="nil"/>
              <w:right w:val="nil"/>
            </w:tcBorders>
            <w:vAlign w:val="center"/>
            <w:hideMark/>
          </w:tcPr>
          <w:p w14:paraId="2CD6506A" w14:textId="77777777" w:rsidR="001D3EFE" w:rsidRDefault="001D3EFE" w:rsidP="0009313F">
            <w:pPr>
              <w:tabs>
                <w:tab w:val="decimal" w:pos="302"/>
              </w:tabs>
              <w:ind w:left="-142"/>
              <w:jc w:val="left"/>
              <w:rPr>
                <w:sz w:val="18"/>
                <w:szCs w:val="18"/>
              </w:rPr>
            </w:pPr>
            <w:r>
              <w:rPr>
                <w:sz w:val="18"/>
                <w:szCs w:val="18"/>
              </w:rPr>
              <w:t>0.4</w:t>
            </w:r>
          </w:p>
        </w:tc>
        <w:tc>
          <w:tcPr>
            <w:tcW w:w="908" w:type="dxa"/>
            <w:tcBorders>
              <w:top w:val="nil"/>
              <w:left w:val="nil"/>
              <w:bottom w:val="nil"/>
              <w:right w:val="single" w:sz="4" w:space="0" w:color="404040"/>
            </w:tcBorders>
            <w:vAlign w:val="center"/>
            <w:hideMark/>
          </w:tcPr>
          <w:p w14:paraId="34D7C096" w14:textId="77777777" w:rsidR="001D3EFE" w:rsidRDefault="001D3EFE" w:rsidP="0009313F">
            <w:pPr>
              <w:tabs>
                <w:tab w:val="decimal" w:pos="282"/>
              </w:tabs>
              <w:jc w:val="left"/>
              <w:rPr>
                <w:sz w:val="18"/>
                <w:szCs w:val="18"/>
              </w:rPr>
            </w:pPr>
            <w:r>
              <w:rPr>
                <w:sz w:val="18"/>
                <w:szCs w:val="18"/>
              </w:rPr>
              <w:t>1.6</w:t>
            </w:r>
          </w:p>
        </w:tc>
        <w:tc>
          <w:tcPr>
            <w:tcW w:w="494" w:type="dxa"/>
            <w:tcBorders>
              <w:top w:val="nil"/>
              <w:left w:val="single" w:sz="4" w:space="0" w:color="404040"/>
              <w:bottom w:val="nil"/>
              <w:right w:val="nil"/>
            </w:tcBorders>
            <w:vAlign w:val="center"/>
            <w:hideMark/>
          </w:tcPr>
          <w:p w14:paraId="5403F84F" w14:textId="77777777" w:rsidR="001D3EFE" w:rsidRDefault="001D3EFE" w:rsidP="0009313F">
            <w:pPr>
              <w:jc w:val="right"/>
              <w:rPr>
                <w:sz w:val="18"/>
                <w:szCs w:val="18"/>
              </w:rPr>
            </w:pPr>
            <w:r>
              <w:rPr>
                <w:sz w:val="18"/>
                <w:szCs w:val="18"/>
              </w:rPr>
              <w:t>20</w:t>
            </w:r>
          </w:p>
        </w:tc>
        <w:tc>
          <w:tcPr>
            <w:tcW w:w="1250" w:type="dxa"/>
            <w:tcBorders>
              <w:top w:val="nil"/>
              <w:left w:val="nil"/>
              <w:bottom w:val="nil"/>
              <w:right w:val="single" w:sz="4" w:space="0" w:color="404040"/>
            </w:tcBorders>
            <w:vAlign w:val="center"/>
            <w:hideMark/>
          </w:tcPr>
          <w:p w14:paraId="3759C2EB" w14:textId="77777777" w:rsidR="001D3EFE" w:rsidRDefault="001D3EFE" w:rsidP="0009313F">
            <w:pPr>
              <w:tabs>
                <w:tab w:val="decimal" w:pos="810"/>
              </w:tabs>
              <w:jc w:val="left"/>
              <w:rPr>
                <w:sz w:val="18"/>
                <w:szCs w:val="18"/>
              </w:rPr>
            </w:pPr>
            <w:r>
              <w:rPr>
                <w:color w:val="000000"/>
                <w:sz w:val="18"/>
                <w:szCs w:val="18"/>
              </w:rPr>
              <w:t>Por arriba</w:t>
            </w:r>
          </w:p>
        </w:tc>
      </w:tr>
      <w:tr w:rsidR="001D3EFE" w14:paraId="49790060" w14:textId="77777777" w:rsidTr="0009313F">
        <w:tc>
          <w:tcPr>
            <w:tcW w:w="4815" w:type="dxa"/>
            <w:tcBorders>
              <w:top w:val="nil"/>
              <w:left w:val="single" w:sz="4" w:space="0" w:color="404040"/>
              <w:bottom w:val="single" w:sz="4" w:space="0" w:color="auto"/>
              <w:right w:val="single" w:sz="4" w:space="0" w:color="404040"/>
            </w:tcBorders>
            <w:vAlign w:val="bottom"/>
            <w:hideMark/>
          </w:tcPr>
          <w:p w14:paraId="16B5DD6E" w14:textId="366BE064" w:rsidR="001D3EFE" w:rsidRPr="004A65D4" w:rsidRDefault="004A65D4" w:rsidP="004A65D4">
            <w:pPr>
              <w:widowControl w:val="0"/>
              <w:spacing w:before="20" w:after="20"/>
              <w:ind w:left="29"/>
              <w:contextualSpacing/>
              <w:jc w:val="left"/>
              <w:rPr>
                <w:spacing w:val="-4"/>
                <w:sz w:val="18"/>
                <w:szCs w:val="18"/>
                <w:lang w:val="es-MX"/>
              </w:rPr>
            </w:pPr>
            <w:r>
              <w:rPr>
                <w:spacing w:val="-4"/>
                <w:sz w:val="18"/>
                <w:szCs w:val="18"/>
                <w:lang w:val="es-MX"/>
              </w:rPr>
              <w:t xml:space="preserve">d)  </w:t>
            </w:r>
            <w:r w:rsidR="001D3EFE" w:rsidRPr="004A65D4">
              <w:rPr>
                <w:spacing w:val="-4"/>
                <w:sz w:val="18"/>
                <w:szCs w:val="18"/>
                <w:lang w:val="es-MX"/>
              </w:rPr>
              <w:t>Personal ocupado total</w:t>
            </w:r>
          </w:p>
        </w:tc>
        <w:tc>
          <w:tcPr>
            <w:tcW w:w="993" w:type="dxa"/>
            <w:tcBorders>
              <w:top w:val="nil"/>
              <w:left w:val="single" w:sz="4" w:space="0" w:color="404040"/>
              <w:bottom w:val="single" w:sz="4" w:space="0" w:color="auto"/>
              <w:right w:val="single" w:sz="4" w:space="0" w:color="404040"/>
            </w:tcBorders>
            <w:vAlign w:val="center"/>
            <w:hideMark/>
          </w:tcPr>
          <w:p w14:paraId="59FC7716" w14:textId="77777777" w:rsidR="001D3EFE" w:rsidRDefault="001D3EFE" w:rsidP="0009313F">
            <w:pPr>
              <w:tabs>
                <w:tab w:val="decimal" w:pos="390"/>
              </w:tabs>
              <w:jc w:val="left"/>
              <w:rPr>
                <w:sz w:val="18"/>
                <w:szCs w:val="18"/>
              </w:rPr>
            </w:pPr>
            <w:r>
              <w:rPr>
                <w:sz w:val="18"/>
                <w:szCs w:val="18"/>
              </w:rPr>
              <w:t xml:space="preserve">52.3 </w:t>
            </w:r>
          </w:p>
        </w:tc>
        <w:tc>
          <w:tcPr>
            <w:tcW w:w="908" w:type="dxa"/>
            <w:tcBorders>
              <w:top w:val="nil"/>
              <w:left w:val="single" w:sz="4" w:space="0" w:color="404040"/>
              <w:bottom w:val="single" w:sz="4" w:space="0" w:color="auto"/>
              <w:right w:val="nil"/>
            </w:tcBorders>
            <w:vAlign w:val="center"/>
            <w:hideMark/>
          </w:tcPr>
          <w:p w14:paraId="457174B0" w14:textId="77777777" w:rsidR="001D3EFE" w:rsidRDefault="001D3EFE" w:rsidP="0009313F">
            <w:pPr>
              <w:tabs>
                <w:tab w:val="decimal" w:pos="302"/>
              </w:tabs>
              <w:ind w:left="-142"/>
              <w:jc w:val="left"/>
              <w:rPr>
                <w:bCs/>
                <w:sz w:val="18"/>
                <w:szCs w:val="18"/>
              </w:rPr>
            </w:pPr>
            <w:r>
              <w:rPr>
                <w:sz w:val="18"/>
                <w:szCs w:val="18"/>
              </w:rPr>
              <w:t>-0.4</w:t>
            </w:r>
          </w:p>
        </w:tc>
        <w:tc>
          <w:tcPr>
            <w:tcW w:w="908" w:type="dxa"/>
            <w:tcBorders>
              <w:top w:val="nil"/>
              <w:left w:val="nil"/>
              <w:bottom w:val="single" w:sz="4" w:space="0" w:color="auto"/>
              <w:right w:val="single" w:sz="4" w:space="0" w:color="404040"/>
            </w:tcBorders>
            <w:vAlign w:val="center"/>
            <w:hideMark/>
          </w:tcPr>
          <w:p w14:paraId="2C965AC8" w14:textId="77777777" w:rsidR="001D3EFE" w:rsidRDefault="001D3EFE" w:rsidP="0009313F">
            <w:pPr>
              <w:tabs>
                <w:tab w:val="decimal" w:pos="282"/>
              </w:tabs>
              <w:ind w:left="-30"/>
              <w:jc w:val="left"/>
              <w:rPr>
                <w:sz w:val="18"/>
                <w:szCs w:val="18"/>
              </w:rPr>
            </w:pPr>
            <w:r>
              <w:rPr>
                <w:sz w:val="18"/>
                <w:szCs w:val="18"/>
              </w:rPr>
              <w:t>1.3</w:t>
            </w:r>
          </w:p>
        </w:tc>
        <w:tc>
          <w:tcPr>
            <w:tcW w:w="494" w:type="dxa"/>
            <w:tcBorders>
              <w:top w:val="nil"/>
              <w:left w:val="single" w:sz="4" w:space="0" w:color="404040"/>
              <w:bottom w:val="single" w:sz="4" w:space="0" w:color="auto"/>
              <w:right w:val="nil"/>
            </w:tcBorders>
            <w:vAlign w:val="center"/>
            <w:hideMark/>
          </w:tcPr>
          <w:p w14:paraId="1F257224" w14:textId="77777777" w:rsidR="001D3EFE" w:rsidRDefault="001D3EFE" w:rsidP="0009313F">
            <w:pPr>
              <w:jc w:val="right"/>
              <w:rPr>
                <w:sz w:val="18"/>
                <w:szCs w:val="18"/>
              </w:rPr>
            </w:pPr>
            <w:r>
              <w:rPr>
                <w:sz w:val="18"/>
                <w:szCs w:val="18"/>
              </w:rPr>
              <w:t>16</w:t>
            </w:r>
          </w:p>
        </w:tc>
        <w:tc>
          <w:tcPr>
            <w:tcW w:w="1250" w:type="dxa"/>
            <w:tcBorders>
              <w:top w:val="nil"/>
              <w:left w:val="nil"/>
              <w:bottom w:val="single" w:sz="4" w:space="0" w:color="auto"/>
              <w:right w:val="single" w:sz="4" w:space="0" w:color="404040"/>
            </w:tcBorders>
            <w:vAlign w:val="center"/>
            <w:hideMark/>
          </w:tcPr>
          <w:p w14:paraId="7A988D7D" w14:textId="77777777" w:rsidR="001D3EFE" w:rsidRDefault="001D3EFE" w:rsidP="0009313F">
            <w:pPr>
              <w:tabs>
                <w:tab w:val="decimal" w:pos="810"/>
              </w:tabs>
              <w:jc w:val="left"/>
              <w:rPr>
                <w:sz w:val="18"/>
                <w:szCs w:val="18"/>
              </w:rPr>
            </w:pPr>
            <w:r>
              <w:rPr>
                <w:color w:val="000000"/>
                <w:sz w:val="18"/>
                <w:szCs w:val="18"/>
              </w:rPr>
              <w:t>Por arriba</w:t>
            </w:r>
          </w:p>
        </w:tc>
      </w:tr>
    </w:tbl>
    <w:p w14:paraId="42104867" w14:textId="77777777" w:rsidR="001D3EFE" w:rsidRDefault="001D3EFE" w:rsidP="0009313F">
      <w:pPr>
        <w:widowControl w:val="0"/>
        <w:spacing w:before="20"/>
        <w:ind w:left="771" w:right="191" w:hanging="595"/>
        <w:rPr>
          <w:sz w:val="16"/>
          <w:szCs w:val="14"/>
          <w:lang w:val="es-MX"/>
        </w:rPr>
      </w:pPr>
      <w:r>
        <w:rPr>
          <w:sz w:val="16"/>
          <w:szCs w:val="14"/>
          <w:lang w:val="es-MX"/>
        </w:rPr>
        <w:t>Nota:</w:t>
      </w:r>
      <w:r>
        <w:rPr>
          <w:sz w:val="16"/>
          <w:szCs w:val="14"/>
          <w:lang w:val="es-MX"/>
        </w:rPr>
        <w:tab/>
        <w:t>Los indicadores se generan con los datos referentes al mes de la entrevista. Los indicadores de los meses anteriores se van revisando por los informantes.</w:t>
      </w:r>
    </w:p>
    <w:p w14:paraId="05B675FB" w14:textId="77777777" w:rsidR="001D3EFE" w:rsidRDefault="001D3EFE" w:rsidP="0009313F">
      <w:pPr>
        <w:widowControl w:val="0"/>
        <w:ind w:left="771" w:right="191" w:hanging="595"/>
        <w:rPr>
          <w:sz w:val="16"/>
          <w:szCs w:val="14"/>
          <w:lang w:val="es-MX"/>
        </w:rPr>
      </w:pPr>
      <w:r>
        <w:rPr>
          <w:position w:val="2"/>
          <w:sz w:val="18"/>
          <w:szCs w:val="12"/>
          <w:vertAlign w:val="superscript"/>
          <w:lang w:val="es-MX"/>
        </w:rPr>
        <w:t>1/</w:t>
      </w:r>
      <w:r>
        <w:rPr>
          <w:sz w:val="16"/>
          <w:szCs w:val="14"/>
          <w:lang w:val="es-MX"/>
        </w:rPr>
        <w:tab/>
        <w:t>Las diferencias en puntos se obtienen de los respectivos indicadores considerando todos sus decimales.</w:t>
      </w:r>
    </w:p>
    <w:p w14:paraId="43D8DA80" w14:textId="77777777" w:rsidR="001D3EFE" w:rsidRDefault="001D3EFE" w:rsidP="0009313F">
      <w:pPr>
        <w:widowControl w:val="0"/>
        <w:spacing w:before="20"/>
        <w:ind w:left="700" w:right="191" w:hanging="527"/>
        <w:rPr>
          <w:sz w:val="16"/>
          <w:szCs w:val="14"/>
          <w:lang w:val="es-MX"/>
        </w:rPr>
      </w:pPr>
      <w:r>
        <w:rPr>
          <w:sz w:val="16"/>
          <w:szCs w:val="14"/>
          <w:lang w:val="es-MX"/>
        </w:rPr>
        <w:t>Fuente: INEGI.</w:t>
      </w:r>
    </w:p>
    <w:p w14:paraId="714342CE" w14:textId="77777777" w:rsidR="001D3EFE" w:rsidRPr="007422D5" w:rsidRDefault="001D3EFE" w:rsidP="001D3EFE">
      <w:pPr>
        <w:spacing w:before="100" w:beforeAutospacing="1"/>
        <w:ind w:left="-284" w:right="-547"/>
        <w:jc w:val="center"/>
        <w:rPr>
          <w:sz w:val="2"/>
          <w:szCs w:val="2"/>
        </w:rPr>
      </w:pPr>
    </w:p>
    <w:p w14:paraId="3C66BEAA" w14:textId="77777777" w:rsidR="001D3EFE" w:rsidRPr="003C6054" w:rsidRDefault="001D3EFE" w:rsidP="001D3EFE">
      <w:pPr>
        <w:spacing w:before="120"/>
        <w:ind w:right="49"/>
        <w:rPr>
          <w:spacing w:val="6"/>
        </w:rPr>
      </w:pPr>
      <w:r w:rsidRPr="003C6054">
        <w:rPr>
          <w:spacing w:val="6"/>
        </w:rPr>
        <w:t>En marzo de 2022 el IAT del sector Comercio se situó en 51.9 puntos, una reducción de 0.3 puntos en comparación con el mes anterior.</w:t>
      </w:r>
    </w:p>
    <w:p w14:paraId="4CAD53E7" w14:textId="77777777" w:rsidR="001D3EFE" w:rsidRDefault="001D3EFE" w:rsidP="001D3EFE">
      <w:pPr>
        <w:keepNext/>
        <w:keepLines/>
        <w:widowControl w:val="0"/>
        <w:jc w:val="center"/>
        <w:outlineLvl w:val="0"/>
        <w:rPr>
          <w:b/>
          <w:smallCaps/>
          <w:sz w:val="22"/>
          <w:lang w:val="es-MX"/>
        </w:rPr>
      </w:pPr>
    </w:p>
    <w:p w14:paraId="30789E15" w14:textId="77777777" w:rsidR="001D3EFE" w:rsidRDefault="001D3EFE" w:rsidP="001D3EFE">
      <w:pPr>
        <w:keepNext/>
        <w:keepLines/>
        <w:widowControl w:val="0"/>
        <w:jc w:val="center"/>
        <w:outlineLvl w:val="0"/>
        <w:rPr>
          <w:b/>
          <w:smallCaps/>
          <w:sz w:val="22"/>
          <w:lang w:val="es-MX"/>
        </w:rPr>
      </w:pPr>
      <w:r>
        <w:rPr>
          <w:b/>
          <w:smallCaps/>
          <w:sz w:val="22"/>
          <w:lang w:val="es-MX"/>
        </w:rPr>
        <w:t>IAT y Expectativas empresariales del sector comercio</w:t>
      </w:r>
    </w:p>
    <w:p w14:paraId="1E556B51" w14:textId="77777777" w:rsidR="001D3EFE" w:rsidRDefault="001D3EFE" w:rsidP="001D3EFE">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4950" w:type="pct"/>
        <w:jc w:val="center"/>
        <w:tblLayout w:type="fixed"/>
        <w:tblLook w:val="04A0" w:firstRow="1" w:lastRow="0" w:firstColumn="1" w:lastColumn="0" w:noHBand="0" w:noVBand="1"/>
      </w:tblPr>
      <w:tblGrid>
        <w:gridCol w:w="4685"/>
        <w:gridCol w:w="1051"/>
        <w:gridCol w:w="1106"/>
        <w:gridCol w:w="1106"/>
        <w:gridCol w:w="590"/>
        <w:gridCol w:w="1324"/>
      </w:tblGrid>
      <w:tr w:rsidR="001D3EFE" w14:paraId="27A767CD" w14:textId="77777777" w:rsidTr="0009313F">
        <w:trPr>
          <w:trHeight w:val="518"/>
          <w:tblHeader/>
          <w:jc w:val="center"/>
        </w:trPr>
        <w:tc>
          <w:tcPr>
            <w:tcW w:w="4420" w:type="dxa"/>
            <w:vMerge w:val="restart"/>
            <w:tcBorders>
              <w:top w:val="single" w:sz="4" w:space="0" w:color="404040"/>
              <w:left w:val="single" w:sz="4" w:space="0" w:color="404040"/>
              <w:bottom w:val="single" w:sz="4" w:space="0" w:color="404040"/>
              <w:right w:val="single" w:sz="4" w:space="0" w:color="404040"/>
            </w:tcBorders>
            <w:shd w:val="clear" w:color="auto" w:fill="CCCCFF"/>
            <w:vAlign w:val="center"/>
            <w:hideMark/>
          </w:tcPr>
          <w:p w14:paraId="4E02B42D" w14:textId="77777777" w:rsidR="001D3EFE" w:rsidRDefault="001D3EFE" w:rsidP="0009313F">
            <w:pPr>
              <w:widowControl w:val="0"/>
              <w:tabs>
                <w:tab w:val="left" w:pos="708"/>
                <w:tab w:val="center" w:pos="3348"/>
              </w:tabs>
              <w:ind w:firstLine="307"/>
              <w:jc w:val="left"/>
              <w:rPr>
                <w:spacing w:val="4"/>
                <w:sz w:val="18"/>
                <w:szCs w:val="18"/>
              </w:rPr>
            </w:pPr>
            <w:r>
              <w:rPr>
                <w:spacing w:val="4"/>
                <w:sz w:val="18"/>
                <w:szCs w:val="18"/>
              </w:rPr>
              <w:t>Indicador</w:t>
            </w:r>
          </w:p>
        </w:tc>
        <w:tc>
          <w:tcPr>
            <w:tcW w:w="992" w:type="dxa"/>
            <w:vMerge w:val="restart"/>
            <w:tcBorders>
              <w:top w:val="single" w:sz="4" w:space="0" w:color="404040"/>
              <w:left w:val="single" w:sz="4" w:space="0" w:color="404040"/>
              <w:bottom w:val="single" w:sz="4" w:space="0" w:color="404040"/>
              <w:right w:val="single" w:sz="4" w:space="0" w:color="404040"/>
            </w:tcBorders>
            <w:shd w:val="clear" w:color="auto" w:fill="CCCCFF"/>
            <w:vAlign w:val="center"/>
            <w:hideMark/>
          </w:tcPr>
          <w:p w14:paraId="58C71390" w14:textId="77777777" w:rsidR="001D3EFE" w:rsidRDefault="001D3EFE" w:rsidP="0009313F">
            <w:pPr>
              <w:ind w:left="-108" w:right="-82"/>
              <w:jc w:val="center"/>
              <w:rPr>
                <w:spacing w:val="-4"/>
                <w:sz w:val="18"/>
                <w:szCs w:val="18"/>
              </w:rPr>
            </w:pPr>
            <w:r>
              <w:rPr>
                <w:spacing w:val="-4"/>
                <w:sz w:val="18"/>
                <w:szCs w:val="18"/>
              </w:rPr>
              <w:t>Marzo</w:t>
            </w:r>
            <w:r>
              <w:rPr>
                <w:spacing w:val="-4"/>
                <w:sz w:val="18"/>
                <w:szCs w:val="18"/>
              </w:rPr>
              <w:br/>
              <w:t>de 2022</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hideMark/>
          </w:tcPr>
          <w:p w14:paraId="684666C2" w14:textId="77777777" w:rsidR="001D3EFE" w:rsidRDefault="001D3EFE" w:rsidP="0009313F">
            <w:pPr>
              <w:ind w:left="-106" w:right="-95"/>
              <w:jc w:val="center"/>
              <w:rPr>
                <w:spacing w:val="-4"/>
                <w:sz w:val="18"/>
                <w:szCs w:val="18"/>
              </w:rPr>
            </w:pPr>
            <w:r>
              <w:rPr>
                <w:spacing w:val="-4"/>
                <w:sz w:val="18"/>
                <w:szCs w:val="18"/>
              </w:rPr>
              <w:t>Diferencias</w:t>
            </w:r>
            <w:r>
              <w:rPr>
                <w:spacing w:val="-4"/>
                <w:sz w:val="18"/>
                <w:szCs w:val="18"/>
                <w:vertAlign w:val="superscript"/>
                <w:lang w:val="es-MX"/>
              </w:rPr>
              <w:t>1/</w:t>
            </w:r>
            <w:r>
              <w:rPr>
                <w:spacing w:val="-4"/>
                <w:sz w:val="18"/>
                <w:szCs w:val="18"/>
              </w:rPr>
              <w:t xml:space="preserve"> en </w:t>
            </w:r>
            <w:r>
              <w:rPr>
                <w:spacing w:val="-4"/>
                <w:sz w:val="18"/>
                <w:szCs w:val="18"/>
              </w:rPr>
              <w:br/>
              <w:t>puntos respecto al:</w:t>
            </w:r>
          </w:p>
        </w:tc>
        <w:tc>
          <w:tcPr>
            <w:tcW w:w="1806" w:type="dxa"/>
            <w:gridSpan w:val="2"/>
            <w:vMerge w:val="restart"/>
            <w:tcBorders>
              <w:top w:val="single" w:sz="4" w:space="0" w:color="404040"/>
              <w:left w:val="single" w:sz="4" w:space="0" w:color="404040"/>
              <w:bottom w:val="single" w:sz="4" w:space="0" w:color="404040"/>
              <w:right w:val="single" w:sz="4" w:space="0" w:color="404040"/>
            </w:tcBorders>
            <w:shd w:val="clear" w:color="auto" w:fill="CCCCFF"/>
            <w:vAlign w:val="center"/>
            <w:hideMark/>
          </w:tcPr>
          <w:p w14:paraId="6FE10C72" w14:textId="77777777" w:rsidR="001D3EFE" w:rsidRDefault="001D3EFE" w:rsidP="0009313F">
            <w:pPr>
              <w:tabs>
                <w:tab w:val="center" w:pos="3348"/>
              </w:tabs>
              <w:ind w:left="-84" w:right="-99"/>
              <w:jc w:val="center"/>
              <w:rPr>
                <w:spacing w:val="-4"/>
                <w:sz w:val="18"/>
                <w:szCs w:val="18"/>
              </w:rPr>
            </w:pPr>
            <w:r>
              <w:rPr>
                <w:spacing w:val="-4"/>
                <w:sz w:val="18"/>
                <w:szCs w:val="18"/>
              </w:rPr>
              <w:t xml:space="preserve">Número de meses consecutivos por </w:t>
            </w:r>
            <w:r>
              <w:rPr>
                <w:spacing w:val="-4"/>
                <w:sz w:val="18"/>
                <w:szCs w:val="18"/>
              </w:rPr>
              <w:br/>
              <w:t xml:space="preserve">arriba o por debajo </w:t>
            </w:r>
            <w:r>
              <w:rPr>
                <w:spacing w:val="-4"/>
                <w:sz w:val="18"/>
                <w:szCs w:val="18"/>
              </w:rPr>
              <w:br/>
              <w:t xml:space="preserve">del umbral de </w:t>
            </w:r>
            <w:r>
              <w:rPr>
                <w:spacing w:val="-4"/>
                <w:sz w:val="18"/>
                <w:szCs w:val="18"/>
              </w:rPr>
              <w:br/>
              <w:t>50 puntos</w:t>
            </w:r>
          </w:p>
        </w:tc>
      </w:tr>
      <w:tr w:rsidR="001D3EFE" w14:paraId="0AF52C72" w14:textId="77777777" w:rsidTr="0009313F">
        <w:trPr>
          <w:trHeight w:val="517"/>
          <w:tblHeader/>
          <w:jc w:val="center"/>
        </w:trPr>
        <w:tc>
          <w:tcPr>
            <w:tcW w:w="4420" w:type="dxa"/>
            <w:vMerge/>
            <w:tcBorders>
              <w:top w:val="single" w:sz="4" w:space="0" w:color="404040"/>
              <w:left w:val="single" w:sz="4" w:space="0" w:color="404040"/>
              <w:bottom w:val="single" w:sz="4" w:space="0" w:color="404040"/>
              <w:right w:val="single" w:sz="4" w:space="0" w:color="404040"/>
            </w:tcBorders>
            <w:vAlign w:val="center"/>
            <w:hideMark/>
          </w:tcPr>
          <w:p w14:paraId="5C45FD03" w14:textId="77777777" w:rsidR="001D3EFE" w:rsidRDefault="001D3EFE" w:rsidP="0009313F">
            <w:pPr>
              <w:jc w:val="left"/>
              <w:rPr>
                <w:spacing w:val="4"/>
                <w:sz w:val="18"/>
                <w:szCs w:val="18"/>
              </w:rPr>
            </w:pPr>
          </w:p>
        </w:tc>
        <w:tc>
          <w:tcPr>
            <w:tcW w:w="992" w:type="dxa"/>
            <w:vMerge/>
            <w:tcBorders>
              <w:top w:val="single" w:sz="4" w:space="0" w:color="404040"/>
              <w:left w:val="single" w:sz="4" w:space="0" w:color="404040"/>
              <w:bottom w:val="single" w:sz="4" w:space="0" w:color="404040"/>
              <w:right w:val="single" w:sz="4" w:space="0" w:color="404040"/>
            </w:tcBorders>
            <w:vAlign w:val="center"/>
            <w:hideMark/>
          </w:tcPr>
          <w:p w14:paraId="04083841" w14:textId="77777777" w:rsidR="001D3EFE" w:rsidRDefault="001D3EFE" w:rsidP="0009313F">
            <w:pPr>
              <w:jc w:val="left"/>
              <w:rPr>
                <w:spacing w:val="-4"/>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hideMark/>
          </w:tcPr>
          <w:p w14:paraId="4A62D920" w14:textId="77777777" w:rsidR="001D3EFE" w:rsidRDefault="001D3EFE" w:rsidP="0009313F">
            <w:pPr>
              <w:ind w:left="-106" w:right="-95"/>
              <w:jc w:val="center"/>
              <w:rPr>
                <w:spacing w:val="-4"/>
                <w:sz w:val="18"/>
                <w:szCs w:val="18"/>
              </w:rPr>
            </w:pPr>
            <w:r>
              <w:rPr>
                <w:spacing w:val="-4"/>
                <w:sz w:val="18"/>
                <w:szCs w:val="18"/>
              </w:rPr>
              <w:t>Mes</w:t>
            </w:r>
            <w:r>
              <w:rPr>
                <w:spacing w:val="-4"/>
                <w:sz w:val="18"/>
                <w:szCs w:val="18"/>
              </w:rPr>
              <w:b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hideMark/>
          </w:tcPr>
          <w:p w14:paraId="4D306D5A" w14:textId="77777777" w:rsidR="001D3EFE" w:rsidRDefault="001D3EFE" w:rsidP="0009313F">
            <w:pPr>
              <w:ind w:left="-106" w:right="-95"/>
              <w:jc w:val="center"/>
              <w:rPr>
                <w:spacing w:val="-4"/>
                <w:sz w:val="18"/>
                <w:szCs w:val="18"/>
              </w:rPr>
            </w:pPr>
            <w:r>
              <w:rPr>
                <w:spacing w:val="-4"/>
                <w:sz w:val="18"/>
                <w:szCs w:val="18"/>
              </w:rPr>
              <w:t>Mismo mes del año anterior</w:t>
            </w:r>
          </w:p>
        </w:tc>
        <w:tc>
          <w:tcPr>
            <w:tcW w:w="3055" w:type="dxa"/>
            <w:gridSpan w:val="2"/>
            <w:vMerge/>
            <w:tcBorders>
              <w:top w:val="single" w:sz="4" w:space="0" w:color="404040"/>
              <w:left w:val="single" w:sz="4" w:space="0" w:color="404040"/>
              <w:bottom w:val="single" w:sz="4" w:space="0" w:color="404040"/>
              <w:right w:val="single" w:sz="4" w:space="0" w:color="404040"/>
            </w:tcBorders>
            <w:vAlign w:val="center"/>
            <w:hideMark/>
          </w:tcPr>
          <w:p w14:paraId="55DFEF89" w14:textId="77777777" w:rsidR="001D3EFE" w:rsidRDefault="001D3EFE" w:rsidP="0009313F">
            <w:pPr>
              <w:jc w:val="left"/>
              <w:rPr>
                <w:spacing w:val="-4"/>
                <w:sz w:val="18"/>
                <w:szCs w:val="18"/>
              </w:rPr>
            </w:pPr>
          </w:p>
        </w:tc>
      </w:tr>
      <w:tr w:rsidR="001D3EFE" w14:paraId="3F9D0196" w14:textId="77777777" w:rsidTr="0009313F">
        <w:trPr>
          <w:jc w:val="center"/>
        </w:trPr>
        <w:tc>
          <w:tcPr>
            <w:tcW w:w="4420" w:type="dxa"/>
            <w:tcBorders>
              <w:top w:val="nil"/>
              <w:left w:val="single" w:sz="4" w:space="0" w:color="404040"/>
              <w:bottom w:val="nil"/>
              <w:right w:val="single" w:sz="4" w:space="0" w:color="404040"/>
            </w:tcBorders>
            <w:vAlign w:val="center"/>
            <w:hideMark/>
          </w:tcPr>
          <w:p w14:paraId="7AB6C470" w14:textId="77777777" w:rsidR="001D3EFE" w:rsidRDefault="001D3EFE" w:rsidP="0009313F">
            <w:pPr>
              <w:widowControl w:val="0"/>
              <w:spacing w:before="20" w:after="20"/>
              <w:contextualSpacing/>
              <w:jc w:val="left"/>
              <w:rPr>
                <w:b/>
                <w:sz w:val="18"/>
                <w:szCs w:val="18"/>
                <w:lang w:val="es-MX"/>
              </w:rPr>
            </w:pPr>
            <w:r>
              <w:rPr>
                <w:b/>
                <w:sz w:val="18"/>
                <w:szCs w:val="18"/>
                <w:lang w:val="es-MX"/>
              </w:rPr>
              <w:t>Indicador Agregado de Tendencia del Sector Comercio</w:t>
            </w:r>
          </w:p>
        </w:tc>
        <w:tc>
          <w:tcPr>
            <w:tcW w:w="992" w:type="dxa"/>
            <w:tcBorders>
              <w:top w:val="nil"/>
              <w:left w:val="single" w:sz="4" w:space="0" w:color="404040"/>
              <w:bottom w:val="nil"/>
              <w:right w:val="single" w:sz="4" w:space="0" w:color="404040"/>
            </w:tcBorders>
            <w:vAlign w:val="center"/>
            <w:hideMark/>
          </w:tcPr>
          <w:p w14:paraId="509AF146" w14:textId="77777777" w:rsidR="001D3EFE" w:rsidRDefault="001D3EFE" w:rsidP="0009313F">
            <w:pPr>
              <w:tabs>
                <w:tab w:val="decimal" w:pos="381"/>
              </w:tabs>
              <w:jc w:val="left"/>
              <w:rPr>
                <w:b/>
                <w:sz w:val="18"/>
                <w:szCs w:val="18"/>
              </w:rPr>
            </w:pPr>
            <w:r>
              <w:rPr>
                <w:b/>
                <w:bCs/>
                <w:sz w:val="18"/>
                <w:szCs w:val="18"/>
              </w:rPr>
              <w:t xml:space="preserve">51.9 </w:t>
            </w:r>
          </w:p>
        </w:tc>
        <w:tc>
          <w:tcPr>
            <w:tcW w:w="1043" w:type="dxa"/>
            <w:tcBorders>
              <w:top w:val="single" w:sz="4" w:space="0" w:color="404040"/>
              <w:left w:val="single" w:sz="4" w:space="0" w:color="404040"/>
              <w:bottom w:val="nil"/>
              <w:right w:val="nil"/>
            </w:tcBorders>
            <w:vAlign w:val="center"/>
            <w:hideMark/>
          </w:tcPr>
          <w:p w14:paraId="6326FC8B" w14:textId="77777777" w:rsidR="001D3EFE" w:rsidRDefault="001D3EFE" w:rsidP="0009313F">
            <w:pPr>
              <w:tabs>
                <w:tab w:val="decimal" w:pos="409"/>
              </w:tabs>
              <w:jc w:val="left"/>
              <w:rPr>
                <w:b/>
                <w:sz w:val="18"/>
                <w:szCs w:val="18"/>
              </w:rPr>
            </w:pPr>
            <w:r>
              <w:rPr>
                <w:b/>
                <w:bCs/>
                <w:sz w:val="18"/>
                <w:szCs w:val="18"/>
              </w:rPr>
              <w:t>-0.3</w:t>
            </w:r>
          </w:p>
        </w:tc>
        <w:tc>
          <w:tcPr>
            <w:tcW w:w="1043" w:type="dxa"/>
            <w:tcBorders>
              <w:top w:val="single" w:sz="4" w:space="0" w:color="404040"/>
              <w:left w:val="nil"/>
              <w:bottom w:val="nil"/>
              <w:right w:val="single" w:sz="4" w:space="0" w:color="404040"/>
            </w:tcBorders>
            <w:vAlign w:val="center"/>
            <w:hideMark/>
          </w:tcPr>
          <w:p w14:paraId="69B352D6" w14:textId="77777777" w:rsidR="001D3EFE" w:rsidRDefault="001D3EFE" w:rsidP="0009313F">
            <w:pPr>
              <w:tabs>
                <w:tab w:val="decimal" w:pos="357"/>
              </w:tabs>
              <w:jc w:val="left"/>
              <w:rPr>
                <w:b/>
                <w:bCs/>
                <w:sz w:val="18"/>
                <w:szCs w:val="18"/>
              </w:rPr>
            </w:pPr>
            <w:r>
              <w:rPr>
                <w:b/>
                <w:bCs/>
                <w:sz w:val="18"/>
                <w:szCs w:val="18"/>
              </w:rPr>
              <w:t>-2.1</w:t>
            </w:r>
          </w:p>
        </w:tc>
        <w:tc>
          <w:tcPr>
            <w:tcW w:w="557" w:type="dxa"/>
            <w:tcBorders>
              <w:top w:val="nil"/>
              <w:left w:val="single" w:sz="4" w:space="0" w:color="404040"/>
              <w:bottom w:val="nil"/>
              <w:right w:val="nil"/>
            </w:tcBorders>
            <w:vAlign w:val="center"/>
            <w:hideMark/>
          </w:tcPr>
          <w:p w14:paraId="1F7DBCA0" w14:textId="77777777" w:rsidR="001D3EFE" w:rsidRDefault="001D3EFE" w:rsidP="0009313F">
            <w:pPr>
              <w:jc w:val="right"/>
              <w:rPr>
                <w:b/>
                <w:sz w:val="18"/>
                <w:szCs w:val="18"/>
              </w:rPr>
            </w:pPr>
            <w:r>
              <w:rPr>
                <w:b/>
                <w:bCs/>
                <w:sz w:val="18"/>
                <w:szCs w:val="18"/>
              </w:rPr>
              <w:t>22</w:t>
            </w:r>
          </w:p>
        </w:tc>
        <w:tc>
          <w:tcPr>
            <w:tcW w:w="1249" w:type="dxa"/>
            <w:tcBorders>
              <w:top w:val="nil"/>
              <w:left w:val="nil"/>
              <w:bottom w:val="nil"/>
              <w:right w:val="single" w:sz="4" w:space="0" w:color="404040"/>
            </w:tcBorders>
            <w:vAlign w:val="center"/>
            <w:hideMark/>
          </w:tcPr>
          <w:p w14:paraId="35BA1AA5" w14:textId="77777777" w:rsidR="001D3EFE" w:rsidRDefault="001D3EFE" w:rsidP="0009313F">
            <w:pPr>
              <w:tabs>
                <w:tab w:val="decimal" w:pos="810"/>
              </w:tabs>
              <w:jc w:val="left"/>
              <w:rPr>
                <w:b/>
                <w:sz w:val="18"/>
                <w:szCs w:val="18"/>
              </w:rPr>
            </w:pPr>
            <w:r>
              <w:rPr>
                <w:b/>
                <w:bCs/>
                <w:color w:val="000000"/>
                <w:sz w:val="18"/>
                <w:szCs w:val="18"/>
              </w:rPr>
              <w:t>Por arriba</w:t>
            </w:r>
          </w:p>
        </w:tc>
      </w:tr>
      <w:tr w:rsidR="001D3EFE" w14:paraId="072C8B32" w14:textId="77777777" w:rsidTr="0009313F">
        <w:trPr>
          <w:jc w:val="center"/>
        </w:trPr>
        <w:tc>
          <w:tcPr>
            <w:tcW w:w="4420" w:type="dxa"/>
            <w:tcBorders>
              <w:top w:val="nil"/>
              <w:left w:val="single" w:sz="4" w:space="0" w:color="404040"/>
              <w:bottom w:val="nil"/>
              <w:right w:val="single" w:sz="4" w:space="0" w:color="404040"/>
            </w:tcBorders>
            <w:vAlign w:val="bottom"/>
            <w:hideMark/>
          </w:tcPr>
          <w:p w14:paraId="0552A293" w14:textId="2ECFE682" w:rsidR="001D3EFE" w:rsidRPr="00C408A8" w:rsidRDefault="00C408A8" w:rsidP="00C408A8">
            <w:pPr>
              <w:widowControl w:val="0"/>
              <w:spacing w:before="20" w:after="20"/>
              <w:ind w:left="29"/>
              <w:contextualSpacing/>
              <w:jc w:val="left"/>
              <w:rPr>
                <w:sz w:val="18"/>
                <w:szCs w:val="18"/>
                <w:lang w:val="es-MX"/>
              </w:rPr>
            </w:pPr>
            <w:r>
              <w:rPr>
                <w:sz w:val="18"/>
                <w:szCs w:val="18"/>
                <w:lang w:val="es-MX"/>
              </w:rPr>
              <w:t xml:space="preserve">a)  </w:t>
            </w:r>
            <w:r w:rsidR="001D3EFE" w:rsidRPr="00C408A8">
              <w:rPr>
                <w:sz w:val="18"/>
                <w:szCs w:val="18"/>
                <w:lang w:val="es-MX"/>
              </w:rPr>
              <w:t>Ventas netas</w:t>
            </w:r>
          </w:p>
        </w:tc>
        <w:tc>
          <w:tcPr>
            <w:tcW w:w="992" w:type="dxa"/>
            <w:tcBorders>
              <w:top w:val="nil"/>
              <w:left w:val="single" w:sz="4" w:space="0" w:color="404040"/>
              <w:bottom w:val="nil"/>
              <w:right w:val="single" w:sz="4" w:space="0" w:color="404040"/>
            </w:tcBorders>
            <w:vAlign w:val="center"/>
            <w:hideMark/>
          </w:tcPr>
          <w:p w14:paraId="4E339507" w14:textId="77777777" w:rsidR="001D3EFE" w:rsidRDefault="001D3EFE" w:rsidP="0009313F">
            <w:pPr>
              <w:tabs>
                <w:tab w:val="decimal" w:pos="381"/>
              </w:tabs>
              <w:jc w:val="left"/>
              <w:rPr>
                <w:sz w:val="18"/>
                <w:szCs w:val="18"/>
                <w:lang w:val="es-MX" w:eastAsia="es-MX"/>
              </w:rPr>
            </w:pPr>
            <w:r>
              <w:rPr>
                <w:sz w:val="18"/>
                <w:szCs w:val="18"/>
              </w:rPr>
              <w:t xml:space="preserve">53.1 </w:t>
            </w:r>
          </w:p>
        </w:tc>
        <w:tc>
          <w:tcPr>
            <w:tcW w:w="1043" w:type="dxa"/>
            <w:tcBorders>
              <w:top w:val="nil"/>
              <w:left w:val="single" w:sz="4" w:space="0" w:color="404040"/>
              <w:bottom w:val="nil"/>
              <w:right w:val="nil"/>
            </w:tcBorders>
            <w:vAlign w:val="center"/>
            <w:hideMark/>
          </w:tcPr>
          <w:p w14:paraId="2BE90D27" w14:textId="77777777" w:rsidR="001D3EFE" w:rsidRDefault="001D3EFE" w:rsidP="0009313F">
            <w:pPr>
              <w:tabs>
                <w:tab w:val="decimal" w:pos="409"/>
              </w:tabs>
              <w:jc w:val="left"/>
              <w:rPr>
                <w:sz w:val="18"/>
                <w:szCs w:val="18"/>
              </w:rPr>
            </w:pPr>
            <w:r>
              <w:rPr>
                <w:sz w:val="18"/>
                <w:szCs w:val="18"/>
              </w:rPr>
              <w:t>-0.2</w:t>
            </w:r>
          </w:p>
        </w:tc>
        <w:tc>
          <w:tcPr>
            <w:tcW w:w="1043" w:type="dxa"/>
            <w:tcBorders>
              <w:top w:val="nil"/>
              <w:left w:val="nil"/>
              <w:bottom w:val="nil"/>
              <w:right w:val="single" w:sz="4" w:space="0" w:color="404040"/>
            </w:tcBorders>
            <w:vAlign w:val="center"/>
            <w:hideMark/>
          </w:tcPr>
          <w:p w14:paraId="26AA6251" w14:textId="77777777" w:rsidR="001D3EFE" w:rsidRDefault="001D3EFE" w:rsidP="0009313F">
            <w:pPr>
              <w:tabs>
                <w:tab w:val="decimal" w:pos="357"/>
              </w:tabs>
              <w:jc w:val="left"/>
              <w:rPr>
                <w:bCs/>
                <w:sz w:val="18"/>
                <w:szCs w:val="18"/>
              </w:rPr>
            </w:pPr>
            <w:r>
              <w:rPr>
                <w:sz w:val="18"/>
                <w:szCs w:val="18"/>
              </w:rPr>
              <w:t>-3.3</w:t>
            </w:r>
          </w:p>
        </w:tc>
        <w:tc>
          <w:tcPr>
            <w:tcW w:w="557" w:type="dxa"/>
            <w:tcBorders>
              <w:top w:val="nil"/>
              <w:left w:val="single" w:sz="4" w:space="0" w:color="404040"/>
              <w:bottom w:val="nil"/>
              <w:right w:val="nil"/>
            </w:tcBorders>
            <w:vAlign w:val="center"/>
            <w:hideMark/>
          </w:tcPr>
          <w:p w14:paraId="718A8C66" w14:textId="77777777" w:rsidR="001D3EFE" w:rsidRDefault="001D3EFE" w:rsidP="0009313F">
            <w:pPr>
              <w:jc w:val="right"/>
              <w:rPr>
                <w:sz w:val="18"/>
                <w:szCs w:val="18"/>
              </w:rPr>
            </w:pPr>
            <w:r>
              <w:rPr>
                <w:sz w:val="18"/>
                <w:szCs w:val="18"/>
              </w:rPr>
              <w:t>22</w:t>
            </w:r>
          </w:p>
        </w:tc>
        <w:tc>
          <w:tcPr>
            <w:tcW w:w="1249" w:type="dxa"/>
            <w:tcBorders>
              <w:top w:val="nil"/>
              <w:left w:val="nil"/>
              <w:bottom w:val="nil"/>
              <w:right w:val="single" w:sz="4" w:space="0" w:color="404040"/>
            </w:tcBorders>
            <w:vAlign w:val="center"/>
            <w:hideMark/>
          </w:tcPr>
          <w:p w14:paraId="6B391020" w14:textId="77777777" w:rsidR="001D3EFE" w:rsidRDefault="001D3EFE" w:rsidP="0009313F">
            <w:pPr>
              <w:tabs>
                <w:tab w:val="decimal" w:pos="810"/>
              </w:tabs>
              <w:jc w:val="left"/>
              <w:rPr>
                <w:sz w:val="18"/>
                <w:szCs w:val="18"/>
              </w:rPr>
            </w:pPr>
            <w:r>
              <w:rPr>
                <w:color w:val="000000"/>
                <w:sz w:val="18"/>
                <w:szCs w:val="18"/>
              </w:rPr>
              <w:t>Por arriba</w:t>
            </w:r>
          </w:p>
        </w:tc>
      </w:tr>
      <w:tr w:rsidR="001D3EFE" w14:paraId="762F0CE4" w14:textId="77777777" w:rsidTr="0009313F">
        <w:trPr>
          <w:jc w:val="center"/>
        </w:trPr>
        <w:tc>
          <w:tcPr>
            <w:tcW w:w="4420" w:type="dxa"/>
            <w:tcBorders>
              <w:top w:val="nil"/>
              <w:left w:val="single" w:sz="4" w:space="0" w:color="404040"/>
              <w:bottom w:val="nil"/>
              <w:right w:val="single" w:sz="4" w:space="0" w:color="404040"/>
            </w:tcBorders>
            <w:vAlign w:val="bottom"/>
            <w:hideMark/>
          </w:tcPr>
          <w:p w14:paraId="52E4C279" w14:textId="2E84F1C0" w:rsidR="001D3EFE" w:rsidRPr="00C408A8" w:rsidRDefault="00C408A8" w:rsidP="00C408A8">
            <w:pPr>
              <w:widowControl w:val="0"/>
              <w:spacing w:before="20" w:after="20"/>
              <w:ind w:left="29"/>
              <w:contextualSpacing/>
              <w:jc w:val="left"/>
              <w:rPr>
                <w:sz w:val="18"/>
                <w:szCs w:val="18"/>
                <w:lang w:val="es-MX"/>
              </w:rPr>
            </w:pPr>
            <w:r>
              <w:rPr>
                <w:sz w:val="18"/>
                <w:szCs w:val="18"/>
                <w:lang w:val="es-MX"/>
              </w:rPr>
              <w:t xml:space="preserve">b)  </w:t>
            </w:r>
            <w:r w:rsidR="001D3EFE" w:rsidRPr="00C408A8">
              <w:rPr>
                <w:sz w:val="18"/>
                <w:szCs w:val="18"/>
                <w:lang w:val="es-MX"/>
              </w:rPr>
              <w:t>Ingresos por consignación y/o comisión</w:t>
            </w:r>
          </w:p>
        </w:tc>
        <w:tc>
          <w:tcPr>
            <w:tcW w:w="992" w:type="dxa"/>
            <w:tcBorders>
              <w:top w:val="nil"/>
              <w:left w:val="single" w:sz="4" w:space="0" w:color="404040"/>
              <w:bottom w:val="nil"/>
              <w:right w:val="single" w:sz="4" w:space="0" w:color="404040"/>
            </w:tcBorders>
            <w:vAlign w:val="center"/>
            <w:hideMark/>
          </w:tcPr>
          <w:p w14:paraId="2D057679" w14:textId="77777777" w:rsidR="001D3EFE" w:rsidRDefault="001D3EFE" w:rsidP="0009313F">
            <w:pPr>
              <w:tabs>
                <w:tab w:val="decimal" w:pos="381"/>
              </w:tabs>
              <w:jc w:val="left"/>
              <w:rPr>
                <w:sz w:val="18"/>
                <w:szCs w:val="18"/>
              </w:rPr>
            </w:pPr>
            <w:r>
              <w:rPr>
                <w:sz w:val="18"/>
                <w:szCs w:val="18"/>
              </w:rPr>
              <w:t xml:space="preserve">46.2 </w:t>
            </w:r>
          </w:p>
        </w:tc>
        <w:tc>
          <w:tcPr>
            <w:tcW w:w="1043" w:type="dxa"/>
            <w:tcBorders>
              <w:top w:val="nil"/>
              <w:left w:val="single" w:sz="4" w:space="0" w:color="404040"/>
              <w:bottom w:val="nil"/>
              <w:right w:val="nil"/>
            </w:tcBorders>
            <w:vAlign w:val="center"/>
            <w:hideMark/>
          </w:tcPr>
          <w:p w14:paraId="459EC39E" w14:textId="77777777" w:rsidR="001D3EFE" w:rsidRDefault="001D3EFE" w:rsidP="0009313F">
            <w:pPr>
              <w:tabs>
                <w:tab w:val="decimal" w:pos="409"/>
              </w:tabs>
              <w:jc w:val="left"/>
              <w:rPr>
                <w:sz w:val="18"/>
                <w:szCs w:val="18"/>
              </w:rPr>
            </w:pPr>
            <w:r>
              <w:rPr>
                <w:sz w:val="18"/>
                <w:szCs w:val="18"/>
              </w:rPr>
              <w:t>-1.7</w:t>
            </w:r>
          </w:p>
        </w:tc>
        <w:tc>
          <w:tcPr>
            <w:tcW w:w="1043" w:type="dxa"/>
            <w:tcBorders>
              <w:top w:val="nil"/>
              <w:left w:val="nil"/>
              <w:bottom w:val="nil"/>
              <w:right w:val="single" w:sz="4" w:space="0" w:color="404040"/>
            </w:tcBorders>
            <w:vAlign w:val="center"/>
            <w:hideMark/>
          </w:tcPr>
          <w:p w14:paraId="76C35F0F" w14:textId="77777777" w:rsidR="001D3EFE" w:rsidRDefault="001D3EFE" w:rsidP="0009313F">
            <w:pPr>
              <w:tabs>
                <w:tab w:val="decimal" w:pos="357"/>
              </w:tabs>
              <w:jc w:val="left"/>
              <w:rPr>
                <w:bCs/>
                <w:sz w:val="18"/>
                <w:szCs w:val="18"/>
              </w:rPr>
            </w:pPr>
            <w:r>
              <w:rPr>
                <w:sz w:val="18"/>
                <w:szCs w:val="18"/>
              </w:rPr>
              <w:t>-15.3</w:t>
            </w:r>
          </w:p>
        </w:tc>
        <w:tc>
          <w:tcPr>
            <w:tcW w:w="557" w:type="dxa"/>
            <w:tcBorders>
              <w:top w:val="nil"/>
              <w:left w:val="single" w:sz="4" w:space="0" w:color="404040"/>
              <w:bottom w:val="nil"/>
              <w:right w:val="nil"/>
            </w:tcBorders>
            <w:vAlign w:val="center"/>
            <w:hideMark/>
          </w:tcPr>
          <w:p w14:paraId="4022BA69" w14:textId="77777777" w:rsidR="001D3EFE" w:rsidRDefault="001D3EFE" w:rsidP="0009313F">
            <w:pPr>
              <w:jc w:val="right"/>
              <w:rPr>
                <w:sz w:val="18"/>
                <w:szCs w:val="18"/>
              </w:rPr>
            </w:pPr>
            <w:r>
              <w:rPr>
                <w:sz w:val="18"/>
                <w:szCs w:val="18"/>
              </w:rPr>
              <w:t>3</w:t>
            </w:r>
          </w:p>
        </w:tc>
        <w:tc>
          <w:tcPr>
            <w:tcW w:w="1249" w:type="dxa"/>
            <w:tcBorders>
              <w:top w:val="nil"/>
              <w:left w:val="nil"/>
              <w:bottom w:val="nil"/>
              <w:right w:val="single" w:sz="4" w:space="0" w:color="404040"/>
            </w:tcBorders>
            <w:vAlign w:val="center"/>
            <w:hideMark/>
          </w:tcPr>
          <w:p w14:paraId="0F5620A5" w14:textId="77777777" w:rsidR="001D3EFE" w:rsidRDefault="001D3EFE" w:rsidP="0009313F">
            <w:pPr>
              <w:tabs>
                <w:tab w:val="decimal" w:pos="810"/>
              </w:tabs>
              <w:jc w:val="left"/>
              <w:rPr>
                <w:sz w:val="18"/>
                <w:szCs w:val="18"/>
              </w:rPr>
            </w:pPr>
            <w:r>
              <w:rPr>
                <w:color w:val="000000"/>
                <w:sz w:val="18"/>
                <w:szCs w:val="18"/>
              </w:rPr>
              <w:t>Por debajo</w:t>
            </w:r>
          </w:p>
        </w:tc>
      </w:tr>
      <w:tr w:rsidR="001D3EFE" w14:paraId="2B017509" w14:textId="77777777" w:rsidTr="0009313F">
        <w:trPr>
          <w:jc w:val="center"/>
        </w:trPr>
        <w:tc>
          <w:tcPr>
            <w:tcW w:w="4420" w:type="dxa"/>
            <w:tcBorders>
              <w:top w:val="nil"/>
              <w:left w:val="single" w:sz="4" w:space="0" w:color="404040"/>
              <w:bottom w:val="nil"/>
              <w:right w:val="single" w:sz="4" w:space="0" w:color="404040"/>
            </w:tcBorders>
            <w:vAlign w:val="bottom"/>
            <w:hideMark/>
          </w:tcPr>
          <w:p w14:paraId="060E7474" w14:textId="3A42F5B3" w:rsidR="001D3EFE" w:rsidRPr="00C408A8" w:rsidRDefault="00C408A8" w:rsidP="00C408A8">
            <w:pPr>
              <w:widowControl w:val="0"/>
              <w:spacing w:before="20" w:after="20"/>
              <w:ind w:left="29"/>
              <w:contextualSpacing/>
              <w:jc w:val="left"/>
              <w:rPr>
                <w:sz w:val="18"/>
                <w:szCs w:val="18"/>
                <w:lang w:val="es-MX"/>
              </w:rPr>
            </w:pPr>
            <w:r>
              <w:rPr>
                <w:sz w:val="18"/>
                <w:szCs w:val="18"/>
                <w:lang w:val="es-MX"/>
              </w:rPr>
              <w:t xml:space="preserve">c)  </w:t>
            </w:r>
            <w:r w:rsidR="001D3EFE" w:rsidRPr="00C408A8">
              <w:rPr>
                <w:sz w:val="18"/>
                <w:szCs w:val="18"/>
                <w:lang w:val="es-MX"/>
              </w:rPr>
              <w:t>Compras netas</w:t>
            </w:r>
          </w:p>
        </w:tc>
        <w:tc>
          <w:tcPr>
            <w:tcW w:w="992" w:type="dxa"/>
            <w:tcBorders>
              <w:top w:val="nil"/>
              <w:left w:val="single" w:sz="4" w:space="0" w:color="404040"/>
              <w:bottom w:val="nil"/>
              <w:right w:val="single" w:sz="4" w:space="0" w:color="404040"/>
            </w:tcBorders>
            <w:vAlign w:val="center"/>
            <w:hideMark/>
          </w:tcPr>
          <w:p w14:paraId="73962FB9" w14:textId="77777777" w:rsidR="001D3EFE" w:rsidRDefault="001D3EFE" w:rsidP="0009313F">
            <w:pPr>
              <w:tabs>
                <w:tab w:val="decimal" w:pos="381"/>
              </w:tabs>
              <w:jc w:val="left"/>
              <w:rPr>
                <w:sz w:val="18"/>
                <w:szCs w:val="18"/>
              </w:rPr>
            </w:pPr>
            <w:r>
              <w:rPr>
                <w:sz w:val="18"/>
                <w:szCs w:val="18"/>
              </w:rPr>
              <w:t xml:space="preserve">53.7 </w:t>
            </w:r>
          </w:p>
        </w:tc>
        <w:tc>
          <w:tcPr>
            <w:tcW w:w="1043" w:type="dxa"/>
            <w:tcBorders>
              <w:top w:val="nil"/>
              <w:left w:val="single" w:sz="4" w:space="0" w:color="404040"/>
              <w:bottom w:val="nil"/>
              <w:right w:val="nil"/>
            </w:tcBorders>
            <w:vAlign w:val="center"/>
            <w:hideMark/>
          </w:tcPr>
          <w:p w14:paraId="63B1C524" w14:textId="77777777" w:rsidR="001D3EFE" w:rsidRDefault="001D3EFE" w:rsidP="0009313F">
            <w:pPr>
              <w:tabs>
                <w:tab w:val="decimal" w:pos="409"/>
              </w:tabs>
              <w:jc w:val="left"/>
              <w:rPr>
                <w:sz w:val="18"/>
                <w:szCs w:val="18"/>
              </w:rPr>
            </w:pPr>
            <w:r>
              <w:rPr>
                <w:sz w:val="18"/>
                <w:szCs w:val="18"/>
              </w:rPr>
              <w:t>1.0</w:t>
            </w:r>
          </w:p>
        </w:tc>
        <w:tc>
          <w:tcPr>
            <w:tcW w:w="1043" w:type="dxa"/>
            <w:tcBorders>
              <w:top w:val="nil"/>
              <w:left w:val="nil"/>
              <w:bottom w:val="nil"/>
              <w:right w:val="single" w:sz="4" w:space="0" w:color="404040"/>
            </w:tcBorders>
            <w:vAlign w:val="center"/>
            <w:hideMark/>
          </w:tcPr>
          <w:p w14:paraId="35E4D683" w14:textId="77777777" w:rsidR="001D3EFE" w:rsidRDefault="001D3EFE" w:rsidP="0009313F">
            <w:pPr>
              <w:tabs>
                <w:tab w:val="decimal" w:pos="357"/>
              </w:tabs>
              <w:jc w:val="left"/>
              <w:rPr>
                <w:bCs/>
                <w:sz w:val="18"/>
                <w:szCs w:val="18"/>
              </w:rPr>
            </w:pPr>
            <w:r>
              <w:rPr>
                <w:sz w:val="18"/>
                <w:szCs w:val="18"/>
              </w:rPr>
              <w:t>-1.1</w:t>
            </w:r>
          </w:p>
        </w:tc>
        <w:tc>
          <w:tcPr>
            <w:tcW w:w="557" w:type="dxa"/>
            <w:tcBorders>
              <w:top w:val="nil"/>
              <w:left w:val="single" w:sz="4" w:space="0" w:color="404040"/>
              <w:bottom w:val="nil"/>
              <w:right w:val="nil"/>
            </w:tcBorders>
            <w:vAlign w:val="center"/>
            <w:hideMark/>
          </w:tcPr>
          <w:p w14:paraId="270630AA" w14:textId="77777777" w:rsidR="001D3EFE" w:rsidRDefault="001D3EFE" w:rsidP="0009313F">
            <w:pPr>
              <w:jc w:val="right"/>
              <w:rPr>
                <w:sz w:val="18"/>
                <w:szCs w:val="18"/>
              </w:rPr>
            </w:pPr>
            <w:r>
              <w:rPr>
                <w:sz w:val="18"/>
                <w:szCs w:val="18"/>
              </w:rPr>
              <w:t>22</w:t>
            </w:r>
          </w:p>
        </w:tc>
        <w:tc>
          <w:tcPr>
            <w:tcW w:w="1249" w:type="dxa"/>
            <w:tcBorders>
              <w:top w:val="nil"/>
              <w:left w:val="nil"/>
              <w:bottom w:val="nil"/>
              <w:right w:val="single" w:sz="4" w:space="0" w:color="404040"/>
            </w:tcBorders>
            <w:vAlign w:val="center"/>
            <w:hideMark/>
          </w:tcPr>
          <w:p w14:paraId="3385B1C4" w14:textId="77777777" w:rsidR="001D3EFE" w:rsidRDefault="001D3EFE" w:rsidP="0009313F">
            <w:pPr>
              <w:tabs>
                <w:tab w:val="decimal" w:pos="810"/>
              </w:tabs>
              <w:jc w:val="left"/>
              <w:rPr>
                <w:sz w:val="18"/>
                <w:szCs w:val="18"/>
              </w:rPr>
            </w:pPr>
            <w:r>
              <w:rPr>
                <w:color w:val="000000"/>
                <w:sz w:val="18"/>
                <w:szCs w:val="18"/>
              </w:rPr>
              <w:t>Por arriba</w:t>
            </w:r>
          </w:p>
        </w:tc>
      </w:tr>
      <w:tr w:rsidR="001D3EFE" w14:paraId="7CD5BE48" w14:textId="77777777" w:rsidTr="0009313F">
        <w:trPr>
          <w:jc w:val="center"/>
        </w:trPr>
        <w:tc>
          <w:tcPr>
            <w:tcW w:w="4420" w:type="dxa"/>
            <w:tcBorders>
              <w:top w:val="nil"/>
              <w:left w:val="single" w:sz="4" w:space="0" w:color="404040"/>
              <w:bottom w:val="nil"/>
              <w:right w:val="single" w:sz="4" w:space="0" w:color="404040"/>
            </w:tcBorders>
            <w:vAlign w:val="bottom"/>
            <w:hideMark/>
          </w:tcPr>
          <w:p w14:paraId="71F3A306" w14:textId="682BF2EC" w:rsidR="001D3EFE" w:rsidRPr="00C408A8" w:rsidRDefault="00C408A8" w:rsidP="00C408A8">
            <w:pPr>
              <w:widowControl w:val="0"/>
              <w:spacing w:before="20" w:after="20"/>
              <w:ind w:left="29"/>
              <w:contextualSpacing/>
              <w:jc w:val="left"/>
              <w:rPr>
                <w:sz w:val="18"/>
                <w:szCs w:val="18"/>
                <w:lang w:val="es-MX"/>
              </w:rPr>
            </w:pPr>
            <w:r>
              <w:rPr>
                <w:sz w:val="18"/>
                <w:szCs w:val="18"/>
                <w:lang w:val="es-MX"/>
              </w:rPr>
              <w:t xml:space="preserve">d)  </w:t>
            </w:r>
            <w:r w:rsidR="001D3EFE" w:rsidRPr="00C408A8">
              <w:rPr>
                <w:sz w:val="18"/>
                <w:szCs w:val="18"/>
                <w:lang w:val="es-MX"/>
              </w:rPr>
              <w:t>Inventarios de mercancías</w:t>
            </w:r>
          </w:p>
        </w:tc>
        <w:tc>
          <w:tcPr>
            <w:tcW w:w="992" w:type="dxa"/>
            <w:tcBorders>
              <w:top w:val="nil"/>
              <w:left w:val="single" w:sz="4" w:space="0" w:color="404040"/>
              <w:bottom w:val="nil"/>
              <w:right w:val="single" w:sz="4" w:space="0" w:color="404040"/>
            </w:tcBorders>
            <w:vAlign w:val="center"/>
            <w:hideMark/>
          </w:tcPr>
          <w:p w14:paraId="2AC20555" w14:textId="77777777" w:rsidR="001D3EFE" w:rsidRDefault="001D3EFE" w:rsidP="0009313F">
            <w:pPr>
              <w:tabs>
                <w:tab w:val="decimal" w:pos="381"/>
              </w:tabs>
              <w:jc w:val="left"/>
              <w:rPr>
                <w:sz w:val="18"/>
                <w:szCs w:val="18"/>
              </w:rPr>
            </w:pPr>
            <w:r>
              <w:rPr>
                <w:sz w:val="18"/>
                <w:szCs w:val="18"/>
              </w:rPr>
              <w:t xml:space="preserve">54.3 </w:t>
            </w:r>
          </w:p>
        </w:tc>
        <w:tc>
          <w:tcPr>
            <w:tcW w:w="1043" w:type="dxa"/>
            <w:tcBorders>
              <w:top w:val="nil"/>
              <w:left w:val="single" w:sz="4" w:space="0" w:color="404040"/>
              <w:bottom w:val="nil"/>
              <w:right w:val="nil"/>
            </w:tcBorders>
            <w:vAlign w:val="center"/>
            <w:hideMark/>
          </w:tcPr>
          <w:p w14:paraId="705353EF" w14:textId="77777777" w:rsidR="001D3EFE" w:rsidRDefault="001D3EFE" w:rsidP="0009313F">
            <w:pPr>
              <w:tabs>
                <w:tab w:val="decimal" w:pos="409"/>
              </w:tabs>
              <w:jc w:val="left"/>
              <w:rPr>
                <w:sz w:val="18"/>
                <w:szCs w:val="18"/>
              </w:rPr>
            </w:pPr>
            <w:r>
              <w:rPr>
                <w:sz w:val="18"/>
                <w:szCs w:val="18"/>
              </w:rPr>
              <w:t>0.4</w:t>
            </w:r>
          </w:p>
        </w:tc>
        <w:tc>
          <w:tcPr>
            <w:tcW w:w="1043" w:type="dxa"/>
            <w:tcBorders>
              <w:top w:val="nil"/>
              <w:left w:val="nil"/>
              <w:bottom w:val="nil"/>
              <w:right w:val="single" w:sz="4" w:space="0" w:color="404040"/>
            </w:tcBorders>
            <w:vAlign w:val="center"/>
            <w:hideMark/>
          </w:tcPr>
          <w:p w14:paraId="47C7F1A8" w14:textId="77777777" w:rsidR="001D3EFE" w:rsidRDefault="001D3EFE" w:rsidP="0009313F">
            <w:pPr>
              <w:tabs>
                <w:tab w:val="decimal" w:pos="357"/>
              </w:tabs>
              <w:jc w:val="left"/>
              <w:rPr>
                <w:bCs/>
                <w:sz w:val="18"/>
                <w:szCs w:val="18"/>
              </w:rPr>
            </w:pPr>
            <w:r>
              <w:rPr>
                <w:sz w:val="18"/>
                <w:szCs w:val="18"/>
              </w:rPr>
              <w:t>2.9</w:t>
            </w:r>
          </w:p>
        </w:tc>
        <w:tc>
          <w:tcPr>
            <w:tcW w:w="557" w:type="dxa"/>
            <w:tcBorders>
              <w:top w:val="nil"/>
              <w:left w:val="single" w:sz="4" w:space="0" w:color="404040"/>
              <w:bottom w:val="nil"/>
              <w:right w:val="nil"/>
            </w:tcBorders>
            <w:vAlign w:val="center"/>
            <w:hideMark/>
          </w:tcPr>
          <w:p w14:paraId="5C8EA15B" w14:textId="77777777" w:rsidR="001D3EFE" w:rsidRDefault="001D3EFE" w:rsidP="0009313F">
            <w:pPr>
              <w:jc w:val="right"/>
              <w:rPr>
                <w:sz w:val="18"/>
                <w:szCs w:val="18"/>
              </w:rPr>
            </w:pPr>
            <w:r>
              <w:rPr>
                <w:sz w:val="18"/>
                <w:szCs w:val="18"/>
              </w:rPr>
              <w:t>19</w:t>
            </w:r>
          </w:p>
        </w:tc>
        <w:tc>
          <w:tcPr>
            <w:tcW w:w="1249" w:type="dxa"/>
            <w:tcBorders>
              <w:top w:val="nil"/>
              <w:left w:val="nil"/>
              <w:bottom w:val="nil"/>
              <w:right w:val="single" w:sz="4" w:space="0" w:color="404040"/>
            </w:tcBorders>
            <w:vAlign w:val="center"/>
            <w:hideMark/>
          </w:tcPr>
          <w:p w14:paraId="66D10C67" w14:textId="77777777" w:rsidR="001D3EFE" w:rsidRDefault="001D3EFE" w:rsidP="0009313F">
            <w:pPr>
              <w:tabs>
                <w:tab w:val="decimal" w:pos="810"/>
              </w:tabs>
              <w:jc w:val="left"/>
              <w:rPr>
                <w:sz w:val="18"/>
                <w:szCs w:val="18"/>
              </w:rPr>
            </w:pPr>
            <w:r>
              <w:rPr>
                <w:color w:val="000000"/>
                <w:sz w:val="18"/>
                <w:szCs w:val="18"/>
              </w:rPr>
              <w:t>Por arriba</w:t>
            </w:r>
          </w:p>
        </w:tc>
      </w:tr>
      <w:tr w:rsidR="001D3EFE" w14:paraId="26E9B623" w14:textId="77777777" w:rsidTr="0009313F">
        <w:trPr>
          <w:jc w:val="center"/>
        </w:trPr>
        <w:tc>
          <w:tcPr>
            <w:tcW w:w="4420" w:type="dxa"/>
            <w:tcBorders>
              <w:top w:val="nil"/>
              <w:left w:val="single" w:sz="4" w:space="0" w:color="404040"/>
              <w:bottom w:val="single" w:sz="4" w:space="0" w:color="auto"/>
              <w:right w:val="single" w:sz="4" w:space="0" w:color="404040"/>
            </w:tcBorders>
            <w:vAlign w:val="bottom"/>
            <w:hideMark/>
          </w:tcPr>
          <w:p w14:paraId="2EF1BB74" w14:textId="228CF224" w:rsidR="001D3EFE" w:rsidRPr="00C408A8" w:rsidRDefault="00C408A8" w:rsidP="00C408A8">
            <w:pPr>
              <w:widowControl w:val="0"/>
              <w:spacing w:before="20" w:after="20"/>
              <w:ind w:left="29"/>
              <w:contextualSpacing/>
              <w:jc w:val="left"/>
              <w:rPr>
                <w:sz w:val="18"/>
                <w:szCs w:val="18"/>
                <w:lang w:val="es-MX"/>
              </w:rPr>
            </w:pPr>
            <w:r>
              <w:rPr>
                <w:sz w:val="18"/>
                <w:szCs w:val="18"/>
                <w:lang w:val="es-MX"/>
              </w:rPr>
              <w:t xml:space="preserve">e)  </w:t>
            </w:r>
            <w:r w:rsidR="001D3EFE" w:rsidRPr="00C408A8">
              <w:rPr>
                <w:sz w:val="18"/>
                <w:szCs w:val="18"/>
                <w:lang w:val="es-MX"/>
              </w:rPr>
              <w:t>Personal ocupado total</w:t>
            </w:r>
          </w:p>
        </w:tc>
        <w:tc>
          <w:tcPr>
            <w:tcW w:w="992" w:type="dxa"/>
            <w:tcBorders>
              <w:top w:val="nil"/>
              <w:left w:val="single" w:sz="4" w:space="0" w:color="404040"/>
              <w:bottom w:val="single" w:sz="4" w:space="0" w:color="auto"/>
              <w:right w:val="single" w:sz="4" w:space="0" w:color="404040"/>
            </w:tcBorders>
            <w:vAlign w:val="center"/>
            <w:hideMark/>
          </w:tcPr>
          <w:p w14:paraId="0AB12F2E" w14:textId="77777777" w:rsidR="001D3EFE" w:rsidRDefault="001D3EFE" w:rsidP="0009313F">
            <w:pPr>
              <w:tabs>
                <w:tab w:val="decimal" w:pos="381"/>
              </w:tabs>
              <w:jc w:val="left"/>
              <w:rPr>
                <w:sz w:val="18"/>
                <w:szCs w:val="18"/>
              </w:rPr>
            </w:pPr>
            <w:r>
              <w:rPr>
                <w:sz w:val="18"/>
                <w:szCs w:val="18"/>
              </w:rPr>
              <w:t xml:space="preserve">55.2 </w:t>
            </w:r>
          </w:p>
        </w:tc>
        <w:tc>
          <w:tcPr>
            <w:tcW w:w="1043" w:type="dxa"/>
            <w:tcBorders>
              <w:top w:val="nil"/>
              <w:left w:val="single" w:sz="4" w:space="0" w:color="404040"/>
              <w:bottom w:val="single" w:sz="4" w:space="0" w:color="404040"/>
              <w:right w:val="nil"/>
            </w:tcBorders>
            <w:vAlign w:val="center"/>
            <w:hideMark/>
          </w:tcPr>
          <w:p w14:paraId="4A6BA99D" w14:textId="77777777" w:rsidR="001D3EFE" w:rsidRDefault="001D3EFE" w:rsidP="0009313F">
            <w:pPr>
              <w:tabs>
                <w:tab w:val="decimal" w:pos="409"/>
              </w:tabs>
              <w:jc w:val="left"/>
              <w:rPr>
                <w:sz w:val="18"/>
                <w:szCs w:val="18"/>
              </w:rPr>
            </w:pPr>
            <w:r>
              <w:rPr>
                <w:sz w:val="18"/>
                <w:szCs w:val="18"/>
              </w:rPr>
              <w:t>3.6</w:t>
            </w:r>
          </w:p>
        </w:tc>
        <w:tc>
          <w:tcPr>
            <w:tcW w:w="1043" w:type="dxa"/>
            <w:tcBorders>
              <w:top w:val="nil"/>
              <w:left w:val="nil"/>
              <w:bottom w:val="single" w:sz="4" w:space="0" w:color="404040"/>
              <w:right w:val="single" w:sz="4" w:space="0" w:color="404040"/>
            </w:tcBorders>
            <w:vAlign w:val="center"/>
            <w:hideMark/>
          </w:tcPr>
          <w:p w14:paraId="1F56C4D4" w14:textId="77777777" w:rsidR="001D3EFE" w:rsidRDefault="001D3EFE" w:rsidP="0009313F">
            <w:pPr>
              <w:tabs>
                <w:tab w:val="decimal" w:pos="357"/>
              </w:tabs>
              <w:jc w:val="left"/>
              <w:rPr>
                <w:bCs/>
                <w:sz w:val="18"/>
                <w:szCs w:val="18"/>
              </w:rPr>
            </w:pPr>
            <w:r>
              <w:rPr>
                <w:sz w:val="18"/>
                <w:szCs w:val="18"/>
              </w:rPr>
              <w:t>5.5</w:t>
            </w:r>
          </w:p>
        </w:tc>
        <w:tc>
          <w:tcPr>
            <w:tcW w:w="557" w:type="dxa"/>
            <w:tcBorders>
              <w:top w:val="nil"/>
              <w:left w:val="single" w:sz="4" w:space="0" w:color="404040"/>
              <w:bottom w:val="single" w:sz="4" w:space="0" w:color="auto"/>
              <w:right w:val="nil"/>
            </w:tcBorders>
            <w:vAlign w:val="center"/>
            <w:hideMark/>
          </w:tcPr>
          <w:p w14:paraId="5EC9B5DB" w14:textId="77777777" w:rsidR="001D3EFE" w:rsidRDefault="001D3EFE" w:rsidP="0009313F">
            <w:pPr>
              <w:jc w:val="right"/>
              <w:rPr>
                <w:sz w:val="18"/>
                <w:szCs w:val="18"/>
              </w:rPr>
            </w:pPr>
            <w:r>
              <w:rPr>
                <w:sz w:val="18"/>
                <w:szCs w:val="18"/>
              </w:rPr>
              <w:t>12</w:t>
            </w:r>
          </w:p>
        </w:tc>
        <w:tc>
          <w:tcPr>
            <w:tcW w:w="1249" w:type="dxa"/>
            <w:tcBorders>
              <w:top w:val="nil"/>
              <w:left w:val="nil"/>
              <w:bottom w:val="single" w:sz="4" w:space="0" w:color="auto"/>
              <w:right w:val="single" w:sz="4" w:space="0" w:color="404040"/>
            </w:tcBorders>
            <w:vAlign w:val="center"/>
            <w:hideMark/>
          </w:tcPr>
          <w:p w14:paraId="7B527F47" w14:textId="77777777" w:rsidR="001D3EFE" w:rsidRDefault="001D3EFE" w:rsidP="0009313F">
            <w:pPr>
              <w:tabs>
                <w:tab w:val="decimal" w:pos="810"/>
              </w:tabs>
              <w:jc w:val="left"/>
              <w:rPr>
                <w:sz w:val="18"/>
                <w:szCs w:val="18"/>
              </w:rPr>
            </w:pPr>
            <w:r>
              <w:rPr>
                <w:color w:val="000000"/>
                <w:sz w:val="18"/>
                <w:szCs w:val="18"/>
              </w:rPr>
              <w:t>Por arriba</w:t>
            </w:r>
          </w:p>
        </w:tc>
      </w:tr>
    </w:tbl>
    <w:p w14:paraId="6EFD338E" w14:textId="77777777" w:rsidR="001D3EFE" w:rsidRDefault="001D3EFE" w:rsidP="0009313F">
      <w:pPr>
        <w:widowControl w:val="0"/>
        <w:spacing w:before="20"/>
        <w:ind w:left="770" w:right="125" w:hanging="597"/>
        <w:rPr>
          <w:sz w:val="16"/>
          <w:szCs w:val="14"/>
          <w:lang w:val="es-MX"/>
        </w:rPr>
      </w:pPr>
      <w:r>
        <w:rPr>
          <w:sz w:val="16"/>
          <w:szCs w:val="14"/>
          <w:lang w:val="es-MX"/>
        </w:rPr>
        <w:t>Nota:</w:t>
      </w:r>
      <w:r>
        <w:rPr>
          <w:sz w:val="16"/>
          <w:szCs w:val="14"/>
          <w:lang w:val="es-MX"/>
        </w:rPr>
        <w:tab/>
        <w:t>Los indicadores se generan con los datos referentes al mes de la entrevista. Los indicadores de los meses anteriores se van revisando por los informantes.</w:t>
      </w:r>
    </w:p>
    <w:p w14:paraId="02AFBC6F" w14:textId="77777777" w:rsidR="001D3EFE" w:rsidRDefault="001D3EFE" w:rsidP="0009313F">
      <w:pPr>
        <w:widowControl w:val="0"/>
        <w:ind w:left="771" w:right="125" w:hanging="595"/>
        <w:rPr>
          <w:sz w:val="16"/>
          <w:szCs w:val="14"/>
          <w:lang w:val="es-MX"/>
        </w:rPr>
      </w:pPr>
      <w:r>
        <w:rPr>
          <w:position w:val="2"/>
          <w:sz w:val="18"/>
          <w:szCs w:val="12"/>
          <w:vertAlign w:val="superscript"/>
          <w:lang w:val="es-MX"/>
        </w:rPr>
        <w:t>1/</w:t>
      </w:r>
      <w:r>
        <w:rPr>
          <w:sz w:val="16"/>
          <w:szCs w:val="14"/>
          <w:lang w:val="es-MX"/>
        </w:rPr>
        <w:tab/>
        <w:t>Las diferencias en puntos se obtienen de los respectivos indicadores considerando todos sus decimales.</w:t>
      </w:r>
    </w:p>
    <w:p w14:paraId="2ADCACE4" w14:textId="77777777" w:rsidR="001D3EFE" w:rsidRDefault="001D3EFE" w:rsidP="0009313F">
      <w:pPr>
        <w:widowControl w:val="0"/>
        <w:spacing w:before="20"/>
        <w:ind w:left="700" w:right="125" w:hanging="527"/>
        <w:rPr>
          <w:sz w:val="16"/>
          <w:szCs w:val="14"/>
          <w:lang w:val="es-MX"/>
        </w:rPr>
      </w:pPr>
      <w:r>
        <w:rPr>
          <w:sz w:val="16"/>
          <w:szCs w:val="14"/>
          <w:lang w:val="es-MX"/>
        </w:rPr>
        <w:t>Fuente: INEGI.</w:t>
      </w:r>
    </w:p>
    <w:p w14:paraId="6EE17401" w14:textId="77777777" w:rsidR="001D3EFE" w:rsidRPr="007422D5" w:rsidRDefault="001D3EFE" w:rsidP="0009313F">
      <w:pPr>
        <w:pStyle w:val="bulnot"/>
        <w:widowControl w:val="0"/>
        <w:tabs>
          <w:tab w:val="clear" w:pos="851"/>
        </w:tabs>
        <w:spacing w:before="0"/>
        <w:ind w:left="1276" w:right="125" w:firstLine="0"/>
        <w:rPr>
          <w:sz w:val="4"/>
          <w:szCs w:val="4"/>
        </w:rPr>
      </w:pPr>
    </w:p>
    <w:p w14:paraId="5A2C3EA7" w14:textId="77777777" w:rsidR="001D3EFE" w:rsidRDefault="001D3EFE" w:rsidP="0009313F">
      <w:pPr>
        <w:pStyle w:val="p0"/>
        <w:keepLines w:val="0"/>
        <w:spacing w:before="0"/>
        <w:ind w:right="125"/>
        <w:jc w:val="left"/>
        <w:rPr>
          <w:rFonts w:ascii="Arial" w:hAnsi="Arial"/>
          <w:b/>
          <w:i/>
          <w:smallCaps/>
          <w:color w:val="auto"/>
        </w:rPr>
      </w:pPr>
    </w:p>
    <w:p w14:paraId="6E6C62E8" w14:textId="77777777" w:rsidR="001D3EFE" w:rsidRPr="003C6054" w:rsidRDefault="001D3EFE" w:rsidP="003A0E78">
      <w:pPr>
        <w:spacing w:before="480"/>
        <w:ind w:right="49"/>
        <w:rPr>
          <w:spacing w:val="6"/>
        </w:rPr>
      </w:pPr>
      <w:r w:rsidRPr="003C6054">
        <w:rPr>
          <w:spacing w:val="6"/>
        </w:rPr>
        <w:t>Con cifras ajustadas por estacionalidad, el IAT de los Servicios Privados no Financieros se ubicó en 54.5 puntos, un alza mensual de 5.6 puntos en marzo del presente año.</w:t>
      </w:r>
    </w:p>
    <w:p w14:paraId="4F1B611B" w14:textId="77777777" w:rsidR="001D3EFE" w:rsidRPr="0082393B" w:rsidRDefault="001D3EFE" w:rsidP="001D3EFE">
      <w:pPr>
        <w:keepNext/>
        <w:keepLines/>
        <w:widowControl w:val="0"/>
        <w:jc w:val="center"/>
        <w:outlineLvl w:val="0"/>
        <w:rPr>
          <w:b/>
          <w:smallCaps/>
          <w:sz w:val="16"/>
          <w:szCs w:val="16"/>
          <w:lang w:val="es-MX"/>
        </w:rPr>
      </w:pPr>
    </w:p>
    <w:p w14:paraId="68692857" w14:textId="77777777" w:rsidR="001D3EFE" w:rsidRDefault="001D3EFE" w:rsidP="001D3EFE">
      <w:pPr>
        <w:keepNext/>
        <w:keepLines/>
        <w:widowControl w:val="0"/>
        <w:jc w:val="center"/>
        <w:outlineLvl w:val="0"/>
        <w:rPr>
          <w:b/>
          <w:smallCaps/>
          <w:sz w:val="22"/>
          <w:lang w:val="es-MX"/>
        </w:rPr>
      </w:pPr>
    </w:p>
    <w:p w14:paraId="253D8226" w14:textId="77777777" w:rsidR="001D3EFE" w:rsidRDefault="001D3EFE" w:rsidP="001D3EFE">
      <w:pPr>
        <w:keepNext/>
        <w:keepLines/>
        <w:widowControl w:val="0"/>
        <w:jc w:val="center"/>
        <w:outlineLvl w:val="0"/>
        <w:rPr>
          <w:b/>
          <w:smallCaps/>
          <w:sz w:val="22"/>
          <w:lang w:val="es-MX"/>
        </w:rPr>
      </w:pPr>
      <w:r>
        <w:rPr>
          <w:b/>
          <w:smallCaps/>
          <w:sz w:val="22"/>
          <w:lang w:val="es-MX"/>
        </w:rPr>
        <w:t>IAT y Expectativas empresariales de los servicios privados no financieros</w:t>
      </w:r>
    </w:p>
    <w:p w14:paraId="43B6BEE6" w14:textId="77777777" w:rsidR="001D3EFE" w:rsidRDefault="001D3EFE" w:rsidP="001D3EFE">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4950" w:type="pct"/>
        <w:jc w:val="center"/>
        <w:tblLayout w:type="fixed"/>
        <w:tblLook w:val="04A0" w:firstRow="1" w:lastRow="0" w:firstColumn="1" w:lastColumn="0" w:noHBand="0" w:noVBand="1"/>
      </w:tblPr>
      <w:tblGrid>
        <w:gridCol w:w="4685"/>
        <w:gridCol w:w="1051"/>
        <w:gridCol w:w="1106"/>
        <w:gridCol w:w="1106"/>
        <w:gridCol w:w="590"/>
        <w:gridCol w:w="1324"/>
      </w:tblGrid>
      <w:tr w:rsidR="001D3EFE" w14:paraId="0DE89542" w14:textId="77777777" w:rsidTr="0009313F">
        <w:trPr>
          <w:trHeight w:val="518"/>
          <w:tblHeader/>
          <w:jc w:val="center"/>
        </w:trPr>
        <w:tc>
          <w:tcPr>
            <w:tcW w:w="4420" w:type="dxa"/>
            <w:vMerge w:val="restart"/>
            <w:tcBorders>
              <w:top w:val="single" w:sz="4" w:space="0" w:color="404040"/>
              <w:left w:val="single" w:sz="4" w:space="0" w:color="404040"/>
              <w:bottom w:val="single" w:sz="4" w:space="0" w:color="404040"/>
              <w:right w:val="single" w:sz="4" w:space="0" w:color="404040"/>
            </w:tcBorders>
            <w:shd w:val="clear" w:color="auto" w:fill="CCCCFF"/>
            <w:vAlign w:val="center"/>
            <w:hideMark/>
          </w:tcPr>
          <w:p w14:paraId="54C66840" w14:textId="77777777" w:rsidR="001D3EFE" w:rsidRDefault="001D3EFE" w:rsidP="0009313F">
            <w:pPr>
              <w:widowControl w:val="0"/>
              <w:tabs>
                <w:tab w:val="left" w:pos="708"/>
                <w:tab w:val="center" w:pos="3348"/>
              </w:tabs>
              <w:ind w:firstLine="307"/>
              <w:jc w:val="left"/>
              <w:rPr>
                <w:spacing w:val="4"/>
                <w:sz w:val="18"/>
                <w:szCs w:val="18"/>
              </w:rPr>
            </w:pPr>
            <w:r>
              <w:rPr>
                <w:spacing w:val="4"/>
                <w:sz w:val="18"/>
                <w:szCs w:val="18"/>
              </w:rPr>
              <w:t>Indicador</w:t>
            </w:r>
          </w:p>
        </w:tc>
        <w:tc>
          <w:tcPr>
            <w:tcW w:w="992" w:type="dxa"/>
            <w:vMerge w:val="restart"/>
            <w:tcBorders>
              <w:top w:val="single" w:sz="4" w:space="0" w:color="404040"/>
              <w:left w:val="single" w:sz="4" w:space="0" w:color="404040"/>
              <w:bottom w:val="single" w:sz="4" w:space="0" w:color="404040"/>
              <w:right w:val="single" w:sz="4" w:space="0" w:color="404040"/>
            </w:tcBorders>
            <w:shd w:val="clear" w:color="auto" w:fill="CCCCFF"/>
            <w:vAlign w:val="center"/>
            <w:hideMark/>
          </w:tcPr>
          <w:p w14:paraId="5A9A5243" w14:textId="77777777" w:rsidR="001D3EFE" w:rsidRDefault="001D3EFE" w:rsidP="0009313F">
            <w:pPr>
              <w:ind w:left="-108" w:right="-82"/>
              <w:jc w:val="center"/>
              <w:rPr>
                <w:spacing w:val="-4"/>
                <w:sz w:val="18"/>
                <w:szCs w:val="18"/>
              </w:rPr>
            </w:pPr>
            <w:r>
              <w:rPr>
                <w:spacing w:val="-4"/>
                <w:sz w:val="18"/>
                <w:szCs w:val="18"/>
              </w:rPr>
              <w:t>Marzo</w:t>
            </w:r>
            <w:r>
              <w:rPr>
                <w:spacing w:val="-4"/>
                <w:sz w:val="18"/>
                <w:szCs w:val="18"/>
              </w:rPr>
              <w:br/>
              <w:t>de 2022</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hideMark/>
          </w:tcPr>
          <w:p w14:paraId="6D52CD92" w14:textId="77777777" w:rsidR="001D3EFE" w:rsidRDefault="001D3EFE" w:rsidP="0009313F">
            <w:pPr>
              <w:ind w:left="-106" w:right="-95"/>
              <w:jc w:val="center"/>
              <w:rPr>
                <w:spacing w:val="-4"/>
                <w:sz w:val="18"/>
                <w:szCs w:val="18"/>
              </w:rPr>
            </w:pPr>
            <w:r>
              <w:rPr>
                <w:spacing w:val="-4"/>
                <w:sz w:val="18"/>
                <w:szCs w:val="18"/>
              </w:rPr>
              <w:t>Diferencias</w:t>
            </w:r>
            <w:r>
              <w:rPr>
                <w:spacing w:val="-4"/>
                <w:sz w:val="18"/>
                <w:szCs w:val="18"/>
                <w:vertAlign w:val="superscript"/>
                <w:lang w:val="es-MX"/>
              </w:rPr>
              <w:t>1/</w:t>
            </w:r>
            <w:r>
              <w:rPr>
                <w:spacing w:val="-4"/>
                <w:sz w:val="18"/>
                <w:szCs w:val="18"/>
              </w:rPr>
              <w:t xml:space="preserve"> en </w:t>
            </w:r>
            <w:r>
              <w:rPr>
                <w:spacing w:val="-4"/>
                <w:sz w:val="18"/>
                <w:szCs w:val="18"/>
              </w:rPr>
              <w:br/>
              <w:t>puntos respecto al:</w:t>
            </w:r>
          </w:p>
        </w:tc>
        <w:tc>
          <w:tcPr>
            <w:tcW w:w="1806" w:type="dxa"/>
            <w:gridSpan w:val="2"/>
            <w:vMerge w:val="restart"/>
            <w:tcBorders>
              <w:top w:val="single" w:sz="4" w:space="0" w:color="404040"/>
              <w:left w:val="single" w:sz="4" w:space="0" w:color="404040"/>
              <w:bottom w:val="single" w:sz="4" w:space="0" w:color="404040"/>
              <w:right w:val="single" w:sz="4" w:space="0" w:color="404040"/>
            </w:tcBorders>
            <w:shd w:val="clear" w:color="auto" w:fill="CCCCFF"/>
            <w:vAlign w:val="center"/>
            <w:hideMark/>
          </w:tcPr>
          <w:p w14:paraId="1CA55633" w14:textId="77777777" w:rsidR="001D3EFE" w:rsidRDefault="001D3EFE" w:rsidP="0009313F">
            <w:pPr>
              <w:tabs>
                <w:tab w:val="center" w:pos="3348"/>
              </w:tabs>
              <w:ind w:left="-84" w:right="-99"/>
              <w:jc w:val="center"/>
              <w:rPr>
                <w:spacing w:val="-4"/>
                <w:sz w:val="18"/>
                <w:szCs w:val="18"/>
              </w:rPr>
            </w:pPr>
            <w:r>
              <w:rPr>
                <w:spacing w:val="-4"/>
                <w:sz w:val="18"/>
                <w:szCs w:val="18"/>
              </w:rPr>
              <w:t xml:space="preserve">Número de meses consecutivos por </w:t>
            </w:r>
            <w:r>
              <w:rPr>
                <w:spacing w:val="-4"/>
                <w:sz w:val="18"/>
                <w:szCs w:val="18"/>
              </w:rPr>
              <w:br/>
              <w:t xml:space="preserve">arriba o por debajo </w:t>
            </w:r>
            <w:r>
              <w:rPr>
                <w:spacing w:val="-4"/>
                <w:sz w:val="18"/>
                <w:szCs w:val="18"/>
              </w:rPr>
              <w:br/>
              <w:t xml:space="preserve">del umbral de </w:t>
            </w:r>
            <w:r>
              <w:rPr>
                <w:spacing w:val="-4"/>
                <w:sz w:val="18"/>
                <w:szCs w:val="18"/>
              </w:rPr>
              <w:br/>
              <w:t>50 puntos</w:t>
            </w:r>
          </w:p>
        </w:tc>
      </w:tr>
      <w:tr w:rsidR="001D3EFE" w14:paraId="6D1FFCCC" w14:textId="77777777" w:rsidTr="0009313F">
        <w:trPr>
          <w:trHeight w:val="517"/>
          <w:tblHeader/>
          <w:jc w:val="center"/>
        </w:trPr>
        <w:tc>
          <w:tcPr>
            <w:tcW w:w="4420" w:type="dxa"/>
            <w:vMerge/>
            <w:tcBorders>
              <w:top w:val="single" w:sz="4" w:space="0" w:color="404040"/>
              <w:left w:val="single" w:sz="4" w:space="0" w:color="404040"/>
              <w:bottom w:val="single" w:sz="4" w:space="0" w:color="404040"/>
              <w:right w:val="single" w:sz="4" w:space="0" w:color="404040"/>
            </w:tcBorders>
            <w:vAlign w:val="center"/>
            <w:hideMark/>
          </w:tcPr>
          <w:p w14:paraId="2EB2B754" w14:textId="77777777" w:rsidR="001D3EFE" w:rsidRDefault="001D3EFE" w:rsidP="0009313F">
            <w:pPr>
              <w:jc w:val="left"/>
              <w:rPr>
                <w:spacing w:val="4"/>
                <w:sz w:val="18"/>
                <w:szCs w:val="18"/>
              </w:rPr>
            </w:pPr>
          </w:p>
        </w:tc>
        <w:tc>
          <w:tcPr>
            <w:tcW w:w="992" w:type="dxa"/>
            <w:vMerge/>
            <w:tcBorders>
              <w:top w:val="single" w:sz="4" w:space="0" w:color="404040"/>
              <w:left w:val="single" w:sz="4" w:space="0" w:color="404040"/>
              <w:bottom w:val="single" w:sz="4" w:space="0" w:color="404040"/>
              <w:right w:val="single" w:sz="4" w:space="0" w:color="404040"/>
            </w:tcBorders>
            <w:vAlign w:val="center"/>
            <w:hideMark/>
          </w:tcPr>
          <w:p w14:paraId="192FEDC1" w14:textId="77777777" w:rsidR="001D3EFE" w:rsidRDefault="001D3EFE" w:rsidP="0009313F">
            <w:pPr>
              <w:jc w:val="left"/>
              <w:rPr>
                <w:spacing w:val="-4"/>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hideMark/>
          </w:tcPr>
          <w:p w14:paraId="5EC0CF97" w14:textId="77777777" w:rsidR="001D3EFE" w:rsidRDefault="001D3EFE" w:rsidP="0009313F">
            <w:pPr>
              <w:ind w:left="-106" w:right="-95"/>
              <w:jc w:val="center"/>
              <w:rPr>
                <w:spacing w:val="-4"/>
                <w:sz w:val="18"/>
                <w:szCs w:val="18"/>
              </w:rPr>
            </w:pPr>
            <w:r>
              <w:rPr>
                <w:spacing w:val="-4"/>
                <w:sz w:val="18"/>
                <w:szCs w:val="18"/>
              </w:rPr>
              <w:t>Mes</w:t>
            </w:r>
            <w:r>
              <w:rPr>
                <w:spacing w:val="-4"/>
                <w:sz w:val="18"/>
                <w:szCs w:val="18"/>
              </w:rPr>
              <w:b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hideMark/>
          </w:tcPr>
          <w:p w14:paraId="25E8C2D4" w14:textId="77777777" w:rsidR="001D3EFE" w:rsidRDefault="001D3EFE" w:rsidP="0009313F">
            <w:pPr>
              <w:ind w:left="-106" w:right="-95"/>
              <w:jc w:val="center"/>
              <w:rPr>
                <w:spacing w:val="-4"/>
                <w:sz w:val="18"/>
                <w:szCs w:val="18"/>
              </w:rPr>
            </w:pPr>
            <w:r>
              <w:rPr>
                <w:spacing w:val="-4"/>
                <w:sz w:val="18"/>
                <w:szCs w:val="18"/>
              </w:rPr>
              <w:t>Mismo mes del año anterior</w:t>
            </w:r>
          </w:p>
        </w:tc>
        <w:tc>
          <w:tcPr>
            <w:tcW w:w="3055" w:type="dxa"/>
            <w:gridSpan w:val="2"/>
            <w:vMerge/>
            <w:tcBorders>
              <w:top w:val="single" w:sz="4" w:space="0" w:color="404040"/>
              <w:left w:val="single" w:sz="4" w:space="0" w:color="404040"/>
              <w:bottom w:val="single" w:sz="4" w:space="0" w:color="404040"/>
              <w:right w:val="single" w:sz="4" w:space="0" w:color="404040"/>
            </w:tcBorders>
            <w:vAlign w:val="center"/>
            <w:hideMark/>
          </w:tcPr>
          <w:p w14:paraId="6D86F2DD" w14:textId="77777777" w:rsidR="001D3EFE" w:rsidRDefault="001D3EFE" w:rsidP="0009313F">
            <w:pPr>
              <w:jc w:val="left"/>
              <w:rPr>
                <w:spacing w:val="-4"/>
                <w:sz w:val="18"/>
                <w:szCs w:val="18"/>
              </w:rPr>
            </w:pPr>
          </w:p>
        </w:tc>
      </w:tr>
      <w:tr w:rsidR="001D3EFE" w14:paraId="003DED17" w14:textId="77777777" w:rsidTr="0009313F">
        <w:trPr>
          <w:jc w:val="center"/>
        </w:trPr>
        <w:tc>
          <w:tcPr>
            <w:tcW w:w="4420" w:type="dxa"/>
            <w:tcBorders>
              <w:top w:val="nil"/>
              <w:left w:val="single" w:sz="4" w:space="0" w:color="404040"/>
              <w:bottom w:val="nil"/>
              <w:right w:val="single" w:sz="4" w:space="0" w:color="404040"/>
            </w:tcBorders>
            <w:vAlign w:val="center"/>
            <w:hideMark/>
          </w:tcPr>
          <w:p w14:paraId="7F320954" w14:textId="33C65D4E" w:rsidR="001D3EFE" w:rsidRDefault="001D3EFE" w:rsidP="0009313F">
            <w:pPr>
              <w:widowControl w:val="0"/>
              <w:spacing w:before="20" w:after="20"/>
              <w:contextualSpacing/>
              <w:jc w:val="left"/>
              <w:rPr>
                <w:b/>
                <w:sz w:val="18"/>
                <w:szCs w:val="18"/>
                <w:lang w:val="es-MX"/>
              </w:rPr>
            </w:pPr>
            <w:r>
              <w:rPr>
                <w:b/>
                <w:sz w:val="18"/>
                <w:szCs w:val="18"/>
                <w:lang w:val="es-MX"/>
              </w:rPr>
              <w:t>Indicador Agregado de Tendencia de los</w:t>
            </w:r>
            <w:r w:rsidR="005E0220">
              <w:rPr>
                <w:b/>
                <w:sz w:val="18"/>
                <w:szCs w:val="18"/>
                <w:lang w:val="es-MX"/>
              </w:rPr>
              <w:t xml:space="preserve"> </w:t>
            </w:r>
            <w:r>
              <w:rPr>
                <w:b/>
                <w:sz w:val="18"/>
                <w:szCs w:val="18"/>
                <w:lang w:val="es-MX"/>
              </w:rPr>
              <w:t>Servicios Privados no Financieros</w:t>
            </w:r>
          </w:p>
        </w:tc>
        <w:tc>
          <w:tcPr>
            <w:tcW w:w="992" w:type="dxa"/>
            <w:tcBorders>
              <w:top w:val="nil"/>
              <w:left w:val="single" w:sz="4" w:space="0" w:color="404040"/>
              <w:bottom w:val="nil"/>
              <w:right w:val="single" w:sz="4" w:space="0" w:color="404040"/>
            </w:tcBorders>
            <w:vAlign w:val="center"/>
            <w:hideMark/>
          </w:tcPr>
          <w:p w14:paraId="3D9CD905" w14:textId="77777777" w:rsidR="001D3EFE" w:rsidRDefault="001D3EFE" w:rsidP="0009313F">
            <w:pPr>
              <w:tabs>
                <w:tab w:val="decimal" w:pos="381"/>
              </w:tabs>
              <w:jc w:val="left"/>
              <w:rPr>
                <w:b/>
                <w:sz w:val="18"/>
                <w:szCs w:val="18"/>
              </w:rPr>
            </w:pPr>
            <w:r>
              <w:rPr>
                <w:b/>
                <w:bCs/>
                <w:color w:val="000000"/>
                <w:sz w:val="18"/>
                <w:szCs w:val="18"/>
              </w:rPr>
              <w:t xml:space="preserve">54.5 </w:t>
            </w:r>
          </w:p>
        </w:tc>
        <w:tc>
          <w:tcPr>
            <w:tcW w:w="1043" w:type="dxa"/>
            <w:tcBorders>
              <w:top w:val="single" w:sz="4" w:space="0" w:color="404040"/>
              <w:left w:val="single" w:sz="4" w:space="0" w:color="404040"/>
              <w:bottom w:val="nil"/>
              <w:right w:val="nil"/>
            </w:tcBorders>
            <w:vAlign w:val="center"/>
            <w:hideMark/>
          </w:tcPr>
          <w:p w14:paraId="453E783F" w14:textId="77777777" w:rsidR="001D3EFE" w:rsidRDefault="001D3EFE" w:rsidP="0009313F">
            <w:pPr>
              <w:tabs>
                <w:tab w:val="decimal" w:pos="409"/>
              </w:tabs>
              <w:jc w:val="left"/>
              <w:rPr>
                <w:b/>
                <w:sz w:val="18"/>
                <w:szCs w:val="18"/>
              </w:rPr>
            </w:pPr>
            <w:r>
              <w:rPr>
                <w:b/>
                <w:bCs/>
                <w:sz w:val="18"/>
                <w:szCs w:val="18"/>
              </w:rPr>
              <w:t>5.6</w:t>
            </w:r>
          </w:p>
        </w:tc>
        <w:tc>
          <w:tcPr>
            <w:tcW w:w="1043" w:type="dxa"/>
            <w:tcBorders>
              <w:top w:val="single" w:sz="4" w:space="0" w:color="404040"/>
              <w:left w:val="nil"/>
              <w:bottom w:val="nil"/>
              <w:right w:val="single" w:sz="4" w:space="0" w:color="404040"/>
            </w:tcBorders>
            <w:vAlign w:val="center"/>
            <w:hideMark/>
          </w:tcPr>
          <w:p w14:paraId="0897E427" w14:textId="77777777" w:rsidR="001D3EFE" w:rsidRDefault="001D3EFE" w:rsidP="0009313F">
            <w:pPr>
              <w:tabs>
                <w:tab w:val="decimal" w:pos="357"/>
              </w:tabs>
              <w:jc w:val="left"/>
              <w:rPr>
                <w:b/>
                <w:bCs/>
                <w:sz w:val="18"/>
                <w:szCs w:val="18"/>
              </w:rPr>
            </w:pPr>
            <w:r>
              <w:rPr>
                <w:b/>
                <w:bCs/>
                <w:sz w:val="18"/>
                <w:szCs w:val="18"/>
              </w:rPr>
              <w:t>3.9</w:t>
            </w:r>
          </w:p>
        </w:tc>
        <w:tc>
          <w:tcPr>
            <w:tcW w:w="557" w:type="dxa"/>
            <w:tcBorders>
              <w:top w:val="nil"/>
              <w:left w:val="single" w:sz="4" w:space="0" w:color="404040"/>
              <w:bottom w:val="nil"/>
              <w:right w:val="nil"/>
            </w:tcBorders>
            <w:vAlign w:val="center"/>
            <w:hideMark/>
          </w:tcPr>
          <w:p w14:paraId="461868C9" w14:textId="77777777" w:rsidR="001D3EFE" w:rsidRDefault="001D3EFE" w:rsidP="0009313F">
            <w:pPr>
              <w:jc w:val="right"/>
              <w:rPr>
                <w:b/>
                <w:sz w:val="18"/>
                <w:szCs w:val="18"/>
              </w:rPr>
            </w:pPr>
            <w:r>
              <w:rPr>
                <w:b/>
                <w:bCs/>
                <w:sz w:val="18"/>
                <w:szCs w:val="18"/>
              </w:rPr>
              <w:t>1</w:t>
            </w:r>
          </w:p>
        </w:tc>
        <w:tc>
          <w:tcPr>
            <w:tcW w:w="1249" w:type="dxa"/>
            <w:tcBorders>
              <w:top w:val="nil"/>
              <w:left w:val="nil"/>
              <w:bottom w:val="nil"/>
              <w:right w:val="single" w:sz="4" w:space="0" w:color="404040"/>
            </w:tcBorders>
            <w:vAlign w:val="center"/>
            <w:hideMark/>
          </w:tcPr>
          <w:p w14:paraId="3178BED6" w14:textId="77777777" w:rsidR="001D3EFE" w:rsidRDefault="001D3EFE" w:rsidP="0009313F">
            <w:pPr>
              <w:tabs>
                <w:tab w:val="decimal" w:pos="810"/>
              </w:tabs>
              <w:jc w:val="left"/>
              <w:rPr>
                <w:b/>
                <w:sz w:val="18"/>
                <w:szCs w:val="18"/>
              </w:rPr>
            </w:pPr>
            <w:r>
              <w:rPr>
                <w:b/>
                <w:bCs/>
                <w:color w:val="000000"/>
                <w:sz w:val="18"/>
                <w:szCs w:val="18"/>
              </w:rPr>
              <w:t>Por arriba</w:t>
            </w:r>
          </w:p>
        </w:tc>
      </w:tr>
      <w:tr w:rsidR="001D3EFE" w14:paraId="0506F918" w14:textId="77777777" w:rsidTr="0009313F">
        <w:trPr>
          <w:jc w:val="center"/>
        </w:trPr>
        <w:tc>
          <w:tcPr>
            <w:tcW w:w="4420" w:type="dxa"/>
            <w:tcBorders>
              <w:top w:val="nil"/>
              <w:left w:val="single" w:sz="4" w:space="0" w:color="404040"/>
              <w:bottom w:val="nil"/>
              <w:right w:val="single" w:sz="4" w:space="0" w:color="404040"/>
            </w:tcBorders>
            <w:vAlign w:val="bottom"/>
            <w:hideMark/>
          </w:tcPr>
          <w:p w14:paraId="62BD3A8F" w14:textId="22E2B6A8" w:rsidR="001D3EFE" w:rsidRPr="00F249C3" w:rsidRDefault="00F249C3" w:rsidP="00F249C3">
            <w:pPr>
              <w:widowControl w:val="0"/>
              <w:spacing w:before="20" w:after="20"/>
              <w:ind w:left="29"/>
              <w:contextualSpacing/>
              <w:jc w:val="left"/>
              <w:rPr>
                <w:sz w:val="18"/>
                <w:szCs w:val="18"/>
                <w:lang w:val="es-MX"/>
              </w:rPr>
            </w:pPr>
            <w:r>
              <w:rPr>
                <w:sz w:val="18"/>
                <w:szCs w:val="18"/>
                <w:lang w:val="es-MX"/>
              </w:rPr>
              <w:t xml:space="preserve">a)  </w:t>
            </w:r>
            <w:r w:rsidR="001D3EFE" w:rsidRPr="00F249C3">
              <w:rPr>
                <w:sz w:val="18"/>
                <w:szCs w:val="18"/>
                <w:lang w:val="es-MX"/>
              </w:rPr>
              <w:t>Ingresos por la prestación de servicios</w:t>
            </w:r>
          </w:p>
        </w:tc>
        <w:tc>
          <w:tcPr>
            <w:tcW w:w="992" w:type="dxa"/>
            <w:tcBorders>
              <w:top w:val="nil"/>
              <w:left w:val="single" w:sz="4" w:space="0" w:color="404040"/>
              <w:bottom w:val="nil"/>
              <w:right w:val="single" w:sz="4" w:space="0" w:color="404040"/>
            </w:tcBorders>
            <w:vAlign w:val="center"/>
            <w:hideMark/>
          </w:tcPr>
          <w:p w14:paraId="107C6A6D" w14:textId="77777777" w:rsidR="001D3EFE" w:rsidRDefault="001D3EFE" w:rsidP="0009313F">
            <w:pPr>
              <w:tabs>
                <w:tab w:val="decimal" w:pos="381"/>
              </w:tabs>
              <w:jc w:val="left"/>
              <w:rPr>
                <w:sz w:val="18"/>
                <w:szCs w:val="18"/>
              </w:rPr>
            </w:pPr>
            <w:r>
              <w:rPr>
                <w:color w:val="000000"/>
                <w:sz w:val="18"/>
                <w:szCs w:val="18"/>
              </w:rPr>
              <w:t xml:space="preserve">56.4 </w:t>
            </w:r>
          </w:p>
        </w:tc>
        <w:tc>
          <w:tcPr>
            <w:tcW w:w="1043" w:type="dxa"/>
            <w:tcBorders>
              <w:top w:val="nil"/>
              <w:left w:val="single" w:sz="4" w:space="0" w:color="404040"/>
              <w:bottom w:val="nil"/>
              <w:right w:val="nil"/>
            </w:tcBorders>
            <w:vAlign w:val="center"/>
            <w:hideMark/>
          </w:tcPr>
          <w:p w14:paraId="100B9DBC" w14:textId="77777777" w:rsidR="001D3EFE" w:rsidRDefault="001D3EFE" w:rsidP="0009313F">
            <w:pPr>
              <w:tabs>
                <w:tab w:val="decimal" w:pos="409"/>
              </w:tabs>
              <w:jc w:val="left"/>
              <w:rPr>
                <w:sz w:val="18"/>
                <w:szCs w:val="18"/>
              </w:rPr>
            </w:pPr>
            <w:r>
              <w:rPr>
                <w:sz w:val="18"/>
                <w:szCs w:val="18"/>
              </w:rPr>
              <w:t>6.3</w:t>
            </w:r>
          </w:p>
        </w:tc>
        <w:tc>
          <w:tcPr>
            <w:tcW w:w="1043" w:type="dxa"/>
            <w:tcBorders>
              <w:top w:val="nil"/>
              <w:left w:val="nil"/>
              <w:bottom w:val="nil"/>
              <w:right w:val="single" w:sz="4" w:space="0" w:color="404040"/>
            </w:tcBorders>
            <w:vAlign w:val="center"/>
            <w:hideMark/>
          </w:tcPr>
          <w:p w14:paraId="28AEE960" w14:textId="77777777" w:rsidR="001D3EFE" w:rsidRDefault="001D3EFE" w:rsidP="0009313F">
            <w:pPr>
              <w:tabs>
                <w:tab w:val="decimal" w:pos="357"/>
              </w:tabs>
              <w:jc w:val="left"/>
              <w:rPr>
                <w:bCs/>
                <w:sz w:val="18"/>
                <w:szCs w:val="18"/>
              </w:rPr>
            </w:pPr>
            <w:r>
              <w:rPr>
                <w:sz w:val="18"/>
                <w:szCs w:val="18"/>
              </w:rPr>
              <w:t>5.0</w:t>
            </w:r>
          </w:p>
        </w:tc>
        <w:tc>
          <w:tcPr>
            <w:tcW w:w="557" w:type="dxa"/>
            <w:tcBorders>
              <w:top w:val="nil"/>
              <w:left w:val="single" w:sz="4" w:space="0" w:color="404040"/>
              <w:bottom w:val="nil"/>
              <w:right w:val="nil"/>
            </w:tcBorders>
            <w:vAlign w:val="center"/>
            <w:hideMark/>
          </w:tcPr>
          <w:p w14:paraId="593BC491" w14:textId="77777777" w:rsidR="001D3EFE" w:rsidRDefault="001D3EFE" w:rsidP="0009313F">
            <w:pPr>
              <w:jc w:val="right"/>
              <w:rPr>
                <w:sz w:val="18"/>
                <w:szCs w:val="18"/>
              </w:rPr>
            </w:pPr>
            <w:r>
              <w:rPr>
                <w:sz w:val="18"/>
                <w:szCs w:val="18"/>
              </w:rPr>
              <w:t>14</w:t>
            </w:r>
          </w:p>
        </w:tc>
        <w:tc>
          <w:tcPr>
            <w:tcW w:w="1249" w:type="dxa"/>
            <w:tcBorders>
              <w:top w:val="nil"/>
              <w:left w:val="nil"/>
              <w:bottom w:val="nil"/>
              <w:right w:val="single" w:sz="4" w:space="0" w:color="404040"/>
            </w:tcBorders>
            <w:vAlign w:val="center"/>
            <w:hideMark/>
          </w:tcPr>
          <w:p w14:paraId="64F0CD75" w14:textId="77777777" w:rsidR="001D3EFE" w:rsidRDefault="001D3EFE" w:rsidP="0009313F">
            <w:pPr>
              <w:tabs>
                <w:tab w:val="decimal" w:pos="810"/>
              </w:tabs>
              <w:jc w:val="left"/>
              <w:rPr>
                <w:sz w:val="18"/>
                <w:szCs w:val="18"/>
              </w:rPr>
            </w:pPr>
            <w:r>
              <w:rPr>
                <w:color w:val="000000"/>
                <w:sz w:val="18"/>
                <w:szCs w:val="18"/>
              </w:rPr>
              <w:t>Por arriba</w:t>
            </w:r>
          </w:p>
        </w:tc>
      </w:tr>
      <w:tr w:rsidR="001D3EFE" w14:paraId="19C12CD6" w14:textId="77777777" w:rsidTr="0009313F">
        <w:trPr>
          <w:jc w:val="center"/>
        </w:trPr>
        <w:tc>
          <w:tcPr>
            <w:tcW w:w="4420" w:type="dxa"/>
            <w:tcBorders>
              <w:top w:val="nil"/>
              <w:left w:val="single" w:sz="4" w:space="0" w:color="404040"/>
              <w:bottom w:val="nil"/>
              <w:right w:val="single" w:sz="4" w:space="0" w:color="404040"/>
            </w:tcBorders>
            <w:vAlign w:val="bottom"/>
            <w:hideMark/>
          </w:tcPr>
          <w:p w14:paraId="778EBD4C" w14:textId="36FC8C0F" w:rsidR="001D3EFE" w:rsidRPr="00F249C3" w:rsidRDefault="00F249C3" w:rsidP="00F249C3">
            <w:pPr>
              <w:widowControl w:val="0"/>
              <w:spacing w:before="20" w:after="20"/>
              <w:ind w:left="29"/>
              <w:contextualSpacing/>
              <w:jc w:val="left"/>
              <w:rPr>
                <w:sz w:val="18"/>
                <w:szCs w:val="18"/>
                <w:lang w:val="es-MX"/>
              </w:rPr>
            </w:pPr>
            <w:r>
              <w:rPr>
                <w:sz w:val="18"/>
                <w:szCs w:val="18"/>
                <w:lang w:val="es-MX"/>
              </w:rPr>
              <w:t xml:space="preserve">b)  </w:t>
            </w:r>
            <w:r w:rsidR="001D3EFE" w:rsidRPr="00F249C3">
              <w:rPr>
                <w:sz w:val="18"/>
                <w:szCs w:val="18"/>
                <w:lang w:val="es-MX"/>
              </w:rPr>
              <w:t>Demanda nacional de servicios</w:t>
            </w:r>
          </w:p>
        </w:tc>
        <w:tc>
          <w:tcPr>
            <w:tcW w:w="992" w:type="dxa"/>
            <w:tcBorders>
              <w:top w:val="nil"/>
              <w:left w:val="single" w:sz="4" w:space="0" w:color="404040"/>
              <w:bottom w:val="nil"/>
              <w:right w:val="single" w:sz="4" w:space="0" w:color="404040"/>
            </w:tcBorders>
            <w:vAlign w:val="center"/>
            <w:hideMark/>
          </w:tcPr>
          <w:p w14:paraId="3A00F390" w14:textId="77777777" w:rsidR="001D3EFE" w:rsidRDefault="001D3EFE" w:rsidP="0009313F">
            <w:pPr>
              <w:tabs>
                <w:tab w:val="decimal" w:pos="381"/>
              </w:tabs>
              <w:jc w:val="left"/>
              <w:rPr>
                <w:sz w:val="18"/>
                <w:szCs w:val="18"/>
              </w:rPr>
            </w:pPr>
            <w:r>
              <w:rPr>
                <w:color w:val="000000"/>
                <w:sz w:val="18"/>
                <w:szCs w:val="18"/>
              </w:rPr>
              <w:t xml:space="preserve">57.1 </w:t>
            </w:r>
          </w:p>
        </w:tc>
        <w:tc>
          <w:tcPr>
            <w:tcW w:w="1043" w:type="dxa"/>
            <w:tcBorders>
              <w:top w:val="nil"/>
              <w:left w:val="single" w:sz="4" w:space="0" w:color="404040"/>
              <w:bottom w:val="nil"/>
              <w:right w:val="nil"/>
            </w:tcBorders>
            <w:vAlign w:val="center"/>
            <w:hideMark/>
          </w:tcPr>
          <w:p w14:paraId="518CA4F7" w14:textId="77777777" w:rsidR="001D3EFE" w:rsidRDefault="001D3EFE" w:rsidP="0009313F">
            <w:pPr>
              <w:tabs>
                <w:tab w:val="decimal" w:pos="409"/>
              </w:tabs>
              <w:jc w:val="left"/>
              <w:rPr>
                <w:sz w:val="18"/>
                <w:szCs w:val="18"/>
              </w:rPr>
            </w:pPr>
            <w:r>
              <w:rPr>
                <w:sz w:val="18"/>
                <w:szCs w:val="18"/>
              </w:rPr>
              <w:t>9.7</w:t>
            </w:r>
          </w:p>
        </w:tc>
        <w:tc>
          <w:tcPr>
            <w:tcW w:w="1043" w:type="dxa"/>
            <w:tcBorders>
              <w:top w:val="nil"/>
              <w:left w:val="nil"/>
              <w:bottom w:val="nil"/>
              <w:right w:val="single" w:sz="4" w:space="0" w:color="404040"/>
            </w:tcBorders>
            <w:vAlign w:val="center"/>
            <w:hideMark/>
          </w:tcPr>
          <w:p w14:paraId="1BA186C7" w14:textId="77777777" w:rsidR="001D3EFE" w:rsidRDefault="001D3EFE" w:rsidP="0009313F">
            <w:pPr>
              <w:tabs>
                <w:tab w:val="decimal" w:pos="357"/>
              </w:tabs>
              <w:jc w:val="left"/>
              <w:rPr>
                <w:bCs/>
                <w:sz w:val="18"/>
                <w:szCs w:val="18"/>
              </w:rPr>
            </w:pPr>
            <w:r>
              <w:rPr>
                <w:sz w:val="18"/>
                <w:szCs w:val="18"/>
              </w:rPr>
              <w:t>8.8</w:t>
            </w:r>
          </w:p>
        </w:tc>
        <w:tc>
          <w:tcPr>
            <w:tcW w:w="557" w:type="dxa"/>
            <w:tcBorders>
              <w:top w:val="nil"/>
              <w:left w:val="single" w:sz="4" w:space="0" w:color="404040"/>
              <w:bottom w:val="nil"/>
              <w:right w:val="nil"/>
            </w:tcBorders>
            <w:vAlign w:val="center"/>
            <w:hideMark/>
          </w:tcPr>
          <w:p w14:paraId="1EBC3B1D" w14:textId="77777777" w:rsidR="001D3EFE" w:rsidRDefault="001D3EFE" w:rsidP="0009313F">
            <w:pPr>
              <w:jc w:val="right"/>
              <w:rPr>
                <w:sz w:val="18"/>
                <w:szCs w:val="18"/>
              </w:rPr>
            </w:pPr>
            <w:r>
              <w:rPr>
                <w:sz w:val="18"/>
                <w:szCs w:val="18"/>
              </w:rPr>
              <w:t>1</w:t>
            </w:r>
          </w:p>
        </w:tc>
        <w:tc>
          <w:tcPr>
            <w:tcW w:w="1249" w:type="dxa"/>
            <w:tcBorders>
              <w:top w:val="nil"/>
              <w:left w:val="nil"/>
              <w:bottom w:val="nil"/>
              <w:right w:val="single" w:sz="4" w:space="0" w:color="404040"/>
            </w:tcBorders>
            <w:vAlign w:val="center"/>
            <w:hideMark/>
          </w:tcPr>
          <w:p w14:paraId="36349191" w14:textId="77777777" w:rsidR="001D3EFE" w:rsidRDefault="001D3EFE" w:rsidP="0009313F">
            <w:pPr>
              <w:tabs>
                <w:tab w:val="decimal" w:pos="810"/>
              </w:tabs>
              <w:jc w:val="left"/>
              <w:rPr>
                <w:sz w:val="18"/>
                <w:szCs w:val="18"/>
              </w:rPr>
            </w:pPr>
            <w:r>
              <w:rPr>
                <w:color w:val="000000"/>
                <w:sz w:val="18"/>
                <w:szCs w:val="18"/>
              </w:rPr>
              <w:t>Por arriba</w:t>
            </w:r>
          </w:p>
        </w:tc>
      </w:tr>
      <w:tr w:rsidR="001D3EFE" w14:paraId="0162445A" w14:textId="77777777" w:rsidTr="0009313F">
        <w:trPr>
          <w:jc w:val="center"/>
        </w:trPr>
        <w:tc>
          <w:tcPr>
            <w:tcW w:w="4420" w:type="dxa"/>
            <w:tcBorders>
              <w:top w:val="nil"/>
              <w:left w:val="single" w:sz="4" w:space="0" w:color="404040"/>
              <w:bottom w:val="nil"/>
              <w:right w:val="single" w:sz="4" w:space="0" w:color="404040"/>
            </w:tcBorders>
            <w:vAlign w:val="bottom"/>
            <w:hideMark/>
          </w:tcPr>
          <w:p w14:paraId="22E1DA52" w14:textId="20DC5718" w:rsidR="001D3EFE" w:rsidRPr="00F249C3" w:rsidRDefault="00F249C3" w:rsidP="00F249C3">
            <w:pPr>
              <w:widowControl w:val="0"/>
              <w:spacing w:before="20" w:after="20"/>
              <w:ind w:left="29"/>
              <w:contextualSpacing/>
              <w:jc w:val="left"/>
              <w:rPr>
                <w:sz w:val="18"/>
                <w:szCs w:val="18"/>
                <w:lang w:val="es-MX"/>
              </w:rPr>
            </w:pPr>
            <w:r>
              <w:rPr>
                <w:sz w:val="18"/>
                <w:szCs w:val="18"/>
                <w:lang w:val="es-MX"/>
              </w:rPr>
              <w:t xml:space="preserve">c)  </w:t>
            </w:r>
            <w:r w:rsidR="001D3EFE" w:rsidRPr="00F249C3">
              <w:rPr>
                <w:sz w:val="18"/>
                <w:szCs w:val="18"/>
                <w:lang w:val="es-MX"/>
              </w:rPr>
              <w:t>Gastos por consumo de bienes y servicios</w:t>
            </w:r>
          </w:p>
        </w:tc>
        <w:tc>
          <w:tcPr>
            <w:tcW w:w="992" w:type="dxa"/>
            <w:tcBorders>
              <w:top w:val="nil"/>
              <w:left w:val="single" w:sz="4" w:space="0" w:color="404040"/>
              <w:bottom w:val="nil"/>
              <w:right w:val="single" w:sz="4" w:space="0" w:color="404040"/>
            </w:tcBorders>
            <w:vAlign w:val="center"/>
            <w:hideMark/>
          </w:tcPr>
          <w:p w14:paraId="4D8147B1" w14:textId="77777777" w:rsidR="001D3EFE" w:rsidRDefault="001D3EFE" w:rsidP="0009313F">
            <w:pPr>
              <w:tabs>
                <w:tab w:val="decimal" w:pos="381"/>
              </w:tabs>
              <w:jc w:val="left"/>
              <w:rPr>
                <w:sz w:val="18"/>
                <w:szCs w:val="18"/>
              </w:rPr>
            </w:pPr>
            <w:r>
              <w:rPr>
                <w:color w:val="000000"/>
                <w:sz w:val="18"/>
                <w:szCs w:val="18"/>
              </w:rPr>
              <w:t xml:space="preserve">54.6 </w:t>
            </w:r>
          </w:p>
        </w:tc>
        <w:tc>
          <w:tcPr>
            <w:tcW w:w="1043" w:type="dxa"/>
            <w:tcBorders>
              <w:top w:val="nil"/>
              <w:left w:val="single" w:sz="4" w:space="0" w:color="404040"/>
              <w:bottom w:val="nil"/>
              <w:right w:val="nil"/>
            </w:tcBorders>
            <w:vAlign w:val="center"/>
            <w:hideMark/>
          </w:tcPr>
          <w:p w14:paraId="73A82B36" w14:textId="77777777" w:rsidR="001D3EFE" w:rsidRDefault="001D3EFE" w:rsidP="0009313F">
            <w:pPr>
              <w:tabs>
                <w:tab w:val="decimal" w:pos="409"/>
              </w:tabs>
              <w:jc w:val="left"/>
              <w:rPr>
                <w:sz w:val="18"/>
                <w:szCs w:val="18"/>
              </w:rPr>
            </w:pPr>
            <w:r>
              <w:rPr>
                <w:sz w:val="18"/>
                <w:szCs w:val="18"/>
              </w:rPr>
              <w:t>5.4</w:t>
            </w:r>
          </w:p>
        </w:tc>
        <w:tc>
          <w:tcPr>
            <w:tcW w:w="1043" w:type="dxa"/>
            <w:tcBorders>
              <w:top w:val="nil"/>
              <w:left w:val="nil"/>
              <w:bottom w:val="nil"/>
              <w:right w:val="single" w:sz="4" w:space="0" w:color="404040"/>
            </w:tcBorders>
            <w:vAlign w:val="center"/>
            <w:hideMark/>
          </w:tcPr>
          <w:p w14:paraId="158EB5A0" w14:textId="77777777" w:rsidR="001D3EFE" w:rsidRDefault="001D3EFE" w:rsidP="0009313F">
            <w:pPr>
              <w:tabs>
                <w:tab w:val="decimal" w:pos="357"/>
              </w:tabs>
              <w:jc w:val="left"/>
              <w:rPr>
                <w:bCs/>
                <w:sz w:val="18"/>
                <w:szCs w:val="18"/>
              </w:rPr>
            </w:pPr>
            <w:r>
              <w:rPr>
                <w:sz w:val="18"/>
                <w:szCs w:val="18"/>
              </w:rPr>
              <w:t>1.2</w:t>
            </w:r>
          </w:p>
        </w:tc>
        <w:tc>
          <w:tcPr>
            <w:tcW w:w="557" w:type="dxa"/>
            <w:tcBorders>
              <w:top w:val="nil"/>
              <w:left w:val="single" w:sz="4" w:space="0" w:color="404040"/>
              <w:bottom w:val="nil"/>
              <w:right w:val="nil"/>
            </w:tcBorders>
            <w:vAlign w:val="center"/>
            <w:hideMark/>
          </w:tcPr>
          <w:p w14:paraId="1EDA6A1B" w14:textId="77777777" w:rsidR="001D3EFE" w:rsidRDefault="001D3EFE" w:rsidP="0009313F">
            <w:pPr>
              <w:jc w:val="right"/>
              <w:rPr>
                <w:sz w:val="18"/>
                <w:szCs w:val="18"/>
              </w:rPr>
            </w:pPr>
            <w:r>
              <w:rPr>
                <w:sz w:val="18"/>
                <w:szCs w:val="18"/>
              </w:rPr>
              <w:t>1</w:t>
            </w:r>
          </w:p>
        </w:tc>
        <w:tc>
          <w:tcPr>
            <w:tcW w:w="1249" w:type="dxa"/>
            <w:tcBorders>
              <w:top w:val="nil"/>
              <w:left w:val="nil"/>
              <w:bottom w:val="nil"/>
              <w:right w:val="single" w:sz="4" w:space="0" w:color="404040"/>
            </w:tcBorders>
            <w:vAlign w:val="center"/>
            <w:hideMark/>
          </w:tcPr>
          <w:p w14:paraId="3C256361" w14:textId="77777777" w:rsidR="001D3EFE" w:rsidRDefault="001D3EFE" w:rsidP="0009313F">
            <w:pPr>
              <w:tabs>
                <w:tab w:val="decimal" w:pos="810"/>
              </w:tabs>
              <w:jc w:val="left"/>
              <w:rPr>
                <w:sz w:val="18"/>
                <w:szCs w:val="18"/>
              </w:rPr>
            </w:pPr>
            <w:r>
              <w:rPr>
                <w:color w:val="000000"/>
                <w:sz w:val="18"/>
                <w:szCs w:val="18"/>
              </w:rPr>
              <w:t>Por arriba</w:t>
            </w:r>
          </w:p>
        </w:tc>
      </w:tr>
      <w:tr w:rsidR="001D3EFE" w14:paraId="3ED9B442" w14:textId="77777777" w:rsidTr="0009313F">
        <w:trPr>
          <w:jc w:val="center"/>
        </w:trPr>
        <w:tc>
          <w:tcPr>
            <w:tcW w:w="4420" w:type="dxa"/>
            <w:tcBorders>
              <w:top w:val="nil"/>
              <w:left w:val="single" w:sz="4" w:space="0" w:color="404040"/>
              <w:bottom w:val="single" w:sz="4" w:space="0" w:color="404040"/>
              <w:right w:val="single" w:sz="4" w:space="0" w:color="404040"/>
            </w:tcBorders>
            <w:vAlign w:val="bottom"/>
            <w:hideMark/>
          </w:tcPr>
          <w:p w14:paraId="31E4E871" w14:textId="5D03C0B5" w:rsidR="001D3EFE" w:rsidRPr="00F249C3" w:rsidRDefault="00F249C3" w:rsidP="00F249C3">
            <w:pPr>
              <w:widowControl w:val="0"/>
              <w:spacing w:before="20" w:after="20"/>
              <w:ind w:left="29"/>
              <w:contextualSpacing/>
              <w:jc w:val="left"/>
              <w:rPr>
                <w:sz w:val="18"/>
                <w:szCs w:val="18"/>
                <w:lang w:val="es-MX"/>
              </w:rPr>
            </w:pPr>
            <w:r>
              <w:rPr>
                <w:sz w:val="18"/>
                <w:szCs w:val="18"/>
                <w:lang w:val="es-MX"/>
              </w:rPr>
              <w:t xml:space="preserve">d)  </w:t>
            </w:r>
            <w:r w:rsidR="001D3EFE" w:rsidRPr="00F249C3">
              <w:rPr>
                <w:sz w:val="18"/>
                <w:szCs w:val="18"/>
                <w:lang w:val="es-MX"/>
              </w:rPr>
              <w:t>Personal ocupado total</w:t>
            </w:r>
          </w:p>
        </w:tc>
        <w:tc>
          <w:tcPr>
            <w:tcW w:w="992" w:type="dxa"/>
            <w:tcBorders>
              <w:top w:val="nil"/>
              <w:left w:val="single" w:sz="4" w:space="0" w:color="404040"/>
              <w:bottom w:val="single" w:sz="4" w:space="0" w:color="404040"/>
              <w:right w:val="single" w:sz="4" w:space="0" w:color="404040"/>
            </w:tcBorders>
            <w:vAlign w:val="center"/>
            <w:hideMark/>
          </w:tcPr>
          <w:p w14:paraId="35B61649" w14:textId="77777777" w:rsidR="001D3EFE" w:rsidRDefault="001D3EFE" w:rsidP="0009313F">
            <w:pPr>
              <w:tabs>
                <w:tab w:val="decimal" w:pos="381"/>
              </w:tabs>
              <w:jc w:val="left"/>
              <w:rPr>
                <w:sz w:val="18"/>
                <w:szCs w:val="18"/>
              </w:rPr>
            </w:pPr>
            <w:r>
              <w:rPr>
                <w:color w:val="000000"/>
                <w:sz w:val="18"/>
                <w:szCs w:val="18"/>
              </w:rPr>
              <w:t xml:space="preserve">49.9 </w:t>
            </w:r>
          </w:p>
        </w:tc>
        <w:tc>
          <w:tcPr>
            <w:tcW w:w="1043" w:type="dxa"/>
            <w:tcBorders>
              <w:top w:val="nil"/>
              <w:left w:val="single" w:sz="4" w:space="0" w:color="404040"/>
              <w:bottom w:val="single" w:sz="4" w:space="0" w:color="404040"/>
              <w:right w:val="nil"/>
            </w:tcBorders>
            <w:vAlign w:val="center"/>
            <w:hideMark/>
          </w:tcPr>
          <w:p w14:paraId="2581CEB1" w14:textId="77777777" w:rsidR="001D3EFE" w:rsidRDefault="001D3EFE" w:rsidP="0009313F">
            <w:pPr>
              <w:tabs>
                <w:tab w:val="decimal" w:pos="409"/>
              </w:tabs>
              <w:jc w:val="left"/>
              <w:rPr>
                <w:sz w:val="18"/>
                <w:szCs w:val="18"/>
              </w:rPr>
            </w:pPr>
            <w:r>
              <w:rPr>
                <w:sz w:val="18"/>
                <w:szCs w:val="18"/>
              </w:rPr>
              <w:t>0.3</w:t>
            </w:r>
          </w:p>
        </w:tc>
        <w:tc>
          <w:tcPr>
            <w:tcW w:w="1043" w:type="dxa"/>
            <w:tcBorders>
              <w:top w:val="nil"/>
              <w:left w:val="nil"/>
              <w:bottom w:val="single" w:sz="4" w:space="0" w:color="404040"/>
              <w:right w:val="single" w:sz="4" w:space="0" w:color="404040"/>
            </w:tcBorders>
            <w:vAlign w:val="center"/>
            <w:hideMark/>
          </w:tcPr>
          <w:p w14:paraId="7FE32820" w14:textId="77777777" w:rsidR="001D3EFE" w:rsidRDefault="001D3EFE" w:rsidP="0009313F">
            <w:pPr>
              <w:tabs>
                <w:tab w:val="decimal" w:pos="357"/>
              </w:tabs>
              <w:jc w:val="left"/>
              <w:rPr>
                <w:bCs/>
                <w:sz w:val="18"/>
                <w:szCs w:val="18"/>
              </w:rPr>
            </w:pPr>
            <w:r>
              <w:rPr>
                <w:sz w:val="18"/>
                <w:szCs w:val="18"/>
              </w:rPr>
              <w:t>0.1</w:t>
            </w:r>
          </w:p>
        </w:tc>
        <w:tc>
          <w:tcPr>
            <w:tcW w:w="557" w:type="dxa"/>
            <w:tcBorders>
              <w:top w:val="nil"/>
              <w:left w:val="single" w:sz="4" w:space="0" w:color="404040"/>
              <w:bottom w:val="single" w:sz="4" w:space="0" w:color="404040"/>
              <w:right w:val="nil"/>
            </w:tcBorders>
            <w:vAlign w:val="center"/>
            <w:hideMark/>
          </w:tcPr>
          <w:p w14:paraId="48874CEF" w14:textId="77777777" w:rsidR="001D3EFE" w:rsidRDefault="001D3EFE" w:rsidP="0009313F">
            <w:pPr>
              <w:jc w:val="right"/>
              <w:rPr>
                <w:sz w:val="18"/>
                <w:szCs w:val="18"/>
              </w:rPr>
            </w:pPr>
            <w:r>
              <w:rPr>
                <w:sz w:val="18"/>
                <w:szCs w:val="18"/>
              </w:rPr>
              <w:t>9</w:t>
            </w:r>
          </w:p>
        </w:tc>
        <w:tc>
          <w:tcPr>
            <w:tcW w:w="1249" w:type="dxa"/>
            <w:tcBorders>
              <w:top w:val="nil"/>
              <w:left w:val="nil"/>
              <w:bottom w:val="single" w:sz="4" w:space="0" w:color="404040"/>
              <w:right w:val="single" w:sz="4" w:space="0" w:color="404040"/>
            </w:tcBorders>
            <w:vAlign w:val="center"/>
            <w:hideMark/>
          </w:tcPr>
          <w:p w14:paraId="099F49AA" w14:textId="77777777" w:rsidR="001D3EFE" w:rsidRDefault="001D3EFE" w:rsidP="0009313F">
            <w:pPr>
              <w:tabs>
                <w:tab w:val="decimal" w:pos="810"/>
              </w:tabs>
              <w:jc w:val="left"/>
              <w:rPr>
                <w:sz w:val="18"/>
                <w:szCs w:val="18"/>
              </w:rPr>
            </w:pPr>
            <w:r>
              <w:rPr>
                <w:color w:val="000000"/>
                <w:sz w:val="18"/>
                <w:szCs w:val="18"/>
              </w:rPr>
              <w:t>Por debajo</w:t>
            </w:r>
          </w:p>
        </w:tc>
      </w:tr>
    </w:tbl>
    <w:p w14:paraId="40E515FA" w14:textId="77777777" w:rsidR="001D3EFE" w:rsidRDefault="001D3EFE" w:rsidP="001D3EFE">
      <w:pPr>
        <w:widowControl w:val="0"/>
        <w:spacing w:before="20"/>
        <w:ind w:left="760" w:right="181" w:hanging="584"/>
        <w:rPr>
          <w:sz w:val="16"/>
          <w:szCs w:val="16"/>
          <w:lang w:val="es-MX"/>
        </w:rPr>
      </w:pPr>
      <w:r>
        <w:rPr>
          <w:sz w:val="16"/>
          <w:szCs w:val="16"/>
          <w:lang w:val="es-MX"/>
        </w:rPr>
        <w:t>Nota:</w:t>
      </w:r>
      <w:r>
        <w:rPr>
          <w:sz w:val="16"/>
          <w:szCs w:val="16"/>
          <w:lang w:val="es-MX"/>
        </w:rPr>
        <w:tab/>
        <w:t>Los indicadores se generan con los datos referentes al mes de la entrevista. Los indicadores de los meses anteriores se van revisando por los informantes.</w:t>
      </w:r>
    </w:p>
    <w:p w14:paraId="2F88F508" w14:textId="77777777" w:rsidR="001D3EFE" w:rsidRDefault="001D3EFE" w:rsidP="001D3EFE">
      <w:pPr>
        <w:widowControl w:val="0"/>
        <w:ind w:left="760" w:right="181" w:hanging="584"/>
        <w:rPr>
          <w:sz w:val="16"/>
          <w:szCs w:val="16"/>
          <w:lang w:val="es-MX"/>
        </w:rPr>
      </w:pPr>
      <w:r>
        <w:rPr>
          <w:position w:val="2"/>
          <w:sz w:val="18"/>
          <w:szCs w:val="16"/>
          <w:vertAlign w:val="superscript"/>
          <w:lang w:val="es-MX"/>
        </w:rPr>
        <w:t>1/</w:t>
      </w:r>
      <w:r>
        <w:rPr>
          <w:sz w:val="16"/>
          <w:szCs w:val="16"/>
          <w:lang w:val="es-MX"/>
        </w:rPr>
        <w:tab/>
        <w:t>Las diferencias en puntos se obtienen de los respectivos indicadores considerando todos sus decimales.</w:t>
      </w:r>
    </w:p>
    <w:p w14:paraId="342D0C3F" w14:textId="77777777" w:rsidR="001D3EFE" w:rsidRDefault="001D3EFE" w:rsidP="001D3EFE">
      <w:pPr>
        <w:widowControl w:val="0"/>
        <w:spacing w:before="20"/>
        <w:ind w:left="700" w:right="25" w:hanging="527"/>
        <w:rPr>
          <w:sz w:val="16"/>
          <w:szCs w:val="16"/>
          <w:lang w:val="es-MX"/>
        </w:rPr>
      </w:pPr>
      <w:r>
        <w:rPr>
          <w:sz w:val="16"/>
          <w:szCs w:val="16"/>
          <w:lang w:val="es-MX"/>
        </w:rPr>
        <w:t>Fuente: INEGI.</w:t>
      </w:r>
    </w:p>
    <w:p w14:paraId="3F3BACA5" w14:textId="77777777" w:rsidR="001D3EFE" w:rsidRDefault="001D3EFE" w:rsidP="001D3EFE">
      <w:pPr>
        <w:spacing w:before="240"/>
        <w:ind w:right="49"/>
        <w:rPr>
          <w:spacing w:val="6"/>
        </w:rPr>
      </w:pPr>
    </w:p>
    <w:p w14:paraId="6F5B1506" w14:textId="77777777" w:rsidR="001D3EFE" w:rsidRDefault="001D3EFE" w:rsidP="001D3EFE">
      <w:pPr>
        <w:spacing w:before="120"/>
        <w:ind w:right="49"/>
        <w:rPr>
          <w:spacing w:val="6"/>
        </w:rPr>
      </w:pPr>
    </w:p>
    <w:p w14:paraId="14427447" w14:textId="77777777" w:rsidR="001D3EFE" w:rsidRDefault="001D3EFE" w:rsidP="001D3EFE">
      <w:pPr>
        <w:spacing w:before="120"/>
        <w:ind w:right="49"/>
        <w:rPr>
          <w:spacing w:val="6"/>
        </w:rPr>
      </w:pPr>
    </w:p>
    <w:p w14:paraId="54738D40" w14:textId="77777777" w:rsidR="001D3EFE" w:rsidRPr="003C6054" w:rsidRDefault="001D3EFE" w:rsidP="001D3EFE">
      <w:pPr>
        <w:spacing w:before="240"/>
        <w:ind w:right="49"/>
        <w:rPr>
          <w:spacing w:val="6"/>
        </w:rPr>
      </w:pPr>
      <w:r w:rsidRPr="003C6054">
        <w:rPr>
          <w:spacing w:val="6"/>
        </w:rPr>
        <w:lastRenderedPageBreak/>
        <w:t>Con datos originales, en marzo de 2022 el Indicador Global de Opinión Empresarial de Tendencia (IGOET), que es el promedio ponderado de los indicadores de los cuatro sectores que lo integran, fue de 57.4 puntos, un crecimiento anual de 2 puntos.</w:t>
      </w:r>
    </w:p>
    <w:p w14:paraId="6FFEB8B3" w14:textId="77777777" w:rsidR="001D3EFE" w:rsidRDefault="001D3EFE" w:rsidP="001D3EFE">
      <w:pPr>
        <w:spacing w:before="240"/>
        <w:ind w:right="49"/>
        <w:rPr>
          <w:spacing w:val="6"/>
        </w:rPr>
      </w:pPr>
    </w:p>
    <w:p w14:paraId="1A008CD0" w14:textId="77777777" w:rsidR="001D3EFE" w:rsidRPr="003C6054" w:rsidRDefault="001D3EFE" w:rsidP="001D3EFE">
      <w:pPr>
        <w:keepNext/>
        <w:keepLines/>
        <w:tabs>
          <w:tab w:val="left" w:pos="2835"/>
          <w:tab w:val="left" w:pos="9432"/>
        </w:tabs>
        <w:spacing w:before="360"/>
        <w:ind w:right="431"/>
        <w:outlineLvl w:val="0"/>
        <w:rPr>
          <w:b/>
          <w:i/>
          <w:smallCaps/>
        </w:rPr>
      </w:pPr>
      <w:r w:rsidRPr="003C6054">
        <w:rPr>
          <w:b/>
          <w:i/>
          <w:smallCaps/>
        </w:rPr>
        <w:t>Nota al usuario</w:t>
      </w:r>
    </w:p>
    <w:p w14:paraId="2226BCB0" w14:textId="77777777" w:rsidR="001D3EFE" w:rsidRDefault="001D3EFE" w:rsidP="001D3EFE">
      <w:pPr>
        <w:spacing w:before="240"/>
      </w:pPr>
      <w:r>
        <w:t>La tasa de no respuesta de la Encuesta Mensual de Opinión Empresarial (EMOE), correspondiente a marzo de 2022, registró porcentajes apropiados conforme al diseño estadístico de la encuesta, lo que permitió la generación de estadísticas con niveles adecuados de precisión. Lo anterior con excepción de los dominios Información en medios masivos, y Servicios profesionales, científicos y técnicos, que tienen una participación de 3.1</w:t>
      </w:r>
      <w:r>
        <w:rPr>
          <w:color w:val="000000" w:themeColor="text1"/>
        </w:rPr>
        <w:t>%</w:t>
      </w:r>
      <w:r>
        <w:t xml:space="preserve"> en los ingresos representados por la encuesta</w:t>
      </w:r>
      <w:r>
        <w:rPr>
          <w:rFonts w:eastAsia="Calibri"/>
          <w:lang w:val="es-MX" w:eastAsia="en-US"/>
        </w:rPr>
        <w:t xml:space="preserve"> y para los que se recomienda el uso con reserva de las estimaciones</w:t>
      </w:r>
      <w:r>
        <w:t>.</w:t>
      </w:r>
    </w:p>
    <w:p w14:paraId="43217D76" w14:textId="77777777" w:rsidR="001D3EFE" w:rsidRPr="0082393B" w:rsidRDefault="001D3EFE" w:rsidP="001D3EFE">
      <w:pPr>
        <w:spacing w:before="240"/>
        <w:ind w:right="49"/>
        <w:rPr>
          <w:spacing w:val="6"/>
        </w:rPr>
      </w:pPr>
    </w:p>
    <w:p w14:paraId="76D6E351" w14:textId="77777777" w:rsidR="001D3EFE" w:rsidRDefault="001D3EFE" w:rsidP="001D3EFE">
      <w:pPr>
        <w:spacing w:before="240"/>
        <w:ind w:right="49"/>
      </w:pPr>
    </w:p>
    <w:p w14:paraId="2CDB9742" w14:textId="77777777" w:rsidR="001D3EFE" w:rsidRDefault="001D3EFE" w:rsidP="001D3EFE">
      <w:pPr>
        <w:spacing w:before="240"/>
        <w:ind w:right="49"/>
      </w:pPr>
    </w:p>
    <w:p w14:paraId="7F468A20" w14:textId="77777777" w:rsidR="001D3EFE" w:rsidRDefault="001D3EFE" w:rsidP="001D3EFE">
      <w:pPr>
        <w:spacing w:before="240"/>
        <w:jc w:val="center"/>
        <w:rPr>
          <w:sz w:val="22"/>
          <w:szCs w:val="22"/>
        </w:rPr>
      </w:pPr>
    </w:p>
    <w:p w14:paraId="502DF4F2" w14:textId="77777777" w:rsidR="001D3EFE" w:rsidRDefault="001D3EFE" w:rsidP="001D3EFE">
      <w:pPr>
        <w:spacing w:before="240"/>
        <w:jc w:val="center"/>
        <w:rPr>
          <w:sz w:val="22"/>
          <w:szCs w:val="22"/>
        </w:rPr>
      </w:pPr>
    </w:p>
    <w:p w14:paraId="0E1AC38E" w14:textId="77777777" w:rsidR="001D3EFE" w:rsidRDefault="001D3EFE" w:rsidP="001D3EFE">
      <w:pPr>
        <w:spacing w:before="240"/>
        <w:jc w:val="center"/>
        <w:rPr>
          <w:sz w:val="22"/>
          <w:szCs w:val="22"/>
        </w:rPr>
      </w:pPr>
    </w:p>
    <w:p w14:paraId="33CCD7AF" w14:textId="77777777" w:rsidR="001D3EFE" w:rsidRDefault="001D3EFE" w:rsidP="001D3EFE">
      <w:pPr>
        <w:spacing w:before="240"/>
        <w:jc w:val="center"/>
        <w:rPr>
          <w:sz w:val="22"/>
          <w:szCs w:val="22"/>
        </w:rPr>
      </w:pPr>
    </w:p>
    <w:p w14:paraId="547B17C9" w14:textId="77777777" w:rsidR="001D3EFE" w:rsidRDefault="001D3EFE" w:rsidP="001D3EFE">
      <w:pPr>
        <w:spacing w:before="240"/>
        <w:jc w:val="center"/>
        <w:rPr>
          <w:sz w:val="22"/>
          <w:szCs w:val="22"/>
        </w:rPr>
      </w:pPr>
    </w:p>
    <w:p w14:paraId="114C513D" w14:textId="77777777" w:rsidR="001D3EFE" w:rsidRPr="005E0220" w:rsidRDefault="001D3EFE" w:rsidP="001D3EFE">
      <w:pPr>
        <w:spacing w:before="240"/>
        <w:jc w:val="center"/>
        <w:rPr>
          <w:sz w:val="22"/>
          <w:szCs w:val="22"/>
        </w:rPr>
      </w:pPr>
      <w:r w:rsidRPr="005E0220">
        <w:rPr>
          <w:sz w:val="22"/>
          <w:szCs w:val="22"/>
        </w:rPr>
        <w:t xml:space="preserve">Para consultas de medios y periodistas, contactar a: </w:t>
      </w:r>
      <w:hyperlink r:id="rId8" w:history="1">
        <w:r w:rsidRPr="005E0220">
          <w:rPr>
            <w:rStyle w:val="Hipervnculo"/>
            <w:rFonts w:eastAsiaTheme="majorEastAsia"/>
            <w:sz w:val="22"/>
            <w:szCs w:val="22"/>
          </w:rPr>
          <w:t>comunicacionsocial@inegi.org.mx</w:t>
        </w:r>
      </w:hyperlink>
    </w:p>
    <w:p w14:paraId="37D5551F" w14:textId="77777777" w:rsidR="001D3EFE" w:rsidRPr="005E0220" w:rsidRDefault="001D3EFE" w:rsidP="001D3EFE">
      <w:pPr>
        <w:pStyle w:val="NormalWeb"/>
        <w:spacing w:before="0" w:beforeAutospacing="0" w:after="0" w:afterAutospacing="0"/>
        <w:ind w:left="-426" w:right="-518"/>
        <w:contextualSpacing/>
        <w:jc w:val="center"/>
        <w:rPr>
          <w:rFonts w:ascii="Arial" w:hAnsi="Arial" w:cs="Arial"/>
          <w:sz w:val="22"/>
          <w:szCs w:val="22"/>
        </w:rPr>
      </w:pPr>
      <w:r w:rsidRPr="005E0220">
        <w:rPr>
          <w:rFonts w:ascii="Arial" w:hAnsi="Arial" w:cs="Arial"/>
          <w:sz w:val="22"/>
          <w:szCs w:val="22"/>
        </w:rPr>
        <w:t xml:space="preserve">o llamar al teléfono (55) 52-78-10-00, </w:t>
      </w:r>
      <w:proofErr w:type="spellStart"/>
      <w:r w:rsidRPr="005E0220">
        <w:rPr>
          <w:rFonts w:ascii="Arial" w:hAnsi="Arial" w:cs="Arial"/>
          <w:sz w:val="22"/>
          <w:szCs w:val="22"/>
        </w:rPr>
        <w:t>exts</w:t>
      </w:r>
      <w:proofErr w:type="spellEnd"/>
      <w:r w:rsidRPr="005E0220">
        <w:rPr>
          <w:rFonts w:ascii="Arial" w:hAnsi="Arial" w:cs="Arial"/>
          <w:sz w:val="22"/>
          <w:szCs w:val="22"/>
        </w:rPr>
        <w:t>. 1134, 1260 y 1241.</w:t>
      </w:r>
    </w:p>
    <w:p w14:paraId="0E2F5670" w14:textId="77777777" w:rsidR="001D3EFE" w:rsidRPr="005E0220" w:rsidRDefault="001D3EFE" w:rsidP="001D3EFE">
      <w:pPr>
        <w:pStyle w:val="NormalWeb"/>
        <w:spacing w:before="0" w:beforeAutospacing="0" w:after="0" w:afterAutospacing="0"/>
        <w:ind w:left="-426" w:right="-518"/>
        <w:contextualSpacing/>
        <w:jc w:val="center"/>
        <w:rPr>
          <w:rFonts w:ascii="Arial" w:hAnsi="Arial" w:cs="Arial"/>
          <w:sz w:val="22"/>
          <w:szCs w:val="22"/>
        </w:rPr>
      </w:pPr>
    </w:p>
    <w:p w14:paraId="4913C7CD" w14:textId="77777777" w:rsidR="001D3EFE" w:rsidRPr="005E0220" w:rsidRDefault="001D3EFE" w:rsidP="001D3EFE">
      <w:pPr>
        <w:pStyle w:val="NormalWeb"/>
        <w:spacing w:before="0" w:beforeAutospacing="0" w:after="0" w:afterAutospacing="0"/>
        <w:ind w:left="-426" w:right="-518"/>
        <w:contextualSpacing/>
        <w:jc w:val="center"/>
        <w:rPr>
          <w:rFonts w:ascii="Arial" w:hAnsi="Arial" w:cs="Arial"/>
          <w:sz w:val="22"/>
          <w:szCs w:val="22"/>
        </w:rPr>
      </w:pPr>
      <w:r w:rsidRPr="005E0220">
        <w:rPr>
          <w:rFonts w:ascii="Arial" w:hAnsi="Arial" w:cs="Arial"/>
          <w:sz w:val="22"/>
          <w:szCs w:val="22"/>
        </w:rPr>
        <w:t>Dirección de Atención a Medios / Dirección General Adjunta de Comunicación</w:t>
      </w:r>
    </w:p>
    <w:p w14:paraId="16E4D765" w14:textId="77777777" w:rsidR="001D3EFE" w:rsidRPr="00F601BC" w:rsidRDefault="001D3EFE" w:rsidP="001D3EFE">
      <w:pPr>
        <w:pStyle w:val="NormalWeb"/>
        <w:spacing w:before="0" w:beforeAutospacing="0" w:after="0" w:afterAutospacing="0"/>
        <w:ind w:left="-426" w:right="-518"/>
        <w:contextualSpacing/>
        <w:jc w:val="center"/>
        <w:rPr>
          <w:rFonts w:ascii="Arial" w:hAnsi="Arial" w:cs="Arial"/>
          <w:sz w:val="16"/>
          <w:szCs w:val="16"/>
        </w:rPr>
      </w:pPr>
    </w:p>
    <w:p w14:paraId="642801F3" w14:textId="77777777" w:rsidR="001D3EFE" w:rsidRPr="008F0992" w:rsidRDefault="001D3EFE" w:rsidP="001D3EFE">
      <w:pPr>
        <w:spacing w:before="120"/>
        <w:ind w:left="-425" w:right="-516"/>
        <w:contextualSpacing/>
        <w:jc w:val="center"/>
        <w:rPr>
          <w:noProof/>
          <w:lang w:eastAsia="es-MX"/>
        </w:rPr>
      </w:pPr>
      <w:r w:rsidRPr="00FF1218">
        <w:rPr>
          <w:noProof/>
          <w:lang w:val="es-MX" w:eastAsia="es-MX"/>
        </w:rPr>
        <w:drawing>
          <wp:inline distT="0" distB="0" distL="0" distR="0" wp14:anchorId="45480E16" wp14:editId="78514951">
            <wp:extent cx="274320" cy="365760"/>
            <wp:effectExtent l="0" t="0" r="0" b="0"/>
            <wp:docPr id="3" name="Imagen 3"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17694C5" wp14:editId="1D363C95">
            <wp:extent cx="365760" cy="365760"/>
            <wp:effectExtent l="0" t="0" r="0" b="0"/>
            <wp:docPr id="4" name="Imagen 4"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4BEF300" wp14:editId="6C7D1CCA">
            <wp:extent cx="365760" cy="365760"/>
            <wp:effectExtent l="0" t="0" r="0" b="0"/>
            <wp:docPr id="8" name="Imagen 8"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6C670C4" wp14:editId="55E0BA96">
            <wp:extent cx="365760" cy="365760"/>
            <wp:effectExtent l="0" t="0" r="0" b="0"/>
            <wp:docPr id="11" name="Imagen 11"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2962ECDA" wp14:editId="5325314C">
            <wp:extent cx="2286000" cy="274320"/>
            <wp:effectExtent l="0" t="0" r="0" b="0"/>
            <wp:docPr id="15" name="Imagen 15">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6DDFB352" w14:textId="77777777" w:rsidR="001D3EFE" w:rsidRDefault="001D3EFE" w:rsidP="001D3EFE">
      <w:pPr>
        <w:spacing w:before="100" w:beforeAutospacing="1"/>
        <w:ind w:left="-284" w:right="-547"/>
        <w:jc w:val="center"/>
        <w:rPr>
          <w:sz w:val="22"/>
          <w:szCs w:val="22"/>
        </w:rPr>
      </w:pPr>
    </w:p>
    <w:p w14:paraId="39EF4E25" w14:textId="77777777" w:rsidR="001D3EFE" w:rsidRDefault="001D3EFE" w:rsidP="001D3EFE">
      <w:pPr>
        <w:spacing w:before="100" w:beforeAutospacing="1"/>
        <w:ind w:left="-284" w:right="-547"/>
        <w:jc w:val="center"/>
        <w:rPr>
          <w:sz w:val="22"/>
          <w:szCs w:val="22"/>
        </w:rPr>
      </w:pPr>
    </w:p>
    <w:bookmarkEnd w:id="0"/>
    <w:p w14:paraId="2C95B6F0" w14:textId="77777777" w:rsidR="001D3EFE" w:rsidRDefault="001D3EFE" w:rsidP="001D3EFE">
      <w:pPr>
        <w:ind w:left="-567"/>
        <w:jc w:val="center"/>
        <w:rPr>
          <w:noProof/>
          <w:lang w:eastAsia="es-MX"/>
        </w:rPr>
        <w:sectPr w:rsidR="001D3EFE" w:rsidSect="0009313F">
          <w:headerReference w:type="default" r:id="rId19"/>
          <w:footerReference w:type="default" r:id="rId20"/>
          <w:pgSz w:w="12240" w:h="15840"/>
          <w:pgMar w:top="1418" w:right="1134" w:bottom="1276" w:left="1134" w:header="709" w:footer="709" w:gutter="0"/>
          <w:cols w:space="708"/>
          <w:docGrid w:linePitch="360"/>
        </w:sectPr>
      </w:pPr>
    </w:p>
    <w:p w14:paraId="0697D255" w14:textId="77777777" w:rsidR="001D3EFE" w:rsidRPr="002A470D" w:rsidRDefault="001D3EFE" w:rsidP="007016AF">
      <w:pPr>
        <w:pStyle w:val="Profesin"/>
        <w:spacing w:before="100" w:beforeAutospacing="1"/>
        <w:outlineLvl w:val="0"/>
        <w:rPr>
          <w:sz w:val="24"/>
          <w:szCs w:val="24"/>
          <w:lang w:val="es-MX"/>
        </w:rPr>
      </w:pPr>
      <w:r w:rsidRPr="002A470D">
        <w:rPr>
          <w:sz w:val="24"/>
          <w:szCs w:val="24"/>
          <w:lang w:val="es-MX"/>
        </w:rPr>
        <w:lastRenderedPageBreak/>
        <w:t>ANEXO</w:t>
      </w:r>
    </w:p>
    <w:p w14:paraId="096CC2C0" w14:textId="77777777" w:rsidR="001D3EFE" w:rsidRPr="002A470D" w:rsidRDefault="001D3EFE" w:rsidP="001D3EFE">
      <w:pPr>
        <w:pStyle w:val="Profesin"/>
        <w:spacing w:before="120"/>
        <w:outlineLvl w:val="0"/>
        <w:rPr>
          <w:sz w:val="24"/>
          <w:szCs w:val="24"/>
          <w:lang w:val="es-MX"/>
        </w:rPr>
      </w:pPr>
      <w:r w:rsidRPr="002A470D">
        <w:rPr>
          <w:sz w:val="24"/>
          <w:szCs w:val="24"/>
          <w:lang w:val="es-MX"/>
        </w:rPr>
        <w:t>Nota técnica</w:t>
      </w:r>
    </w:p>
    <w:p w14:paraId="375CD8DF" w14:textId="7E3730BA" w:rsidR="009E2138" w:rsidRPr="001D3EFE" w:rsidRDefault="00A46C32" w:rsidP="001D3EFE">
      <w:pPr>
        <w:widowControl w:val="0"/>
        <w:spacing w:before="120"/>
        <w:ind w:left="-284" w:right="-233"/>
        <w:rPr>
          <w:sz w:val="22"/>
          <w:szCs w:val="22"/>
        </w:rPr>
      </w:pPr>
      <w:r w:rsidRPr="001D3EFE">
        <w:rPr>
          <w:sz w:val="22"/>
          <w:szCs w:val="22"/>
        </w:rPr>
        <w:t>El Instituto Nacional de Estadística y Geografía da a conocer</w:t>
      </w:r>
      <w:r w:rsidR="0024401E" w:rsidRPr="001D3EFE">
        <w:rPr>
          <w:sz w:val="22"/>
          <w:szCs w:val="22"/>
        </w:rPr>
        <w:t xml:space="preserve"> el Indicador Global de Opinión Empresarial de Tendencia (IGOET)</w:t>
      </w:r>
      <w:r w:rsidR="00760F98" w:rsidRPr="001D3EFE">
        <w:rPr>
          <w:sz w:val="22"/>
          <w:szCs w:val="22"/>
        </w:rPr>
        <w:t>,</w:t>
      </w:r>
      <w:r w:rsidR="00BE01E0" w:rsidRPr="001D3EFE">
        <w:rPr>
          <w:sz w:val="22"/>
          <w:szCs w:val="22"/>
        </w:rPr>
        <w:t xml:space="preserve"> así como</w:t>
      </w:r>
      <w:r w:rsidRPr="001D3EFE">
        <w:rPr>
          <w:sz w:val="22"/>
          <w:szCs w:val="22"/>
        </w:rPr>
        <w:t xml:space="preserve"> </w:t>
      </w:r>
      <w:r w:rsidR="008153B0" w:rsidRPr="001D3EFE">
        <w:rPr>
          <w:sz w:val="22"/>
          <w:szCs w:val="22"/>
        </w:rPr>
        <w:t>los</w:t>
      </w:r>
      <w:r w:rsidR="003A66EA" w:rsidRPr="001D3EFE">
        <w:rPr>
          <w:sz w:val="22"/>
          <w:szCs w:val="22"/>
        </w:rPr>
        <w:t xml:space="preserve"> Indicador</w:t>
      </w:r>
      <w:r w:rsidR="006B4A2E" w:rsidRPr="001D3EFE">
        <w:rPr>
          <w:sz w:val="22"/>
          <w:szCs w:val="22"/>
        </w:rPr>
        <w:t>es</w:t>
      </w:r>
      <w:r w:rsidR="003A66EA" w:rsidRPr="001D3EFE">
        <w:rPr>
          <w:sz w:val="22"/>
          <w:szCs w:val="22"/>
        </w:rPr>
        <w:t xml:space="preserve"> Agregado</w:t>
      </w:r>
      <w:r w:rsidR="006B4A2E" w:rsidRPr="001D3EFE">
        <w:rPr>
          <w:sz w:val="22"/>
          <w:szCs w:val="22"/>
        </w:rPr>
        <w:t>s</w:t>
      </w:r>
      <w:r w:rsidR="003A66EA" w:rsidRPr="001D3EFE">
        <w:rPr>
          <w:sz w:val="22"/>
          <w:szCs w:val="22"/>
        </w:rPr>
        <w:t xml:space="preserve"> de Tendencia (IAT) </w:t>
      </w:r>
      <w:r w:rsidR="008153B0" w:rsidRPr="001D3EFE">
        <w:rPr>
          <w:sz w:val="22"/>
          <w:szCs w:val="22"/>
        </w:rPr>
        <w:t xml:space="preserve">y las </w:t>
      </w:r>
      <w:r w:rsidR="007D4EE5" w:rsidRPr="001D3EFE">
        <w:rPr>
          <w:sz w:val="22"/>
          <w:szCs w:val="22"/>
        </w:rPr>
        <w:t>e</w:t>
      </w:r>
      <w:r w:rsidR="008153B0" w:rsidRPr="001D3EFE">
        <w:rPr>
          <w:sz w:val="22"/>
          <w:szCs w:val="22"/>
        </w:rPr>
        <w:t xml:space="preserve">xpectativas </w:t>
      </w:r>
      <w:r w:rsidR="007D4EE5" w:rsidRPr="001D3EFE">
        <w:rPr>
          <w:sz w:val="22"/>
          <w:szCs w:val="22"/>
        </w:rPr>
        <w:t>e</w:t>
      </w:r>
      <w:r w:rsidR="008153B0" w:rsidRPr="001D3EFE">
        <w:rPr>
          <w:sz w:val="22"/>
          <w:szCs w:val="22"/>
        </w:rPr>
        <w:t xml:space="preserve">mpresariales </w:t>
      </w:r>
      <w:r w:rsidR="008577B8" w:rsidRPr="001D3EFE">
        <w:rPr>
          <w:sz w:val="22"/>
          <w:szCs w:val="22"/>
        </w:rPr>
        <w:t>que</w:t>
      </w:r>
      <w:r w:rsidR="006B4A2E" w:rsidRPr="001D3EFE">
        <w:rPr>
          <w:sz w:val="22"/>
          <w:szCs w:val="22"/>
        </w:rPr>
        <w:t xml:space="preserve"> </w:t>
      </w:r>
      <w:r w:rsidR="0061069F" w:rsidRPr="001D3EFE">
        <w:rPr>
          <w:sz w:val="22"/>
          <w:szCs w:val="22"/>
        </w:rPr>
        <w:t xml:space="preserve">se basan en </w:t>
      </w:r>
      <w:r w:rsidRPr="001D3EFE">
        <w:rPr>
          <w:sz w:val="22"/>
          <w:szCs w:val="22"/>
        </w:rPr>
        <w:t>la opinión de</w:t>
      </w:r>
      <w:r w:rsidR="00DF63B1" w:rsidRPr="001D3EFE">
        <w:rPr>
          <w:sz w:val="22"/>
          <w:szCs w:val="22"/>
        </w:rPr>
        <w:t xml:space="preserve"> </w:t>
      </w:r>
      <w:r w:rsidRPr="001D3EFE">
        <w:rPr>
          <w:sz w:val="22"/>
          <w:szCs w:val="22"/>
        </w:rPr>
        <w:t>l</w:t>
      </w:r>
      <w:r w:rsidR="00DF63B1" w:rsidRPr="001D3EFE">
        <w:rPr>
          <w:sz w:val="22"/>
          <w:szCs w:val="22"/>
        </w:rPr>
        <w:t>os</w:t>
      </w:r>
      <w:r w:rsidRPr="001D3EFE">
        <w:rPr>
          <w:sz w:val="22"/>
          <w:szCs w:val="22"/>
        </w:rPr>
        <w:t xml:space="preserve"> directivo</w:t>
      </w:r>
      <w:r w:rsidR="00DF63B1" w:rsidRPr="001D3EFE">
        <w:rPr>
          <w:sz w:val="22"/>
          <w:szCs w:val="22"/>
        </w:rPr>
        <w:t>s</w:t>
      </w:r>
      <w:r w:rsidRPr="001D3EFE">
        <w:rPr>
          <w:sz w:val="22"/>
          <w:szCs w:val="22"/>
        </w:rPr>
        <w:t xml:space="preserve"> empresarial</w:t>
      </w:r>
      <w:r w:rsidR="00DF63B1" w:rsidRPr="001D3EFE">
        <w:rPr>
          <w:sz w:val="22"/>
          <w:szCs w:val="22"/>
        </w:rPr>
        <w:t>es</w:t>
      </w:r>
      <w:r w:rsidR="00125A8E" w:rsidRPr="001D3EFE">
        <w:rPr>
          <w:sz w:val="22"/>
          <w:szCs w:val="22"/>
        </w:rPr>
        <w:t xml:space="preserve">. </w:t>
      </w:r>
      <w:r w:rsidR="00D23FCD" w:rsidRPr="001D3EFE">
        <w:rPr>
          <w:sz w:val="22"/>
          <w:szCs w:val="22"/>
        </w:rPr>
        <w:t>Estos indicadores</w:t>
      </w:r>
      <w:r w:rsidR="00125A8E" w:rsidRPr="001D3EFE">
        <w:rPr>
          <w:sz w:val="22"/>
          <w:szCs w:val="22"/>
        </w:rPr>
        <w:t xml:space="preserve"> permiten dar seguimiento a la percepción de los empresarios en</w:t>
      </w:r>
      <w:r w:rsidR="0070016D" w:rsidRPr="001D3EFE">
        <w:rPr>
          <w:sz w:val="22"/>
          <w:szCs w:val="22"/>
        </w:rPr>
        <w:t xml:space="preserve"> </w:t>
      </w:r>
      <w:r w:rsidRPr="001D3EFE">
        <w:rPr>
          <w:sz w:val="22"/>
          <w:szCs w:val="22"/>
        </w:rPr>
        <w:t>l</w:t>
      </w:r>
      <w:r w:rsidR="0070016D" w:rsidRPr="001D3EFE">
        <w:rPr>
          <w:sz w:val="22"/>
          <w:szCs w:val="22"/>
        </w:rPr>
        <w:t>os</w:t>
      </w:r>
      <w:r w:rsidRPr="001D3EFE">
        <w:rPr>
          <w:sz w:val="22"/>
          <w:szCs w:val="22"/>
        </w:rPr>
        <w:t xml:space="preserve"> sector</w:t>
      </w:r>
      <w:r w:rsidR="0070016D" w:rsidRPr="001D3EFE">
        <w:rPr>
          <w:sz w:val="22"/>
          <w:szCs w:val="22"/>
        </w:rPr>
        <w:t xml:space="preserve">es </w:t>
      </w:r>
      <w:r w:rsidR="00AD52BC" w:rsidRPr="001D3EFE">
        <w:rPr>
          <w:sz w:val="22"/>
          <w:szCs w:val="22"/>
        </w:rPr>
        <w:t>M</w:t>
      </w:r>
      <w:r w:rsidRPr="001D3EFE">
        <w:rPr>
          <w:sz w:val="22"/>
          <w:szCs w:val="22"/>
        </w:rPr>
        <w:t>anufacturer</w:t>
      </w:r>
      <w:r w:rsidR="008153B0" w:rsidRPr="001D3EFE">
        <w:rPr>
          <w:sz w:val="22"/>
          <w:szCs w:val="22"/>
        </w:rPr>
        <w:t>o</w:t>
      </w:r>
      <w:r w:rsidRPr="001D3EFE">
        <w:rPr>
          <w:sz w:val="22"/>
          <w:szCs w:val="22"/>
        </w:rPr>
        <w:t xml:space="preserve">, de la </w:t>
      </w:r>
      <w:r w:rsidR="00AD52BC" w:rsidRPr="001D3EFE">
        <w:rPr>
          <w:sz w:val="22"/>
          <w:szCs w:val="22"/>
        </w:rPr>
        <w:t>C</w:t>
      </w:r>
      <w:r w:rsidRPr="001D3EFE">
        <w:rPr>
          <w:sz w:val="22"/>
          <w:szCs w:val="22"/>
        </w:rPr>
        <w:t>onstrucción</w:t>
      </w:r>
      <w:r w:rsidR="00DC0118" w:rsidRPr="001D3EFE">
        <w:rPr>
          <w:sz w:val="22"/>
          <w:szCs w:val="22"/>
        </w:rPr>
        <w:t xml:space="preserve">, </w:t>
      </w:r>
      <w:r w:rsidRPr="001D3EFE">
        <w:rPr>
          <w:sz w:val="22"/>
          <w:szCs w:val="22"/>
        </w:rPr>
        <w:t xml:space="preserve">del </w:t>
      </w:r>
      <w:r w:rsidR="00AD52BC" w:rsidRPr="001D3EFE">
        <w:rPr>
          <w:sz w:val="22"/>
          <w:szCs w:val="22"/>
        </w:rPr>
        <w:t>C</w:t>
      </w:r>
      <w:r w:rsidRPr="001D3EFE">
        <w:rPr>
          <w:sz w:val="22"/>
          <w:szCs w:val="22"/>
        </w:rPr>
        <w:t>omercio</w:t>
      </w:r>
      <w:r w:rsidR="00DC0118" w:rsidRPr="001D3EFE">
        <w:rPr>
          <w:sz w:val="22"/>
          <w:szCs w:val="22"/>
        </w:rPr>
        <w:t xml:space="preserve"> y de los </w:t>
      </w:r>
      <w:r w:rsidR="00AD52BC" w:rsidRPr="001D3EFE">
        <w:rPr>
          <w:sz w:val="22"/>
          <w:szCs w:val="22"/>
        </w:rPr>
        <w:t>S</w:t>
      </w:r>
      <w:r w:rsidR="00DC0118" w:rsidRPr="001D3EFE">
        <w:rPr>
          <w:sz w:val="22"/>
          <w:szCs w:val="22"/>
        </w:rPr>
        <w:t xml:space="preserve">ervicios </w:t>
      </w:r>
      <w:r w:rsidR="00AD52BC" w:rsidRPr="001D3EFE">
        <w:rPr>
          <w:sz w:val="22"/>
          <w:szCs w:val="22"/>
        </w:rPr>
        <w:t>P</w:t>
      </w:r>
      <w:r w:rsidR="00DC0118" w:rsidRPr="001D3EFE">
        <w:rPr>
          <w:sz w:val="22"/>
          <w:szCs w:val="22"/>
        </w:rPr>
        <w:t xml:space="preserve">rivados </w:t>
      </w:r>
      <w:r w:rsidR="000D33ED" w:rsidRPr="001D3EFE">
        <w:rPr>
          <w:sz w:val="22"/>
          <w:szCs w:val="22"/>
        </w:rPr>
        <w:t>n</w:t>
      </w:r>
      <w:r w:rsidR="00DC0118" w:rsidRPr="001D3EFE">
        <w:rPr>
          <w:sz w:val="22"/>
          <w:szCs w:val="22"/>
        </w:rPr>
        <w:t xml:space="preserve">o </w:t>
      </w:r>
      <w:r w:rsidR="00AD52BC" w:rsidRPr="001D3EFE">
        <w:rPr>
          <w:sz w:val="22"/>
          <w:szCs w:val="22"/>
        </w:rPr>
        <w:t>F</w:t>
      </w:r>
      <w:r w:rsidR="00DC0118" w:rsidRPr="001D3EFE">
        <w:rPr>
          <w:sz w:val="22"/>
          <w:szCs w:val="22"/>
        </w:rPr>
        <w:t>inancieros</w:t>
      </w:r>
      <w:r w:rsidRPr="001D3EFE">
        <w:rPr>
          <w:sz w:val="22"/>
          <w:szCs w:val="22"/>
        </w:rPr>
        <w:t xml:space="preserve"> sobre la situación que presenta su empresa con relación a variables </w:t>
      </w:r>
      <w:r w:rsidR="00D23FCD" w:rsidRPr="001D3EFE">
        <w:rPr>
          <w:sz w:val="22"/>
          <w:szCs w:val="22"/>
        </w:rPr>
        <w:t>específicas</w:t>
      </w:r>
      <w:r w:rsidR="00DB16CD" w:rsidRPr="001D3EFE">
        <w:rPr>
          <w:sz w:val="22"/>
          <w:szCs w:val="22"/>
        </w:rPr>
        <w:t>.</w:t>
      </w:r>
      <w:r w:rsidRPr="001D3EFE">
        <w:rPr>
          <w:sz w:val="22"/>
          <w:szCs w:val="22"/>
        </w:rPr>
        <w:t xml:space="preserve"> </w:t>
      </w:r>
    </w:p>
    <w:p w14:paraId="78C53DD9" w14:textId="1C16C15A" w:rsidR="00A46C32" w:rsidRPr="001D3EFE" w:rsidRDefault="00DB16CD" w:rsidP="001D3EFE">
      <w:pPr>
        <w:keepNext/>
        <w:keepLines/>
        <w:widowControl w:val="0"/>
        <w:spacing w:before="120"/>
        <w:ind w:left="-284" w:right="-233"/>
        <w:rPr>
          <w:sz w:val="22"/>
          <w:szCs w:val="22"/>
        </w:rPr>
      </w:pPr>
      <w:r w:rsidRPr="001D3EFE">
        <w:rPr>
          <w:sz w:val="22"/>
          <w:szCs w:val="22"/>
        </w:rPr>
        <w:t>E</w:t>
      </w:r>
      <w:r w:rsidR="00A46C32" w:rsidRPr="001D3EFE">
        <w:rPr>
          <w:sz w:val="22"/>
          <w:szCs w:val="22"/>
        </w:rPr>
        <w:t xml:space="preserve">n los establecimientos manufactureros </w:t>
      </w:r>
      <w:r w:rsidRPr="001D3EFE">
        <w:rPr>
          <w:sz w:val="22"/>
          <w:szCs w:val="22"/>
        </w:rPr>
        <w:t xml:space="preserve">estas variables se refieren a </w:t>
      </w:r>
      <w:r w:rsidR="00A46C32" w:rsidRPr="001D3EFE">
        <w:rPr>
          <w:sz w:val="22"/>
          <w:szCs w:val="22"/>
        </w:rPr>
        <w:t>la producción</w:t>
      </w:r>
      <w:r w:rsidRPr="001D3EFE">
        <w:rPr>
          <w:sz w:val="22"/>
          <w:szCs w:val="22"/>
        </w:rPr>
        <w:t>,</w:t>
      </w:r>
      <w:r w:rsidR="00A46C32" w:rsidRPr="001D3EFE">
        <w:rPr>
          <w:sz w:val="22"/>
          <w:szCs w:val="22"/>
        </w:rPr>
        <w:t xml:space="preserve"> </w:t>
      </w:r>
      <w:r w:rsidR="0070016D" w:rsidRPr="001D3EFE">
        <w:rPr>
          <w:sz w:val="22"/>
          <w:szCs w:val="22"/>
        </w:rPr>
        <w:t xml:space="preserve">capacidad de planta </w:t>
      </w:r>
      <w:r w:rsidR="00A46C32" w:rsidRPr="001D3EFE">
        <w:rPr>
          <w:sz w:val="22"/>
          <w:szCs w:val="22"/>
        </w:rPr>
        <w:t>utiliza</w:t>
      </w:r>
      <w:r w:rsidR="0070016D" w:rsidRPr="001D3EFE">
        <w:rPr>
          <w:sz w:val="22"/>
          <w:szCs w:val="22"/>
        </w:rPr>
        <w:t>da</w:t>
      </w:r>
      <w:r w:rsidR="00A46C32" w:rsidRPr="001D3EFE">
        <w:rPr>
          <w:sz w:val="22"/>
          <w:szCs w:val="22"/>
        </w:rPr>
        <w:t>, demanda nacional de sus productos, exportaciones</w:t>
      </w:r>
      <w:r w:rsidR="00807592" w:rsidRPr="001D3EFE">
        <w:rPr>
          <w:sz w:val="22"/>
          <w:szCs w:val="22"/>
        </w:rPr>
        <w:t xml:space="preserve"> y</w:t>
      </w:r>
      <w:r w:rsidR="00A46C32" w:rsidRPr="001D3EFE">
        <w:rPr>
          <w:sz w:val="22"/>
          <w:szCs w:val="22"/>
        </w:rPr>
        <w:t xml:space="preserve"> personal ocupado</w:t>
      </w:r>
      <w:r w:rsidR="002A4CB2" w:rsidRPr="001D3EFE">
        <w:rPr>
          <w:sz w:val="22"/>
          <w:szCs w:val="22"/>
        </w:rPr>
        <w:t xml:space="preserve"> total</w:t>
      </w:r>
      <w:r w:rsidR="00D4687A" w:rsidRPr="001D3EFE">
        <w:rPr>
          <w:rStyle w:val="Refdenotaalpie"/>
          <w:sz w:val="22"/>
          <w:szCs w:val="22"/>
        </w:rPr>
        <w:footnoteReference w:id="2"/>
      </w:r>
      <w:r w:rsidRPr="001D3EFE">
        <w:rPr>
          <w:sz w:val="22"/>
          <w:szCs w:val="22"/>
        </w:rPr>
        <w:t>.</w:t>
      </w:r>
      <w:r w:rsidR="00A46C32" w:rsidRPr="001D3EFE">
        <w:rPr>
          <w:sz w:val="22"/>
          <w:szCs w:val="22"/>
        </w:rPr>
        <w:t xml:space="preserve"> </w:t>
      </w:r>
      <w:r w:rsidRPr="001D3EFE">
        <w:rPr>
          <w:sz w:val="22"/>
          <w:szCs w:val="22"/>
        </w:rPr>
        <w:t>E</w:t>
      </w:r>
      <w:r w:rsidR="00A46C32" w:rsidRPr="001D3EFE">
        <w:rPr>
          <w:sz w:val="22"/>
          <w:szCs w:val="22"/>
        </w:rPr>
        <w:t>n la construcción</w:t>
      </w:r>
      <w:r w:rsidR="00597A9B" w:rsidRPr="001D3EFE">
        <w:rPr>
          <w:sz w:val="22"/>
          <w:szCs w:val="22"/>
        </w:rPr>
        <w:t>,</w:t>
      </w:r>
      <w:r w:rsidRPr="001D3EFE">
        <w:rPr>
          <w:sz w:val="22"/>
          <w:szCs w:val="22"/>
        </w:rPr>
        <w:t xml:space="preserve"> </w:t>
      </w:r>
      <w:r w:rsidR="004754EB" w:rsidRPr="001D3EFE">
        <w:rPr>
          <w:sz w:val="22"/>
          <w:szCs w:val="22"/>
        </w:rPr>
        <w:t xml:space="preserve">valor de </w:t>
      </w:r>
      <w:r w:rsidR="00A46C32" w:rsidRPr="001D3EFE">
        <w:rPr>
          <w:sz w:val="22"/>
          <w:szCs w:val="22"/>
        </w:rPr>
        <w:t>las obras ejecutadas como contratista principal, valor de las obras ejecutadas como subcontratista, total de contratos y subcontratos, y personal ocupado</w:t>
      </w:r>
      <w:r w:rsidR="002A4CB2" w:rsidRPr="001D3EFE">
        <w:rPr>
          <w:sz w:val="22"/>
          <w:szCs w:val="22"/>
        </w:rPr>
        <w:t xml:space="preserve"> total</w:t>
      </w:r>
      <w:r w:rsidRPr="001D3EFE">
        <w:rPr>
          <w:sz w:val="22"/>
          <w:szCs w:val="22"/>
        </w:rPr>
        <w:t>. E</w:t>
      </w:r>
      <w:r w:rsidR="00A46C32" w:rsidRPr="001D3EFE">
        <w:rPr>
          <w:sz w:val="22"/>
          <w:szCs w:val="22"/>
        </w:rPr>
        <w:t xml:space="preserve">n </w:t>
      </w:r>
      <w:r w:rsidR="002A4E01" w:rsidRPr="001D3EFE">
        <w:rPr>
          <w:sz w:val="22"/>
          <w:szCs w:val="22"/>
        </w:rPr>
        <w:t>e</w:t>
      </w:r>
      <w:r w:rsidR="00A46C32" w:rsidRPr="001D3EFE">
        <w:rPr>
          <w:sz w:val="22"/>
          <w:szCs w:val="22"/>
        </w:rPr>
        <w:t>l comercio</w:t>
      </w:r>
      <w:r w:rsidRPr="001D3EFE">
        <w:rPr>
          <w:sz w:val="22"/>
          <w:szCs w:val="22"/>
        </w:rPr>
        <w:t>,</w:t>
      </w:r>
      <w:r w:rsidR="00A46C32" w:rsidRPr="001D3EFE">
        <w:rPr>
          <w:sz w:val="22"/>
          <w:szCs w:val="22"/>
        </w:rPr>
        <w:t xml:space="preserve"> </w:t>
      </w:r>
      <w:r w:rsidRPr="001D3EFE">
        <w:rPr>
          <w:sz w:val="22"/>
          <w:szCs w:val="22"/>
        </w:rPr>
        <w:t xml:space="preserve">las </w:t>
      </w:r>
      <w:r w:rsidR="00A46C32" w:rsidRPr="001D3EFE">
        <w:rPr>
          <w:sz w:val="22"/>
          <w:szCs w:val="22"/>
        </w:rPr>
        <w:t>ventas netas, ingresos por consignación y/o comisión, compras netas, inventarios de mercancías y personal ocupado</w:t>
      </w:r>
      <w:r w:rsidR="002A4CB2" w:rsidRPr="001D3EFE">
        <w:rPr>
          <w:sz w:val="22"/>
          <w:szCs w:val="22"/>
        </w:rPr>
        <w:t xml:space="preserve"> total</w:t>
      </w:r>
      <w:r w:rsidR="0093152D" w:rsidRPr="001D3EFE">
        <w:rPr>
          <w:sz w:val="22"/>
          <w:szCs w:val="22"/>
        </w:rPr>
        <w:t>. P</w:t>
      </w:r>
      <w:r w:rsidRPr="001D3EFE">
        <w:rPr>
          <w:sz w:val="22"/>
          <w:szCs w:val="22"/>
        </w:rPr>
        <w:t xml:space="preserve">or último, </w:t>
      </w:r>
      <w:r w:rsidR="009F087D" w:rsidRPr="001D3EFE">
        <w:rPr>
          <w:sz w:val="22"/>
          <w:szCs w:val="22"/>
        </w:rPr>
        <w:t>en los servicios privados no financieros</w:t>
      </w:r>
      <w:r w:rsidR="00D23FCD" w:rsidRPr="001D3EFE">
        <w:rPr>
          <w:sz w:val="22"/>
          <w:szCs w:val="22"/>
        </w:rPr>
        <w:t xml:space="preserve">, </w:t>
      </w:r>
      <w:r w:rsidRPr="001D3EFE">
        <w:rPr>
          <w:sz w:val="22"/>
          <w:szCs w:val="22"/>
        </w:rPr>
        <w:t xml:space="preserve">las variables corresponden a </w:t>
      </w:r>
      <w:r w:rsidR="002A4CB2" w:rsidRPr="001D3EFE">
        <w:rPr>
          <w:sz w:val="22"/>
          <w:szCs w:val="22"/>
        </w:rPr>
        <w:t>los i</w:t>
      </w:r>
      <w:r w:rsidR="009F087D" w:rsidRPr="001D3EFE">
        <w:rPr>
          <w:sz w:val="22"/>
          <w:szCs w:val="22"/>
        </w:rPr>
        <w:t>ngresos por la prestación de servicios</w:t>
      </w:r>
      <w:r w:rsidR="002A4CB2" w:rsidRPr="001D3EFE">
        <w:rPr>
          <w:sz w:val="22"/>
          <w:szCs w:val="22"/>
        </w:rPr>
        <w:t>, d</w:t>
      </w:r>
      <w:r w:rsidR="009F087D" w:rsidRPr="001D3EFE">
        <w:rPr>
          <w:sz w:val="22"/>
          <w:szCs w:val="22"/>
        </w:rPr>
        <w:t>emanda nacional</w:t>
      </w:r>
      <w:r w:rsidR="00C841C5" w:rsidRPr="001D3EFE">
        <w:rPr>
          <w:sz w:val="22"/>
          <w:szCs w:val="22"/>
        </w:rPr>
        <w:t xml:space="preserve"> de servicios</w:t>
      </w:r>
      <w:r w:rsidR="002A4CB2" w:rsidRPr="001D3EFE">
        <w:rPr>
          <w:sz w:val="22"/>
          <w:szCs w:val="22"/>
        </w:rPr>
        <w:t>, g</w:t>
      </w:r>
      <w:r w:rsidR="009F087D" w:rsidRPr="001D3EFE">
        <w:rPr>
          <w:sz w:val="22"/>
          <w:szCs w:val="22"/>
        </w:rPr>
        <w:t>astos por consumo de bienes y servicios</w:t>
      </w:r>
      <w:r w:rsidR="002A4CB2" w:rsidRPr="001D3EFE">
        <w:rPr>
          <w:sz w:val="22"/>
          <w:szCs w:val="22"/>
        </w:rPr>
        <w:t>, y p</w:t>
      </w:r>
      <w:r w:rsidR="009F087D" w:rsidRPr="001D3EFE">
        <w:rPr>
          <w:sz w:val="22"/>
          <w:szCs w:val="22"/>
        </w:rPr>
        <w:t>ersonal ocupado total</w:t>
      </w:r>
      <w:r w:rsidR="00A46C32" w:rsidRPr="001D3EFE">
        <w:rPr>
          <w:sz w:val="22"/>
          <w:szCs w:val="22"/>
        </w:rPr>
        <w:t xml:space="preserve">. </w:t>
      </w:r>
    </w:p>
    <w:p w14:paraId="41E29FF3" w14:textId="2001EF9F" w:rsidR="00A46C32" w:rsidRPr="001D3EFE" w:rsidRDefault="00A46C32" w:rsidP="001D3EFE">
      <w:pPr>
        <w:widowControl w:val="0"/>
        <w:spacing w:before="120"/>
        <w:ind w:left="-284" w:right="-233"/>
        <w:rPr>
          <w:sz w:val="22"/>
          <w:szCs w:val="22"/>
        </w:rPr>
      </w:pPr>
      <w:r w:rsidRPr="001D3EFE">
        <w:rPr>
          <w:sz w:val="22"/>
          <w:szCs w:val="22"/>
        </w:rPr>
        <w:t>La periodicidad de estos indicadores es mensual y se elabora</w:t>
      </w:r>
      <w:r w:rsidR="00FB42C1" w:rsidRPr="001D3EFE">
        <w:rPr>
          <w:sz w:val="22"/>
          <w:szCs w:val="22"/>
        </w:rPr>
        <w:t>n</w:t>
      </w:r>
      <w:r w:rsidRPr="001D3EFE">
        <w:rPr>
          <w:sz w:val="22"/>
          <w:szCs w:val="22"/>
        </w:rPr>
        <w:t xml:space="preserve"> con base en los resultados de la Encuesta Mensual de Opinión Empresarial (EMOE).</w:t>
      </w:r>
    </w:p>
    <w:p w14:paraId="7F5F0E5D" w14:textId="4124D44E" w:rsidR="00DB16CD" w:rsidRPr="001D3EFE" w:rsidRDefault="00DB16CD" w:rsidP="001D3EFE">
      <w:pPr>
        <w:pStyle w:val="Textoindependiente"/>
        <w:widowControl w:val="0"/>
        <w:ind w:left="-284" w:right="-233"/>
        <w:rPr>
          <w:b/>
          <w:i/>
          <w:color w:val="auto"/>
          <w:sz w:val="22"/>
          <w:szCs w:val="22"/>
          <w:lang w:val="es-ES"/>
        </w:rPr>
      </w:pPr>
      <w:r w:rsidRPr="001D3EFE">
        <w:rPr>
          <w:b/>
          <w:i/>
          <w:color w:val="auto"/>
          <w:sz w:val="22"/>
          <w:szCs w:val="22"/>
          <w:lang w:val="es-ES"/>
        </w:rPr>
        <w:t>Cifras desestacionalizadas</w:t>
      </w:r>
    </w:p>
    <w:p w14:paraId="2E1EF955" w14:textId="279DC76C" w:rsidR="00A46C32" w:rsidRPr="001D3EFE" w:rsidRDefault="00CB76E7" w:rsidP="001D3EFE">
      <w:pPr>
        <w:widowControl w:val="0"/>
        <w:spacing w:before="120"/>
        <w:ind w:left="-284" w:right="-233"/>
        <w:rPr>
          <w:sz w:val="22"/>
          <w:szCs w:val="22"/>
        </w:rPr>
      </w:pPr>
      <w:r w:rsidRPr="001D3EFE">
        <w:rPr>
          <w:sz w:val="22"/>
          <w:szCs w:val="22"/>
          <w:lang w:val="es-ES"/>
        </w:rPr>
        <w:t xml:space="preserve">En </w:t>
      </w:r>
      <w:r w:rsidR="00D07FBB" w:rsidRPr="001D3EFE">
        <w:rPr>
          <w:sz w:val="22"/>
          <w:szCs w:val="22"/>
        </w:rPr>
        <w:t>marzo</w:t>
      </w:r>
      <w:r w:rsidR="00BC05F9" w:rsidRPr="001D3EFE">
        <w:rPr>
          <w:sz w:val="22"/>
          <w:szCs w:val="22"/>
        </w:rPr>
        <w:t xml:space="preserve"> de 2022,</w:t>
      </w:r>
      <w:r w:rsidR="00703413" w:rsidRPr="001D3EFE">
        <w:rPr>
          <w:sz w:val="22"/>
          <w:szCs w:val="22"/>
        </w:rPr>
        <w:t xml:space="preserve"> </w:t>
      </w:r>
      <w:r w:rsidR="00244AA7" w:rsidRPr="001D3EFE">
        <w:rPr>
          <w:sz w:val="22"/>
          <w:szCs w:val="22"/>
        </w:rPr>
        <w:t xml:space="preserve">el </w:t>
      </w:r>
      <w:r w:rsidR="00244AA7" w:rsidRPr="001D3EFE">
        <w:rPr>
          <w:b/>
          <w:sz w:val="22"/>
          <w:szCs w:val="22"/>
        </w:rPr>
        <w:t>Indicador Agregado de Tendencia</w:t>
      </w:r>
      <w:r w:rsidR="00244AA7" w:rsidRPr="001D3EFE">
        <w:rPr>
          <w:sz w:val="22"/>
          <w:szCs w:val="22"/>
        </w:rPr>
        <w:t xml:space="preserve"> </w:t>
      </w:r>
      <w:r w:rsidR="00244AA7" w:rsidRPr="001D3EFE">
        <w:rPr>
          <w:b/>
          <w:sz w:val="22"/>
          <w:szCs w:val="22"/>
        </w:rPr>
        <w:t>del Sector Manufacturero</w:t>
      </w:r>
      <w:r w:rsidR="002778D5" w:rsidRPr="001D3EFE">
        <w:rPr>
          <w:sz w:val="22"/>
          <w:szCs w:val="22"/>
        </w:rPr>
        <w:t xml:space="preserve"> se </w:t>
      </w:r>
      <w:r w:rsidR="00551D6B" w:rsidRPr="001D3EFE">
        <w:rPr>
          <w:sz w:val="22"/>
          <w:szCs w:val="22"/>
        </w:rPr>
        <w:t>situó</w:t>
      </w:r>
      <w:r w:rsidR="0093152D" w:rsidRPr="001D3EFE">
        <w:rPr>
          <w:sz w:val="22"/>
          <w:szCs w:val="22"/>
        </w:rPr>
        <w:t xml:space="preserve"> </w:t>
      </w:r>
      <w:r w:rsidR="00244AA7" w:rsidRPr="001D3EFE">
        <w:rPr>
          <w:sz w:val="22"/>
          <w:szCs w:val="22"/>
        </w:rPr>
        <w:t xml:space="preserve">en </w:t>
      </w:r>
      <w:r w:rsidR="002672D3" w:rsidRPr="001D3EFE">
        <w:rPr>
          <w:sz w:val="22"/>
          <w:szCs w:val="22"/>
        </w:rPr>
        <w:t>5</w:t>
      </w:r>
      <w:r w:rsidR="00D07FBB" w:rsidRPr="001D3EFE">
        <w:rPr>
          <w:sz w:val="22"/>
          <w:szCs w:val="22"/>
        </w:rPr>
        <w:t>2.2</w:t>
      </w:r>
      <w:r w:rsidR="00703413" w:rsidRPr="001D3EFE">
        <w:rPr>
          <w:sz w:val="22"/>
          <w:szCs w:val="22"/>
        </w:rPr>
        <w:t xml:space="preserve"> puntos, </w:t>
      </w:r>
      <w:r w:rsidR="00D07FBB" w:rsidRPr="001D3EFE">
        <w:rPr>
          <w:sz w:val="22"/>
          <w:szCs w:val="22"/>
        </w:rPr>
        <w:t>una reducción</w:t>
      </w:r>
      <w:r w:rsidR="00BC05F9" w:rsidRPr="001D3EFE">
        <w:rPr>
          <w:sz w:val="22"/>
          <w:szCs w:val="22"/>
        </w:rPr>
        <w:t xml:space="preserve"> </w:t>
      </w:r>
      <w:r w:rsidR="00E82715" w:rsidRPr="001D3EFE">
        <w:rPr>
          <w:sz w:val="22"/>
          <w:szCs w:val="22"/>
        </w:rPr>
        <w:t xml:space="preserve">de </w:t>
      </w:r>
      <w:r w:rsidR="00D07FBB" w:rsidRPr="001D3EFE">
        <w:rPr>
          <w:sz w:val="22"/>
          <w:szCs w:val="22"/>
        </w:rPr>
        <w:t>2.1</w:t>
      </w:r>
      <w:r w:rsidR="00E8495E" w:rsidRPr="001D3EFE">
        <w:rPr>
          <w:sz w:val="22"/>
          <w:szCs w:val="22"/>
        </w:rPr>
        <w:t xml:space="preserve"> </w:t>
      </w:r>
      <w:r w:rsidR="00244AA7" w:rsidRPr="001D3EFE">
        <w:rPr>
          <w:sz w:val="22"/>
          <w:szCs w:val="22"/>
        </w:rPr>
        <w:t xml:space="preserve">puntos </w:t>
      </w:r>
      <w:r w:rsidR="00E82715" w:rsidRPr="001D3EFE">
        <w:rPr>
          <w:sz w:val="22"/>
          <w:szCs w:val="22"/>
        </w:rPr>
        <w:t xml:space="preserve">con relación </w:t>
      </w:r>
      <w:r w:rsidR="00E8495E" w:rsidRPr="001D3EFE">
        <w:rPr>
          <w:sz w:val="22"/>
          <w:szCs w:val="22"/>
        </w:rPr>
        <w:t>a</w:t>
      </w:r>
      <w:r w:rsidR="000146C2" w:rsidRPr="001D3EFE">
        <w:rPr>
          <w:sz w:val="22"/>
          <w:szCs w:val="22"/>
        </w:rPr>
        <w:t xml:space="preserve">l </w:t>
      </w:r>
      <w:r w:rsidR="007F0FC6" w:rsidRPr="001D3EFE">
        <w:rPr>
          <w:sz w:val="22"/>
          <w:szCs w:val="22"/>
        </w:rPr>
        <w:t>de</w:t>
      </w:r>
      <w:r w:rsidR="00244AA7" w:rsidRPr="001D3EFE">
        <w:rPr>
          <w:sz w:val="22"/>
          <w:szCs w:val="22"/>
        </w:rPr>
        <w:t xml:space="preserve"> </w:t>
      </w:r>
      <w:r w:rsidR="00D07FBB" w:rsidRPr="001D3EFE">
        <w:rPr>
          <w:sz w:val="22"/>
          <w:szCs w:val="22"/>
        </w:rPr>
        <w:t>febrero</w:t>
      </w:r>
      <w:r w:rsidR="006469D8" w:rsidRPr="001D3EFE">
        <w:rPr>
          <w:sz w:val="22"/>
          <w:szCs w:val="22"/>
        </w:rPr>
        <w:t xml:space="preserve"> pasado</w:t>
      </w:r>
      <w:r w:rsidR="00244AA7" w:rsidRPr="001D3EFE">
        <w:rPr>
          <w:sz w:val="22"/>
          <w:szCs w:val="22"/>
        </w:rPr>
        <w:t xml:space="preserve">. </w:t>
      </w:r>
      <w:r w:rsidR="008D4E8D" w:rsidRPr="001D3EFE">
        <w:rPr>
          <w:sz w:val="22"/>
          <w:szCs w:val="22"/>
        </w:rPr>
        <w:t>De esta manera,</w:t>
      </w:r>
      <w:r w:rsidR="00244AA7" w:rsidRPr="001D3EFE">
        <w:rPr>
          <w:sz w:val="22"/>
          <w:szCs w:val="22"/>
        </w:rPr>
        <w:t xml:space="preserve"> el </w:t>
      </w:r>
      <w:r w:rsidR="008D4E8D" w:rsidRPr="001D3EFE">
        <w:rPr>
          <w:sz w:val="22"/>
          <w:szCs w:val="22"/>
        </w:rPr>
        <w:t xml:space="preserve">indicador </w:t>
      </w:r>
      <w:r w:rsidR="00905404" w:rsidRPr="001D3EFE">
        <w:rPr>
          <w:sz w:val="22"/>
          <w:szCs w:val="22"/>
        </w:rPr>
        <w:t>hiló</w:t>
      </w:r>
      <w:r w:rsidR="00C22934" w:rsidRPr="001D3EFE">
        <w:rPr>
          <w:sz w:val="22"/>
          <w:szCs w:val="22"/>
        </w:rPr>
        <w:t xml:space="preserve"> </w:t>
      </w:r>
      <w:r w:rsidR="00D07FBB" w:rsidRPr="001D3EFE">
        <w:rPr>
          <w:sz w:val="22"/>
          <w:szCs w:val="22"/>
        </w:rPr>
        <w:t>11</w:t>
      </w:r>
      <w:r w:rsidR="00231250" w:rsidRPr="001D3EFE">
        <w:rPr>
          <w:sz w:val="22"/>
          <w:szCs w:val="22"/>
        </w:rPr>
        <w:t xml:space="preserve"> </w:t>
      </w:r>
      <w:r w:rsidR="00273B40" w:rsidRPr="001D3EFE">
        <w:rPr>
          <w:sz w:val="22"/>
          <w:szCs w:val="22"/>
        </w:rPr>
        <w:t>mes</w:t>
      </w:r>
      <w:r w:rsidR="00D07FBB" w:rsidRPr="001D3EFE">
        <w:rPr>
          <w:sz w:val="22"/>
          <w:szCs w:val="22"/>
        </w:rPr>
        <w:t>es seguidos</w:t>
      </w:r>
      <w:r w:rsidR="00273B40" w:rsidRPr="001D3EFE">
        <w:rPr>
          <w:sz w:val="22"/>
          <w:szCs w:val="22"/>
        </w:rPr>
        <w:t xml:space="preserve"> por </w:t>
      </w:r>
      <w:r w:rsidR="008D4E8D" w:rsidRPr="001D3EFE">
        <w:rPr>
          <w:sz w:val="22"/>
          <w:szCs w:val="22"/>
        </w:rPr>
        <w:t>arriba del</w:t>
      </w:r>
      <w:r w:rsidR="00552630" w:rsidRPr="001D3EFE">
        <w:rPr>
          <w:sz w:val="22"/>
          <w:szCs w:val="22"/>
        </w:rPr>
        <w:t xml:space="preserve"> umbral de los 50 puntos.</w:t>
      </w:r>
    </w:p>
    <w:p w14:paraId="17D1D316" w14:textId="57C1B523" w:rsidR="00BC05F9" w:rsidRPr="00BC05F9" w:rsidRDefault="00BC05F9" w:rsidP="00BA60B3">
      <w:pPr>
        <w:spacing w:before="240"/>
        <w:jc w:val="center"/>
        <w:rPr>
          <w:sz w:val="20"/>
        </w:rPr>
      </w:pPr>
      <w:r w:rsidRPr="00BC05F9">
        <w:rPr>
          <w:sz w:val="20"/>
        </w:rPr>
        <w:t xml:space="preserve">Gráfica </w:t>
      </w:r>
      <w:r w:rsidR="0027370D">
        <w:rPr>
          <w:sz w:val="20"/>
        </w:rPr>
        <w:t>1</w:t>
      </w:r>
    </w:p>
    <w:p w14:paraId="2884BB42" w14:textId="6A173825" w:rsidR="00552630" w:rsidRPr="000A6510" w:rsidRDefault="00552630" w:rsidP="00BC05F9">
      <w:pPr>
        <w:jc w:val="center"/>
        <w:rPr>
          <w:b/>
          <w:smallCaps/>
          <w:sz w:val="22"/>
        </w:rPr>
      </w:pPr>
      <w:r w:rsidRPr="000A6510">
        <w:rPr>
          <w:b/>
          <w:smallCaps/>
          <w:sz w:val="22"/>
        </w:rPr>
        <w:t>Indicador agregado de tendencia manufacturero</w:t>
      </w:r>
    </w:p>
    <w:p w14:paraId="07109BA9" w14:textId="26E2A917" w:rsidR="00552630" w:rsidRPr="000A6510" w:rsidRDefault="002455CF" w:rsidP="00552630">
      <w:pPr>
        <w:jc w:val="center"/>
        <w:rPr>
          <w:b/>
          <w:smallCaps/>
          <w:sz w:val="22"/>
        </w:rPr>
      </w:pPr>
      <w:r>
        <w:rPr>
          <w:noProof/>
          <w:lang w:val="es-MX" w:eastAsia="es-MX"/>
        </w:rPr>
        <w:drawing>
          <wp:inline distT="0" distB="0" distL="0" distR="0" wp14:anchorId="607DB158" wp14:editId="75BEC567">
            <wp:extent cx="4320000" cy="2520000"/>
            <wp:effectExtent l="0" t="0" r="23495" b="33020"/>
            <wp:docPr id="5" name="Gráfico 5">
              <a:extLst xmlns:a="http://schemas.openxmlformats.org/drawingml/2006/main">
                <a:ext uri="{FF2B5EF4-FFF2-40B4-BE49-F238E27FC236}">
                  <a16:creationId xmlns:a16="http://schemas.microsoft.com/office/drawing/2014/main" id="{CD524772-7B10-423C-900A-85AADA4B0125}"/>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3305D37" w14:textId="77777777" w:rsidR="00552630" w:rsidRPr="00294891" w:rsidRDefault="00552630" w:rsidP="00552630">
      <w:pPr>
        <w:spacing w:before="20"/>
        <w:ind w:left="1412"/>
        <w:rPr>
          <w:sz w:val="16"/>
          <w:szCs w:val="14"/>
        </w:rPr>
      </w:pPr>
      <w:r w:rsidRPr="00294891">
        <w:rPr>
          <w:sz w:val="16"/>
          <w:szCs w:val="14"/>
        </w:rPr>
        <w:t xml:space="preserve">Fuente: </w:t>
      </w:r>
      <w:r w:rsidRPr="00294891">
        <w:rPr>
          <w:smallCaps/>
          <w:sz w:val="16"/>
          <w:szCs w:val="14"/>
        </w:rPr>
        <w:t>INEGI.</w:t>
      </w:r>
    </w:p>
    <w:p w14:paraId="34364C92" w14:textId="6FA3415E" w:rsidR="00552630" w:rsidRPr="000A6510" w:rsidRDefault="00552630" w:rsidP="00D36B25">
      <w:pPr>
        <w:keepNext/>
        <w:keepLines/>
        <w:widowControl w:val="0"/>
        <w:spacing w:before="360"/>
      </w:pPr>
      <w:r w:rsidRPr="000A6510">
        <w:lastRenderedPageBreak/>
        <w:t xml:space="preserve">El resultado mensual se derivó </w:t>
      </w:r>
      <w:r w:rsidR="00D07FBB">
        <w:t>de caídas en tres de sus</w:t>
      </w:r>
      <w:r w:rsidR="00BC05F9">
        <w:t xml:space="preserve"> cinco</w:t>
      </w:r>
      <w:r w:rsidR="00EE0DF1">
        <w:t xml:space="preserve"> </w:t>
      </w:r>
      <w:r w:rsidRPr="000A6510">
        <w:t>componente</w:t>
      </w:r>
      <w:r w:rsidR="002C0D8A" w:rsidRPr="000A6510">
        <w:t>s</w:t>
      </w:r>
      <w:r w:rsidR="00D07FBB">
        <w:t xml:space="preserve"> y de aumentos en los dos restantes</w:t>
      </w:r>
      <w:r w:rsidR="006F5F6B">
        <w:t xml:space="preserve">, </w:t>
      </w:r>
      <w:r w:rsidRPr="000A6510">
        <w:t>como se muestra en el cuadro siguiente:</w:t>
      </w:r>
    </w:p>
    <w:p w14:paraId="16B4952D" w14:textId="77777777" w:rsidR="00BC05F9" w:rsidRPr="00BC05F9" w:rsidRDefault="00BC05F9" w:rsidP="0027370D">
      <w:pPr>
        <w:keepNext/>
        <w:keepLines/>
        <w:widowControl w:val="0"/>
        <w:spacing w:before="240"/>
        <w:jc w:val="center"/>
        <w:outlineLvl w:val="0"/>
        <w:rPr>
          <w:sz w:val="20"/>
          <w:lang w:val="es-MX"/>
        </w:rPr>
      </w:pPr>
      <w:r w:rsidRPr="00BC05F9">
        <w:rPr>
          <w:sz w:val="20"/>
          <w:lang w:val="es-MX"/>
        </w:rPr>
        <w:t>Cuadro 1</w:t>
      </w:r>
    </w:p>
    <w:p w14:paraId="754FF35D" w14:textId="2A1F8817" w:rsidR="00A46C32" w:rsidRPr="000A6510" w:rsidRDefault="008153B0" w:rsidP="00BC05F9">
      <w:pPr>
        <w:keepNext/>
        <w:keepLines/>
        <w:widowControl w:val="0"/>
        <w:jc w:val="center"/>
        <w:outlineLvl w:val="0"/>
        <w:rPr>
          <w:b/>
          <w:smallCaps/>
          <w:sz w:val="22"/>
          <w:lang w:val="es-MX"/>
        </w:rPr>
      </w:pPr>
      <w:r w:rsidRPr="00E449C5">
        <w:rPr>
          <w:b/>
          <w:smallCaps/>
          <w:sz w:val="22"/>
          <w:lang w:val="es-MX"/>
        </w:rPr>
        <w:t xml:space="preserve">IAT y Expectativas empresariales </w:t>
      </w:r>
      <w:r w:rsidR="002C0D8A" w:rsidRPr="00E449C5">
        <w:rPr>
          <w:b/>
          <w:smallCaps/>
          <w:sz w:val="22"/>
          <w:lang w:val="es-MX"/>
        </w:rPr>
        <w:t>del</w:t>
      </w:r>
      <w:r w:rsidR="002C0D8A" w:rsidRPr="000A6510">
        <w:rPr>
          <w:b/>
          <w:smallCaps/>
          <w:sz w:val="22"/>
          <w:lang w:val="es-MX"/>
        </w:rPr>
        <w:t xml:space="preserve"> sector </w:t>
      </w:r>
      <w:r w:rsidR="00244AA7" w:rsidRPr="000A6510">
        <w:rPr>
          <w:b/>
          <w:smallCaps/>
          <w:sz w:val="22"/>
          <w:lang w:val="es-MX"/>
        </w:rPr>
        <w:t>manufacturero</w:t>
      </w:r>
    </w:p>
    <w:p w14:paraId="17382D8D" w14:textId="45F07E2B" w:rsidR="00A46C32" w:rsidRPr="000A6510" w:rsidRDefault="0022330D" w:rsidP="00A46C32">
      <w:pPr>
        <w:keepNext/>
        <w:keepLines/>
        <w:widowControl w:val="0"/>
        <w:spacing w:line="240" w:lineRule="exact"/>
        <w:jc w:val="center"/>
        <w:outlineLvl w:val="0"/>
        <w:rPr>
          <w:b/>
          <w:smallCaps/>
          <w:sz w:val="22"/>
          <w:lang w:val="es-MX"/>
        </w:rPr>
      </w:pPr>
      <w:r>
        <w:rPr>
          <w:b/>
          <w:smallCaps/>
          <w:sz w:val="22"/>
          <w:lang w:val="es-MX"/>
        </w:rPr>
        <w:t>c</w:t>
      </w:r>
      <w:r w:rsidR="00A46C32" w:rsidRPr="000A6510">
        <w:rPr>
          <w:b/>
          <w:smallCaps/>
          <w:sz w:val="22"/>
          <w:lang w:val="es-MX"/>
        </w:rPr>
        <w:t>ifras desestacionalizadas</w:t>
      </w:r>
    </w:p>
    <w:tbl>
      <w:tblPr>
        <w:tblStyle w:val="Tablaconcuadrcula"/>
        <w:tblW w:w="4976" w:type="pct"/>
        <w:jc w:val="center"/>
        <w:tblLayout w:type="fixed"/>
        <w:tblLook w:val="04A0" w:firstRow="1" w:lastRow="0" w:firstColumn="1" w:lastColumn="0" w:noHBand="0" w:noVBand="1"/>
      </w:tblPr>
      <w:tblGrid>
        <w:gridCol w:w="4545"/>
        <w:gridCol w:w="976"/>
        <w:gridCol w:w="999"/>
        <w:gridCol w:w="987"/>
        <w:gridCol w:w="439"/>
        <w:gridCol w:w="1405"/>
      </w:tblGrid>
      <w:tr w:rsidR="003355C9" w:rsidRPr="000A6510" w14:paraId="260A9263" w14:textId="77777777" w:rsidTr="00AB72B3">
        <w:trPr>
          <w:trHeight w:val="518"/>
          <w:tblHeader/>
          <w:jc w:val="center"/>
        </w:trPr>
        <w:tc>
          <w:tcPr>
            <w:tcW w:w="2430" w:type="pct"/>
            <w:vMerge w:val="restart"/>
            <w:tcBorders>
              <w:top w:val="single" w:sz="4" w:space="0" w:color="404040"/>
              <w:left w:val="single" w:sz="4" w:space="0" w:color="404040"/>
              <w:right w:val="single" w:sz="4" w:space="0" w:color="404040"/>
            </w:tcBorders>
            <w:shd w:val="clear" w:color="auto" w:fill="CCCCFF"/>
            <w:vAlign w:val="center"/>
          </w:tcPr>
          <w:p w14:paraId="613829F3" w14:textId="77777777" w:rsidR="003355C9" w:rsidRPr="000A6510" w:rsidRDefault="003355C9" w:rsidP="00877F30">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522" w:type="pct"/>
            <w:vMerge w:val="restart"/>
            <w:tcBorders>
              <w:top w:val="single" w:sz="4" w:space="0" w:color="404040"/>
              <w:left w:val="single" w:sz="4" w:space="0" w:color="404040"/>
              <w:right w:val="single" w:sz="4" w:space="0" w:color="404040"/>
            </w:tcBorders>
            <w:shd w:val="clear" w:color="auto" w:fill="CCCCFF"/>
            <w:vAlign w:val="center"/>
          </w:tcPr>
          <w:p w14:paraId="42AE442A" w14:textId="7A78B3D6" w:rsidR="003355C9" w:rsidRPr="000A6510" w:rsidRDefault="00345878" w:rsidP="00BD00AB">
            <w:pPr>
              <w:ind w:left="-108" w:right="-82"/>
              <w:jc w:val="center"/>
              <w:rPr>
                <w:spacing w:val="-4"/>
                <w:sz w:val="18"/>
                <w:szCs w:val="18"/>
              </w:rPr>
            </w:pPr>
            <w:r>
              <w:rPr>
                <w:spacing w:val="-4"/>
                <w:sz w:val="18"/>
                <w:szCs w:val="18"/>
              </w:rPr>
              <w:t>Marzo</w:t>
            </w:r>
            <w:r w:rsidR="00C8701F" w:rsidRPr="000A6510">
              <w:rPr>
                <w:spacing w:val="-4"/>
                <w:sz w:val="18"/>
                <w:szCs w:val="18"/>
              </w:rPr>
              <w:br/>
              <w:t xml:space="preserve">de </w:t>
            </w:r>
            <w:r w:rsidR="00BC05F9">
              <w:rPr>
                <w:spacing w:val="-4"/>
                <w:sz w:val="18"/>
                <w:szCs w:val="18"/>
              </w:rPr>
              <w:t>2022</w:t>
            </w:r>
          </w:p>
        </w:tc>
        <w:tc>
          <w:tcPr>
            <w:tcW w:w="1062"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279E6E3" w14:textId="77777777" w:rsidR="003355C9" w:rsidRPr="000A6510" w:rsidRDefault="003355C9" w:rsidP="001B1EDC">
            <w:pPr>
              <w:ind w:left="-106" w:right="-95"/>
              <w:jc w:val="center"/>
              <w:rPr>
                <w:spacing w:val="-4"/>
                <w:sz w:val="18"/>
                <w:szCs w:val="18"/>
              </w:rPr>
            </w:pPr>
            <w:r w:rsidRPr="000A6510">
              <w:rPr>
                <w:spacing w:val="-4"/>
                <w:sz w:val="18"/>
                <w:szCs w:val="18"/>
              </w:rPr>
              <w:t>Diferencia</w:t>
            </w:r>
            <w:r w:rsidR="00D36749" w:rsidRPr="000A6510">
              <w:rPr>
                <w:spacing w:val="-4"/>
                <w:sz w:val="18"/>
                <w:szCs w:val="18"/>
              </w:rPr>
              <w:t>s</w:t>
            </w:r>
            <w:r w:rsidR="00D36749" w:rsidRPr="000A6510">
              <w:rPr>
                <w:spacing w:val="-4"/>
                <w:sz w:val="18"/>
                <w:szCs w:val="18"/>
                <w:vertAlign w:val="superscript"/>
                <w:lang w:val="es-MX"/>
              </w:rPr>
              <w:t>1/</w:t>
            </w:r>
            <w:r w:rsidR="00D36749" w:rsidRPr="000A6510">
              <w:rPr>
                <w:spacing w:val="-4"/>
                <w:sz w:val="18"/>
                <w:szCs w:val="18"/>
              </w:rPr>
              <w:t xml:space="preserve"> </w:t>
            </w:r>
            <w:r w:rsidR="001B1EDC" w:rsidRPr="000A6510">
              <w:rPr>
                <w:spacing w:val="-4"/>
                <w:sz w:val="18"/>
                <w:szCs w:val="18"/>
              </w:rPr>
              <w:t>en</w:t>
            </w:r>
            <w:r w:rsidR="001B1EDC" w:rsidRPr="000A6510">
              <w:rPr>
                <w:spacing w:val="-4"/>
                <w:sz w:val="18"/>
                <w:szCs w:val="18"/>
              </w:rPr>
              <w:br/>
              <w:t xml:space="preserve">puntos </w:t>
            </w:r>
            <w:r w:rsidR="00D36749" w:rsidRPr="000A6510">
              <w:rPr>
                <w:spacing w:val="-4"/>
                <w:sz w:val="18"/>
                <w:szCs w:val="18"/>
              </w:rPr>
              <w:t>respecto al:</w:t>
            </w:r>
          </w:p>
        </w:tc>
        <w:tc>
          <w:tcPr>
            <w:tcW w:w="986" w:type="pct"/>
            <w:gridSpan w:val="2"/>
            <w:vMerge w:val="restart"/>
            <w:tcBorders>
              <w:top w:val="single" w:sz="4" w:space="0" w:color="404040"/>
              <w:left w:val="single" w:sz="4" w:space="0" w:color="404040"/>
              <w:right w:val="single" w:sz="4" w:space="0" w:color="404040"/>
            </w:tcBorders>
            <w:shd w:val="clear" w:color="auto" w:fill="CCCCFF"/>
            <w:vAlign w:val="center"/>
          </w:tcPr>
          <w:p w14:paraId="099B4DF6" w14:textId="799A0FAF" w:rsidR="003355C9" w:rsidRPr="000A6510" w:rsidRDefault="003355C9" w:rsidP="00D76DC5">
            <w:pPr>
              <w:tabs>
                <w:tab w:val="center" w:pos="3348"/>
              </w:tabs>
              <w:ind w:left="-84" w:right="-99"/>
              <w:jc w:val="center"/>
              <w:rPr>
                <w:spacing w:val="-4"/>
                <w:sz w:val="18"/>
                <w:szCs w:val="18"/>
              </w:rPr>
            </w:pPr>
            <w:r w:rsidRPr="000A6510">
              <w:rPr>
                <w:spacing w:val="-4"/>
                <w:sz w:val="18"/>
                <w:szCs w:val="18"/>
              </w:rPr>
              <w:t xml:space="preserve">Número de meses consecutivos por </w:t>
            </w:r>
            <w:r w:rsidR="008804EB" w:rsidRPr="000A6510">
              <w:rPr>
                <w:spacing w:val="-4"/>
                <w:sz w:val="18"/>
                <w:szCs w:val="18"/>
              </w:rPr>
              <w:br/>
            </w:r>
            <w:r w:rsidRPr="000A6510">
              <w:rPr>
                <w:spacing w:val="-4"/>
                <w:sz w:val="18"/>
                <w:szCs w:val="18"/>
              </w:rPr>
              <w:t>arriba o por debajo</w:t>
            </w:r>
            <w:r w:rsidR="008804EB" w:rsidRPr="000A6510">
              <w:rPr>
                <w:spacing w:val="-4"/>
                <w:sz w:val="18"/>
                <w:szCs w:val="18"/>
              </w:rPr>
              <w:br/>
            </w:r>
            <w:r w:rsidRPr="000A6510">
              <w:rPr>
                <w:spacing w:val="-4"/>
                <w:sz w:val="18"/>
                <w:szCs w:val="18"/>
              </w:rPr>
              <w:t xml:space="preserve"> del umbral de </w:t>
            </w:r>
            <w:r w:rsidR="008804EB" w:rsidRPr="000A6510">
              <w:rPr>
                <w:spacing w:val="-4"/>
                <w:sz w:val="18"/>
                <w:szCs w:val="18"/>
              </w:rPr>
              <w:br/>
            </w:r>
            <w:r w:rsidRPr="000A6510">
              <w:rPr>
                <w:spacing w:val="-4"/>
                <w:sz w:val="18"/>
                <w:szCs w:val="18"/>
              </w:rPr>
              <w:t>50 puntos</w:t>
            </w:r>
          </w:p>
        </w:tc>
      </w:tr>
      <w:tr w:rsidR="00812DAD" w:rsidRPr="000A6510" w14:paraId="30F2FCBB" w14:textId="77777777" w:rsidTr="00244AA7">
        <w:trPr>
          <w:trHeight w:val="517"/>
          <w:tblHeader/>
          <w:jc w:val="center"/>
        </w:trPr>
        <w:tc>
          <w:tcPr>
            <w:tcW w:w="2430" w:type="pct"/>
            <w:vMerge/>
            <w:tcBorders>
              <w:left w:val="single" w:sz="4" w:space="0" w:color="404040"/>
              <w:bottom w:val="single" w:sz="4" w:space="0" w:color="404040"/>
              <w:right w:val="single" w:sz="4" w:space="0" w:color="404040"/>
            </w:tcBorders>
            <w:shd w:val="clear" w:color="auto" w:fill="CCCCFF"/>
            <w:vAlign w:val="center"/>
          </w:tcPr>
          <w:p w14:paraId="7E9EA665" w14:textId="77777777" w:rsidR="003355C9" w:rsidRPr="000A6510" w:rsidRDefault="003355C9" w:rsidP="00877F30">
            <w:pPr>
              <w:widowControl w:val="0"/>
              <w:tabs>
                <w:tab w:val="left" w:pos="708"/>
                <w:tab w:val="center" w:pos="3348"/>
              </w:tabs>
              <w:ind w:firstLine="307"/>
              <w:jc w:val="left"/>
              <w:rPr>
                <w:spacing w:val="4"/>
                <w:sz w:val="18"/>
                <w:szCs w:val="18"/>
              </w:rPr>
            </w:pPr>
          </w:p>
        </w:tc>
        <w:tc>
          <w:tcPr>
            <w:tcW w:w="522" w:type="pct"/>
            <w:vMerge/>
            <w:tcBorders>
              <w:left w:val="single" w:sz="4" w:space="0" w:color="404040"/>
              <w:bottom w:val="single" w:sz="4" w:space="0" w:color="404040"/>
              <w:right w:val="single" w:sz="4" w:space="0" w:color="404040"/>
            </w:tcBorders>
            <w:shd w:val="clear" w:color="auto" w:fill="CCCCFF"/>
            <w:vAlign w:val="center"/>
          </w:tcPr>
          <w:p w14:paraId="27626701" w14:textId="77777777" w:rsidR="003355C9" w:rsidRPr="000A6510" w:rsidRDefault="003355C9" w:rsidP="00D76DC5">
            <w:pPr>
              <w:ind w:left="-108" w:right="-82"/>
              <w:jc w:val="center"/>
              <w:rPr>
                <w:spacing w:val="-4"/>
                <w:sz w:val="18"/>
                <w:szCs w:val="18"/>
              </w:rPr>
            </w:pPr>
          </w:p>
        </w:tc>
        <w:tc>
          <w:tcPr>
            <w:tcW w:w="534" w:type="pct"/>
            <w:tcBorders>
              <w:top w:val="single" w:sz="4" w:space="0" w:color="404040"/>
              <w:left w:val="single" w:sz="4" w:space="0" w:color="404040"/>
              <w:bottom w:val="nil"/>
              <w:right w:val="single" w:sz="4" w:space="0" w:color="404040"/>
            </w:tcBorders>
            <w:shd w:val="clear" w:color="auto" w:fill="CCCCFF"/>
            <w:vAlign w:val="center"/>
          </w:tcPr>
          <w:p w14:paraId="470787FA" w14:textId="2271A2C0" w:rsidR="00D36749" w:rsidRPr="000A6510" w:rsidRDefault="0045475C" w:rsidP="00601E00">
            <w:pPr>
              <w:ind w:left="-106" w:right="-95"/>
              <w:jc w:val="center"/>
              <w:rPr>
                <w:spacing w:val="-4"/>
                <w:sz w:val="18"/>
                <w:szCs w:val="18"/>
              </w:rPr>
            </w:pPr>
            <w:r w:rsidRPr="000A6510">
              <w:rPr>
                <w:spacing w:val="-4"/>
                <w:sz w:val="18"/>
                <w:szCs w:val="18"/>
              </w:rPr>
              <w:t>Mes</w:t>
            </w:r>
            <w:r w:rsidR="00601E00">
              <w:rPr>
                <w:spacing w:val="-4"/>
                <w:sz w:val="18"/>
                <w:szCs w:val="18"/>
              </w:rPr>
              <w:t xml:space="preserve"> </w:t>
            </w:r>
            <w:r w:rsidR="00601E00">
              <w:rPr>
                <w:spacing w:val="-4"/>
                <w:sz w:val="18"/>
                <w:szCs w:val="18"/>
              </w:rPr>
              <w:br/>
            </w:r>
            <w:r w:rsidRPr="000A6510">
              <w:rPr>
                <w:spacing w:val="-4"/>
                <w:sz w:val="18"/>
                <w:szCs w:val="18"/>
              </w:rPr>
              <w:t>previo</w:t>
            </w:r>
          </w:p>
        </w:tc>
        <w:tc>
          <w:tcPr>
            <w:tcW w:w="528" w:type="pct"/>
            <w:tcBorders>
              <w:top w:val="single" w:sz="4" w:space="0" w:color="404040"/>
              <w:left w:val="single" w:sz="4" w:space="0" w:color="404040"/>
              <w:bottom w:val="nil"/>
              <w:right w:val="single" w:sz="4" w:space="0" w:color="404040"/>
            </w:tcBorders>
            <w:shd w:val="clear" w:color="auto" w:fill="CCCCFF"/>
            <w:vAlign w:val="center"/>
          </w:tcPr>
          <w:p w14:paraId="06F86734" w14:textId="77777777" w:rsidR="003355C9" w:rsidRPr="000A6510" w:rsidRDefault="00D36749" w:rsidP="00D36749">
            <w:pPr>
              <w:ind w:left="-106" w:right="-95"/>
              <w:jc w:val="center"/>
              <w:rPr>
                <w:spacing w:val="-4"/>
                <w:sz w:val="18"/>
                <w:szCs w:val="18"/>
              </w:rPr>
            </w:pPr>
            <w:r w:rsidRPr="000A6510">
              <w:rPr>
                <w:spacing w:val="-4"/>
                <w:sz w:val="18"/>
                <w:szCs w:val="18"/>
              </w:rPr>
              <w:t>Mismo mes del año anterior</w:t>
            </w:r>
          </w:p>
        </w:tc>
        <w:tc>
          <w:tcPr>
            <w:tcW w:w="986" w:type="pct"/>
            <w:gridSpan w:val="2"/>
            <w:vMerge/>
            <w:tcBorders>
              <w:left w:val="single" w:sz="4" w:space="0" w:color="404040"/>
              <w:bottom w:val="single" w:sz="4" w:space="0" w:color="404040"/>
              <w:right w:val="single" w:sz="4" w:space="0" w:color="404040"/>
            </w:tcBorders>
            <w:shd w:val="clear" w:color="auto" w:fill="CCCCFF"/>
            <w:vAlign w:val="center"/>
          </w:tcPr>
          <w:p w14:paraId="029BE027" w14:textId="77777777" w:rsidR="003355C9" w:rsidRPr="000A6510" w:rsidRDefault="003355C9" w:rsidP="00D76DC5">
            <w:pPr>
              <w:tabs>
                <w:tab w:val="center" w:pos="3348"/>
              </w:tabs>
              <w:ind w:left="-84" w:right="-99"/>
              <w:jc w:val="center"/>
              <w:rPr>
                <w:sz w:val="18"/>
                <w:szCs w:val="18"/>
              </w:rPr>
            </w:pPr>
          </w:p>
        </w:tc>
      </w:tr>
      <w:tr w:rsidR="00127B5E" w:rsidRPr="00A065C1" w14:paraId="1D3A7F78" w14:textId="77777777" w:rsidTr="007F0FC6">
        <w:trPr>
          <w:jc w:val="center"/>
        </w:trPr>
        <w:tc>
          <w:tcPr>
            <w:tcW w:w="2430" w:type="pct"/>
            <w:tcBorders>
              <w:top w:val="nil"/>
              <w:left w:val="single" w:sz="4" w:space="0" w:color="404040"/>
              <w:bottom w:val="nil"/>
              <w:right w:val="single" w:sz="4" w:space="0" w:color="404040"/>
            </w:tcBorders>
            <w:shd w:val="clear" w:color="auto" w:fill="auto"/>
            <w:vAlign w:val="bottom"/>
          </w:tcPr>
          <w:p w14:paraId="74D64D20" w14:textId="7903B58E" w:rsidR="00127B5E" w:rsidRPr="00A065C1" w:rsidRDefault="00127B5E" w:rsidP="00127B5E">
            <w:pPr>
              <w:widowControl w:val="0"/>
              <w:spacing w:before="20" w:after="20"/>
              <w:contextualSpacing/>
              <w:jc w:val="left"/>
              <w:rPr>
                <w:b/>
                <w:sz w:val="18"/>
                <w:szCs w:val="18"/>
                <w:lang w:val="es-MX"/>
              </w:rPr>
            </w:pPr>
            <w:r w:rsidRPr="00A065C1">
              <w:rPr>
                <w:b/>
                <w:sz w:val="18"/>
                <w:szCs w:val="18"/>
                <w:lang w:val="es-MX"/>
              </w:rPr>
              <w:t>Indicador Agregado de Tendencia del Sector Manufacturero</w:t>
            </w:r>
          </w:p>
        </w:tc>
        <w:tc>
          <w:tcPr>
            <w:tcW w:w="522" w:type="pct"/>
            <w:tcBorders>
              <w:top w:val="single" w:sz="4" w:space="0" w:color="404040"/>
              <w:left w:val="single" w:sz="4" w:space="0" w:color="404040"/>
              <w:bottom w:val="nil"/>
              <w:right w:val="single" w:sz="4" w:space="0" w:color="404040"/>
            </w:tcBorders>
            <w:shd w:val="clear" w:color="auto" w:fill="auto"/>
            <w:vAlign w:val="center"/>
          </w:tcPr>
          <w:p w14:paraId="5C59C87F" w14:textId="23304924" w:rsidR="00127B5E" w:rsidRPr="00127B5E" w:rsidRDefault="00127B5E" w:rsidP="00127B5E">
            <w:pPr>
              <w:tabs>
                <w:tab w:val="decimal" w:pos="368"/>
              </w:tabs>
              <w:jc w:val="left"/>
              <w:rPr>
                <w:b/>
                <w:sz w:val="18"/>
                <w:szCs w:val="18"/>
                <w:lang w:val="es-MX" w:eastAsia="es-MX"/>
              </w:rPr>
            </w:pPr>
            <w:r w:rsidRPr="00127B5E">
              <w:rPr>
                <w:b/>
                <w:bCs/>
                <w:sz w:val="18"/>
                <w:szCs w:val="18"/>
              </w:rPr>
              <w:t>52.2</w:t>
            </w:r>
          </w:p>
        </w:tc>
        <w:tc>
          <w:tcPr>
            <w:tcW w:w="534" w:type="pct"/>
            <w:tcBorders>
              <w:top w:val="single" w:sz="4" w:space="0" w:color="404040"/>
              <w:left w:val="single" w:sz="4" w:space="0" w:color="404040"/>
              <w:bottom w:val="nil"/>
              <w:right w:val="nil"/>
            </w:tcBorders>
            <w:shd w:val="clear" w:color="auto" w:fill="auto"/>
            <w:vAlign w:val="center"/>
          </w:tcPr>
          <w:p w14:paraId="7B6DA459" w14:textId="600A2BA0" w:rsidR="00127B5E" w:rsidRPr="00127B5E" w:rsidRDefault="00127B5E" w:rsidP="00127B5E">
            <w:pPr>
              <w:tabs>
                <w:tab w:val="decimal" w:pos="369"/>
              </w:tabs>
              <w:jc w:val="left"/>
              <w:rPr>
                <w:b/>
                <w:bCs/>
                <w:sz w:val="18"/>
                <w:szCs w:val="18"/>
              </w:rPr>
            </w:pPr>
            <w:r w:rsidRPr="00127B5E">
              <w:rPr>
                <w:b/>
                <w:bCs/>
                <w:sz w:val="18"/>
                <w:szCs w:val="18"/>
              </w:rPr>
              <w:t>-2.1</w:t>
            </w:r>
          </w:p>
        </w:tc>
        <w:tc>
          <w:tcPr>
            <w:tcW w:w="528" w:type="pct"/>
            <w:tcBorders>
              <w:top w:val="single" w:sz="4" w:space="0" w:color="404040"/>
              <w:left w:val="nil"/>
              <w:bottom w:val="nil"/>
              <w:right w:val="single" w:sz="4" w:space="0" w:color="404040"/>
            </w:tcBorders>
            <w:shd w:val="clear" w:color="auto" w:fill="auto"/>
            <w:vAlign w:val="center"/>
          </w:tcPr>
          <w:p w14:paraId="3846DFF8" w14:textId="6EB612DB" w:rsidR="00127B5E" w:rsidRPr="00127B5E" w:rsidRDefault="00127B5E" w:rsidP="00127B5E">
            <w:pPr>
              <w:tabs>
                <w:tab w:val="decimal" w:pos="309"/>
              </w:tabs>
              <w:jc w:val="left"/>
              <w:rPr>
                <w:b/>
                <w:sz w:val="18"/>
                <w:szCs w:val="18"/>
              </w:rPr>
            </w:pPr>
            <w:r w:rsidRPr="00127B5E">
              <w:rPr>
                <w:b/>
                <w:bCs/>
                <w:sz w:val="18"/>
                <w:szCs w:val="18"/>
              </w:rPr>
              <w:t>0.3</w:t>
            </w:r>
          </w:p>
        </w:tc>
        <w:tc>
          <w:tcPr>
            <w:tcW w:w="235" w:type="pct"/>
            <w:tcBorders>
              <w:top w:val="single" w:sz="4" w:space="0" w:color="404040"/>
              <w:left w:val="single" w:sz="4" w:space="0" w:color="404040"/>
              <w:bottom w:val="nil"/>
              <w:right w:val="nil"/>
            </w:tcBorders>
            <w:shd w:val="clear" w:color="auto" w:fill="auto"/>
            <w:vAlign w:val="center"/>
          </w:tcPr>
          <w:p w14:paraId="120B0DD4" w14:textId="0B97E1A3" w:rsidR="00127B5E" w:rsidRPr="00127B5E" w:rsidRDefault="00127B5E" w:rsidP="00127B5E">
            <w:pPr>
              <w:ind w:left="-105" w:right="-36"/>
              <w:jc w:val="right"/>
              <w:rPr>
                <w:b/>
                <w:sz w:val="18"/>
                <w:szCs w:val="18"/>
              </w:rPr>
            </w:pPr>
            <w:r w:rsidRPr="00127B5E">
              <w:rPr>
                <w:b/>
                <w:bCs/>
                <w:sz w:val="18"/>
                <w:szCs w:val="18"/>
              </w:rPr>
              <w:t>11</w:t>
            </w:r>
          </w:p>
        </w:tc>
        <w:tc>
          <w:tcPr>
            <w:tcW w:w="751" w:type="pct"/>
            <w:tcBorders>
              <w:top w:val="nil"/>
              <w:left w:val="nil"/>
              <w:bottom w:val="nil"/>
              <w:right w:val="single" w:sz="4" w:space="0" w:color="404040"/>
            </w:tcBorders>
            <w:shd w:val="clear" w:color="auto" w:fill="auto"/>
            <w:vAlign w:val="center"/>
          </w:tcPr>
          <w:p w14:paraId="4D1E4499" w14:textId="1EFBA476" w:rsidR="00127B5E" w:rsidRPr="009770E0" w:rsidRDefault="00127B5E" w:rsidP="00127B5E">
            <w:pPr>
              <w:tabs>
                <w:tab w:val="decimal" w:pos="810"/>
              </w:tabs>
              <w:jc w:val="left"/>
              <w:rPr>
                <w:b/>
                <w:sz w:val="18"/>
                <w:szCs w:val="18"/>
              </w:rPr>
            </w:pPr>
            <w:r>
              <w:rPr>
                <w:b/>
                <w:bCs/>
                <w:color w:val="000000"/>
                <w:sz w:val="18"/>
                <w:szCs w:val="18"/>
              </w:rPr>
              <w:t>Por arriba</w:t>
            </w:r>
          </w:p>
        </w:tc>
      </w:tr>
      <w:tr w:rsidR="00127B5E" w:rsidRPr="00A065C1" w14:paraId="519DE18E" w14:textId="77777777" w:rsidTr="007F0FC6">
        <w:trPr>
          <w:jc w:val="center"/>
        </w:trPr>
        <w:tc>
          <w:tcPr>
            <w:tcW w:w="2430" w:type="pct"/>
            <w:tcBorders>
              <w:top w:val="nil"/>
              <w:left w:val="single" w:sz="4" w:space="0" w:color="404040"/>
              <w:bottom w:val="nil"/>
              <w:right w:val="single" w:sz="4" w:space="0" w:color="404040"/>
            </w:tcBorders>
            <w:shd w:val="clear" w:color="auto" w:fill="auto"/>
            <w:vAlign w:val="bottom"/>
          </w:tcPr>
          <w:p w14:paraId="704A86DC" w14:textId="051AD4B6" w:rsidR="00127B5E" w:rsidRPr="00395C33" w:rsidRDefault="00395C33" w:rsidP="00395C33">
            <w:pPr>
              <w:widowControl w:val="0"/>
              <w:spacing w:before="20" w:after="20"/>
              <w:ind w:left="57"/>
              <w:contextualSpacing/>
              <w:jc w:val="left"/>
              <w:rPr>
                <w:sz w:val="18"/>
                <w:szCs w:val="18"/>
                <w:lang w:val="es-MX"/>
              </w:rPr>
            </w:pPr>
            <w:r>
              <w:rPr>
                <w:sz w:val="18"/>
                <w:szCs w:val="18"/>
                <w:lang w:val="es-MX"/>
              </w:rPr>
              <w:t xml:space="preserve">a)  </w:t>
            </w:r>
            <w:r w:rsidR="00127B5E" w:rsidRPr="00395C33">
              <w:rPr>
                <w:sz w:val="18"/>
                <w:szCs w:val="18"/>
                <w:lang w:val="es-MX"/>
              </w:rPr>
              <w:t>Producción</w:t>
            </w:r>
          </w:p>
        </w:tc>
        <w:tc>
          <w:tcPr>
            <w:tcW w:w="522" w:type="pct"/>
            <w:tcBorders>
              <w:top w:val="nil"/>
              <w:left w:val="single" w:sz="4" w:space="0" w:color="404040"/>
              <w:bottom w:val="nil"/>
              <w:right w:val="single" w:sz="4" w:space="0" w:color="404040"/>
            </w:tcBorders>
            <w:shd w:val="clear" w:color="auto" w:fill="auto"/>
            <w:vAlign w:val="center"/>
          </w:tcPr>
          <w:p w14:paraId="7624896C" w14:textId="1308D4C3" w:rsidR="00127B5E" w:rsidRPr="00127B5E" w:rsidRDefault="00127B5E" w:rsidP="00127B5E">
            <w:pPr>
              <w:tabs>
                <w:tab w:val="decimal" w:pos="368"/>
              </w:tabs>
              <w:jc w:val="left"/>
              <w:rPr>
                <w:sz w:val="18"/>
                <w:szCs w:val="18"/>
              </w:rPr>
            </w:pPr>
            <w:r w:rsidRPr="00127B5E">
              <w:rPr>
                <w:sz w:val="18"/>
                <w:szCs w:val="18"/>
              </w:rPr>
              <w:t xml:space="preserve">52.9 </w:t>
            </w:r>
          </w:p>
        </w:tc>
        <w:tc>
          <w:tcPr>
            <w:tcW w:w="534" w:type="pct"/>
            <w:tcBorders>
              <w:top w:val="nil"/>
              <w:left w:val="single" w:sz="4" w:space="0" w:color="404040"/>
              <w:bottom w:val="nil"/>
              <w:right w:val="nil"/>
            </w:tcBorders>
            <w:shd w:val="clear" w:color="auto" w:fill="auto"/>
            <w:vAlign w:val="center"/>
          </w:tcPr>
          <w:p w14:paraId="72B8FCD3" w14:textId="573DE908" w:rsidR="00127B5E" w:rsidRPr="00127B5E" w:rsidRDefault="00127B5E" w:rsidP="00127B5E">
            <w:pPr>
              <w:tabs>
                <w:tab w:val="decimal" w:pos="369"/>
              </w:tabs>
              <w:jc w:val="left"/>
              <w:rPr>
                <w:bCs/>
                <w:sz w:val="18"/>
                <w:szCs w:val="18"/>
              </w:rPr>
            </w:pPr>
            <w:r w:rsidRPr="00127B5E">
              <w:rPr>
                <w:sz w:val="18"/>
                <w:szCs w:val="18"/>
              </w:rPr>
              <w:t>-2.6</w:t>
            </w:r>
          </w:p>
        </w:tc>
        <w:tc>
          <w:tcPr>
            <w:tcW w:w="528" w:type="pct"/>
            <w:tcBorders>
              <w:top w:val="nil"/>
              <w:left w:val="nil"/>
              <w:bottom w:val="nil"/>
              <w:right w:val="single" w:sz="4" w:space="0" w:color="404040"/>
            </w:tcBorders>
            <w:shd w:val="clear" w:color="auto" w:fill="auto"/>
            <w:vAlign w:val="center"/>
          </w:tcPr>
          <w:p w14:paraId="3DC82FF3" w14:textId="1492312F" w:rsidR="00127B5E" w:rsidRPr="00127B5E" w:rsidRDefault="00127B5E" w:rsidP="00127B5E">
            <w:pPr>
              <w:tabs>
                <w:tab w:val="decimal" w:pos="309"/>
              </w:tabs>
              <w:jc w:val="left"/>
              <w:rPr>
                <w:sz w:val="18"/>
                <w:szCs w:val="18"/>
              </w:rPr>
            </w:pPr>
            <w:r w:rsidRPr="00127B5E">
              <w:rPr>
                <w:sz w:val="18"/>
                <w:szCs w:val="18"/>
              </w:rPr>
              <w:t>-0.4</w:t>
            </w:r>
          </w:p>
        </w:tc>
        <w:tc>
          <w:tcPr>
            <w:tcW w:w="235" w:type="pct"/>
            <w:tcBorders>
              <w:top w:val="nil"/>
              <w:left w:val="single" w:sz="4" w:space="0" w:color="404040"/>
              <w:bottom w:val="nil"/>
              <w:right w:val="nil"/>
            </w:tcBorders>
            <w:shd w:val="clear" w:color="auto" w:fill="auto"/>
            <w:vAlign w:val="center"/>
          </w:tcPr>
          <w:p w14:paraId="43E45C83" w14:textId="07938291" w:rsidR="00127B5E" w:rsidRPr="00127B5E" w:rsidRDefault="00127B5E" w:rsidP="00127B5E">
            <w:pPr>
              <w:ind w:left="-105" w:right="-36"/>
              <w:jc w:val="right"/>
              <w:rPr>
                <w:sz w:val="18"/>
                <w:szCs w:val="18"/>
              </w:rPr>
            </w:pPr>
            <w:r w:rsidRPr="00127B5E">
              <w:rPr>
                <w:sz w:val="18"/>
                <w:szCs w:val="18"/>
              </w:rPr>
              <w:t>11</w:t>
            </w:r>
          </w:p>
        </w:tc>
        <w:tc>
          <w:tcPr>
            <w:tcW w:w="751" w:type="pct"/>
            <w:tcBorders>
              <w:top w:val="nil"/>
              <w:left w:val="nil"/>
              <w:bottom w:val="nil"/>
              <w:right w:val="single" w:sz="4" w:space="0" w:color="404040"/>
            </w:tcBorders>
            <w:shd w:val="clear" w:color="auto" w:fill="auto"/>
            <w:vAlign w:val="center"/>
          </w:tcPr>
          <w:p w14:paraId="2ABDE243" w14:textId="28039B40" w:rsidR="00127B5E" w:rsidRPr="009770E0" w:rsidRDefault="00127B5E" w:rsidP="00127B5E">
            <w:pPr>
              <w:tabs>
                <w:tab w:val="decimal" w:pos="810"/>
              </w:tabs>
              <w:jc w:val="left"/>
              <w:rPr>
                <w:sz w:val="18"/>
                <w:szCs w:val="18"/>
              </w:rPr>
            </w:pPr>
            <w:r>
              <w:rPr>
                <w:color w:val="000000"/>
                <w:sz w:val="18"/>
                <w:szCs w:val="18"/>
              </w:rPr>
              <w:t>Por arriba</w:t>
            </w:r>
          </w:p>
        </w:tc>
      </w:tr>
      <w:tr w:rsidR="00127B5E" w:rsidRPr="00A065C1" w14:paraId="23211B31" w14:textId="77777777" w:rsidTr="007F0FC6">
        <w:trPr>
          <w:jc w:val="center"/>
        </w:trPr>
        <w:tc>
          <w:tcPr>
            <w:tcW w:w="2430" w:type="pct"/>
            <w:tcBorders>
              <w:top w:val="nil"/>
              <w:left w:val="single" w:sz="4" w:space="0" w:color="404040"/>
              <w:bottom w:val="nil"/>
              <w:right w:val="single" w:sz="4" w:space="0" w:color="404040"/>
            </w:tcBorders>
            <w:shd w:val="clear" w:color="auto" w:fill="auto"/>
            <w:vAlign w:val="bottom"/>
          </w:tcPr>
          <w:p w14:paraId="6838E8EC" w14:textId="5612A7DD" w:rsidR="00127B5E" w:rsidRPr="00395C33" w:rsidRDefault="00395C33" w:rsidP="00395C33">
            <w:pPr>
              <w:widowControl w:val="0"/>
              <w:spacing w:before="20" w:after="20"/>
              <w:ind w:left="56"/>
              <w:contextualSpacing/>
              <w:jc w:val="left"/>
              <w:rPr>
                <w:sz w:val="18"/>
                <w:szCs w:val="18"/>
                <w:lang w:val="es-MX"/>
              </w:rPr>
            </w:pPr>
            <w:r>
              <w:rPr>
                <w:sz w:val="18"/>
                <w:szCs w:val="18"/>
                <w:lang w:val="es-MX"/>
              </w:rPr>
              <w:t xml:space="preserve">b)  </w:t>
            </w:r>
            <w:r w:rsidR="00127B5E" w:rsidRPr="00395C33">
              <w:rPr>
                <w:sz w:val="18"/>
                <w:szCs w:val="18"/>
                <w:lang w:val="es-MX"/>
              </w:rPr>
              <w:t>Capacidad de planta utilizada</w:t>
            </w:r>
          </w:p>
        </w:tc>
        <w:tc>
          <w:tcPr>
            <w:tcW w:w="522" w:type="pct"/>
            <w:tcBorders>
              <w:top w:val="nil"/>
              <w:left w:val="single" w:sz="4" w:space="0" w:color="404040"/>
              <w:bottom w:val="nil"/>
              <w:right w:val="single" w:sz="4" w:space="0" w:color="404040"/>
            </w:tcBorders>
            <w:shd w:val="clear" w:color="auto" w:fill="auto"/>
            <w:vAlign w:val="center"/>
          </w:tcPr>
          <w:p w14:paraId="6A4C86C4" w14:textId="68D0C790" w:rsidR="00127B5E" w:rsidRPr="00127B5E" w:rsidRDefault="00127B5E" w:rsidP="00127B5E">
            <w:pPr>
              <w:tabs>
                <w:tab w:val="decimal" w:pos="368"/>
              </w:tabs>
              <w:jc w:val="left"/>
              <w:rPr>
                <w:sz w:val="18"/>
                <w:szCs w:val="18"/>
              </w:rPr>
            </w:pPr>
            <w:r w:rsidRPr="00127B5E">
              <w:rPr>
                <w:sz w:val="18"/>
                <w:szCs w:val="18"/>
              </w:rPr>
              <w:t xml:space="preserve">54.1 </w:t>
            </w:r>
          </w:p>
        </w:tc>
        <w:tc>
          <w:tcPr>
            <w:tcW w:w="534" w:type="pct"/>
            <w:tcBorders>
              <w:top w:val="nil"/>
              <w:left w:val="single" w:sz="4" w:space="0" w:color="404040"/>
              <w:bottom w:val="nil"/>
              <w:right w:val="nil"/>
            </w:tcBorders>
            <w:shd w:val="clear" w:color="auto" w:fill="auto"/>
            <w:vAlign w:val="center"/>
          </w:tcPr>
          <w:p w14:paraId="14DAEFA9" w14:textId="00B35A4D" w:rsidR="00127B5E" w:rsidRPr="00127B5E" w:rsidRDefault="00127B5E" w:rsidP="00127B5E">
            <w:pPr>
              <w:tabs>
                <w:tab w:val="decimal" w:pos="369"/>
              </w:tabs>
              <w:jc w:val="left"/>
              <w:rPr>
                <w:bCs/>
                <w:sz w:val="18"/>
                <w:szCs w:val="18"/>
              </w:rPr>
            </w:pPr>
            <w:r w:rsidRPr="00127B5E">
              <w:rPr>
                <w:sz w:val="18"/>
                <w:szCs w:val="18"/>
              </w:rPr>
              <w:t>0.6</w:t>
            </w:r>
          </w:p>
        </w:tc>
        <w:tc>
          <w:tcPr>
            <w:tcW w:w="528" w:type="pct"/>
            <w:tcBorders>
              <w:top w:val="nil"/>
              <w:left w:val="nil"/>
              <w:bottom w:val="nil"/>
              <w:right w:val="single" w:sz="4" w:space="0" w:color="404040"/>
            </w:tcBorders>
            <w:shd w:val="clear" w:color="auto" w:fill="auto"/>
            <w:vAlign w:val="center"/>
          </w:tcPr>
          <w:p w14:paraId="2E28F3CC" w14:textId="288E5CD5" w:rsidR="00127B5E" w:rsidRPr="00127B5E" w:rsidRDefault="00127B5E" w:rsidP="00127B5E">
            <w:pPr>
              <w:tabs>
                <w:tab w:val="decimal" w:pos="309"/>
              </w:tabs>
              <w:jc w:val="left"/>
              <w:rPr>
                <w:sz w:val="18"/>
                <w:szCs w:val="18"/>
              </w:rPr>
            </w:pPr>
            <w:r w:rsidRPr="00127B5E">
              <w:rPr>
                <w:sz w:val="18"/>
                <w:szCs w:val="18"/>
              </w:rPr>
              <w:t>1.6</w:t>
            </w:r>
          </w:p>
        </w:tc>
        <w:tc>
          <w:tcPr>
            <w:tcW w:w="235" w:type="pct"/>
            <w:tcBorders>
              <w:top w:val="nil"/>
              <w:left w:val="single" w:sz="4" w:space="0" w:color="404040"/>
              <w:bottom w:val="nil"/>
              <w:right w:val="nil"/>
            </w:tcBorders>
            <w:shd w:val="clear" w:color="auto" w:fill="auto"/>
            <w:vAlign w:val="center"/>
          </w:tcPr>
          <w:p w14:paraId="741DA4EF" w14:textId="3127329C" w:rsidR="00127B5E" w:rsidRPr="00127B5E" w:rsidRDefault="00127B5E" w:rsidP="00127B5E">
            <w:pPr>
              <w:ind w:left="-105" w:right="-36"/>
              <w:jc w:val="right"/>
              <w:rPr>
                <w:sz w:val="18"/>
                <w:szCs w:val="18"/>
              </w:rPr>
            </w:pPr>
            <w:r w:rsidRPr="00127B5E">
              <w:rPr>
                <w:sz w:val="18"/>
                <w:szCs w:val="18"/>
              </w:rPr>
              <w:t>3</w:t>
            </w:r>
          </w:p>
        </w:tc>
        <w:tc>
          <w:tcPr>
            <w:tcW w:w="751" w:type="pct"/>
            <w:tcBorders>
              <w:top w:val="nil"/>
              <w:left w:val="nil"/>
              <w:bottom w:val="nil"/>
              <w:right w:val="single" w:sz="4" w:space="0" w:color="404040"/>
            </w:tcBorders>
            <w:shd w:val="clear" w:color="auto" w:fill="auto"/>
            <w:vAlign w:val="center"/>
          </w:tcPr>
          <w:p w14:paraId="304D5E22" w14:textId="5F343A53" w:rsidR="00127B5E" w:rsidRPr="009770E0" w:rsidRDefault="00127B5E" w:rsidP="00127B5E">
            <w:pPr>
              <w:tabs>
                <w:tab w:val="decimal" w:pos="810"/>
              </w:tabs>
              <w:jc w:val="left"/>
              <w:rPr>
                <w:sz w:val="18"/>
                <w:szCs w:val="18"/>
              </w:rPr>
            </w:pPr>
            <w:r>
              <w:rPr>
                <w:color w:val="000000"/>
                <w:sz w:val="18"/>
                <w:szCs w:val="18"/>
              </w:rPr>
              <w:t>Por arriba</w:t>
            </w:r>
          </w:p>
        </w:tc>
      </w:tr>
      <w:tr w:rsidR="00127B5E" w:rsidRPr="00A065C1" w14:paraId="1E114D5A" w14:textId="77777777" w:rsidTr="007F0FC6">
        <w:trPr>
          <w:jc w:val="center"/>
        </w:trPr>
        <w:tc>
          <w:tcPr>
            <w:tcW w:w="2430" w:type="pct"/>
            <w:tcBorders>
              <w:top w:val="nil"/>
              <w:left w:val="single" w:sz="4" w:space="0" w:color="404040"/>
              <w:bottom w:val="nil"/>
              <w:right w:val="single" w:sz="4" w:space="0" w:color="404040"/>
            </w:tcBorders>
            <w:shd w:val="clear" w:color="auto" w:fill="auto"/>
            <w:vAlign w:val="bottom"/>
          </w:tcPr>
          <w:p w14:paraId="481CDC4D" w14:textId="1456F0E7" w:rsidR="00127B5E" w:rsidRPr="00395C33" w:rsidRDefault="00395C33" w:rsidP="00395C33">
            <w:pPr>
              <w:widowControl w:val="0"/>
              <w:spacing w:before="20" w:after="20"/>
              <w:ind w:left="56"/>
              <w:contextualSpacing/>
              <w:jc w:val="left"/>
              <w:rPr>
                <w:sz w:val="18"/>
                <w:szCs w:val="18"/>
                <w:lang w:val="es-MX"/>
              </w:rPr>
            </w:pPr>
            <w:r>
              <w:rPr>
                <w:sz w:val="18"/>
                <w:szCs w:val="18"/>
                <w:lang w:val="es-MX"/>
              </w:rPr>
              <w:t xml:space="preserve">c)  </w:t>
            </w:r>
            <w:r w:rsidR="00127B5E" w:rsidRPr="00395C33">
              <w:rPr>
                <w:sz w:val="18"/>
                <w:szCs w:val="18"/>
                <w:lang w:val="es-MX"/>
              </w:rPr>
              <w:t xml:space="preserve">Demanda nacional de sus productos </w:t>
            </w:r>
          </w:p>
        </w:tc>
        <w:tc>
          <w:tcPr>
            <w:tcW w:w="522" w:type="pct"/>
            <w:tcBorders>
              <w:top w:val="nil"/>
              <w:left w:val="single" w:sz="4" w:space="0" w:color="404040"/>
              <w:bottom w:val="nil"/>
              <w:right w:val="single" w:sz="4" w:space="0" w:color="404040"/>
            </w:tcBorders>
            <w:shd w:val="clear" w:color="auto" w:fill="auto"/>
            <w:vAlign w:val="center"/>
          </w:tcPr>
          <w:p w14:paraId="163C43FA" w14:textId="2AD866D2" w:rsidR="00127B5E" w:rsidRPr="00127B5E" w:rsidRDefault="00127B5E" w:rsidP="00127B5E">
            <w:pPr>
              <w:tabs>
                <w:tab w:val="decimal" w:pos="368"/>
              </w:tabs>
              <w:jc w:val="left"/>
              <w:rPr>
                <w:sz w:val="18"/>
                <w:szCs w:val="18"/>
              </w:rPr>
            </w:pPr>
            <w:r w:rsidRPr="00127B5E">
              <w:rPr>
                <w:sz w:val="18"/>
                <w:szCs w:val="18"/>
              </w:rPr>
              <w:t xml:space="preserve">53.3 </w:t>
            </w:r>
          </w:p>
        </w:tc>
        <w:tc>
          <w:tcPr>
            <w:tcW w:w="534" w:type="pct"/>
            <w:tcBorders>
              <w:top w:val="nil"/>
              <w:left w:val="single" w:sz="4" w:space="0" w:color="404040"/>
              <w:bottom w:val="nil"/>
              <w:right w:val="nil"/>
            </w:tcBorders>
            <w:shd w:val="clear" w:color="auto" w:fill="auto"/>
            <w:vAlign w:val="center"/>
          </w:tcPr>
          <w:p w14:paraId="210884AC" w14:textId="0AF318B0" w:rsidR="00127B5E" w:rsidRPr="00127B5E" w:rsidRDefault="00127B5E" w:rsidP="00127B5E">
            <w:pPr>
              <w:tabs>
                <w:tab w:val="decimal" w:pos="369"/>
              </w:tabs>
              <w:jc w:val="left"/>
              <w:rPr>
                <w:bCs/>
                <w:sz w:val="18"/>
                <w:szCs w:val="18"/>
              </w:rPr>
            </w:pPr>
            <w:r w:rsidRPr="00127B5E">
              <w:rPr>
                <w:sz w:val="18"/>
                <w:szCs w:val="18"/>
              </w:rPr>
              <w:t>0.7</w:t>
            </w:r>
          </w:p>
        </w:tc>
        <w:tc>
          <w:tcPr>
            <w:tcW w:w="528" w:type="pct"/>
            <w:tcBorders>
              <w:top w:val="nil"/>
              <w:left w:val="nil"/>
              <w:bottom w:val="nil"/>
              <w:right w:val="single" w:sz="4" w:space="0" w:color="404040"/>
            </w:tcBorders>
            <w:shd w:val="clear" w:color="auto" w:fill="auto"/>
            <w:vAlign w:val="center"/>
          </w:tcPr>
          <w:p w14:paraId="5ED66C76" w14:textId="3EE4711C" w:rsidR="00127B5E" w:rsidRPr="00127B5E" w:rsidRDefault="00127B5E" w:rsidP="00127B5E">
            <w:pPr>
              <w:tabs>
                <w:tab w:val="decimal" w:pos="309"/>
              </w:tabs>
              <w:jc w:val="left"/>
              <w:rPr>
                <w:sz w:val="18"/>
                <w:szCs w:val="18"/>
              </w:rPr>
            </w:pPr>
            <w:r w:rsidRPr="00127B5E">
              <w:rPr>
                <w:sz w:val="18"/>
                <w:szCs w:val="18"/>
              </w:rPr>
              <w:t>4.8</w:t>
            </w:r>
          </w:p>
        </w:tc>
        <w:tc>
          <w:tcPr>
            <w:tcW w:w="235" w:type="pct"/>
            <w:tcBorders>
              <w:top w:val="nil"/>
              <w:left w:val="single" w:sz="4" w:space="0" w:color="404040"/>
              <w:bottom w:val="nil"/>
              <w:right w:val="nil"/>
            </w:tcBorders>
            <w:shd w:val="clear" w:color="auto" w:fill="auto"/>
            <w:vAlign w:val="center"/>
          </w:tcPr>
          <w:p w14:paraId="630BCAA0" w14:textId="515D07EA" w:rsidR="00127B5E" w:rsidRPr="00127B5E" w:rsidRDefault="00127B5E" w:rsidP="00127B5E">
            <w:pPr>
              <w:ind w:left="-105" w:right="-36"/>
              <w:jc w:val="right"/>
              <w:rPr>
                <w:sz w:val="18"/>
                <w:szCs w:val="18"/>
              </w:rPr>
            </w:pPr>
            <w:r w:rsidRPr="00127B5E">
              <w:rPr>
                <w:sz w:val="18"/>
                <w:szCs w:val="18"/>
              </w:rPr>
              <w:t>11</w:t>
            </w:r>
          </w:p>
        </w:tc>
        <w:tc>
          <w:tcPr>
            <w:tcW w:w="751" w:type="pct"/>
            <w:tcBorders>
              <w:top w:val="nil"/>
              <w:left w:val="nil"/>
              <w:bottom w:val="nil"/>
              <w:right w:val="single" w:sz="4" w:space="0" w:color="404040"/>
            </w:tcBorders>
            <w:shd w:val="clear" w:color="auto" w:fill="auto"/>
            <w:vAlign w:val="center"/>
          </w:tcPr>
          <w:p w14:paraId="56693B35" w14:textId="0EDDB579" w:rsidR="00127B5E" w:rsidRPr="009770E0" w:rsidRDefault="00127B5E" w:rsidP="00127B5E">
            <w:pPr>
              <w:tabs>
                <w:tab w:val="decimal" w:pos="810"/>
              </w:tabs>
              <w:jc w:val="left"/>
              <w:rPr>
                <w:sz w:val="18"/>
                <w:szCs w:val="18"/>
              </w:rPr>
            </w:pPr>
            <w:r>
              <w:rPr>
                <w:color w:val="000000"/>
                <w:sz w:val="18"/>
                <w:szCs w:val="18"/>
              </w:rPr>
              <w:t>Por arriba</w:t>
            </w:r>
          </w:p>
        </w:tc>
      </w:tr>
      <w:tr w:rsidR="00127B5E" w:rsidRPr="00A065C1" w14:paraId="6103F29C" w14:textId="77777777" w:rsidTr="007F0FC6">
        <w:trPr>
          <w:jc w:val="center"/>
        </w:trPr>
        <w:tc>
          <w:tcPr>
            <w:tcW w:w="2430" w:type="pct"/>
            <w:tcBorders>
              <w:top w:val="nil"/>
              <w:left w:val="single" w:sz="4" w:space="0" w:color="404040"/>
              <w:bottom w:val="nil"/>
              <w:right w:val="single" w:sz="4" w:space="0" w:color="404040"/>
            </w:tcBorders>
            <w:shd w:val="clear" w:color="auto" w:fill="auto"/>
            <w:vAlign w:val="bottom"/>
          </w:tcPr>
          <w:p w14:paraId="18D13B28" w14:textId="29FF102E" w:rsidR="00127B5E" w:rsidRPr="00395C33" w:rsidRDefault="00395C33" w:rsidP="00395C33">
            <w:pPr>
              <w:widowControl w:val="0"/>
              <w:spacing w:before="20" w:after="20"/>
              <w:ind w:left="56"/>
              <w:contextualSpacing/>
              <w:jc w:val="left"/>
              <w:rPr>
                <w:sz w:val="18"/>
                <w:szCs w:val="18"/>
                <w:lang w:val="es-MX"/>
              </w:rPr>
            </w:pPr>
            <w:r>
              <w:rPr>
                <w:sz w:val="18"/>
                <w:szCs w:val="18"/>
                <w:lang w:val="es-MX"/>
              </w:rPr>
              <w:t xml:space="preserve">d)  </w:t>
            </w:r>
            <w:r w:rsidR="00127B5E" w:rsidRPr="00395C33">
              <w:rPr>
                <w:sz w:val="18"/>
                <w:szCs w:val="18"/>
                <w:lang w:val="es-MX"/>
              </w:rPr>
              <w:t>Exportaciones</w:t>
            </w:r>
          </w:p>
        </w:tc>
        <w:tc>
          <w:tcPr>
            <w:tcW w:w="522" w:type="pct"/>
            <w:tcBorders>
              <w:top w:val="nil"/>
              <w:left w:val="single" w:sz="4" w:space="0" w:color="404040"/>
              <w:bottom w:val="nil"/>
              <w:right w:val="single" w:sz="4" w:space="0" w:color="404040"/>
            </w:tcBorders>
            <w:shd w:val="clear" w:color="auto" w:fill="auto"/>
            <w:vAlign w:val="center"/>
          </w:tcPr>
          <w:p w14:paraId="2DD72F9F" w14:textId="62784CA4" w:rsidR="00127B5E" w:rsidRPr="00127B5E" w:rsidRDefault="00127B5E" w:rsidP="00127B5E">
            <w:pPr>
              <w:tabs>
                <w:tab w:val="decimal" w:pos="368"/>
              </w:tabs>
              <w:jc w:val="left"/>
              <w:rPr>
                <w:sz w:val="18"/>
                <w:szCs w:val="18"/>
              </w:rPr>
            </w:pPr>
            <w:r w:rsidRPr="00127B5E">
              <w:rPr>
                <w:sz w:val="18"/>
                <w:szCs w:val="18"/>
              </w:rPr>
              <w:t xml:space="preserve">47.3 </w:t>
            </w:r>
          </w:p>
        </w:tc>
        <w:tc>
          <w:tcPr>
            <w:tcW w:w="534" w:type="pct"/>
            <w:tcBorders>
              <w:top w:val="nil"/>
              <w:left w:val="single" w:sz="4" w:space="0" w:color="404040"/>
              <w:bottom w:val="nil"/>
              <w:right w:val="nil"/>
            </w:tcBorders>
            <w:shd w:val="clear" w:color="auto" w:fill="auto"/>
            <w:vAlign w:val="center"/>
          </w:tcPr>
          <w:p w14:paraId="334AA22E" w14:textId="5A45219C" w:rsidR="00127B5E" w:rsidRPr="00127B5E" w:rsidRDefault="00127B5E" w:rsidP="00127B5E">
            <w:pPr>
              <w:tabs>
                <w:tab w:val="decimal" w:pos="369"/>
              </w:tabs>
              <w:jc w:val="left"/>
              <w:rPr>
                <w:sz w:val="18"/>
                <w:szCs w:val="18"/>
              </w:rPr>
            </w:pPr>
            <w:r w:rsidRPr="00127B5E">
              <w:rPr>
                <w:sz w:val="18"/>
                <w:szCs w:val="18"/>
              </w:rPr>
              <w:t>-8.5</w:t>
            </w:r>
          </w:p>
        </w:tc>
        <w:tc>
          <w:tcPr>
            <w:tcW w:w="528" w:type="pct"/>
            <w:tcBorders>
              <w:top w:val="nil"/>
              <w:left w:val="nil"/>
              <w:bottom w:val="nil"/>
              <w:right w:val="single" w:sz="4" w:space="0" w:color="404040"/>
            </w:tcBorders>
            <w:shd w:val="clear" w:color="auto" w:fill="auto"/>
            <w:vAlign w:val="center"/>
          </w:tcPr>
          <w:p w14:paraId="513C9A1F" w14:textId="6499FF72" w:rsidR="00127B5E" w:rsidRPr="00127B5E" w:rsidRDefault="00127B5E" w:rsidP="00127B5E">
            <w:pPr>
              <w:tabs>
                <w:tab w:val="decimal" w:pos="309"/>
              </w:tabs>
              <w:jc w:val="left"/>
              <w:rPr>
                <w:sz w:val="18"/>
                <w:szCs w:val="18"/>
              </w:rPr>
            </w:pPr>
            <w:r w:rsidRPr="00127B5E">
              <w:rPr>
                <w:sz w:val="18"/>
                <w:szCs w:val="18"/>
              </w:rPr>
              <w:t>-5.2</w:t>
            </w:r>
          </w:p>
        </w:tc>
        <w:tc>
          <w:tcPr>
            <w:tcW w:w="235" w:type="pct"/>
            <w:tcBorders>
              <w:top w:val="nil"/>
              <w:left w:val="single" w:sz="4" w:space="0" w:color="404040"/>
              <w:bottom w:val="nil"/>
              <w:right w:val="nil"/>
            </w:tcBorders>
            <w:shd w:val="clear" w:color="auto" w:fill="auto"/>
            <w:vAlign w:val="center"/>
          </w:tcPr>
          <w:p w14:paraId="1CF1882E" w14:textId="5632128F" w:rsidR="00127B5E" w:rsidRPr="00127B5E" w:rsidRDefault="00127B5E" w:rsidP="00127B5E">
            <w:pPr>
              <w:ind w:left="-105" w:right="-36"/>
              <w:jc w:val="right"/>
              <w:rPr>
                <w:sz w:val="18"/>
                <w:szCs w:val="18"/>
              </w:rPr>
            </w:pPr>
            <w:r w:rsidRPr="00127B5E">
              <w:rPr>
                <w:sz w:val="18"/>
                <w:szCs w:val="18"/>
              </w:rPr>
              <w:t>1</w:t>
            </w:r>
          </w:p>
        </w:tc>
        <w:tc>
          <w:tcPr>
            <w:tcW w:w="751" w:type="pct"/>
            <w:tcBorders>
              <w:top w:val="nil"/>
              <w:left w:val="nil"/>
              <w:bottom w:val="nil"/>
              <w:right w:val="single" w:sz="4" w:space="0" w:color="404040"/>
            </w:tcBorders>
            <w:shd w:val="clear" w:color="auto" w:fill="auto"/>
            <w:vAlign w:val="center"/>
          </w:tcPr>
          <w:p w14:paraId="79021C48" w14:textId="7812D4B0" w:rsidR="00127B5E" w:rsidRPr="009770E0" w:rsidRDefault="00127B5E" w:rsidP="00127B5E">
            <w:pPr>
              <w:tabs>
                <w:tab w:val="decimal" w:pos="810"/>
              </w:tabs>
              <w:jc w:val="left"/>
              <w:rPr>
                <w:sz w:val="18"/>
                <w:szCs w:val="18"/>
              </w:rPr>
            </w:pPr>
            <w:r>
              <w:rPr>
                <w:color w:val="000000"/>
                <w:sz w:val="18"/>
                <w:szCs w:val="18"/>
              </w:rPr>
              <w:t>Por debajo</w:t>
            </w:r>
          </w:p>
        </w:tc>
      </w:tr>
      <w:tr w:rsidR="00127B5E" w:rsidRPr="00A065C1" w14:paraId="35E17B0C" w14:textId="77777777" w:rsidTr="007F0FC6">
        <w:trPr>
          <w:jc w:val="center"/>
        </w:trPr>
        <w:tc>
          <w:tcPr>
            <w:tcW w:w="2430" w:type="pct"/>
            <w:tcBorders>
              <w:top w:val="nil"/>
              <w:left w:val="single" w:sz="4" w:space="0" w:color="404040"/>
              <w:bottom w:val="single" w:sz="4" w:space="0" w:color="404040"/>
              <w:right w:val="single" w:sz="4" w:space="0" w:color="404040"/>
            </w:tcBorders>
            <w:shd w:val="clear" w:color="auto" w:fill="auto"/>
            <w:vAlign w:val="bottom"/>
          </w:tcPr>
          <w:p w14:paraId="6F7F3FA2" w14:textId="1A33B9F5" w:rsidR="00127B5E" w:rsidRPr="00395C33" w:rsidRDefault="00395C33" w:rsidP="00395C33">
            <w:pPr>
              <w:widowControl w:val="0"/>
              <w:spacing w:before="20" w:after="20"/>
              <w:ind w:left="56"/>
              <w:contextualSpacing/>
              <w:jc w:val="left"/>
              <w:rPr>
                <w:sz w:val="18"/>
                <w:szCs w:val="18"/>
                <w:lang w:val="es-MX"/>
              </w:rPr>
            </w:pPr>
            <w:r>
              <w:rPr>
                <w:sz w:val="18"/>
                <w:szCs w:val="18"/>
                <w:lang w:val="es-MX"/>
              </w:rPr>
              <w:t xml:space="preserve">e)  </w:t>
            </w:r>
            <w:r w:rsidR="00127B5E" w:rsidRPr="00395C33">
              <w:rPr>
                <w:sz w:val="18"/>
                <w:szCs w:val="18"/>
                <w:lang w:val="es-MX"/>
              </w:rPr>
              <w:t>Personal ocupado total</w:t>
            </w:r>
          </w:p>
        </w:tc>
        <w:tc>
          <w:tcPr>
            <w:tcW w:w="522" w:type="pct"/>
            <w:tcBorders>
              <w:top w:val="nil"/>
              <w:left w:val="single" w:sz="4" w:space="0" w:color="404040"/>
              <w:bottom w:val="single" w:sz="4" w:space="0" w:color="404040"/>
              <w:right w:val="single" w:sz="4" w:space="0" w:color="404040"/>
            </w:tcBorders>
            <w:shd w:val="clear" w:color="auto" w:fill="auto"/>
            <w:vAlign w:val="center"/>
          </w:tcPr>
          <w:p w14:paraId="7FB91871" w14:textId="2213406B" w:rsidR="00127B5E" w:rsidRPr="00127B5E" w:rsidRDefault="00127B5E" w:rsidP="00127B5E">
            <w:pPr>
              <w:tabs>
                <w:tab w:val="decimal" w:pos="368"/>
              </w:tabs>
              <w:jc w:val="left"/>
              <w:rPr>
                <w:sz w:val="18"/>
                <w:szCs w:val="18"/>
              </w:rPr>
            </w:pPr>
            <w:r w:rsidRPr="00127B5E">
              <w:rPr>
                <w:sz w:val="18"/>
                <w:szCs w:val="18"/>
              </w:rPr>
              <w:t xml:space="preserve">50.9 </w:t>
            </w:r>
          </w:p>
        </w:tc>
        <w:tc>
          <w:tcPr>
            <w:tcW w:w="534" w:type="pct"/>
            <w:tcBorders>
              <w:top w:val="nil"/>
              <w:left w:val="single" w:sz="4" w:space="0" w:color="404040"/>
              <w:bottom w:val="single" w:sz="4" w:space="0" w:color="404040"/>
              <w:right w:val="nil"/>
            </w:tcBorders>
            <w:shd w:val="clear" w:color="auto" w:fill="auto"/>
            <w:vAlign w:val="center"/>
          </w:tcPr>
          <w:p w14:paraId="7AEBAB25" w14:textId="7364AABF" w:rsidR="00127B5E" w:rsidRPr="00127B5E" w:rsidRDefault="00127B5E" w:rsidP="00127B5E">
            <w:pPr>
              <w:tabs>
                <w:tab w:val="decimal" w:pos="369"/>
              </w:tabs>
              <w:jc w:val="left"/>
              <w:rPr>
                <w:bCs/>
                <w:sz w:val="18"/>
                <w:szCs w:val="18"/>
              </w:rPr>
            </w:pPr>
            <w:r w:rsidRPr="00127B5E">
              <w:rPr>
                <w:sz w:val="18"/>
                <w:szCs w:val="18"/>
              </w:rPr>
              <w:t>-0.6</w:t>
            </w:r>
          </w:p>
        </w:tc>
        <w:tc>
          <w:tcPr>
            <w:tcW w:w="528" w:type="pct"/>
            <w:tcBorders>
              <w:top w:val="nil"/>
              <w:left w:val="nil"/>
              <w:bottom w:val="single" w:sz="4" w:space="0" w:color="404040"/>
              <w:right w:val="single" w:sz="4" w:space="0" w:color="404040"/>
            </w:tcBorders>
            <w:shd w:val="clear" w:color="auto" w:fill="auto"/>
            <w:vAlign w:val="center"/>
          </w:tcPr>
          <w:p w14:paraId="3E11B3A3" w14:textId="66CCA205" w:rsidR="00127B5E" w:rsidRPr="00127B5E" w:rsidRDefault="00127B5E" w:rsidP="00127B5E">
            <w:pPr>
              <w:tabs>
                <w:tab w:val="decimal" w:pos="309"/>
              </w:tabs>
              <w:jc w:val="left"/>
              <w:rPr>
                <w:sz w:val="18"/>
                <w:szCs w:val="18"/>
              </w:rPr>
            </w:pPr>
            <w:r w:rsidRPr="00127B5E">
              <w:rPr>
                <w:sz w:val="18"/>
                <w:szCs w:val="18"/>
              </w:rPr>
              <w:t>0.6</w:t>
            </w:r>
          </w:p>
        </w:tc>
        <w:tc>
          <w:tcPr>
            <w:tcW w:w="235" w:type="pct"/>
            <w:tcBorders>
              <w:top w:val="nil"/>
              <w:left w:val="single" w:sz="4" w:space="0" w:color="404040"/>
              <w:bottom w:val="single" w:sz="4" w:space="0" w:color="404040"/>
              <w:right w:val="nil"/>
            </w:tcBorders>
            <w:shd w:val="clear" w:color="auto" w:fill="auto"/>
            <w:vAlign w:val="center"/>
          </w:tcPr>
          <w:p w14:paraId="48253E2B" w14:textId="1E172E6D" w:rsidR="00127B5E" w:rsidRPr="00127B5E" w:rsidRDefault="00127B5E" w:rsidP="00127B5E">
            <w:pPr>
              <w:ind w:left="-105" w:right="-36"/>
              <w:jc w:val="right"/>
              <w:rPr>
                <w:sz w:val="18"/>
                <w:szCs w:val="18"/>
              </w:rPr>
            </w:pPr>
            <w:r w:rsidRPr="00127B5E">
              <w:rPr>
                <w:sz w:val="18"/>
                <w:szCs w:val="18"/>
              </w:rPr>
              <w:t>5</w:t>
            </w:r>
          </w:p>
        </w:tc>
        <w:tc>
          <w:tcPr>
            <w:tcW w:w="751" w:type="pct"/>
            <w:tcBorders>
              <w:top w:val="nil"/>
              <w:left w:val="nil"/>
              <w:bottom w:val="single" w:sz="4" w:space="0" w:color="404040"/>
              <w:right w:val="single" w:sz="4" w:space="0" w:color="404040"/>
            </w:tcBorders>
            <w:shd w:val="clear" w:color="auto" w:fill="auto"/>
            <w:vAlign w:val="center"/>
          </w:tcPr>
          <w:p w14:paraId="57CEDC2C" w14:textId="20E5B161" w:rsidR="00127B5E" w:rsidRPr="009770E0" w:rsidRDefault="00127B5E" w:rsidP="00127B5E">
            <w:pPr>
              <w:tabs>
                <w:tab w:val="decimal" w:pos="810"/>
              </w:tabs>
              <w:jc w:val="left"/>
              <w:rPr>
                <w:sz w:val="18"/>
                <w:szCs w:val="18"/>
              </w:rPr>
            </w:pPr>
            <w:r>
              <w:rPr>
                <w:sz w:val="18"/>
                <w:szCs w:val="18"/>
              </w:rPr>
              <w:t>Por arriba</w:t>
            </w:r>
          </w:p>
        </w:tc>
      </w:tr>
    </w:tbl>
    <w:p w14:paraId="7104DD1F" w14:textId="0CF7496C" w:rsidR="00A46C32" w:rsidRPr="00294891" w:rsidRDefault="00A46C32" w:rsidP="00DB767E">
      <w:pPr>
        <w:widowControl w:val="0"/>
        <w:spacing w:before="20"/>
        <w:ind w:left="771" w:right="23" w:hanging="595"/>
        <w:rPr>
          <w:sz w:val="16"/>
          <w:szCs w:val="14"/>
          <w:lang w:val="es-MX"/>
        </w:rPr>
      </w:pPr>
      <w:r w:rsidRPr="00294891">
        <w:rPr>
          <w:sz w:val="16"/>
          <w:szCs w:val="14"/>
          <w:lang w:val="es-MX"/>
        </w:rPr>
        <w:t>Nota:</w:t>
      </w:r>
      <w:r w:rsidRPr="00294891">
        <w:rPr>
          <w:sz w:val="16"/>
          <w:szCs w:val="14"/>
          <w:lang w:val="es-MX"/>
        </w:rPr>
        <w:tab/>
      </w:r>
      <w:r w:rsidR="00A84AA3" w:rsidRPr="00294891">
        <w:rPr>
          <w:sz w:val="16"/>
          <w:szCs w:val="14"/>
          <w:lang w:val="es-MX"/>
        </w:rPr>
        <w:t>Los indicadores se generan con los datos referentes al mes de la entrevista. Los indicadores de los meses anteriores se van revisando por los informantes</w:t>
      </w:r>
      <w:r w:rsidRPr="00294891">
        <w:rPr>
          <w:sz w:val="16"/>
          <w:szCs w:val="14"/>
          <w:lang w:val="es-MX"/>
        </w:rPr>
        <w:t>.</w:t>
      </w:r>
    </w:p>
    <w:p w14:paraId="62A3E0AD" w14:textId="77777777" w:rsidR="00A46C32" w:rsidRPr="00294891" w:rsidRDefault="00A46C32" w:rsidP="00DB767E">
      <w:pPr>
        <w:widowControl w:val="0"/>
        <w:ind w:left="771" w:right="23" w:hanging="595"/>
        <w:rPr>
          <w:sz w:val="16"/>
          <w:szCs w:val="14"/>
          <w:lang w:val="es-MX"/>
        </w:rPr>
      </w:pPr>
      <w:r w:rsidRPr="00294891">
        <w:rPr>
          <w:position w:val="2"/>
          <w:sz w:val="18"/>
          <w:szCs w:val="12"/>
          <w:vertAlign w:val="superscript"/>
          <w:lang w:val="es-MX"/>
        </w:rPr>
        <w:t>1/</w:t>
      </w:r>
      <w:r w:rsidRPr="00294891">
        <w:rPr>
          <w:sz w:val="16"/>
          <w:szCs w:val="14"/>
          <w:lang w:val="es-MX"/>
        </w:rPr>
        <w:tab/>
        <w:t>Las diferencias en puntos se obtienen de los respectivos indicadores considerando todos sus decimales.</w:t>
      </w:r>
    </w:p>
    <w:p w14:paraId="43EF34C6" w14:textId="346DFD38" w:rsidR="00A46C32" w:rsidRPr="00294891" w:rsidRDefault="00A46C32" w:rsidP="00294891">
      <w:pPr>
        <w:widowControl w:val="0"/>
        <w:spacing w:before="20"/>
        <w:ind w:left="770" w:right="25" w:hanging="597"/>
        <w:rPr>
          <w:sz w:val="16"/>
          <w:szCs w:val="14"/>
          <w:lang w:val="es-MX"/>
        </w:rPr>
      </w:pPr>
      <w:r w:rsidRPr="00294891">
        <w:rPr>
          <w:sz w:val="16"/>
          <w:szCs w:val="14"/>
          <w:lang w:val="es-MX"/>
        </w:rPr>
        <w:t>Fuente:</w:t>
      </w:r>
      <w:r w:rsidR="00294891">
        <w:rPr>
          <w:sz w:val="16"/>
          <w:szCs w:val="14"/>
          <w:lang w:val="es-MX"/>
        </w:rPr>
        <w:t xml:space="preserve"> </w:t>
      </w:r>
      <w:r w:rsidRPr="00294891">
        <w:rPr>
          <w:sz w:val="16"/>
          <w:szCs w:val="14"/>
          <w:lang w:val="es-MX"/>
        </w:rPr>
        <w:t>INEGI.</w:t>
      </w:r>
    </w:p>
    <w:p w14:paraId="56A8C6A7" w14:textId="18D6E1E7" w:rsidR="0022330D" w:rsidRPr="00BC05F9" w:rsidRDefault="0022330D" w:rsidP="0022330D">
      <w:pPr>
        <w:keepNext/>
        <w:keepLines/>
        <w:widowControl w:val="0"/>
        <w:spacing w:before="240"/>
        <w:jc w:val="center"/>
        <w:outlineLvl w:val="0"/>
        <w:rPr>
          <w:sz w:val="20"/>
          <w:lang w:val="es-MX"/>
        </w:rPr>
      </w:pPr>
      <w:r>
        <w:rPr>
          <w:sz w:val="20"/>
          <w:lang w:val="es-MX"/>
        </w:rPr>
        <w:t>Gráfica</w:t>
      </w:r>
      <w:r w:rsidRPr="00BC05F9">
        <w:rPr>
          <w:sz w:val="20"/>
          <w:lang w:val="es-MX"/>
        </w:rPr>
        <w:t xml:space="preserve"> </w:t>
      </w:r>
      <w:r w:rsidR="0027370D">
        <w:rPr>
          <w:sz w:val="20"/>
          <w:lang w:val="es-MX"/>
        </w:rPr>
        <w:t>2</w:t>
      </w:r>
    </w:p>
    <w:p w14:paraId="4AC8674C" w14:textId="5FE3AF87" w:rsidR="00A46C32" w:rsidRPr="000A6510" w:rsidRDefault="00FD7842" w:rsidP="0022330D">
      <w:pPr>
        <w:pStyle w:val="Textoindependiente2"/>
        <w:keepNext/>
        <w:keepLines/>
        <w:widowControl w:val="0"/>
        <w:spacing w:before="0"/>
        <w:ind w:right="0"/>
        <w:jc w:val="center"/>
        <w:rPr>
          <w:b/>
          <w:smallCaps/>
          <w:sz w:val="22"/>
          <w:szCs w:val="20"/>
          <w:lang w:val="es-MX"/>
        </w:rPr>
      </w:pPr>
      <w:r w:rsidRPr="00E449C5">
        <w:rPr>
          <w:b/>
          <w:smallCaps/>
          <w:sz w:val="22"/>
          <w:szCs w:val="20"/>
          <w:lang w:val="es-MX"/>
        </w:rPr>
        <w:t xml:space="preserve">Expectativas empresariales </w:t>
      </w:r>
      <w:r w:rsidR="009C74F3" w:rsidRPr="00E449C5">
        <w:rPr>
          <w:b/>
          <w:smallCaps/>
          <w:sz w:val="22"/>
          <w:szCs w:val="20"/>
          <w:lang w:val="es-MX"/>
        </w:rPr>
        <w:t>del</w:t>
      </w:r>
      <w:r w:rsidR="009C74F3" w:rsidRPr="000A6510">
        <w:rPr>
          <w:b/>
          <w:smallCaps/>
          <w:sz w:val="22"/>
          <w:szCs w:val="20"/>
          <w:lang w:val="es-MX"/>
        </w:rPr>
        <w:t xml:space="preserve"> sector </w:t>
      </w:r>
      <w:r w:rsidR="00335742" w:rsidRPr="000A6510">
        <w:rPr>
          <w:b/>
          <w:smallCaps/>
          <w:sz w:val="22"/>
          <w:szCs w:val="20"/>
          <w:lang w:val="es-MX"/>
        </w:rPr>
        <w:t xml:space="preserve">manufacturero </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0C1EFB" w:rsidRPr="000A6510" w14:paraId="08E5285B" w14:textId="77777777" w:rsidTr="002455CF">
        <w:trPr>
          <w:trHeight w:val="1871"/>
          <w:jc w:val="center"/>
        </w:trPr>
        <w:tc>
          <w:tcPr>
            <w:tcW w:w="5305" w:type="dxa"/>
          </w:tcPr>
          <w:p w14:paraId="0F2D6329" w14:textId="4AEFBF96" w:rsidR="000C1EFB" w:rsidRPr="000A6510" w:rsidRDefault="002455CF" w:rsidP="00A6587D">
            <w:pPr>
              <w:pStyle w:val="p0"/>
              <w:spacing w:before="0"/>
              <w:rPr>
                <w:color w:val="auto"/>
                <w:sz w:val="16"/>
                <w:szCs w:val="16"/>
                <w:lang w:val="es-MX"/>
              </w:rPr>
            </w:pPr>
            <w:r>
              <w:rPr>
                <w:noProof/>
                <w:lang w:val="es-MX" w:eastAsia="es-MX"/>
              </w:rPr>
              <w:drawing>
                <wp:inline distT="0" distB="0" distL="0" distR="0" wp14:anchorId="6A95A7D2" wp14:editId="2A22D56E">
                  <wp:extent cx="3276000" cy="1152000"/>
                  <wp:effectExtent l="0" t="0" r="0" b="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5304" w:type="dxa"/>
          </w:tcPr>
          <w:p w14:paraId="5B41DDC1" w14:textId="0D5E54CB" w:rsidR="000C1EFB" w:rsidRPr="000A6510" w:rsidRDefault="002455CF" w:rsidP="00A6587D">
            <w:pPr>
              <w:pStyle w:val="p0"/>
              <w:spacing w:before="0"/>
              <w:rPr>
                <w:color w:val="auto"/>
                <w:sz w:val="16"/>
                <w:szCs w:val="16"/>
                <w:lang w:val="es-MX"/>
              </w:rPr>
            </w:pPr>
            <w:r>
              <w:rPr>
                <w:noProof/>
                <w:lang w:val="es-MX" w:eastAsia="es-MX"/>
              </w:rPr>
              <w:drawing>
                <wp:inline distT="0" distB="0" distL="0" distR="0" wp14:anchorId="76E7AB29" wp14:editId="030C5630">
                  <wp:extent cx="3276000" cy="1152000"/>
                  <wp:effectExtent l="0" t="0" r="0" b="0"/>
                  <wp:docPr id="18" name="Gráfico 18">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0C1EFB" w:rsidRPr="000A6510" w14:paraId="177F5B1B" w14:textId="77777777" w:rsidTr="00A6587D">
        <w:tblPrEx>
          <w:tblCellMar>
            <w:left w:w="28" w:type="dxa"/>
            <w:right w:w="28" w:type="dxa"/>
          </w:tblCellMar>
        </w:tblPrEx>
        <w:trPr>
          <w:jc w:val="center"/>
        </w:trPr>
        <w:tc>
          <w:tcPr>
            <w:tcW w:w="5305" w:type="dxa"/>
          </w:tcPr>
          <w:p w14:paraId="5A49EC78" w14:textId="77777777" w:rsidR="000C1EFB" w:rsidRPr="000A6510" w:rsidRDefault="000C1EFB" w:rsidP="00A6587D">
            <w:pPr>
              <w:pStyle w:val="p0"/>
              <w:spacing w:before="0"/>
              <w:rPr>
                <w:noProof/>
                <w:color w:val="auto"/>
                <w:sz w:val="10"/>
                <w:szCs w:val="10"/>
                <w:lang w:val="es-MX" w:eastAsia="es-MX"/>
              </w:rPr>
            </w:pPr>
          </w:p>
        </w:tc>
        <w:tc>
          <w:tcPr>
            <w:tcW w:w="5304" w:type="dxa"/>
          </w:tcPr>
          <w:p w14:paraId="6101A763" w14:textId="77777777" w:rsidR="000C1EFB" w:rsidRPr="000A6510" w:rsidRDefault="000C1EFB" w:rsidP="00A6587D">
            <w:pPr>
              <w:pStyle w:val="p0"/>
              <w:spacing w:before="0"/>
              <w:rPr>
                <w:noProof/>
                <w:color w:val="auto"/>
                <w:sz w:val="10"/>
                <w:szCs w:val="10"/>
                <w:lang w:val="es-MX" w:eastAsia="es-MX"/>
              </w:rPr>
            </w:pPr>
          </w:p>
        </w:tc>
      </w:tr>
      <w:tr w:rsidR="000C1EFB" w:rsidRPr="000A6510" w14:paraId="5796326F" w14:textId="77777777" w:rsidTr="002455CF">
        <w:trPr>
          <w:trHeight w:val="1871"/>
          <w:jc w:val="center"/>
        </w:trPr>
        <w:tc>
          <w:tcPr>
            <w:tcW w:w="5305" w:type="dxa"/>
          </w:tcPr>
          <w:p w14:paraId="0BD6E1FE" w14:textId="3B60253E" w:rsidR="000C1EFB" w:rsidRPr="000A6510" w:rsidRDefault="002455CF" w:rsidP="00A6587D">
            <w:pPr>
              <w:pStyle w:val="p0"/>
              <w:spacing w:before="0"/>
              <w:rPr>
                <w:color w:val="auto"/>
                <w:sz w:val="16"/>
                <w:szCs w:val="16"/>
                <w:lang w:val="es-MX"/>
              </w:rPr>
            </w:pPr>
            <w:r>
              <w:rPr>
                <w:noProof/>
                <w:lang w:val="es-MX" w:eastAsia="es-MX"/>
              </w:rPr>
              <w:drawing>
                <wp:inline distT="0" distB="0" distL="0" distR="0" wp14:anchorId="72819523" wp14:editId="10C26D6D">
                  <wp:extent cx="3276000" cy="1152000"/>
                  <wp:effectExtent l="0" t="0" r="0" b="0"/>
                  <wp:docPr id="19" name="Gráfico 19">
                    <a:extLst xmlns:a="http://schemas.openxmlformats.org/drawingml/2006/main">
                      <a:ext uri="{FF2B5EF4-FFF2-40B4-BE49-F238E27FC236}">
                        <a16:creationId xmlns:a16="http://schemas.microsoft.com/office/drawing/2014/main" id="{00000000-0008-0000-03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5304" w:type="dxa"/>
          </w:tcPr>
          <w:p w14:paraId="4DA8962E" w14:textId="60722F37" w:rsidR="000C1EFB" w:rsidRPr="000A6510" w:rsidRDefault="002455CF" w:rsidP="00A6587D">
            <w:pPr>
              <w:pStyle w:val="p0"/>
              <w:spacing w:before="0"/>
              <w:rPr>
                <w:color w:val="auto"/>
                <w:sz w:val="16"/>
                <w:szCs w:val="16"/>
                <w:lang w:val="es-MX"/>
              </w:rPr>
            </w:pPr>
            <w:r>
              <w:rPr>
                <w:noProof/>
                <w:lang w:val="es-MX" w:eastAsia="es-MX"/>
              </w:rPr>
              <w:drawing>
                <wp:inline distT="0" distB="0" distL="0" distR="0" wp14:anchorId="178A38D5" wp14:editId="4990CE6B">
                  <wp:extent cx="3276000" cy="1152000"/>
                  <wp:effectExtent l="0" t="0" r="0" b="0"/>
                  <wp:docPr id="21" name="Gráfico 21">
                    <a:extLst xmlns:a="http://schemas.openxmlformats.org/drawingml/2006/main">
                      <a:ext uri="{FF2B5EF4-FFF2-40B4-BE49-F238E27FC236}">
                        <a16:creationId xmlns:a16="http://schemas.microsoft.com/office/drawing/2014/main" id="{00000000-0008-0000-04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0C1EFB" w:rsidRPr="000A6510" w14:paraId="326346FB" w14:textId="77777777" w:rsidTr="00A6587D">
        <w:tblPrEx>
          <w:tblCellMar>
            <w:left w:w="28" w:type="dxa"/>
            <w:right w:w="28" w:type="dxa"/>
          </w:tblCellMar>
        </w:tblPrEx>
        <w:trPr>
          <w:jc w:val="center"/>
        </w:trPr>
        <w:tc>
          <w:tcPr>
            <w:tcW w:w="5305" w:type="dxa"/>
          </w:tcPr>
          <w:p w14:paraId="3819B05B" w14:textId="77777777" w:rsidR="000C1EFB" w:rsidRPr="000A6510" w:rsidRDefault="000C1EFB" w:rsidP="00A6587D">
            <w:pPr>
              <w:pStyle w:val="p0"/>
              <w:spacing w:before="0"/>
              <w:rPr>
                <w:noProof/>
                <w:color w:val="auto"/>
                <w:sz w:val="10"/>
                <w:szCs w:val="10"/>
                <w:lang w:val="es-MX" w:eastAsia="es-MX"/>
              </w:rPr>
            </w:pPr>
          </w:p>
        </w:tc>
        <w:tc>
          <w:tcPr>
            <w:tcW w:w="5304" w:type="dxa"/>
          </w:tcPr>
          <w:p w14:paraId="4C8F5957" w14:textId="77777777" w:rsidR="000C1EFB" w:rsidRPr="000A6510" w:rsidRDefault="000C1EFB" w:rsidP="00A6587D">
            <w:pPr>
              <w:pStyle w:val="p0"/>
              <w:spacing w:before="0"/>
              <w:rPr>
                <w:noProof/>
                <w:color w:val="auto"/>
                <w:sz w:val="10"/>
                <w:szCs w:val="10"/>
                <w:lang w:val="es-MX" w:eastAsia="es-MX"/>
              </w:rPr>
            </w:pPr>
          </w:p>
        </w:tc>
      </w:tr>
      <w:tr w:rsidR="00391908" w:rsidRPr="000A6510" w14:paraId="34012D2A" w14:textId="77777777" w:rsidTr="002455CF">
        <w:trPr>
          <w:trHeight w:val="1871"/>
          <w:jc w:val="center"/>
        </w:trPr>
        <w:tc>
          <w:tcPr>
            <w:tcW w:w="10609" w:type="dxa"/>
            <w:gridSpan w:val="2"/>
          </w:tcPr>
          <w:p w14:paraId="0ED2472C" w14:textId="459FE172" w:rsidR="00391908" w:rsidRPr="000A6510" w:rsidRDefault="002455CF" w:rsidP="00391908">
            <w:pPr>
              <w:pStyle w:val="p0"/>
              <w:spacing w:before="0"/>
              <w:jc w:val="center"/>
              <w:rPr>
                <w:noProof/>
                <w:color w:val="auto"/>
                <w:sz w:val="16"/>
                <w:szCs w:val="16"/>
                <w:lang w:val="es-MX" w:eastAsia="es-MX"/>
              </w:rPr>
            </w:pPr>
            <w:r>
              <w:rPr>
                <w:noProof/>
                <w:lang w:val="es-MX" w:eastAsia="es-MX"/>
              </w:rPr>
              <w:drawing>
                <wp:inline distT="0" distB="0" distL="0" distR="0" wp14:anchorId="2198A42A" wp14:editId="1D096819">
                  <wp:extent cx="3276000" cy="1152000"/>
                  <wp:effectExtent l="0" t="0" r="0" b="0"/>
                  <wp:docPr id="22" name="Gráfico 22">
                    <a:extLst xmlns:a="http://schemas.openxmlformats.org/drawingml/2006/main">
                      <a:ext uri="{FF2B5EF4-FFF2-40B4-BE49-F238E27FC236}">
                        <a16:creationId xmlns:a16="http://schemas.microsoft.com/office/drawing/2014/main" id="{00000000-0008-0000-05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bl>
    <w:p w14:paraId="1A0B92C0" w14:textId="77777777" w:rsidR="001B1EDC" w:rsidRPr="00294891" w:rsidRDefault="001B1EDC" w:rsidP="009065D6">
      <w:pPr>
        <w:widowControl w:val="0"/>
        <w:spacing w:before="20"/>
        <w:ind w:left="142" w:right="25" w:hanging="588"/>
        <w:rPr>
          <w:sz w:val="16"/>
          <w:szCs w:val="14"/>
          <w:lang w:val="es-MX"/>
        </w:rPr>
      </w:pPr>
      <w:r w:rsidRPr="00294891">
        <w:rPr>
          <w:sz w:val="16"/>
          <w:szCs w:val="14"/>
          <w:lang w:val="es-MX"/>
        </w:rPr>
        <w:t>Fuente:</w:t>
      </w:r>
      <w:r w:rsidRPr="00294891">
        <w:rPr>
          <w:sz w:val="16"/>
          <w:szCs w:val="14"/>
          <w:lang w:val="es-MX"/>
        </w:rPr>
        <w:tab/>
        <w:t>INEGI.</w:t>
      </w:r>
    </w:p>
    <w:p w14:paraId="490999B4" w14:textId="15352FD6" w:rsidR="00BB7B85" w:rsidRPr="000A6510" w:rsidRDefault="00CB76E7" w:rsidP="00BB7B85">
      <w:pPr>
        <w:keepNext/>
        <w:keepLines/>
        <w:widowControl w:val="0"/>
        <w:spacing w:before="600"/>
        <w:outlineLvl w:val="0"/>
      </w:pPr>
      <w:r>
        <w:rPr>
          <w:lang w:val="es-MX"/>
        </w:rPr>
        <w:lastRenderedPageBreak/>
        <w:t>Durante</w:t>
      </w:r>
      <w:r w:rsidR="001071E0">
        <w:rPr>
          <w:lang w:val="es-MX"/>
        </w:rPr>
        <w:t xml:space="preserve"> </w:t>
      </w:r>
      <w:r w:rsidR="00F636CF">
        <w:t xml:space="preserve">el </w:t>
      </w:r>
      <w:r w:rsidR="00D07FBB">
        <w:t>tercer</w:t>
      </w:r>
      <w:r w:rsidR="006F5F6B">
        <w:t xml:space="preserve"> mes de </w:t>
      </w:r>
      <w:r w:rsidR="00BC05F9">
        <w:t>2022</w:t>
      </w:r>
      <w:r w:rsidR="00A02C8F" w:rsidRPr="00A02C8F">
        <w:t xml:space="preserve"> </w:t>
      </w:r>
      <w:r w:rsidR="00A02C8F">
        <w:t xml:space="preserve">y </w:t>
      </w:r>
      <w:r w:rsidR="00A02C8F" w:rsidRPr="000A6510">
        <w:t>con datos ajustados por estacionalidad</w:t>
      </w:r>
      <w:r w:rsidR="0022330D">
        <w:t>,</w:t>
      </w:r>
      <w:r w:rsidR="007D13C5">
        <w:t xml:space="preserve"> e</w:t>
      </w:r>
      <w:r w:rsidR="00552630" w:rsidRPr="000A6510">
        <w:t xml:space="preserve">l </w:t>
      </w:r>
      <w:r w:rsidR="00552630" w:rsidRPr="000A6510">
        <w:rPr>
          <w:b/>
        </w:rPr>
        <w:t xml:space="preserve">IAT </w:t>
      </w:r>
      <w:r w:rsidR="00961C96" w:rsidRPr="000A6510">
        <w:rPr>
          <w:b/>
        </w:rPr>
        <w:t>del</w:t>
      </w:r>
      <w:r w:rsidR="00961C96" w:rsidRPr="000A6510">
        <w:t xml:space="preserve"> </w:t>
      </w:r>
      <w:r w:rsidR="00961C96" w:rsidRPr="000A6510">
        <w:rPr>
          <w:b/>
        </w:rPr>
        <w:t>S</w:t>
      </w:r>
      <w:r w:rsidR="009C4C14" w:rsidRPr="000A6510">
        <w:rPr>
          <w:b/>
        </w:rPr>
        <w:t>ector Construcción</w:t>
      </w:r>
      <w:r w:rsidR="000A3817">
        <w:t xml:space="preserve"> </w:t>
      </w:r>
      <w:r w:rsidR="00D10A4B">
        <w:t>se ubicó en</w:t>
      </w:r>
      <w:r w:rsidR="00552630" w:rsidRPr="000A6510">
        <w:t xml:space="preserve"> 5</w:t>
      </w:r>
      <w:r w:rsidR="0022330D">
        <w:t>4</w:t>
      </w:r>
      <w:r w:rsidR="00447CFA">
        <w:t>.1</w:t>
      </w:r>
      <w:r w:rsidR="00552630" w:rsidRPr="000A6510">
        <w:t xml:space="preserve"> puntos</w:t>
      </w:r>
      <w:r w:rsidR="006D1E9C" w:rsidRPr="000A6510">
        <w:t>,</w:t>
      </w:r>
      <w:r w:rsidR="00447CFA">
        <w:t xml:space="preserve"> </w:t>
      </w:r>
      <w:r w:rsidR="005F6B33">
        <w:t xml:space="preserve">0.1 puntos </w:t>
      </w:r>
      <w:r w:rsidR="005C5E1F">
        <w:t xml:space="preserve">más </w:t>
      </w:r>
      <w:r w:rsidR="005F6B33">
        <w:t>que e</w:t>
      </w:r>
      <w:r w:rsidR="00762D7F">
        <w:t>n</w:t>
      </w:r>
      <w:r w:rsidR="00447CFA">
        <w:t xml:space="preserve"> febrero</w:t>
      </w:r>
      <w:r w:rsidR="000A3817">
        <w:t xml:space="preserve"> pasado</w:t>
      </w:r>
      <w:r w:rsidR="00552630" w:rsidRPr="000A6510">
        <w:t>.</w:t>
      </w:r>
      <w:r w:rsidR="002C0D8A" w:rsidRPr="000A6510">
        <w:t xml:space="preserve"> Con este dato</w:t>
      </w:r>
      <w:r w:rsidR="00D44C03">
        <w:t>,</w:t>
      </w:r>
      <w:r w:rsidR="002C0D8A" w:rsidRPr="000A6510">
        <w:t xml:space="preserve"> el IA</w:t>
      </w:r>
      <w:r w:rsidR="0013373C">
        <w:t>T de la Construcción s</w:t>
      </w:r>
      <w:r w:rsidR="0000710C">
        <w:t>uma</w:t>
      </w:r>
      <w:r w:rsidR="00BB4A61" w:rsidRPr="000A6510">
        <w:t xml:space="preserve"> </w:t>
      </w:r>
      <w:r w:rsidR="00AE6B19">
        <w:t>1</w:t>
      </w:r>
      <w:r w:rsidR="00447CFA">
        <w:t>8</w:t>
      </w:r>
      <w:r w:rsidR="00302027">
        <w:t xml:space="preserve"> </w:t>
      </w:r>
      <w:r w:rsidR="002C0D8A" w:rsidRPr="000A6510">
        <w:t>mes</w:t>
      </w:r>
      <w:r w:rsidR="00E527E5">
        <w:t>es</w:t>
      </w:r>
      <w:r w:rsidR="002C0D8A" w:rsidRPr="000A6510">
        <w:t xml:space="preserve"> seguido</w:t>
      </w:r>
      <w:r w:rsidR="00E527E5">
        <w:t>s</w:t>
      </w:r>
      <w:r w:rsidR="002C0D8A" w:rsidRPr="000A6510">
        <w:t xml:space="preserve"> por encima </w:t>
      </w:r>
      <w:r w:rsidR="00FD7842">
        <w:t xml:space="preserve">del umbral </w:t>
      </w:r>
      <w:r w:rsidR="002C0D8A" w:rsidRPr="000A6510">
        <w:t>de los 50 puntos.</w:t>
      </w:r>
    </w:p>
    <w:p w14:paraId="1D0E622C" w14:textId="117C9D32" w:rsidR="0022330D" w:rsidRPr="00BC05F9" w:rsidRDefault="0022330D" w:rsidP="00D36B25">
      <w:pPr>
        <w:spacing w:before="360"/>
        <w:jc w:val="center"/>
        <w:rPr>
          <w:sz w:val="20"/>
        </w:rPr>
      </w:pPr>
      <w:r w:rsidRPr="00BC05F9">
        <w:rPr>
          <w:sz w:val="20"/>
        </w:rPr>
        <w:t xml:space="preserve">Gráfica </w:t>
      </w:r>
      <w:r w:rsidR="0027370D">
        <w:rPr>
          <w:sz w:val="20"/>
        </w:rPr>
        <w:t>3</w:t>
      </w:r>
    </w:p>
    <w:p w14:paraId="71682543" w14:textId="77777777" w:rsidR="0022330D" w:rsidRDefault="002C0D8A" w:rsidP="002C0D8A">
      <w:pPr>
        <w:jc w:val="center"/>
        <w:rPr>
          <w:b/>
          <w:smallCaps/>
          <w:sz w:val="22"/>
        </w:rPr>
      </w:pPr>
      <w:r w:rsidRPr="000A6510">
        <w:rPr>
          <w:b/>
          <w:smallCaps/>
          <w:sz w:val="22"/>
        </w:rPr>
        <w:t>Indicador agregado de tendencia de la construcción</w:t>
      </w:r>
    </w:p>
    <w:p w14:paraId="124F073F" w14:textId="1853025A" w:rsidR="002C0D8A" w:rsidRPr="000A6510" w:rsidRDefault="002455CF" w:rsidP="002C0D8A">
      <w:pPr>
        <w:jc w:val="center"/>
        <w:rPr>
          <w:b/>
          <w:smallCaps/>
          <w:sz w:val="22"/>
        </w:rPr>
      </w:pPr>
      <w:r>
        <w:rPr>
          <w:noProof/>
          <w:lang w:val="es-MX" w:eastAsia="es-MX"/>
        </w:rPr>
        <w:drawing>
          <wp:inline distT="0" distB="0" distL="0" distR="0" wp14:anchorId="438DFDE1" wp14:editId="2B2572AB">
            <wp:extent cx="4320000" cy="2520000"/>
            <wp:effectExtent l="0" t="0" r="23495" b="33020"/>
            <wp:docPr id="23" name="Gráfico 23">
              <a:extLst xmlns:a="http://schemas.openxmlformats.org/drawingml/2006/main">
                <a:ext uri="{FF2B5EF4-FFF2-40B4-BE49-F238E27FC236}">
                  <a16:creationId xmlns:a16="http://schemas.microsoft.com/office/drawing/2014/main" id="{E963418E-0A78-4271-BF4D-732876AC12E4}"/>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CD5C696" w14:textId="77777777" w:rsidR="002C0D8A" w:rsidRPr="00294891" w:rsidRDefault="002C0D8A" w:rsidP="002C0D8A">
      <w:pPr>
        <w:spacing w:before="20"/>
        <w:ind w:left="1412"/>
        <w:rPr>
          <w:sz w:val="16"/>
          <w:szCs w:val="14"/>
        </w:rPr>
      </w:pPr>
      <w:r w:rsidRPr="00294891">
        <w:rPr>
          <w:sz w:val="16"/>
          <w:szCs w:val="14"/>
        </w:rPr>
        <w:t xml:space="preserve">Fuente: </w:t>
      </w:r>
      <w:r w:rsidRPr="00294891">
        <w:rPr>
          <w:smallCaps/>
          <w:sz w:val="16"/>
          <w:szCs w:val="14"/>
        </w:rPr>
        <w:t>INEGI.</w:t>
      </w:r>
    </w:p>
    <w:p w14:paraId="32AEE4BC" w14:textId="30892813" w:rsidR="002C0D8A" w:rsidRPr="000A6510" w:rsidRDefault="002C0D8A" w:rsidP="007F0FC6">
      <w:pPr>
        <w:keepNext/>
        <w:keepLines/>
        <w:widowControl w:val="0"/>
        <w:spacing w:before="360"/>
        <w:outlineLvl w:val="0"/>
        <w:rPr>
          <w:lang w:val="es-MX"/>
        </w:rPr>
      </w:pPr>
      <w:r w:rsidRPr="000A6510">
        <w:rPr>
          <w:lang w:val="es-MX"/>
        </w:rPr>
        <w:t>En el siguiente cuadro se aprecia el comportamiento mensual y anual del IAT de la Construcción</w:t>
      </w:r>
      <w:r w:rsidR="00A629A1">
        <w:rPr>
          <w:lang w:val="es-MX"/>
        </w:rPr>
        <w:t>, así</w:t>
      </w:r>
      <w:r w:rsidRPr="000A6510">
        <w:rPr>
          <w:lang w:val="es-MX"/>
        </w:rPr>
        <w:t xml:space="preserve"> como el de sus componen</w:t>
      </w:r>
      <w:r w:rsidR="00176639">
        <w:rPr>
          <w:lang w:val="es-MX"/>
        </w:rPr>
        <w:t>tes durante el mes de referencia</w:t>
      </w:r>
      <w:r w:rsidRPr="000A6510">
        <w:rPr>
          <w:lang w:val="es-MX"/>
        </w:rPr>
        <w:t>:</w:t>
      </w:r>
    </w:p>
    <w:p w14:paraId="6B216C30" w14:textId="4A6856F2" w:rsidR="0022330D" w:rsidRPr="00BC05F9" w:rsidRDefault="0022330D" w:rsidP="007F0FC6">
      <w:pPr>
        <w:spacing w:before="360"/>
        <w:jc w:val="center"/>
        <w:rPr>
          <w:sz w:val="20"/>
        </w:rPr>
      </w:pPr>
      <w:r>
        <w:rPr>
          <w:sz w:val="20"/>
        </w:rPr>
        <w:t>Cuadro</w:t>
      </w:r>
      <w:r w:rsidRPr="00BC05F9">
        <w:rPr>
          <w:sz w:val="20"/>
        </w:rPr>
        <w:t xml:space="preserve"> </w:t>
      </w:r>
      <w:r>
        <w:rPr>
          <w:sz w:val="20"/>
        </w:rPr>
        <w:t>2</w:t>
      </w:r>
    </w:p>
    <w:p w14:paraId="105A72F3" w14:textId="2409868D" w:rsidR="00840D75" w:rsidRPr="000A6510" w:rsidRDefault="00FD7842" w:rsidP="0022330D">
      <w:pPr>
        <w:keepNext/>
        <w:keepLines/>
        <w:widowControl w:val="0"/>
        <w:jc w:val="center"/>
        <w:outlineLvl w:val="0"/>
        <w:rPr>
          <w:b/>
          <w:smallCaps/>
          <w:sz w:val="22"/>
          <w:lang w:val="es-MX"/>
        </w:rPr>
      </w:pPr>
      <w:r w:rsidRPr="00E449C5">
        <w:rPr>
          <w:b/>
          <w:smallCaps/>
          <w:sz w:val="22"/>
          <w:lang w:val="es-MX"/>
        </w:rPr>
        <w:t xml:space="preserve">IAT y Expectativas empresariales </w:t>
      </w:r>
      <w:r w:rsidR="00840D75" w:rsidRPr="00E449C5">
        <w:rPr>
          <w:b/>
          <w:smallCaps/>
          <w:sz w:val="22"/>
          <w:lang w:val="es-MX"/>
        </w:rPr>
        <w:t>del sector</w:t>
      </w:r>
      <w:r w:rsidR="00840D75" w:rsidRPr="000A6510">
        <w:rPr>
          <w:b/>
          <w:smallCaps/>
          <w:sz w:val="22"/>
          <w:lang w:val="es-MX"/>
        </w:rPr>
        <w:t xml:space="preserve"> </w:t>
      </w:r>
      <w:r w:rsidR="00C46EA9" w:rsidRPr="000A6510">
        <w:rPr>
          <w:b/>
          <w:smallCaps/>
          <w:sz w:val="22"/>
          <w:lang w:val="es-MX"/>
        </w:rPr>
        <w:t>construcción</w:t>
      </w:r>
    </w:p>
    <w:p w14:paraId="78F87E9C" w14:textId="63B5ECEA" w:rsidR="00840D75" w:rsidRPr="000A6510" w:rsidRDefault="0022330D" w:rsidP="00840D75">
      <w:pPr>
        <w:keepNext/>
        <w:keepLines/>
        <w:widowControl w:val="0"/>
        <w:spacing w:line="240" w:lineRule="exact"/>
        <w:jc w:val="center"/>
        <w:outlineLvl w:val="0"/>
        <w:rPr>
          <w:b/>
          <w:smallCaps/>
          <w:sz w:val="22"/>
          <w:lang w:val="es-MX"/>
        </w:rPr>
      </w:pPr>
      <w:r>
        <w:rPr>
          <w:b/>
          <w:smallCaps/>
          <w:sz w:val="22"/>
          <w:lang w:val="es-MX"/>
        </w:rPr>
        <w:t>c</w:t>
      </w:r>
      <w:r w:rsidR="00840D75" w:rsidRPr="000A6510">
        <w:rPr>
          <w:b/>
          <w:smallCaps/>
          <w:sz w:val="22"/>
          <w:lang w:val="es-MX"/>
        </w:rPr>
        <w:t>ifras desestacionalizadas</w:t>
      </w:r>
    </w:p>
    <w:tbl>
      <w:tblPr>
        <w:tblStyle w:val="Tablaconcuadrcula"/>
        <w:tblW w:w="4985" w:type="pct"/>
        <w:tblLayout w:type="fixed"/>
        <w:tblLook w:val="04A0" w:firstRow="1" w:lastRow="0" w:firstColumn="1" w:lastColumn="0" w:noHBand="0" w:noVBand="1"/>
      </w:tblPr>
      <w:tblGrid>
        <w:gridCol w:w="4815"/>
        <w:gridCol w:w="993"/>
        <w:gridCol w:w="908"/>
        <w:gridCol w:w="908"/>
        <w:gridCol w:w="494"/>
        <w:gridCol w:w="1250"/>
      </w:tblGrid>
      <w:tr w:rsidR="00FF4518" w:rsidRPr="000A6510" w14:paraId="12DBE5FD" w14:textId="77777777" w:rsidTr="008804EB">
        <w:trPr>
          <w:trHeight w:val="518"/>
          <w:tblHeader/>
        </w:trPr>
        <w:tc>
          <w:tcPr>
            <w:tcW w:w="4815" w:type="dxa"/>
            <w:vMerge w:val="restart"/>
            <w:tcBorders>
              <w:top w:val="single" w:sz="4" w:space="0" w:color="404040"/>
              <w:left w:val="single" w:sz="4" w:space="0" w:color="404040"/>
              <w:right w:val="single" w:sz="4" w:space="0" w:color="404040"/>
            </w:tcBorders>
            <w:shd w:val="clear" w:color="auto" w:fill="CCCCFF"/>
            <w:vAlign w:val="center"/>
          </w:tcPr>
          <w:p w14:paraId="701E188F" w14:textId="77777777" w:rsidR="009C3FF5" w:rsidRPr="000A6510" w:rsidRDefault="009C3FF5" w:rsidP="00D76DC5">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93" w:type="dxa"/>
            <w:vMerge w:val="restart"/>
            <w:tcBorders>
              <w:top w:val="single" w:sz="4" w:space="0" w:color="404040"/>
              <w:left w:val="single" w:sz="4" w:space="0" w:color="404040"/>
              <w:right w:val="single" w:sz="4" w:space="0" w:color="404040"/>
            </w:tcBorders>
            <w:shd w:val="clear" w:color="auto" w:fill="CCCCFF"/>
            <w:vAlign w:val="center"/>
          </w:tcPr>
          <w:p w14:paraId="4DA129BF" w14:textId="2DE08538" w:rsidR="009C3FF5" w:rsidRPr="000A6510" w:rsidRDefault="00345878" w:rsidP="00493ABF">
            <w:pPr>
              <w:ind w:left="-108" w:right="-82"/>
              <w:jc w:val="center"/>
              <w:rPr>
                <w:spacing w:val="-4"/>
                <w:sz w:val="18"/>
                <w:szCs w:val="18"/>
              </w:rPr>
            </w:pPr>
            <w:r>
              <w:rPr>
                <w:spacing w:val="-4"/>
                <w:sz w:val="18"/>
                <w:szCs w:val="18"/>
              </w:rPr>
              <w:t>Marzo</w:t>
            </w:r>
            <w:r w:rsidR="00FA2618" w:rsidRPr="000A6510">
              <w:rPr>
                <w:spacing w:val="-4"/>
                <w:sz w:val="18"/>
                <w:szCs w:val="18"/>
              </w:rPr>
              <w:br/>
              <w:t xml:space="preserve">de </w:t>
            </w:r>
            <w:r w:rsidR="00BC05F9">
              <w:rPr>
                <w:spacing w:val="-4"/>
                <w:sz w:val="18"/>
                <w:szCs w:val="18"/>
              </w:rPr>
              <w:t>2022</w:t>
            </w:r>
          </w:p>
        </w:tc>
        <w:tc>
          <w:tcPr>
            <w:tcW w:w="181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ACB71B5" w14:textId="77777777" w:rsidR="009C3FF5" w:rsidRPr="000A6510" w:rsidRDefault="009C3FF5" w:rsidP="001B1EDC">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 </w:t>
            </w:r>
            <w:r w:rsidRPr="000A6510">
              <w:rPr>
                <w:spacing w:val="-4"/>
                <w:sz w:val="18"/>
                <w:szCs w:val="18"/>
              </w:rPr>
              <w:br/>
              <w:t>puntos respecto al:</w:t>
            </w:r>
          </w:p>
        </w:tc>
        <w:tc>
          <w:tcPr>
            <w:tcW w:w="1744" w:type="dxa"/>
            <w:gridSpan w:val="2"/>
            <w:vMerge w:val="restart"/>
            <w:tcBorders>
              <w:top w:val="single" w:sz="4" w:space="0" w:color="404040"/>
              <w:left w:val="single" w:sz="4" w:space="0" w:color="404040"/>
              <w:right w:val="single" w:sz="4" w:space="0" w:color="404040"/>
            </w:tcBorders>
            <w:shd w:val="clear" w:color="auto" w:fill="CCCCFF"/>
            <w:vAlign w:val="center"/>
          </w:tcPr>
          <w:p w14:paraId="29D6071E" w14:textId="0D7C45DD" w:rsidR="009C3FF5" w:rsidRPr="000A6510" w:rsidRDefault="009C3FF5" w:rsidP="00FF4518">
            <w:pPr>
              <w:tabs>
                <w:tab w:val="center" w:pos="3348"/>
              </w:tabs>
              <w:ind w:left="-84" w:right="-99"/>
              <w:jc w:val="center"/>
              <w:rPr>
                <w:spacing w:val="-4"/>
                <w:sz w:val="18"/>
                <w:szCs w:val="18"/>
              </w:rPr>
            </w:pPr>
            <w:r w:rsidRPr="000A6510">
              <w:rPr>
                <w:spacing w:val="-4"/>
                <w:sz w:val="18"/>
                <w:szCs w:val="18"/>
              </w:rPr>
              <w:t xml:space="preserve">Número de meses consecutivos por </w:t>
            </w:r>
            <w:r w:rsidR="008804EB" w:rsidRPr="000A6510">
              <w:rPr>
                <w:spacing w:val="-4"/>
                <w:sz w:val="18"/>
                <w:szCs w:val="18"/>
              </w:rPr>
              <w:br/>
            </w:r>
            <w:r w:rsidRPr="000A6510">
              <w:rPr>
                <w:spacing w:val="-4"/>
                <w:sz w:val="18"/>
                <w:szCs w:val="18"/>
              </w:rPr>
              <w:t xml:space="preserve">arriba o por debajo </w:t>
            </w:r>
            <w:r w:rsidR="008804EB" w:rsidRPr="000A6510">
              <w:rPr>
                <w:spacing w:val="-4"/>
                <w:sz w:val="18"/>
                <w:szCs w:val="18"/>
              </w:rPr>
              <w:br/>
            </w:r>
            <w:r w:rsidRPr="000A6510">
              <w:rPr>
                <w:spacing w:val="-4"/>
                <w:sz w:val="18"/>
                <w:szCs w:val="18"/>
              </w:rPr>
              <w:t xml:space="preserve">del umbral de </w:t>
            </w:r>
            <w:r w:rsidR="008804EB" w:rsidRPr="000A6510">
              <w:rPr>
                <w:spacing w:val="-4"/>
                <w:sz w:val="18"/>
                <w:szCs w:val="18"/>
              </w:rPr>
              <w:br/>
            </w:r>
            <w:r w:rsidRPr="000A6510">
              <w:rPr>
                <w:spacing w:val="-4"/>
                <w:sz w:val="18"/>
                <w:szCs w:val="18"/>
              </w:rPr>
              <w:t>50 puntos</w:t>
            </w:r>
          </w:p>
        </w:tc>
      </w:tr>
      <w:tr w:rsidR="00FF4518" w:rsidRPr="000A6510" w14:paraId="0967D2A3" w14:textId="77777777" w:rsidTr="002C0D8A">
        <w:trPr>
          <w:trHeight w:val="517"/>
          <w:tblHeader/>
        </w:trPr>
        <w:tc>
          <w:tcPr>
            <w:tcW w:w="4815" w:type="dxa"/>
            <w:vMerge/>
            <w:tcBorders>
              <w:left w:val="single" w:sz="4" w:space="0" w:color="404040"/>
              <w:bottom w:val="single" w:sz="4" w:space="0" w:color="404040"/>
              <w:right w:val="single" w:sz="4" w:space="0" w:color="404040"/>
            </w:tcBorders>
            <w:shd w:val="clear" w:color="auto" w:fill="CCCCFF"/>
            <w:vAlign w:val="center"/>
          </w:tcPr>
          <w:p w14:paraId="1912D774" w14:textId="77777777" w:rsidR="00812DAD" w:rsidRPr="000A6510" w:rsidRDefault="00812DAD" w:rsidP="00D36749">
            <w:pPr>
              <w:widowControl w:val="0"/>
              <w:tabs>
                <w:tab w:val="left" w:pos="708"/>
                <w:tab w:val="center" w:pos="3348"/>
              </w:tabs>
              <w:ind w:firstLine="307"/>
              <w:jc w:val="left"/>
              <w:rPr>
                <w:spacing w:val="-4"/>
                <w:sz w:val="18"/>
                <w:szCs w:val="18"/>
              </w:rPr>
            </w:pPr>
          </w:p>
        </w:tc>
        <w:tc>
          <w:tcPr>
            <w:tcW w:w="993" w:type="dxa"/>
            <w:vMerge/>
            <w:tcBorders>
              <w:left w:val="single" w:sz="4" w:space="0" w:color="404040"/>
              <w:bottom w:val="single" w:sz="4" w:space="0" w:color="404040"/>
              <w:right w:val="single" w:sz="4" w:space="0" w:color="404040"/>
            </w:tcBorders>
            <w:shd w:val="clear" w:color="auto" w:fill="CCCCFF"/>
            <w:vAlign w:val="center"/>
          </w:tcPr>
          <w:p w14:paraId="02E04DFE" w14:textId="77777777" w:rsidR="00812DAD" w:rsidRPr="000A6510" w:rsidRDefault="00812DAD" w:rsidP="00D36749">
            <w:pPr>
              <w:ind w:left="-108" w:right="-82"/>
              <w:jc w:val="center"/>
              <w:rPr>
                <w:sz w:val="18"/>
                <w:szCs w:val="18"/>
              </w:rPr>
            </w:pPr>
          </w:p>
        </w:tc>
        <w:tc>
          <w:tcPr>
            <w:tcW w:w="90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21CBC5F" w14:textId="77777777" w:rsidR="00812DAD" w:rsidRPr="000A6510" w:rsidRDefault="00812DAD" w:rsidP="00CF593A">
            <w:pPr>
              <w:ind w:left="-106" w:right="-95"/>
              <w:jc w:val="center"/>
              <w:rPr>
                <w:spacing w:val="-4"/>
                <w:sz w:val="18"/>
                <w:szCs w:val="18"/>
              </w:rPr>
            </w:pPr>
            <w:r w:rsidRPr="000A6510">
              <w:rPr>
                <w:spacing w:val="-4"/>
                <w:sz w:val="18"/>
                <w:szCs w:val="18"/>
              </w:rPr>
              <w:t>Mes</w:t>
            </w:r>
            <w:r w:rsidR="00CF593A" w:rsidRPr="000A6510">
              <w:rPr>
                <w:spacing w:val="-4"/>
                <w:sz w:val="18"/>
                <w:szCs w:val="18"/>
              </w:rPr>
              <w:br/>
            </w:r>
            <w:r w:rsidRPr="000A6510">
              <w:rPr>
                <w:spacing w:val="-4"/>
                <w:sz w:val="18"/>
                <w:szCs w:val="18"/>
              </w:rPr>
              <w:t>previo</w:t>
            </w:r>
          </w:p>
        </w:tc>
        <w:tc>
          <w:tcPr>
            <w:tcW w:w="90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53738412" w14:textId="77777777" w:rsidR="00812DAD" w:rsidRPr="000A6510" w:rsidRDefault="00812DAD" w:rsidP="00FF4518">
            <w:pPr>
              <w:ind w:left="-106" w:right="-95"/>
              <w:jc w:val="center"/>
              <w:rPr>
                <w:spacing w:val="-4"/>
                <w:sz w:val="18"/>
                <w:szCs w:val="18"/>
              </w:rPr>
            </w:pPr>
            <w:r w:rsidRPr="000A6510">
              <w:rPr>
                <w:spacing w:val="-4"/>
                <w:sz w:val="18"/>
                <w:szCs w:val="18"/>
              </w:rPr>
              <w:t>Mismo mes del año anterior</w:t>
            </w:r>
          </w:p>
        </w:tc>
        <w:tc>
          <w:tcPr>
            <w:tcW w:w="1744" w:type="dxa"/>
            <w:gridSpan w:val="2"/>
            <w:vMerge/>
            <w:tcBorders>
              <w:left w:val="single" w:sz="4" w:space="0" w:color="404040"/>
              <w:bottom w:val="single" w:sz="4" w:space="0" w:color="404040"/>
              <w:right w:val="single" w:sz="4" w:space="0" w:color="404040"/>
            </w:tcBorders>
            <w:shd w:val="clear" w:color="auto" w:fill="CCCCFF"/>
            <w:vAlign w:val="center"/>
          </w:tcPr>
          <w:p w14:paraId="119E852D" w14:textId="77777777" w:rsidR="00812DAD" w:rsidRPr="000A6510" w:rsidRDefault="00812DAD" w:rsidP="00D36749">
            <w:pPr>
              <w:tabs>
                <w:tab w:val="center" w:pos="3348"/>
              </w:tabs>
              <w:ind w:left="-84" w:right="-99"/>
              <w:jc w:val="center"/>
              <w:rPr>
                <w:sz w:val="18"/>
                <w:szCs w:val="18"/>
              </w:rPr>
            </w:pPr>
          </w:p>
        </w:tc>
      </w:tr>
      <w:tr w:rsidR="005059A4" w:rsidRPr="000A6510" w14:paraId="73F74BA5" w14:textId="77777777" w:rsidTr="005D169A">
        <w:tc>
          <w:tcPr>
            <w:tcW w:w="4815" w:type="dxa"/>
            <w:tcBorders>
              <w:top w:val="single" w:sz="4" w:space="0" w:color="404040"/>
              <w:left w:val="single" w:sz="4" w:space="0" w:color="404040"/>
              <w:bottom w:val="nil"/>
              <w:right w:val="single" w:sz="4" w:space="0" w:color="404040"/>
            </w:tcBorders>
            <w:shd w:val="clear" w:color="auto" w:fill="auto"/>
            <w:vAlign w:val="bottom"/>
          </w:tcPr>
          <w:p w14:paraId="01AB2E31" w14:textId="6CC358BF" w:rsidR="005059A4" w:rsidRPr="000A6510" w:rsidRDefault="005059A4" w:rsidP="005059A4">
            <w:pPr>
              <w:widowControl w:val="0"/>
              <w:spacing w:before="20" w:after="20"/>
              <w:contextualSpacing/>
              <w:jc w:val="left"/>
              <w:rPr>
                <w:b/>
                <w:sz w:val="18"/>
                <w:szCs w:val="18"/>
                <w:lang w:val="es-MX"/>
              </w:rPr>
            </w:pPr>
            <w:r w:rsidRPr="000A6510">
              <w:rPr>
                <w:b/>
                <w:sz w:val="18"/>
                <w:szCs w:val="18"/>
                <w:lang w:val="es-MX"/>
              </w:rPr>
              <w:t>Indicador Agregado de Tendencia del Sector Construcción</w:t>
            </w:r>
          </w:p>
        </w:tc>
        <w:tc>
          <w:tcPr>
            <w:tcW w:w="993" w:type="dxa"/>
            <w:tcBorders>
              <w:top w:val="single" w:sz="4" w:space="0" w:color="404040"/>
              <w:left w:val="single" w:sz="4" w:space="0" w:color="404040"/>
              <w:bottom w:val="nil"/>
              <w:right w:val="single" w:sz="4" w:space="0" w:color="404040"/>
            </w:tcBorders>
            <w:shd w:val="clear" w:color="auto" w:fill="auto"/>
            <w:vAlign w:val="center"/>
          </w:tcPr>
          <w:p w14:paraId="1F17BD75" w14:textId="36810E7F" w:rsidR="005059A4" w:rsidRPr="005059A4" w:rsidRDefault="005059A4" w:rsidP="005059A4">
            <w:pPr>
              <w:tabs>
                <w:tab w:val="decimal" w:pos="390"/>
              </w:tabs>
              <w:jc w:val="left"/>
              <w:rPr>
                <w:b/>
                <w:sz w:val="18"/>
                <w:szCs w:val="18"/>
              </w:rPr>
            </w:pPr>
            <w:r w:rsidRPr="005059A4">
              <w:rPr>
                <w:b/>
                <w:bCs/>
                <w:sz w:val="18"/>
                <w:szCs w:val="18"/>
              </w:rPr>
              <w:t xml:space="preserve">54.1 </w:t>
            </w:r>
          </w:p>
        </w:tc>
        <w:tc>
          <w:tcPr>
            <w:tcW w:w="908" w:type="dxa"/>
            <w:tcBorders>
              <w:top w:val="single" w:sz="4" w:space="0" w:color="404040"/>
              <w:left w:val="single" w:sz="4" w:space="0" w:color="404040"/>
              <w:bottom w:val="nil"/>
              <w:right w:val="nil"/>
            </w:tcBorders>
            <w:shd w:val="clear" w:color="auto" w:fill="auto"/>
            <w:vAlign w:val="center"/>
          </w:tcPr>
          <w:p w14:paraId="6CCBF90F" w14:textId="3230CD86" w:rsidR="005059A4" w:rsidRPr="005059A4" w:rsidRDefault="005059A4" w:rsidP="005059A4">
            <w:pPr>
              <w:tabs>
                <w:tab w:val="decimal" w:pos="302"/>
              </w:tabs>
              <w:ind w:left="-142"/>
              <w:jc w:val="left"/>
              <w:rPr>
                <w:b/>
                <w:sz w:val="18"/>
                <w:szCs w:val="18"/>
              </w:rPr>
            </w:pPr>
            <w:r w:rsidRPr="005059A4">
              <w:rPr>
                <w:b/>
                <w:bCs/>
                <w:sz w:val="18"/>
                <w:szCs w:val="18"/>
              </w:rPr>
              <w:t>0.1</w:t>
            </w:r>
          </w:p>
        </w:tc>
        <w:tc>
          <w:tcPr>
            <w:tcW w:w="908" w:type="dxa"/>
            <w:tcBorders>
              <w:top w:val="single" w:sz="4" w:space="0" w:color="404040"/>
              <w:left w:val="nil"/>
              <w:bottom w:val="nil"/>
              <w:right w:val="single" w:sz="4" w:space="0" w:color="404040"/>
            </w:tcBorders>
            <w:shd w:val="clear" w:color="auto" w:fill="auto"/>
            <w:vAlign w:val="center"/>
          </w:tcPr>
          <w:p w14:paraId="681EB732" w14:textId="3B829196" w:rsidR="005059A4" w:rsidRPr="005059A4" w:rsidRDefault="005059A4" w:rsidP="005059A4">
            <w:pPr>
              <w:tabs>
                <w:tab w:val="decimal" w:pos="282"/>
              </w:tabs>
              <w:jc w:val="left"/>
              <w:rPr>
                <w:b/>
                <w:sz w:val="18"/>
                <w:szCs w:val="18"/>
              </w:rPr>
            </w:pPr>
            <w:r w:rsidRPr="005059A4">
              <w:rPr>
                <w:b/>
                <w:bCs/>
                <w:sz w:val="18"/>
                <w:szCs w:val="18"/>
              </w:rPr>
              <w:t>0.9</w:t>
            </w:r>
          </w:p>
        </w:tc>
        <w:tc>
          <w:tcPr>
            <w:tcW w:w="494" w:type="dxa"/>
            <w:tcBorders>
              <w:top w:val="single" w:sz="4" w:space="0" w:color="404040"/>
              <w:left w:val="single" w:sz="4" w:space="0" w:color="404040"/>
              <w:bottom w:val="nil"/>
              <w:right w:val="nil"/>
            </w:tcBorders>
            <w:shd w:val="clear" w:color="auto" w:fill="auto"/>
            <w:vAlign w:val="center"/>
          </w:tcPr>
          <w:p w14:paraId="7D66F804" w14:textId="7FE72EDA" w:rsidR="005059A4" w:rsidRPr="005059A4" w:rsidRDefault="005059A4" w:rsidP="005059A4">
            <w:pPr>
              <w:jc w:val="right"/>
              <w:rPr>
                <w:b/>
                <w:sz w:val="18"/>
                <w:szCs w:val="18"/>
              </w:rPr>
            </w:pPr>
            <w:r w:rsidRPr="005059A4">
              <w:rPr>
                <w:b/>
                <w:bCs/>
                <w:sz w:val="18"/>
                <w:szCs w:val="18"/>
              </w:rPr>
              <w:t>18</w:t>
            </w:r>
          </w:p>
        </w:tc>
        <w:tc>
          <w:tcPr>
            <w:tcW w:w="1250" w:type="dxa"/>
            <w:tcBorders>
              <w:top w:val="single" w:sz="4" w:space="0" w:color="404040"/>
              <w:left w:val="nil"/>
              <w:bottom w:val="nil"/>
              <w:right w:val="single" w:sz="4" w:space="0" w:color="404040"/>
            </w:tcBorders>
            <w:shd w:val="clear" w:color="auto" w:fill="auto"/>
            <w:vAlign w:val="center"/>
          </w:tcPr>
          <w:p w14:paraId="72459F25" w14:textId="3D44F326" w:rsidR="005059A4" w:rsidRPr="006C1B78" w:rsidRDefault="005059A4" w:rsidP="005059A4">
            <w:pPr>
              <w:tabs>
                <w:tab w:val="decimal" w:pos="810"/>
              </w:tabs>
              <w:jc w:val="left"/>
              <w:rPr>
                <w:b/>
                <w:sz w:val="18"/>
                <w:szCs w:val="18"/>
              </w:rPr>
            </w:pPr>
            <w:r>
              <w:rPr>
                <w:b/>
                <w:bCs/>
                <w:color w:val="000000"/>
                <w:sz w:val="18"/>
                <w:szCs w:val="18"/>
              </w:rPr>
              <w:t>Por arriba</w:t>
            </w:r>
          </w:p>
        </w:tc>
      </w:tr>
      <w:tr w:rsidR="005059A4" w:rsidRPr="000A6510" w14:paraId="36FDCC7D" w14:textId="77777777" w:rsidTr="005D169A">
        <w:tc>
          <w:tcPr>
            <w:tcW w:w="4815" w:type="dxa"/>
            <w:tcBorders>
              <w:top w:val="nil"/>
              <w:left w:val="single" w:sz="4" w:space="0" w:color="404040"/>
              <w:bottom w:val="nil"/>
              <w:right w:val="single" w:sz="4" w:space="0" w:color="404040"/>
            </w:tcBorders>
            <w:shd w:val="clear" w:color="auto" w:fill="auto"/>
            <w:vAlign w:val="bottom"/>
          </w:tcPr>
          <w:p w14:paraId="6F086F09" w14:textId="7A0AC58A" w:rsidR="005059A4" w:rsidRPr="008C7624" w:rsidRDefault="008C7624" w:rsidP="008C7624">
            <w:pPr>
              <w:widowControl w:val="0"/>
              <w:spacing w:before="20" w:after="20"/>
              <w:ind w:left="29"/>
              <w:contextualSpacing/>
              <w:jc w:val="left"/>
              <w:rPr>
                <w:spacing w:val="-4"/>
                <w:sz w:val="18"/>
                <w:szCs w:val="18"/>
                <w:lang w:val="es-MX"/>
              </w:rPr>
            </w:pPr>
            <w:r>
              <w:rPr>
                <w:spacing w:val="-4"/>
                <w:sz w:val="18"/>
                <w:szCs w:val="18"/>
                <w:lang w:val="es-MX"/>
              </w:rPr>
              <w:t xml:space="preserve">a)  </w:t>
            </w:r>
            <w:r w:rsidR="005059A4" w:rsidRPr="008C7624">
              <w:rPr>
                <w:spacing w:val="-4"/>
                <w:sz w:val="18"/>
                <w:szCs w:val="18"/>
                <w:lang w:val="es-MX"/>
              </w:rPr>
              <w:t>Valor de las obras ejecutadas como contratista principal</w:t>
            </w:r>
          </w:p>
        </w:tc>
        <w:tc>
          <w:tcPr>
            <w:tcW w:w="993" w:type="dxa"/>
            <w:tcBorders>
              <w:top w:val="nil"/>
              <w:left w:val="single" w:sz="4" w:space="0" w:color="404040"/>
              <w:bottom w:val="nil"/>
              <w:right w:val="single" w:sz="4" w:space="0" w:color="404040"/>
            </w:tcBorders>
            <w:shd w:val="clear" w:color="auto" w:fill="auto"/>
            <w:vAlign w:val="center"/>
          </w:tcPr>
          <w:p w14:paraId="31989279" w14:textId="2F5D22E8" w:rsidR="005059A4" w:rsidRPr="005059A4" w:rsidRDefault="005059A4" w:rsidP="005059A4">
            <w:pPr>
              <w:tabs>
                <w:tab w:val="decimal" w:pos="390"/>
              </w:tabs>
              <w:jc w:val="left"/>
              <w:rPr>
                <w:sz w:val="18"/>
                <w:szCs w:val="18"/>
                <w:lang w:val="es-MX" w:eastAsia="es-MX"/>
              </w:rPr>
            </w:pPr>
            <w:r w:rsidRPr="005059A4">
              <w:rPr>
                <w:sz w:val="18"/>
                <w:szCs w:val="18"/>
              </w:rPr>
              <w:t xml:space="preserve">55.2 </w:t>
            </w:r>
          </w:p>
        </w:tc>
        <w:tc>
          <w:tcPr>
            <w:tcW w:w="908" w:type="dxa"/>
            <w:tcBorders>
              <w:top w:val="nil"/>
              <w:left w:val="single" w:sz="4" w:space="0" w:color="404040"/>
              <w:bottom w:val="nil"/>
              <w:right w:val="nil"/>
            </w:tcBorders>
            <w:shd w:val="clear" w:color="auto" w:fill="auto"/>
            <w:vAlign w:val="center"/>
          </w:tcPr>
          <w:p w14:paraId="4537FC81" w14:textId="5B48433D" w:rsidR="005059A4" w:rsidRPr="005059A4" w:rsidRDefault="005059A4" w:rsidP="005059A4">
            <w:pPr>
              <w:tabs>
                <w:tab w:val="decimal" w:pos="302"/>
              </w:tabs>
              <w:ind w:left="-142"/>
              <w:jc w:val="left"/>
              <w:rPr>
                <w:sz w:val="18"/>
                <w:szCs w:val="18"/>
              </w:rPr>
            </w:pPr>
            <w:r w:rsidRPr="005059A4">
              <w:rPr>
                <w:sz w:val="18"/>
                <w:szCs w:val="18"/>
              </w:rPr>
              <w:t>-0.1</w:t>
            </w:r>
          </w:p>
        </w:tc>
        <w:tc>
          <w:tcPr>
            <w:tcW w:w="908" w:type="dxa"/>
            <w:tcBorders>
              <w:top w:val="nil"/>
              <w:left w:val="nil"/>
              <w:bottom w:val="nil"/>
              <w:right w:val="single" w:sz="4" w:space="0" w:color="404040"/>
            </w:tcBorders>
            <w:shd w:val="clear" w:color="auto" w:fill="auto"/>
            <w:vAlign w:val="center"/>
          </w:tcPr>
          <w:p w14:paraId="0FDEC4D2" w14:textId="371A1C5F" w:rsidR="005059A4" w:rsidRPr="005059A4" w:rsidRDefault="005059A4" w:rsidP="005059A4">
            <w:pPr>
              <w:tabs>
                <w:tab w:val="decimal" w:pos="282"/>
              </w:tabs>
              <w:jc w:val="left"/>
              <w:rPr>
                <w:sz w:val="18"/>
                <w:szCs w:val="18"/>
              </w:rPr>
            </w:pPr>
            <w:r w:rsidRPr="005059A4">
              <w:rPr>
                <w:sz w:val="18"/>
                <w:szCs w:val="18"/>
              </w:rPr>
              <w:t>0.5</w:t>
            </w:r>
          </w:p>
        </w:tc>
        <w:tc>
          <w:tcPr>
            <w:tcW w:w="494" w:type="dxa"/>
            <w:tcBorders>
              <w:top w:val="nil"/>
              <w:left w:val="single" w:sz="4" w:space="0" w:color="404040"/>
              <w:bottom w:val="nil"/>
              <w:right w:val="nil"/>
            </w:tcBorders>
            <w:shd w:val="clear" w:color="auto" w:fill="auto"/>
            <w:vAlign w:val="center"/>
          </w:tcPr>
          <w:p w14:paraId="70316B9A" w14:textId="67A64543" w:rsidR="005059A4" w:rsidRPr="005059A4" w:rsidRDefault="005059A4" w:rsidP="005059A4">
            <w:pPr>
              <w:jc w:val="right"/>
              <w:rPr>
                <w:sz w:val="18"/>
                <w:szCs w:val="18"/>
              </w:rPr>
            </w:pPr>
            <w:r w:rsidRPr="005059A4">
              <w:rPr>
                <w:sz w:val="18"/>
                <w:szCs w:val="18"/>
              </w:rPr>
              <w:t>21</w:t>
            </w:r>
          </w:p>
        </w:tc>
        <w:tc>
          <w:tcPr>
            <w:tcW w:w="1250" w:type="dxa"/>
            <w:tcBorders>
              <w:top w:val="nil"/>
              <w:left w:val="nil"/>
              <w:bottom w:val="nil"/>
              <w:right w:val="single" w:sz="4" w:space="0" w:color="404040"/>
            </w:tcBorders>
            <w:shd w:val="clear" w:color="auto" w:fill="auto"/>
            <w:vAlign w:val="center"/>
          </w:tcPr>
          <w:p w14:paraId="32F9DF71" w14:textId="7CF2C143" w:rsidR="005059A4" w:rsidRPr="00C245FA" w:rsidRDefault="005059A4" w:rsidP="005059A4">
            <w:pPr>
              <w:tabs>
                <w:tab w:val="decimal" w:pos="810"/>
              </w:tabs>
              <w:jc w:val="left"/>
              <w:rPr>
                <w:sz w:val="18"/>
                <w:szCs w:val="18"/>
              </w:rPr>
            </w:pPr>
            <w:r>
              <w:rPr>
                <w:color w:val="000000"/>
                <w:sz w:val="18"/>
                <w:szCs w:val="18"/>
              </w:rPr>
              <w:t>Por arriba</w:t>
            </w:r>
          </w:p>
        </w:tc>
      </w:tr>
      <w:tr w:rsidR="005059A4" w:rsidRPr="000A6510" w14:paraId="7D2AAA7E" w14:textId="77777777" w:rsidTr="005D169A">
        <w:tc>
          <w:tcPr>
            <w:tcW w:w="4815" w:type="dxa"/>
            <w:tcBorders>
              <w:top w:val="nil"/>
              <w:left w:val="single" w:sz="4" w:space="0" w:color="404040"/>
              <w:bottom w:val="nil"/>
              <w:right w:val="single" w:sz="4" w:space="0" w:color="404040"/>
            </w:tcBorders>
            <w:shd w:val="clear" w:color="auto" w:fill="auto"/>
            <w:vAlign w:val="bottom"/>
          </w:tcPr>
          <w:p w14:paraId="419ABA77" w14:textId="48A8CB88" w:rsidR="005059A4" w:rsidRPr="008C7624" w:rsidRDefault="008C7624" w:rsidP="008C7624">
            <w:pPr>
              <w:widowControl w:val="0"/>
              <w:spacing w:before="20" w:after="20"/>
              <w:ind w:left="29"/>
              <w:contextualSpacing/>
              <w:jc w:val="left"/>
              <w:rPr>
                <w:spacing w:val="-4"/>
                <w:sz w:val="18"/>
                <w:szCs w:val="18"/>
                <w:lang w:val="es-MX"/>
              </w:rPr>
            </w:pPr>
            <w:r>
              <w:rPr>
                <w:spacing w:val="-4"/>
                <w:sz w:val="18"/>
                <w:szCs w:val="18"/>
                <w:lang w:val="es-MX"/>
              </w:rPr>
              <w:t xml:space="preserve">b)  </w:t>
            </w:r>
            <w:r w:rsidR="005059A4" w:rsidRPr="008C7624">
              <w:rPr>
                <w:spacing w:val="-4"/>
                <w:sz w:val="18"/>
                <w:szCs w:val="18"/>
                <w:lang w:val="es-MX"/>
              </w:rPr>
              <w:t>Valor de las obras ejecutadas como subcontratista</w:t>
            </w:r>
          </w:p>
        </w:tc>
        <w:tc>
          <w:tcPr>
            <w:tcW w:w="993" w:type="dxa"/>
            <w:tcBorders>
              <w:top w:val="nil"/>
              <w:left w:val="single" w:sz="4" w:space="0" w:color="404040"/>
              <w:bottom w:val="nil"/>
              <w:right w:val="single" w:sz="4" w:space="0" w:color="404040"/>
            </w:tcBorders>
            <w:shd w:val="clear" w:color="auto" w:fill="auto"/>
            <w:vAlign w:val="center"/>
          </w:tcPr>
          <w:p w14:paraId="67F04603" w14:textId="781B1BF6" w:rsidR="005059A4" w:rsidRPr="005059A4" w:rsidRDefault="005059A4" w:rsidP="005059A4">
            <w:pPr>
              <w:tabs>
                <w:tab w:val="decimal" w:pos="390"/>
              </w:tabs>
              <w:jc w:val="left"/>
              <w:rPr>
                <w:sz w:val="18"/>
                <w:szCs w:val="18"/>
              </w:rPr>
            </w:pPr>
            <w:r w:rsidRPr="005059A4">
              <w:rPr>
                <w:sz w:val="18"/>
                <w:szCs w:val="18"/>
              </w:rPr>
              <w:t xml:space="preserve">55.1 </w:t>
            </w:r>
          </w:p>
        </w:tc>
        <w:tc>
          <w:tcPr>
            <w:tcW w:w="908" w:type="dxa"/>
            <w:tcBorders>
              <w:top w:val="nil"/>
              <w:left w:val="single" w:sz="4" w:space="0" w:color="404040"/>
              <w:bottom w:val="nil"/>
              <w:right w:val="nil"/>
            </w:tcBorders>
            <w:shd w:val="clear" w:color="auto" w:fill="auto"/>
            <w:vAlign w:val="center"/>
          </w:tcPr>
          <w:p w14:paraId="07BAD8AE" w14:textId="5987204D" w:rsidR="005059A4" w:rsidRPr="005059A4" w:rsidRDefault="005059A4" w:rsidP="005059A4">
            <w:pPr>
              <w:tabs>
                <w:tab w:val="decimal" w:pos="302"/>
              </w:tabs>
              <w:ind w:left="-142"/>
              <w:jc w:val="left"/>
              <w:rPr>
                <w:sz w:val="18"/>
                <w:szCs w:val="18"/>
              </w:rPr>
            </w:pPr>
            <w:r w:rsidRPr="005059A4">
              <w:rPr>
                <w:sz w:val="18"/>
                <w:szCs w:val="18"/>
              </w:rPr>
              <w:t>0.2</w:t>
            </w:r>
          </w:p>
        </w:tc>
        <w:tc>
          <w:tcPr>
            <w:tcW w:w="908" w:type="dxa"/>
            <w:tcBorders>
              <w:top w:val="nil"/>
              <w:left w:val="nil"/>
              <w:bottom w:val="nil"/>
              <w:right w:val="single" w:sz="4" w:space="0" w:color="404040"/>
            </w:tcBorders>
            <w:shd w:val="clear" w:color="auto" w:fill="auto"/>
            <w:vAlign w:val="center"/>
          </w:tcPr>
          <w:p w14:paraId="26173ACB" w14:textId="003E2B0E" w:rsidR="005059A4" w:rsidRPr="005059A4" w:rsidRDefault="005059A4" w:rsidP="005059A4">
            <w:pPr>
              <w:tabs>
                <w:tab w:val="decimal" w:pos="282"/>
              </w:tabs>
              <w:jc w:val="left"/>
              <w:rPr>
                <w:sz w:val="18"/>
                <w:szCs w:val="18"/>
              </w:rPr>
            </w:pPr>
            <w:r w:rsidRPr="005059A4">
              <w:rPr>
                <w:sz w:val="18"/>
                <w:szCs w:val="18"/>
              </w:rPr>
              <w:t>1.7</w:t>
            </w:r>
          </w:p>
        </w:tc>
        <w:tc>
          <w:tcPr>
            <w:tcW w:w="494" w:type="dxa"/>
            <w:tcBorders>
              <w:top w:val="nil"/>
              <w:left w:val="single" w:sz="4" w:space="0" w:color="404040"/>
              <w:bottom w:val="nil"/>
              <w:right w:val="nil"/>
            </w:tcBorders>
            <w:shd w:val="clear" w:color="auto" w:fill="auto"/>
            <w:vAlign w:val="center"/>
          </w:tcPr>
          <w:p w14:paraId="64373E55" w14:textId="4F6D0D0F" w:rsidR="005059A4" w:rsidRPr="005059A4" w:rsidRDefault="005059A4" w:rsidP="005059A4">
            <w:pPr>
              <w:jc w:val="right"/>
              <w:rPr>
                <w:sz w:val="18"/>
                <w:szCs w:val="18"/>
              </w:rPr>
            </w:pPr>
            <w:r w:rsidRPr="005059A4">
              <w:rPr>
                <w:sz w:val="18"/>
                <w:szCs w:val="18"/>
              </w:rPr>
              <w:t>17</w:t>
            </w:r>
          </w:p>
        </w:tc>
        <w:tc>
          <w:tcPr>
            <w:tcW w:w="1250" w:type="dxa"/>
            <w:tcBorders>
              <w:top w:val="nil"/>
              <w:left w:val="nil"/>
              <w:bottom w:val="nil"/>
              <w:right w:val="single" w:sz="4" w:space="0" w:color="404040"/>
            </w:tcBorders>
            <w:shd w:val="clear" w:color="auto" w:fill="auto"/>
            <w:vAlign w:val="center"/>
          </w:tcPr>
          <w:p w14:paraId="365F32BF" w14:textId="4FCFD6A9" w:rsidR="005059A4" w:rsidRPr="00C245FA" w:rsidRDefault="005059A4" w:rsidP="005059A4">
            <w:pPr>
              <w:tabs>
                <w:tab w:val="decimal" w:pos="810"/>
              </w:tabs>
              <w:jc w:val="left"/>
              <w:rPr>
                <w:sz w:val="18"/>
                <w:szCs w:val="18"/>
              </w:rPr>
            </w:pPr>
            <w:r>
              <w:rPr>
                <w:color w:val="000000"/>
                <w:sz w:val="18"/>
                <w:szCs w:val="18"/>
              </w:rPr>
              <w:t>Por arriba</w:t>
            </w:r>
          </w:p>
        </w:tc>
      </w:tr>
      <w:tr w:rsidR="005059A4" w:rsidRPr="000A6510" w14:paraId="67253F9C" w14:textId="77777777" w:rsidTr="005D169A">
        <w:tc>
          <w:tcPr>
            <w:tcW w:w="4815" w:type="dxa"/>
            <w:tcBorders>
              <w:top w:val="nil"/>
              <w:left w:val="single" w:sz="4" w:space="0" w:color="404040"/>
              <w:bottom w:val="nil"/>
              <w:right w:val="single" w:sz="4" w:space="0" w:color="404040"/>
            </w:tcBorders>
            <w:shd w:val="clear" w:color="auto" w:fill="auto"/>
            <w:vAlign w:val="bottom"/>
          </w:tcPr>
          <w:p w14:paraId="68DB8D32" w14:textId="42603BD0" w:rsidR="005059A4" w:rsidRPr="008C7624" w:rsidRDefault="008C7624" w:rsidP="008C7624">
            <w:pPr>
              <w:widowControl w:val="0"/>
              <w:spacing w:before="20" w:after="20"/>
              <w:ind w:left="29"/>
              <w:contextualSpacing/>
              <w:jc w:val="left"/>
              <w:rPr>
                <w:spacing w:val="-4"/>
                <w:sz w:val="18"/>
                <w:szCs w:val="18"/>
                <w:lang w:val="es-MX"/>
              </w:rPr>
            </w:pPr>
            <w:r>
              <w:rPr>
                <w:spacing w:val="-4"/>
                <w:sz w:val="18"/>
                <w:szCs w:val="18"/>
                <w:lang w:val="es-MX"/>
              </w:rPr>
              <w:t xml:space="preserve">c)  </w:t>
            </w:r>
            <w:r w:rsidR="005059A4" w:rsidRPr="008C7624">
              <w:rPr>
                <w:spacing w:val="-4"/>
                <w:sz w:val="18"/>
                <w:szCs w:val="18"/>
                <w:lang w:val="es-MX"/>
              </w:rPr>
              <w:t>Total de contratos y subcontratos</w:t>
            </w:r>
          </w:p>
        </w:tc>
        <w:tc>
          <w:tcPr>
            <w:tcW w:w="993" w:type="dxa"/>
            <w:tcBorders>
              <w:top w:val="nil"/>
              <w:left w:val="single" w:sz="4" w:space="0" w:color="404040"/>
              <w:bottom w:val="nil"/>
              <w:right w:val="single" w:sz="4" w:space="0" w:color="404040"/>
            </w:tcBorders>
            <w:shd w:val="clear" w:color="auto" w:fill="auto"/>
            <w:vAlign w:val="center"/>
          </w:tcPr>
          <w:p w14:paraId="49C4A6E2" w14:textId="425691F7" w:rsidR="005059A4" w:rsidRPr="005059A4" w:rsidRDefault="005059A4" w:rsidP="005059A4">
            <w:pPr>
              <w:tabs>
                <w:tab w:val="decimal" w:pos="390"/>
              </w:tabs>
              <w:jc w:val="left"/>
              <w:rPr>
                <w:sz w:val="18"/>
                <w:szCs w:val="18"/>
              </w:rPr>
            </w:pPr>
            <w:r w:rsidRPr="005059A4">
              <w:rPr>
                <w:sz w:val="18"/>
                <w:szCs w:val="18"/>
              </w:rPr>
              <w:t xml:space="preserve">54.5 </w:t>
            </w:r>
          </w:p>
        </w:tc>
        <w:tc>
          <w:tcPr>
            <w:tcW w:w="908" w:type="dxa"/>
            <w:tcBorders>
              <w:top w:val="nil"/>
              <w:left w:val="single" w:sz="4" w:space="0" w:color="404040"/>
              <w:bottom w:val="nil"/>
              <w:right w:val="nil"/>
            </w:tcBorders>
            <w:shd w:val="clear" w:color="auto" w:fill="auto"/>
            <w:vAlign w:val="center"/>
          </w:tcPr>
          <w:p w14:paraId="1842FF46" w14:textId="109A1A25" w:rsidR="005059A4" w:rsidRPr="005059A4" w:rsidRDefault="005059A4" w:rsidP="005059A4">
            <w:pPr>
              <w:tabs>
                <w:tab w:val="decimal" w:pos="302"/>
              </w:tabs>
              <w:ind w:left="-142"/>
              <w:jc w:val="left"/>
              <w:rPr>
                <w:sz w:val="18"/>
                <w:szCs w:val="18"/>
              </w:rPr>
            </w:pPr>
            <w:r w:rsidRPr="005059A4">
              <w:rPr>
                <w:sz w:val="18"/>
                <w:szCs w:val="18"/>
              </w:rPr>
              <w:t>0.4</w:t>
            </w:r>
          </w:p>
        </w:tc>
        <w:tc>
          <w:tcPr>
            <w:tcW w:w="908" w:type="dxa"/>
            <w:tcBorders>
              <w:top w:val="nil"/>
              <w:left w:val="nil"/>
              <w:bottom w:val="nil"/>
              <w:right w:val="single" w:sz="4" w:space="0" w:color="404040"/>
            </w:tcBorders>
            <w:shd w:val="clear" w:color="auto" w:fill="auto"/>
            <w:vAlign w:val="center"/>
          </w:tcPr>
          <w:p w14:paraId="5D47EBBB" w14:textId="5D14D7EF" w:rsidR="005059A4" w:rsidRPr="005059A4" w:rsidRDefault="005059A4" w:rsidP="005059A4">
            <w:pPr>
              <w:tabs>
                <w:tab w:val="decimal" w:pos="282"/>
              </w:tabs>
              <w:jc w:val="left"/>
              <w:rPr>
                <w:sz w:val="18"/>
                <w:szCs w:val="18"/>
              </w:rPr>
            </w:pPr>
            <w:r w:rsidRPr="005059A4">
              <w:rPr>
                <w:sz w:val="18"/>
                <w:szCs w:val="18"/>
              </w:rPr>
              <w:t>1.6</w:t>
            </w:r>
          </w:p>
        </w:tc>
        <w:tc>
          <w:tcPr>
            <w:tcW w:w="494" w:type="dxa"/>
            <w:tcBorders>
              <w:top w:val="nil"/>
              <w:left w:val="single" w:sz="4" w:space="0" w:color="404040"/>
              <w:bottom w:val="nil"/>
              <w:right w:val="nil"/>
            </w:tcBorders>
            <w:shd w:val="clear" w:color="auto" w:fill="auto"/>
            <w:vAlign w:val="center"/>
          </w:tcPr>
          <w:p w14:paraId="2B2B53D4" w14:textId="18F6931B" w:rsidR="005059A4" w:rsidRPr="005059A4" w:rsidRDefault="005059A4" w:rsidP="005059A4">
            <w:pPr>
              <w:jc w:val="right"/>
              <w:rPr>
                <w:sz w:val="18"/>
                <w:szCs w:val="18"/>
              </w:rPr>
            </w:pPr>
            <w:r w:rsidRPr="005059A4">
              <w:rPr>
                <w:sz w:val="18"/>
                <w:szCs w:val="18"/>
              </w:rPr>
              <w:t>20</w:t>
            </w:r>
          </w:p>
        </w:tc>
        <w:tc>
          <w:tcPr>
            <w:tcW w:w="1250" w:type="dxa"/>
            <w:tcBorders>
              <w:top w:val="nil"/>
              <w:left w:val="nil"/>
              <w:bottom w:val="nil"/>
              <w:right w:val="single" w:sz="4" w:space="0" w:color="404040"/>
            </w:tcBorders>
            <w:shd w:val="clear" w:color="auto" w:fill="auto"/>
            <w:vAlign w:val="center"/>
          </w:tcPr>
          <w:p w14:paraId="383BBF43" w14:textId="5AC831D7" w:rsidR="005059A4" w:rsidRPr="00C245FA" w:rsidRDefault="005059A4" w:rsidP="005059A4">
            <w:pPr>
              <w:tabs>
                <w:tab w:val="decimal" w:pos="810"/>
              </w:tabs>
              <w:jc w:val="left"/>
              <w:rPr>
                <w:sz w:val="18"/>
                <w:szCs w:val="18"/>
              </w:rPr>
            </w:pPr>
            <w:r>
              <w:rPr>
                <w:color w:val="000000"/>
                <w:sz w:val="18"/>
                <w:szCs w:val="18"/>
              </w:rPr>
              <w:t>Por arriba</w:t>
            </w:r>
          </w:p>
        </w:tc>
      </w:tr>
      <w:tr w:rsidR="005059A4" w:rsidRPr="000A6510" w14:paraId="0553D0BB" w14:textId="77777777" w:rsidTr="005D169A">
        <w:tc>
          <w:tcPr>
            <w:tcW w:w="4815" w:type="dxa"/>
            <w:tcBorders>
              <w:top w:val="nil"/>
              <w:left w:val="single" w:sz="4" w:space="0" w:color="404040"/>
              <w:bottom w:val="single" w:sz="4" w:space="0" w:color="auto"/>
              <w:right w:val="single" w:sz="4" w:space="0" w:color="404040"/>
            </w:tcBorders>
            <w:shd w:val="clear" w:color="auto" w:fill="auto"/>
            <w:vAlign w:val="bottom"/>
          </w:tcPr>
          <w:p w14:paraId="1B062E73" w14:textId="07B9991A" w:rsidR="005059A4" w:rsidRPr="008C7624" w:rsidRDefault="008C7624" w:rsidP="008C7624">
            <w:pPr>
              <w:widowControl w:val="0"/>
              <w:spacing w:before="20" w:after="20"/>
              <w:ind w:left="29"/>
              <w:contextualSpacing/>
              <w:jc w:val="left"/>
              <w:rPr>
                <w:spacing w:val="-4"/>
                <w:sz w:val="18"/>
                <w:szCs w:val="18"/>
                <w:lang w:val="es-MX"/>
              </w:rPr>
            </w:pPr>
            <w:r>
              <w:rPr>
                <w:spacing w:val="-4"/>
                <w:sz w:val="18"/>
                <w:szCs w:val="18"/>
                <w:lang w:val="es-MX"/>
              </w:rPr>
              <w:t xml:space="preserve">d)  </w:t>
            </w:r>
            <w:r w:rsidR="005059A4" w:rsidRPr="008C7624">
              <w:rPr>
                <w:spacing w:val="-4"/>
                <w:sz w:val="18"/>
                <w:szCs w:val="18"/>
                <w:lang w:val="es-MX"/>
              </w:rPr>
              <w:t>Personal ocupado total</w:t>
            </w:r>
          </w:p>
        </w:tc>
        <w:tc>
          <w:tcPr>
            <w:tcW w:w="993" w:type="dxa"/>
            <w:tcBorders>
              <w:top w:val="nil"/>
              <w:left w:val="single" w:sz="4" w:space="0" w:color="404040"/>
              <w:bottom w:val="single" w:sz="4" w:space="0" w:color="auto"/>
              <w:right w:val="single" w:sz="4" w:space="0" w:color="404040"/>
            </w:tcBorders>
            <w:shd w:val="clear" w:color="auto" w:fill="auto"/>
            <w:vAlign w:val="center"/>
          </w:tcPr>
          <w:p w14:paraId="57309F08" w14:textId="3D0F370C" w:rsidR="005059A4" w:rsidRPr="005059A4" w:rsidRDefault="005059A4" w:rsidP="005059A4">
            <w:pPr>
              <w:tabs>
                <w:tab w:val="decimal" w:pos="390"/>
              </w:tabs>
              <w:jc w:val="left"/>
              <w:rPr>
                <w:sz w:val="18"/>
                <w:szCs w:val="18"/>
              </w:rPr>
            </w:pPr>
            <w:r w:rsidRPr="005059A4">
              <w:rPr>
                <w:sz w:val="18"/>
                <w:szCs w:val="18"/>
              </w:rPr>
              <w:t xml:space="preserve">52.3 </w:t>
            </w:r>
          </w:p>
        </w:tc>
        <w:tc>
          <w:tcPr>
            <w:tcW w:w="908" w:type="dxa"/>
            <w:tcBorders>
              <w:top w:val="nil"/>
              <w:left w:val="single" w:sz="4" w:space="0" w:color="404040"/>
              <w:bottom w:val="single" w:sz="4" w:space="0" w:color="auto"/>
              <w:right w:val="nil"/>
            </w:tcBorders>
            <w:shd w:val="clear" w:color="auto" w:fill="auto"/>
            <w:vAlign w:val="center"/>
          </w:tcPr>
          <w:p w14:paraId="7F51EB04" w14:textId="4FC36847" w:rsidR="005059A4" w:rsidRPr="005059A4" w:rsidRDefault="005059A4" w:rsidP="005059A4">
            <w:pPr>
              <w:tabs>
                <w:tab w:val="decimal" w:pos="302"/>
              </w:tabs>
              <w:ind w:left="-142"/>
              <w:jc w:val="left"/>
              <w:rPr>
                <w:bCs/>
                <w:sz w:val="18"/>
                <w:szCs w:val="18"/>
              </w:rPr>
            </w:pPr>
            <w:r w:rsidRPr="005059A4">
              <w:rPr>
                <w:sz w:val="18"/>
                <w:szCs w:val="18"/>
              </w:rPr>
              <w:t>-0.4</w:t>
            </w:r>
          </w:p>
        </w:tc>
        <w:tc>
          <w:tcPr>
            <w:tcW w:w="908" w:type="dxa"/>
            <w:tcBorders>
              <w:top w:val="nil"/>
              <w:left w:val="nil"/>
              <w:bottom w:val="single" w:sz="4" w:space="0" w:color="auto"/>
              <w:right w:val="single" w:sz="4" w:space="0" w:color="404040"/>
            </w:tcBorders>
            <w:shd w:val="clear" w:color="auto" w:fill="auto"/>
            <w:vAlign w:val="center"/>
          </w:tcPr>
          <w:p w14:paraId="04B1F4FD" w14:textId="6E4D288B" w:rsidR="005059A4" w:rsidRPr="005059A4" w:rsidRDefault="005059A4" w:rsidP="005059A4">
            <w:pPr>
              <w:tabs>
                <w:tab w:val="decimal" w:pos="282"/>
              </w:tabs>
              <w:ind w:left="-30"/>
              <w:jc w:val="left"/>
              <w:rPr>
                <w:sz w:val="18"/>
                <w:szCs w:val="18"/>
              </w:rPr>
            </w:pPr>
            <w:r w:rsidRPr="005059A4">
              <w:rPr>
                <w:sz w:val="18"/>
                <w:szCs w:val="18"/>
              </w:rPr>
              <w:t>1.3</w:t>
            </w:r>
          </w:p>
        </w:tc>
        <w:tc>
          <w:tcPr>
            <w:tcW w:w="494" w:type="dxa"/>
            <w:tcBorders>
              <w:top w:val="nil"/>
              <w:left w:val="single" w:sz="4" w:space="0" w:color="404040"/>
              <w:bottom w:val="single" w:sz="4" w:space="0" w:color="auto"/>
              <w:right w:val="nil"/>
            </w:tcBorders>
            <w:shd w:val="clear" w:color="auto" w:fill="auto"/>
            <w:vAlign w:val="center"/>
          </w:tcPr>
          <w:p w14:paraId="3A103D31" w14:textId="62B30B78" w:rsidR="005059A4" w:rsidRPr="005059A4" w:rsidRDefault="005059A4" w:rsidP="005059A4">
            <w:pPr>
              <w:jc w:val="right"/>
              <w:rPr>
                <w:sz w:val="18"/>
                <w:szCs w:val="18"/>
              </w:rPr>
            </w:pPr>
            <w:r w:rsidRPr="005059A4">
              <w:rPr>
                <w:sz w:val="18"/>
                <w:szCs w:val="18"/>
              </w:rPr>
              <w:t>16</w:t>
            </w:r>
          </w:p>
        </w:tc>
        <w:tc>
          <w:tcPr>
            <w:tcW w:w="1250" w:type="dxa"/>
            <w:tcBorders>
              <w:top w:val="nil"/>
              <w:left w:val="nil"/>
              <w:bottom w:val="single" w:sz="4" w:space="0" w:color="auto"/>
              <w:right w:val="single" w:sz="4" w:space="0" w:color="404040"/>
            </w:tcBorders>
            <w:shd w:val="clear" w:color="auto" w:fill="auto"/>
            <w:vAlign w:val="center"/>
          </w:tcPr>
          <w:p w14:paraId="1C084BE2" w14:textId="36F86B96" w:rsidR="005059A4" w:rsidRPr="00C245FA" w:rsidRDefault="005059A4" w:rsidP="005059A4">
            <w:pPr>
              <w:tabs>
                <w:tab w:val="decimal" w:pos="810"/>
              </w:tabs>
              <w:jc w:val="left"/>
              <w:rPr>
                <w:sz w:val="18"/>
                <w:szCs w:val="18"/>
              </w:rPr>
            </w:pPr>
            <w:r>
              <w:rPr>
                <w:color w:val="000000"/>
                <w:sz w:val="18"/>
                <w:szCs w:val="18"/>
              </w:rPr>
              <w:t>Por arriba</w:t>
            </w:r>
          </w:p>
        </w:tc>
      </w:tr>
    </w:tbl>
    <w:p w14:paraId="7B7B4F2D" w14:textId="6F1489AC" w:rsidR="00840D75" w:rsidRPr="00294891" w:rsidRDefault="00840D75" w:rsidP="00294891">
      <w:pPr>
        <w:widowControl w:val="0"/>
        <w:spacing w:before="20"/>
        <w:ind w:left="771" w:right="23" w:hanging="595"/>
        <w:rPr>
          <w:sz w:val="16"/>
          <w:szCs w:val="14"/>
          <w:lang w:val="es-MX"/>
        </w:rPr>
      </w:pPr>
      <w:r w:rsidRPr="00294891">
        <w:rPr>
          <w:sz w:val="16"/>
          <w:szCs w:val="14"/>
          <w:lang w:val="es-MX"/>
        </w:rPr>
        <w:t>Nota:</w:t>
      </w:r>
      <w:r w:rsidRPr="00294891">
        <w:rPr>
          <w:sz w:val="16"/>
          <w:szCs w:val="14"/>
          <w:lang w:val="es-MX"/>
        </w:rPr>
        <w:tab/>
      </w:r>
      <w:r w:rsidR="00A84AA3" w:rsidRPr="00294891">
        <w:rPr>
          <w:sz w:val="16"/>
          <w:szCs w:val="14"/>
          <w:lang w:val="es-MX"/>
        </w:rPr>
        <w:t>Los indicadores se generan con los datos referentes al mes de la entrevista. Los indicadores de los meses anteriores se van revisando por los informantes.</w:t>
      </w:r>
    </w:p>
    <w:p w14:paraId="449968DC" w14:textId="77777777" w:rsidR="00840D75" w:rsidRPr="00294891" w:rsidRDefault="00840D75" w:rsidP="00294891">
      <w:pPr>
        <w:widowControl w:val="0"/>
        <w:ind w:left="771" w:right="23" w:hanging="595"/>
        <w:rPr>
          <w:sz w:val="16"/>
          <w:szCs w:val="14"/>
          <w:lang w:val="es-MX"/>
        </w:rPr>
      </w:pPr>
      <w:r w:rsidRPr="00294891">
        <w:rPr>
          <w:position w:val="2"/>
          <w:sz w:val="18"/>
          <w:szCs w:val="12"/>
          <w:vertAlign w:val="superscript"/>
          <w:lang w:val="es-MX"/>
        </w:rPr>
        <w:t>1/</w:t>
      </w:r>
      <w:r w:rsidRPr="00294891">
        <w:rPr>
          <w:sz w:val="16"/>
          <w:szCs w:val="14"/>
          <w:lang w:val="es-MX"/>
        </w:rPr>
        <w:tab/>
        <w:t>Las diferencias en puntos se obtienen de los respectivos indicadores considerando todos sus decimales.</w:t>
      </w:r>
    </w:p>
    <w:p w14:paraId="4C588EF9" w14:textId="4AD62625" w:rsidR="00840D75" w:rsidRPr="00294891" w:rsidRDefault="00840D75" w:rsidP="00840D75">
      <w:pPr>
        <w:widowControl w:val="0"/>
        <w:spacing w:before="20"/>
        <w:ind w:left="700" w:right="25" w:hanging="527"/>
        <w:rPr>
          <w:sz w:val="16"/>
          <w:szCs w:val="14"/>
          <w:lang w:val="es-MX"/>
        </w:rPr>
      </w:pPr>
      <w:r w:rsidRPr="00294891">
        <w:rPr>
          <w:sz w:val="16"/>
          <w:szCs w:val="14"/>
          <w:lang w:val="es-MX"/>
        </w:rPr>
        <w:t>Fuente:</w:t>
      </w:r>
      <w:r w:rsidR="00294891">
        <w:rPr>
          <w:sz w:val="16"/>
          <w:szCs w:val="14"/>
          <w:lang w:val="es-MX"/>
        </w:rPr>
        <w:t xml:space="preserve"> </w:t>
      </w:r>
      <w:r w:rsidRPr="00294891">
        <w:rPr>
          <w:sz w:val="16"/>
          <w:szCs w:val="14"/>
          <w:lang w:val="es-MX"/>
        </w:rPr>
        <w:t>INEGI.</w:t>
      </w:r>
    </w:p>
    <w:p w14:paraId="5919E2DE" w14:textId="50DD1C17" w:rsidR="0022330D" w:rsidRPr="0022330D" w:rsidRDefault="0022330D" w:rsidP="00B02406">
      <w:pPr>
        <w:pStyle w:val="Textoindependiente2"/>
        <w:keepNext/>
        <w:keepLines/>
        <w:widowControl w:val="0"/>
        <w:spacing w:before="480"/>
        <w:ind w:right="0"/>
        <w:jc w:val="center"/>
        <w:rPr>
          <w:sz w:val="20"/>
          <w:szCs w:val="20"/>
          <w:lang w:val="es-MX"/>
        </w:rPr>
      </w:pPr>
      <w:r w:rsidRPr="0022330D">
        <w:rPr>
          <w:sz w:val="20"/>
          <w:szCs w:val="20"/>
          <w:lang w:val="es-MX"/>
        </w:rPr>
        <w:lastRenderedPageBreak/>
        <w:t xml:space="preserve">Gráfica </w:t>
      </w:r>
      <w:r w:rsidR="0027370D">
        <w:rPr>
          <w:sz w:val="20"/>
          <w:szCs w:val="20"/>
          <w:lang w:val="es-MX"/>
        </w:rPr>
        <w:t>4</w:t>
      </w:r>
    </w:p>
    <w:p w14:paraId="7C71B222" w14:textId="0CF2421A" w:rsidR="00E661EC" w:rsidRPr="000A6510" w:rsidRDefault="00FD7842" w:rsidP="0022330D">
      <w:pPr>
        <w:pStyle w:val="Textoindependiente2"/>
        <w:keepNext/>
        <w:keepLines/>
        <w:widowControl w:val="0"/>
        <w:spacing w:before="0"/>
        <w:ind w:right="0"/>
        <w:jc w:val="center"/>
        <w:rPr>
          <w:b/>
          <w:smallCaps/>
          <w:sz w:val="22"/>
          <w:szCs w:val="20"/>
          <w:lang w:val="es-MX"/>
        </w:rPr>
      </w:pPr>
      <w:r w:rsidRPr="00700FF6">
        <w:rPr>
          <w:b/>
          <w:smallCaps/>
          <w:sz w:val="22"/>
          <w:szCs w:val="20"/>
          <w:lang w:val="es-MX"/>
        </w:rPr>
        <w:t xml:space="preserve">Expectativas </w:t>
      </w:r>
      <w:r w:rsidR="00831D6B" w:rsidRPr="00700FF6">
        <w:rPr>
          <w:b/>
          <w:smallCaps/>
          <w:sz w:val="22"/>
          <w:szCs w:val="20"/>
          <w:lang w:val="es-MX"/>
        </w:rPr>
        <w:t>empresariales</w:t>
      </w:r>
      <w:r w:rsidR="00831D6B" w:rsidRPr="000A6510">
        <w:rPr>
          <w:b/>
          <w:smallCaps/>
          <w:sz w:val="22"/>
          <w:szCs w:val="20"/>
          <w:lang w:val="es-MX"/>
        </w:rPr>
        <w:t xml:space="preserve"> </w:t>
      </w:r>
      <w:r w:rsidR="00961C96" w:rsidRPr="000A6510">
        <w:rPr>
          <w:b/>
          <w:smallCaps/>
          <w:sz w:val="22"/>
          <w:szCs w:val="20"/>
          <w:lang w:val="es-MX"/>
        </w:rPr>
        <w:t>del sector construcción</w:t>
      </w:r>
      <w:r w:rsidR="00700FF6">
        <w:rPr>
          <w:b/>
          <w:smallCaps/>
          <w:sz w:val="22"/>
          <w:szCs w:val="20"/>
          <w:lang w:val="es-MX"/>
        </w:rPr>
        <w:t xml:space="preserve"> </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E661EC" w:rsidRPr="000A6510" w14:paraId="569849E5" w14:textId="77777777" w:rsidTr="004F1276">
        <w:trPr>
          <w:trHeight w:val="1871"/>
          <w:jc w:val="center"/>
        </w:trPr>
        <w:tc>
          <w:tcPr>
            <w:tcW w:w="5305" w:type="dxa"/>
          </w:tcPr>
          <w:p w14:paraId="10D4774A" w14:textId="4C028FF5" w:rsidR="00E661EC" w:rsidRPr="000A6510" w:rsidRDefault="004F1276" w:rsidP="00D76DC5">
            <w:pPr>
              <w:pStyle w:val="p0"/>
              <w:spacing w:before="0"/>
              <w:rPr>
                <w:color w:val="auto"/>
                <w:sz w:val="16"/>
                <w:szCs w:val="16"/>
                <w:lang w:val="es-MX"/>
              </w:rPr>
            </w:pPr>
            <w:r>
              <w:rPr>
                <w:noProof/>
                <w:lang w:val="es-MX" w:eastAsia="es-MX"/>
              </w:rPr>
              <w:drawing>
                <wp:inline distT="0" distB="0" distL="0" distR="0" wp14:anchorId="19598E69" wp14:editId="5E0279E0">
                  <wp:extent cx="3276000" cy="1152000"/>
                  <wp:effectExtent l="0" t="0" r="0" b="0"/>
                  <wp:docPr id="24" name="Gráfico 24">
                    <a:extLst xmlns:a="http://schemas.openxmlformats.org/drawingml/2006/main">
                      <a:ext uri="{FF2B5EF4-FFF2-40B4-BE49-F238E27FC236}">
                        <a16:creationId xmlns:a16="http://schemas.microsoft.com/office/drawing/2014/main" id="{00000000-0008-0000-0B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5304" w:type="dxa"/>
          </w:tcPr>
          <w:p w14:paraId="41F106A2" w14:textId="75AE2828" w:rsidR="00E661EC" w:rsidRPr="000A6510" w:rsidRDefault="004F1276" w:rsidP="00D76DC5">
            <w:pPr>
              <w:pStyle w:val="p0"/>
              <w:spacing w:before="0"/>
              <w:rPr>
                <w:color w:val="auto"/>
                <w:sz w:val="16"/>
                <w:szCs w:val="16"/>
                <w:lang w:val="es-MX"/>
              </w:rPr>
            </w:pPr>
            <w:r>
              <w:rPr>
                <w:noProof/>
                <w:lang w:val="es-MX" w:eastAsia="es-MX"/>
              </w:rPr>
              <w:drawing>
                <wp:inline distT="0" distB="0" distL="0" distR="0" wp14:anchorId="3547878F" wp14:editId="48E631FB">
                  <wp:extent cx="3276000" cy="1152000"/>
                  <wp:effectExtent l="0" t="0" r="0" b="0"/>
                  <wp:docPr id="25" name="Gráfico 25">
                    <a:extLst xmlns:a="http://schemas.openxmlformats.org/drawingml/2006/main">
                      <a:ext uri="{FF2B5EF4-FFF2-40B4-BE49-F238E27FC236}">
                        <a16:creationId xmlns:a16="http://schemas.microsoft.com/office/drawing/2014/main" id="{00000000-0008-0000-0C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E661EC" w:rsidRPr="000A6510" w14:paraId="59700014" w14:textId="77777777" w:rsidTr="00D76DC5">
        <w:tblPrEx>
          <w:tblCellMar>
            <w:left w:w="28" w:type="dxa"/>
            <w:right w:w="28" w:type="dxa"/>
          </w:tblCellMar>
        </w:tblPrEx>
        <w:trPr>
          <w:jc w:val="center"/>
        </w:trPr>
        <w:tc>
          <w:tcPr>
            <w:tcW w:w="5305" w:type="dxa"/>
          </w:tcPr>
          <w:p w14:paraId="2B57B640" w14:textId="77777777" w:rsidR="00E661EC" w:rsidRPr="000A6510" w:rsidRDefault="00E661EC" w:rsidP="00D76DC5">
            <w:pPr>
              <w:pStyle w:val="p0"/>
              <w:spacing w:before="0"/>
              <w:rPr>
                <w:noProof/>
                <w:color w:val="auto"/>
                <w:sz w:val="10"/>
                <w:szCs w:val="10"/>
                <w:lang w:val="es-MX" w:eastAsia="es-MX"/>
              </w:rPr>
            </w:pPr>
          </w:p>
        </w:tc>
        <w:tc>
          <w:tcPr>
            <w:tcW w:w="5304" w:type="dxa"/>
          </w:tcPr>
          <w:p w14:paraId="5EF789D8" w14:textId="77777777" w:rsidR="00E661EC" w:rsidRPr="000A6510" w:rsidRDefault="00E661EC" w:rsidP="00D76DC5">
            <w:pPr>
              <w:pStyle w:val="p0"/>
              <w:spacing w:before="0"/>
              <w:rPr>
                <w:noProof/>
                <w:color w:val="auto"/>
                <w:sz w:val="10"/>
                <w:szCs w:val="10"/>
                <w:lang w:val="es-MX" w:eastAsia="es-MX"/>
              </w:rPr>
            </w:pPr>
          </w:p>
        </w:tc>
      </w:tr>
      <w:tr w:rsidR="00E661EC" w:rsidRPr="000A6510" w14:paraId="09677DA6" w14:textId="77777777" w:rsidTr="004F1276">
        <w:trPr>
          <w:trHeight w:val="1871"/>
          <w:jc w:val="center"/>
        </w:trPr>
        <w:tc>
          <w:tcPr>
            <w:tcW w:w="5305" w:type="dxa"/>
          </w:tcPr>
          <w:p w14:paraId="38BFEC96" w14:textId="5E46BBE0" w:rsidR="00E661EC" w:rsidRPr="000A6510" w:rsidRDefault="004F1276" w:rsidP="00D76DC5">
            <w:pPr>
              <w:pStyle w:val="p0"/>
              <w:spacing w:before="0"/>
              <w:rPr>
                <w:noProof/>
                <w:color w:val="auto"/>
                <w:sz w:val="16"/>
                <w:szCs w:val="16"/>
                <w:lang w:val="es-MX" w:eastAsia="es-MX"/>
              </w:rPr>
            </w:pPr>
            <w:r>
              <w:rPr>
                <w:noProof/>
                <w:lang w:val="es-MX" w:eastAsia="es-MX"/>
              </w:rPr>
              <w:drawing>
                <wp:inline distT="0" distB="0" distL="0" distR="0" wp14:anchorId="5AA25A10" wp14:editId="37837107">
                  <wp:extent cx="3276000" cy="1152000"/>
                  <wp:effectExtent l="0" t="0" r="0" b="0"/>
                  <wp:docPr id="26" name="Gráfico 26">
                    <a:extLst xmlns:a="http://schemas.openxmlformats.org/drawingml/2006/main">
                      <a:ext uri="{FF2B5EF4-FFF2-40B4-BE49-F238E27FC236}">
                        <a16:creationId xmlns:a16="http://schemas.microsoft.com/office/drawing/2014/main" id="{00000000-0008-0000-0D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5304" w:type="dxa"/>
          </w:tcPr>
          <w:p w14:paraId="35E410DB" w14:textId="53D9E772" w:rsidR="00E661EC" w:rsidRPr="000A6510" w:rsidRDefault="004F1276" w:rsidP="00D76DC5">
            <w:pPr>
              <w:pStyle w:val="p0"/>
              <w:spacing w:before="0"/>
              <w:rPr>
                <w:noProof/>
                <w:color w:val="auto"/>
                <w:sz w:val="16"/>
                <w:szCs w:val="16"/>
                <w:lang w:val="es-MX" w:eastAsia="es-MX"/>
              </w:rPr>
            </w:pPr>
            <w:r>
              <w:rPr>
                <w:noProof/>
                <w:lang w:val="es-MX" w:eastAsia="es-MX"/>
              </w:rPr>
              <w:drawing>
                <wp:inline distT="0" distB="0" distL="0" distR="0" wp14:anchorId="6990D3E2" wp14:editId="6AD0B79B">
                  <wp:extent cx="3276000" cy="1152000"/>
                  <wp:effectExtent l="0" t="0" r="0" b="0"/>
                  <wp:docPr id="27" name="Gráfico 27">
                    <a:extLst xmlns:a="http://schemas.openxmlformats.org/drawingml/2006/main">
                      <a:ext uri="{FF2B5EF4-FFF2-40B4-BE49-F238E27FC236}">
                        <a16:creationId xmlns:a16="http://schemas.microsoft.com/office/drawing/2014/main" id="{00000000-0008-0000-0E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bl>
    <w:p w14:paraId="624C05D8" w14:textId="77777777" w:rsidR="001B1EDC" w:rsidRPr="00D337D1" w:rsidRDefault="001B1EDC" w:rsidP="009065D6">
      <w:pPr>
        <w:widowControl w:val="0"/>
        <w:spacing w:before="20"/>
        <w:ind w:left="142" w:right="25" w:hanging="567"/>
        <w:rPr>
          <w:sz w:val="16"/>
          <w:szCs w:val="14"/>
          <w:lang w:val="es-MX"/>
        </w:rPr>
      </w:pPr>
      <w:r w:rsidRPr="00D337D1">
        <w:rPr>
          <w:sz w:val="16"/>
          <w:szCs w:val="14"/>
          <w:lang w:val="es-MX"/>
        </w:rPr>
        <w:t>Fuente:</w:t>
      </w:r>
      <w:r w:rsidRPr="00D337D1">
        <w:rPr>
          <w:sz w:val="16"/>
          <w:szCs w:val="14"/>
          <w:lang w:val="es-MX"/>
        </w:rPr>
        <w:tab/>
        <w:t>INEGI.</w:t>
      </w:r>
    </w:p>
    <w:p w14:paraId="3D9DBAAD" w14:textId="741E878D" w:rsidR="00BB7B85" w:rsidRPr="000A6510" w:rsidRDefault="00BB7B85" w:rsidP="00BB7B85">
      <w:pPr>
        <w:keepNext/>
        <w:keepLines/>
        <w:widowControl w:val="0"/>
        <w:spacing w:before="360"/>
        <w:outlineLvl w:val="0"/>
        <w:rPr>
          <w:b/>
          <w:smallCaps/>
          <w:sz w:val="22"/>
          <w:lang w:val="es-MX"/>
        </w:rPr>
      </w:pPr>
      <w:r w:rsidRPr="000A6510">
        <w:t>E</w:t>
      </w:r>
      <w:r w:rsidR="00447CFA">
        <w:t>n marzo</w:t>
      </w:r>
      <w:r w:rsidR="00DC338F">
        <w:t xml:space="preserve"> de este año, </w:t>
      </w:r>
      <w:r w:rsidR="00B350A1" w:rsidRPr="000A6510">
        <w:t xml:space="preserve">el </w:t>
      </w:r>
      <w:r w:rsidR="00B350A1" w:rsidRPr="000A6510">
        <w:rPr>
          <w:b/>
        </w:rPr>
        <w:t>Indicador Agregado de Tendencia</w:t>
      </w:r>
      <w:r w:rsidR="00B350A1" w:rsidRPr="000A6510">
        <w:t xml:space="preserve"> </w:t>
      </w:r>
      <w:r w:rsidR="00961C96" w:rsidRPr="000A6510">
        <w:rPr>
          <w:b/>
        </w:rPr>
        <w:t>del</w:t>
      </w:r>
      <w:r w:rsidR="00961C96" w:rsidRPr="000A6510">
        <w:t xml:space="preserve"> </w:t>
      </w:r>
      <w:r w:rsidR="00961C96" w:rsidRPr="000A6510">
        <w:rPr>
          <w:b/>
        </w:rPr>
        <w:t>S</w:t>
      </w:r>
      <w:r w:rsidRPr="000A6510">
        <w:rPr>
          <w:b/>
        </w:rPr>
        <w:t>ector Comercio</w:t>
      </w:r>
      <w:r w:rsidRPr="000A6510">
        <w:t xml:space="preserve"> </w:t>
      </w:r>
      <w:r w:rsidR="00CE04C5">
        <w:t>mostró</w:t>
      </w:r>
      <w:r w:rsidR="00140691">
        <w:t xml:space="preserve"> un </w:t>
      </w:r>
      <w:r w:rsidR="00447CFA">
        <w:t>descenso</w:t>
      </w:r>
      <w:r w:rsidR="00533D55">
        <w:t xml:space="preserve"> mensual</w:t>
      </w:r>
      <w:r w:rsidR="00135755">
        <w:t xml:space="preserve"> </w:t>
      </w:r>
      <w:r w:rsidR="00140691">
        <w:t>de 0.</w:t>
      </w:r>
      <w:r w:rsidR="00B04F2D">
        <w:t>3</w:t>
      </w:r>
      <w:r w:rsidR="00E527E5">
        <w:t xml:space="preserve"> </w:t>
      </w:r>
      <w:r w:rsidR="00CA1258">
        <w:t>puntos al situarse</w:t>
      </w:r>
      <w:r w:rsidR="00447CFA">
        <w:t xml:space="preserve"> en 51.9</w:t>
      </w:r>
      <w:r w:rsidR="00B350A1" w:rsidRPr="000A6510">
        <w:t xml:space="preserve"> puntos con dato</w:t>
      </w:r>
      <w:r w:rsidR="000B785A">
        <w:t xml:space="preserve">s ajustados por estacionalidad. </w:t>
      </w:r>
      <w:r w:rsidR="00DC338F">
        <w:t>E</w:t>
      </w:r>
      <w:r w:rsidR="00CA1258">
        <w:t xml:space="preserve">l IAT del Comercio </w:t>
      </w:r>
      <w:r w:rsidR="009871BC">
        <w:t>hila</w:t>
      </w:r>
      <w:r w:rsidR="00B350A1" w:rsidRPr="000A6510">
        <w:t xml:space="preserve"> </w:t>
      </w:r>
      <w:r w:rsidR="00447CFA">
        <w:t>22</w:t>
      </w:r>
      <w:r w:rsidR="00B350A1" w:rsidRPr="000A6510">
        <w:t xml:space="preserve"> meses consecutivos por arriba del umbral de </w:t>
      </w:r>
      <w:r w:rsidR="00CA1258">
        <w:t xml:space="preserve">los </w:t>
      </w:r>
      <w:r w:rsidR="00B350A1" w:rsidRPr="000A6510">
        <w:t>50 puntos.</w:t>
      </w:r>
    </w:p>
    <w:p w14:paraId="06ED5E70" w14:textId="7D074B61" w:rsidR="00135755" w:rsidRPr="00135755" w:rsidRDefault="00135755" w:rsidP="009C74F3">
      <w:pPr>
        <w:spacing w:before="480"/>
        <w:jc w:val="center"/>
        <w:rPr>
          <w:sz w:val="20"/>
        </w:rPr>
      </w:pPr>
      <w:r>
        <w:rPr>
          <w:sz w:val="20"/>
        </w:rPr>
        <w:t>G</w:t>
      </w:r>
      <w:r w:rsidRPr="00135755">
        <w:rPr>
          <w:sz w:val="20"/>
        </w:rPr>
        <w:t xml:space="preserve">ráfica </w:t>
      </w:r>
      <w:r w:rsidR="0027370D">
        <w:rPr>
          <w:sz w:val="20"/>
        </w:rPr>
        <w:t>5</w:t>
      </w:r>
    </w:p>
    <w:p w14:paraId="2883271B" w14:textId="2458098E" w:rsidR="009C74F3" w:rsidRPr="000A6510" w:rsidRDefault="009C74F3" w:rsidP="00135755">
      <w:pPr>
        <w:jc w:val="center"/>
        <w:rPr>
          <w:b/>
          <w:smallCaps/>
          <w:sz w:val="22"/>
        </w:rPr>
      </w:pPr>
      <w:r w:rsidRPr="000A6510">
        <w:rPr>
          <w:b/>
          <w:smallCaps/>
          <w:sz w:val="22"/>
        </w:rPr>
        <w:t>Indicador agregado de tendencia del comercio</w:t>
      </w:r>
    </w:p>
    <w:p w14:paraId="4A8003FC" w14:textId="5E5D2D71" w:rsidR="009C74F3" w:rsidRDefault="00655E82" w:rsidP="009C74F3">
      <w:pPr>
        <w:jc w:val="center"/>
        <w:rPr>
          <w:b/>
          <w:smallCaps/>
          <w:sz w:val="22"/>
        </w:rPr>
      </w:pPr>
      <w:r>
        <w:rPr>
          <w:noProof/>
          <w:lang w:val="es-MX" w:eastAsia="es-MX"/>
        </w:rPr>
        <w:drawing>
          <wp:inline distT="0" distB="0" distL="0" distR="0" wp14:anchorId="37A53A8B" wp14:editId="11FC7E3E">
            <wp:extent cx="4320000" cy="2520000"/>
            <wp:effectExtent l="0" t="0" r="23495" b="33020"/>
            <wp:docPr id="28" name="Gráfico 28">
              <a:extLst xmlns:a="http://schemas.openxmlformats.org/drawingml/2006/main">
                <a:ext uri="{FF2B5EF4-FFF2-40B4-BE49-F238E27FC236}">
                  <a16:creationId xmlns:a16="http://schemas.microsoft.com/office/drawing/2014/main" id="{943FA5DF-31AD-45F9-830B-7F978A6B7F06}"/>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29D44B8" w14:textId="77777777" w:rsidR="00700FF6" w:rsidRPr="00294891" w:rsidRDefault="00700FF6" w:rsidP="00700FF6">
      <w:pPr>
        <w:spacing w:before="20"/>
        <w:ind w:left="1412"/>
        <w:rPr>
          <w:sz w:val="16"/>
          <w:szCs w:val="14"/>
        </w:rPr>
      </w:pPr>
      <w:r w:rsidRPr="00294891">
        <w:rPr>
          <w:sz w:val="16"/>
          <w:szCs w:val="14"/>
        </w:rPr>
        <w:t xml:space="preserve">Fuente: </w:t>
      </w:r>
      <w:r w:rsidRPr="00294891">
        <w:rPr>
          <w:smallCaps/>
          <w:sz w:val="16"/>
          <w:szCs w:val="14"/>
        </w:rPr>
        <w:t>INEGI.</w:t>
      </w:r>
    </w:p>
    <w:p w14:paraId="39DB2E11" w14:textId="4B629790" w:rsidR="009C74F3" w:rsidRPr="000A6510" w:rsidRDefault="00135755" w:rsidP="009C74F3">
      <w:pPr>
        <w:keepNext/>
        <w:keepLines/>
        <w:widowControl w:val="0"/>
        <w:spacing w:before="240"/>
        <w:outlineLvl w:val="0"/>
      </w:pPr>
      <w:r>
        <w:lastRenderedPageBreak/>
        <w:t xml:space="preserve">La variación </w:t>
      </w:r>
      <w:r w:rsidR="00831D6B">
        <w:t xml:space="preserve">mensual </w:t>
      </w:r>
      <w:r w:rsidR="009C74F3" w:rsidRPr="000A6510">
        <w:t>de</w:t>
      </w:r>
      <w:r w:rsidR="00CE2FFD">
        <w:t>l IAT del Comercio se originó de</w:t>
      </w:r>
      <w:r w:rsidR="005F33B0">
        <w:t xml:space="preserve"> </w:t>
      </w:r>
      <w:r w:rsidR="00447CFA">
        <w:t>disminuci</w:t>
      </w:r>
      <w:r w:rsidR="00E14BD8">
        <w:t>ones</w:t>
      </w:r>
      <w:r w:rsidR="00447CFA">
        <w:t xml:space="preserve"> en dos de sus componentes y de avances en los</w:t>
      </w:r>
      <w:r>
        <w:t xml:space="preserve"> </w:t>
      </w:r>
      <w:r w:rsidR="00140691">
        <w:t>restante</w:t>
      </w:r>
      <w:r w:rsidR="00447CFA">
        <w:t>s</w:t>
      </w:r>
      <w:r w:rsidR="009C74F3" w:rsidRPr="000A6510">
        <w:t>.</w:t>
      </w:r>
    </w:p>
    <w:p w14:paraId="536B4B5C" w14:textId="13732BED" w:rsidR="00135755" w:rsidRPr="00BC05F9" w:rsidRDefault="00135755" w:rsidP="00294891">
      <w:pPr>
        <w:spacing w:before="240"/>
        <w:jc w:val="center"/>
        <w:rPr>
          <w:sz w:val="20"/>
        </w:rPr>
      </w:pPr>
      <w:r>
        <w:rPr>
          <w:sz w:val="20"/>
        </w:rPr>
        <w:t>Cuadro</w:t>
      </w:r>
      <w:r w:rsidRPr="00BC05F9">
        <w:rPr>
          <w:sz w:val="20"/>
        </w:rPr>
        <w:t xml:space="preserve"> </w:t>
      </w:r>
      <w:r>
        <w:rPr>
          <w:sz w:val="20"/>
        </w:rPr>
        <w:t>3</w:t>
      </w:r>
    </w:p>
    <w:p w14:paraId="670F540A" w14:textId="25CD1C64" w:rsidR="00D76DC5" w:rsidRPr="000A6510" w:rsidRDefault="00FD7842" w:rsidP="00135755">
      <w:pPr>
        <w:keepNext/>
        <w:keepLines/>
        <w:widowControl w:val="0"/>
        <w:jc w:val="center"/>
        <w:outlineLvl w:val="0"/>
        <w:rPr>
          <w:b/>
          <w:smallCaps/>
          <w:sz w:val="22"/>
          <w:lang w:val="es-MX"/>
        </w:rPr>
      </w:pPr>
      <w:r w:rsidRPr="00E449C5">
        <w:rPr>
          <w:b/>
          <w:smallCaps/>
          <w:sz w:val="22"/>
          <w:lang w:val="es-MX"/>
        </w:rPr>
        <w:t>IAT</w:t>
      </w:r>
      <w:r w:rsidR="00831D6B" w:rsidRPr="00E449C5">
        <w:rPr>
          <w:b/>
          <w:smallCaps/>
          <w:sz w:val="22"/>
          <w:lang w:val="es-MX"/>
        </w:rPr>
        <w:t xml:space="preserve"> y Expectativas empresariales</w:t>
      </w:r>
      <w:r w:rsidR="00831D6B">
        <w:rPr>
          <w:b/>
          <w:smallCaps/>
          <w:sz w:val="22"/>
          <w:lang w:val="es-MX"/>
        </w:rPr>
        <w:t xml:space="preserve"> </w:t>
      </w:r>
      <w:r w:rsidR="009C74F3" w:rsidRPr="000A6510">
        <w:rPr>
          <w:b/>
          <w:smallCaps/>
          <w:sz w:val="22"/>
          <w:lang w:val="es-MX"/>
        </w:rPr>
        <w:t>del sector</w:t>
      </w:r>
      <w:r w:rsidR="00D76DC5" w:rsidRPr="000A6510">
        <w:rPr>
          <w:b/>
          <w:smallCaps/>
          <w:sz w:val="22"/>
          <w:lang w:val="es-MX"/>
        </w:rPr>
        <w:t xml:space="preserve"> </w:t>
      </w:r>
      <w:r w:rsidR="00C46EA9" w:rsidRPr="000A6510">
        <w:rPr>
          <w:b/>
          <w:smallCaps/>
          <w:sz w:val="22"/>
          <w:lang w:val="es-MX"/>
        </w:rPr>
        <w:t>comercio</w:t>
      </w:r>
    </w:p>
    <w:p w14:paraId="5217F1A0" w14:textId="0268A21B" w:rsidR="00D76DC5" w:rsidRPr="000A6510" w:rsidRDefault="00135755" w:rsidP="00D76DC5">
      <w:pPr>
        <w:keepNext/>
        <w:keepLines/>
        <w:widowControl w:val="0"/>
        <w:spacing w:line="240" w:lineRule="exact"/>
        <w:jc w:val="center"/>
        <w:outlineLvl w:val="0"/>
        <w:rPr>
          <w:b/>
          <w:smallCaps/>
          <w:sz w:val="22"/>
          <w:lang w:val="es-MX"/>
        </w:rPr>
      </w:pPr>
      <w:r>
        <w:rPr>
          <w:b/>
          <w:smallCaps/>
          <w:sz w:val="22"/>
          <w:lang w:val="es-MX"/>
        </w:rPr>
        <w:t>c</w:t>
      </w:r>
      <w:r w:rsidR="00D76DC5" w:rsidRPr="000A6510">
        <w:rPr>
          <w:b/>
          <w:smallCaps/>
          <w:sz w:val="22"/>
          <w:lang w:val="es-MX"/>
        </w:rPr>
        <w:t>ifras desestacionalizadas</w:t>
      </w:r>
    </w:p>
    <w:tbl>
      <w:tblPr>
        <w:tblStyle w:val="Tablaconcuadrcula"/>
        <w:tblW w:w="4951" w:type="pct"/>
        <w:jc w:val="center"/>
        <w:tblLayout w:type="fixed"/>
        <w:tblLook w:val="04A0" w:firstRow="1" w:lastRow="0" w:firstColumn="1" w:lastColumn="0" w:noHBand="0" w:noVBand="1"/>
      </w:tblPr>
      <w:tblGrid>
        <w:gridCol w:w="4420"/>
        <w:gridCol w:w="992"/>
        <w:gridCol w:w="1043"/>
        <w:gridCol w:w="1043"/>
        <w:gridCol w:w="557"/>
        <w:gridCol w:w="1249"/>
      </w:tblGrid>
      <w:tr w:rsidR="003355C9" w:rsidRPr="000A6510" w14:paraId="1557FBA4" w14:textId="77777777" w:rsidTr="008804EB">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7B9D79D6" w14:textId="77777777" w:rsidR="003355C9" w:rsidRPr="000A6510" w:rsidRDefault="003355C9" w:rsidP="003355C9">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63580A77" w14:textId="130FD115" w:rsidR="003355C9" w:rsidRPr="000A6510" w:rsidRDefault="00345878" w:rsidP="00244BB0">
            <w:pPr>
              <w:ind w:left="-108" w:right="-82"/>
              <w:jc w:val="center"/>
              <w:rPr>
                <w:spacing w:val="-4"/>
                <w:sz w:val="18"/>
                <w:szCs w:val="18"/>
              </w:rPr>
            </w:pPr>
            <w:r>
              <w:rPr>
                <w:spacing w:val="-4"/>
                <w:sz w:val="18"/>
                <w:szCs w:val="18"/>
              </w:rPr>
              <w:t>Marzo</w:t>
            </w:r>
            <w:r w:rsidR="00E62F63">
              <w:rPr>
                <w:spacing w:val="-4"/>
                <w:sz w:val="18"/>
                <w:szCs w:val="18"/>
              </w:rPr>
              <w:br/>
            </w:r>
            <w:r w:rsidR="003355C9" w:rsidRPr="000A6510">
              <w:rPr>
                <w:spacing w:val="-4"/>
                <w:sz w:val="18"/>
                <w:szCs w:val="18"/>
              </w:rPr>
              <w:t xml:space="preserve">de </w:t>
            </w:r>
            <w:r w:rsidR="00BC05F9">
              <w:rPr>
                <w:spacing w:val="-4"/>
                <w:sz w:val="18"/>
                <w:szCs w:val="18"/>
              </w:rPr>
              <w:t>2022</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43965DA8" w14:textId="77777777" w:rsidR="003355C9" w:rsidRPr="000A6510" w:rsidRDefault="00D36749" w:rsidP="001B1EDC">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w:t>
            </w:r>
            <w:r w:rsidR="001B1EDC" w:rsidRPr="000A6510">
              <w:rPr>
                <w:spacing w:val="-4"/>
                <w:sz w:val="18"/>
                <w:szCs w:val="18"/>
              </w:rPr>
              <w:t xml:space="preserve">en </w:t>
            </w:r>
            <w:r w:rsidR="001B1EDC" w:rsidRPr="000A6510">
              <w:rPr>
                <w:spacing w:val="-4"/>
                <w:sz w:val="18"/>
                <w:szCs w:val="18"/>
              </w:rPr>
              <w:br/>
              <w:t xml:space="preserve">puntos </w:t>
            </w:r>
            <w:r w:rsidRPr="000A6510">
              <w:rPr>
                <w:spacing w:val="-4"/>
                <w:sz w:val="18"/>
                <w:szCs w:val="18"/>
              </w:rPr>
              <w:t>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7A93DB7B" w14:textId="69549F50" w:rsidR="003355C9" w:rsidRPr="000A6510" w:rsidRDefault="003355C9" w:rsidP="003355C9">
            <w:pPr>
              <w:tabs>
                <w:tab w:val="center" w:pos="3348"/>
              </w:tabs>
              <w:ind w:left="-84" w:right="-99"/>
              <w:jc w:val="center"/>
              <w:rPr>
                <w:spacing w:val="-4"/>
                <w:sz w:val="18"/>
                <w:szCs w:val="18"/>
              </w:rPr>
            </w:pPr>
            <w:r w:rsidRPr="000A6510">
              <w:rPr>
                <w:spacing w:val="-4"/>
                <w:sz w:val="18"/>
                <w:szCs w:val="18"/>
              </w:rPr>
              <w:t xml:space="preserve">Número de meses consecutivos por </w:t>
            </w:r>
            <w:r w:rsidR="008804EB" w:rsidRPr="000A6510">
              <w:rPr>
                <w:spacing w:val="-4"/>
                <w:sz w:val="18"/>
                <w:szCs w:val="18"/>
              </w:rPr>
              <w:br/>
            </w:r>
            <w:r w:rsidRPr="000A6510">
              <w:rPr>
                <w:spacing w:val="-4"/>
                <w:sz w:val="18"/>
                <w:szCs w:val="18"/>
              </w:rPr>
              <w:t xml:space="preserve">arriba o por debajo </w:t>
            </w:r>
            <w:r w:rsidR="008804EB" w:rsidRPr="000A6510">
              <w:rPr>
                <w:spacing w:val="-4"/>
                <w:sz w:val="18"/>
                <w:szCs w:val="18"/>
              </w:rPr>
              <w:br/>
            </w:r>
            <w:r w:rsidRPr="000A6510">
              <w:rPr>
                <w:spacing w:val="-4"/>
                <w:sz w:val="18"/>
                <w:szCs w:val="18"/>
              </w:rPr>
              <w:t xml:space="preserve">del umbral de </w:t>
            </w:r>
            <w:r w:rsidR="008804EB" w:rsidRPr="000A6510">
              <w:rPr>
                <w:spacing w:val="-4"/>
                <w:sz w:val="18"/>
                <w:szCs w:val="18"/>
              </w:rPr>
              <w:br/>
            </w:r>
            <w:r w:rsidRPr="000A6510">
              <w:rPr>
                <w:spacing w:val="-4"/>
                <w:sz w:val="18"/>
                <w:szCs w:val="18"/>
              </w:rPr>
              <w:t>50 puntos</w:t>
            </w:r>
          </w:p>
        </w:tc>
      </w:tr>
      <w:tr w:rsidR="00D36749" w:rsidRPr="000A6510" w14:paraId="54E34B72" w14:textId="77777777" w:rsidTr="008804EB">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6B5D8317" w14:textId="77777777" w:rsidR="00D36749" w:rsidRPr="000A6510" w:rsidRDefault="00D36749" w:rsidP="00D36749">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7D7AF240" w14:textId="77777777" w:rsidR="00D36749" w:rsidRPr="000A6510" w:rsidRDefault="00D36749" w:rsidP="00D36749">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0AC8CD7" w14:textId="77777777" w:rsidR="00D36749" w:rsidRPr="000A6510" w:rsidRDefault="0045475C" w:rsidP="00CF593A">
            <w:pPr>
              <w:ind w:left="-106" w:right="-95"/>
              <w:jc w:val="center"/>
              <w:rPr>
                <w:spacing w:val="-4"/>
                <w:sz w:val="18"/>
                <w:szCs w:val="18"/>
              </w:rPr>
            </w:pPr>
            <w:r w:rsidRPr="000A6510">
              <w:rPr>
                <w:spacing w:val="-4"/>
                <w:sz w:val="18"/>
                <w:szCs w:val="18"/>
              </w:rPr>
              <w:t>Mes</w:t>
            </w:r>
            <w:r w:rsidR="00CF593A" w:rsidRPr="000A6510">
              <w:rPr>
                <w:spacing w:val="-4"/>
                <w:sz w:val="18"/>
                <w:szCs w:val="18"/>
              </w:rPr>
              <w:br/>
            </w:r>
            <w:r w:rsidR="00D36749" w:rsidRPr="000A6510">
              <w:rPr>
                <w:spacing w:val="-4"/>
                <w:sz w:val="18"/>
                <w:szCs w:val="18"/>
              </w:rP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26A3FD3B" w14:textId="77777777" w:rsidR="00D36749" w:rsidRPr="000A6510" w:rsidRDefault="00D36749" w:rsidP="00D36749">
            <w:pPr>
              <w:ind w:left="-106" w:right="-95"/>
              <w:jc w:val="center"/>
              <w:rPr>
                <w:spacing w:val="-4"/>
                <w:sz w:val="18"/>
                <w:szCs w:val="18"/>
              </w:rPr>
            </w:pPr>
            <w:r w:rsidRPr="000A6510">
              <w:rPr>
                <w:spacing w:val="-4"/>
                <w:sz w:val="18"/>
                <w:szCs w:val="18"/>
              </w:rPr>
              <w:t>Mismo mes del año anterior</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7C369446" w14:textId="77777777" w:rsidR="00D36749" w:rsidRPr="000A6510" w:rsidRDefault="00D36749" w:rsidP="00D36749">
            <w:pPr>
              <w:tabs>
                <w:tab w:val="center" w:pos="3348"/>
              </w:tabs>
              <w:ind w:left="-84" w:right="-99"/>
              <w:jc w:val="center"/>
              <w:rPr>
                <w:sz w:val="18"/>
                <w:szCs w:val="18"/>
              </w:rPr>
            </w:pPr>
          </w:p>
        </w:tc>
      </w:tr>
      <w:tr w:rsidR="005059A4" w:rsidRPr="000A6510" w14:paraId="33139FA2" w14:textId="77777777" w:rsidTr="00140691">
        <w:trPr>
          <w:jc w:val="center"/>
        </w:trPr>
        <w:tc>
          <w:tcPr>
            <w:tcW w:w="4420" w:type="dxa"/>
            <w:tcBorders>
              <w:top w:val="nil"/>
              <w:left w:val="single" w:sz="4" w:space="0" w:color="404040"/>
              <w:bottom w:val="nil"/>
              <w:right w:val="single" w:sz="4" w:space="0" w:color="404040"/>
            </w:tcBorders>
            <w:shd w:val="clear" w:color="auto" w:fill="auto"/>
            <w:vAlign w:val="center"/>
          </w:tcPr>
          <w:p w14:paraId="02318038" w14:textId="6E8BE41C" w:rsidR="005059A4" w:rsidRPr="000A6510" w:rsidRDefault="005059A4" w:rsidP="005059A4">
            <w:pPr>
              <w:widowControl w:val="0"/>
              <w:spacing w:before="20" w:after="20"/>
              <w:contextualSpacing/>
              <w:jc w:val="left"/>
              <w:rPr>
                <w:b/>
                <w:sz w:val="18"/>
                <w:szCs w:val="18"/>
                <w:lang w:val="es-MX"/>
              </w:rPr>
            </w:pPr>
            <w:r w:rsidRPr="000A6510">
              <w:rPr>
                <w:b/>
                <w:sz w:val="18"/>
                <w:szCs w:val="18"/>
                <w:lang w:val="es-MX"/>
              </w:rPr>
              <w:t>Indicador Agregado de Tendencia del Sector Comercio</w:t>
            </w:r>
          </w:p>
        </w:tc>
        <w:tc>
          <w:tcPr>
            <w:tcW w:w="992" w:type="dxa"/>
            <w:tcBorders>
              <w:top w:val="nil"/>
              <w:left w:val="single" w:sz="4" w:space="0" w:color="404040"/>
              <w:bottom w:val="nil"/>
              <w:right w:val="single" w:sz="4" w:space="0" w:color="404040"/>
            </w:tcBorders>
            <w:shd w:val="clear" w:color="auto" w:fill="auto"/>
            <w:vAlign w:val="center"/>
          </w:tcPr>
          <w:p w14:paraId="4010993E" w14:textId="69FC36AD" w:rsidR="005059A4" w:rsidRPr="005059A4" w:rsidRDefault="005059A4" w:rsidP="005059A4">
            <w:pPr>
              <w:tabs>
                <w:tab w:val="decimal" w:pos="381"/>
              </w:tabs>
              <w:jc w:val="left"/>
              <w:rPr>
                <w:b/>
                <w:sz w:val="18"/>
                <w:szCs w:val="18"/>
              </w:rPr>
            </w:pPr>
            <w:r w:rsidRPr="005059A4">
              <w:rPr>
                <w:b/>
                <w:bCs/>
                <w:sz w:val="18"/>
                <w:szCs w:val="18"/>
              </w:rPr>
              <w:t xml:space="preserve">51.9 </w:t>
            </w:r>
          </w:p>
        </w:tc>
        <w:tc>
          <w:tcPr>
            <w:tcW w:w="1043" w:type="dxa"/>
            <w:tcBorders>
              <w:top w:val="single" w:sz="4" w:space="0" w:color="404040"/>
              <w:left w:val="single" w:sz="4" w:space="0" w:color="404040"/>
              <w:bottom w:val="nil"/>
              <w:right w:val="nil"/>
            </w:tcBorders>
            <w:shd w:val="clear" w:color="auto" w:fill="auto"/>
            <w:vAlign w:val="center"/>
          </w:tcPr>
          <w:p w14:paraId="57D3C281" w14:textId="73E94788" w:rsidR="005059A4" w:rsidRPr="005059A4" w:rsidRDefault="005059A4" w:rsidP="005059A4">
            <w:pPr>
              <w:tabs>
                <w:tab w:val="decimal" w:pos="409"/>
              </w:tabs>
              <w:jc w:val="left"/>
              <w:rPr>
                <w:b/>
                <w:sz w:val="18"/>
                <w:szCs w:val="18"/>
              </w:rPr>
            </w:pPr>
            <w:r w:rsidRPr="005059A4">
              <w:rPr>
                <w:b/>
                <w:bCs/>
                <w:sz w:val="18"/>
                <w:szCs w:val="18"/>
              </w:rPr>
              <w:t>-0.3</w:t>
            </w:r>
          </w:p>
        </w:tc>
        <w:tc>
          <w:tcPr>
            <w:tcW w:w="1043" w:type="dxa"/>
            <w:tcBorders>
              <w:top w:val="single" w:sz="4" w:space="0" w:color="404040"/>
              <w:left w:val="nil"/>
              <w:bottom w:val="nil"/>
              <w:right w:val="single" w:sz="4" w:space="0" w:color="404040"/>
            </w:tcBorders>
            <w:shd w:val="clear" w:color="auto" w:fill="auto"/>
            <w:vAlign w:val="center"/>
          </w:tcPr>
          <w:p w14:paraId="71D9BDAE" w14:textId="1BF11471" w:rsidR="005059A4" w:rsidRPr="005059A4" w:rsidRDefault="005059A4" w:rsidP="005059A4">
            <w:pPr>
              <w:tabs>
                <w:tab w:val="decimal" w:pos="357"/>
              </w:tabs>
              <w:jc w:val="left"/>
              <w:rPr>
                <w:b/>
                <w:bCs/>
                <w:sz w:val="18"/>
                <w:szCs w:val="18"/>
              </w:rPr>
            </w:pPr>
            <w:r w:rsidRPr="005059A4">
              <w:rPr>
                <w:b/>
                <w:bCs/>
                <w:sz w:val="18"/>
                <w:szCs w:val="18"/>
              </w:rPr>
              <w:t>-2.1</w:t>
            </w:r>
          </w:p>
        </w:tc>
        <w:tc>
          <w:tcPr>
            <w:tcW w:w="557" w:type="dxa"/>
            <w:tcBorders>
              <w:top w:val="nil"/>
              <w:left w:val="single" w:sz="4" w:space="0" w:color="404040"/>
              <w:bottom w:val="nil"/>
              <w:right w:val="nil"/>
            </w:tcBorders>
            <w:shd w:val="clear" w:color="auto" w:fill="auto"/>
            <w:vAlign w:val="center"/>
          </w:tcPr>
          <w:p w14:paraId="494EAEDA" w14:textId="375048ED" w:rsidR="005059A4" w:rsidRPr="005059A4" w:rsidRDefault="005059A4" w:rsidP="005059A4">
            <w:pPr>
              <w:jc w:val="right"/>
              <w:rPr>
                <w:b/>
                <w:sz w:val="18"/>
                <w:szCs w:val="18"/>
              </w:rPr>
            </w:pPr>
            <w:r w:rsidRPr="005059A4">
              <w:rPr>
                <w:b/>
                <w:bCs/>
                <w:sz w:val="18"/>
                <w:szCs w:val="18"/>
              </w:rPr>
              <w:t>22</w:t>
            </w:r>
          </w:p>
        </w:tc>
        <w:tc>
          <w:tcPr>
            <w:tcW w:w="1249" w:type="dxa"/>
            <w:tcBorders>
              <w:top w:val="nil"/>
              <w:left w:val="nil"/>
              <w:bottom w:val="nil"/>
              <w:right w:val="single" w:sz="4" w:space="0" w:color="404040"/>
            </w:tcBorders>
            <w:shd w:val="clear" w:color="auto" w:fill="auto"/>
            <w:vAlign w:val="center"/>
          </w:tcPr>
          <w:p w14:paraId="6A96B7BC" w14:textId="3778669E" w:rsidR="005059A4" w:rsidRPr="00C245FA" w:rsidRDefault="005059A4" w:rsidP="005059A4">
            <w:pPr>
              <w:tabs>
                <w:tab w:val="decimal" w:pos="810"/>
              </w:tabs>
              <w:jc w:val="left"/>
              <w:rPr>
                <w:b/>
                <w:sz w:val="18"/>
                <w:szCs w:val="18"/>
              </w:rPr>
            </w:pPr>
            <w:r>
              <w:rPr>
                <w:b/>
                <w:bCs/>
                <w:color w:val="000000"/>
                <w:sz w:val="18"/>
                <w:szCs w:val="18"/>
              </w:rPr>
              <w:t>Por arriba</w:t>
            </w:r>
          </w:p>
        </w:tc>
      </w:tr>
      <w:tr w:rsidR="005059A4" w:rsidRPr="000A6510" w14:paraId="14076ACE" w14:textId="77777777" w:rsidTr="00140691">
        <w:trPr>
          <w:jc w:val="center"/>
        </w:trPr>
        <w:tc>
          <w:tcPr>
            <w:tcW w:w="4420" w:type="dxa"/>
            <w:tcBorders>
              <w:top w:val="nil"/>
              <w:left w:val="single" w:sz="4" w:space="0" w:color="404040"/>
              <w:bottom w:val="nil"/>
              <w:right w:val="single" w:sz="4" w:space="0" w:color="404040"/>
            </w:tcBorders>
            <w:shd w:val="clear" w:color="auto" w:fill="auto"/>
            <w:vAlign w:val="bottom"/>
          </w:tcPr>
          <w:p w14:paraId="2ED244BC" w14:textId="347B3701" w:rsidR="005059A4" w:rsidRPr="008C7624" w:rsidRDefault="008C7624" w:rsidP="008C7624">
            <w:pPr>
              <w:widowControl w:val="0"/>
              <w:spacing w:before="20" w:after="20"/>
              <w:ind w:left="29"/>
              <w:contextualSpacing/>
              <w:jc w:val="left"/>
              <w:rPr>
                <w:sz w:val="18"/>
                <w:szCs w:val="18"/>
                <w:lang w:val="es-MX"/>
              </w:rPr>
            </w:pPr>
            <w:r>
              <w:rPr>
                <w:sz w:val="18"/>
                <w:szCs w:val="18"/>
                <w:lang w:val="es-MX"/>
              </w:rPr>
              <w:t xml:space="preserve">a)  </w:t>
            </w:r>
            <w:r w:rsidR="005059A4" w:rsidRPr="008C7624">
              <w:rPr>
                <w:sz w:val="18"/>
                <w:szCs w:val="18"/>
                <w:lang w:val="es-MX"/>
              </w:rPr>
              <w:t>Ventas netas</w:t>
            </w:r>
          </w:p>
        </w:tc>
        <w:tc>
          <w:tcPr>
            <w:tcW w:w="992" w:type="dxa"/>
            <w:tcBorders>
              <w:top w:val="nil"/>
              <w:left w:val="single" w:sz="4" w:space="0" w:color="404040"/>
              <w:bottom w:val="nil"/>
              <w:right w:val="single" w:sz="4" w:space="0" w:color="404040"/>
            </w:tcBorders>
            <w:shd w:val="clear" w:color="auto" w:fill="auto"/>
            <w:vAlign w:val="center"/>
          </w:tcPr>
          <w:p w14:paraId="53A39E7D" w14:textId="12A1D24E" w:rsidR="005059A4" w:rsidRPr="005059A4" w:rsidRDefault="005059A4" w:rsidP="005059A4">
            <w:pPr>
              <w:tabs>
                <w:tab w:val="decimal" w:pos="381"/>
              </w:tabs>
              <w:jc w:val="left"/>
              <w:rPr>
                <w:sz w:val="18"/>
                <w:szCs w:val="18"/>
                <w:lang w:val="es-MX" w:eastAsia="es-MX"/>
              </w:rPr>
            </w:pPr>
            <w:r w:rsidRPr="005059A4">
              <w:rPr>
                <w:sz w:val="18"/>
                <w:szCs w:val="18"/>
              </w:rPr>
              <w:t xml:space="preserve">53.1 </w:t>
            </w:r>
          </w:p>
        </w:tc>
        <w:tc>
          <w:tcPr>
            <w:tcW w:w="1043" w:type="dxa"/>
            <w:tcBorders>
              <w:top w:val="nil"/>
              <w:left w:val="single" w:sz="4" w:space="0" w:color="404040"/>
              <w:bottom w:val="nil"/>
              <w:right w:val="nil"/>
            </w:tcBorders>
            <w:shd w:val="clear" w:color="auto" w:fill="auto"/>
            <w:vAlign w:val="center"/>
          </w:tcPr>
          <w:p w14:paraId="4703F21C" w14:textId="5A7E22F7" w:rsidR="005059A4" w:rsidRPr="005059A4" w:rsidRDefault="005059A4" w:rsidP="005059A4">
            <w:pPr>
              <w:tabs>
                <w:tab w:val="decimal" w:pos="409"/>
              </w:tabs>
              <w:jc w:val="left"/>
              <w:rPr>
                <w:sz w:val="18"/>
                <w:szCs w:val="18"/>
              </w:rPr>
            </w:pPr>
            <w:r w:rsidRPr="005059A4">
              <w:rPr>
                <w:sz w:val="18"/>
                <w:szCs w:val="18"/>
              </w:rPr>
              <w:t>-0.2</w:t>
            </w:r>
          </w:p>
        </w:tc>
        <w:tc>
          <w:tcPr>
            <w:tcW w:w="1043" w:type="dxa"/>
            <w:tcBorders>
              <w:top w:val="nil"/>
              <w:left w:val="nil"/>
              <w:bottom w:val="nil"/>
              <w:right w:val="single" w:sz="4" w:space="0" w:color="404040"/>
            </w:tcBorders>
            <w:shd w:val="clear" w:color="auto" w:fill="auto"/>
            <w:vAlign w:val="center"/>
          </w:tcPr>
          <w:p w14:paraId="7D6BE7B2" w14:textId="6D16CEDF" w:rsidR="005059A4" w:rsidRPr="005059A4" w:rsidRDefault="005059A4" w:rsidP="005059A4">
            <w:pPr>
              <w:tabs>
                <w:tab w:val="decimal" w:pos="357"/>
              </w:tabs>
              <w:jc w:val="left"/>
              <w:rPr>
                <w:bCs/>
                <w:sz w:val="18"/>
                <w:szCs w:val="18"/>
              </w:rPr>
            </w:pPr>
            <w:r w:rsidRPr="005059A4">
              <w:rPr>
                <w:sz w:val="18"/>
                <w:szCs w:val="18"/>
              </w:rPr>
              <w:t>-3.3</w:t>
            </w:r>
          </w:p>
        </w:tc>
        <w:tc>
          <w:tcPr>
            <w:tcW w:w="557" w:type="dxa"/>
            <w:tcBorders>
              <w:top w:val="nil"/>
              <w:left w:val="single" w:sz="4" w:space="0" w:color="404040"/>
              <w:bottom w:val="nil"/>
              <w:right w:val="nil"/>
            </w:tcBorders>
            <w:shd w:val="clear" w:color="auto" w:fill="auto"/>
            <w:vAlign w:val="center"/>
          </w:tcPr>
          <w:p w14:paraId="2FA49B77" w14:textId="0D8F8FA1" w:rsidR="005059A4" w:rsidRPr="005059A4" w:rsidRDefault="005059A4" w:rsidP="005059A4">
            <w:pPr>
              <w:jc w:val="right"/>
              <w:rPr>
                <w:sz w:val="18"/>
                <w:szCs w:val="18"/>
              </w:rPr>
            </w:pPr>
            <w:r w:rsidRPr="005059A4">
              <w:rPr>
                <w:sz w:val="18"/>
                <w:szCs w:val="18"/>
              </w:rPr>
              <w:t>22</w:t>
            </w:r>
          </w:p>
        </w:tc>
        <w:tc>
          <w:tcPr>
            <w:tcW w:w="1249" w:type="dxa"/>
            <w:tcBorders>
              <w:top w:val="nil"/>
              <w:left w:val="nil"/>
              <w:bottom w:val="nil"/>
              <w:right w:val="single" w:sz="4" w:space="0" w:color="404040"/>
            </w:tcBorders>
            <w:shd w:val="clear" w:color="auto" w:fill="auto"/>
            <w:vAlign w:val="center"/>
          </w:tcPr>
          <w:p w14:paraId="58ECEB30" w14:textId="44223649" w:rsidR="005059A4" w:rsidRPr="00C245FA" w:rsidRDefault="005059A4" w:rsidP="005059A4">
            <w:pPr>
              <w:tabs>
                <w:tab w:val="decimal" w:pos="810"/>
              </w:tabs>
              <w:jc w:val="left"/>
              <w:rPr>
                <w:sz w:val="18"/>
                <w:szCs w:val="18"/>
              </w:rPr>
            </w:pPr>
            <w:r>
              <w:rPr>
                <w:color w:val="000000"/>
                <w:sz w:val="18"/>
                <w:szCs w:val="18"/>
              </w:rPr>
              <w:t>Por arriba</w:t>
            </w:r>
          </w:p>
        </w:tc>
      </w:tr>
      <w:tr w:rsidR="005059A4" w:rsidRPr="000A6510" w14:paraId="584588B1" w14:textId="77777777" w:rsidTr="00140691">
        <w:trPr>
          <w:jc w:val="center"/>
        </w:trPr>
        <w:tc>
          <w:tcPr>
            <w:tcW w:w="4420" w:type="dxa"/>
            <w:tcBorders>
              <w:top w:val="nil"/>
              <w:left w:val="single" w:sz="4" w:space="0" w:color="404040"/>
              <w:bottom w:val="nil"/>
              <w:right w:val="single" w:sz="4" w:space="0" w:color="404040"/>
            </w:tcBorders>
            <w:shd w:val="clear" w:color="auto" w:fill="auto"/>
            <w:vAlign w:val="bottom"/>
          </w:tcPr>
          <w:p w14:paraId="7B99168E" w14:textId="00D99852" w:rsidR="005059A4" w:rsidRPr="008C7624" w:rsidRDefault="008C7624" w:rsidP="008C7624">
            <w:pPr>
              <w:widowControl w:val="0"/>
              <w:spacing w:before="20" w:after="20"/>
              <w:ind w:left="29"/>
              <w:contextualSpacing/>
              <w:jc w:val="left"/>
              <w:rPr>
                <w:sz w:val="18"/>
                <w:szCs w:val="18"/>
                <w:lang w:val="es-MX"/>
              </w:rPr>
            </w:pPr>
            <w:r>
              <w:rPr>
                <w:sz w:val="18"/>
                <w:szCs w:val="18"/>
                <w:lang w:val="es-MX"/>
              </w:rPr>
              <w:t xml:space="preserve">b)  </w:t>
            </w:r>
            <w:r w:rsidR="005059A4" w:rsidRPr="008C7624">
              <w:rPr>
                <w:sz w:val="18"/>
                <w:szCs w:val="18"/>
                <w:lang w:val="es-MX"/>
              </w:rPr>
              <w:t>Ingresos por consignación y/o comisión</w:t>
            </w:r>
          </w:p>
        </w:tc>
        <w:tc>
          <w:tcPr>
            <w:tcW w:w="992" w:type="dxa"/>
            <w:tcBorders>
              <w:top w:val="nil"/>
              <w:left w:val="single" w:sz="4" w:space="0" w:color="404040"/>
              <w:bottom w:val="nil"/>
              <w:right w:val="single" w:sz="4" w:space="0" w:color="404040"/>
            </w:tcBorders>
            <w:shd w:val="clear" w:color="auto" w:fill="auto"/>
            <w:vAlign w:val="center"/>
          </w:tcPr>
          <w:p w14:paraId="3B034EDB" w14:textId="44D24503" w:rsidR="005059A4" w:rsidRPr="005059A4" w:rsidRDefault="005059A4" w:rsidP="005059A4">
            <w:pPr>
              <w:tabs>
                <w:tab w:val="decimal" w:pos="381"/>
              </w:tabs>
              <w:jc w:val="left"/>
              <w:rPr>
                <w:sz w:val="18"/>
                <w:szCs w:val="18"/>
              </w:rPr>
            </w:pPr>
            <w:r w:rsidRPr="005059A4">
              <w:rPr>
                <w:sz w:val="18"/>
                <w:szCs w:val="18"/>
              </w:rPr>
              <w:t xml:space="preserve">46.2 </w:t>
            </w:r>
          </w:p>
        </w:tc>
        <w:tc>
          <w:tcPr>
            <w:tcW w:w="1043" w:type="dxa"/>
            <w:tcBorders>
              <w:top w:val="nil"/>
              <w:left w:val="single" w:sz="4" w:space="0" w:color="404040"/>
              <w:bottom w:val="nil"/>
              <w:right w:val="nil"/>
            </w:tcBorders>
            <w:shd w:val="clear" w:color="auto" w:fill="auto"/>
            <w:vAlign w:val="center"/>
          </w:tcPr>
          <w:p w14:paraId="08F4F869" w14:textId="27DDB614" w:rsidR="005059A4" w:rsidRPr="005059A4" w:rsidRDefault="005059A4" w:rsidP="005059A4">
            <w:pPr>
              <w:tabs>
                <w:tab w:val="decimal" w:pos="409"/>
              </w:tabs>
              <w:jc w:val="left"/>
              <w:rPr>
                <w:sz w:val="18"/>
                <w:szCs w:val="18"/>
              </w:rPr>
            </w:pPr>
            <w:r w:rsidRPr="005059A4">
              <w:rPr>
                <w:sz w:val="18"/>
                <w:szCs w:val="18"/>
              </w:rPr>
              <w:t>-1.7</w:t>
            </w:r>
          </w:p>
        </w:tc>
        <w:tc>
          <w:tcPr>
            <w:tcW w:w="1043" w:type="dxa"/>
            <w:tcBorders>
              <w:top w:val="nil"/>
              <w:left w:val="nil"/>
              <w:bottom w:val="nil"/>
              <w:right w:val="single" w:sz="4" w:space="0" w:color="404040"/>
            </w:tcBorders>
            <w:shd w:val="clear" w:color="auto" w:fill="auto"/>
            <w:vAlign w:val="center"/>
          </w:tcPr>
          <w:p w14:paraId="38EA873F" w14:textId="0B13F6B1" w:rsidR="005059A4" w:rsidRPr="005059A4" w:rsidRDefault="005059A4" w:rsidP="005059A4">
            <w:pPr>
              <w:tabs>
                <w:tab w:val="decimal" w:pos="357"/>
              </w:tabs>
              <w:jc w:val="left"/>
              <w:rPr>
                <w:bCs/>
                <w:sz w:val="18"/>
                <w:szCs w:val="18"/>
              </w:rPr>
            </w:pPr>
            <w:r w:rsidRPr="005059A4">
              <w:rPr>
                <w:sz w:val="18"/>
                <w:szCs w:val="18"/>
              </w:rPr>
              <w:t>-15.3</w:t>
            </w:r>
          </w:p>
        </w:tc>
        <w:tc>
          <w:tcPr>
            <w:tcW w:w="557" w:type="dxa"/>
            <w:tcBorders>
              <w:top w:val="nil"/>
              <w:left w:val="single" w:sz="4" w:space="0" w:color="404040"/>
              <w:bottom w:val="nil"/>
              <w:right w:val="nil"/>
            </w:tcBorders>
            <w:shd w:val="clear" w:color="auto" w:fill="auto"/>
            <w:vAlign w:val="center"/>
          </w:tcPr>
          <w:p w14:paraId="18535115" w14:textId="42365578" w:rsidR="005059A4" w:rsidRPr="005059A4" w:rsidRDefault="005059A4" w:rsidP="005059A4">
            <w:pPr>
              <w:jc w:val="right"/>
              <w:rPr>
                <w:sz w:val="18"/>
                <w:szCs w:val="18"/>
              </w:rPr>
            </w:pPr>
            <w:r w:rsidRPr="005059A4">
              <w:rPr>
                <w:sz w:val="18"/>
                <w:szCs w:val="18"/>
              </w:rPr>
              <w:t>3</w:t>
            </w:r>
          </w:p>
        </w:tc>
        <w:tc>
          <w:tcPr>
            <w:tcW w:w="1249" w:type="dxa"/>
            <w:tcBorders>
              <w:top w:val="nil"/>
              <w:left w:val="nil"/>
              <w:bottom w:val="nil"/>
              <w:right w:val="single" w:sz="4" w:space="0" w:color="404040"/>
            </w:tcBorders>
            <w:shd w:val="clear" w:color="auto" w:fill="auto"/>
            <w:vAlign w:val="center"/>
          </w:tcPr>
          <w:p w14:paraId="4F5A5A42" w14:textId="531CBFE4" w:rsidR="005059A4" w:rsidRPr="00C245FA" w:rsidRDefault="005059A4" w:rsidP="005059A4">
            <w:pPr>
              <w:tabs>
                <w:tab w:val="decimal" w:pos="810"/>
              </w:tabs>
              <w:jc w:val="left"/>
              <w:rPr>
                <w:sz w:val="18"/>
                <w:szCs w:val="18"/>
              </w:rPr>
            </w:pPr>
            <w:r>
              <w:rPr>
                <w:color w:val="000000"/>
                <w:sz w:val="18"/>
                <w:szCs w:val="18"/>
              </w:rPr>
              <w:t>Por debajo</w:t>
            </w:r>
          </w:p>
        </w:tc>
      </w:tr>
      <w:tr w:rsidR="005059A4" w:rsidRPr="000A6510" w14:paraId="48E542AB" w14:textId="77777777" w:rsidTr="00140691">
        <w:trPr>
          <w:jc w:val="center"/>
        </w:trPr>
        <w:tc>
          <w:tcPr>
            <w:tcW w:w="4420" w:type="dxa"/>
            <w:tcBorders>
              <w:top w:val="nil"/>
              <w:left w:val="single" w:sz="4" w:space="0" w:color="404040"/>
              <w:bottom w:val="nil"/>
              <w:right w:val="single" w:sz="4" w:space="0" w:color="404040"/>
            </w:tcBorders>
            <w:shd w:val="clear" w:color="auto" w:fill="auto"/>
            <w:vAlign w:val="bottom"/>
          </w:tcPr>
          <w:p w14:paraId="7E99CBA8" w14:textId="2DB68955" w:rsidR="005059A4" w:rsidRPr="008C7624" w:rsidRDefault="008C7624" w:rsidP="008C7624">
            <w:pPr>
              <w:widowControl w:val="0"/>
              <w:spacing w:before="20" w:after="20"/>
              <w:ind w:left="29"/>
              <w:contextualSpacing/>
              <w:jc w:val="left"/>
              <w:rPr>
                <w:sz w:val="18"/>
                <w:szCs w:val="18"/>
                <w:lang w:val="es-MX"/>
              </w:rPr>
            </w:pPr>
            <w:r>
              <w:rPr>
                <w:sz w:val="18"/>
                <w:szCs w:val="18"/>
                <w:lang w:val="es-MX"/>
              </w:rPr>
              <w:t xml:space="preserve">c)  </w:t>
            </w:r>
            <w:r w:rsidR="005059A4" w:rsidRPr="008C7624">
              <w:rPr>
                <w:sz w:val="18"/>
                <w:szCs w:val="18"/>
                <w:lang w:val="es-MX"/>
              </w:rPr>
              <w:t>Compras netas</w:t>
            </w:r>
          </w:p>
        </w:tc>
        <w:tc>
          <w:tcPr>
            <w:tcW w:w="992" w:type="dxa"/>
            <w:tcBorders>
              <w:top w:val="nil"/>
              <w:left w:val="single" w:sz="4" w:space="0" w:color="404040"/>
              <w:bottom w:val="nil"/>
              <w:right w:val="single" w:sz="4" w:space="0" w:color="404040"/>
            </w:tcBorders>
            <w:shd w:val="clear" w:color="auto" w:fill="auto"/>
            <w:vAlign w:val="center"/>
          </w:tcPr>
          <w:p w14:paraId="6D26F8AB" w14:textId="0B812736" w:rsidR="005059A4" w:rsidRPr="005059A4" w:rsidRDefault="005059A4" w:rsidP="005059A4">
            <w:pPr>
              <w:tabs>
                <w:tab w:val="decimal" w:pos="381"/>
              </w:tabs>
              <w:jc w:val="left"/>
              <w:rPr>
                <w:sz w:val="18"/>
                <w:szCs w:val="18"/>
              </w:rPr>
            </w:pPr>
            <w:r w:rsidRPr="005059A4">
              <w:rPr>
                <w:sz w:val="18"/>
                <w:szCs w:val="18"/>
              </w:rPr>
              <w:t xml:space="preserve">53.7 </w:t>
            </w:r>
          </w:p>
        </w:tc>
        <w:tc>
          <w:tcPr>
            <w:tcW w:w="1043" w:type="dxa"/>
            <w:tcBorders>
              <w:top w:val="nil"/>
              <w:left w:val="single" w:sz="4" w:space="0" w:color="404040"/>
              <w:bottom w:val="nil"/>
              <w:right w:val="nil"/>
            </w:tcBorders>
            <w:shd w:val="clear" w:color="auto" w:fill="auto"/>
            <w:vAlign w:val="center"/>
          </w:tcPr>
          <w:p w14:paraId="0B1EB614" w14:textId="00AE2285" w:rsidR="005059A4" w:rsidRPr="005059A4" w:rsidRDefault="005059A4" w:rsidP="005059A4">
            <w:pPr>
              <w:tabs>
                <w:tab w:val="decimal" w:pos="409"/>
              </w:tabs>
              <w:jc w:val="left"/>
              <w:rPr>
                <w:sz w:val="18"/>
                <w:szCs w:val="18"/>
              </w:rPr>
            </w:pPr>
            <w:r w:rsidRPr="005059A4">
              <w:rPr>
                <w:sz w:val="18"/>
                <w:szCs w:val="18"/>
              </w:rPr>
              <w:t>1.0</w:t>
            </w:r>
          </w:p>
        </w:tc>
        <w:tc>
          <w:tcPr>
            <w:tcW w:w="1043" w:type="dxa"/>
            <w:tcBorders>
              <w:top w:val="nil"/>
              <w:left w:val="nil"/>
              <w:bottom w:val="nil"/>
              <w:right w:val="single" w:sz="4" w:space="0" w:color="404040"/>
            </w:tcBorders>
            <w:shd w:val="clear" w:color="auto" w:fill="auto"/>
            <w:vAlign w:val="center"/>
          </w:tcPr>
          <w:p w14:paraId="343BDDC8" w14:textId="41F2811D" w:rsidR="005059A4" w:rsidRPr="005059A4" w:rsidRDefault="005059A4" w:rsidP="005059A4">
            <w:pPr>
              <w:tabs>
                <w:tab w:val="decimal" w:pos="357"/>
              </w:tabs>
              <w:jc w:val="left"/>
              <w:rPr>
                <w:bCs/>
                <w:sz w:val="18"/>
                <w:szCs w:val="18"/>
              </w:rPr>
            </w:pPr>
            <w:r w:rsidRPr="005059A4">
              <w:rPr>
                <w:sz w:val="18"/>
                <w:szCs w:val="18"/>
              </w:rPr>
              <w:t>-1.1</w:t>
            </w:r>
          </w:p>
        </w:tc>
        <w:tc>
          <w:tcPr>
            <w:tcW w:w="557" w:type="dxa"/>
            <w:tcBorders>
              <w:top w:val="nil"/>
              <w:left w:val="single" w:sz="4" w:space="0" w:color="404040"/>
              <w:bottom w:val="nil"/>
              <w:right w:val="nil"/>
            </w:tcBorders>
            <w:shd w:val="clear" w:color="auto" w:fill="auto"/>
            <w:vAlign w:val="center"/>
          </w:tcPr>
          <w:p w14:paraId="77B80431" w14:textId="0A66DA50" w:rsidR="005059A4" w:rsidRPr="005059A4" w:rsidRDefault="005059A4" w:rsidP="005059A4">
            <w:pPr>
              <w:jc w:val="right"/>
              <w:rPr>
                <w:sz w:val="18"/>
                <w:szCs w:val="18"/>
              </w:rPr>
            </w:pPr>
            <w:r w:rsidRPr="005059A4">
              <w:rPr>
                <w:sz w:val="18"/>
                <w:szCs w:val="18"/>
              </w:rPr>
              <w:t>22</w:t>
            </w:r>
          </w:p>
        </w:tc>
        <w:tc>
          <w:tcPr>
            <w:tcW w:w="1249" w:type="dxa"/>
            <w:tcBorders>
              <w:top w:val="nil"/>
              <w:left w:val="nil"/>
              <w:bottom w:val="nil"/>
              <w:right w:val="single" w:sz="4" w:space="0" w:color="404040"/>
            </w:tcBorders>
            <w:shd w:val="clear" w:color="auto" w:fill="auto"/>
            <w:vAlign w:val="center"/>
          </w:tcPr>
          <w:p w14:paraId="6985B107" w14:textId="7D55A96F" w:rsidR="005059A4" w:rsidRPr="00C245FA" w:rsidRDefault="005059A4" w:rsidP="005059A4">
            <w:pPr>
              <w:tabs>
                <w:tab w:val="decimal" w:pos="810"/>
              </w:tabs>
              <w:jc w:val="left"/>
              <w:rPr>
                <w:sz w:val="18"/>
                <w:szCs w:val="18"/>
              </w:rPr>
            </w:pPr>
            <w:r>
              <w:rPr>
                <w:color w:val="000000"/>
                <w:sz w:val="18"/>
                <w:szCs w:val="18"/>
              </w:rPr>
              <w:t>Por arriba</w:t>
            </w:r>
          </w:p>
        </w:tc>
      </w:tr>
      <w:tr w:rsidR="005059A4" w:rsidRPr="000A6510" w14:paraId="431C2E80" w14:textId="77777777" w:rsidTr="00140691">
        <w:trPr>
          <w:jc w:val="center"/>
        </w:trPr>
        <w:tc>
          <w:tcPr>
            <w:tcW w:w="4420" w:type="dxa"/>
            <w:tcBorders>
              <w:top w:val="nil"/>
              <w:left w:val="single" w:sz="4" w:space="0" w:color="404040"/>
              <w:bottom w:val="nil"/>
              <w:right w:val="single" w:sz="4" w:space="0" w:color="404040"/>
            </w:tcBorders>
            <w:shd w:val="clear" w:color="auto" w:fill="auto"/>
            <w:vAlign w:val="bottom"/>
          </w:tcPr>
          <w:p w14:paraId="1E3B6DE5" w14:textId="7002C765" w:rsidR="005059A4" w:rsidRPr="008C7624" w:rsidRDefault="008C7624" w:rsidP="008C7624">
            <w:pPr>
              <w:widowControl w:val="0"/>
              <w:spacing w:before="20" w:after="20"/>
              <w:ind w:left="29"/>
              <w:contextualSpacing/>
              <w:jc w:val="left"/>
              <w:rPr>
                <w:sz w:val="18"/>
                <w:szCs w:val="18"/>
                <w:lang w:val="es-MX"/>
              </w:rPr>
            </w:pPr>
            <w:r>
              <w:rPr>
                <w:sz w:val="18"/>
                <w:szCs w:val="18"/>
                <w:lang w:val="es-MX"/>
              </w:rPr>
              <w:t xml:space="preserve">d)  </w:t>
            </w:r>
            <w:r w:rsidR="005059A4" w:rsidRPr="008C7624">
              <w:rPr>
                <w:sz w:val="18"/>
                <w:szCs w:val="18"/>
                <w:lang w:val="es-MX"/>
              </w:rPr>
              <w:t>Inventarios de mercancías</w:t>
            </w:r>
          </w:p>
        </w:tc>
        <w:tc>
          <w:tcPr>
            <w:tcW w:w="992" w:type="dxa"/>
            <w:tcBorders>
              <w:top w:val="nil"/>
              <w:left w:val="single" w:sz="4" w:space="0" w:color="404040"/>
              <w:bottom w:val="nil"/>
              <w:right w:val="single" w:sz="4" w:space="0" w:color="404040"/>
            </w:tcBorders>
            <w:shd w:val="clear" w:color="auto" w:fill="auto"/>
            <w:vAlign w:val="center"/>
          </w:tcPr>
          <w:p w14:paraId="68F3A083" w14:textId="5C799EFA" w:rsidR="005059A4" w:rsidRPr="005059A4" w:rsidRDefault="005059A4" w:rsidP="005059A4">
            <w:pPr>
              <w:tabs>
                <w:tab w:val="decimal" w:pos="381"/>
              </w:tabs>
              <w:jc w:val="left"/>
              <w:rPr>
                <w:sz w:val="18"/>
                <w:szCs w:val="18"/>
              </w:rPr>
            </w:pPr>
            <w:r w:rsidRPr="005059A4">
              <w:rPr>
                <w:sz w:val="18"/>
                <w:szCs w:val="18"/>
              </w:rPr>
              <w:t xml:space="preserve">54.3 </w:t>
            </w:r>
          </w:p>
        </w:tc>
        <w:tc>
          <w:tcPr>
            <w:tcW w:w="1043" w:type="dxa"/>
            <w:tcBorders>
              <w:top w:val="nil"/>
              <w:left w:val="single" w:sz="4" w:space="0" w:color="404040"/>
              <w:bottom w:val="nil"/>
              <w:right w:val="nil"/>
            </w:tcBorders>
            <w:shd w:val="clear" w:color="auto" w:fill="auto"/>
            <w:vAlign w:val="center"/>
          </w:tcPr>
          <w:p w14:paraId="6561B5E0" w14:textId="3D13F02F" w:rsidR="005059A4" w:rsidRPr="005059A4" w:rsidRDefault="005059A4" w:rsidP="005059A4">
            <w:pPr>
              <w:tabs>
                <w:tab w:val="decimal" w:pos="409"/>
              </w:tabs>
              <w:jc w:val="left"/>
              <w:rPr>
                <w:sz w:val="18"/>
                <w:szCs w:val="18"/>
              </w:rPr>
            </w:pPr>
            <w:r w:rsidRPr="005059A4">
              <w:rPr>
                <w:sz w:val="18"/>
                <w:szCs w:val="18"/>
              </w:rPr>
              <w:t>0.4</w:t>
            </w:r>
          </w:p>
        </w:tc>
        <w:tc>
          <w:tcPr>
            <w:tcW w:w="1043" w:type="dxa"/>
            <w:tcBorders>
              <w:top w:val="nil"/>
              <w:left w:val="nil"/>
              <w:bottom w:val="nil"/>
              <w:right w:val="single" w:sz="4" w:space="0" w:color="404040"/>
            </w:tcBorders>
            <w:shd w:val="clear" w:color="auto" w:fill="auto"/>
            <w:vAlign w:val="center"/>
          </w:tcPr>
          <w:p w14:paraId="708B4EFA" w14:textId="23D99282" w:rsidR="005059A4" w:rsidRPr="005059A4" w:rsidRDefault="005059A4" w:rsidP="005059A4">
            <w:pPr>
              <w:tabs>
                <w:tab w:val="decimal" w:pos="357"/>
              </w:tabs>
              <w:jc w:val="left"/>
              <w:rPr>
                <w:bCs/>
                <w:sz w:val="18"/>
                <w:szCs w:val="18"/>
              </w:rPr>
            </w:pPr>
            <w:r w:rsidRPr="005059A4">
              <w:rPr>
                <w:sz w:val="18"/>
                <w:szCs w:val="18"/>
              </w:rPr>
              <w:t>2.9</w:t>
            </w:r>
          </w:p>
        </w:tc>
        <w:tc>
          <w:tcPr>
            <w:tcW w:w="557" w:type="dxa"/>
            <w:tcBorders>
              <w:top w:val="nil"/>
              <w:left w:val="single" w:sz="4" w:space="0" w:color="404040"/>
              <w:bottom w:val="nil"/>
              <w:right w:val="nil"/>
            </w:tcBorders>
            <w:shd w:val="clear" w:color="auto" w:fill="auto"/>
            <w:vAlign w:val="center"/>
          </w:tcPr>
          <w:p w14:paraId="2B61CFA6" w14:textId="729D53CD" w:rsidR="005059A4" w:rsidRPr="005059A4" w:rsidRDefault="005059A4" w:rsidP="005059A4">
            <w:pPr>
              <w:jc w:val="right"/>
              <w:rPr>
                <w:sz w:val="18"/>
                <w:szCs w:val="18"/>
              </w:rPr>
            </w:pPr>
            <w:r w:rsidRPr="005059A4">
              <w:rPr>
                <w:sz w:val="18"/>
                <w:szCs w:val="18"/>
              </w:rPr>
              <w:t>19</w:t>
            </w:r>
          </w:p>
        </w:tc>
        <w:tc>
          <w:tcPr>
            <w:tcW w:w="1249" w:type="dxa"/>
            <w:tcBorders>
              <w:top w:val="nil"/>
              <w:left w:val="nil"/>
              <w:bottom w:val="nil"/>
              <w:right w:val="single" w:sz="4" w:space="0" w:color="404040"/>
            </w:tcBorders>
            <w:shd w:val="clear" w:color="auto" w:fill="auto"/>
            <w:vAlign w:val="center"/>
          </w:tcPr>
          <w:p w14:paraId="6267CC79" w14:textId="7E9482DA" w:rsidR="005059A4" w:rsidRPr="00C245FA" w:rsidRDefault="005059A4" w:rsidP="005059A4">
            <w:pPr>
              <w:tabs>
                <w:tab w:val="decimal" w:pos="810"/>
              </w:tabs>
              <w:jc w:val="left"/>
              <w:rPr>
                <w:sz w:val="18"/>
                <w:szCs w:val="18"/>
              </w:rPr>
            </w:pPr>
            <w:r>
              <w:rPr>
                <w:color w:val="000000"/>
                <w:sz w:val="18"/>
                <w:szCs w:val="18"/>
              </w:rPr>
              <w:t>Por arriba</w:t>
            </w:r>
          </w:p>
        </w:tc>
      </w:tr>
      <w:tr w:rsidR="005059A4" w:rsidRPr="000A6510" w14:paraId="7023C0D7" w14:textId="77777777" w:rsidTr="00140691">
        <w:trPr>
          <w:jc w:val="center"/>
        </w:trPr>
        <w:tc>
          <w:tcPr>
            <w:tcW w:w="4420" w:type="dxa"/>
            <w:tcBorders>
              <w:top w:val="nil"/>
              <w:left w:val="single" w:sz="4" w:space="0" w:color="404040"/>
              <w:bottom w:val="single" w:sz="4" w:space="0" w:color="auto"/>
              <w:right w:val="single" w:sz="4" w:space="0" w:color="404040"/>
            </w:tcBorders>
            <w:shd w:val="clear" w:color="auto" w:fill="auto"/>
            <w:vAlign w:val="bottom"/>
          </w:tcPr>
          <w:p w14:paraId="2B30B799" w14:textId="76D83F6B" w:rsidR="005059A4" w:rsidRPr="008C7624" w:rsidRDefault="008C7624" w:rsidP="008C7624">
            <w:pPr>
              <w:widowControl w:val="0"/>
              <w:spacing w:before="20" w:after="20"/>
              <w:ind w:left="29"/>
              <w:contextualSpacing/>
              <w:jc w:val="left"/>
              <w:rPr>
                <w:sz w:val="18"/>
                <w:szCs w:val="18"/>
                <w:lang w:val="es-MX"/>
              </w:rPr>
            </w:pPr>
            <w:r>
              <w:rPr>
                <w:sz w:val="18"/>
                <w:szCs w:val="18"/>
                <w:lang w:val="es-MX"/>
              </w:rPr>
              <w:t xml:space="preserve">e)  </w:t>
            </w:r>
            <w:r w:rsidR="005059A4" w:rsidRPr="008C7624">
              <w:rPr>
                <w:sz w:val="18"/>
                <w:szCs w:val="18"/>
                <w:lang w:val="es-MX"/>
              </w:rPr>
              <w:t>Personal ocupado total</w:t>
            </w:r>
          </w:p>
        </w:tc>
        <w:tc>
          <w:tcPr>
            <w:tcW w:w="992" w:type="dxa"/>
            <w:tcBorders>
              <w:top w:val="nil"/>
              <w:left w:val="single" w:sz="4" w:space="0" w:color="404040"/>
              <w:bottom w:val="single" w:sz="4" w:space="0" w:color="auto"/>
              <w:right w:val="single" w:sz="4" w:space="0" w:color="404040"/>
            </w:tcBorders>
            <w:shd w:val="clear" w:color="auto" w:fill="auto"/>
            <w:vAlign w:val="center"/>
          </w:tcPr>
          <w:p w14:paraId="07002CEC" w14:textId="0431EF1F" w:rsidR="005059A4" w:rsidRPr="005059A4" w:rsidRDefault="005059A4" w:rsidP="005059A4">
            <w:pPr>
              <w:tabs>
                <w:tab w:val="decimal" w:pos="381"/>
              </w:tabs>
              <w:jc w:val="left"/>
              <w:rPr>
                <w:sz w:val="18"/>
                <w:szCs w:val="18"/>
              </w:rPr>
            </w:pPr>
            <w:r w:rsidRPr="005059A4">
              <w:rPr>
                <w:sz w:val="18"/>
                <w:szCs w:val="18"/>
              </w:rPr>
              <w:t xml:space="preserve">55.2 </w:t>
            </w:r>
          </w:p>
        </w:tc>
        <w:tc>
          <w:tcPr>
            <w:tcW w:w="1043" w:type="dxa"/>
            <w:tcBorders>
              <w:top w:val="nil"/>
              <w:left w:val="single" w:sz="4" w:space="0" w:color="404040"/>
              <w:bottom w:val="single" w:sz="4" w:space="0" w:color="404040"/>
              <w:right w:val="nil"/>
            </w:tcBorders>
            <w:shd w:val="clear" w:color="auto" w:fill="auto"/>
            <w:vAlign w:val="center"/>
          </w:tcPr>
          <w:p w14:paraId="2CC80006" w14:textId="7D13E47E" w:rsidR="005059A4" w:rsidRPr="005059A4" w:rsidRDefault="005059A4" w:rsidP="005059A4">
            <w:pPr>
              <w:tabs>
                <w:tab w:val="decimal" w:pos="409"/>
              </w:tabs>
              <w:jc w:val="left"/>
              <w:rPr>
                <w:sz w:val="18"/>
                <w:szCs w:val="18"/>
              </w:rPr>
            </w:pPr>
            <w:r w:rsidRPr="005059A4">
              <w:rPr>
                <w:sz w:val="18"/>
                <w:szCs w:val="18"/>
              </w:rPr>
              <w:t>3.6</w:t>
            </w:r>
          </w:p>
        </w:tc>
        <w:tc>
          <w:tcPr>
            <w:tcW w:w="1043" w:type="dxa"/>
            <w:tcBorders>
              <w:top w:val="nil"/>
              <w:left w:val="nil"/>
              <w:bottom w:val="single" w:sz="4" w:space="0" w:color="404040"/>
              <w:right w:val="single" w:sz="4" w:space="0" w:color="404040"/>
            </w:tcBorders>
            <w:shd w:val="clear" w:color="auto" w:fill="auto"/>
            <w:vAlign w:val="center"/>
          </w:tcPr>
          <w:p w14:paraId="0FB5B90E" w14:textId="30DCEC78" w:rsidR="005059A4" w:rsidRPr="005059A4" w:rsidRDefault="005059A4" w:rsidP="005059A4">
            <w:pPr>
              <w:tabs>
                <w:tab w:val="decimal" w:pos="357"/>
              </w:tabs>
              <w:jc w:val="left"/>
              <w:rPr>
                <w:bCs/>
                <w:sz w:val="18"/>
                <w:szCs w:val="18"/>
              </w:rPr>
            </w:pPr>
            <w:r w:rsidRPr="005059A4">
              <w:rPr>
                <w:sz w:val="18"/>
                <w:szCs w:val="18"/>
              </w:rPr>
              <w:t>5.5</w:t>
            </w:r>
          </w:p>
        </w:tc>
        <w:tc>
          <w:tcPr>
            <w:tcW w:w="557" w:type="dxa"/>
            <w:tcBorders>
              <w:top w:val="nil"/>
              <w:left w:val="single" w:sz="4" w:space="0" w:color="404040"/>
              <w:bottom w:val="single" w:sz="4" w:space="0" w:color="auto"/>
              <w:right w:val="nil"/>
            </w:tcBorders>
            <w:shd w:val="clear" w:color="auto" w:fill="auto"/>
            <w:vAlign w:val="center"/>
          </w:tcPr>
          <w:p w14:paraId="4988FD84" w14:textId="1186C4B1" w:rsidR="005059A4" w:rsidRPr="005059A4" w:rsidRDefault="005059A4" w:rsidP="005059A4">
            <w:pPr>
              <w:jc w:val="right"/>
              <w:rPr>
                <w:sz w:val="18"/>
                <w:szCs w:val="18"/>
              </w:rPr>
            </w:pPr>
            <w:r w:rsidRPr="005059A4">
              <w:rPr>
                <w:sz w:val="18"/>
                <w:szCs w:val="18"/>
              </w:rPr>
              <w:t>12</w:t>
            </w:r>
          </w:p>
        </w:tc>
        <w:tc>
          <w:tcPr>
            <w:tcW w:w="1249" w:type="dxa"/>
            <w:tcBorders>
              <w:top w:val="nil"/>
              <w:left w:val="nil"/>
              <w:bottom w:val="single" w:sz="4" w:space="0" w:color="auto"/>
              <w:right w:val="single" w:sz="4" w:space="0" w:color="404040"/>
            </w:tcBorders>
            <w:shd w:val="clear" w:color="auto" w:fill="auto"/>
            <w:vAlign w:val="center"/>
          </w:tcPr>
          <w:p w14:paraId="277289F8" w14:textId="1CD7CF7A" w:rsidR="005059A4" w:rsidRPr="00C245FA" w:rsidRDefault="005059A4" w:rsidP="005059A4">
            <w:pPr>
              <w:tabs>
                <w:tab w:val="decimal" w:pos="810"/>
              </w:tabs>
              <w:jc w:val="left"/>
              <w:rPr>
                <w:sz w:val="18"/>
                <w:szCs w:val="18"/>
              </w:rPr>
            </w:pPr>
            <w:r>
              <w:rPr>
                <w:color w:val="000000"/>
                <w:sz w:val="18"/>
                <w:szCs w:val="18"/>
              </w:rPr>
              <w:t>Por arriba</w:t>
            </w:r>
          </w:p>
        </w:tc>
      </w:tr>
    </w:tbl>
    <w:p w14:paraId="26A9D877" w14:textId="4E4ACEB0" w:rsidR="00D76DC5" w:rsidRPr="00294891" w:rsidRDefault="00D76DC5" w:rsidP="00294891">
      <w:pPr>
        <w:widowControl w:val="0"/>
        <w:spacing w:before="20"/>
        <w:ind w:left="770" w:right="125" w:hanging="597"/>
        <w:rPr>
          <w:sz w:val="16"/>
          <w:szCs w:val="14"/>
          <w:lang w:val="es-MX"/>
        </w:rPr>
      </w:pPr>
      <w:r w:rsidRPr="00294891">
        <w:rPr>
          <w:sz w:val="16"/>
          <w:szCs w:val="14"/>
          <w:lang w:val="es-MX"/>
        </w:rPr>
        <w:t>Nota:</w:t>
      </w:r>
      <w:r w:rsidRPr="00294891">
        <w:rPr>
          <w:sz w:val="16"/>
          <w:szCs w:val="14"/>
          <w:lang w:val="es-MX"/>
        </w:rPr>
        <w:tab/>
      </w:r>
      <w:r w:rsidR="00A84AA3" w:rsidRPr="00294891">
        <w:rPr>
          <w:sz w:val="16"/>
          <w:szCs w:val="14"/>
          <w:lang w:val="es-MX"/>
        </w:rPr>
        <w:t>Los indicadores se generan con los datos referentes al mes de la entrevista. Los indicadores de los meses anteriores se van revisando por los informantes.</w:t>
      </w:r>
    </w:p>
    <w:p w14:paraId="5CE2177C" w14:textId="77777777" w:rsidR="00D76DC5" w:rsidRPr="00294891" w:rsidRDefault="00D76DC5" w:rsidP="0027370D">
      <w:pPr>
        <w:widowControl w:val="0"/>
        <w:ind w:left="771" w:right="125" w:hanging="595"/>
        <w:rPr>
          <w:sz w:val="16"/>
          <w:szCs w:val="14"/>
          <w:lang w:val="es-MX"/>
        </w:rPr>
      </w:pPr>
      <w:r w:rsidRPr="00294891">
        <w:rPr>
          <w:position w:val="2"/>
          <w:sz w:val="18"/>
          <w:szCs w:val="12"/>
          <w:vertAlign w:val="superscript"/>
          <w:lang w:val="es-MX"/>
        </w:rPr>
        <w:t>1/</w:t>
      </w:r>
      <w:r w:rsidRPr="00294891">
        <w:rPr>
          <w:sz w:val="16"/>
          <w:szCs w:val="14"/>
          <w:lang w:val="es-MX"/>
        </w:rPr>
        <w:tab/>
        <w:t>Las diferencias en puntos se obtienen de los respectivos indicadores considerando todos sus decimales.</w:t>
      </w:r>
    </w:p>
    <w:p w14:paraId="68ABCA1C" w14:textId="5DE91EBF" w:rsidR="00D76DC5" w:rsidRPr="00294891" w:rsidRDefault="00D76DC5" w:rsidP="00D76DC5">
      <w:pPr>
        <w:widowControl w:val="0"/>
        <w:spacing w:before="20"/>
        <w:ind w:left="700" w:right="25" w:hanging="527"/>
        <w:rPr>
          <w:sz w:val="16"/>
          <w:szCs w:val="14"/>
          <w:lang w:val="es-MX"/>
        </w:rPr>
      </w:pPr>
      <w:r w:rsidRPr="00294891">
        <w:rPr>
          <w:sz w:val="16"/>
          <w:szCs w:val="14"/>
          <w:lang w:val="es-MX"/>
        </w:rPr>
        <w:t>Fuente:</w:t>
      </w:r>
      <w:r w:rsidR="00294891">
        <w:rPr>
          <w:sz w:val="16"/>
          <w:szCs w:val="14"/>
          <w:lang w:val="es-MX"/>
        </w:rPr>
        <w:t xml:space="preserve"> </w:t>
      </w:r>
      <w:r w:rsidRPr="00294891">
        <w:rPr>
          <w:sz w:val="16"/>
          <w:szCs w:val="14"/>
          <w:lang w:val="es-MX"/>
        </w:rPr>
        <w:t>INEGI.</w:t>
      </w:r>
    </w:p>
    <w:p w14:paraId="36C0243C" w14:textId="0E989143" w:rsidR="00135755" w:rsidRPr="00135755" w:rsidRDefault="00135755" w:rsidP="00294891">
      <w:pPr>
        <w:pStyle w:val="Textoindependiente2"/>
        <w:keepNext/>
        <w:keepLines/>
        <w:widowControl w:val="0"/>
        <w:ind w:right="0"/>
        <w:jc w:val="center"/>
        <w:rPr>
          <w:sz w:val="20"/>
          <w:szCs w:val="20"/>
          <w:lang w:val="es-MX"/>
        </w:rPr>
      </w:pPr>
      <w:r w:rsidRPr="00135755">
        <w:rPr>
          <w:sz w:val="20"/>
          <w:szCs w:val="20"/>
          <w:lang w:val="es-MX"/>
        </w:rPr>
        <w:t xml:space="preserve">Gráfica </w:t>
      </w:r>
      <w:r w:rsidR="0027370D">
        <w:rPr>
          <w:sz w:val="20"/>
          <w:szCs w:val="20"/>
          <w:lang w:val="es-MX"/>
        </w:rPr>
        <w:t>6</w:t>
      </w:r>
    </w:p>
    <w:p w14:paraId="32F2E4C7" w14:textId="18F34E13" w:rsidR="00D76DC5" w:rsidRPr="000A6510" w:rsidRDefault="00831D6B" w:rsidP="00D76DC5">
      <w:pPr>
        <w:pStyle w:val="Textoindependiente2"/>
        <w:keepNext/>
        <w:keepLines/>
        <w:widowControl w:val="0"/>
        <w:spacing w:before="0"/>
        <w:ind w:right="0"/>
        <w:jc w:val="center"/>
        <w:rPr>
          <w:b/>
          <w:smallCaps/>
          <w:sz w:val="22"/>
          <w:szCs w:val="20"/>
          <w:lang w:val="es-MX"/>
        </w:rPr>
      </w:pPr>
      <w:r w:rsidRPr="00E449C5">
        <w:rPr>
          <w:b/>
          <w:smallCaps/>
          <w:sz w:val="22"/>
          <w:szCs w:val="20"/>
          <w:lang w:val="es-MX"/>
        </w:rPr>
        <w:t>Expectativas empresariales</w:t>
      </w:r>
      <w:r>
        <w:rPr>
          <w:b/>
          <w:smallCaps/>
          <w:sz w:val="22"/>
          <w:szCs w:val="20"/>
          <w:lang w:val="es-MX"/>
        </w:rPr>
        <w:t xml:space="preserve"> </w:t>
      </w:r>
      <w:r w:rsidR="00961C96" w:rsidRPr="000A6510">
        <w:rPr>
          <w:b/>
          <w:smallCaps/>
          <w:sz w:val="22"/>
          <w:szCs w:val="20"/>
          <w:lang w:val="es-MX"/>
        </w:rPr>
        <w:t xml:space="preserve">del sector comercio </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961C96" w:rsidRPr="000A6510" w14:paraId="212558E1" w14:textId="77777777" w:rsidTr="00D37B17">
        <w:trPr>
          <w:trHeight w:val="1871"/>
          <w:jc w:val="center"/>
        </w:trPr>
        <w:tc>
          <w:tcPr>
            <w:tcW w:w="5305" w:type="dxa"/>
            <w:vAlign w:val="center"/>
          </w:tcPr>
          <w:p w14:paraId="2B3F75A5" w14:textId="41924455" w:rsidR="00961C96" w:rsidRPr="000A6510" w:rsidRDefault="00D37B17" w:rsidP="00D76DC5">
            <w:pPr>
              <w:pStyle w:val="p0"/>
              <w:spacing w:before="0"/>
              <w:jc w:val="center"/>
              <w:rPr>
                <w:color w:val="auto"/>
                <w:sz w:val="16"/>
                <w:szCs w:val="16"/>
                <w:lang w:val="es-MX"/>
              </w:rPr>
            </w:pPr>
            <w:r>
              <w:rPr>
                <w:noProof/>
                <w:lang w:val="es-MX" w:eastAsia="es-MX"/>
              </w:rPr>
              <w:drawing>
                <wp:inline distT="0" distB="0" distL="0" distR="0" wp14:anchorId="23543D88" wp14:editId="657A3673">
                  <wp:extent cx="3276000" cy="1152000"/>
                  <wp:effectExtent l="0" t="0" r="0" b="0"/>
                  <wp:docPr id="29" name="Gráfico 29">
                    <a:extLst xmlns:a="http://schemas.openxmlformats.org/drawingml/2006/main">
                      <a:ext uri="{FF2B5EF4-FFF2-40B4-BE49-F238E27FC236}">
                        <a16:creationId xmlns:a16="http://schemas.microsoft.com/office/drawing/2014/main" id="{00000000-0008-0000-1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5304" w:type="dxa"/>
            <w:vAlign w:val="center"/>
          </w:tcPr>
          <w:p w14:paraId="3C90FC21" w14:textId="79E43DE0" w:rsidR="00961C96" w:rsidRPr="000A6510" w:rsidRDefault="00D37B17" w:rsidP="00D76DC5">
            <w:pPr>
              <w:pStyle w:val="p0"/>
              <w:spacing w:before="0"/>
              <w:jc w:val="center"/>
              <w:rPr>
                <w:color w:val="auto"/>
                <w:sz w:val="16"/>
                <w:szCs w:val="16"/>
                <w:lang w:val="es-MX"/>
              </w:rPr>
            </w:pPr>
            <w:r>
              <w:rPr>
                <w:noProof/>
                <w:lang w:val="es-MX" w:eastAsia="es-MX"/>
              </w:rPr>
              <w:drawing>
                <wp:inline distT="0" distB="0" distL="0" distR="0" wp14:anchorId="4426A8BF" wp14:editId="222CCA95">
                  <wp:extent cx="3276000" cy="1152000"/>
                  <wp:effectExtent l="0" t="0" r="0" b="0"/>
                  <wp:docPr id="30" name="Gráfico 30">
                    <a:extLst xmlns:a="http://schemas.openxmlformats.org/drawingml/2006/main">
                      <a:ext uri="{FF2B5EF4-FFF2-40B4-BE49-F238E27FC236}">
                        <a16:creationId xmlns:a16="http://schemas.microsoft.com/office/drawing/2014/main" id="{00000000-0008-0000-1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D76DC5" w:rsidRPr="000A6510" w14:paraId="2A6DF595" w14:textId="77777777" w:rsidTr="00D76DC5">
        <w:tblPrEx>
          <w:tblCellMar>
            <w:left w:w="28" w:type="dxa"/>
            <w:right w:w="28" w:type="dxa"/>
          </w:tblCellMar>
        </w:tblPrEx>
        <w:trPr>
          <w:jc w:val="center"/>
        </w:trPr>
        <w:tc>
          <w:tcPr>
            <w:tcW w:w="5305" w:type="dxa"/>
          </w:tcPr>
          <w:p w14:paraId="30CF6FE1" w14:textId="77777777" w:rsidR="00D76DC5" w:rsidRPr="000A6510" w:rsidRDefault="00D76DC5" w:rsidP="00D76DC5">
            <w:pPr>
              <w:pStyle w:val="p0"/>
              <w:spacing w:before="0"/>
              <w:rPr>
                <w:noProof/>
                <w:color w:val="auto"/>
                <w:sz w:val="10"/>
                <w:szCs w:val="10"/>
                <w:lang w:val="es-MX" w:eastAsia="es-MX"/>
              </w:rPr>
            </w:pPr>
          </w:p>
        </w:tc>
        <w:tc>
          <w:tcPr>
            <w:tcW w:w="5304" w:type="dxa"/>
          </w:tcPr>
          <w:p w14:paraId="2103D0CC" w14:textId="77777777" w:rsidR="00D76DC5" w:rsidRPr="000A6510" w:rsidRDefault="00D76DC5" w:rsidP="00D76DC5">
            <w:pPr>
              <w:pStyle w:val="p0"/>
              <w:spacing w:before="0"/>
              <w:rPr>
                <w:noProof/>
                <w:color w:val="auto"/>
                <w:sz w:val="10"/>
                <w:szCs w:val="10"/>
                <w:lang w:val="es-MX" w:eastAsia="es-MX"/>
              </w:rPr>
            </w:pPr>
          </w:p>
        </w:tc>
      </w:tr>
      <w:tr w:rsidR="00D76DC5" w:rsidRPr="000A6510" w14:paraId="0C1B5E1D" w14:textId="77777777" w:rsidTr="00D37B17">
        <w:trPr>
          <w:trHeight w:val="1871"/>
          <w:jc w:val="center"/>
        </w:trPr>
        <w:tc>
          <w:tcPr>
            <w:tcW w:w="5305" w:type="dxa"/>
          </w:tcPr>
          <w:p w14:paraId="577315F1" w14:textId="4E80270D" w:rsidR="00D76DC5" w:rsidRPr="000A6510" w:rsidRDefault="00D37B17" w:rsidP="00D76DC5">
            <w:pPr>
              <w:pStyle w:val="p0"/>
              <w:spacing w:before="0"/>
              <w:rPr>
                <w:color w:val="auto"/>
                <w:sz w:val="16"/>
                <w:szCs w:val="16"/>
                <w:lang w:val="es-MX"/>
              </w:rPr>
            </w:pPr>
            <w:r>
              <w:rPr>
                <w:noProof/>
                <w:lang w:val="es-MX" w:eastAsia="es-MX"/>
              </w:rPr>
              <w:drawing>
                <wp:inline distT="0" distB="0" distL="0" distR="0" wp14:anchorId="2566EEF2" wp14:editId="49814AF5">
                  <wp:extent cx="3276000" cy="1152000"/>
                  <wp:effectExtent l="0" t="0" r="0" b="0"/>
                  <wp:docPr id="31" name="Gráfico 31">
                    <a:extLst xmlns:a="http://schemas.openxmlformats.org/drawingml/2006/main">
                      <a:ext uri="{FF2B5EF4-FFF2-40B4-BE49-F238E27FC236}">
                        <a16:creationId xmlns:a16="http://schemas.microsoft.com/office/drawing/2014/main" id="{00000000-0008-0000-1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5304" w:type="dxa"/>
          </w:tcPr>
          <w:p w14:paraId="751D9CF5" w14:textId="3A5CB55C" w:rsidR="00D76DC5" w:rsidRPr="000A6510" w:rsidRDefault="00D37B17" w:rsidP="00D76DC5">
            <w:pPr>
              <w:pStyle w:val="p0"/>
              <w:spacing w:before="0"/>
              <w:rPr>
                <w:color w:val="auto"/>
                <w:sz w:val="16"/>
                <w:szCs w:val="16"/>
                <w:lang w:val="es-MX"/>
              </w:rPr>
            </w:pPr>
            <w:r>
              <w:rPr>
                <w:noProof/>
                <w:lang w:val="es-MX" w:eastAsia="es-MX"/>
              </w:rPr>
              <w:drawing>
                <wp:inline distT="0" distB="0" distL="0" distR="0" wp14:anchorId="11A6683C" wp14:editId="3A097F3E">
                  <wp:extent cx="3276000" cy="1152000"/>
                  <wp:effectExtent l="0" t="0" r="0" b="0"/>
                  <wp:docPr id="32" name="Gráfico 32">
                    <a:extLst xmlns:a="http://schemas.openxmlformats.org/drawingml/2006/main">
                      <a:ext uri="{FF2B5EF4-FFF2-40B4-BE49-F238E27FC236}">
                        <a16:creationId xmlns:a16="http://schemas.microsoft.com/office/drawing/2014/main" id="{00000000-0008-0000-13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r w:rsidR="009C3FF5" w:rsidRPr="000A6510" w14:paraId="526D51CB" w14:textId="77777777" w:rsidTr="009C3FF5">
        <w:trPr>
          <w:jc w:val="center"/>
        </w:trPr>
        <w:tc>
          <w:tcPr>
            <w:tcW w:w="10609" w:type="dxa"/>
            <w:gridSpan w:val="2"/>
          </w:tcPr>
          <w:p w14:paraId="10F642CC" w14:textId="77777777" w:rsidR="009C3FF5" w:rsidRPr="000A6510" w:rsidRDefault="009C3FF5" w:rsidP="00961C96">
            <w:pPr>
              <w:pStyle w:val="p0"/>
              <w:spacing w:before="0"/>
              <w:jc w:val="center"/>
              <w:rPr>
                <w:noProof/>
                <w:color w:val="auto"/>
                <w:sz w:val="8"/>
                <w:szCs w:val="8"/>
                <w:lang w:val="es-MX" w:eastAsia="es-MX"/>
              </w:rPr>
            </w:pPr>
          </w:p>
        </w:tc>
      </w:tr>
      <w:tr w:rsidR="00961C96" w:rsidRPr="000A6510" w14:paraId="414DBB14" w14:textId="77777777" w:rsidTr="00D37B17">
        <w:trPr>
          <w:trHeight w:val="1871"/>
          <w:jc w:val="center"/>
        </w:trPr>
        <w:tc>
          <w:tcPr>
            <w:tcW w:w="10609" w:type="dxa"/>
            <w:gridSpan w:val="2"/>
          </w:tcPr>
          <w:p w14:paraId="46E7AFBD" w14:textId="3756E451" w:rsidR="00961C96" w:rsidRPr="000A6510" w:rsidRDefault="00D37B17" w:rsidP="00961C96">
            <w:pPr>
              <w:pStyle w:val="p0"/>
              <w:spacing w:before="0"/>
              <w:jc w:val="center"/>
              <w:rPr>
                <w:noProof/>
                <w:color w:val="auto"/>
                <w:sz w:val="16"/>
                <w:szCs w:val="16"/>
                <w:lang w:val="es-MX" w:eastAsia="es-MX"/>
              </w:rPr>
            </w:pPr>
            <w:r>
              <w:rPr>
                <w:noProof/>
                <w:lang w:val="es-MX" w:eastAsia="es-MX"/>
              </w:rPr>
              <w:drawing>
                <wp:inline distT="0" distB="0" distL="0" distR="0" wp14:anchorId="1B81D59D" wp14:editId="0EAA7262">
                  <wp:extent cx="3276000" cy="1152000"/>
                  <wp:effectExtent l="0" t="0" r="0" b="0"/>
                  <wp:docPr id="33" name="Gráfico 33">
                    <a:extLst xmlns:a="http://schemas.openxmlformats.org/drawingml/2006/main">
                      <a:ext uri="{FF2B5EF4-FFF2-40B4-BE49-F238E27FC236}">
                        <a16:creationId xmlns:a16="http://schemas.microsoft.com/office/drawing/2014/main" id="{00000000-0008-0000-14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r>
    </w:tbl>
    <w:p w14:paraId="5E0ECACD" w14:textId="77777777" w:rsidR="001B1EDC" w:rsidRPr="00D337D1" w:rsidRDefault="001B1EDC" w:rsidP="009065D6">
      <w:pPr>
        <w:widowControl w:val="0"/>
        <w:spacing w:before="20"/>
        <w:ind w:left="142" w:right="25" w:hanging="567"/>
        <w:rPr>
          <w:sz w:val="16"/>
          <w:szCs w:val="14"/>
          <w:lang w:val="es-MX"/>
        </w:rPr>
      </w:pPr>
      <w:r w:rsidRPr="00D337D1">
        <w:rPr>
          <w:sz w:val="16"/>
          <w:szCs w:val="14"/>
          <w:lang w:val="es-MX"/>
        </w:rPr>
        <w:t>Fuente:</w:t>
      </w:r>
      <w:r w:rsidRPr="00D337D1">
        <w:rPr>
          <w:sz w:val="16"/>
          <w:szCs w:val="14"/>
          <w:lang w:val="es-MX"/>
        </w:rPr>
        <w:tab/>
        <w:t>INEGI.</w:t>
      </w:r>
    </w:p>
    <w:p w14:paraId="10B98F7E" w14:textId="1E3369AD" w:rsidR="00424344" w:rsidRPr="00200988" w:rsidRDefault="003D1A21" w:rsidP="00424344">
      <w:pPr>
        <w:keepNext/>
        <w:keepLines/>
        <w:widowControl w:val="0"/>
        <w:spacing w:before="360"/>
        <w:outlineLvl w:val="0"/>
        <w:rPr>
          <w:b/>
          <w:smallCaps/>
          <w:sz w:val="22"/>
          <w:lang w:val="es-MX"/>
        </w:rPr>
      </w:pPr>
      <w:r>
        <w:rPr>
          <w:lang w:val="es-MX"/>
        </w:rPr>
        <w:lastRenderedPageBreak/>
        <w:t>En</w:t>
      </w:r>
      <w:r w:rsidR="00447CFA">
        <w:rPr>
          <w:lang w:val="es-MX"/>
        </w:rPr>
        <w:t xml:space="preserve"> marzo</w:t>
      </w:r>
      <w:r w:rsidR="00424344" w:rsidRPr="00200988">
        <w:rPr>
          <w:lang w:val="es-MX"/>
        </w:rPr>
        <w:t xml:space="preserve"> de 2022</w:t>
      </w:r>
      <w:r w:rsidR="00D337D1" w:rsidRPr="00200988">
        <w:rPr>
          <w:lang w:val="es-MX"/>
        </w:rPr>
        <w:t>,</w:t>
      </w:r>
      <w:r w:rsidR="00424344" w:rsidRPr="00200988">
        <w:rPr>
          <w:lang w:val="es-MX"/>
        </w:rPr>
        <w:t xml:space="preserve"> el </w:t>
      </w:r>
      <w:r w:rsidR="00424344" w:rsidRPr="00200988">
        <w:rPr>
          <w:b/>
        </w:rPr>
        <w:t>Indicador Agregado de Tendencia</w:t>
      </w:r>
      <w:r w:rsidR="00424344" w:rsidRPr="00200988">
        <w:t xml:space="preserve"> </w:t>
      </w:r>
      <w:r w:rsidR="00424344" w:rsidRPr="00200988">
        <w:rPr>
          <w:b/>
        </w:rPr>
        <w:t>de</w:t>
      </w:r>
      <w:r w:rsidR="00294891" w:rsidRPr="00200988">
        <w:rPr>
          <w:b/>
        </w:rPr>
        <w:t xml:space="preserve"> </w:t>
      </w:r>
      <w:r w:rsidR="00424344" w:rsidRPr="00200988">
        <w:rPr>
          <w:b/>
        </w:rPr>
        <w:t>l</w:t>
      </w:r>
      <w:r w:rsidR="00294891" w:rsidRPr="00200988">
        <w:rPr>
          <w:b/>
        </w:rPr>
        <w:t>os</w:t>
      </w:r>
      <w:r w:rsidR="00424344" w:rsidRPr="00200988">
        <w:rPr>
          <w:b/>
        </w:rPr>
        <w:t xml:space="preserve"> Servicios Privados no Financieros</w:t>
      </w:r>
      <w:r w:rsidR="00CE04C5" w:rsidRPr="00200988">
        <w:t xml:space="preserve"> registró un alza</w:t>
      </w:r>
      <w:r w:rsidR="00447CFA">
        <w:t xml:space="preserve"> mensual de 5.6 puntos al situarse en 54.5</w:t>
      </w:r>
      <w:r w:rsidR="00424344" w:rsidRPr="00200988">
        <w:t xml:space="preserve"> puntos con datos desestacionalizados</w:t>
      </w:r>
      <w:r w:rsidR="00DD472A" w:rsidRPr="00200988">
        <w:t>. C</w:t>
      </w:r>
      <w:r w:rsidR="00D337D1" w:rsidRPr="00200988">
        <w:t xml:space="preserve">on esta cifra </w:t>
      </w:r>
      <w:r w:rsidR="00F50BC6">
        <w:t>el indicador vuelve a estar</w:t>
      </w:r>
      <w:r w:rsidR="008C5654">
        <w:t xml:space="preserve"> </w:t>
      </w:r>
      <w:r w:rsidR="00B63302" w:rsidRPr="00200988">
        <w:t>por arriba</w:t>
      </w:r>
      <w:r w:rsidR="00424344" w:rsidRPr="00200988">
        <w:t xml:space="preserve"> del umbral de los 50 puntos.</w:t>
      </w:r>
    </w:p>
    <w:p w14:paraId="39C28DF2" w14:textId="1DE2DC9B" w:rsidR="00424344" w:rsidRPr="00200988" w:rsidRDefault="00424344" w:rsidP="0027370D">
      <w:pPr>
        <w:spacing w:before="240"/>
        <w:jc w:val="center"/>
        <w:rPr>
          <w:sz w:val="20"/>
        </w:rPr>
      </w:pPr>
      <w:r w:rsidRPr="00200988">
        <w:rPr>
          <w:sz w:val="20"/>
        </w:rPr>
        <w:t>G</w:t>
      </w:r>
      <w:r w:rsidR="00C61D42" w:rsidRPr="00200988">
        <w:rPr>
          <w:sz w:val="20"/>
        </w:rPr>
        <w:t>ráfica</w:t>
      </w:r>
      <w:r w:rsidR="00497F64" w:rsidRPr="00200988">
        <w:rPr>
          <w:sz w:val="20"/>
        </w:rPr>
        <w:t xml:space="preserve"> </w:t>
      </w:r>
      <w:r w:rsidR="0027370D" w:rsidRPr="00200988">
        <w:rPr>
          <w:sz w:val="20"/>
        </w:rPr>
        <w:t>7</w:t>
      </w:r>
    </w:p>
    <w:p w14:paraId="77CC4717" w14:textId="5C14133F" w:rsidR="00424344" w:rsidRPr="00294891" w:rsidRDefault="00424344" w:rsidP="00424344">
      <w:pPr>
        <w:jc w:val="center"/>
        <w:rPr>
          <w:b/>
          <w:smallCaps/>
          <w:sz w:val="22"/>
        </w:rPr>
      </w:pPr>
      <w:r w:rsidRPr="00200988">
        <w:rPr>
          <w:b/>
          <w:smallCaps/>
          <w:sz w:val="22"/>
        </w:rPr>
        <w:t>Indicador ag</w:t>
      </w:r>
      <w:r w:rsidR="00754EA0" w:rsidRPr="00200988">
        <w:rPr>
          <w:b/>
          <w:smallCaps/>
          <w:sz w:val="22"/>
        </w:rPr>
        <w:t xml:space="preserve">regado de tendencia de los servicios </w:t>
      </w:r>
      <w:r w:rsidR="00D337D1" w:rsidRPr="00200988">
        <w:rPr>
          <w:b/>
          <w:smallCaps/>
          <w:sz w:val="22"/>
        </w:rPr>
        <w:br/>
      </w:r>
      <w:r w:rsidR="00754EA0" w:rsidRPr="00200988">
        <w:rPr>
          <w:b/>
          <w:smallCaps/>
          <w:sz w:val="22"/>
        </w:rPr>
        <w:t>privados no financieros</w:t>
      </w:r>
    </w:p>
    <w:p w14:paraId="72D036D0" w14:textId="2C7F2FCF" w:rsidR="00424344" w:rsidRPr="00294891" w:rsidRDefault="00BB3382" w:rsidP="00424344">
      <w:pPr>
        <w:jc w:val="center"/>
        <w:rPr>
          <w:b/>
          <w:smallCaps/>
          <w:sz w:val="22"/>
        </w:rPr>
      </w:pPr>
      <w:r>
        <w:rPr>
          <w:noProof/>
          <w:lang w:val="es-MX" w:eastAsia="es-MX"/>
        </w:rPr>
        <w:drawing>
          <wp:inline distT="0" distB="0" distL="0" distR="0" wp14:anchorId="2659F556" wp14:editId="7A09F318">
            <wp:extent cx="4320000" cy="2520000"/>
            <wp:effectExtent l="0" t="0" r="23495" b="33020"/>
            <wp:docPr id="34" name="Gráfico 34">
              <a:extLst xmlns:a="http://schemas.openxmlformats.org/drawingml/2006/main">
                <a:ext uri="{FF2B5EF4-FFF2-40B4-BE49-F238E27FC236}">
                  <a16:creationId xmlns:a16="http://schemas.microsoft.com/office/drawing/2014/main" id="{A7F564CF-D88C-4CB5-A165-B4B5BF2AEF97}"/>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38D3B456" w14:textId="77777777" w:rsidR="00424344" w:rsidRPr="00D337D1" w:rsidRDefault="00424344" w:rsidP="00424344">
      <w:pPr>
        <w:spacing w:before="20"/>
        <w:ind w:left="1412"/>
        <w:rPr>
          <w:sz w:val="16"/>
          <w:szCs w:val="14"/>
        </w:rPr>
      </w:pPr>
      <w:r w:rsidRPr="00D337D1">
        <w:rPr>
          <w:sz w:val="16"/>
          <w:szCs w:val="14"/>
        </w:rPr>
        <w:t xml:space="preserve">Fuente: </w:t>
      </w:r>
      <w:r w:rsidRPr="00D337D1">
        <w:rPr>
          <w:smallCaps/>
          <w:sz w:val="16"/>
          <w:szCs w:val="14"/>
        </w:rPr>
        <w:t>INEGI.</w:t>
      </w:r>
    </w:p>
    <w:p w14:paraId="0A052188" w14:textId="63793C95" w:rsidR="00372D9A" w:rsidRPr="00200988" w:rsidRDefault="00372D9A" w:rsidP="004B3207">
      <w:pPr>
        <w:keepNext/>
        <w:keepLines/>
        <w:widowControl w:val="0"/>
        <w:spacing w:before="360"/>
        <w:outlineLvl w:val="0"/>
      </w:pPr>
      <w:r w:rsidRPr="00200988">
        <w:rPr>
          <w:lang w:val="es-MX"/>
        </w:rPr>
        <w:t>El comportamiento</w:t>
      </w:r>
      <w:r w:rsidRPr="00200988">
        <w:t xml:space="preserve"> mensual del IAT de los Servicios Privados no Fin</w:t>
      </w:r>
      <w:r w:rsidR="00B63302" w:rsidRPr="00200988">
        <w:t>a</w:t>
      </w:r>
      <w:r w:rsidR="00447CFA">
        <w:t>ncieros fue resultado de crecimientos</w:t>
      </w:r>
      <w:r w:rsidR="00B63302" w:rsidRPr="00200988">
        <w:t xml:space="preserve"> en </w:t>
      </w:r>
      <w:r w:rsidR="00AD5531">
        <w:t xml:space="preserve">todos </w:t>
      </w:r>
      <w:r w:rsidR="00B63302" w:rsidRPr="00200988">
        <w:t>sus componentes</w:t>
      </w:r>
      <w:r w:rsidRPr="00200988">
        <w:t>.</w:t>
      </w:r>
    </w:p>
    <w:p w14:paraId="7E3F9BC2" w14:textId="54A56152" w:rsidR="00372D9A" w:rsidRPr="00200988" w:rsidRDefault="00372D9A" w:rsidP="004B3207">
      <w:pPr>
        <w:spacing w:before="360"/>
        <w:jc w:val="center"/>
        <w:rPr>
          <w:sz w:val="20"/>
        </w:rPr>
      </w:pPr>
      <w:r w:rsidRPr="00200988">
        <w:rPr>
          <w:sz w:val="20"/>
        </w:rPr>
        <w:t xml:space="preserve">Cuadro </w:t>
      </w:r>
      <w:r w:rsidR="00B939C9" w:rsidRPr="00200988">
        <w:rPr>
          <w:sz w:val="20"/>
        </w:rPr>
        <w:t>4</w:t>
      </w:r>
    </w:p>
    <w:p w14:paraId="69476CC5" w14:textId="1F0B7B79" w:rsidR="00372D9A" w:rsidRPr="00200988" w:rsidRDefault="00372D9A" w:rsidP="00372D9A">
      <w:pPr>
        <w:keepNext/>
        <w:keepLines/>
        <w:widowControl w:val="0"/>
        <w:jc w:val="center"/>
        <w:outlineLvl w:val="0"/>
        <w:rPr>
          <w:b/>
          <w:smallCaps/>
          <w:sz w:val="22"/>
          <w:lang w:val="es-MX"/>
        </w:rPr>
      </w:pPr>
      <w:r w:rsidRPr="00200988">
        <w:rPr>
          <w:b/>
          <w:smallCaps/>
          <w:sz w:val="22"/>
          <w:lang w:val="es-MX"/>
        </w:rPr>
        <w:t xml:space="preserve">IAT y Expectativas empresariales </w:t>
      </w:r>
      <w:r w:rsidR="00B939C9" w:rsidRPr="00200988">
        <w:rPr>
          <w:b/>
          <w:smallCaps/>
          <w:sz w:val="22"/>
          <w:lang w:val="es-MX"/>
        </w:rPr>
        <w:t>de</w:t>
      </w:r>
      <w:r w:rsidR="00294891" w:rsidRPr="00200988">
        <w:rPr>
          <w:b/>
          <w:smallCaps/>
          <w:sz w:val="22"/>
          <w:lang w:val="es-MX"/>
        </w:rPr>
        <w:t xml:space="preserve"> </w:t>
      </w:r>
      <w:r w:rsidR="00B939C9" w:rsidRPr="00200988">
        <w:rPr>
          <w:b/>
          <w:smallCaps/>
          <w:sz w:val="22"/>
          <w:lang w:val="es-MX"/>
        </w:rPr>
        <w:t>l</w:t>
      </w:r>
      <w:r w:rsidR="00294891" w:rsidRPr="00200988">
        <w:rPr>
          <w:b/>
          <w:smallCaps/>
          <w:sz w:val="22"/>
          <w:lang w:val="es-MX"/>
        </w:rPr>
        <w:t>os</w:t>
      </w:r>
      <w:r w:rsidR="00B939C9" w:rsidRPr="00200988">
        <w:rPr>
          <w:b/>
          <w:smallCaps/>
          <w:sz w:val="22"/>
          <w:lang w:val="es-MX"/>
        </w:rPr>
        <w:t xml:space="preserve"> servicios privados no financieros</w:t>
      </w:r>
    </w:p>
    <w:p w14:paraId="7424A5BE" w14:textId="77777777" w:rsidR="00372D9A" w:rsidRPr="00294891" w:rsidRDefault="00372D9A" w:rsidP="00372D9A">
      <w:pPr>
        <w:keepNext/>
        <w:keepLines/>
        <w:widowControl w:val="0"/>
        <w:spacing w:line="240" w:lineRule="exact"/>
        <w:jc w:val="center"/>
        <w:outlineLvl w:val="0"/>
        <w:rPr>
          <w:b/>
          <w:smallCaps/>
          <w:sz w:val="22"/>
          <w:lang w:val="es-MX"/>
        </w:rPr>
      </w:pPr>
      <w:r w:rsidRPr="00200988">
        <w:rPr>
          <w:b/>
          <w:smallCaps/>
          <w:sz w:val="22"/>
          <w:lang w:val="es-MX"/>
        </w:rPr>
        <w:t>cifras desestacionalizadas</w:t>
      </w:r>
    </w:p>
    <w:tbl>
      <w:tblPr>
        <w:tblStyle w:val="Tablaconcuadrcula"/>
        <w:tblW w:w="4951" w:type="pct"/>
        <w:jc w:val="center"/>
        <w:tblLayout w:type="fixed"/>
        <w:tblLook w:val="04A0" w:firstRow="1" w:lastRow="0" w:firstColumn="1" w:lastColumn="0" w:noHBand="0" w:noVBand="1"/>
      </w:tblPr>
      <w:tblGrid>
        <w:gridCol w:w="4420"/>
        <w:gridCol w:w="992"/>
        <w:gridCol w:w="1043"/>
        <w:gridCol w:w="1043"/>
        <w:gridCol w:w="557"/>
        <w:gridCol w:w="1249"/>
      </w:tblGrid>
      <w:tr w:rsidR="00372D9A" w:rsidRPr="00294891" w14:paraId="55360531" w14:textId="77777777" w:rsidTr="00372D9A">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3CF7649B" w14:textId="77777777" w:rsidR="00372D9A" w:rsidRPr="00294891" w:rsidRDefault="00372D9A" w:rsidP="00372D9A">
            <w:pPr>
              <w:widowControl w:val="0"/>
              <w:tabs>
                <w:tab w:val="left" w:pos="708"/>
                <w:tab w:val="center" w:pos="3348"/>
              </w:tabs>
              <w:ind w:firstLine="307"/>
              <w:jc w:val="left"/>
              <w:rPr>
                <w:spacing w:val="4"/>
                <w:sz w:val="18"/>
                <w:szCs w:val="18"/>
              </w:rPr>
            </w:pPr>
            <w:r w:rsidRPr="00294891">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79DB6E70" w14:textId="7191FC96" w:rsidR="00372D9A" w:rsidRPr="00294891" w:rsidRDefault="00345878" w:rsidP="00372D9A">
            <w:pPr>
              <w:ind w:left="-108" w:right="-82"/>
              <w:jc w:val="center"/>
              <w:rPr>
                <w:spacing w:val="-4"/>
                <w:sz w:val="18"/>
                <w:szCs w:val="18"/>
              </w:rPr>
            </w:pPr>
            <w:r>
              <w:rPr>
                <w:spacing w:val="-4"/>
                <w:sz w:val="18"/>
                <w:szCs w:val="18"/>
              </w:rPr>
              <w:t>Marzo</w:t>
            </w:r>
            <w:r w:rsidR="00372D9A" w:rsidRPr="00294891">
              <w:rPr>
                <w:spacing w:val="-4"/>
                <w:sz w:val="18"/>
                <w:szCs w:val="18"/>
              </w:rPr>
              <w:br/>
              <w:t>de 2022</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7228C09C" w14:textId="77777777" w:rsidR="00372D9A" w:rsidRPr="00294891" w:rsidRDefault="00372D9A" w:rsidP="00372D9A">
            <w:pPr>
              <w:ind w:left="-106" w:right="-95"/>
              <w:jc w:val="center"/>
              <w:rPr>
                <w:spacing w:val="-4"/>
                <w:sz w:val="18"/>
                <w:szCs w:val="18"/>
              </w:rPr>
            </w:pPr>
            <w:r w:rsidRPr="00294891">
              <w:rPr>
                <w:spacing w:val="-4"/>
                <w:sz w:val="18"/>
                <w:szCs w:val="18"/>
              </w:rPr>
              <w:t>Diferencias</w:t>
            </w:r>
            <w:r w:rsidRPr="00294891">
              <w:rPr>
                <w:spacing w:val="-4"/>
                <w:sz w:val="18"/>
                <w:szCs w:val="18"/>
                <w:vertAlign w:val="superscript"/>
                <w:lang w:val="es-MX"/>
              </w:rPr>
              <w:t>1/</w:t>
            </w:r>
            <w:r w:rsidRPr="00294891">
              <w:rPr>
                <w:spacing w:val="-4"/>
                <w:sz w:val="18"/>
                <w:szCs w:val="18"/>
              </w:rPr>
              <w:t xml:space="preserve"> en </w:t>
            </w:r>
            <w:r w:rsidRPr="00294891">
              <w:rPr>
                <w:spacing w:val="-4"/>
                <w:sz w:val="18"/>
                <w:szCs w:val="18"/>
              </w:rPr>
              <w:br/>
              <w:t>puntos 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20721FAD" w14:textId="77777777" w:rsidR="00372D9A" w:rsidRPr="00294891" w:rsidRDefault="00372D9A" w:rsidP="00372D9A">
            <w:pPr>
              <w:tabs>
                <w:tab w:val="center" w:pos="3348"/>
              </w:tabs>
              <w:ind w:left="-84" w:right="-99"/>
              <w:jc w:val="center"/>
              <w:rPr>
                <w:spacing w:val="-4"/>
                <w:sz w:val="18"/>
                <w:szCs w:val="18"/>
              </w:rPr>
            </w:pPr>
            <w:r w:rsidRPr="00294891">
              <w:rPr>
                <w:spacing w:val="-4"/>
                <w:sz w:val="18"/>
                <w:szCs w:val="18"/>
              </w:rPr>
              <w:t xml:space="preserve">Número de meses consecutivos por </w:t>
            </w:r>
            <w:r w:rsidRPr="00294891">
              <w:rPr>
                <w:spacing w:val="-4"/>
                <w:sz w:val="18"/>
                <w:szCs w:val="18"/>
              </w:rPr>
              <w:br/>
              <w:t xml:space="preserve">arriba o por debajo </w:t>
            </w:r>
            <w:r w:rsidRPr="00294891">
              <w:rPr>
                <w:spacing w:val="-4"/>
                <w:sz w:val="18"/>
                <w:szCs w:val="18"/>
              </w:rPr>
              <w:br/>
              <w:t xml:space="preserve">del umbral de </w:t>
            </w:r>
            <w:r w:rsidRPr="00294891">
              <w:rPr>
                <w:spacing w:val="-4"/>
                <w:sz w:val="18"/>
                <w:szCs w:val="18"/>
              </w:rPr>
              <w:br/>
              <w:t>50 puntos</w:t>
            </w:r>
          </w:p>
        </w:tc>
      </w:tr>
      <w:tr w:rsidR="00372D9A" w:rsidRPr="00294891" w14:paraId="558BF151" w14:textId="77777777" w:rsidTr="00372D9A">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1471FE5F" w14:textId="77777777" w:rsidR="00372D9A" w:rsidRPr="00294891" w:rsidRDefault="00372D9A" w:rsidP="00372D9A">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7438469E" w14:textId="77777777" w:rsidR="00372D9A" w:rsidRPr="00294891" w:rsidRDefault="00372D9A" w:rsidP="00372D9A">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2DFA1FE0" w14:textId="77777777" w:rsidR="00372D9A" w:rsidRPr="00294891" w:rsidRDefault="00372D9A" w:rsidP="00372D9A">
            <w:pPr>
              <w:ind w:left="-106" w:right="-95"/>
              <w:jc w:val="center"/>
              <w:rPr>
                <w:spacing w:val="-4"/>
                <w:sz w:val="18"/>
                <w:szCs w:val="18"/>
              </w:rPr>
            </w:pPr>
            <w:r w:rsidRPr="00294891">
              <w:rPr>
                <w:spacing w:val="-4"/>
                <w:sz w:val="18"/>
                <w:szCs w:val="18"/>
              </w:rPr>
              <w:t>Mes</w:t>
            </w:r>
            <w:r w:rsidRPr="00294891">
              <w:rPr>
                <w:spacing w:val="-4"/>
                <w:sz w:val="18"/>
                <w:szCs w:val="18"/>
              </w:rPr>
              <w:b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6FA58D3E" w14:textId="77777777" w:rsidR="00372D9A" w:rsidRPr="00294891" w:rsidRDefault="00372D9A" w:rsidP="00372D9A">
            <w:pPr>
              <w:ind w:left="-106" w:right="-95"/>
              <w:jc w:val="center"/>
              <w:rPr>
                <w:spacing w:val="-4"/>
                <w:sz w:val="18"/>
                <w:szCs w:val="18"/>
              </w:rPr>
            </w:pPr>
            <w:r w:rsidRPr="00294891">
              <w:rPr>
                <w:spacing w:val="-4"/>
                <w:sz w:val="18"/>
                <w:szCs w:val="18"/>
              </w:rPr>
              <w:t>Mismo mes del año anterior</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3D287E8E" w14:textId="77777777" w:rsidR="00372D9A" w:rsidRPr="00294891" w:rsidRDefault="00372D9A" w:rsidP="00372D9A">
            <w:pPr>
              <w:tabs>
                <w:tab w:val="center" w:pos="3348"/>
              </w:tabs>
              <w:ind w:left="-84" w:right="-99"/>
              <w:jc w:val="center"/>
              <w:rPr>
                <w:sz w:val="18"/>
                <w:szCs w:val="18"/>
              </w:rPr>
            </w:pPr>
          </w:p>
        </w:tc>
      </w:tr>
      <w:tr w:rsidR="00C67C84" w:rsidRPr="00294891" w14:paraId="74571DC4" w14:textId="77777777" w:rsidTr="00372D9A">
        <w:trPr>
          <w:jc w:val="center"/>
        </w:trPr>
        <w:tc>
          <w:tcPr>
            <w:tcW w:w="4420" w:type="dxa"/>
            <w:tcBorders>
              <w:top w:val="nil"/>
              <w:left w:val="single" w:sz="4" w:space="0" w:color="404040"/>
              <w:bottom w:val="nil"/>
              <w:right w:val="single" w:sz="4" w:space="0" w:color="404040"/>
            </w:tcBorders>
            <w:shd w:val="clear" w:color="auto" w:fill="auto"/>
            <w:vAlign w:val="center"/>
          </w:tcPr>
          <w:p w14:paraId="74B58132" w14:textId="688D8D0C" w:rsidR="00C67C84" w:rsidRPr="00294891" w:rsidRDefault="00C67C84" w:rsidP="00C67C84">
            <w:pPr>
              <w:widowControl w:val="0"/>
              <w:spacing w:before="20" w:after="20"/>
              <w:contextualSpacing/>
              <w:jc w:val="left"/>
              <w:rPr>
                <w:b/>
                <w:sz w:val="18"/>
                <w:szCs w:val="18"/>
                <w:lang w:val="es-MX"/>
              </w:rPr>
            </w:pPr>
            <w:r w:rsidRPr="00294891">
              <w:rPr>
                <w:b/>
                <w:sz w:val="18"/>
                <w:szCs w:val="18"/>
                <w:lang w:val="es-MX"/>
              </w:rPr>
              <w:t xml:space="preserve">Indicador </w:t>
            </w:r>
            <w:r>
              <w:rPr>
                <w:b/>
                <w:sz w:val="18"/>
                <w:szCs w:val="18"/>
                <w:lang w:val="es-MX"/>
              </w:rPr>
              <w:t xml:space="preserve">Agregado de Tendencia de los </w:t>
            </w:r>
            <w:r w:rsidRPr="00294891">
              <w:rPr>
                <w:b/>
                <w:sz w:val="18"/>
                <w:szCs w:val="18"/>
                <w:lang w:val="es-MX"/>
              </w:rPr>
              <w:t xml:space="preserve"> Servicios Privados no Financieros</w:t>
            </w:r>
          </w:p>
        </w:tc>
        <w:tc>
          <w:tcPr>
            <w:tcW w:w="992" w:type="dxa"/>
            <w:tcBorders>
              <w:top w:val="nil"/>
              <w:left w:val="single" w:sz="4" w:space="0" w:color="404040"/>
              <w:bottom w:val="nil"/>
              <w:right w:val="single" w:sz="4" w:space="0" w:color="404040"/>
            </w:tcBorders>
            <w:shd w:val="clear" w:color="auto" w:fill="auto"/>
            <w:vAlign w:val="center"/>
          </w:tcPr>
          <w:p w14:paraId="722A5405" w14:textId="098E4725" w:rsidR="00C67C84" w:rsidRPr="00C67C84" w:rsidRDefault="00C67C84" w:rsidP="00C67C84">
            <w:pPr>
              <w:tabs>
                <w:tab w:val="decimal" w:pos="381"/>
              </w:tabs>
              <w:jc w:val="left"/>
              <w:rPr>
                <w:b/>
                <w:sz w:val="18"/>
                <w:szCs w:val="18"/>
              </w:rPr>
            </w:pPr>
            <w:r w:rsidRPr="00C67C84">
              <w:rPr>
                <w:b/>
                <w:bCs/>
                <w:color w:val="000000"/>
                <w:sz w:val="18"/>
                <w:szCs w:val="18"/>
              </w:rPr>
              <w:t xml:space="preserve">54.5 </w:t>
            </w:r>
          </w:p>
        </w:tc>
        <w:tc>
          <w:tcPr>
            <w:tcW w:w="1043" w:type="dxa"/>
            <w:tcBorders>
              <w:top w:val="single" w:sz="4" w:space="0" w:color="404040"/>
              <w:left w:val="single" w:sz="4" w:space="0" w:color="404040"/>
              <w:bottom w:val="nil"/>
              <w:right w:val="nil"/>
            </w:tcBorders>
            <w:shd w:val="clear" w:color="auto" w:fill="auto"/>
            <w:vAlign w:val="center"/>
          </w:tcPr>
          <w:p w14:paraId="5CE64391" w14:textId="2BD75A84" w:rsidR="00C67C84" w:rsidRPr="00C67C84" w:rsidRDefault="00C67C84" w:rsidP="00C67C84">
            <w:pPr>
              <w:tabs>
                <w:tab w:val="decimal" w:pos="409"/>
              </w:tabs>
              <w:jc w:val="left"/>
              <w:rPr>
                <w:b/>
                <w:sz w:val="18"/>
                <w:szCs w:val="18"/>
              </w:rPr>
            </w:pPr>
            <w:r w:rsidRPr="00C67C84">
              <w:rPr>
                <w:b/>
                <w:bCs/>
                <w:sz w:val="18"/>
                <w:szCs w:val="18"/>
              </w:rPr>
              <w:t>5.6</w:t>
            </w:r>
          </w:p>
        </w:tc>
        <w:tc>
          <w:tcPr>
            <w:tcW w:w="1043" w:type="dxa"/>
            <w:tcBorders>
              <w:top w:val="single" w:sz="4" w:space="0" w:color="404040"/>
              <w:left w:val="nil"/>
              <w:bottom w:val="nil"/>
              <w:right w:val="single" w:sz="4" w:space="0" w:color="404040"/>
            </w:tcBorders>
            <w:shd w:val="clear" w:color="auto" w:fill="auto"/>
            <w:vAlign w:val="center"/>
          </w:tcPr>
          <w:p w14:paraId="08BB0658" w14:textId="5C1D53CE" w:rsidR="00C67C84" w:rsidRPr="00C67C84" w:rsidRDefault="00C67C84" w:rsidP="00C67C84">
            <w:pPr>
              <w:tabs>
                <w:tab w:val="decimal" w:pos="357"/>
              </w:tabs>
              <w:jc w:val="left"/>
              <w:rPr>
                <w:b/>
                <w:bCs/>
                <w:sz w:val="18"/>
                <w:szCs w:val="18"/>
              </w:rPr>
            </w:pPr>
            <w:r w:rsidRPr="00C67C84">
              <w:rPr>
                <w:b/>
                <w:bCs/>
                <w:sz w:val="18"/>
                <w:szCs w:val="18"/>
              </w:rPr>
              <w:t>3.9</w:t>
            </w:r>
          </w:p>
        </w:tc>
        <w:tc>
          <w:tcPr>
            <w:tcW w:w="557" w:type="dxa"/>
            <w:tcBorders>
              <w:top w:val="nil"/>
              <w:left w:val="single" w:sz="4" w:space="0" w:color="404040"/>
              <w:bottom w:val="nil"/>
              <w:right w:val="nil"/>
            </w:tcBorders>
            <w:shd w:val="clear" w:color="auto" w:fill="auto"/>
            <w:vAlign w:val="center"/>
          </w:tcPr>
          <w:p w14:paraId="09EF0A54" w14:textId="62180E4E" w:rsidR="00C67C84" w:rsidRPr="00C67C84" w:rsidRDefault="00C67C84" w:rsidP="00C67C84">
            <w:pPr>
              <w:jc w:val="right"/>
              <w:rPr>
                <w:b/>
                <w:sz w:val="18"/>
                <w:szCs w:val="18"/>
              </w:rPr>
            </w:pPr>
            <w:r w:rsidRPr="00C67C84">
              <w:rPr>
                <w:b/>
                <w:bCs/>
                <w:sz w:val="18"/>
                <w:szCs w:val="18"/>
              </w:rPr>
              <w:t>1</w:t>
            </w:r>
          </w:p>
        </w:tc>
        <w:tc>
          <w:tcPr>
            <w:tcW w:w="1249" w:type="dxa"/>
            <w:tcBorders>
              <w:top w:val="nil"/>
              <w:left w:val="nil"/>
              <w:bottom w:val="nil"/>
              <w:right w:val="single" w:sz="4" w:space="0" w:color="404040"/>
            </w:tcBorders>
            <w:shd w:val="clear" w:color="auto" w:fill="auto"/>
            <w:vAlign w:val="center"/>
          </w:tcPr>
          <w:p w14:paraId="326C005F" w14:textId="0E01A86A" w:rsidR="00C67C84" w:rsidRPr="00294891" w:rsidRDefault="00C67C84" w:rsidP="00C67C84">
            <w:pPr>
              <w:tabs>
                <w:tab w:val="decimal" w:pos="810"/>
              </w:tabs>
              <w:jc w:val="left"/>
              <w:rPr>
                <w:b/>
                <w:sz w:val="18"/>
                <w:szCs w:val="18"/>
              </w:rPr>
            </w:pPr>
            <w:r w:rsidRPr="00294891">
              <w:rPr>
                <w:b/>
                <w:bCs/>
                <w:color w:val="000000"/>
                <w:sz w:val="18"/>
                <w:szCs w:val="18"/>
              </w:rPr>
              <w:t>Por</w:t>
            </w:r>
            <w:r>
              <w:rPr>
                <w:b/>
                <w:bCs/>
                <w:color w:val="000000"/>
                <w:sz w:val="18"/>
                <w:szCs w:val="18"/>
              </w:rPr>
              <w:t xml:space="preserve"> arriba</w:t>
            </w:r>
          </w:p>
        </w:tc>
      </w:tr>
      <w:tr w:rsidR="00C67C84" w:rsidRPr="00294891" w14:paraId="60FFC786" w14:textId="77777777" w:rsidTr="00372D9A">
        <w:trPr>
          <w:jc w:val="center"/>
        </w:trPr>
        <w:tc>
          <w:tcPr>
            <w:tcW w:w="4420" w:type="dxa"/>
            <w:tcBorders>
              <w:top w:val="nil"/>
              <w:left w:val="single" w:sz="4" w:space="0" w:color="404040"/>
              <w:bottom w:val="nil"/>
              <w:right w:val="single" w:sz="4" w:space="0" w:color="404040"/>
            </w:tcBorders>
            <w:shd w:val="clear" w:color="auto" w:fill="auto"/>
            <w:vAlign w:val="bottom"/>
          </w:tcPr>
          <w:p w14:paraId="25F7612B" w14:textId="1524C500" w:rsidR="00C67C84" w:rsidRPr="00327501" w:rsidRDefault="00327501" w:rsidP="00327501">
            <w:pPr>
              <w:widowControl w:val="0"/>
              <w:spacing w:before="20" w:after="20"/>
              <w:ind w:left="29"/>
              <w:contextualSpacing/>
              <w:jc w:val="left"/>
              <w:rPr>
                <w:sz w:val="18"/>
                <w:szCs w:val="18"/>
                <w:lang w:val="es-MX"/>
              </w:rPr>
            </w:pPr>
            <w:r>
              <w:rPr>
                <w:sz w:val="18"/>
                <w:szCs w:val="18"/>
                <w:lang w:val="es-MX"/>
              </w:rPr>
              <w:t xml:space="preserve">a)  </w:t>
            </w:r>
            <w:r w:rsidR="00C67C84" w:rsidRPr="00327501">
              <w:rPr>
                <w:sz w:val="18"/>
                <w:szCs w:val="18"/>
                <w:lang w:val="es-MX"/>
              </w:rPr>
              <w:t>Ingresos por la prestación de servicios</w:t>
            </w:r>
          </w:p>
        </w:tc>
        <w:tc>
          <w:tcPr>
            <w:tcW w:w="992" w:type="dxa"/>
            <w:tcBorders>
              <w:top w:val="nil"/>
              <w:left w:val="single" w:sz="4" w:space="0" w:color="404040"/>
              <w:bottom w:val="nil"/>
              <w:right w:val="single" w:sz="4" w:space="0" w:color="404040"/>
            </w:tcBorders>
            <w:shd w:val="clear" w:color="auto" w:fill="auto"/>
            <w:vAlign w:val="center"/>
          </w:tcPr>
          <w:p w14:paraId="1E576E9D" w14:textId="534D9204" w:rsidR="00C67C84" w:rsidRPr="00C67C84" w:rsidRDefault="00C67C84" w:rsidP="00C67C84">
            <w:pPr>
              <w:tabs>
                <w:tab w:val="decimal" w:pos="381"/>
              </w:tabs>
              <w:jc w:val="left"/>
              <w:rPr>
                <w:sz w:val="18"/>
                <w:szCs w:val="18"/>
              </w:rPr>
            </w:pPr>
            <w:r w:rsidRPr="00C67C84">
              <w:rPr>
                <w:color w:val="000000"/>
                <w:sz w:val="18"/>
                <w:szCs w:val="18"/>
              </w:rPr>
              <w:t xml:space="preserve">56.4 </w:t>
            </w:r>
          </w:p>
        </w:tc>
        <w:tc>
          <w:tcPr>
            <w:tcW w:w="1043" w:type="dxa"/>
            <w:tcBorders>
              <w:top w:val="nil"/>
              <w:left w:val="single" w:sz="4" w:space="0" w:color="404040"/>
              <w:bottom w:val="nil"/>
              <w:right w:val="nil"/>
            </w:tcBorders>
            <w:shd w:val="clear" w:color="auto" w:fill="auto"/>
            <w:vAlign w:val="center"/>
          </w:tcPr>
          <w:p w14:paraId="1B3B3529" w14:textId="09203386" w:rsidR="00C67C84" w:rsidRPr="00C67C84" w:rsidRDefault="00C67C84" w:rsidP="00C67C84">
            <w:pPr>
              <w:tabs>
                <w:tab w:val="decimal" w:pos="409"/>
              </w:tabs>
              <w:jc w:val="left"/>
              <w:rPr>
                <w:sz w:val="18"/>
                <w:szCs w:val="18"/>
              </w:rPr>
            </w:pPr>
            <w:r w:rsidRPr="00C67C84">
              <w:rPr>
                <w:sz w:val="18"/>
                <w:szCs w:val="18"/>
              </w:rPr>
              <w:t>6.3</w:t>
            </w:r>
          </w:p>
        </w:tc>
        <w:tc>
          <w:tcPr>
            <w:tcW w:w="1043" w:type="dxa"/>
            <w:tcBorders>
              <w:top w:val="nil"/>
              <w:left w:val="nil"/>
              <w:bottom w:val="nil"/>
              <w:right w:val="single" w:sz="4" w:space="0" w:color="404040"/>
            </w:tcBorders>
            <w:shd w:val="clear" w:color="auto" w:fill="auto"/>
            <w:vAlign w:val="center"/>
          </w:tcPr>
          <w:p w14:paraId="49731B3E" w14:textId="5288ECF5" w:rsidR="00C67C84" w:rsidRPr="00C67C84" w:rsidRDefault="00C67C84" w:rsidP="00C67C84">
            <w:pPr>
              <w:tabs>
                <w:tab w:val="decimal" w:pos="357"/>
              </w:tabs>
              <w:jc w:val="left"/>
              <w:rPr>
                <w:bCs/>
                <w:sz w:val="18"/>
                <w:szCs w:val="18"/>
              </w:rPr>
            </w:pPr>
            <w:r w:rsidRPr="00C67C84">
              <w:rPr>
                <w:sz w:val="18"/>
                <w:szCs w:val="18"/>
              </w:rPr>
              <w:t>5.0</w:t>
            </w:r>
          </w:p>
        </w:tc>
        <w:tc>
          <w:tcPr>
            <w:tcW w:w="557" w:type="dxa"/>
            <w:tcBorders>
              <w:top w:val="nil"/>
              <w:left w:val="single" w:sz="4" w:space="0" w:color="404040"/>
              <w:bottom w:val="nil"/>
              <w:right w:val="nil"/>
            </w:tcBorders>
            <w:shd w:val="clear" w:color="auto" w:fill="auto"/>
            <w:vAlign w:val="center"/>
          </w:tcPr>
          <w:p w14:paraId="5FE8FFF3" w14:textId="523CEA42" w:rsidR="00C67C84" w:rsidRPr="00C67C84" w:rsidRDefault="00C67C84" w:rsidP="00C67C84">
            <w:pPr>
              <w:jc w:val="right"/>
              <w:rPr>
                <w:sz w:val="18"/>
                <w:szCs w:val="18"/>
              </w:rPr>
            </w:pPr>
            <w:r w:rsidRPr="00C67C84">
              <w:rPr>
                <w:sz w:val="18"/>
                <w:szCs w:val="18"/>
              </w:rPr>
              <w:t>14</w:t>
            </w:r>
          </w:p>
        </w:tc>
        <w:tc>
          <w:tcPr>
            <w:tcW w:w="1249" w:type="dxa"/>
            <w:tcBorders>
              <w:top w:val="nil"/>
              <w:left w:val="nil"/>
              <w:bottom w:val="nil"/>
              <w:right w:val="single" w:sz="4" w:space="0" w:color="404040"/>
            </w:tcBorders>
            <w:shd w:val="clear" w:color="auto" w:fill="auto"/>
            <w:vAlign w:val="center"/>
          </w:tcPr>
          <w:p w14:paraId="08AFF2BC" w14:textId="77777777" w:rsidR="00C67C84" w:rsidRPr="00294891" w:rsidRDefault="00C67C84" w:rsidP="00C67C84">
            <w:pPr>
              <w:tabs>
                <w:tab w:val="decimal" w:pos="810"/>
              </w:tabs>
              <w:jc w:val="left"/>
              <w:rPr>
                <w:sz w:val="18"/>
                <w:szCs w:val="18"/>
              </w:rPr>
            </w:pPr>
            <w:r w:rsidRPr="00294891">
              <w:rPr>
                <w:color w:val="000000"/>
                <w:sz w:val="18"/>
                <w:szCs w:val="18"/>
              </w:rPr>
              <w:t>Por arriba</w:t>
            </w:r>
          </w:p>
        </w:tc>
      </w:tr>
      <w:tr w:rsidR="00C67C84" w:rsidRPr="00294891" w14:paraId="0B599109" w14:textId="77777777" w:rsidTr="00372D9A">
        <w:trPr>
          <w:jc w:val="center"/>
        </w:trPr>
        <w:tc>
          <w:tcPr>
            <w:tcW w:w="4420" w:type="dxa"/>
            <w:tcBorders>
              <w:top w:val="nil"/>
              <w:left w:val="single" w:sz="4" w:space="0" w:color="404040"/>
              <w:bottom w:val="nil"/>
              <w:right w:val="single" w:sz="4" w:space="0" w:color="404040"/>
            </w:tcBorders>
            <w:shd w:val="clear" w:color="auto" w:fill="auto"/>
            <w:vAlign w:val="bottom"/>
          </w:tcPr>
          <w:p w14:paraId="4F96467B" w14:textId="22411A6E" w:rsidR="00C67C84" w:rsidRPr="00327501" w:rsidRDefault="00327501" w:rsidP="00327501">
            <w:pPr>
              <w:widowControl w:val="0"/>
              <w:spacing w:before="20" w:after="20"/>
              <w:ind w:left="29"/>
              <w:contextualSpacing/>
              <w:jc w:val="left"/>
              <w:rPr>
                <w:sz w:val="18"/>
                <w:szCs w:val="18"/>
                <w:lang w:val="es-MX"/>
              </w:rPr>
            </w:pPr>
            <w:r>
              <w:rPr>
                <w:sz w:val="18"/>
                <w:szCs w:val="18"/>
                <w:lang w:val="es-MX"/>
              </w:rPr>
              <w:t xml:space="preserve">b)  </w:t>
            </w:r>
            <w:r w:rsidR="00C67C84" w:rsidRPr="00327501">
              <w:rPr>
                <w:sz w:val="18"/>
                <w:szCs w:val="18"/>
                <w:lang w:val="es-MX"/>
              </w:rPr>
              <w:t>Demanda nacional de servicios</w:t>
            </w:r>
          </w:p>
        </w:tc>
        <w:tc>
          <w:tcPr>
            <w:tcW w:w="992" w:type="dxa"/>
            <w:tcBorders>
              <w:top w:val="nil"/>
              <w:left w:val="single" w:sz="4" w:space="0" w:color="404040"/>
              <w:bottom w:val="nil"/>
              <w:right w:val="single" w:sz="4" w:space="0" w:color="404040"/>
            </w:tcBorders>
            <w:shd w:val="clear" w:color="auto" w:fill="auto"/>
            <w:vAlign w:val="center"/>
          </w:tcPr>
          <w:p w14:paraId="531ABE9D" w14:textId="722C90F1" w:rsidR="00C67C84" w:rsidRPr="00C67C84" w:rsidRDefault="00C67C84" w:rsidP="00C67C84">
            <w:pPr>
              <w:tabs>
                <w:tab w:val="decimal" w:pos="381"/>
              </w:tabs>
              <w:jc w:val="left"/>
              <w:rPr>
                <w:sz w:val="18"/>
                <w:szCs w:val="18"/>
              </w:rPr>
            </w:pPr>
            <w:r w:rsidRPr="00C67C84">
              <w:rPr>
                <w:color w:val="000000"/>
                <w:sz w:val="18"/>
                <w:szCs w:val="18"/>
              </w:rPr>
              <w:t xml:space="preserve">57.1 </w:t>
            </w:r>
          </w:p>
        </w:tc>
        <w:tc>
          <w:tcPr>
            <w:tcW w:w="1043" w:type="dxa"/>
            <w:tcBorders>
              <w:top w:val="nil"/>
              <w:left w:val="single" w:sz="4" w:space="0" w:color="404040"/>
              <w:bottom w:val="nil"/>
              <w:right w:val="nil"/>
            </w:tcBorders>
            <w:shd w:val="clear" w:color="auto" w:fill="auto"/>
            <w:vAlign w:val="center"/>
          </w:tcPr>
          <w:p w14:paraId="440F7662" w14:textId="3F353289" w:rsidR="00C67C84" w:rsidRPr="00C67C84" w:rsidRDefault="00C67C84" w:rsidP="00C67C84">
            <w:pPr>
              <w:tabs>
                <w:tab w:val="decimal" w:pos="409"/>
              </w:tabs>
              <w:jc w:val="left"/>
              <w:rPr>
                <w:sz w:val="18"/>
                <w:szCs w:val="18"/>
              </w:rPr>
            </w:pPr>
            <w:r w:rsidRPr="00C67C84">
              <w:rPr>
                <w:sz w:val="18"/>
                <w:szCs w:val="18"/>
              </w:rPr>
              <w:t>9.7</w:t>
            </w:r>
          </w:p>
        </w:tc>
        <w:tc>
          <w:tcPr>
            <w:tcW w:w="1043" w:type="dxa"/>
            <w:tcBorders>
              <w:top w:val="nil"/>
              <w:left w:val="nil"/>
              <w:bottom w:val="nil"/>
              <w:right w:val="single" w:sz="4" w:space="0" w:color="404040"/>
            </w:tcBorders>
            <w:shd w:val="clear" w:color="auto" w:fill="auto"/>
            <w:vAlign w:val="center"/>
          </w:tcPr>
          <w:p w14:paraId="203D7647" w14:textId="204186DF" w:rsidR="00C67C84" w:rsidRPr="00C67C84" w:rsidRDefault="00C67C84" w:rsidP="00C67C84">
            <w:pPr>
              <w:tabs>
                <w:tab w:val="decimal" w:pos="357"/>
              </w:tabs>
              <w:jc w:val="left"/>
              <w:rPr>
                <w:bCs/>
                <w:sz w:val="18"/>
                <w:szCs w:val="18"/>
              </w:rPr>
            </w:pPr>
            <w:r w:rsidRPr="00C67C84">
              <w:rPr>
                <w:sz w:val="18"/>
                <w:szCs w:val="18"/>
              </w:rPr>
              <w:t>8.8</w:t>
            </w:r>
          </w:p>
        </w:tc>
        <w:tc>
          <w:tcPr>
            <w:tcW w:w="557" w:type="dxa"/>
            <w:tcBorders>
              <w:top w:val="nil"/>
              <w:left w:val="single" w:sz="4" w:space="0" w:color="404040"/>
              <w:bottom w:val="nil"/>
              <w:right w:val="nil"/>
            </w:tcBorders>
            <w:shd w:val="clear" w:color="auto" w:fill="auto"/>
            <w:vAlign w:val="center"/>
          </w:tcPr>
          <w:p w14:paraId="70EF521D" w14:textId="025E15F2" w:rsidR="00C67C84" w:rsidRPr="00C67C84" w:rsidRDefault="00C67C84" w:rsidP="00C67C84">
            <w:pPr>
              <w:jc w:val="right"/>
              <w:rPr>
                <w:sz w:val="18"/>
                <w:szCs w:val="18"/>
              </w:rPr>
            </w:pPr>
            <w:r w:rsidRPr="00C67C84">
              <w:rPr>
                <w:sz w:val="18"/>
                <w:szCs w:val="18"/>
              </w:rPr>
              <w:t>1</w:t>
            </w:r>
          </w:p>
        </w:tc>
        <w:tc>
          <w:tcPr>
            <w:tcW w:w="1249" w:type="dxa"/>
            <w:tcBorders>
              <w:top w:val="nil"/>
              <w:left w:val="nil"/>
              <w:bottom w:val="nil"/>
              <w:right w:val="single" w:sz="4" w:space="0" w:color="404040"/>
            </w:tcBorders>
            <w:shd w:val="clear" w:color="auto" w:fill="auto"/>
            <w:vAlign w:val="center"/>
          </w:tcPr>
          <w:p w14:paraId="282E17F3" w14:textId="09C5BE0D" w:rsidR="00C67C84" w:rsidRPr="00294891" w:rsidRDefault="00C67C84" w:rsidP="00C67C84">
            <w:pPr>
              <w:tabs>
                <w:tab w:val="decimal" w:pos="810"/>
              </w:tabs>
              <w:jc w:val="left"/>
              <w:rPr>
                <w:sz w:val="18"/>
                <w:szCs w:val="18"/>
              </w:rPr>
            </w:pPr>
            <w:r w:rsidRPr="00294891">
              <w:rPr>
                <w:color w:val="000000"/>
                <w:sz w:val="18"/>
                <w:szCs w:val="18"/>
              </w:rPr>
              <w:t>Por</w:t>
            </w:r>
            <w:r>
              <w:rPr>
                <w:color w:val="000000"/>
                <w:sz w:val="18"/>
                <w:szCs w:val="18"/>
              </w:rPr>
              <w:t xml:space="preserve"> arriba</w:t>
            </w:r>
          </w:p>
        </w:tc>
      </w:tr>
      <w:tr w:rsidR="00C67C84" w:rsidRPr="00294891" w14:paraId="2DE17F53" w14:textId="77777777" w:rsidTr="00200988">
        <w:trPr>
          <w:jc w:val="center"/>
        </w:trPr>
        <w:tc>
          <w:tcPr>
            <w:tcW w:w="4420" w:type="dxa"/>
            <w:tcBorders>
              <w:top w:val="nil"/>
              <w:left w:val="single" w:sz="4" w:space="0" w:color="404040"/>
              <w:bottom w:val="nil"/>
              <w:right w:val="single" w:sz="4" w:space="0" w:color="404040"/>
            </w:tcBorders>
            <w:shd w:val="clear" w:color="auto" w:fill="auto"/>
            <w:vAlign w:val="bottom"/>
          </w:tcPr>
          <w:p w14:paraId="061DABE3" w14:textId="3CC8ECD4" w:rsidR="00C67C84" w:rsidRPr="00327501" w:rsidRDefault="00327501" w:rsidP="00327501">
            <w:pPr>
              <w:widowControl w:val="0"/>
              <w:spacing w:before="20" w:after="20"/>
              <w:ind w:left="29"/>
              <w:contextualSpacing/>
              <w:jc w:val="left"/>
              <w:rPr>
                <w:sz w:val="18"/>
                <w:szCs w:val="18"/>
                <w:lang w:val="es-MX"/>
              </w:rPr>
            </w:pPr>
            <w:r>
              <w:rPr>
                <w:sz w:val="18"/>
                <w:szCs w:val="18"/>
                <w:lang w:val="es-MX"/>
              </w:rPr>
              <w:t xml:space="preserve">c)  </w:t>
            </w:r>
            <w:r w:rsidR="00C67C84" w:rsidRPr="00327501">
              <w:rPr>
                <w:sz w:val="18"/>
                <w:szCs w:val="18"/>
                <w:lang w:val="es-MX"/>
              </w:rPr>
              <w:t>Gastos por consumo de bienes y servicios</w:t>
            </w:r>
          </w:p>
        </w:tc>
        <w:tc>
          <w:tcPr>
            <w:tcW w:w="992" w:type="dxa"/>
            <w:tcBorders>
              <w:top w:val="nil"/>
              <w:left w:val="single" w:sz="4" w:space="0" w:color="404040"/>
              <w:bottom w:val="nil"/>
              <w:right w:val="single" w:sz="4" w:space="0" w:color="404040"/>
            </w:tcBorders>
            <w:shd w:val="clear" w:color="auto" w:fill="auto"/>
            <w:vAlign w:val="center"/>
          </w:tcPr>
          <w:p w14:paraId="3B57DDFC" w14:textId="3D73400E" w:rsidR="00C67C84" w:rsidRPr="00C67C84" w:rsidRDefault="00C67C84" w:rsidP="00C67C84">
            <w:pPr>
              <w:tabs>
                <w:tab w:val="decimal" w:pos="381"/>
              </w:tabs>
              <w:jc w:val="left"/>
              <w:rPr>
                <w:sz w:val="18"/>
                <w:szCs w:val="18"/>
              </w:rPr>
            </w:pPr>
            <w:r w:rsidRPr="00C67C84">
              <w:rPr>
                <w:color w:val="000000"/>
                <w:sz w:val="18"/>
                <w:szCs w:val="18"/>
              </w:rPr>
              <w:t xml:space="preserve">54.6 </w:t>
            </w:r>
          </w:p>
        </w:tc>
        <w:tc>
          <w:tcPr>
            <w:tcW w:w="1043" w:type="dxa"/>
            <w:tcBorders>
              <w:top w:val="nil"/>
              <w:left w:val="single" w:sz="4" w:space="0" w:color="404040"/>
              <w:bottom w:val="nil"/>
              <w:right w:val="nil"/>
            </w:tcBorders>
            <w:shd w:val="clear" w:color="auto" w:fill="auto"/>
            <w:vAlign w:val="center"/>
          </w:tcPr>
          <w:p w14:paraId="34EBE111" w14:textId="3B42170C" w:rsidR="00C67C84" w:rsidRPr="00C67C84" w:rsidRDefault="00C67C84" w:rsidP="00C67C84">
            <w:pPr>
              <w:tabs>
                <w:tab w:val="decimal" w:pos="409"/>
              </w:tabs>
              <w:jc w:val="left"/>
              <w:rPr>
                <w:sz w:val="18"/>
                <w:szCs w:val="18"/>
              </w:rPr>
            </w:pPr>
            <w:r w:rsidRPr="00C67C84">
              <w:rPr>
                <w:sz w:val="18"/>
                <w:szCs w:val="18"/>
              </w:rPr>
              <w:t>5.4</w:t>
            </w:r>
          </w:p>
        </w:tc>
        <w:tc>
          <w:tcPr>
            <w:tcW w:w="1043" w:type="dxa"/>
            <w:tcBorders>
              <w:top w:val="nil"/>
              <w:left w:val="nil"/>
              <w:bottom w:val="nil"/>
              <w:right w:val="single" w:sz="4" w:space="0" w:color="404040"/>
            </w:tcBorders>
            <w:shd w:val="clear" w:color="auto" w:fill="auto"/>
            <w:vAlign w:val="center"/>
          </w:tcPr>
          <w:p w14:paraId="58261ED1" w14:textId="18C6FDBC" w:rsidR="00C67C84" w:rsidRPr="00C67C84" w:rsidRDefault="00C67C84" w:rsidP="00C67C84">
            <w:pPr>
              <w:tabs>
                <w:tab w:val="decimal" w:pos="357"/>
              </w:tabs>
              <w:jc w:val="left"/>
              <w:rPr>
                <w:bCs/>
                <w:sz w:val="18"/>
                <w:szCs w:val="18"/>
              </w:rPr>
            </w:pPr>
            <w:r w:rsidRPr="00C67C84">
              <w:rPr>
                <w:sz w:val="18"/>
                <w:szCs w:val="18"/>
              </w:rPr>
              <w:t>1.2</w:t>
            </w:r>
          </w:p>
        </w:tc>
        <w:tc>
          <w:tcPr>
            <w:tcW w:w="557" w:type="dxa"/>
            <w:tcBorders>
              <w:top w:val="nil"/>
              <w:left w:val="single" w:sz="4" w:space="0" w:color="404040"/>
              <w:bottom w:val="nil"/>
              <w:right w:val="nil"/>
            </w:tcBorders>
            <w:shd w:val="clear" w:color="auto" w:fill="auto"/>
            <w:vAlign w:val="center"/>
          </w:tcPr>
          <w:p w14:paraId="4979295E" w14:textId="2B091B42" w:rsidR="00C67C84" w:rsidRPr="00C67C84" w:rsidRDefault="00C67C84" w:rsidP="00C67C84">
            <w:pPr>
              <w:jc w:val="right"/>
              <w:rPr>
                <w:sz w:val="18"/>
                <w:szCs w:val="18"/>
              </w:rPr>
            </w:pPr>
            <w:r w:rsidRPr="00C67C84">
              <w:rPr>
                <w:sz w:val="18"/>
                <w:szCs w:val="18"/>
              </w:rPr>
              <w:t>1</w:t>
            </w:r>
          </w:p>
        </w:tc>
        <w:tc>
          <w:tcPr>
            <w:tcW w:w="1249" w:type="dxa"/>
            <w:tcBorders>
              <w:top w:val="nil"/>
              <w:left w:val="nil"/>
              <w:bottom w:val="nil"/>
              <w:right w:val="single" w:sz="4" w:space="0" w:color="404040"/>
            </w:tcBorders>
            <w:shd w:val="clear" w:color="auto" w:fill="auto"/>
            <w:vAlign w:val="center"/>
          </w:tcPr>
          <w:p w14:paraId="4834D523" w14:textId="11F4FC13" w:rsidR="00C67C84" w:rsidRPr="00294891" w:rsidRDefault="00C67C84" w:rsidP="00C67C84">
            <w:pPr>
              <w:tabs>
                <w:tab w:val="decimal" w:pos="810"/>
              </w:tabs>
              <w:jc w:val="left"/>
              <w:rPr>
                <w:sz w:val="18"/>
                <w:szCs w:val="18"/>
              </w:rPr>
            </w:pPr>
            <w:r>
              <w:rPr>
                <w:color w:val="000000"/>
                <w:sz w:val="18"/>
                <w:szCs w:val="18"/>
              </w:rPr>
              <w:t>Por arriba</w:t>
            </w:r>
          </w:p>
        </w:tc>
      </w:tr>
      <w:tr w:rsidR="00C67C84" w:rsidRPr="00294891" w14:paraId="4DF54B56" w14:textId="77777777" w:rsidTr="00200988">
        <w:trPr>
          <w:jc w:val="center"/>
        </w:trPr>
        <w:tc>
          <w:tcPr>
            <w:tcW w:w="4420" w:type="dxa"/>
            <w:tcBorders>
              <w:top w:val="nil"/>
              <w:left w:val="single" w:sz="4" w:space="0" w:color="404040"/>
              <w:bottom w:val="single" w:sz="4" w:space="0" w:color="404040"/>
              <w:right w:val="single" w:sz="4" w:space="0" w:color="404040"/>
            </w:tcBorders>
            <w:shd w:val="clear" w:color="auto" w:fill="auto"/>
            <w:vAlign w:val="bottom"/>
          </w:tcPr>
          <w:p w14:paraId="3EDE644D" w14:textId="16B82512" w:rsidR="00C67C84" w:rsidRPr="00327501" w:rsidRDefault="00327501" w:rsidP="00327501">
            <w:pPr>
              <w:widowControl w:val="0"/>
              <w:spacing w:before="20" w:after="20"/>
              <w:ind w:left="29"/>
              <w:contextualSpacing/>
              <w:jc w:val="left"/>
              <w:rPr>
                <w:sz w:val="18"/>
                <w:szCs w:val="18"/>
                <w:lang w:val="es-MX"/>
              </w:rPr>
            </w:pPr>
            <w:r>
              <w:rPr>
                <w:sz w:val="18"/>
                <w:szCs w:val="18"/>
                <w:lang w:val="es-MX"/>
              </w:rPr>
              <w:t xml:space="preserve">d)  </w:t>
            </w:r>
            <w:r w:rsidR="00C67C84" w:rsidRPr="00327501">
              <w:rPr>
                <w:sz w:val="18"/>
                <w:szCs w:val="18"/>
                <w:lang w:val="es-MX"/>
              </w:rPr>
              <w:t>Personal ocupado total</w:t>
            </w:r>
          </w:p>
        </w:tc>
        <w:tc>
          <w:tcPr>
            <w:tcW w:w="992" w:type="dxa"/>
            <w:tcBorders>
              <w:top w:val="nil"/>
              <w:left w:val="single" w:sz="4" w:space="0" w:color="404040"/>
              <w:bottom w:val="single" w:sz="4" w:space="0" w:color="404040"/>
              <w:right w:val="single" w:sz="4" w:space="0" w:color="404040"/>
            </w:tcBorders>
            <w:shd w:val="clear" w:color="auto" w:fill="auto"/>
            <w:vAlign w:val="center"/>
          </w:tcPr>
          <w:p w14:paraId="74BAACF2" w14:textId="7716E7B0" w:rsidR="00C67C84" w:rsidRPr="00C67C84" w:rsidRDefault="00C67C84" w:rsidP="00C67C84">
            <w:pPr>
              <w:tabs>
                <w:tab w:val="decimal" w:pos="381"/>
              </w:tabs>
              <w:jc w:val="left"/>
              <w:rPr>
                <w:sz w:val="18"/>
                <w:szCs w:val="18"/>
              </w:rPr>
            </w:pPr>
            <w:r w:rsidRPr="00C67C84">
              <w:rPr>
                <w:color w:val="000000"/>
                <w:sz w:val="18"/>
                <w:szCs w:val="18"/>
              </w:rPr>
              <w:t xml:space="preserve">49.9 </w:t>
            </w:r>
          </w:p>
        </w:tc>
        <w:tc>
          <w:tcPr>
            <w:tcW w:w="1043" w:type="dxa"/>
            <w:tcBorders>
              <w:top w:val="nil"/>
              <w:left w:val="single" w:sz="4" w:space="0" w:color="404040"/>
              <w:bottom w:val="single" w:sz="4" w:space="0" w:color="404040"/>
              <w:right w:val="nil"/>
            </w:tcBorders>
            <w:shd w:val="clear" w:color="auto" w:fill="auto"/>
            <w:vAlign w:val="center"/>
          </w:tcPr>
          <w:p w14:paraId="3889AAFD" w14:textId="0F1024E7" w:rsidR="00C67C84" w:rsidRPr="00C67C84" w:rsidRDefault="00C67C84" w:rsidP="00C67C84">
            <w:pPr>
              <w:tabs>
                <w:tab w:val="decimal" w:pos="409"/>
              </w:tabs>
              <w:jc w:val="left"/>
              <w:rPr>
                <w:sz w:val="18"/>
                <w:szCs w:val="18"/>
              </w:rPr>
            </w:pPr>
            <w:r w:rsidRPr="00C67C84">
              <w:rPr>
                <w:sz w:val="18"/>
                <w:szCs w:val="18"/>
              </w:rPr>
              <w:t>0.3</w:t>
            </w:r>
          </w:p>
        </w:tc>
        <w:tc>
          <w:tcPr>
            <w:tcW w:w="1043" w:type="dxa"/>
            <w:tcBorders>
              <w:top w:val="nil"/>
              <w:left w:val="nil"/>
              <w:bottom w:val="single" w:sz="4" w:space="0" w:color="404040"/>
              <w:right w:val="single" w:sz="4" w:space="0" w:color="404040"/>
            </w:tcBorders>
            <w:shd w:val="clear" w:color="auto" w:fill="auto"/>
            <w:vAlign w:val="center"/>
          </w:tcPr>
          <w:p w14:paraId="1471751E" w14:textId="1D223364" w:rsidR="00C67C84" w:rsidRPr="00C67C84" w:rsidRDefault="00C67C84" w:rsidP="00C67C84">
            <w:pPr>
              <w:tabs>
                <w:tab w:val="decimal" w:pos="357"/>
              </w:tabs>
              <w:jc w:val="left"/>
              <w:rPr>
                <w:bCs/>
                <w:sz w:val="18"/>
                <w:szCs w:val="18"/>
              </w:rPr>
            </w:pPr>
            <w:r w:rsidRPr="00C67C84">
              <w:rPr>
                <w:sz w:val="18"/>
                <w:szCs w:val="18"/>
              </w:rPr>
              <w:t>0.1</w:t>
            </w:r>
          </w:p>
        </w:tc>
        <w:tc>
          <w:tcPr>
            <w:tcW w:w="557" w:type="dxa"/>
            <w:tcBorders>
              <w:top w:val="nil"/>
              <w:left w:val="single" w:sz="4" w:space="0" w:color="404040"/>
              <w:bottom w:val="single" w:sz="4" w:space="0" w:color="404040"/>
              <w:right w:val="nil"/>
            </w:tcBorders>
            <w:shd w:val="clear" w:color="auto" w:fill="auto"/>
            <w:vAlign w:val="center"/>
          </w:tcPr>
          <w:p w14:paraId="5FA6C521" w14:textId="3D0B8AA1" w:rsidR="00C67C84" w:rsidRPr="00C67C84" w:rsidRDefault="00C67C84" w:rsidP="00C67C84">
            <w:pPr>
              <w:jc w:val="right"/>
              <w:rPr>
                <w:sz w:val="18"/>
                <w:szCs w:val="18"/>
              </w:rPr>
            </w:pPr>
            <w:r w:rsidRPr="00C67C84">
              <w:rPr>
                <w:sz w:val="18"/>
                <w:szCs w:val="18"/>
              </w:rPr>
              <w:t>9</w:t>
            </w:r>
          </w:p>
        </w:tc>
        <w:tc>
          <w:tcPr>
            <w:tcW w:w="1249" w:type="dxa"/>
            <w:tcBorders>
              <w:top w:val="nil"/>
              <w:left w:val="nil"/>
              <w:bottom w:val="single" w:sz="4" w:space="0" w:color="404040"/>
              <w:right w:val="single" w:sz="4" w:space="0" w:color="404040"/>
            </w:tcBorders>
            <w:shd w:val="clear" w:color="auto" w:fill="auto"/>
            <w:vAlign w:val="center"/>
          </w:tcPr>
          <w:p w14:paraId="1BE57CE6" w14:textId="06F4CF47" w:rsidR="00C67C84" w:rsidRPr="00294891" w:rsidRDefault="00C67C84" w:rsidP="00C67C84">
            <w:pPr>
              <w:tabs>
                <w:tab w:val="decimal" w:pos="810"/>
              </w:tabs>
              <w:jc w:val="left"/>
              <w:rPr>
                <w:sz w:val="18"/>
                <w:szCs w:val="18"/>
              </w:rPr>
            </w:pPr>
            <w:r w:rsidRPr="00294891">
              <w:rPr>
                <w:color w:val="000000"/>
                <w:sz w:val="18"/>
                <w:szCs w:val="18"/>
              </w:rPr>
              <w:t>Por debajo</w:t>
            </w:r>
          </w:p>
        </w:tc>
      </w:tr>
    </w:tbl>
    <w:p w14:paraId="5657FC88" w14:textId="77777777" w:rsidR="00372D9A" w:rsidRPr="00D337D1" w:rsidRDefault="00372D9A" w:rsidP="0027370D">
      <w:pPr>
        <w:widowControl w:val="0"/>
        <w:spacing w:before="20"/>
        <w:ind w:left="760" w:right="181" w:hanging="584"/>
        <w:rPr>
          <w:sz w:val="16"/>
          <w:szCs w:val="16"/>
          <w:lang w:val="es-MX"/>
        </w:rPr>
      </w:pPr>
      <w:r w:rsidRPr="00D337D1">
        <w:rPr>
          <w:sz w:val="16"/>
          <w:szCs w:val="16"/>
          <w:lang w:val="es-MX"/>
        </w:rPr>
        <w:t>Nota:</w:t>
      </w:r>
      <w:r w:rsidRPr="00D337D1">
        <w:rPr>
          <w:sz w:val="16"/>
          <w:szCs w:val="16"/>
          <w:lang w:val="es-MX"/>
        </w:rPr>
        <w:tab/>
        <w:t>Los indicadores se generan con los datos referentes al mes de la entrevista. Los indicadores de los meses anteriores se van revisando por los informantes.</w:t>
      </w:r>
    </w:p>
    <w:p w14:paraId="087FC287" w14:textId="77777777" w:rsidR="00372D9A" w:rsidRPr="00D337D1" w:rsidRDefault="00372D9A" w:rsidP="0027370D">
      <w:pPr>
        <w:widowControl w:val="0"/>
        <w:ind w:left="760" w:right="181" w:hanging="584"/>
        <w:rPr>
          <w:sz w:val="16"/>
          <w:szCs w:val="16"/>
          <w:lang w:val="es-MX"/>
        </w:rPr>
      </w:pPr>
      <w:r w:rsidRPr="00D337D1">
        <w:rPr>
          <w:position w:val="2"/>
          <w:sz w:val="18"/>
          <w:szCs w:val="16"/>
          <w:vertAlign w:val="superscript"/>
          <w:lang w:val="es-MX"/>
        </w:rPr>
        <w:t>1/</w:t>
      </w:r>
      <w:r w:rsidRPr="00D337D1">
        <w:rPr>
          <w:sz w:val="16"/>
          <w:szCs w:val="16"/>
          <w:lang w:val="es-MX"/>
        </w:rPr>
        <w:tab/>
        <w:t>Las diferencias en puntos se obtienen de los respectivos indicadores considerando todos sus decimales.</w:t>
      </w:r>
    </w:p>
    <w:p w14:paraId="285675B5" w14:textId="2C25556E" w:rsidR="00372D9A" w:rsidRPr="00D337D1" w:rsidRDefault="00372D9A" w:rsidP="00372D9A">
      <w:pPr>
        <w:widowControl w:val="0"/>
        <w:spacing w:before="20"/>
        <w:ind w:left="700" w:right="25" w:hanging="527"/>
        <w:rPr>
          <w:sz w:val="16"/>
          <w:szCs w:val="16"/>
          <w:lang w:val="es-MX"/>
        </w:rPr>
      </w:pPr>
      <w:r w:rsidRPr="00D337D1">
        <w:rPr>
          <w:sz w:val="16"/>
          <w:szCs w:val="16"/>
          <w:lang w:val="es-MX"/>
        </w:rPr>
        <w:t>Fuente:</w:t>
      </w:r>
      <w:r w:rsidR="00294891" w:rsidRPr="00D337D1">
        <w:rPr>
          <w:sz w:val="16"/>
          <w:szCs w:val="16"/>
          <w:lang w:val="es-MX"/>
        </w:rPr>
        <w:t xml:space="preserve"> </w:t>
      </w:r>
      <w:r w:rsidRPr="00D337D1">
        <w:rPr>
          <w:sz w:val="16"/>
          <w:szCs w:val="16"/>
          <w:lang w:val="es-MX"/>
        </w:rPr>
        <w:t>INEGI.</w:t>
      </w:r>
    </w:p>
    <w:p w14:paraId="17EE713B" w14:textId="6391E9F5" w:rsidR="00372D9A" w:rsidRPr="00305C0B" w:rsidRDefault="00B939C9" w:rsidP="00372D9A">
      <w:pPr>
        <w:pStyle w:val="Textoindependiente2"/>
        <w:keepNext/>
        <w:keepLines/>
        <w:widowControl w:val="0"/>
        <w:spacing w:before="360"/>
        <w:ind w:right="0"/>
        <w:jc w:val="center"/>
        <w:rPr>
          <w:sz w:val="20"/>
          <w:szCs w:val="20"/>
          <w:lang w:val="es-MX"/>
        </w:rPr>
      </w:pPr>
      <w:r w:rsidRPr="00305C0B">
        <w:rPr>
          <w:sz w:val="20"/>
          <w:szCs w:val="20"/>
          <w:lang w:val="es-MX"/>
        </w:rPr>
        <w:lastRenderedPageBreak/>
        <w:t>Gr</w:t>
      </w:r>
      <w:r w:rsidR="00C61D42" w:rsidRPr="00305C0B">
        <w:rPr>
          <w:sz w:val="20"/>
          <w:szCs w:val="20"/>
          <w:lang w:val="es-MX"/>
        </w:rPr>
        <w:t xml:space="preserve">áfica </w:t>
      </w:r>
      <w:r w:rsidR="0027370D" w:rsidRPr="00305C0B">
        <w:rPr>
          <w:sz w:val="20"/>
          <w:szCs w:val="20"/>
          <w:lang w:val="es-MX"/>
        </w:rPr>
        <w:t>8</w:t>
      </w:r>
    </w:p>
    <w:p w14:paraId="317A9B0F" w14:textId="0AA7BB2B" w:rsidR="00372D9A" w:rsidRPr="00D337D1" w:rsidRDefault="00372D9A" w:rsidP="00372D9A">
      <w:pPr>
        <w:pStyle w:val="Textoindependiente2"/>
        <w:keepNext/>
        <w:keepLines/>
        <w:widowControl w:val="0"/>
        <w:spacing w:before="0"/>
        <w:ind w:right="0"/>
        <w:jc w:val="center"/>
        <w:rPr>
          <w:b/>
          <w:smallCaps/>
          <w:sz w:val="22"/>
          <w:szCs w:val="20"/>
          <w:lang w:val="es-MX"/>
        </w:rPr>
      </w:pPr>
      <w:r w:rsidRPr="00305C0B">
        <w:rPr>
          <w:b/>
          <w:smallCaps/>
          <w:sz w:val="22"/>
          <w:szCs w:val="20"/>
          <w:lang w:val="es-MX"/>
        </w:rPr>
        <w:t xml:space="preserve">Expectativas empresariales </w:t>
      </w:r>
      <w:r w:rsidR="0026402C" w:rsidRPr="00305C0B">
        <w:rPr>
          <w:b/>
          <w:smallCaps/>
          <w:sz w:val="22"/>
          <w:szCs w:val="20"/>
          <w:lang w:val="es-MX"/>
        </w:rPr>
        <w:t>de</w:t>
      </w:r>
      <w:r w:rsidR="00D337D1" w:rsidRPr="00305C0B">
        <w:rPr>
          <w:b/>
          <w:smallCaps/>
          <w:sz w:val="22"/>
          <w:szCs w:val="20"/>
          <w:lang w:val="es-MX"/>
        </w:rPr>
        <w:t xml:space="preserve"> </w:t>
      </w:r>
      <w:r w:rsidR="0026402C" w:rsidRPr="00305C0B">
        <w:rPr>
          <w:b/>
          <w:smallCaps/>
          <w:sz w:val="22"/>
          <w:szCs w:val="20"/>
          <w:lang w:val="es-MX"/>
        </w:rPr>
        <w:t>l</w:t>
      </w:r>
      <w:r w:rsidR="00D337D1" w:rsidRPr="00305C0B">
        <w:rPr>
          <w:b/>
          <w:smallCaps/>
          <w:sz w:val="22"/>
          <w:szCs w:val="20"/>
          <w:lang w:val="es-MX"/>
        </w:rPr>
        <w:t>os</w:t>
      </w:r>
      <w:r w:rsidR="0026402C" w:rsidRPr="00305C0B">
        <w:rPr>
          <w:b/>
          <w:smallCaps/>
          <w:sz w:val="22"/>
          <w:szCs w:val="20"/>
          <w:lang w:val="es-MX"/>
        </w:rPr>
        <w:t xml:space="preserve"> servicios privados no financieros</w:t>
      </w:r>
      <w:r w:rsidRPr="00D337D1">
        <w:rPr>
          <w:b/>
          <w:smallCaps/>
          <w:sz w:val="22"/>
          <w:szCs w:val="20"/>
          <w:lang w:val="es-MX"/>
        </w:rPr>
        <w:t xml:space="preserve"> </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9C5AA3" w:rsidRPr="00D337D1" w14:paraId="2EBB12F7" w14:textId="77777777" w:rsidTr="00BB3382">
        <w:trPr>
          <w:trHeight w:val="1871"/>
          <w:jc w:val="center"/>
        </w:trPr>
        <w:tc>
          <w:tcPr>
            <w:tcW w:w="5305" w:type="dxa"/>
          </w:tcPr>
          <w:p w14:paraId="7713F4B4" w14:textId="2C54CA9B" w:rsidR="009C5AA3" w:rsidRPr="00D337D1" w:rsidRDefault="00BB3382" w:rsidP="009E3120">
            <w:pPr>
              <w:pStyle w:val="p0"/>
              <w:spacing w:before="0"/>
              <w:rPr>
                <w:color w:val="auto"/>
                <w:sz w:val="16"/>
                <w:szCs w:val="16"/>
                <w:lang w:val="es-MX"/>
              </w:rPr>
            </w:pPr>
            <w:r>
              <w:rPr>
                <w:noProof/>
                <w:lang w:val="es-MX" w:eastAsia="es-MX"/>
              </w:rPr>
              <w:drawing>
                <wp:inline distT="0" distB="0" distL="0" distR="0" wp14:anchorId="4BED5A93" wp14:editId="1154A2B4">
                  <wp:extent cx="3276000" cy="1152000"/>
                  <wp:effectExtent l="0" t="0" r="635" b="0"/>
                  <wp:docPr id="35" name="Gráfico 35">
                    <a:extLst xmlns:a="http://schemas.openxmlformats.org/drawingml/2006/main">
                      <a:ext uri="{FF2B5EF4-FFF2-40B4-BE49-F238E27FC236}">
                        <a16:creationId xmlns:a16="http://schemas.microsoft.com/office/drawing/2014/main" id="{A5CB5A45-7337-402F-A9C8-598C9E084A98}"/>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5304" w:type="dxa"/>
          </w:tcPr>
          <w:p w14:paraId="539FA649" w14:textId="08D100C1" w:rsidR="009C5AA3" w:rsidRPr="00D337D1" w:rsidRDefault="00BB3382" w:rsidP="009E3120">
            <w:pPr>
              <w:pStyle w:val="p0"/>
              <w:spacing w:before="0"/>
              <w:rPr>
                <w:color w:val="auto"/>
                <w:sz w:val="16"/>
                <w:szCs w:val="16"/>
                <w:lang w:val="es-MX"/>
              </w:rPr>
            </w:pPr>
            <w:r>
              <w:rPr>
                <w:noProof/>
                <w:lang w:val="es-MX" w:eastAsia="es-MX"/>
              </w:rPr>
              <w:drawing>
                <wp:inline distT="0" distB="0" distL="0" distR="0" wp14:anchorId="5516AE33" wp14:editId="53D605AB">
                  <wp:extent cx="3276000" cy="1152000"/>
                  <wp:effectExtent l="0" t="0" r="0" b="0"/>
                  <wp:docPr id="39" name="Gráfico 39">
                    <a:extLst xmlns:a="http://schemas.openxmlformats.org/drawingml/2006/main">
                      <a:ext uri="{FF2B5EF4-FFF2-40B4-BE49-F238E27FC236}">
                        <a16:creationId xmlns:a16="http://schemas.microsoft.com/office/drawing/2014/main" id="{9C55C5C8-8BD8-4054-8C49-936DE346AAF4}"/>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9C5AA3" w:rsidRPr="00D337D1" w14:paraId="613A06CC" w14:textId="77777777" w:rsidTr="009E3120">
        <w:tblPrEx>
          <w:tblCellMar>
            <w:left w:w="28" w:type="dxa"/>
            <w:right w:w="28" w:type="dxa"/>
          </w:tblCellMar>
        </w:tblPrEx>
        <w:trPr>
          <w:jc w:val="center"/>
        </w:trPr>
        <w:tc>
          <w:tcPr>
            <w:tcW w:w="5305" w:type="dxa"/>
          </w:tcPr>
          <w:p w14:paraId="59D35C67" w14:textId="77777777" w:rsidR="009C5AA3" w:rsidRPr="00D337D1" w:rsidRDefault="009C5AA3" w:rsidP="009E3120">
            <w:pPr>
              <w:pStyle w:val="p0"/>
              <w:spacing w:before="0"/>
              <w:rPr>
                <w:noProof/>
                <w:color w:val="auto"/>
                <w:sz w:val="10"/>
                <w:szCs w:val="10"/>
                <w:lang w:val="es-MX" w:eastAsia="es-MX"/>
              </w:rPr>
            </w:pPr>
          </w:p>
        </w:tc>
        <w:tc>
          <w:tcPr>
            <w:tcW w:w="5304" w:type="dxa"/>
          </w:tcPr>
          <w:p w14:paraId="1C8CD0FC" w14:textId="77777777" w:rsidR="009C5AA3" w:rsidRPr="00D337D1" w:rsidRDefault="009C5AA3" w:rsidP="009E3120">
            <w:pPr>
              <w:pStyle w:val="p0"/>
              <w:spacing w:before="0"/>
              <w:rPr>
                <w:noProof/>
                <w:color w:val="auto"/>
                <w:sz w:val="10"/>
                <w:szCs w:val="10"/>
                <w:lang w:val="es-MX" w:eastAsia="es-MX"/>
              </w:rPr>
            </w:pPr>
          </w:p>
        </w:tc>
      </w:tr>
      <w:tr w:rsidR="009C5AA3" w:rsidRPr="00D337D1" w14:paraId="19D91E1D" w14:textId="77777777" w:rsidTr="00BB3382">
        <w:trPr>
          <w:trHeight w:val="1871"/>
          <w:jc w:val="center"/>
        </w:trPr>
        <w:tc>
          <w:tcPr>
            <w:tcW w:w="5305" w:type="dxa"/>
          </w:tcPr>
          <w:p w14:paraId="0A23A33E" w14:textId="089F475B" w:rsidR="009C5AA3" w:rsidRPr="00D337D1" w:rsidRDefault="00BB3382" w:rsidP="009E3120">
            <w:pPr>
              <w:pStyle w:val="p0"/>
              <w:spacing w:before="0"/>
              <w:rPr>
                <w:noProof/>
                <w:color w:val="auto"/>
                <w:sz w:val="16"/>
                <w:szCs w:val="16"/>
                <w:lang w:val="es-MX" w:eastAsia="es-MX"/>
              </w:rPr>
            </w:pPr>
            <w:r>
              <w:rPr>
                <w:noProof/>
                <w:lang w:val="es-MX" w:eastAsia="es-MX"/>
              </w:rPr>
              <w:drawing>
                <wp:inline distT="0" distB="0" distL="0" distR="0" wp14:anchorId="6181273A" wp14:editId="40EA6DDD">
                  <wp:extent cx="3276000" cy="1152000"/>
                  <wp:effectExtent l="0" t="0" r="635" b="0"/>
                  <wp:docPr id="46" name="Gráfico 46">
                    <a:extLst xmlns:a="http://schemas.openxmlformats.org/drawingml/2006/main">
                      <a:ext uri="{FF2B5EF4-FFF2-40B4-BE49-F238E27FC236}">
                        <a16:creationId xmlns:a16="http://schemas.microsoft.com/office/drawing/2014/main" id="{7EE23C5B-43B1-4997-801F-D0A60F8C9B5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5304" w:type="dxa"/>
          </w:tcPr>
          <w:p w14:paraId="143A40EA" w14:textId="3D5DD515" w:rsidR="009C5AA3" w:rsidRPr="00D337D1" w:rsidRDefault="00BB3382" w:rsidP="009E3120">
            <w:pPr>
              <w:pStyle w:val="p0"/>
              <w:spacing w:before="0"/>
              <w:rPr>
                <w:noProof/>
                <w:color w:val="auto"/>
                <w:sz w:val="16"/>
                <w:szCs w:val="16"/>
                <w:lang w:val="es-MX" w:eastAsia="es-MX"/>
              </w:rPr>
            </w:pPr>
            <w:r>
              <w:rPr>
                <w:noProof/>
                <w:lang w:val="es-MX" w:eastAsia="es-MX"/>
              </w:rPr>
              <w:drawing>
                <wp:inline distT="0" distB="0" distL="0" distR="0" wp14:anchorId="53C44C89" wp14:editId="29CA198F">
                  <wp:extent cx="3276000" cy="1152000"/>
                  <wp:effectExtent l="0" t="0" r="0" b="0"/>
                  <wp:docPr id="47" name="Gráfico 47">
                    <a:extLst xmlns:a="http://schemas.openxmlformats.org/drawingml/2006/main">
                      <a:ext uri="{FF2B5EF4-FFF2-40B4-BE49-F238E27FC236}">
                        <a16:creationId xmlns:a16="http://schemas.microsoft.com/office/drawing/2014/main" id="{6529E515-4235-43E3-B413-E9E6B4EB8CCF}"/>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bl>
    <w:p w14:paraId="143D5A36" w14:textId="77777777" w:rsidR="00372D9A" w:rsidRPr="00D337D1" w:rsidRDefault="00372D9A" w:rsidP="00372D9A">
      <w:pPr>
        <w:widowControl w:val="0"/>
        <w:spacing w:before="20"/>
        <w:ind w:left="142" w:right="25" w:hanging="567"/>
        <w:rPr>
          <w:sz w:val="16"/>
          <w:szCs w:val="14"/>
          <w:lang w:val="es-MX"/>
        </w:rPr>
      </w:pPr>
      <w:r w:rsidRPr="00D337D1">
        <w:rPr>
          <w:sz w:val="16"/>
          <w:szCs w:val="14"/>
          <w:lang w:val="es-MX"/>
        </w:rPr>
        <w:t>Fuente:</w:t>
      </w:r>
      <w:r w:rsidRPr="00D337D1">
        <w:rPr>
          <w:sz w:val="16"/>
          <w:szCs w:val="14"/>
          <w:lang w:val="es-MX"/>
        </w:rPr>
        <w:tab/>
        <w:t>INEGI.</w:t>
      </w:r>
    </w:p>
    <w:p w14:paraId="6E377D22" w14:textId="2A386105" w:rsidR="001B1EDC" w:rsidRPr="00826838" w:rsidRDefault="001B1EDC" w:rsidP="0027370D">
      <w:pPr>
        <w:pStyle w:val="Textoindependiente"/>
        <w:keepNext/>
        <w:keepLines/>
        <w:spacing w:before="360"/>
        <w:rPr>
          <w:b/>
          <w:i/>
          <w:color w:val="auto"/>
          <w:szCs w:val="22"/>
          <w:lang w:val="es-ES"/>
        </w:rPr>
      </w:pPr>
      <w:r w:rsidRPr="00826838">
        <w:rPr>
          <w:b/>
          <w:i/>
          <w:color w:val="auto"/>
          <w:szCs w:val="22"/>
          <w:lang w:val="es-ES"/>
        </w:rPr>
        <w:t>C</w:t>
      </w:r>
      <w:r w:rsidR="0062691F" w:rsidRPr="00826838">
        <w:rPr>
          <w:b/>
          <w:i/>
          <w:color w:val="auto"/>
          <w:szCs w:val="22"/>
          <w:lang w:val="es-ES"/>
        </w:rPr>
        <w:t xml:space="preserve">ifras originales </w:t>
      </w:r>
    </w:p>
    <w:p w14:paraId="5741B061" w14:textId="3A613DAC" w:rsidR="0027370D" w:rsidRDefault="0027370D" w:rsidP="0027370D">
      <w:pPr>
        <w:pStyle w:val="Textoindependiente"/>
        <w:keepNext/>
        <w:keepLines/>
        <w:spacing w:before="120"/>
        <w:rPr>
          <w:color w:val="auto"/>
          <w:szCs w:val="22"/>
          <w:lang w:val="es-ES"/>
        </w:rPr>
      </w:pPr>
      <w:r w:rsidRPr="000A6510">
        <w:rPr>
          <w:color w:val="auto"/>
          <w:szCs w:val="22"/>
          <w:lang w:val="es-ES"/>
        </w:rPr>
        <w:t xml:space="preserve">El </w:t>
      </w:r>
      <w:r w:rsidRPr="00305C0B">
        <w:rPr>
          <w:b/>
          <w:color w:val="auto"/>
          <w:szCs w:val="22"/>
          <w:lang w:val="es-ES"/>
        </w:rPr>
        <w:t>Indicador Global de Opinión Empresarial de Tendencia (IGOET)</w:t>
      </w:r>
      <w:r>
        <w:rPr>
          <w:color w:val="auto"/>
          <w:szCs w:val="22"/>
          <w:lang w:val="es-ES"/>
        </w:rPr>
        <w:t xml:space="preserve"> permite el</w:t>
      </w:r>
      <w:r w:rsidRPr="009144A4">
        <w:rPr>
          <w:color w:val="auto"/>
          <w:szCs w:val="22"/>
          <w:lang w:val="es-ES"/>
        </w:rPr>
        <w:t xml:space="preserve"> seguimiento </w:t>
      </w:r>
      <w:r>
        <w:rPr>
          <w:color w:val="auto"/>
          <w:szCs w:val="22"/>
          <w:lang w:val="es-ES"/>
        </w:rPr>
        <w:t xml:space="preserve">de la percepción de los empresarios sobre el </w:t>
      </w:r>
      <w:r w:rsidRPr="009144A4">
        <w:rPr>
          <w:color w:val="auto"/>
          <w:szCs w:val="22"/>
          <w:lang w:val="es-ES"/>
        </w:rPr>
        <w:t>curso de la actividad económica de</w:t>
      </w:r>
      <w:r>
        <w:rPr>
          <w:color w:val="auto"/>
          <w:szCs w:val="22"/>
          <w:lang w:val="es-ES"/>
        </w:rPr>
        <w:t xml:space="preserve"> los</w:t>
      </w:r>
      <w:r w:rsidRPr="009144A4">
        <w:rPr>
          <w:color w:val="auto"/>
          <w:szCs w:val="22"/>
          <w:lang w:val="es-ES"/>
        </w:rPr>
        <w:t xml:space="preserve"> sectores</w:t>
      </w:r>
      <w:r>
        <w:rPr>
          <w:color w:val="auto"/>
          <w:szCs w:val="22"/>
          <w:lang w:val="es-ES"/>
        </w:rPr>
        <w:t xml:space="preserve"> Manufacturero, de la Construcción, del Comercio y de los Servicios Privados no Financieros en su conjunto. Éste r</w:t>
      </w:r>
      <w:r w:rsidRPr="009144A4">
        <w:rPr>
          <w:color w:val="auto"/>
          <w:szCs w:val="22"/>
          <w:lang w:val="es-ES"/>
        </w:rPr>
        <w:t>esulta de</w:t>
      </w:r>
      <w:r>
        <w:rPr>
          <w:color w:val="auto"/>
          <w:szCs w:val="22"/>
          <w:lang w:val="es-ES"/>
        </w:rPr>
        <w:t>l</w:t>
      </w:r>
      <w:r w:rsidRPr="009144A4">
        <w:rPr>
          <w:color w:val="auto"/>
          <w:szCs w:val="22"/>
          <w:lang w:val="es-ES"/>
        </w:rPr>
        <w:t xml:space="preserve"> promedi</w:t>
      </w:r>
      <w:r>
        <w:rPr>
          <w:color w:val="auto"/>
          <w:szCs w:val="22"/>
          <w:lang w:val="es-ES"/>
        </w:rPr>
        <w:t xml:space="preserve">o ponderado del Indicador Agregado de Tendencia </w:t>
      </w:r>
      <w:r w:rsidRPr="009144A4">
        <w:rPr>
          <w:color w:val="auto"/>
          <w:szCs w:val="22"/>
          <w:lang w:val="es-ES"/>
        </w:rPr>
        <w:t xml:space="preserve">de los cuatro sectores </w:t>
      </w:r>
      <w:r w:rsidR="00447CFA">
        <w:rPr>
          <w:color w:val="auto"/>
          <w:szCs w:val="22"/>
          <w:lang w:val="es-ES"/>
        </w:rPr>
        <w:t>mencionados. En marzo</w:t>
      </w:r>
      <w:r w:rsidR="005B40C5">
        <w:rPr>
          <w:color w:val="auto"/>
          <w:szCs w:val="22"/>
          <w:lang w:val="es-ES"/>
        </w:rPr>
        <w:t xml:space="preserve"> de 2022 </w:t>
      </w:r>
      <w:r w:rsidR="00FE7D33">
        <w:rPr>
          <w:color w:val="auto"/>
          <w:szCs w:val="22"/>
          <w:lang w:val="es-ES"/>
        </w:rPr>
        <w:t>fue de</w:t>
      </w:r>
      <w:r w:rsidRPr="009144A4">
        <w:rPr>
          <w:color w:val="auto"/>
          <w:szCs w:val="22"/>
          <w:lang w:val="es-ES"/>
        </w:rPr>
        <w:t xml:space="preserve"> </w:t>
      </w:r>
      <w:r w:rsidR="00447CFA">
        <w:rPr>
          <w:color w:val="auto"/>
          <w:szCs w:val="22"/>
          <w:lang w:val="es-ES"/>
        </w:rPr>
        <w:t>57.4</w:t>
      </w:r>
      <w:r w:rsidRPr="009144A4">
        <w:rPr>
          <w:color w:val="auto"/>
          <w:szCs w:val="22"/>
          <w:lang w:val="es-ES"/>
        </w:rPr>
        <w:t xml:space="preserve"> puntos</w:t>
      </w:r>
      <w:r w:rsidR="00D57634">
        <w:rPr>
          <w:color w:val="auto"/>
          <w:szCs w:val="22"/>
          <w:lang w:val="es-ES"/>
        </w:rPr>
        <w:t>,</w:t>
      </w:r>
      <w:r w:rsidR="00447CFA">
        <w:rPr>
          <w:color w:val="auto"/>
          <w:szCs w:val="22"/>
          <w:lang w:val="es-ES"/>
        </w:rPr>
        <w:t xml:space="preserve"> un aumento de 2</w:t>
      </w:r>
      <w:r w:rsidR="005B40C5">
        <w:rPr>
          <w:color w:val="auto"/>
          <w:szCs w:val="22"/>
          <w:lang w:val="es-ES"/>
        </w:rPr>
        <w:t xml:space="preserve"> puntos frente</w:t>
      </w:r>
      <w:r>
        <w:rPr>
          <w:color w:val="auto"/>
          <w:szCs w:val="22"/>
          <w:lang w:val="es-ES"/>
        </w:rPr>
        <w:t xml:space="preserve"> a igual mes de 2021</w:t>
      </w:r>
      <w:r w:rsidR="00305C0B">
        <w:rPr>
          <w:color w:val="auto"/>
          <w:szCs w:val="22"/>
          <w:lang w:val="es-ES"/>
        </w:rPr>
        <w:t>.</w:t>
      </w:r>
    </w:p>
    <w:p w14:paraId="0E1859AD" w14:textId="319EB1C5" w:rsidR="0027370D" w:rsidRPr="00135755" w:rsidRDefault="0027370D" w:rsidP="00305C0B">
      <w:pPr>
        <w:spacing w:before="120"/>
        <w:jc w:val="center"/>
        <w:rPr>
          <w:sz w:val="20"/>
        </w:rPr>
      </w:pPr>
      <w:r w:rsidRPr="00135755">
        <w:rPr>
          <w:sz w:val="20"/>
        </w:rPr>
        <w:t xml:space="preserve">Gráfica </w:t>
      </w:r>
      <w:r w:rsidR="00BA60B3">
        <w:rPr>
          <w:sz w:val="20"/>
        </w:rPr>
        <w:t>9</w:t>
      </w:r>
    </w:p>
    <w:p w14:paraId="5734EC8E" w14:textId="77777777" w:rsidR="0027370D" w:rsidRPr="000A6510" w:rsidRDefault="0027370D" w:rsidP="0027370D">
      <w:pPr>
        <w:jc w:val="center"/>
        <w:rPr>
          <w:b/>
          <w:smallCaps/>
          <w:sz w:val="22"/>
        </w:rPr>
      </w:pPr>
      <w:r w:rsidRPr="000A6510">
        <w:rPr>
          <w:b/>
          <w:smallCaps/>
          <w:sz w:val="22"/>
        </w:rPr>
        <w:t xml:space="preserve">Indicador </w:t>
      </w:r>
      <w:r>
        <w:rPr>
          <w:b/>
          <w:smallCaps/>
          <w:sz w:val="22"/>
        </w:rPr>
        <w:t>global de opinión empresarial</w:t>
      </w:r>
      <w:r w:rsidRPr="000A6510">
        <w:rPr>
          <w:b/>
          <w:smallCaps/>
          <w:sz w:val="22"/>
        </w:rPr>
        <w:t xml:space="preserve"> de tendencia</w:t>
      </w:r>
      <w:r>
        <w:rPr>
          <w:b/>
          <w:smallCaps/>
          <w:sz w:val="22"/>
        </w:rPr>
        <w:br/>
        <w:t>s</w:t>
      </w:r>
      <w:r w:rsidRPr="000A6510">
        <w:rPr>
          <w:b/>
          <w:smallCaps/>
          <w:sz w:val="22"/>
        </w:rPr>
        <w:t xml:space="preserve">erie </w:t>
      </w:r>
      <w:r>
        <w:rPr>
          <w:b/>
          <w:smallCaps/>
          <w:sz w:val="22"/>
        </w:rPr>
        <w:t>original</w:t>
      </w:r>
      <w:r w:rsidRPr="000A6510">
        <w:rPr>
          <w:b/>
          <w:smallCaps/>
          <w:sz w:val="22"/>
        </w:rPr>
        <w:t xml:space="preserve"> </w:t>
      </w:r>
    </w:p>
    <w:p w14:paraId="2463F1F5" w14:textId="7665CCF2" w:rsidR="0027370D" w:rsidRDefault="00E271BA" w:rsidP="0027370D">
      <w:pPr>
        <w:jc w:val="center"/>
        <w:rPr>
          <w:b/>
          <w:smallCaps/>
          <w:sz w:val="22"/>
        </w:rPr>
      </w:pPr>
      <w:r>
        <w:rPr>
          <w:noProof/>
          <w:lang w:val="es-MX" w:eastAsia="es-MX"/>
        </w:rPr>
        <w:drawing>
          <wp:inline distT="0" distB="0" distL="0" distR="0" wp14:anchorId="3A7458A0" wp14:editId="7B3B087D">
            <wp:extent cx="4320000" cy="2520000"/>
            <wp:effectExtent l="0" t="0" r="23495" b="33020"/>
            <wp:docPr id="48" name="Gráfico 48">
              <a:extLst xmlns:a="http://schemas.openxmlformats.org/drawingml/2006/main">
                <a:ext uri="{FF2B5EF4-FFF2-40B4-BE49-F238E27FC236}">
                  <a16:creationId xmlns:a16="http://schemas.microsoft.com/office/drawing/2014/main" id="{DF4ED8C5-2A47-4C44-895D-0650218DA049}"/>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29460CD6" w14:textId="77777777" w:rsidR="0027370D" w:rsidRPr="00F84B8D" w:rsidRDefault="0027370D" w:rsidP="0027370D">
      <w:pPr>
        <w:widowControl w:val="0"/>
        <w:spacing w:before="20"/>
        <w:ind w:left="2044" w:right="25" w:hanging="560"/>
        <w:rPr>
          <w:sz w:val="16"/>
          <w:szCs w:val="16"/>
          <w:lang w:val="es-MX"/>
        </w:rPr>
      </w:pPr>
      <w:r w:rsidRPr="00F84B8D">
        <w:rPr>
          <w:sz w:val="16"/>
          <w:szCs w:val="16"/>
          <w:lang w:val="es-MX"/>
        </w:rPr>
        <w:t>Fuente:</w:t>
      </w:r>
      <w:r w:rsidRPr="00F84B8D">
        <w:rPr>
          <w:sz w:val="16"/>
          <w:szCs w:val="16"/>
          <w:lang w:val="es-MX"/>
        </w:rPr>
        <w:tab/>
        <w:t>INEGI.</w:t>
      </w:r>
    </w:p>
    <w:p w14:paraId="61C88380" w14:textId="29DB535D" w:rsidR="00A46C32" w:rsidRPr="000A6510" w:rsidRDefault="00044E34" w:rsidP="00B02406">
      <w:pPr>
        <w:pStyle w:val="Textoindependiente"/>
        <w:spacing w:before="360"/>
        <w:rPr>
          <w:color w:val="auto"/>
          <w:szCs w:val="22"/>
          <w:lang w:val="es-ES"/>
        </w:rPr>
      </w:pPr>
      <w:r w:rsidRPr="000A6510">
        <w:rPr>
          <w:color w:val="auto"/>
          <w:szCs w:val="22"/>
          <w:lang w:val="es-ES"/>
        </w:rPr>
        <w:lastRenderedPageBreak/>
        <w:t xml:space="preserve">El </w:t>
      </w:r>
      <w:r w:rsidR="009144A4">
        <w:rPr>
          <w:color w:val="auto"/>
          <w:szCs w:val="22"/>
          <w:lang w:val="es-ES"/>
        </w:rPr>
        <w:t>Indicador</w:t>
      </w:r>
      <w:r w:rsidR="00CF2AB4" w:rsidRPr="000A6510">
        <w:rPr>
          <w:color w:val="auto"/>
          <w:szCs w:val="22"/>
          <w:lang w:val="es-ES"/>
        </w:rPr>
        <w:t xml:space="preserve"> </w:t>
      </w:r>
      <w:r w:rsidRPr="000A6510">
        <w:rPr>
          <w:color w:val="auto"/>
          <w:szCs w:val="22"/>
          <w:lang w:val="es-ES"/>
        </w:rPr>
        <w:t xml:space="preserve">Global de </w:t>
      </w:r>
      <w:r w:rsidR="00CF2AB4" w:rsidRPr="000A6510">
        <w:rPr>
          <w:color w:val="auto"/>
          <w:szCs w:val="22"/>
          <w:lang w:val="es-ES"/>
        </w:rPr>
        <w:t xml:space="preserve">Opinión Empresarial de </w:t>
      </w:r>
      <w:r w:rsidRPr="000A6510">
        <w:rPr>
          <w:color w:val="auto"/>
          <w:szCs w:val="22"/>
          <w:lang w:val="es-ES"/>
        </w:rPr>
        <w:t>Tendencia y el Indicador Agregado de Tendencia para</w:t>
      </w:r>
      <w:r w:rsidR="00A46C32" w:rsidRPr="000A6510">
        <w:rPr>
          <w:color w:val="auto"/>
          <w:szCs w:val="22"/>
          <w:lang w:val="es-ES"/>
        </w:rPr>
        <w:t xml:space="preserve"> los </w:t>
      </w:r>
      <w:r w:rsidR="0086092A" w:rsidRPr="000A6510">
        <w:rPr>
          <w:color w:val="auto"/>
          <w:szCs w:val="22"/>
          <w:lang w:val="es-ES"/>
        </w:rPr>
        <w:t>cuatro</w:t>
      </w:r>
      <w:r w:rsidR="00A46C32" w:rsidRPr="000A6510">
        <w:rPr>
          <w:color w:val="auto"/>
          <w:szCs w:val="22"/>
          <w:lang w:val="es-ES"/>
        </w:rPr>
        <w:t xml:space="preserve"> sectores se </w:t>
      </w:r>
      <w:r w:rsidR="00F008A6" w:rsidRPr="000A6510">
        <w:rPr>
          <w:color w:val="auto"/>
          <w:szCs w:val="22"/>
          <w:lang w:val="es-ES"/>
        </w:rPr>
        <w:t>mues</w:t>
      </w:r>
      <w:r w:rsidR="00A46C32" w:rsidRPr="000A6510">
        <w:rPr>
          <w:color w:val="auto"/>
          <w:szCs w:val="22"/>
          <w:lang w:val="es-ES"/>
        </w:rPr>
        <w:t>t</w:t>
      </w:r>
      <w:r w:rsidR="00F008A6" w:rsidRPr="000A6510">
        <w:rPr>
          <w:color w:val="auto"/>
          <w:szCs w:val="22"/>
          <w:lang w:val="es-ES"/>
        </w:rPr>
        <w:t>r</w:t>
      </w:r>
      <w:r w:rsidR="00A46C32" w:rsidRPr="000A6510">
        <w:rPr>
          <w:color w:val="auto"/>
          <w:szCs w:val="22"/>
          <w:lang w:val="es-ES"/>
        </w:rPr>
        <w:t>a</w:t>
      </w:r>
      <w:r w:rsidR="001B1EDC" w:rsidRPr="000A6510">
        <w:rPr>
          <w:color w:val="auto"/>
          <w:szCs w:val="22"/>
          <w:lang w:val="es-ES"/>
        </w:rPr>
        <w:t>n</w:t>
      </w:r>
      <w:r w:rsidR="00A46C32" w:rsidRPr="000A6510">
        <w:rPr>
          <w:color w:val="auto"/>
          <w:szCs w:val="22"/>
          <w:lang w:val="es-ES"/>
        </w:rPr>
        <w:t xml:space="preserve"> en el cuadro siguiente:</w:t>
      </w:r>
      <w:r w:rsidR="00A65181">
        <w:rPr>
          <w:color w:val="auto"/>
          <w:szCs w:val="22"/>
          <w:lang w:val="es-ES"/>
        </w:rPr>
        <w:t xml:space="preserve"> </w:t>
      </w:r>
    </w:p>
    <w:p w14:paraId="7E5FE8B7" w14:textId="383972F1" w:rsidR="004126F6" w:rsidRDefault="004126F6" w:rsidP="004126F6">
      <w:pPr>
        <w:widowControl w:val="0"/>
        <w:spacing w:before="240"/>
        <w:jc w:val="center"/>
        <w:outlineLvl w:val="0"/>
        <w:rPr>
          <w:sz w:val="20"/>
        </w:rPr>
      </w:pPr>
      <w:r>
        <w:rPr>
          <w:sz w:val="20"/>
        </w:rPr>
        <w:t>Cuadro</w:t>
      </w:r>
      <w:r w:rsidRPr="00BC05F9">
        <w:rPr>
          <w:sz w:val="20"/>
        </w:rPr>
        <w:t xml:space="preserve"> </w:t>
      </w:r>
      <w:r w:rsidR="00B939C9">
        <w:rPr>
          <w:sz w:val="20"/>
        </w:rPr>
        <w:t>5</w:t>
      </w:r>
    </w:p>
    <w:p w14:paraId="6469B2F8" w14:textId="7307694F" w:rsidR="00A46C32" w:rsidRPr="000A6510" w:rsidRDefault="00044E34" w:rsidP="004126F6">
      <w:pPr>
        <w:widowControl w:val="0"/>
        <w:jc w:val="center"/>
        <w:outlineLvl w:val="0"/>
        <w:rPr>
          <w:b/>
          <w:smallCaps/>
          <w:sz w:val="22"/>
        </w:rPr>
      </w:pPr>
      <w:r w:rsidRPr="000A6510">
        <w:rPr>
          <w:b/>
          <w:smallCaps/>
          <w:sz w:val="22"/>
        </w:rPr>
        <w:t xml:space="preserve">Indicador global de </w:t>
      </w:r>
      <w:r w:rsidR="00FE4514">
        <w:rPr>
          <w:b/>
          <w:smallCaps/>
          <w:sz w:val="22"/>
        </w:rPr>
        <w:t xml:space="preserve">opinión empresarial de </w:t>
      </w:r>
      <w:r w:rsidRPr="000A6510">
        <w:rPr>
          <w:b/>
          <w:smallCaps/>
          <w:sz w:val="22"/>
        </w:rPr>
        <w:t xml:space="preserve">tendencia </w:t>
      </w:r>
      <w:r w:rsidR="00FE4514">
        <w:rPr>
          <w:b/>
          <w:smallCaps/>
          <w:sz w:val="22"/>
        </w:rPr>
        <w:br/>
      </w:r>
      <w:r w:rsidRPr="000A6510">
        <w:rPr>
          <w:b/>
          <w:smallCaps/>
          <w:sz w:val="22"/>
        </w:rPr>
        <w:t>e i</w:t>
      </w:r>
      <w:r w:rsidR="0032229C" w:rsidRPr="000A6510">
        <w:rPr>
          <w:b/>
          <w:smallCaps/>
          <w:sz w:val="22"/>
        </w:rPr>
        <w:t xml:space="preserve">ndicador </w:t>
      </w:r>
      <w:r w:rsidR="00FE4514">
        <w:rPr>
          <w:b/>
          <w:smallCaps/>
          <w:sz w:val="22"/>
        </w:rPr>
        <w:t>a</w:t>
      </w:r>
      <w:r w:rsidR="0032229C" w:rsidRPr="000A6510">
        <w:rPr>
          <w:b/>
          <w:smallCaps/>
          <w:sz w:val="22"/>
        </w:rPr>
        <w:t>gregado de tendencia</w:t>
      </w:r>
      <w:r w:rsidR="00A46C32" w:rsidRPr="000A6510">
        <w:rPr>
          <w:b/>
          <w:smallCaps/>
          <w:sz w:val="22"/>
        </w:rPr>
        <w:t xml:space="preserve"> a nivel de sector</w:t>
      </w:r>
      <w:r w:rsidR="0032229C" w:rsidRPr="000A6510">
        <w:rPr>
          <w:b/>
          <w:smallCaps/>
          <w:sz w:val="22"/>
        </w:rPr>
        <w:t xml:space="preserve"> y sus componentes</w:t>
      </w:r>
    </w:p>
    <w:tbl>
      <w:tblPr>
        <w:tblW w:w="8507" w:type="dxa"/>
        <w:jc w:val="center"/>
        <w:tblLayout w:type="fixed"/>
        <w:tblCellMar>
          <w:left w:w="70" w:type="dxa"/>
          <w:right w:w="70" w:type="dxa"/>
        </w:tblCellMar>
        <w:tblLook w:val="0000" w:firstRow="0" w:lastRow="0" w:firstColumn="0" w:lastColumn="0" w:noHBand="0" w:noVBand="0"/>
      </w:tblPr>
      <w:tblGrid>
        <w:gridCol w:w="5004"/>
        <w:gridCol w:w="1160"/>
        <w:gridCol w:w="1075"/>
        <w:gridCol w:w="1268"/>
      </w:tblGrid>
      <w:tr w:rsidR="00A46C32" w:rsidRPr="000A6510" w14:paraId="60F2D609" w14:textId="77777777" w:rsidTr="00021575">
        <w:trPr>
          <w:cantSplit/>
          <w:trHeight w:val="307"/>
          <w:jc w:val="center"/>
        </w:trPr>
        <w:tc>
          <w:tcPr>
            <w:tcW w:w="5004" w:type="dxa"/>
            <w:vMerge w:val="restart"/>
            <w:tcBorders>
              <w:top w:val="single" w:sz="6" w:space="0" w:color="404040"/>
              <w:left w:val="single" w:sz="6" w:space="0" w:color="404040"/>
              <w:right w:val="single" w:sz="6" w:space="0" w:color="404040"/>
            </w:tcBorders>
            <w:shd w:val="clear" w:color="auto" w:fill="CCCCFF"/>
            <w:vAlign w:val="center"/>
          </w:tcPr>
          <w:p w14:paraId="185F428A" w14:textId="35979789" w:rsidR="00A46C32" w:rsidRPr="000A6510" w:rsidRDefault="00A46C32" w:rsidP="00D76DC5">
            <w:pPr>
              <w:keepNext/>
              <w:keepLines/>
              <w:spacing w:before="20" w:after="20" w:line="240" w:lineRule="atLeast"/>
              <w:ind w:firstLine="339"/>
              <w:rPr>
                <w:sz w:val="18"/>
                <w:szCs w:val="18"/>
              </w:rPr>
            </w:pPr>
            <w:bookmarkStart w:id="2" w:name="OLE_LINK8"/>
            <w:r w:rsidRPr="000A6510">
              <w:rPr>
                <w:sz w:val="18"/>
                <w:szCs w:val="18"/>
              </w:rPr>
              <w:t>Indicadores</w:t>
            </w:r>
            <w:r w:rsidR="0069632D">
              <w:rPr>
                <w:sz w:val="18"/>
                <w:szCs w:val="18"/>
              </w:rPr>
              <w:t xml:space="preserve"> / Componentes</w:t>
            </w:r>
          </w:p>
        </w:tc>
        <w:tc>
          <w:tcPr>
            <w:tcW w:w="2235"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1988656D" w14:textId="3B4A2E51" w:rsidR="00A46C32" w:rsidRPr="000A6510" w:rsidRDefault="00345878" w:rsidP="00377337">
            <w:pPr>
              <w:keepNext/>
              <w:keepLines/>
              <w:spacing w:before="40" w:after="40" w:line="240" w:lineRule="atLeast"/>
              <w:jc w:val="center"/>
              <w:rPr>
                <w:sz w:val="18"/>
                <w:szCs w:val="18"/>
              </w:rPr>
            </w:pPr>
            <w:r>
              <w:rPr>
                <w:sz w:val="18"/>
                <w:szCs w:val="18"/>
              </w:rPr>
              <w:t>Marzo</w:t>
            </w:r>
          </w:p>
        </w:tc>
        <w:tc>
          <w:tcPr>
            <w:tcW w:w="1268" w:type="dxa"/>
            <w:vMerge w:val="restart"/>
            <w:tcBorders>
              <w:top w:val="single" w:sz="6" w:space="0" w:color="404040"/>
              <w:left w:val="single" w:sz="6" w:space="0" w:color="404040"/>
              <w:right w:val="single" w:sz="6" w:space="0" w:color="404040"/>
            </w:tcBorders>
            <w:shd w:val="clear" w:color="auto" w:fill="CCCCFF"/>
            <w:vAlign w:val="center"/>
          </w:tcPr>
          <w:p w14:paraId="20A7D067" w14:textId="77777777" w:rsidR="00A46C32" w:rsidRPr="000A6510" w:rsidRDefault="00354160" w:rsidP="00D76DC5">
            <w:pPr>
              <w:keepNext/>
              <w:keepLines/>
              <w:spacing w:before="60" w:after="60" w:line="240" w:lineRule="atLeast"/>
              <w:jc w:val="center"/>
              <w:rPr>
                <w:sz w:val="18"/>
                <w:szCs w:val="18"/>
              </w:rPr>
            </w:pPr>
            <w:r w:rsidRPr="000A6510">
              <w:rPr>
                <w:sz w:val="18"/>
                <w:szCs w:val="18"/>
              </w:rPr>
              <w:t xml:space="preserve">Diferencia </w:t>
            </w:r>
            <w:r w:rsidRPr="000A6510">
              <w:rPr>
                <w:sz w:val="18"/>
                <w:szCs w:val="18"/>
              </w:rPr>
              <w:br/>
              <w:t>en puntos</w:t>
            </w:r>
            <w:r w:rsidRPr="000A6510">
              <w:rPr>
                <w:position w:val="6"/>
                <w:sz w:val="14"/>
                <w:szCs w:val="14"/>
              </w:rPr>
              <w:t>1/</w:t>
            </w:r>
          </w:p>
        </w:tc>
      </w:tr>
      <w:tr w:rsidR="008054FA" w:rsidRPr="000A6510" w14:paraId="396A5221" w14:textId="77777777" w:rsidTr="00021575">
        <w:trPr>
          <w:cantSplit/>
          <w:trHeight w:val="307"/>
          <w:jc w:val="center"/>
        </w:trPr>
        <w:tc>
          <w:tcPr>
            <w:tcW w:w="5004" w:type="dxa"/>
            <w:vMerge/>
            <w:tcBorders>
              <w:left w:val="single" w:sz="6" w:space="0" w:color="404040"/>
              <w:bottom w:val="single" w:sz="6" w:space="0" w:color="404040"/>
              <w:right w:val="single" w:sz="6" w:space="0" w:color="404040"/>
            </w:tcBorders>
            <w:shd w:val="pct10" w:color="auto" w:fill="auto"/>
            <w:vAlign w:val="center"/>
          </w:tcPr>
          <w:p w14:paraId="5F09F035" w14:textId="77777777" w:rsidR="008054FA" w:rsidRPr="000A6510" w:rsidRDefault="008054FA" w:rsidP="008054FA">
            <w:pPr>
              <w:keepNext/>
              <w:keepLines/>
              <w:spacing w:before="60" w:after="60" w:line="240" w:lineRule="atLeast"/>
              <w:jc w:val="center"/>
              <w:rPr>
                <w:sz w:val="18"/>
                <w:szCs w:val="18"/>
              </w:rPr>
            </w:pPr>
          </w:p>
        </w:tc>
        <w:tc>
          <w:tcPr>
            <w:tcW w:w="116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B511266" w14:textId="33F8C485" w:rsidR="008054FA" w:rsidRPr="000A6510" w:rsidRDefault="00BC05F9" w:rsidP="00493ABF">
            <w:pPr>
              <w:widowControl w:val="0"/>
              <w:spacing w:before="20" w:after="20"/>
              <w:ind w:left="-68" w:right="-57"/>
              <w:jc w:val="center"/>
              <w:rPr>
                <w:sz w:val="18"/>
                <w:szCs w:val="18"/>
              </w:rPr>
            </w:pPr>
            <w:r>
              <w:rPr>
                <w:sz w:val="18"/>
                <w:szCs w:val="18"/>
              </w:rPr>
              <w:t>2021</w:t>
            </w:r>
          </w:p>
        </w:tc>
        <w:tc>
          <w:tcPr>
            <w:tcW w:w="1075"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03B912C" w14:textId="6BA4BF1D" w:rsidR="008054FA" w:rsidRPr="000A6510" w:rsidRDefault="00BC05F9" w:rsidP="00493ABF">
            <w:pPr>
              <w:widowControl w:val="0"/>
              <w:spacing w:before="20" w:after="20"/>
              <w:ind w:left="-68" w:right="-57"/>
              <w:jc w:val="center"/>
              <w:rPr>
                <w:sz w:val="18"/>
                <w:szCs w:val="18"/>
              </w:rPr>
            </w:pPr>
            <w:r>
              <w:rPr>
                <w:sz w:val="18"/>
                <w:szCs w:val="18"/>
              </w:rPr>
              <w:t>2022</w:t>
            </w:r>
            <w:r w:rsidR="008054FA" w:rsidRPr="000A6510">
              <w:rPr>
                <w:position w:val="6"/>
                <w:sz w:val="14"/>
                <w:szCs w:val="14"/>
              </w:rPr>
              <w:t>p/</w:t>
            </w:r>
          </w:p>
        </w:tc>
        <w:tc>
          <w:tcPr>
            <w:tcW w:w="1268" w:type="dxa"/>
            <w:vMerge/>
            <w:tcBorders>
              <w:left w:val="single" w:sz="6" w:space="0" w:color="404040"/>
              <w:bottom w:val="single" w:sz="6" w:space="0" w:color="404040"/>
              <w:right w:val="single" w:sz="6" w:space="0" w:color="404040"/>
            </w:tcBorders>
            <w:shd w:val="pct10" w:color="auto" w:fill="auto"/>
            <w:vAlign w:val="center"/>
          </w:tcPr>
          <w:p w14:paraId="583D0EB6" w14:textId="77777777" w:rsidR="008054FA" w:rsidRPr="000A6510" w:rsidRDefault="008054FA" w:rsidP="008054FA">
            <w:pPr>
              <w:keepNext/>
              <w:keepLines/>
              <w:spacing w:line="240" w:lineRule="atLeast"/>
              <w:ind w:left="-64" w:right="-45"/>
              <w:jc w:val="center"/>
              <w:rPr>
                <w:sz w:val="18"/>
                <w:szCs w:val="18"/>
              </w:rPr>
            </w:pPr>
          </w:p>
        </w:tc>
      </w:tr>
      <w:tr w:rsidR="003F791C" w:rsidRPr="000A6510" w14:paraId="697185D1" w14:textId="77777777" w:rsidTr="00140691">
        <w:trPr>
          <w:cantSplit/>
          <w:trHeight w:val="284"/>
          <w:jc w:val="center"/>
        </w:trPr>
        <w:tc>
          <w:tcPr>
            <w:tcW w:w="5004" w:type="dxa"/>
            <w:tcBorders>
              <w:left w:val="single" w:sz="6" w:space="0" w:color="404040"/>
              <w:bottom w:val="single" w:sz="6" w:space="0" w:color="404040"/>
              <w:right w:val="single" w:sz="6" w:space="0" w:color="404040"/>
            </w:tcBorders>
            <w:shd w:val="clear" w:color="auto" w:fill="DBE5F1" w:themeFill="accent1" w:themeFillTint="33"/>
            <w:vAlign w:val="center"/>
          </w:tcPr>
          <w:p w14:paraId="305F2469" w14:textId="43CE9863" w:rsidR="003F791C" w:rsidRPr="000A6510" w:rsidRDefault="003F791C" w:rsidP="003F791C">
            <w:pPr>
              <w:widowControl w:val="0"/>
              <w:tabs>
                <w:tab w:val="left" w:pos="708"/>
              </w:tabs>
              <w:spacing w:line="240" w:lineRule="exact"/>
              <w:ind w:right="-100"/>
              <w:jc w:val="left"/>
              <w:rPr>
                <w:b/>
                <w:spacing w:val="4"/>
                <w:sz w:val="18"/>
                <w:szCs w:val="18"/>
              </w:rPr>
            </w:pPr>
            <w:r>
              <w:rPr>
                <w:b/>
                <w:spacing w:val="4"/>
                <w:sz w:val="18"/>
                <w:szCs w:val="18"/>
              </w:rPr>
              <w:t>Indicador</w:t>
            </w:r>
            <w:r w:rsidRPr="000A6510">
              <w:rPr>
                <w:b/>
                <w:spacing w:val="4"/>
                <w:sz w:val="18"/>
                <w:szCs w:val="18"/>
              </w:rPr>
              <w:t xml:space="preserve"> Global de Opinión Empresarial de Tendencia</w:t>
            </w:r>
          </w:p>
        </w:tc>
        <w:tc>
          <w:tcPr>
            <w:tcW w:w="1160" w:type="dxa"/>
            <w:tcBorders>
              <w:left w:val="single" w:sz="6" w:space="0" w:color="404040"/>
              <w:bottom w:val="single" w:sz="6" w:space="0" w:color="404040"/>
            </w:tcBorders>
            <w:shd w:val="clear" w:color="auto" w:fill="DBE5F1" w:themeFill="accent1" w:themeFillTint="33"/>
            <w:vAlign w:val="center"/>
          </w:tcPr>
          <w:p w14:paraId="4D04A723" w14:textId="5D6402BD" w:rsidR="003F791C" w:rsidRPr="003F791C" w:rsidRDefault="003F791C" w:rsidP="003F791C">
            <w:pPr>
              <w:tabs>
                <w:tab w:val="decimal" w:pos="537"/>
              </w:tabs>
              <w:jc w:val="left"/>
              <w:rPr>
                <w:b/>
                <w:sz w:val="18"/>
                <w:szCs w:val="18"/>
              </w:rPr>
            </w:pPr>
            <w:r w:rsidRPr="003F791C">
              <w:rPr>
                <w:b/>
                <w:bCs/>
                <w:color w:val="000000"/>
                <w:sz w:val="18"/>
                <w:szCs w:val="18"/>
              </w:rPr>
              <w:t>55.4</w:t>
            </w:r>
          </w:p>
        </w:tc>
        <w:tc>
          <w:tcPr>
            <w:tcW w:w="1075" w:type="dxa"/>
            <w:tcBorders>
              <w:bottom w:val="single" w:sz="6" w:space="0" w:color="404040"/>
              <w:right w:val="single" w:sz="6" w:space="0" w:color="404040"/>
            </w:tcBorders>
            <w:shd w:val="clear" w:color="auto" w:fill="DBE5F1" w:themeFill="accent1" w:themeFillTint="33"/>
            <w:vAlign w:val="center"/>
          </w:tcPr>
          <w:p w14:paraId="468CBF22" w14:textId="3E1DBCD8" w:rsidR="003F791C" w:rsidRPr="003F791C" w:rsidRDefault="003F791C" w:rsidP="003F791C">
            <w:pPr>
              <w:tabs>
                <w:tab w:val="decimal" w:pos="434"/>
              </w:tabs>
              <w:jc w:val="left"/>
              <w:rPr>
                <w:b/>
                <w:sz w:val="18"/>
                <w:szCs w:val="18"/>
              </w:rPr>
            </w:pPr>
            <w:r w:rsidRPr="003F791C">
              <w:rPr>
                <w:b/>
                <w:bCs/>
                <w:color w:val="000000"/>
                <w:sz w:val="18"/>
                <w:szCs w:val="18"/>
              </w:rPr>
              <w:t>57.4</w:t>
            </w:r>
          </w:p>
        </w:tc>
        <w:tc>
          <w:tcPr>
            <w:tcW w:w="1268" w:type="dxa"/>
            <w:tcBorders>
              <w:left w:val="single" w:sz="6" w:space="0" w:color="404040"/>
              <w:bottom w:val="single" w:sz="6" w:space="0" w:color="404040"/>
              <w:right w:val="single" w:sz="6" w:space="0" w:color="404040"/>
            </w:tcBorders>
            <w:shd w:val="clear" w:color="auto" w:fill="DBE5F1" w:themeFill="accent1" w:themeFillTint="33"/>
            <w:vAlign w:val="center"/>
          </w:tcPr>
          <w:p w14:paraId="208D57E4" w14:textId="2BA4B746" w:rsidR="003F791C" w:rsidRPr="003F791C" w:rsidRDefault="003F791C" w:rsidP="003F791C">
            <w:pPr>
              <w:tabs>
                <w:tab w:val="decimal" w:pos="579"/>
              </w:tabs>
              <w:jc w:val="left"/>
              <w:rPr>
                <w:b/>
                <w:sz w:val="18"/>
                <w:szCs w:val="18"/>
              </w:rPr>
            </w:pPr>
            <w:r w:rsidRPr="003F791C">
              <w:rPr>
                <w:b/>
                <w:bCs/>
                <w:sz w:val="18"/>
                <w:szCs w:val="18"/>
              </w:rPr>
              <w:t>2.0</w:t>
            </w:r>
          </w:p>
        </w:tc>
      </w:tr>
      <w:tr w:rsidR="00C71D9E" w:rsidRPr="000A6510" w14:paraId="7C473C07" w14:textId="77777777" w:rsidTr="00140691">
        <w:trPr>
          <w:cantSplit/>
          <w:trHeight w:val="170"/>
          <w:jc w:val="center"/>
        </w:trPr>
        <w:tc>
          <w:tcPr>
            <w:tcW w:w="5004" w:type="dxa"/>
            <w:tcBorders>
              <w:top w:val="single" w:sz="6" w:space="0" w:color="404040"/>
              <w:bottom w:val="single" w:sz="6" w:space="0" w:color="404040"/>
            </w:tcBorders>
            <w:vAlign w:val="center"/>
          </w:tcPr>
          <w:p w14:paraId="0654E8D3" w14:textId="77777777" w:rsidR="00C71D9E" w:rsidRPr="000A6510" w:rsidRDefault="00C71D9E" w:rsidP="0032229C">
            <w:pPr>
              <w:widowControl w:val="0"/>
              <w:tabs>
                <w:tab w:val="left" w:pos="708"/>
              </w:tabs>
              <w:rPr>
                <w:b/>
                <w:spacing w:val="4"/>
                <w:sz w:val="8"/>
                <w:szCs w:val="8"/>
              </w:rPr>
            </w:pPr>
          </w:p>
        </w:tc>
        <w:tc>
          <w:tcPr>
            <w:tcW w:w="1160" w:type="dxa"/>
            <w:tcBorders>
              <w:top w:val="single" w:sz="6" w:space="0" w:color="404040"/>
              <w:bottom w:val="single" w:sz="6" w:space="0" w:color="404040"/>
            </w:tcBorders>
            <w:vAlign w:val="center"/>
          </w:tcPr>
          <w:p w14:paraId="027499AF" w14:textId="77777777" w:rsidR="00C71D9E" w:rsidRPr="001129EF" w:rsidRDefault="00C71D9E" w:rsidP="00140691">
            <w:pPr>
              <w:tabs>
                <w:tab w:val="decimal" w:pos="563"/>
              </w:tabs>
              <w:jc w:val="left"/>
              <w:rPr>
                <w:sz w:val="18"/>
                <w:szCs w:val="18"/>
              </w:rPr>
            </w:pPr>
          </w:p>
        </w:tc>
        <w:tc>
          <w:tcPr>
            <w:tcW w:w="1075" w:type="dxa"/>
            <w:tcBorders>
              <w:top w:val="single" w:sz="6" w:space="0" w:color="404040"/>
              <w:bottom w:val="single" w:sz="6" w:space="0" w:color="404040"/>
            </w:tcBorders>
            <w:vAlign w:val="center"/>
          </w:tcPr>
          <w:p w14:paraId="4E38766F" w14:textId="77777777" w:rsidR="00C71D9E" w:rsidRPr="001129EF" w:rsidRDefault="00C71D9E" w:rsidP="00140691">
            <w:pPr>
              <w:tabs>
                <w:tab w:val="decimal" w:pos="434"/>
              </w:tabs>
              <w:jc w:val="left"/>
              <w:rPr>
                <w:sz w:val="18"/>
                <w:szCs w:val="18"/>
              </w:rPr>
            </w:pPr>
          </w:p>
        </w:tc>
        <w:tc>
          <w:tcPr>
            <w:tcW w:w="1268" w:type="dxa"/>
            <w:tcBorders>
              <w:top w:val="single" w:sz="6" w:space="0" w:color="404040"/>
              <w:bottom w:val="single" w:sz="6" w:space="0" w:color="404040"/>
            </w:tcBorders>
            <w:vAlign w:val="center"/>
          </w:tcPr>
          <w:p w14:paraId="67247271" w14:textId="77777777" w:rsidR="00C71D9E" w:rsidRPr="001129EF" w:rsidRDefault="00C71D9E" w:rsidP="00140691">
            <w:pPr>
              <w:tabs>
                <w:tab w:val="left" w:pos="202"/>
                <w:tab w:val="decimal" w:pos="579"/>
                <w:tab w:val="decimal" w:pos="634"/>
              </w:tabs>
              <w:jc w:val="left"/>
              <w:rPr>
                <w:sz w:val="18"/>
                <w:szCs w:val="18"/>
              </w:rPr>
            </w:pPr>
          </w:p>
        </w:tc>
      </w:tr>
      <w:tr w:rsidR="003F791C" w:rsidRPr="000A6510" w14:paraId="3C0819A5" w14:textId="77777777" w:rsidTr="00937F65">
        <w:trPr>
          <w:cantSplit/>
          <w:trHeight w:val="20"/>
          <w:jc w:val="center"/>
        </w:trPr>
        <w:tc>
          <w:tcPr>
            <w:tcW w:w="5004" w:type="dxa"/>
            <w:tcBorders>
              <w:top w:val="single" w:sz="6" w:space="0" w:color="404040"/>
              <w:left w:val="single" w:sz="6" w:space="0" w:color="404040"/>
              <w:right w:val="single" w:sz="6" w:space="0" w:color="404040"/>
            </w:tcBorders>
            <w:vAlign w:val="center"/>
          </w:tcPr>
          <w:p w14:paraId="3EDD990D" w14:textId="1FEC6DA3" w:rsidR="003F791C" w:rsidRPr="000A6510" w:rsidRDefault="003F791C" w:rsidP="003F791C">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del Sector Manufacturero</w:t>
            </w:r>
          </w:p>
        </w:tc>
        <w:tc>
          <w:tcPr>
            <w:tcW w:w="1160" w:type="dxa"/>
            <w:tcBorders>
              <w:top w:val="single" w:sz="6" w:space="0" w:color="404040"/>
              <w:left w:val="single" w:sz="6" w:space="0" w:color="404040"/>
            </w:tcBorders>
            <w:vAlign w:val="center"/>
          </w:tcPr>
          <w:p w14:paraId="56455220" w14:textId="08ECCFAD" w:rsidR="003F791C" w:rsidRPr="003F791C" w:rsidRDefault="003F791C" w:rsidP="003F791C">
            <w:pPr>
              <w:tabs>
                <w:tab w:val="decimal" w:pos="537"/>
              </w:tabs>
              <w:jc w:val="left"/>
              <w:rPr>
                <w:b/>
                <w:sz w:val="18"/>
                <w:szCs w:val="18"/>
              </w:rPr>
            </w:pPr>
            <w:r w:rsidRPr="003F791C">
              <w:rPr>
                <w:b/>
                <w:bCs/>
                <w:sz w:val="18"/>
                <w:szCs w:val="18"/>
              </w:rPr>
              <w:t>55.2</w:t>
            </w:r>
          </w:p>
        </w:tc>
        <w:tc>
          <w:tcPr>
            <w:tcW w:w="1075" w:type="dxa"/>
            <w:tcBorders>
              <w:top w:val="single" w:sz="6" w:space="0" w:color="404040"/>
              <w:right w:val="single" w:sz="6" w:space="0" w:color="404040"/>
            </w:tcBorders>
            <w:vAlign w:val="center"/>
          </w:tcPr>
          <w:p w14:paraId="3C6C7DA0" w14:textId="7BC28766" w:rsidR="003F791C" w:rsidRPr="003F791C" w:rsidRDefault="003F791C" w:rsidP="003F791C">
            <w:pPr>
              <w:tabs>
                <w:tab w:val="decimal" w:pos="434"/>
              </w:tabs>
              <w:jc w:val="left"/>
              <w:rPr>
                <w:b/>
                <w:sz w:val="18"/>
                <w:szCs w:val="18"/>
              </w:rPr>
            </w:pPr>
            <w:r w:rsidRPr="003F791C">
              <w:rPr>
                <w:b/>
                <w:bCs/>
                <w:sz w:val="18"/>
                <w:szCs w:val="18"/>
              </w:rPr>
              <w:t>55.8</w:t>
            </w:r>
          </w:p>
        </w:tc>
        <w:tc>
          <w:tcPr>
            <w:tcW w:w="1268" w:type="dxa"/>
            <w:tcBorders>
              <w:top w:val="single" w:sz="6" w:space="0" w:color="404040"/>
              <w:left w:val="single" w:sz="6" w:space="0" w:color="404040"/>
              <w:right w:val="single" w:sz="6" w:space="0" w:color="404040"/>
            </w:tcBorders>
            <w:vAlign w:val="center"/>
          </w:tcPr>
          <w:p w14:paraId="291C4176" w14:textId="28808666" w:rsidR="003F791C" w:rsidRPr="003F791C" w:rsidRDefault="003F791C" w:rsidP="003F791C">
            <w:pPr>
              <w:tabs>
                <w:tab w:val="decimal" w:pos="579"/>
              </w:tabs>
              <w:jc w:val="left"/>
              <w:rPr>
                <w:b/>
                <w:sz w:val="18"/>
                <w:szCs w:val="18"/>
              </w:rPr>
            </w:pPr>
            <w:r w:rsidRPr="003F791C">
              <w:rPr>
                <w:b/>
                <w:bCs/>
                <w:sz w:val="18"/>
                <w:szCs w:val="18"/>
              </w:rPr>
              <w:t>0.6</w:t>
            </w:r>
          </w:p>
        </w:tc>
      </w:tr>
      <w:tr w:rsidR="003F791C" w:rsidRPr="000A6510" w14:paraId="7A4DB5A1" w14:textId="77777777" w:rsidTr="00140691">
        <w:trPr>
          <w:cantSplit/>
          <w:trHeight w:val="20"/>
          <w:jc w:val="center"/>
        </w:trPr>
        <w:tc>
          <w:tcPr>
            <w:tcW w:w="5004" w:type="dxa"/>
            <w:tcBorders>
              <w:left w:val="single" w:sz="6" w:space="0" w:color="404040"/>
              <w:right w:val="single" w:sz="6" w:space="0" w:color="404040"/>
            </w:tcBorders>
            <w:vAlign w:val="center"/>
          </w:tcPr>
          <w:p w14:paraId="1DCC9740" w14:textId="77777777" w:rsidR="003F791C" w:rsidRPr="000A6510" w:rsidRDefault="003F791C" w:rsidP="003F791C">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Producción</w:t>
            </w:r>
          </w:p>
        </w:tc>
        <w:tc>
          <w:tcPr>
            <w:tcW w:w="1160" w:type="dxa"/>
            <w:tcBorders>
              <w:left w:val="single" w:sz="6" w:space="0" w:color="404040"/>
            </w:tcBorders>
            <w:vAlign w:val="center"/>
          </w:tcPr>
          <w:p w14:paraId="4CD33097" w14:textId="499006C7" w:rsidR="003F791C" w:rsidRPr="003F791C" w:rsidRDefault="003F791C" w:rsidP="003F791C">
            <w:pPr>
              <w:tabs>
                <w:tab w:val="decimal" w:pos="537"/>
              </w:tabs>
              <w:jc w:val="left"/>
              <w:rPr>
                <w:sz w:val="18"/>
                <w:szCs w:val="18"/>
              </w:rPr>
            </w:pPr>
            <w:r w:rsidRPr="003F791C">
              <w:rPr>
                <w:sz w:val="18"/>
                <w:szCs w:val="18"/>
              </w:rPr>
              <w:t>58.4</w:t>
            </w:r>
          </w:p>
        </w:tc>
        <w:tc>
          <w:tcPr>
            <w:tcW w:w="1075" w:type="dxa"/>
            <w:tcBorders>
              <w:right w:val="single" w:sz="6" w:space="0" w:color="404040"/>
            </w:tcBorders>
            <w:vAlign w:val="center"/>
          </w:tcPr>
          <w:p w14:paraId="5CFBEF7D" w14:textId="62AAF8D8" w:rsidR="003F791C" w:rsidRPr="003F791C" w:rsidRDefault="003F791C" w:rsidP="003F791C">
            <w:pPr>
              <w:tabs>
                <w:tab w:val="decimal" w:pos="421"/>
              </w:tabs>
              <w:jc w:val="left"/>
              <w:rPr>
                <w:sz w:val="18"/>
                <w:szCs w:val="18"/>
              </w:rPr>
            </w:pPr>
            <w:r w:rsidRPr="003F791C">
              <w:rPr>
                <w:sz w:val="18"/>
                <w:szCs w:val="18"/>
              </w:rPr>
              <w:t>58.5</w:t>
            </w:r>
          </w:p>
        </w:tc>
        <w:tc>
          <w:tcPr>
            <w:tcW w:w="1268" w:type="dxa"/>
            <w:tcBorders>
              <w:left w:val="single" w:sz="6" w:space="0" w:color="404040"/>
              <w:right w:val="single" w:sz="6" w:space="0" w:color="404040"/>
            </w:tcBorders>
            <w:vAlign w:val="center"/>
          </w:tcPr>
          <w:p w14:paraId="481F780F" w14:textId="6E97456A" w:rsidR="003F791C" w:rsidRPr="003F791C" w:rsidRDefault="003F791C" w:rsidP="003F791C">
            <w:pPr>
              <w:tabs>
                <w:tab w:val="decimal" w:pos="579"/>
              </w:tabs>
              <w:jc w:val="left"/>
              <w:rPr>
                <w:sz w:val="18"/>
                <w:szCs w:val="18"/>
              </w:rPr>
            </w:pPr>
            <w:r w:rsidRPr="003F791C">
              <w:rPr>
                <w:sz w:val="18"/>
                <w:szCs w:val="18"/>
              </w:rPr>
              <w:t>0.1</w:t>
            </w:r>
          </w:p>
        </w:tc>
      </w:tr>
      <w:tr w:rsidR="003F791C" w:rsidRPr="000A6510" w14:paraId="56F856D4" w14:textId="77777777" w:rsidTr="00140691">
        <w:trPr>
          <w:cantSplit/>
          <w:trHeight w:val="20"/>
          <w:jc w:val="center"/>
        </w:trPr>
        <w:tc>
          <w:tcPr>
            <w:tcW w:w="5004" w:type="dxa"/>
            <w:tcBorders>
              <w:left w:val="single" w:sz="6" w:space="0" w:color="404040"/>
              <w:right w:val="single" w:sz="6" w:space="0" w:color="404040"/>
            </w:tcBorders>
            <w:vAlign w:val="center"/>
          </w:tcPr>
          <w:p w14:paraId="123DEE0F" w14:textId="77777777" w:rsidR="003F791C" w:rsidRPr="000A6510" w:rsidRDefault="003F791C" w:rsidP="003F791C">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Capacidad de planta utilizada</w:t>
            </w:r>
          </w:p>
        </w:tc>
        <w:tc>
          <w:tcPr>
            <w:tcW w:w="1160" w:type="dxa"/>
            <w:tcBorders>
              <w:left w:val="single" w:sz="6" w:space="0" w:color="404040"/>
            </w:tcBorders>
            <w:vAlign w:val="center"/>
          </w:tcPr>
          <w:p w14:paraId="6CE25FA2" w14:textId="39F9F51C" w:rsidR="003F791C" w:rsidRPr="003F791C" w:rsidRDefault="003F791C" w:rsidP="003F791C">
            <w:pPr>
              <w:tabs>
                <w:tab w:val="decimal" w:pos="537"/>
              </w:tabs>
              <w:jc w:val="left"/>
              <w:rPr>
                <w:sz w:val="18"/>
                <w:szCs w:val="18"/>
              </w:rPr>
            </w:pPr>
            <w:r w:rsidRPr="003F791C">
              <w:rPr>
                <w:sz w:val="18"/>
                <w:szCs w:val="18"/>
              </w:rPr>
              <w:t>56.5</w:t>
            </w:r>
          </w:p>
        </w:tc>
        <w:tc>
          <w:tcPr>
            <w:tcW w:w="1075" w:type="dxa"/>
            <w:tcBorders>
              <w:right w:val="single" w:sz="6" w:space="0" w:color="404040"/>
            </w:tcBorders>
            <w:vAlign w:val="center"/>
          </w:tcPr>
          <w:p w14:paraId="437BADCE" w14:textId="5020B52B" w:rsidR="003F791C" w:rsidRPr="003F791C" w:rsidRDefault="003F791C" w:rsidP="003F791C">
            <w:pPr>
              <w:tabs>
                <w:tab w:val="decimal" w:pos="421"/>
              </w:tabs>
              <w:jc w:val="left"/>
              <w:rPr>
                <w:sz w:val="18"/>
                <w:szCs w:val="18"/>
              </w:rPr>
            </w:pPr>
            <w:r w:rsidRPr="003F791C">
              <w:rPr>
                <w:sz w:val="18"/>
                <w:szCs w:val="18"/>
              </w:rPr>
              <w:t>58.4</w:t>
            </w:r>
          </w:p>
        </w:tc>
        <w:tc>
          <w:tcPr>
            <w:tcW w:w="1268" w:type="dxa"/>
            <w:tcBorders>
              <w:left w:val="single" w:sz="6" w:space="0" w:color="404040"/>
              <w:right w:val="single" w:sz="6" w:space="0" w:color="404040"/>
            </w:tcBorders>
            <w:vAlign w:val="center"/>
          </w:tcPr>
          <w:p w14:paraId="7AC79DA9" w14:textId="6B0D1FF5" w:rsidR="003F791C" w:rsidRPr="003F791C" w:rsidRDefault="003F791C" w:rsidP="003F791C">
            <w:pPr>
              <w:tabs>
                <w:tab w:val="decimal" w:pos="579"/>
              </w:tabs>
              <w:jc w:val="left"/>
              <w:rPr>
                <w:sz w:val="18"/>
                <w:szCs w:val="18"/>
              </w:rPr>
            </w:pPr>
            <w:r w:rsidRPr="003F791C">
              <w:rPr>
                <w:sz w:val="18"/>
                <w:szCs w:val="18"/>
              </w:rPr>
              <w:t>1.9</w:t>
            </w:r>
          </w:p>
        </w:tc>
      </w:tr>
      <w:tr w:rsidR="003F791C" w:rsidRPr="000A6510" w14:paraId="54C79997" w14:textId="77777777" w:rsidTr="00140691">
        <w:trPr>
          <w:cantSplit/>
          <w:trHeight w:val="20"/>
          <w:jc w:val="center"/>
        </w:trPr>
        <w:tc>
          <w:tcPr>
            <w:tcW w:w="5004" w:type="dxa"/>
            <w:tcBorders>
              <w:left w:val="single" w:sz="6" w:space="0" w:color="404040"/>
              <w:right w:val="single" w:sz="6" w:space="0" w:color="404040"/>
            </w:tcBorders>
            <w:vAlign w:val="center"/>
          </w:tcPr>
          <w:p w14:paraId="1027D55D" w14:textId="77777777" w:rsidR="003F791C" w:rsidRPr="000A6510" w:rsidRDefault="003F791C" w:rsidP="003F791C">
            <w:pPr>
              <w:pStyle w:val="Prrafodelista"/>
              <w:widowControl w:val="0"/>
              <w:numPr>
                <w:ilvl w:val="0"/>
                <w:numId w:val="10"/>
              </w:numPr>
              <w:spacing w:line="240" w:lineRule="exact"/>
              <w:ind w:left="323" w:hanging="266"/>
              <w:contextualSpacing/>
              <w:jc w:val="left"/>
              <w:rPr>
                <w:sz w:val="18"/>
                <w:szCs w:val="18"/>
                <w:lang w:val="es-MX"/>
              </w:rPr>
            </w:pPr>
            <w:r w:rsidRPr="000A6510">
              <w:rPr>
                <w:sz w:val="18"/>
                <w:szCs w:val="18"/>
                <w:lang w:val="es-MX"/>
              </w:rPr>
              <w:t>Demanda nacional de sus productos</w:t>
            </w:r>
          </w:p>
        </w:tc>
        <w:tc>
          <w:tcPr>
            <w:tcW w:w="1160" w:type="dxa"/>
            <w:tcBorders>
              <w:left w:val="single" w:sz="6" w:space="0" w:color="404040"/>
            </w:tcBorders>
            <w:vAlign w:val="center"/>
          </w:tcPr>
          <w:p w14:paraId="63311C29" w14:textId="372BE6DE" w:rsidR="003F791C" w:rsidRPr="003F791C" w:rsidRDefault="003F791C" w:rsidP="003F791C">
            <w:pPr>
              <w:tabs>
                <w:tab w:val="decimal" w:pos="537"/>
              </w:tabs>
              <w:jc w:val="left"/>
              <w:rPr>
                <w:sz w:val="18"/>
                <w:szCs w:val="18"/>
              </w:rPr>
            </w:pPr>
            <w:r w:rsidRPr="003F791C">
              <w:rPr>
                <w:sz w:val="18"/>
                <w:szCs w:val="18"/>
              </w:rPr>
              <w:t>55.7</w:t>
            </w:r>
          </w:p>
        </w:tc>
        <w:tc>
          <w:tcPr>
            <w:tcW w:w="1075" w:type="dxa"/>
            <w:tcBorders>
              <w:right w:val="single" w:sz="6" w:space="0" w:color="404040"/>
            </w:tcBorders>
            <w:vAlign w:val="center"/>
          </w:tcPr>
          <w:p w14:paraId="6E1246C1" w14:textId="25F09C39" w:rsidR="003F791C" w:rsidRPr="003F791C" w:rsidRDefault="003F791C" w:rsidP="003F791C">
            <w:pPr>
              <w:tabs>
                <w:tab w:val="decimal" w:pos="421"/>
              </w:tabs>
              <w:jc w:val="left"/>
              <w:rPr>
                <w:sz w:val="18"/>
                <w:szCs w:val="18"/>
              </w:rPr>
            </w:pPr>
            <w:r w:rsidRPr="003F791C">
              <w:rPr>
                <w:sz w:val="18"/>
                <w:szCs w:val="18"/>
              </w:rPr>
              <w:t>61.5</w:t>
            </w:r>
          </w:p>
        </w:tc>
        <w:tc>
          <w:tcPr>
            <w:tcW w:w="1268" w:type="dxa"/>
            <w:tcBorders>
              <w:left w:val="single" w:sz="6" w:space="0" w:color="404040"/>
              <w:right w:val="single" w:sz="6" w:space="0" w:color="404040"/>
            </w:tcBorders>
            <w:vAlign w:val="center"/>
          </w:tcPr>
          <w:p w14:paraId="4E314F9A" w14:textId="6F2EE408" w:rsidR="003F791C" w:rsidRPr="003F791C" w:rsidRDefault="003F791C" w:rsidP="003F791C">
            <w:pPr>
              <w:tabs>
                <w:tab w:val="decimal" w:pos="579"/>
              </w:tabs>
              <w:jc w:val="left"/>
              <w:rPr>
                <w:sz w:val="18"/>
                <w:szCs w:val="18"/>
              </w:rPr>
            </w:pPr>
            <w:r w:rsidRPr="003F791C">
              <w:rPr>
                <w:sz w:val="18"/>
                <w:szCs w:val="18"/>
              </w:rPr>
              <w:t>5.8</w:t>
            </w:r>
          </w:p>
        </w:tc>
      </w:tr>
      <w:tr w:rsidR="003F791C" w:rsidRPr="000A6510" w14:paraId="1F845412" w14:textId="77777777" w:rsidTr="00140691">
        <w:trPr>
          <w:cantSplit/>
          <w:trHeight w:val="20"/>
          <w:jc w:val="center"/>
        </w:trPr>
        <w:tc>
          <w:tcPr>
            <w:tcW w:w="5004" w:type="dxa"/>
            <w:tcBorders>
              <w:left w:val="single" w:sz="6" w:space="0" w:color="404040"/>
              <w:right w:val="single" w:sz="6" w:space="0" w:color="404040"/>
            </w:tcBorders>
            <w:vAlign w:val="center"/>
          </w:tcPr>
          <w:p w14:paraId="085C1D1C" w14:textId="77777777" w:rsidR="003F791C" w:rsidRPr="000A6510" w:rsidRDefault="003F791C" w:rsidP="003F791C">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Exportaciones</w:t>
            </w:r>
          </w:p>
        </w:tc>
        <w:tc>
          <w:tcPr>
            <w:tcW w:w="1160" w:type="dxa"/>
            <w:tcBorders>
              <w:left w:val="single" w:sz="6" w:space="0" w:color="404040"/>
            </w:tcBorders>
            <w:vAlign w:val="center"/>
          </w:tcPr>
          <w:p w14:paraId="50D57A30" w14:textId="0C72C2A7" w:rsidR="003F791C" w:rsidRPr="003F791C" w:rsidRDefault="003F791C" w:rsidP="003F791C">
            <w:pPr>
              <w:tabs>
                <w:tab w:val="decimal" w:pos="537"/>
              </w:tabs>
              <w:jc w:val="left"/>
              <w:rPr>
                <w:sz w:val="18"/>
                <w:szCs w:val="18"/>
              </w:rPr>
            </w:pPr>
            <w:r w:rsidRPr="003F791C">
              <w:rPr>
                <w:sz w:val="18"/>
                <w:szCs w:val="18"/>
              </w:rPr>
              <w:t>55.1</w:t>
            </w:r>
          </w:p>
        </w:tc>
        <w:tc>
          <w:tcPr>
            <w:tcW w:w="1075" w:type="dxa"/>
            <w:tcBorders>
              <w:right w:val="single" w:sz="6" w:space="0" w:color="404040"/>
            </w:tcBorders>
            <w:vAlign w:val="center"/>
          </w:tcPr>
          <w:p w14:paraId="28BD5410" w14:textId="4F8637CD" w:rsidR="003F791C" w:rsidRPr="003F791C" w:rsidRDefault="003F791C" w:rsidP="003F791C">
            <w:pPr>
              <w:tabs>
                <w:tab w:val="decimal" w:pos="421"/>
              </w:tabs>
              <w:jc w:val="left"/>
              <w:rPr>
                <w:sz w:val="18"/>
                <w:szCs w:val="18"/>
              </w:rPr>
            </w:pPr>
            <w:r w:rsidRPr="003F791C">
              <w:rPr>
                <w:sz w:val="18"/>
                <w:szCs w:val="18"/>
              </w:rPr>
              <w:t>49.7</w:t>
            </w:r>
          </w:p>
        </w:tc>
        <w:tc>
          <w:tcPr>
            <w:tcW w:w="1268" w:type="dxa"/>
            <w:tcBorders>
              <w:left w:val="single" w:sz="6" w:space="0" w:color="404040"/>
              <w:right w:val="single" w:sz="6" w:space="0" w:color="404040"/>
            </w:tcBorders>
            <w:vAlign w:val="center"/>
          </w:tcPr>
          <w:p w14:paraId="024EAE60" w14:textId="030AB6ED" w:rsidR="003F791C" w:rsidRPr="003F791C" w:rsidRDefault="003F791C" w:rsidP="003F791C">
            <w:pPr>
              <w:tabs>
                <w:tab w:val="decimal" w:pos="579"/>
              </w:tabs>
              <w:jc w:val="left"/>
              <w:rPr>
                <w:sz w:val="18"/>
                <w:szCs w:val="18"/>
              </w:rPr>
            </w:pPr>
            <w:r w:rsidRPr="003F791C">
              <w:rPr>
                <w:sz w:val="18"/>
                <w:szCs w:val="18"/>
              </w:rPr>
              <w:t>-5.4</w:t>
            </w:r>
          </w:p>
        </w:tc>
      </w:tr>
      <w:tr w:rsidR="003F791C" w:rsidRPr="000A6510" w14:paraId="07BDD5F1" w14:textId="77777777" w:rsidTr="00140691">
        <w:trPr>
          <w:cantSplit/>
          <w:trHeight w:val="20"/>
          <w:jc w:val="center"/>
        </w:trPr>
        <w:tc>
          <w:tcPr>
            <w:tcW w:w="5004" w:type="dxa"/>
            <w:tcBorders>
              <w:left w:val="single" w:sz="6" w:space="0" w:color="404040"/>
              <w:bottom w:val="single" w:sz="6" w:space="0" w:color="404040"/>
              <w:right w:val="single" w:sz="6" w:space="0" w:color="404040"/>
            </w:tcBorders>
            <w:vAlign w:val="center"/>
          </w:tcPr>
          <w:p w14:paraId="3299FD0D" w14:textId="77777777" w:rsidR="003F791C" w:rsidRPr="000A6510" w:rsidRDefault="003F791C" w:rsidP="003F791C">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6" w:space="0" w:color="404040"/>
            </w:tcBorders>
            <w:vAlign w:val="center"/>
          </w:tcPr>
          <w:p w14:paraId="588DA347" w14:textId="39BA3886" w:rsidR="003F791C" w:rsidRPr="003F791C" w:rsidRDefault="003F791C" w:rsidP="003F791C">
            <w:pPr>
              <w:tabs>
                <w:tab w:val="decimal" w:pos="537"/>
              </w:tabs>
              <w:jc w:val="left"/>
              <w:rPr>
                <w:sz w:val="18"/>
                <w:szCs w:val="18"/>
              </w:rPr>
            </w:pPr>
            <w:r w:rsidRPr="003F791C">
              <w:rPr>
                <w:sz w:val="18"/>
                <w:szCs w:val="18"/>
              </w:rPr>
              <w:t>50.4</w:t>
            </w:r>
          </w:p>
        </w:tc>
        <w:tc>
          <w:tcPr>
            <w:tcW w:w="1075" w:type="dxa"/>
            <w:tcBorders>
              <w:bottom w:val="single" w:sz="6" w:space="0" w:color="404040"/>
              <w:right w:val="single" w:sz="6" w:space="0" w:color="404040"/>
            </w:tcBorders>
            <w:vAlign w:val="center"/>
          </w:tcPr>
          <w:p w14:paraId="4CBDC68A" w14:textId="71B0FA33" w:rsidR="003F791C" w:rsidRPr="003F791C" w:rsidRDefault="003F791C" w:rsidP="003F791C">
            <w:pPr>
              <w:tabs>
                <w:tab w:val="decimal" w:pos="421"/>
              </w:tabs>
              <w:jc w:val="left"/>
              <w:rPr>
                <w:sz w:val="18"/>
                <w:szCs w:val="18"/>
              </w:rPr>
            </w:pPr>
            <w:r w:rsidRPr="003F791C">
              <w:rPr>
                <w:sz w:val="18"/>
                <w:szCs w:val="18"/>
              </w:rPr>
              <w:t>51.0</w:t>
            </w:r>
          </w:p>
        </w:tc>
        <w:tc>
          <w:tcPr>
            <w:tcW w:w="1268" w:type="dxa"/>
            <w:tcBorders>
              <w:left w:val="single" w:sz="6" w:space="0" w:color="404040"/>
              <w:bottom w:val="single" w:sz="6" w:space="0" w:color="404040"/>
              <w:right w:val="single" w:sz="6" w:space="0" w:color="404040"/>
            </w:tcBorders>
            <w:vAlign w:val="center"/>
          </w:tcPr>
          <w:p w14:paraId="27767D9E" w14:textId="71F4735E" w:rsidR="003F791C" w:rsidRPr="003F791C" w:rsidRDefault="003F791C" w:rsidP="003F791C">
            <w:pPr>
              <w:tabs>
                <w:tab w:val="decimal" w:pos="579"/>
              </w:tabs>
              <w:jc w:val="left"/>
              <w:rPr>
                <w:sz w:val="18"/>
                <w:szCs w:val="18"/>
              </w:rPr>
            </w:pPr>
            <w:r w:rsidRPr="003F791C">
              <w:rPr>
                <w:sz w:val="18"/>
                <w:szCs w:val="18"/>
              </w:rPr>
              <w:t>0.5</w:t>
            </w:r>
          </w:p>
        </w:tc>
      </w:tr>
      <w:tr w:rsidR="007D03A9" w:rsidRPr="000A6510" w14:paraId="171FAD1B" w14:textId="77777777" w:rsidTr="00937F65">
        <w:trPr>
          <w:cantSplit/>
          <w:trHeight w:val="170"/>
          <w:jc w:val="center"/>
        </w:trPr>
        <w:tc>
          <w:tcPr>
            <w:tcW w:w="5004" w:type="dxa"/>
            <w:tcBorders>
              <w:top w:val="single" w:sz="6" w:space="0" w:color="404040"/>
              <w:bottom w:val="single" w:sz="6" w:space="0" w:color="404040"/>
            </w:tcBorders>
            <w:shd w:val="clear" w:color="auto" w:fill="auto"/>
          </w:tcPr>
          <w:p w14:paraId="4FD1FAC5" w14:textId="77777777" w:rsidR="007D03A9" w:rsidRPr="000A6510" w:rsidRDefault="007D03A9" w:rsidP="007D03A9">
            <w:pPr>
              <w:widowControl w:val="0"/>
              <w:rPr>
                <w:sz w:val="8"/>
                <w:szCs w:val="8"/>
                <w:lang w:val="es-MX"/>
              </w:rPr>
            </w:pPr>
          </w:p>
        </w:tc>
        <w:tc>
          <w:tcPr>
            <w:tcW w:w="1160" w:type="dxa"/>
            <w:tcBorders>
              <w:top w:val="single" w:sz="6" w:space="0" w:color="404040"/>
              <w:bottom w:val="single" w:sz="6" w:space="0" w:color="404040"/>
            </w:tcBorders>
            <w:shd w:val="clear" w:color="auto" w:fill="auto"/>
            <w:vAlign w:val="center"/>
          </w:tcPr>
          <w:p w14:paraId="458E46FC" w14:textId="77777777" w:rsidR="007D03A9" w:rsidRPr="005B40C5" w:rsidRDefault="007D03A9" w:rsidP="00140691">
            <w:pPr>
              <w:tabs>
                <w:tab w:val="decimal" w:pos="537"/>
                <w:tab w:val="decimal" w:pos="581"/>
              </w:tabs>
              <w:jc w:val="left"/>
              <w:rPr>
                <w:sz w:val="18"/>
                <w:szCs w:val="18"/>
              </w:rPr>
            </w:pPr>
            <w:r w:rsidRPr="005B40C5">
              <w:rPr>
                <w:sz w:val="18"/>
                <w:szCs w:val="18"/>
              </w:rPr>
              <w:t> </w:t>
            </w:r>
          </w:p>
        </w:tc>
        <w:tc>
          <w:tcPr>
            <w:tcW w:w="1075" w:type="dxa"/>
            <w:tcBorders>
              <w:top w:val="single" w:sz="6" w:space="0" w:color="404040"/>
              <w:bottom w:val="single" w:sz="6" w:space="0" w:color="404040"/>
            </w:tcBorders>
            <w:shd w:val="clear" w:color="auto" w:fill="auto"/>
            <w:vAlign w:val="center"/>
          </w:tcPr>
          <w:p w14:paraId="7E460F34" w14:textId="77777777" w:rsidR="007D03A9" w:rsidRPr="005B40C5" w:rsidRDefault="007D03A9" w:rsidP="00140691">
            <w:pPr>
              <w:tabs>
                <w:tab w:val="decimal" w:pos="421"/>
              </w:tabs>
              <w:jc w:val="left"/>
              <w:rPr>
                <w:sz w:val="18"/>
                <w:szCs w:val="18"/>
              </w:rPr>
            </w:pPr>
            <w:r w:rsidRPr="005B40C5">
              <w:rPr>
                <w:sz w:val="18"/>
                <w:szCs w:val="18"/>
              </w:rPr>
              <w:t> </w:t>
            </w:r>
          </w:p>
        </w:tc>
        <w:tc>
          <w:tcPr>
            <w:tcW w:w="1268" w:type="dxa"/>
            <w:tcBorders>
              <w:top w:val="single" w:sz="6" w:space="0" w:color="404040"/>
              <w:bottom w:val="single" w:sz="6" w:space="0" w:color="404040"/>
            </w:tcBorders>
            <w:shd w:val="clear" w:color="auto" w:fill="auto"/>
            <w:vAlign w:val="center"/>
          </w:tcPr>
          <w:p w14:paraId="60C2400A" w14:textId="77777777" w:rsidR="007D03A9" w:rsidRPr="005B40C5" w:rsidRDefault="007D03A9" w:rsidP="00140691">
            <w:pPr>
              <w:tabs>
                <w:tab w:val="left" w:pos="202"/>
                <w:tab w:val="left" w:pos="228"/>
                <w:tab w:val="decimal" w:pos="579"/>
              </w:tabs>
              <w:jc w:val="left"/>
              <w:rPr>
                <w:sz w:val="18"/>
                <w:szCs w:val="18"/>
              </w:rPr>
            </w:pPr>
          </w:p>
        </w:tc>
      </w:tr>
      <w:tr w:rsidR="003F791C" w:rsidRPr="000A6510" w14:paraId="1C385F84" w14:textId="77777777" w:rsidTr="00140691">
        <w:trPr>
          <w:cantSplit/>
          <w:trHeight w:val="20"/>
          <w:jc w:val="center"/>
        </w:trPr>
        <w:tc>
          <w:tcPr>
            <w:tcW w:w="5004" w:type="dxa"/>
            <w:tcBorders>
              <w:top w:val="single" w:sz="6" w:space="0" w:color="404040"/>
              <w:left w:val="single" w:sz="6" w:space="0" w:color="404040"/>
              <w:right w:val="single" w:sz="6" w:space="0" w:color="404040"/>
            </w:tcBorders>
            <w:shd w:val="clear" w:color="auto" w:fill="auto"/>
            <w:vAlign w:val="center"/>
          </w:tcPr>
          <w:p w14:paraId="3540A6BF" w14:textId="43948163" w:rsidR="003F791C" w:rsidRPr="000A6510" w:rsidRDefault="003F791C" w:rsidP="003F791C">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del Sector Construcción</w:t>
            </w:r>
          </w:p>
        </w:tc>
        <w:tc>
          <w:tcPr>
            <w:tcW w:w="1160" w:type="dxa"/>
            <w:tcBorders>
              <w:top w:val="single" w:sz="6" w:space="0" w:color="404040"/>
              <w:left w:val="single" w:sz="6" w:space="0" w:color="404040"/>
            </w:tcBorders>
            <w:shd w:val="clear" w:color="auto" w:fill="auto"/>
            <w:vAlign w:val="center"/>
          </w:tcPr>
          <w:p w14:paraId="0C49C13C" w14:textId="0CC61E41" w:rsidR="003F791C" w:rsidRPr="003F791C" w:rsidRDefault="003F791C" w:rsidP="003F791C">
            <w:pPr>
              <w:tabs>
                <w:tab w:val="decimal" w:pos="537"/>
              </w:tabs>
              <w:jc w:val="left"/>
              <w:rPr>
                <w:b/>
                <w:sz w:val="18"/>
                <w:szCs w:val="18"/>
              </w:rPr>
            </w:pPr>
            <w:r w:rsidRPr="003F791C">
              <w:rPr>
                <w:b/>
                <w:bCs/>
                <w:color w:val="000000"/>
                <w:sz w:val="18"/>
                <w:szCs w:val="18"/>
              </w:rPr>
              <w:t>52.7</w:t>
            </w:r>
          </w:p>
        </w:tc>
        <w:tc>
          <w:tcPr>
            <w:tcW w:w="1075" w:type="dxa"/>
            <w:tcBorders>
              <w:top w:val="single" w:sz="6" w:space="0" w:color="404040"/>
              <w:right w:val="single" w:sz="6" w:space="0" w:color="404040"/>
            </w:tcBorders>
            <w:shd w:val="clear" w:color="auto" w:fill="auto"/>
            <w:vAlign w:val="center"/>
          </w:tcPr>
          <w:p w14:paraId="0486D818" w14:textId="72CB14E1" w:rsidR="003F791C" w:rsidRPr="003F791C" w:rsidRDefault="003F791C" w:rsidP="003F791C">
            <w:pPr>
              <w:tabs>
                <w:tab w:val="decimal" w:pos="421"/>
              </w:tabs>
              <w:jc w:val="left"/>
              <w:rPr>
                <w:b/>
                <w:sz w:val="18"/>
                <w:szCs w:val="18"/>
              </w:rPr>
            </w:pPr>
            <w:r w:rsidRPr="003F791C">
              <w:rPr>
                <w:b/>
                <w:bCs/>
                <w:color w:val="000000"/>
                <w:sz w:val="18"/>
                <w:szCs w:val="18"/>
              </w:rPr>
              <w:t>54.4</w:t>
            </w:r>
          </w:p>
        </w:tc>
        <w:tc>
          <w:tcPr>
            <w:tcW w:w="1268" w:type="dxa"/>
            <w:tcBorders>
              <w:top w:val="single" w:sz="6" w:space="0" w:color="404040"/>
              <w:left w:val="single" w:sz="6" w:space="0" w:color="404040"/>
              <w:right w:val="single" w:sz="6" w:space="0" w:color="404040"/>
            </w:tcBorders>
            <w:shd w:val="clear" w:color="auto" w:fill="auto"/>
            <w:vAlign w:val="center"/>
          </w:tcPr>
          <w:p w14:paraId="441CB429" w14:textId="665BF4C8" w:rsidR="003F791C" w:rsidRPr="003F791C" w:rsidRDefault="003F791C" w:rsidP="003F791C">
            <w:pPr>
              <w:tabs>
                <w:tab w:val="decimal" w:pos="579"/>
              </w:tabs>
              <w:jc w:val="left"/>
              <w:rPr>
                <w:b/>
                <w:sz w:val="18"/>
                <w:szCs w:val="18"/>
              </w:rPr>
            </w:pPr>
            <w:r w:rsidRPr="003F791C">
              <w:rPr>
                <w:b/>
                <w:bCs/>
                <w:sz w:val="18"/>
                <w:szCs w:val="18"/>
              </w:rPr>
              <w:t>1.7</w:t>
            </w:r>
          </w:p>
        </w:tc>
      </w:tr>
      <w:tr w:rsidR="003F791C" w:rsidRPr="000A6510" w14:paraId="14AF0FF3"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39B4FD88" w14:textId="77777777" w:rsidR="003F791C" w:rsidRPr="000A6510" w:rsidRDefault="003F791C" w:rsidP="003F791C">
            <w:pPr>
              <w:pStyle w:val="Prrafodelista"/>
              <w:widowControl w:val="0"/>
              <w:numPr>
                <w:ilvl w:val="0"/>
                <w:numId w:val="11"/>
              </w:numPr>
              <w:spacing w:line="240" w:lineRule="exact"/>
              <w:ind w:left="323" w:hanging="266"/>
              <w:contextualSpacing/>
              <w:jc w:val="left"/>
              <w:rPr>
                <w:sz w:val="18"/>
                <w:szCs w:val="18"/>
                <w:lang w:val="es-MX"/>
              </w:rPr>
            </w:pPr>
            <w:r w:rsidRPr="000A6510">
              <w:rPr>
                <w:sz w:val="18"/>
                <w:szCs w:val="18"/>
                <w:lang w:val="es-MX"/>
              </w:rPr>
              <w:t>Valor de las obras ejecutadas como contratista principal</w:t>
            </w:r>
          </w:p>
        </w:tc>
        <w:tc>
          <w:tcPr>
            <w:tcW w:w="1160" w:type="dxa"/>
            <w:tcBorders>
              <w:left w:val="single" w:sz="6" w:space="0" w:color="404040"/>
            </w:tcBorders>
            <w:shd w:val="clear" w:color="auto" w:fill="auto"/>
            <w:vAlign w:val="center"/>
          </w:tcPr>
          <w:p w14:paraId="6F6F152F" w14:textId="230B2DFB" w:rsidR="003F791C" w:rsidRPr="003F791C" w:rsidRDefault="003F791C" w:rsidP="003F791C">
            <w:pPr>
              <w:tabs>
                <w:tab w:val="decimal" w:pos="537"/>
              </w:tabs>
              <w:jc w:val="left"/>
              <w:rPr>
                <w:sz w:val="18"/>
                <w:szCs w:val="18"/>
              </w:rPr>
            </w:pPr>
            <w:r w:rsidRPr="003F791C">
              <w:rPr>
                <w:color w:val="000000"/>
                <w:sz w:val="18"/>
                <w:szCs w:val="18"/>
              </w:rPr>
              <w:t>53.9</w:t>
            </w:r>
          </w:p>
        </w:tc>
        <w:tc>
          <w:tcPr>
            <w:tcW w:w="1075" w:type="dxa"/>
            <w:tcBorders>
              <w:right w:val="single" w:sz="6" w:space="0" w:color="404040"/>
            </w:tcBorders>
            <w:shd w:val="clear" w:color="auto" w:fill="auto"/>
            <w:vAlign w:val="center"/>
          </w:tcPr>
          <w:p w14:paraId="138C908E" w14:textId="500F533B" w:rsidR="003F791C" w:rsidRPr="003F791C" w:rsidRDefault="003F791C" w:rsidP="003F791C">
            <w:pPr>
              <w:tabs>
                <w:tab w:val="decimal" w:pos="421"/>
              </w:tabs>
              <w:jc w:val="left"/>
              <w:rPr>
                <w:sz w:val="18"/>
                <w:szCs w:val="18"/>
              </w:rPr>
            </w:pPr>
            <w:r w:rsidRPr="003F791C">
              <w:rPr>
                <w:color w:val="000000"/>
                <w:sz w:val="18"/>
                <w:szCs w:val="18"/>
              </w:rPr>
              <w:t>55.4</w:t>
            </w:r>
          </w:p>
        </w:tc>
        <w:tc>
          <w:tcPr>
            <w:tcW w:w="1268" w:type="dxa"/>
            <w:tcBorders>
              <w:left w:val="single" w:sz="6" w:space="0" w:color="404040"/>
              <w:right w:val="single" w:sz="6" w:space="0" w:color="404040"/>
            </w:tcBorders>
            <w:shd w:val="clear" w:color="auto" w:fill="auto"/>
            <w:vAlign w:val="center"/>
          </w:tcPr>
          <w:p w14:paraId="12926165" w14:textId="461D299D" w:rsidR="003F791C" w:rsidRPr="003F791C" w:rsidRDefault="003F791C" w:rsidP="003F791C">
            <w:pPr>
              <w:tabs>
                <w:tab w:val="decimal" w:pos="579"/>
              </w:tabs>
              <w:jc w:val="left"/>
              <w:rPr>
                <w:sz w:val="18"/>
                <w:szCs w:val="18"/>
              </w:rPr>
            </w:pPr>
            <w:r w:rsidRPr="003F791C">
              <w:rPr>
                <w:sz w:val="18"/>
                <w:szCs w:val="18"/>
              </w:rPr>
              <w:t>1.5</w:t>
            </w:r>
          </w:p>
        </w:tc>
      </w:tr>
      <w:tr w:rsidR="003F791C" w:rsidRPr="000A6510" w14:paraId="5E93EAB5"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1B038FDB" w14:textId="77777777" w:rsidR="003F791C" w:rsidRPr="000A6510" w:rsidRDefault="003F791C" w:rsidP="003F791C">
            <w:pPr>
              <w:pStyle w:val="Prrafodelista"/>
              <w:widowControl w:val="0"/>
              <w:numPr>
                <w:ilvl w:val="0"/>
                <w:numId w:val="11"/>
              </w:numPr>
              <w:spacing w:line="240" w:lineRule="exact"/>
              <w:ind w:left="322" w:hanging="266"/>
              <w:contextualSpacing/>
              <w:jc w:val="left"/>
              <w:rPr>
                <w:sz w:val="18"/>
                <w:szCs w:val="18"/>
                <w:lang w:val="es-MX"/>
              </w:rPr>
            </w:pPr>
            <w:r w:rsidRPr="000A6510">
              <w:rPr>
                <w:sz w:val="18"/>
                <w:szCs w:val="18"/>
              </w:rPr>
              <w:t xml:space="preserve">Valor de las </w:t>
            </w:r>
            <w:r w:rsidRPr="000A6510">
              <w:rPr>
                <w:sz w:val="18"/>
                <w:szCs w:val="18"/>
                <w:lang w:val="es-MX"/>
              </w:rPr>
              <w:t>obras ejecutadas como subcontratista</w:t>
            </w:r>
          </w:p>
        </w:tc>
        <w:tc>
          <w:tcPr>
            <w:tcW w:w="1160" w:type="dxa"/>
            <w:tcBorders>
              <w:left w:val="single" w:sz="6" w:space="0" w:color="404040"/>
            </w:tcBorders>
            <w:shd w:val="clear" w:color="auto" w:fill="auto"/>
            <w:vAlign w:val="center"/>
          </w:tcPr>
          <w:p w14:paraId="72B28F56" w14:textId="0BAF52F1" w:rsidR="003F791C" w:rsidRPr="003F791C" w:rsidRDefault="003F791C" w:rsidP="003F791C">
            <w:pPr>
              <w:tabs>
                <w:tab w:val="decimal" w:pos="537"/>
              </w:tabs>
              <w:jc w:val="left"/>
              <w:rPr>
                <w:sz w:val="18"/>
                <w:szCs w:val="18"/>
              </w:rPr>
            </w:pPr>
            <w:r w:rsidRPr="003F791C">
              <w:rPr>
                <w:color w:val="000000"/>
                <w:sz w:val="18"/>
                <w:szCs w:val="18"/>
              </w:rPr>
              <w:t>53.6</w:t>
            </w:r>
          </w:p>
        </w:tc>
        <w:tc>
          <w:tcPr>
            <w:tcW w:w="1075" w:type="dxa"/>
            <w:tcBorders>
              <w:right w:val="single" w:sz="6" w:space="0" w:color="404040"/>
            </w:tcBorders>
            <w:shd w:val="clear" w:color="auto" w:fill="auto"/>
            <w:vAlign w:val="center"/>
          </w:tcPr>
          <w:p w14:paraId="4731BAB9" w14:textId="07CFCCE3" w:rsidR="003F791C" w:rsidRPr="003F791C" w:rsidRDefault="003F791C" w:rsidP="003F791C">
            <w:pPr>
              <w:tabs>
                <w:tab w:val="decimal" w:pos="421"/>
              </w:tabs>
              <w:jc w:val="left"/>
              <w:rPr>
                <w:sz w:val="18"/>
                <w:szCs w:val="18"/>
              </w:rPr>
            </w:pPr>
            <w:r w:rsidRPr="003F791C">
              <w:rPr>
                <w:color w:val="000000"/>
                <w:sz w:val="18"/>
                <w:szCs w:val="18"/>
              </w:rPr>
              <w:t>55.4</w:t>
            </w:r>
          </w:p>
        </w:tc>
        <w:tc>
          <w:tcPr>
            <w:tcW w:w="1268" w:type="dxa"/>
            <w:tcBorders>
              <w:left w:val="single" w:sz="6" w:space="0" w:color="404040"/>
              <w:right w:val="single" w:sz="6" w:space="0" w:color="404040"/>
            </w:tcBorders>
            <w:shd w:val="clear" w:color="auto" w:fill="auto"/>
            <w:vAlign w:val="center"/>
          </w:tcPr>
          <w:p w14:paraId="59D51503" w14:textId="2ADA0D6E" w:rsidR="003F791C" w:rsidRPr="003F791C" w:rsidRDefault="003F791C" w:rsidP="003F791C">
            <w:pPr>
              <w:tabs>
                <w:tab w:val="decimal" w:pos="579"/>
              </w:tabs>
              <w:jc w:val="left"/>
              <w:rPr>
                <w:sz w:val="18"/>
                <w:szCs w:val="18"/>
              </w:rPr>
            </w:pPr>
            <w:r w:rsidRPr="003F791C">
              <w:rPr>
                <w:sz w:val="18"/>
                <w:szCs w:val="18"/>
              </w:rPr>
              <w:t>1.7</w:t>
            </w:r>
          </w:p>
        </w:tc>
      </w:tr>
      <w:tr w:rsidR="003F791C" w:rsidRPr="000A6510" w14:paraId="68307917"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6B9FFAB1" w14:textId="35778E59" w:rsidR="003F791C" w:rsidRPr="000A6510" w:rsidRDefault="003F791C" w:rsidP="003F791C">
            <w:pPr>
              <w:pStyle w:val="Prrafodelista"/>
              <w:widowControl w:val="0"/>
              <w:numPr>
                <w:ilvl w:val="0"/>
                <w:numId w:val="11"/>
              </w:numPr>
              <w:spacing w:line="240" w:lineRule="exact"/>
              <w:ind w:left="322" w:hanging="266"/>
              <w:contextualSpacing/>
              <w:jc w:val="left"/>
              <w:rPr>
                <w:sz w:val="18"/>
                <w:szCs w:val="18"/>
                <w:lang w:val="es-MX"/>
              </w:rPr>
            </w:pPr>
            <w:r w:rsidRPr="000A6510">
              <w:rPr>
                <w:sz w:val="18"/>
                <w:szCs w:val="18"/>
                <w:lang w:val="es-MX"/>
              </w:rPr>
              <w:t>Total de contratos y subcontratos</w:t>
            </w:r>
          </w:p>
        </w:tc>
        <w:tc>
          <w:tcPr>
            <w:tcW w:w="1160" w:type="dxa"/>
            <w:tcBorders>
              <w:left w:val="single" w:sz="6" w:space="0" w:color="404040"/>
            </w:tcBorders>
            <w:shd w:val="clear" w:color="auto" w:fill="auto"/>
            <w:vAlign w:val="center"/>
          </w:tcPr>
          <w:p w14:paraId="73614971" w14:textId="216CF519" w:rsidR="003F791C" w:rsidRPr="003F791C" w:rsidRDefault="003F791C" w:rsidP="003F791C">
            <w:pPr>
              <w:tabs>
                <w:tab w:val="decimal" w:pos="537"/>
              </w:tabs>
              <w:jc w:val="left"/>
              <w:rPr>
                <w:sz w:val="18"/>
                <w:szCs w:val="18"/>
              </w:rPr>
            </w:pPr>
            <w:r w:rsidRPr="003F791C">
              <w:rPr>
                <w:color w:val="000000"/>
                <w:sz w:val="18"/>
                <w:szCs w:val="18"/>
              </w:rPr>
              <w:t>52.8</w:t>
            </w:r>
          </w:p>
        </w:tc>
        <w:tc>
          <w:tcPr>
            <w:tcW w:w="1075" w:type="dxa"/>
            <w:tcBorders>
              <w:right w:val="single" w:sz="6" w:space="0" w:color="404040"/>
            </w:tcBorders>
            <w:shd w:val="clear" w:color="auto" w:fill="auto"/>
            <w:vAlign w:val="center"/>
          </w:tcPr>
          <w:p w14:paraId="764B58AD" w14:textId="5DB3ECC1" w:rsidR="003F791C" w:rsidRPr="003F791C" w:rsidRDefault="003F791C" w:rsidP="003F791C">
            <w:pPr>
              <w:tabs>
                <w:tab w:val="decimal" w:pos="421"/>
              </w:tabs>
              <w:jc w:val="left"/>
              <w:rPr>
                <w:sz w:val="18"/>
                <w:szCs w:val="18"/>
              </w:rPr>
            </w:pPr>
            <w:r w:rsidRPr="003F791C">
              <w:rPr>
                <w:color w:val="000000"/>
                <w:sz w:val="18"/>
                <w:szCs w:val="18"/>
              </w:rPr>
              <w:t>54.5</w:t>
            </w:r>
          </w:p>
        </w:tc>
        <w:tc>
          <w:tcPr>
            <w:tcW w:w="1268" w:type="dxa"/>
            <w:tcBorders>
              <w:left w:val="single" w:sz="6" w:space="0" w:color="404040"/>
              <w:right w:val="single" w:sz="6" w:space="0" w:color="404040"/>
            </w:tcBorders>
            <w:shd w:val="clear" w:color="auto" w:fill="auto"/>
            <w:vAlign w:val="center"/>
          </w:tcPr>
          <w:p w14:paraId="4395E2F4" w14:textId="2B079DB0" w:rsidR="003F791C" w:rsidRPr="003F791C" w:rsidRDefault="003F791C" w:rsidP="003F791C">
            <w:pPr>
              <w:tabs>
                <w:tab w:val="decimal" w:pos="579"/>
              </w:tabs>
              <w:jc w:val="left"/>
              <w:rPr>
                <w:sz w:val="18"/>
                <w:szCs w:val="18"/>
              </w:rPr>
            </w:pPr>
            <w:r w:rsidRPr="003F791C">
              <w:rPr>
                <w:sz w:val="18"/>
                <w:szCs w:val="18"/>
              </w:rPr>
              <w:t>1.7</w:t>
            </w:r>
          </w:p>
        </w:tc>
      </w:tr>
      <w:tr w:rsidR="003F791C" w:rsidRPr="000A6510" w14:paraId="3D733519" w14:textId="77777777" w:rsidTr="00937F65">
        <w:trPr>
          <w:cantSplit/>
          <w:trHeight w:val="20"/>
          <w:jc w:val="center"/>
        </w:trPr>
        <w:tc>
          <w:tcPr>
            <w:tcW w:w="5004" w:type="dxa"/>
            <w:tcBorders>
              <w:left w:val="single" w:sz="6" w:space="0" w:color="404040"/>
              <w:bottom w:val="single" w:sz="6" w:space="0" w:color="404040"/>
              <w:right w:val="single" w:sz="6" w:space="0" w:color="404040"/>
            </w:tcBorders>
            <w:shd w:val="clear" w:color="auto" w:fill="auto"/>
            <w:vAlign w:val="center"/>
          </w:tcPr>
          <w:p w14:paraId="26A24804" w14:textId="77777777" w:rsidR="003F791C" w:rsidRPr="000A6510" w:rsidRDefault="003F791C" w:rsidP="003F791C">
            <w:pPr>
              <w:pStyle w:val="Prrafodelista"/>
              <w:widowControl w:val="0"/>
              <w:numPr>
                <w:ilvl w:val="0"/>
                <w:numId w:val="11"/>
              </w:numPr>
              <w:spacing w:after="20" w:line="240" w:lineRule="exact"/>
              <w:ind w:left="323" w:hanging="266"/>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6" w:space="0" w:color="404040"/>
            </w:tcBorders>
            <w:shd w:val="clear" w:color="auto" w:fill="auto"/>
            <w:vAlign w:val="center"/>
          </w:tcPr>
          <w:p w14:paraId="3AB18111" w14:textId="5619DA16" w:rsidR="003F791C" w:rsidRPr="003F791C" w:rsidRDefault="003F791C" w:rsidP="003F791C">
            <w:pPr>
              <w:tabs>
                <w:tab w:val="decimal" w:pos="537"/>
              </w:tabs>
              <w:jc w:val="left"/>
              <w:rPr>
                <w:sz w:val="18"/>
                <w:szCs w:val="18"/>
              </w:rPr>
            </w:pPr>
            <w:r w:rsidRPr="003F791C">
              <w:rPr>
                <w:color w:val="000000"/>
                <w:sz w:val="18"/>
                <w:szCs w:val="18"/>
              </w:rPr>
              <w:t>50.7</w:t>
            </w:r>
          </w:p>
        </w:tc>
        <w:tc>
          <w:tcPr>
            <w:tcW w:w="1075" w:type="dxa"/>
            <w:tcBorders>
              <w:bottom w:val="single" w:sz="6" w:space="0" w:color="404040"/>
              <w:right w:val="single" w:sz="6" w:space="0" w:color="404040"/>
            </w:tcBorders>
            <w:shd w:val="clear" w:color="auto" w:fill="auto"/>
            <w:vAlign w:val="center"/>
          </w:tcPr>
          <w:p w14:paraId="46B14B2F" w14:textId="2A6D6792" w:rsidR="003F791C" w:rsidRPr="003F791C" w:rsidRDefault="003F791C" w:rsidP="003F791C">
            <w:pPr>
              <w:tabs>
                <w:tab w:val="decimal" w:pos="421"/>
              </w:tabs>
              <w:jc w:val="left"/>
              <w:rPr>
                <w:sz w:val="18"/>
                <w:szCs w:val="18"/>
              </w:rPr>
            </w:pPr>
            <w:r w:rsidRPr="003F791C">
              <w:rPr>
                <w:color w:val="000000"/>
                <w:sz w:val="18"/>
                <w:szCs w:val="18"/>
              </w:rPr>
              <w:t>52.6</w:t>
            </w:r>
          </w:p>
        </w:tc>
        <w:tc>
          <w:tcPr>
            <w:tcW w:w="1268" w:type="dxa"/>
            <w:tcBorders>
              <w:left w:val="single" w:sz="6" w:space="0" w:color="404040"/>
              <w:bottom w:val="single" w:sz="6" w:space="0" w:color="404040"/>
              <w:right w:val="single" w:sz="6" w:space="0" w:color="404040"/>
            </w:tcBorders>
            <w:shd w:val="clear" w:color="auto" w:fill="auto"/>
            <w:vAlign w:val="center"/>
          </w:tcPr>
          <w:p w14:paraId="1A9E1408" w14:textId="0BA6C26F" w:rsidR="003F791C" w:rsidRPr="003F791C" w:rsidRDefault="003F791C" w:rsidP="003F791C">
            <w:pPr>
              <w:tabs>
                <w:tab w:val="decimal" w:pos="579"/>
              </w:tabs>
              <w:jc w:val="left"/>
              <w:rPr>
                <w:sz w:val="18"/>
                <w:szCs w:val="18"/>
              </w:rPr>
            </w:pPr>
            <w:r w:rsidRPr="003F791C">
              <w:rPr>
                <w:sz w:val="18"/>
                <w:szCs w:val="18"/>
              </w:rPr>
              <w:t>1.9</w:t>
            </w:r>
          </w:p>
        </w:tc>
      </w:tr>
      <w:tr w:rsidR="0086092A" w:rsidRPr="000A6510" w14:paraId="75D58959" w14:textId="77777777" w:rsidTr="00937F65">
        <w:trPr>
          <w:cantSplit/>
          <w:trHeight w:val="170"/>
          <w:jc w:val="center"/>
        </w:trPr>
        <w:tc>
          <w:tcPr>
            <w:tcW w:w="5004" w:type="dxa"/>
            <w:tcBorders>
              <w:top w:val="single" w:sz="6" w:space="0" w:color="404040"/>
              <w:bottom w:val="single" w:sz="6" w:space="0" w:color="404040"/>
            </w:tcBorders>
            <w:shd w:val="clear" w:color="auto" w:fill="auto"/>
            <w:vAlign w:val="center"/>
          </w:tcPr>
          <w:p w14:paraId="07C8D0C9" w14:textId="77777777" w:rsidR="0086092A" w:rsidRPr="000A6510" w:rsidRDefault="0086092A" w:rsidP="0032229C">
            <w:pPr>
              <w:widowControl w:val="0"/>
              <w:tabs>
                <w:tab w:val="left" w:pos="442"/>
              </w:tabs>
              <w:rPr>
                <w:sz w:val="8"/>
                <w:szCs w:val="8"/>
                <w:lang w:val="es-MX"/>
              </w:rPr>
            </w:pPr>
          </w:p>
        </w:tc>
        <w:tc>
          <w:tcPr>
            <w:tcW w:w="1160" w:type="dxa"/>
            <w:tcBorders>
              <w:top w:val="single" w:sz="6" w:space="0" w:color="404040"/>
              <w:bottom w:val="single" w:sz="6" w:space="0" w:color="404040"/>
            </w:tcBorders>
            <w:shd w:val="clear" w:color="auto" w:fill="auto"/>
            <w:vAlign w:val="center"/>
          </w:tcPr>
          <w:p w14:paraId="3DFE542F" w14:textId="77777777" w:rsidR="0086092A" w:rsidRPr="005B40C5" w:rsidRDefault="0086092A" w:rsidP="00140691">
            <w:pPr>
              <w:tabs>
                <w:tab w:val="decimal" w:pos="537"/>
                <w:tab w:val="decimal" w:pos="581"/>
              </w:tabs>
              <w:jc w:val="left"/>
              <w:rPr>
                <w:sz w:val="18"/>
                <w:szCs w:val="18"/>
              </w:rPr>
            </w:pPr>
          </w:p>
        </w:tc>
        <w:tc>
          <w:tcPr>
            <w:tcW w:w="1075" w:type="dxa"/>
            <w:tcBorders>
              <w:top w:val="single" w:sz="6" w:space="0" w:color="404040"/>
              <w:bottom w:val="single" w:sz="6" w:space="0" w:color="404040"/>
            </w:tcBorders>
            <w:shd w:val="clear" w:color="auto" w:fill="auto"/>
            <w:vAlign w:val="center"/>
          </w:tcPr>
          <w:p w14:paraId="60F06C82" w14:textId="77777777" w:rsidR="0086092A" w:rsidRPr="005B40C5" w:rsidRDefault="0086092A" w:rsidP="00140691">
            <w:pPr>
              <w:tabs>
                <w:tab w:val="decimal" w:pos="421"/>
              </w:tabs>
              <w:jc w:val="left"/>
              <w:rPr>
                <w:sz w:val="18"/>
                <w:szCs w:val="18"/>
              </w:rPr>
            </w:pPr>
          </w:p>
        </w:tc>
        <w:tc>
          <w:tcPr>
            <w:tcW w:w="1268" w:type="dxa"/>
            <w:tcBorders>
              <w:top w:val="single" w:sz="6" w:space="0" w:color="404040"/>
              <w:bottom w:val="single" w:sz="6" w:space="0" w:color="404040"/>
            </w:tcBorders>
            <w:shd w:val="clear" w:color="auto" w:fill="auto"/>
            <w:vAlign w:val="center"/>
          </w:tcPr>
          <w:p w14:paraId="027FA47A" w14:textId="77777777" w:rsidR="0086092A" w:rsidRPr="005B40C5" w:rsidRDefault="0086092A" w:rsidP="00140691">
            <w:pPr>
              <w:tabs>
                <w:tab w:val="left" w:pos="202"/>
                <w:tab w:val="left" w:pos="228"/>
                <w:tab w:val="decimal" w:pos="579"/>
              </w:tabs>
              <w:jc w:val="left"/>
              <w:rPr>
                <w:sz w:val="18"/>
                <w:szCs w:val="18"/>
              </w:rPr>
            </w:pPr>
          </w:p>
        </w:tc>
      </w:tr>
      <w:tr w:rsidR="003F791C" w:rsidRPr="000A6510" w14:paraId="77C9E96F" w14:textId="77777777" w:rsidTr="00937F65">
        <w:trPr>
          <w:cantSplit/>
          <w:trHeight w:val="20"/>
          <w:jc w:val="center"/>
        </w:trPr>
        <w:tc>
          <w:tcPr>
            <w:tcW w:w="5004" w:type="dxa"/>
            <w:tcBorders>
              <w:top w:val="single" w:sz="6" w:space="0" w:color="404040"/>
              <w:left w:val="single" w:sz="6" w:space="0" w:color="404040"/>
              <w:right w:val="single" w:sz="6" w:space="0" w:color="404040"/>
            </w:tcBorders>
            <w:shd w:val="clear" w:color="auto" w:fill="auto"/>
            <w:vAlign w:val="center"/>
          </w:tcPr>
          <w:p w14:paraId="1C0321E8" w14:textId="0235AA92" w:rsidR="003F791C" w:rsidRPr="000A6510" w:rsidRDefault="003F791C" w:rsidP="003F791C">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del Sector Comercio</w:t>
            </w:r>
          </w:p>
        </w:tc>
        <w:tc>
          <w:tcPr>
            <w:tcW w:w="1160" w:type="dxa"/>
            <w:tcBorders>
              <w:top w:val="single" w:sz="6" w:space="0" w:color="404040"/>
              <w:left w:val="single" w:sz="6" w:space="0" w:color="404040"/>
            </w:tcBorders>
            <w:shd w:val="clear" w:color="auto" w:fill="auto"/>
            <w:vAlign w:val="center"/>
          </w:tcPr>
          <w:p w14:paraId="3F389487" w14:textId="1EC72BA8" w:rsidR="003F791C" w:rsidRPr="003F791C" w:rsidRDefault="003F791C" w:rsidP="003F791C">
            <w:pPr>
              <w:tabs>
                <w:tab w:val="decimal" w:pos="537"/>
              </w:tabs>
              <w:jc w:val="left"/>
              <w:rPr>
                <w:b/>
                <w:sz w:val="18"/>
                <w:szCs w:val="18"/>
              </w:rPr>
            </w:pPr>
            <w:r w:rsidRPr="003F791C">
              <w:rPr>
                <w:b/>
                <w:bCs/>
                <w:sz w:val="18"/>
                <w:szCs w:val="18"/>
              </w:rPr>
              <w:t>56.6</w:t>
            </w:r>
          </w:p>
        </w:tc>
        <w:tc>
          <w:tcPr>
            <w:tcW w:w="1075" w:type="dxa"/>
            <w:tcBorders>
              <w:top w:val="single" w:sz="6" w:space="0" w:color="404040"/>
              <w:right w:val="single" w:sz="6" w:space="0" w:color="404040"/>
            </w:tcBorders>
            <w:shd w:val="clear" w:color="auto" w:fill="auto"/>
            <w:vAlign w:val="center"/>
          </w:tcPr>
          <w:p w14:paraId="78A6D150" w14:textId="6472CB2B" w:rsidR="003F791C" w:rsidRPr="003F791C" w:rsidRDefault="003F791C" w:rsidP="003F791C">
            <w:pPr>
              <w:tabs>
                <w:tab w:val="decimal" w:pos="421"/>
              </w:tabs>
              <w:jc w:val="left"/>
              <w:rPr>
                <w:b/>
                <w:sz w:val="18"/>
                <w:szCs w:val="18"/>
              </w:rPr>
            </w:pPr>
            <w:r w:rsidRPr="003F791C">
              <w:rPr>
                <w:b/>
                <w:bCs/>
                <w:sz w:val="18"/>
                <w:szCs w:val="18"/>
              </w:rPr>
              <w:t>54.5</w:t>
            </w:r>
          </w:p>
        </w:tc>
        <w:tc>
          <w:tcPr>
            <w:tcW w:w="1268" w:type="dxa"/>
            <w:tcBorders>
              <w:top w:val="single" w:sz="6" w:space="0" w:color="404040"/>
              <w:left w:val="single" w:sz="6" w:space="0" w:color="404040"/>
              <w:right w:val="single" w:sz="6" w:space="0" w:color="404040"/>
            </w:tcBorders>
            <w:shd w:val="clear" w:color="auto" w:fill="auto"/>
            <w:vAlign w:val="center"/>
          </w:tcPr>
          <w:p w14:paraId="32B8D4D6" w14:textId="640642B9" w:rsidR="003F791C" w:rsidRPr="003F791C" w:rsidRDefault="003F791C" w:rsidP="003F791C">
            <w:pPr>
              <w:tabs>
                <w:tab w:val="decimal" w:pos="579"/>
              </w:tabs>
              <w:jc w:val="left"/>
              <w:rPr>
                <w:b/>
                <w:sz w:val="18"/>
                <w:szCs w:val="18"/>
              </w:rPr>
            </w:pPr>
            <w:r w:rsidRPr="003F791C">
              <w:rPr>
                <w:b/>
                <w:bCs/>
                <w:sz w:val="18"/>
                <w:szCs w:val="18"/>
              </w:rPr>
              <w:t>-2.1</w:t>
            </w:r>
          </w:p>
        </w:tc>
      </w:tr>
      <w:tr w:rsidR="003F791C" w:rsidRPr="000A6510" w14:paraId="0AC4BF9F"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180D4369" w14:textId="77777777" w:rsidR="003F791C" w:rsidRPr="000A6510" w:rsidRDefault="003F791C" w:rsidP="003F791C">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Ventas netas</w:t>
            </w:r>
          </w:p>
        </w:tc>
        <w:tc>
          <w:tcPr>
            <w:tcW w:w="1160" w:type="dxa"/>
            <w:tcBorders>
              <w:left w:val="single" w:sz="6" w:space="0" w:color="404040"/>
            </w:tcBorders>
            <w:shd w:val="clear" w:color="auto" w:fill="auto"/>
            <w:vAlign w:val="center"/>
          </w:tcPr>
          <w:p w14:paraId="4FDFBED4" w14:textId="677DB1C9" w:rsidR="003F791C" w:rsidRPr="003F791C" w:rsidRDefault="003F791C" w:rsidP="003F791C">
            <w:pPr>
              <w:tabs>
                <w:tab w:val="decimal" w:pos="537"/>
              </w:tabs>
              <w:jc w:val="left"/>
              <w:rPr>
                <w:sz w:val="18"/>
                <w:szCs w:val="18"/>
              </w:rPr>
            </w:pPr>
            <w:r w:rsidRPr="003F791C">
              <w:rPr>
                <w:sz w:val="18"/>
                <w:szCs w:val="18"/>
              </w:rPr>
              <w:t>60.4</w:t>
            </w:r>
          </w:p>
        </w:tc>
        <w:tc>
          <w:tcPr>
            <w:tcW w:w="1075" w:type="dxa"/>
            <w:tcBorders>
              <w:right w:val="single" w:sz="6" w:space="0" w:color="404040"/>
            </w:tcBorders>
            <w:shd w:val="clear" w:color="auto" w:fill="auto"/>
            <w:vAlign w:val="center"/>
          </w:tcPr>
          <w:p w14:paraId="55A8A0E2" w14:textId="7741973A" w:rsidR="003F791C" w:rsidRPr="003F791C" w:rsidRDefault="003F791C" w:rsidP="003F791C">
            <w:pPr>
              <w:tabs>
                <w:tab w:val="decimal" w:pos="421"/>
              </w:tabs>
              <w:jc w:val="left"/>
              <w:rPr>
                <w:sz w:val="18"/>
                <w:szCs w:val="18"/>
              </w:rPr>
            </w:pPr>
            <w:r w:rsidRPr="003F791C">
              <w:rPr>
                <w:sz w:val="18"/>
                <w:szCs w:val="18"/>
              </w:rPr>
              <w:t>57.1</w:t>
            </w:r>
          </w:p>
        </w:tc>
        <w:tc>
          <w:tcPr>
            <w:tcW w:w="1268" w:type="dxa"/>
            <w:tcBorders>
              <w:left w:val="single" w:sz="6" w:space="0" w:color="404040"/>
              <w:right w:val="single" w:sz="6" w:space="0" w:color="404040"/>
            </w:tcBorders>
            <w:shd w:val="clear" w:color="auto" w:fill="auto"/>
            <w:vAlign w:val="center"/>
          </w:tcPr>
          <w:p w14:paraId="4130DE16" w14:textId="63589E3E" w:rsidR="003F791C" w:rsidRPr="003F791C" w:rsidRDefault="003F791C" w:rsidP="003F791C">
            <w:pPr>
              <w:tabs>
                <w:tab w:val="decimal" w:pos="579"/>
              </w:tabs>
              <w:jc w:val="left"/>
              <w:rPr>
                <w:sz w:val="18"/>
                <w:szCs w:val="18"/>
              </w:rPr>
            </w:pPr>
            <w:r w:rsidRPr="003F791C">
              <w:rPr>
                <w:sz w:val="18"/>
                <w:szCs w:val="18"/>
              </w:rPr>
              <w:t>-3.2</w:t>
            </w:r>
          </w:p>
        </w:tc>
      </w:tr>
      <w:tr w:rsidR="003F791C" w:rsidRPr="000A6510" w14:paraId="61E67B72"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38F7F122" w14:textId="77777777" w:rsidR="003F791C" w:rsidRPr="000A6510" w:rsidRDefault="003F791C" w:rsidP="003F791C">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Ingresos por consignación y/o comisión</w:t>
            </w:r>
          </w:p>
        </w:tc>
        <w:tc>
          <w:tcPr>
            <w:tcW w:w="1160" w:type="dxa"/>
            <w:tcBorders>
              <w:left w:val="single" w:sz="6" w:space="0" w:color="404040"/>
            </w:tcBorders>
            <w:shd w:val="clear" w:color="auto" w:fill="auto"/>
            <w:vAlign w:val="center"/>
          </w:tcPr>
          <w:p w14:paraId="1AEA6BF0" w14:textId="0D2D6723" w:rsidR="003F791C" w:rsidRPr="003F791C" w:rsidRDefault="003F791C" w:rsidP="003F791C">
            <w:pPr>
              <w:tabs>
                <w:tab w:val="decimal" w:pos="537"/>
              </w:tabs>
              <w:jc w:val="left"/>
              <w:rPr>
                <w:sz w:val="18"/>
                <w:szCs w:val="18"/>
              </w:rPr>
            </w:pPr>
            <w:r w:rsidRPr="003F791C">
              <w:rPr>
                <w:sz w:val="18"/>
                <w:szCs w:val="18"/>
              </w:rPr>
              <w:t>60.8</w:t>
            </w:r>
          </w:p>
        </w:tc>
        <w:tc>
          <w:tcPr>
            <w:tcW w:w="1075" w:type="dxa"/>
            <w:tcBorders>
              <w:right w:val="single" w:sz="6" w:space="0" w:color="404040"/>
            </w:tcBorders>
            <w:shd w:val="clear" w:color="auto" w:fill="auto"/>
            <w:vAlign w:val="center"/>
          </w:tcPr>
          <w:p w14:paraId="2E3B8DB6" w14:textId="53DF33D2" w:rsidR="003F791C" w:rsidRPr="003F791C" w:rsidRDefault="003F791C" w:rsidP="003F791C">
            <w:pPr>
              <w:tabs>
                <w:tab w:val="decimal" w:pos="421"/>
              </w:tabs>
              <w:jc w:val="left"/>
              <w:rPr>
                <w:sz w:val="18"/>
                <w:szCs w:val="18"/>
              </w:rPr>
            </w:pPr>
            <w:r w:rsidRPr="003F791C">
              <w:rPr>
                <w:sz w:val="18"/>
                <w:szCs w:val="18"/>
              </w:rPr>
              <w:t>45.5</w:t>
            </w:r>
          </w:p>
        </w:tc>
        <w:tc>
          <w:tcPr>
            <w:tcW w:w="1268" w:type="dxa"/>
            <w:tcBorders>
              <w:left w:val="single" w:sz="6" w:space="0" w:color="404040"/>
              <w:right w:val="single" w:sz="6" w:space="0" w:color="404040"/>
            </w:tcBorders>
            <w:shd w:val="clear" w:color="auto" w:fill="auto"/>
            <w:vAlign w:val="center"/>
          </w:tcPr>
          <w:p w14:paraId="3DB84972" w14:textId="4148959D" w:rsidR="003F791C" w:rsidRPr="003F791C" w:rsidRDefault="003F791C" w:rsidP="003F791C">
            <w:pPr>
              <w:tabs>
                <w:tab w:val="decimal" w:pos="579"/>
              </w:tabs>
              <w:jc w:val="left"/>
              <w:rPr>
                <w:sz w:val="18"/>
                <w:szCs w:val="18"/>
              </w:rPr>
            </w:pPr>
            <w:r w:rsidRPr="003F791C">
              <w:rPr>
                <w:sz w:val="18"/>
                <w:szCs w:val="18"/>
              </w:rPr>
              <w:t>-15.3</w:t>
            </w:r>
          </w:p>
        </w:tc>
      </w:tr>
      <w:tr w:rsidR="003F791C" w:rsidRPr="000A6510" w14:paraId="689C6832"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621AA6DE" w14:textId="77777777" w:rsidR="003F791C" w:rsidRPr="000A6510" w:rsidRDefault="003F791C" w:rsidP="003F791C">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Compras netas</w:t>
            </w:r>
          </w:p>
        </w:tc>
        <w:tc>
          <w:tcPr>
            <w:tcW w:w="1160" w:type="dxa"/>
            <w:tcBorders>
              <w:left w:val="single" w:sz="6" w:space="0" w:color="404040"/>
            </w:tcBorders>
            <w:shd w:val="clear" w:color="auto" w:fill="auto"/>
            <w:vAlign w:val="center"/>
          </w:tcPr>
          <w:p w14:paraId="3380866A" w14:textId="5FEE2831" w:rsidR="003F791C" w:rsidRPr="003F791C" w:rsidRDefault="003F791C" w:rsidP="003F791C">
            <w:pPr>
              <w:tabs>
                <w:tab w:val="decimal" w:pos="537"/>
              </w:tabs>
              <w:jc w:val="left"/>
              <w:rPr>
                <w:sz w:val="18"/>
                <w:szCs w:val="18"/>
              </w:rPr>
            </w:pPr>
            <w:r w:rsidRPr="003F791C">
              <w:rPr>
                <w:sz w:val="18"/>
                <w:szCs w:val="18"/>
              </w:rPr>
              <w:t>58.9</w:t>
            </w:r>
          </w:p>
        </w:tc>
        <w:tc>
          <w:tcPr>
            <w:tcW w:w="1075" w:type="dxa"/>
            <w:tcBorders>
              <w:right w:val="single" w:sz="6" w:space="0" w:color="404040"/>
            </w:tcBorders>
            <w:shd w:val="clear" w:color="auto" w:fill="auto"/>
            <w:vAlign w:val="center"/>
          </w:tcPr>
          <w:p w14:paraId="64B15C55" w14:textId="729F0833" w:rsidR="003F791C" w:rsidRPr="003F791C" w:rsidRDefault="003F791C" w:rsidP="003F791C">
            <w:pPr>
              <w:tabs>
                <w:tab w:val="decimal" w:pos="421"/>
              </w:tabs>
              <w:jc w:val="left"/>
              <w:rPr>
                <w:sz w:val="18"/>
                <w:szCs w:val="18"/>
              </w:rPr>
            </w:pPr>
            <w:r w:rsidRPr="003F791C">
              <w:rPr>
                <w:sz w:val="18"/>
                <w:szCs w:val="18"/>
              </w:rPr>
              <w:t>58.4</w:t>
            </w:r>
          </w:p>
        </w:tc>
        <w:tc>
          <w:tcPr>
            <w:tcW w:w="1268" w:type="dxa"/>
            <w:tcBorders>
              <w:left w:val="single" w:sz="6" w:space="0" w:color="404040"/>
              <w:right w:val="single" w:sz="6" w:space="0" w:color="404040"/>
            </w:tcBorders>
            <w:shd w:val="clear" w:color="auto" w:fill="auto"/>
            <w:vAlign w:val="center"/>
          </w:tcPr>
          <w:p w14:paraId="03302231" w14:textId="5E6A3A46" w:rsidR="003F791C" w:rsidRPr="003F791C" w:rsidRDefault="003F791C" w:rsidP="003F791C">
            <w:pPr>
              <w:tabs>
                <w:tab w:val="decimal" w:pos="579"/>
              </w:tabs>
              <w:jc w:val="left"/>
              <w:rPr>
                <w:sz w:val="18"/>
                <w:szCs w:val="18"/>
              </w:rPr>
            </w:pPr>
            <w:r w:rsidRPr="003F791C">
              <w:rPr>
                <w:sz w:val="18"/>
                <w:szCs w:val="18"/>
              </w:rPr>
              <w:t>-0.5</w:t>
            </w:r>
          </w:p>
        </w:tc>
      </w:tr>
      <w:tr w:rsidR="003F791C" w:rsidRPr="000A6510" w14:paraId="69E03B55"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5356416C" w14:textId="77777777" w:rsidR="003F791C" w:rsidRPr="000A6510" w:rsidRDefault="003F791C" w:rsidP="003F791C">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Inventarios de mercancías</w:t>
            </w:r>
          </w:p>
        </w:tc>
        <w:tc>
          <w:tcPr>
            <w:tcW w:w="1160" w:type="dxa"/>
            <w:tcBorders>
              <w:left w:val="single" w:sz="6" w:space="0" w:color="404040"/>
            </w:tcBorders>
            <w:shd w:val="clear" w:color="auto" w:fill="auto"/>
            <w:vAlign w:val="center"/>
          </w:tcPr>
          <w:p w14:paraId="2F18B55C" w14:textId="3E5366A0" w:rsidR="003F791C" w:rsidRPr="003F791C" w:rsidRDefault="003F791C" w:rsidP="003F791C">
            <w:pPr>
              <w:tabs>
                <w:tab w:val="decimal" w:pos="537"/>
              </w:tabs>
              <w:jc w:val="left"/>
              <w:rPr>
                <w:sz w:val="18"/>
                <w:szCs w:val="18"/>
              </w:rPr>
            </w:pPr>
            <w:r w:rsidRPr="003F791C">
              <w:rPr>
                <w:sz w:val="18"/>
                <w:szCs w:val="18"/>
              </w:rPr>
              <w:t>53.2</w:t>
            </w:r>
          </w:p>
        </w:tc>
        <w:tc>
          <w:tcPr>
            <w:tcW w:w="1075" w:type="dxa"/>
            <w:tcBorders>
              <w:right w:val="single" w:sz="6" w:space="0" w:color="404040"/>
            </w:tcBorders>
            <w:shd w:val="clear" w:color="auto" w:fill="auto"/>
            <w:vAlign w:val="center"/>
          </w:tcPr>
          <w:p w14:paraId="61F25E31" w14:textId="0B236D1A" w:rsidR="003F791C" w:rsidRPr="003F791C" w:rsidRDefault="003F791C" w:rsidP="003F791C">
            <w:pPr>
              <w:tabs>
                <w:tab w:val="decimal" w:pos="421"/>
              </w:tabs>
              <w:jc w:val="left"/>
              <w:rPr>
                <w:sz w:val="18"/>
                <w:szCs w:val="18"/>
              </w:rPr>
            </w:pPr>
            <w:r w:rsidRPr="003F791C">
              <w:rPr>
                <w:sz w:val="18"/>
                <w:szCs w:val="18"/>
              </w:rPr>
              <w:t>56.3</w:t>
            </w:r>
          </w:p>
        </w:tc>
        <w:tc>
          <w:tcPr>
            <w:tcW w:w="1268" w:type="dxa"/>
            <w:tcBorders>
              <w:left w:val="single" w:sz="6" w:space="0" w:color="404040"/>
              <w:right w:val="single" w:sz="6" w:space="0" w:color="404040"/>
            </w:tcBorders>
            <w:shd w:val="clear" w:color="auto" w:fill="auto"/>
            <w:vAlign w:val="center"/>
          </w:tcPr>
          <w:p w14:paraId="2A145A7D" w14:textId="236C75BD" w:rsidR="003F791C" w:rsidRPr="003F791C" w:rsidRDefault="003F791C" w:rsidP="003F791C">
            <w:pPr>
              <w:tabs>
                <w:tab w:val="decimal" w:pos="579"/>
              </w:tabs>
              <w:jc w:val="left"/>
              <w:rPr>
                <w:sz w:val="18"/>
                <w:szCs w:val="18"/>
              </w:rPr>
            </w:pPr>
            <w:r w:rsidRPr="003F791C">
              <w:rPr>
                <w:sz w:val="18"/>
                <w:szCs w:val="18"/>
              </w:rPr>
              <w:t>3.1</w:t>
            </w:r>
          </w:p>
        </w:tc>
      </w:tr>
      <w:tr w:rsidR="003F791C" w:rsidRPr="000A6510" w14:paraId="4C503D00" w14:textId="77777777" w:rsidTr="00937F65">
        <w:trPr>
          <w:cantSplit/>
          <w:trHeight w:val="20"/>
          <w:jc w:val="center"/>
        </w:trPr>
        <w:tc>
          <w:tcPr>
            <w:tcW w:w="5004" w:type="dxa"/>
            <w:tcBorders>
              <w:left w:val="single" w:sz="6" w:space="0" w:color="404040"/>
              <w:bottom w:val="single" w:sz="6" w:space="0" w:color="404040"/>
              <w:right w:val="single" w:sz="6" w:space="0" w:color="404040"/>
            </w:tcBorders>
            <w:shd w:val="clear" w:color="auto" w:fill="auto"/>
            <w:vAlign w:val="center"/>
          </w:tcPr>
          <w:p w14:paraId="5A51287C" w14:textId="77777777" w:rsidR="003F791C" w:rsidRPr="000A6510" w:rsidRDefault="003F791C" w:rsidP="003F791C">
            <w:pPr>
              <w:pStyle w:val="Prrafodelista"/>
              <w:widowControl w:val="0"/>
              <w:numPr>
                <w:ilvl w:val="0"/>
                <w:numId w:val="12"/>
              </w:numPr>
              <w:spacing w:after="20" w:line="240" w:lineRule="exact"/>
              <w:ind w:left="323" w:hanging="266"/>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6" w:space="0" w:color="404040"/>
            </w:tcBorders>
            <w:shd w:val="clear" w:color="auto" w:fill="auto"/>
            <w:vAlign w:val="center"/>
          </w:tcPr>
          <w:p w14:paraId="768AF981" w14:textId="426541D6" w:rsidR="003F791C" w:rsidRPr="003F791C" w:rsidRDefault="003F791C" w:rsidP="003F791C">
            <w:pPr>
              <w:tabs>
                <w:tab w:val="decimal" w:pos="537"/>
              </w:tabs>
              <w:jc w:val="left"/>
              <w:rPr>
                <w:sz w:val="18"/>
                <w:szCs w:val="18"/>
              </w:rPr>
            </w:pPr>
            <w:r w:rsidRPr="003F791C">
              <w:rPr>
                <w:sz w:val="18"/>
                <w:szCs w:val="18"/>
              </w:rPr>
              <w:t>49.8</w:t>
            </w:r>
          </w:p>
        </w:tc>
        <w:tc>
          <w:tcPr>
            <w:tcW w:w="1075" w:type="dxa"/>
            <w:tcBorders>
              <w:bottom w:val="single" w:sz="6" w:space="0" w:color="404040"/>
              <w:right w:val="single" w:sz="6" w:space="0" w:color="404040"/>
            </w:tcBorders>
            <w:shd w:val="clear" w:color="auto" w:fill="auto"/>
            <w:vAlign w:val="center"/>
          </w:tcPr>
          <w:p w14:paraId="4C92CF9C" w14:textId="07E4A185" w:rsidR="003F791C" w:rsidRPr="003F791C" w:rsidRDefault="003F791C" w:rsidP="003F791C">
            <w:pPr>
              <w:tabs>
                <w:tab w:val="decimal" w:pos="421"/>
              </w:tabs>
              <w:jc w:val="left"/>
              <w:rPr>
                <w:sz w:val="18"/>
                <w:szCs w:val="18"/>
              </w:rPr>
            </w:pPr>
            <w:r w:rsidRPr="003F791C">
              <w:rPr>
                <w:sz w:val="18"/>
                <w:szCs w:val="18"/>
              </w:rPr>
              <w:t>55.3</w:t>
            </w:r>
          </w:p>
        </w:tc>
        <w:tc>
          <w:tcPr>
            <w:tcW w:w="1268" w:type="dxa"/>
            <w:tcBorders>
              <w:left w:val="single" w:sz="6" w:space="0" w:color="404040"/>
              <w:bottom w:val="single" w:sz="6" w:space="0" w:color="404040"/>
              <w:right w:val="single" w:sz="6" w:space="0" w:color="404040"/>
            </w:tcBorders>
            <w:shd w:val="clear" w:color="auto" w:fill="auto"/>
            <w:vAlign w:val="center"/>
          </w:tcPr>
          <w:p w14:paraId="3733765A" w14:textId="690C11C5" w:rsidR="003F791C" w:rsidRPr="003F791C" w:rsidRDefault="003F791C" w:rsidP="003F791C">
            <w:pPr>
              <w:tabs>
                <w:tab w:val="decimal" w:pos="579"/>
              </w:tabs>
              <w:jc w:val="left"/>
              <w:rPr>
                <w:sz w:val="18"/>
                <w:szCs w:val="18"/>
              </w:rPr>
            </w:pPr>
            <w:r w:rsidRPr="003F791C">
              <w:rPr>
                <w:sz w:val="18"/>
                <w:szCs w:val="18"/>
              </w:rPr>
              <w:t>5.5</w:t>
            </w:r>
          </w:p>
        </w:tc>
      </w:tr>
      <w:tr w:rsidR="0086092A" w:rsidRPr="000A6510" w14:paraId="5D72BC43" w14:textId="77777777" w:rsidTr="00937F65">
        <w:trPr>
          <w:cantSplit/>
          <w:trHeight w:val="170"/>
          <w:jc w:val="center"/>
        </w:trPr>
        <w:tc>
          <w:tcPr>
            <w:tcW w:w="5004" w:type="dxa"/>
            <w:tcBorders>
              <w:top w:val="single" w:sz="6" w:space="0" w:color="404040"/>
              <w:bottom w:val="single" w:sz="6" w:space="0" w:color="404040"/>
            </w:tcBorders>
            <w:shd w:val="clear" w:color="auto" w:fill="auto"/>
            <w:vAlign w:val="center"/>
          </w:tcPr>
          <w:p w14:paraId="3D410ED4" w14:textId="77777777" w:rsidR="0086092A" w:rsidRPr="000A6510" w:rsidRDefault="0086092A" w:rsidP="0032229C">
            <w:pPr>
              <w:widowControl w:val="0"/>
              <w:tabs>
                <w:tab w:val="left" w:pos="442"/>
              </w:tabs>
              <w:rPr>
                <w:sz w:val="8"/>
                <w:szCs w:val="8"/>
                <w:lang w:val="es-MX"/>
              </w:rPr>
            </w:pPr>
          </w:p>
        </w:tc>
        <w:tc>
          <w:tcPr>
            <w:tcW w:w="1160" w:type="dxa"/>
            <w:tcBorders>
              <w:top w:val="single" w:sz="6" w:space="0" w:color="404040"/>
              <w:bottom w:val="single" w:sz="6" w:space="0" w:color="404040"/>
            </w:tcBorders>
            <w:shd w:val="clear" w:color="auto" w:fill="auto"/>
            <w:vAlign w:val="center"/>
          </w:tcPr>
          <w:p w14:paraId="03E2AF17" w14:textId="77777777" w:rsidR="0086092A" w:rsidRPr="005B40C5" w:rsidRDefault="0086092A" w:rsidP="00140691">
            <w:pPr>
              <w:widowControl w:val="0"/>
              <w:tabs>
                <w:tab w:val="left" w:pos="442"/>
              </w:tabs>
              <w:jc w:val="left"/>
              <w:rPr>
                <w:sz w:val="18"/>
                <w:szCs w:val="18"/>
                <w:lang w:val="es-MX"/>
              </w:rPr>
            </w:pPr>
          </w:p>
        </w:tc>
        <w:tc>
          <w:tcPr>
            <w:tcW w:w="1075" w:type="dxa"/>
            <w:tcBorders>
              <w:top w:val="single" w:sz="6" w:space="0" w:color="404040"/>
              <w:bottom w:val="single" w:sz="6" w:space="0" w:color="404040"/>
            </w:tcBorders>
            <w:shd w:val="clear" w:color="auto" w:fill="auto"/>
            <w:vAlign w:val="center"/>
          </w:tcPr>
          <w:p w14:paraId="2A63B131" w14:textId="77777777" w:rsidR="0086092A" w:rsidRPr="005B40C5" w:rsidRDefault="0086092A" w:rsidP="00140691">
            <w:pPr>
              <w:widowControl w:val="0"/>
              <w:tabs>
                <w:tab w:val="left" w:pos="442"/>
              </w:tabs>
              <w:jc w:val="left"/>
              <w:rPr>
                <w:sz w:val="18"/>
                <w:szCs w:val="18"/>
                <w:lang w:val="es-MX"/>
              </w:rPr>
            </w:pPr>
          </w:p>
        </w:tc>
        <w:tc>
          <w:tcPr>
            <w:tcW w:w="1268" w:type="dxa"/>
            <w:tcBorders>
              <w:top w:val="single" w:sz="6" w:space="0" w:color="404040"/>
              <w:bottom w:val="single" w:sz="6" w:space="0" w:color="404040"/>
            </w:tcBorders>
            <w:shd w:val="clear" w:color="auto" w:fill="auto"/>
            <w:vAlign w:val="center"/>
          </w:tcPr>
          <w:p w14:paraId="4D91623E" w14:textId="77777777" w:rsidR="0086092A" w:rsidRPr="005B40C5" w:rsidRDefault="0086092A" w:rsidP="00140691">
            <w:pPr>
              <w:widowControl w:val="0"/>
              <w:jc w:val="left"/>
              <w:rPr>
                <w:sz w:val="18"/>
                <w:szCs w:val="18"/>
                <w:lang w:val="es-MX"/>
              </w:rPr>
            </w:pPr>
          </w:p>
        </w:tc>
      </w:tr>
      <w:tr w:rsidR="00C301C3" w:rsidRPr="000A6510" w14:paraId="39692BB9" w14:textId="77777777" w:rsidTr="00937F65">
        <w:trPr>
          <w:cantSplit/>
          <w:trHeight w:val="20"/>
          <w:jc w:val="center"/>
        </w:trPr>
        <w:tc>
          <w:tcPr>
            <w:tcW w:w="5004" w:type="dxa"/>
            <w:tcBorders>
              <w:top w:val="single" w:sz="6" w:space="0" w:color="404040"/>
              <w:left w:val="single" w:sz="6" w:space="0" w:color="404040"/>
              <w:right w:val="single" w:sz="6" w:space="0" w:color="404040"/>
            </w:tcBorders>
            <w:shd w:val="clear" w:color="auto" w:fill="auto"/>
            <w:vAlign w:val="center"/>
          </w:tcPr>
          <w:p w14:paraId="15AD4B15" w14:textId="4B779EAB" w:rsidR="00C301C3" w:rsidRPr="000A6510" w:rsidRDefault="00C301C3" w:rsidP="00C301C3">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 los Servicios Privados no Financieros</w:t>
            </w:r>
            <w:r w:rsidRPr="000A6510">
              <w:rPr>
                <w:b/>
                <w:position w:val="6"/>
                <w:sz w:val="14"/>
                <w:szCs w:val="14"/>
              </w:rPr>
              <w:t>2/</w:t>
            </w:r>
          </w:p>
        </w:tc>
        <w:tc>
          <w:tcPr>
            <w:tcW w:w="1160" w:type="dxa"/>
            <w:tcBorders>
              <w:top w:val="single" w:sz="6" w:space="0" w:color="404040"/>
              <w:left w:val="single" w:sz="6" w:space="0" w:color="404040"/>
            </w:tcBorders>
            <w:shd w:val="clear" w:color="auto" w:fill="auto"/>
            <w:vAlign w:val="center"/>
          </w:tcPr>
          <w:p w14:paraId="342617F5" w14:textId="22853081" w:rsidR="00C301C3" w:rsidRPr="00C301C3" w:rsidRDefault="00C301C3" w:rsidP="00C301C3">
            <w:pPr>
              <w:tabs>
                <w:tab w:val="decimal" w:pos="537"/>
              </w:tabs>
              <w:jc w:val="left"/>
              <w:rPr>
                <w:b/>
                <w:sz w:val="18"/>
                <w:szCs w:val="18"/>
                <w:lang w:val="es-MX" w:eastAsia="es-MX"/>
              </w:rPr>
            </w:pPr>
            <w:r w:rsidRPr="00C301C3">
              <w:rPr>
                <w:b/>
                <w:bCs/>
                <w:color w:val="000000"/>
                <w:sz w:val="18"/>
                <w:szCs w:val="18"/>
              </w:rPr>
              <w:t>55.5</w:t>
            </w:r>
          </w:p>
        </w:tc>
        <w:tc>
          <w:tcPr>
            <w:tcW w:w="1075" w:type="dxa"/>
            <w:tcBorders>
              <w:top w:val="single" w:sz="6" w:space="0" w:color="404040"/>
              <w:right w:val="single" w:sz="6" w:space="0" w:color="404040"/>
            </w:tcBorders>
            <w:shd w:val="clear" w:color="auto" w:fill="auto"/>
            <w:vAlign w:val="center"/>
          </w:tcPr>
          <w:p w14:paraId="3471D5BD" w14:textId="77FD7B9C" w:rsidR="00C301C3" w:rsidRPr="00C301C3" w:rsidRDefault="00C301C3" w:rsidP="00C301C3">
            <w:pPr>
              <w:tabs>
                <w:tab w:val="decimal" w:pos="421"/>
              </w:tabs>
              <w:jc w:val="left"/>
              <w:rPr>
                <w:b/>
                <w:sz w:val="18"/>
                <w:szCs w:val="18"/>
              </w:rPr>
            </w:pPr>
            <w:r w:rsidRPr="00C301C3">
              <w:rPr>
                <w:b/>
                <w:bCs/>
                <w:color w:val="000000"/>
                <w:sz w:val="18"/>
                <w:szCs w:val="18"/>
              </w:rPr>
              <w:t>60.1</w:t>
            </w:r>
          </w:p>
        </w:tc>
        <w:tc>
          <w:tcPr>
            <w:tcW w:w="1268" w:type="dxa"/>
            <w:tcBorders>
              <w:top w:val="single" w:sz="6" w:space="0" w:color="404040"/>
              <w:left w:val="single" w:sz="6" w:space="0" w:color="404040"/>
              <w:right w:val="single" w:sz="6" w:space="0" w:color="404040"/>
            </w:tcBorders>
            <w:shd w:val="clear" w:color="auto" w:fill="auto"/>
            <w:vAlign w:val="center"/>
          </w:tcPr>
          <w:p w14:paraId="0E21954C" w14:textId="789FE267" w:rsidR="00C301C3" w:rsidRPr="00C301C3" w:rsidRDefault="00C301C3" w:rsidP="00C301C3">
            <w:pPr>
              <w:tabs>
                <w:tab w:val="decimal" w:pos="579"/>
              </w:tabs>
              <w:jc w:val="left"/>
              <w:rPr>
                <w:b/>
                <w:sz w:val="18"/>
                <w:szCs w:val="18"/>
              </w:rPr>
            </w:pPr>
            <w:r w:rsidRPr="00C301C3">
              <w:rPr>
                <w:b/>
                <w:bCs/>
                <w:sz w:val="18"/>
                <w:szCs w:val="18"/>
              </w:rPr>
              <w:t>4.5</w:t>
            </w:r>
          </w:p>
        </w:tc>
      </w:tr>
      <w:tr w:rsidR="00C301C3" w:rsidRPr="000A6510" w14:paraId="53FFE9CF"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12BF2B02" w14:textId="77777777" w:rsidR="00C301C3" w:rsidRPr="000A6510" w:rsidRDefault="00C301C3" w:rsidP="00C301C3">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Ingresos por la prestación de servicios</w:t>
            </w:r>
          </w:p>
        </w:tc>
        <w:tc>
          <w:tcPr>
            <w:tcW w:w="1160" w:type="dxa"/>
            <w:tcBorders>
              <w:left w:val="single" w:sz="6" w:space="0" w:color="404040"/>
            </w:tcBorders>
            <w:shd w:val="clear" w:color="auto" w:fill="auto"/>
            <w:vAlign w:val="center"/>
          </w:tcPr>
          <w:p w14:paraId="4AE19430" w14:textId="09611594" w:rsidR="00C301C3" w:rsidRPr="00C301C3" w:rsidRDefault="00C301C3" w:rsidP="00C301C3">
            <w:pPr>
              <w:tabs>
                <w:tab w:val="decimal" w:pos="537"/>
              </w:tabs>
              <w:jc w:val="left"/>
              <w:rPr>
                <w:sz w:val="18"/>
                <w:szCs w:val="18"/>
              </w:rPr>
            </w:pPr>
            <w:r w:rsidRPr="00C301C3">
              <w:rPr>
                <w:color w:val="000000"/>
                <w:sz w:val="18"/>
                <w:szCs w:val="18"/>
              </w:rPr>
              <w:t>57.3</w:t>
            </w:r>
          </w:p>
        </w:tc>
        <w:tc>
          <w:tcPr>
            <w:tcW w:w="1075" w:type="dxa"/>
            <w:tcBorders>
              <w:right w:val="single" w:sz="6" w:space="0" w:color="404040"/>
            </w:tcBorders>
            <w:shd w:val="clear" w:color="auto" w:fill="auto"/>
            <w:vAlign w:val="center"/>
          </w:tcPr>
          <w:p w14:paraId="4AFED293" w14:textId="5BA85640" w:rsidR="00C301C3" w:rsidRPr="00C301C3" w:rsidRDefault="00C301C3" w:rsidP="00C301C3">
            <w:pPr>
              <w:tabs>
                <w:tab w:val="decimal" w:pos="421"/>
              </w:tabs>
              <w:jc w:val="left"/>
              <w:rPr>
                <w:sz w:val="18"/>
                <w:szCs w:val="18"/>
              </w:rPr>
            </w:pPr>
            <w:r w:rsidRPr="00C301C3">
              <w:rPr>
                <w:color w:val="000000"/>
                <w:sz w:val="18"/>
                <w:szCs w:val="18"/>
              </w:rPr>
              <w:t>63.3</w:t>
            </w:r>
          </w:p>
        </w:tc>
        <w:tc>
          <w:tcPr>
            <w:tcW w:w="1268" w:type="dxa"/>
            <w:tcBorders>
              <w:left w:val="single" w:sz="6" w:space="0" w:color="404040"/>
              <w:right w:val="single" w:sz="6" w:space="0" w:color="404040"/>
            </w:tcBorders>
            <w:shd w:val="clear" w:color="auto" w:fill="auto"/>
            <w:vAlign w:val="center"/>
          </w:tcPr>
          <w:p w14:paraId="2CE122C7" w14:textId="324778C4" w:rsidR="00C301C3" w:rsidRPr="00C301C3" w:rsidRDefault="00C301C3" w:rsidP="00C301C3">
            <w:pPr>
              <w:tabs>
                <w:tab w:val="decimal" w:pos="579"/>
              </w:tabs>
              <w:jc w:val="left"/>
              <w:rPr>
                <w:sz w:val="18"/>
                <w:szCs w:val="18"/>
              </w:rPr>
            </w:pPr>
            <w:r w:rsidRPr="00C301C3">
              <w:rPr>
                <w:sz w:val="18"/>
                <w:szCs w:val="18"/>
              </w:rPr>
              <w:t>6.0</w:t>
            </w:r>
          </w:p>
        </w:tc>
      </w:tr>
      <w:tr w:rsidR="00C301C3" w:rsidRPr="000A6510" w14:paraId="0BFFCFDA"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1BB988E9" w14:textId="77777777" w:rsidR="00C301C3" w:rsidRPr="000A6510" w:rsidRDefault="00C301C3" w:rsidP="00C301C3">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Demanda nacional de servicios</w:t>
            </w:r>
          </w:p>
        </w:tc>
        <w:tc>
          <w:tcPr>
            <w:tcW w:w="1160" w:type="dxa"/>
            <w:tcBorders>
              <w:left w:val="single" w:sz="6" w:space="0" w:color="404040"/>
            </w:tcBorders>
            <w:shd w:val="clear" w:color="auto" w:fill="auto"/>
            <w:vAlign w:val="center"/>
          </w:tcPr>
          <w:p w14:paraId="37C61CE6" w14:textId="02B5EE80" w:rsidR="00C301C3" w:rsidRPr="00C301C3" w:rsidRDefault="00C301C3" w:rsidP="00C301C3">
            <w:pPr>
              <w:tabs>
                <w:tab w:val="decimal" w:pos="537"/>
              </w:tabs>
              <w:jc w:val="left"/>
              <w:rPr>
                <w:sz w:val="18"/>
                <w:szCs w:val="18"/>
              </w:rPr>
            </w:pPr>
            <w:r w:rsidRPr="00C301C3">
              <w:rPr>
                <w:color w:val="000000"/>
                <w:sz w:val="18"/>
                <w:szCs w:val="18"/>
              </w:rPr>
              <w:t>53.1</w:t>
            </w:r>
          </w:p>
        </w:tc>
        <w:tc>
          <w:tcPr>
            <w:tcW w:w="1075" w:type="dxa"/>
            <w:tcBorders>
              <w:right w:val="single" w:sz="6" w:space="0" w:color="404040"/>
            </w:tcBorders>
            <w:shd w:val="clear" w:color="auto" w:fill="auto"/>
            <w:vAlign w:val="center"/>
          </w:tcPr>
          <w:p w14:paraId="464F7D9E" w14:textId="35A0D926" w:rsidR="00C301C3" w:rsidRPr="00C301C3" w:rsidRDefault="00C301C3" w:rsidP="00C301C3">
            <w:pPr>
              <w:tabs>
                <w:tab w:val="decimal" w:pos="421"/>
              </w:tabs>
              <w:jc w:val="left"/>
              <w:rPr>
                <w:sz w:val="18"/>
                <w:szCs w:val="18"/>
              </w:rPr>
            </w:pPr>
            <w:r w:rsidRPr="00C301C3">
              <w:rPr>
                <w:color w:val="000000"/>
                <w:sz w:val="18"/>
                <w:szCs w:val="18"/>
              </w:rPr>
              <w:t>63.1</w:t>
            </w:r>
          </w:p>
        </w:tc>
        <w:tc>
          <w:tcPr>
            <w:tcW w:w="1268" w:type="dxa"/>
            <w:tcBorders>
              <w:left w:val="single" w:sz="6" w:space="0" w:color="404040"/>
              <w:right w:val="single" w:sz="6" w:space="0" w:color="404040"/>
            </w:tcBorders>
            <w:shd w:val="clear" w:color="auto" w:fill="auto"/>
            <w:vAlign w:val="center"/>
          </w:tcPr>
          <w:p w14:paraId="7292FCF9" w14:textId="73FACC00" w:rsidR="00C301C3" w:rsidRPr="00C301C3" w:rsidRDefault="00C301C3" w:rsidP="00C301C3">
            <w:pPr>
              <w:tabs>
                <w:tab w:val="decimal" w:pos="579"/>
              </w:tabs>
              <w:jc w:val="left"/>
              <w:rPr>
                <w:sz w:val="18"/>
                <w:szCs w:val="18"/>
              </w:rPr>
            </w:pPr>
            <w:r w:rsidRPr="00C301C3">
              <w:rPr>
                <w:sz w:val="18"/>
                <w:szCs w:val="18"/>
              </w:rPr>
              <w:t>10.0</w:t>
            </w:r>
          </w:p>
        </w:tc>
      </w:tr>
      <w:tr w:rsidR="00C301C3" w:rsidRPr="000A6510" w14:paraId="43665C1D"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6FD5872E" w14:textId="77777777" w:rsidR="00C301C3" w:rsidRPr="000A6510" w:rsidRDefault="00C301C3" w:rsidP="00C301C3">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Gastos por consumo de bienes y servicios</w:t>
            </w:r>
          </w:p>
        </w:tc>
        <w:tc>
          <w:tcPr>
            <w:tcW w:w="1160" w:type="dxa"/>
            <w:tcBorders>
              <w:left w:val="single" w:sz="6" w:space="0" w:color="404040"/>
            </w:tcBorders>
            <w:shd w:val="clear" w:color="auto" w:fill="auto"/>
            <w:vAlign w:val="center"/>
          </w:tcPr>
          <w:p w14:paraId="6DAFD742" w14:textId="455FF629" w:rsidR="00C301C3" w:rsidRPr="00C301C3" w:rsidRDefault="00C301C3" w:rsidP="00C301C3">
            <w:pPr>
              <w:tabs>
                <w:tab w:val="decimal" w:pos="537"/>
              </w:tabs>
              <w:jc w:val="left"/>
              <w:rPr>
                <w:sz w:val="18"/>
                <w:szCs w:val="18"/>
              </w:rPr>
            </w:pPr>
            <w:r w:rsidRPr="00C301C3">
              <w:rPr>
                <w:color w:val="000000"/>
                <w:sz w:val="18"/>
                <w:szCs w:val="18"/>
              </w:rPr>
              <w:t>60.3</w:t>
            </w:r>
          </w:p>
        </w:tc>
        <w:tc>
          <w:tcPr>
            <w:tcW w:w="1075" w:type="dxa"/>
            <w:tcBorders>
              <w:right w:val="single" w:sz="6" w:space="0" w:color="404040"/>
            </w:tcBorders>
            <w:shd w:val="clear" w:color="auto" w:fill="auto"/>
            <w:vAlign w:val="center"/>
          </w:tcPr>
          <w:p w14:paraId="0DE20062" w14:textId="1DA26B01" w:rsidR="00C301C3" w:rsidRPr="00C301C3" w:rsidRDefault="00C301C3" w:rsidP="00C301C3">
            <w:pPr>
              <w:tabs>
                <w:tab w:val="decimal" w:pos="421"/>
              </w:tabs>
              <w:jc w:val="left"/>
              <w:rPr>
                <w:sz w:val="18"/>
                <w:szCs w:val="18"/>
              </w:rPr>
            </w:pPr>
            <w:r w:rsidRPr="00C301C3">
              <w:rPr>
                <w:color w:val="000000"/>
                <w:sz w:val="18"/>
                <w:szCs w:val="18"/>
              </w:rPr>
              <w:t>62.1</w:t>
            </w:r>
          </w:p>
        </w:tc>
        <w:tc>
          <w:tcPr>
            <w:tcW w:w="1268" w:type="dxa"/>
            <w:tcBorders>
              <w:left w:val="single" w:sz="6" w:space="0" w:color="404040"/>
              <w:right w:val="single" w:sz="6" w:space="0" w:color="404040"/>
            </w:tcBorders>
            <w:shd w:val="clear" w:color="auto" w:fill="auto"/>
            <w:vAlign w:val="center"/>
          </w:tcPr>
          <w:p w14:paraId="32355764" w14:textId="5E7269A6" w:rsidR="00C301C3" w:rsidRPr="00C301C3" w:rsidRDefault="00C301C3" w:rsidP="00C301C3">
            <w:pPr>
              <w:tabs>
                <w:tab w:val="decimal" w:pos="579"/>
              </w:tabs>
              <w:jc w:val="left"/>
              <w:rPr>
                <w:sz w:val="18"/>
                <w:szCs w:val="18"/>
              </w:rPr>
            </w:pPr>
            <w:r w:rsidRPr="00C301C3">
              <w:rPr>
                <w:sz w:val="18"/>
                <w:szCs w:val="18"/>
              </w:rPr>
              <w:t>1.9</w:t>
            </w:r>
          </w:p>
        </w:tc>
      </w:tr>
      <w:tr w:rsidR="00C301C3" w:rsidRPr="000A6510" w14:paraId="5C48DD1A" w14:textId="77777777" w:rsidTr="00937F65">
        <w:trPr>
          <w:cantSplit/>
          <w:trHeight w:val="20"/>
          <w:jc w:val="center"/>
        </w:trPr>
        <w:tc>
          <w:tcPr>
            <w:tcW w:w="5004" w:type="dxa"/>
            <w:tcBorders>
              <w:left w:val="single" w:sz="6" w:space="0" w:color="404040"/>
              <w:bottom w:val="single" w:sz="6" w:space="0" w:color="404040"/>
              <w:right w:val="single" w:sz="6" w:space="0" w:color="404040"/>
            </w:tcBorders>
            <w:shd w:val="clear" w:color="auto" w:fill="auto"/>
            <w:vAlign w:val="center"/>
          </w:tcPr>
          <w:p w14:paraId="48E894A2" w14:textId="77777777" w:rsidR="00C301C3" w:rsidRPr="000A6510" w:rsidRDefault="00C301C3" w:rsidP="00C301C3">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6" w:space="0" w:color="404040"/>
            </w:tcBorders>
            <w:shd w:val="clear" w:color="auto" w:fill="auto"/>
            <w:vAlign w:val="center"/>
          </w:tcPr>
          <w:p w14:paraId="1D9AEB5D" w14:textId="09D8C7CE" w:rsidR="00C301C3" w:rsidRPr="00C301C3" w:rsidRDefault="00C301C3" w:rsidP="00C301C3">
            <w:pPr>
              <w:tabs>
                <w:tab w:val="decimal" w:pos="537"/>
              </w:tabs>
              <w:jc w:val="left"/>
              <w:rPr>
                <w:sz w:val="18"/>
                <w:szCs w:val="18"/>
              </w:rPr>
            </w:pPr>
            <w:r w:rsidRPr="00C301C3">
              <w:rPr>
                <w:color w:val="000000"/>
                <w:sz w:val="18"/>
                <w:szCs w:val="18"/>
              </w:rPr>
              <w:t>51.3</w:t>
            </w:r>
          </w:p>
        </w:tc>
        <w:tc>
          <w:tcPr>
            <w:tcW w:w="1075" w:type="dxa"/>
            <w:tcBorders>
              <w:bottom w:val="single" w:sz="6" w:space="0" w:color="404040"/>
              <w:right w:val="single" w:sz="6" w:space="0" w:color="404040"/>
            </w:tcBorders>
            <w:shd w:val="clear" w:color="auto" w:fill="auto"/>
            <w:vAlign w:val="center"/>
          </w:tcPr>
          <w:p w14:paraId="5B440076" w14:textId="2F876572" w:rsidR="00C301C3" w:rsidRPr="00C301C3" w:rsidRDefault="00C301C3" w:rsidP="00C301C3">
            <w:pPr>
              <w:tabs>
                <w:tab w:val="decimal" w:pos="421"/>
              </w:tabs>
              <w:jc w:val="left"/>
              <w:rPr>
                <w:sz w:val="18"/>
                <w:szCs w:val="18"/>
              </w:rPr>
            </w:pPr>
            <w:r w:rsidRPr="00C301C3">
              <w:rPr>
                <w:color w:val="000000"/>
                <w:sz w:val="18"/>
                <w:szCs w:val="18"/>
              </w:rPr>
              <w:t>51.7</w:t>
            </w:r>
          </w:p>
        </w:tc>
        <w:tc>
          <w:tcPr>
            <w:tcW w:w="1268" w:type="dxa"/>
            <w:tcBorders>
              <w:left w:val="single" w:sz="6" w:space="0" w:color="404040"/>
              <w:bottom w:val="single" w:sz="6" w:space="0" w:color="404040"/>
              <w:right w:val="single" w:sz="6" w:space="0" w:color="404040"/>
            </w:tcBorders>
            <w:shd w:val="clear" w:color="auto" w:fill="auto"/>
            <w:vAlign w:val="center"/>
          </w:tcPr>
          <w:p w14:paraId="5AD2991D" w14:textId="04B7D8AC" w:rsidR="00C301C3" w:rsidRPr="00C301C3" w:rsidRDefault="00C301C3" w:rsidP="00C301C3">
            <w:pPr>
              <w:tabs>
                <w:tab w:val="decimal" w:pos="579"/>
              </w:tabs>
              <w:jc w:val="left"/>
              <w:rPr>
                <w:sz w:val="18"/>
                <w:szCs w:val="18"/>
              </w:rPr>
            </w:pPr>
            <w:r w:rsidRPr="00C301C3">
              <w:rPr>
                <w:sz w:val="18"/>
                <w:szCs w:val="18"/>
              </w:rPr>
              <w:t>0.3</w:t>
            </w:r>
          </w:p>
        </w:tc>
      </w:tr>
    </w:tbl>
    <w:bookmarkEnd w:id="2"/>
    <w:p w14:paraId="72571A0A" w14:textId="2087C448" w:rsidR="00A46C32" w:rsidRPr="00D337D1" w:rsidRDefault="00A46C32" w:rsidP="00D337D1">
      <w:pPr>
        <w:widowControl w:val="0"/>
        <w:tabs>
          <w:tab w:val="left" w:pos="567"/>
          <w:tab w:val="left" w:pos="851"/>
        </w:tabs>
        <w:spacing w:before="20"/>
        <w:ind w:left="1151" w:right="516" w:hanging="607"/>
        <w:rPr>
          <w:sz w:val="16"/>
          <w:szCs w:val="16"/>
        </w:rPr>
      </w:pPr>
      <w:r w:rsidRPr="00D337D1">
        <w:rPr>
          <w:sz w:val="16"/>
          <w:szCs w:val="16"/>
        </w:rPr>
        <w:t>Nota:</w:t>
      </w:r>
      <w:r w:rsidRPr="00D337D1">
        <w:rPr>
          <w:sz w:val="16"/>
          <w:szCs w:val="16"/>
        </w:rPr>
        <w:tab/>
      </w:r>
      <w:r w:rsidR="00A84AA3" w:rsidRPr="00D337D1">
        <w:rPr>
          <w:sz w:val="16"/>
          <w:szCs w:val="16"/>
          <w:lang w:val="es-MX"/>
        </w:rPr>
        <w:t>Los indicadores se generan con los datos referentes al mes de la entrevista. Los indicadores de los meses anteriores se van revisando por los informantes.</w:t>
      </w:r>
      <w:r w:rsidRPr="00D337D1">
        <w:rPr>
          <w:sz w:val="16"/>
          <w:szCs w:val="16"/>
        </w:rPr>
        <w:t xml:space="preserve"> </w:t>
      </w:r>
    </w:p>
    <w:p w14:paraId="128EEB8B" w14:textId="77777777" w:rsidR="00A46C32" w:rsidRPr="00D337D1" w:rsidRDefault="00A46C32" w:rsidP="00D337D1">
      <w:pPr>
        <w:widowControl w:val="0"/>
        <w:tabs>
          <w:tab w:val="left" w:pos="567"/>
        </w:tabs>
        <w:ind w:left="1148" w:right="516" w:hanging="604"/>
        <w:rPr>
          <w:sz w:val="16"/>
          <w:szCs w:val="16"/>
        </w:rPr>
      </w:pPr>
      <w:r w:rsidRPr="00D337D1">
        <w:rPr>
          <w:sz w:val="18"/>
          <w:szCs w:val="16"/>
          <w:vertAlign w:val="superscript"/>
        </w:rPr>
        <w:t>1/</w:t>
      </w:r>
      <w:r w:rsidRPr="00D337D1">
        <w:rPr>
          <w:sz w:val="16"/>
          <w:szCs w:val="16"/>
        </w:rPr>
        <w:tab/>
        <w:t>Las diferencias en puntos se obtienen de los respectivos indicadores considerando todos sus decimales.</w:t>
      </w:r>
    </w:p>
    <w:p w14:paraId="0FEEFB5B" w14:textId="6A1FD744" w:rsidR="00323767" w:rsidRPr="00D337D1" w:rsidRDefault="00323767" w:rsidP="00D337D1">
      <w:pPr>
        <w:widowControl w:val="0"/>
        <w:tabs>
          <w:tab w:val="left" w:pos="567"/>
        </w:tabs>
        <w:ind w:left="1148" w:right="516" w:hanging="604"/>
        <w:rPr>
          <w:sz w:val="16"/>
          <w:szCs w:val="16"/>
        </w:rPr>
      </w:pPr>
      <w:r w:rsidRPr="00D337D1">
        <w:rPr>
          <w:sz w:val="18"/>
          <w:szCs w:val="16"/>
          <w:vertAlign w:val="superscript"/>
        </w:rPr>
        <w:t>2/</w:t>
      </w:r>
      <w:r w:rsidRPr="00D337D1">
        <w:rPr>
          <w:sz w:val="16"/>
          <w:szCs w:val="16"/>
        </w:rPr>
        <w:tab/>
        <w:t>No incluye al sector 43, Comercio al por mayor; 46</w:t>
      </w:r>
      <w:r w:rsidR="00C9210B" w:rsidRPr="00D337D1">
        <w:rPr>
          <w:sz w:val="16"/>
          <w:szCs w:val="16"/>
        </w:rPr>
        <w:t>,</w:t>
      </w:r>
      <w:r w:rsidRPr="00D337D1">
        <w:rPr>
          <w:sz w:val="16"/>
          <w:szCs w:val="16"/>
        </w:rPr>
        <w:t xml:space="preserve"> Comercio al por menor; 52, Servicios financieros y de seguros; 55</w:t>
      </w:r>
      <w:r w:rsidR="00C9210B" w:rsidRPr="00D337D1">
        <w:rPr>
          <w:sz w:val="16"/>
          <w:szCs w:val="16"/>
        </w:rPr>
        <w:t>,</w:t>
      </w:r>
      <w:r w:rsidRPr="00D337D1">
        <w:rPr>
          <w:sz w:val="16"/>
          <w:szCs w:val="16"/>
        </w:rPr>
        <w:t xml:space="preserve"> Corporativos; 81, Otros servicios, excepto actividades gubernamentales y, 93, Actividades legislativas, gubernamentales, de impartición de justicia y de organismos internacionales y extraterritoriales. También se excluyen a las unidades dedicadas al desarrollo de actividades sociales.</w:t>
      </w:r>
    </w:p>
    <w:p w14:paraId="5E2D8CF3" w14:textId="77777777" w:rsidR="00A46C32" w:rsidRPr="00D337D1" w:rsidRDefault="00A46C32" w:rsidP="00D337D1">
      <w:pPr>
        <w:widowControl w:val="0"/>
        <w:tabs>
          <w:tab w:val="left" w:pos="567"/>
          <w:tab w:val="left" w:pos="1276"/>
        </w:tabs>
        <w:ind w:left="1148" w:right="516" w:hanging="604"/>
        <w:rPr>
          <w:sz w:val="16"/>
          <w:szCs w:val="16"/>
        </w:rPr>
      </w:pPr>
      <w:r w:rsidRPr="00D337D1">
        <w:rPr>
          <w:sz w:val="18"/>
          <w:szCs w:val="16"/>
          <w:vertAlign w:val="superscript"/>
        </w:rPr>
        <w:t>p/</w:t>
      </w:r>
      <w:r w:rsidRPr="00D337D1">
        <w:rPr>
          <w:sz w:val="16"/>
          <w:szCs w:val="16"/>
        </w:rPr>
        <w:tab/>
        <w:t>Dato preliminar.</w:t>
      </w:r>
    </w:p>
    <w:p w14:paraId="14853DA4" w14:textId="6F2DA6FC" w:rsidR="00A46C32" w:rsidRPr="00D337D1" w:rsidRDefault="00B555B7" w:rsidP="00D337D1">
      <w:pPr>
        <w:widowControl w:val="0"/>
        <w:tabs>
          <w:tab w:val="left" w:pos="709"/>
          <w:tab w:val="left" w:pos="993"/>
        </w:tabs>
        <w:ind w:left="1064" w:right="516" w:hanging="518"/>
        <w:rPr>
          <w:sz w:val="16"/>
          <w:szCs w:val="16"/>
        </w:rPr>
      </w:pPr>
      <w:r w:rsidRPr="00D337D1">
        <w:rPr>
          <w:sz w:val="16"/>
          <w:szCs w:val="16"/>
        </w:rPr>
        <w:t>Fuente:</w:t>
      </w:r>
      <w:r w:rsidR="00D337D1">
        <w:rPr>
          <w:sz w:val="16"/>
          <w:szCs w:val="16"/>
        </w:rPr>
        <w:t xml:space="preserve"> </w:t>
      </w:r>
      <w:r w:rsidR="00A46C32" w:rsidRPr="00D337D1">
        <w:rPr>
          <w:sz w:val="16"/>
          <w:szCs w:val="16"/>
        </w:rPr>
        <w:t>INEGI.</w:t>
      </w:r>
    </w:p>
    <w:p w14:paraId="0802BF8D" w14:textId="77777777" w:rsidR="005562ED" w:rsidRPr="000A6510" w:rsidRDefault="005562ED" w:rsidP="004126F6">
      <w:pPr>
        <w:keepNext/>
        <w:keepLines/>
        <w:tabs>
          <w:tab w:val="left" w:pos="2835"/>
          <w:tab w:val="left" w:pos="9432"/>
        </w:tabs>
        <w:spacing w:before="360"/>
        <w:ind w:right="431"/>
        <w:outlineLvl w:val="0"/>
        <w:rPr>
          <w:b/>
          <w:i/>
        </w:rPr>
      </w:pPr>
      <w:r w:rsidRPr="000A6510">
        <w:rPr>
          <w:b/>
          <w:i/>
        </w:rPr>
        <w:lastRenderedPageBreak/>
        <w:t>Nota al usuario</w:t>
      </w:r>
    </w:p>
    <w:p w14:paraId="2735D19B" w14:textId="1E45A995" w:rsidR="00E80C28" w:rsidRPr="000A6510" w:rsidRDefault="00CA2D96" w:rsidP="005664E3">
      <w:pPr>
        <w:spacing w:before="240"/>
      </w:pPr>
      <w:bookmarkStart w:id="3" w:name="_Hlk46996728"/>
      <w:r>
        <w:t>L</w:t>
      </w:r>
      <w:r w:rsidRPr="00660BD4">
        <w:t xml:space="preserve">a </w:t>
      </w:r>
      <w:r w:rsidR="00D337D1">
        <w:t>t</w:t>
      </w:r>
      <w:r w:rsidRPr="00660BD4">
        <w:t xml:space="preserve">asa de </w:t>
      </w:r>
      <w:r w:rsidR="00D337D1">
        <w:t>n</w:t>
      </w:r>
      <w:r w:rsidRPr="00660BD4">
        <w:t xml:space="preserve">o </w:t>
      </w:r>
      <w:r w:rsidR="00D337D1">
        <w:t>r</w:t>
      </w:r>
      <w:r w:rsidRPr="00660BD4">
        <w:t xml:space="preserve">espuesta de la Encuesta Mensual de Opinión Empresarial (EMOE), correspondiente a </w:t>
      </w:r>
      <w:r w:rsidR="00D36E02">
        <w:t>marzo</w:t>
      </w:r>
      <w:r w:rsidRPr="00660BD4">
        <w:t xml:space="preserve"> de </w:t>
      </w:r>
      <w:r w:rsidR="00BC05F9">
        <w:t>2022</w:t>
      </w:r>
      <w:r w:rsidRPr="00660BD4">
        <w:t>, registró porcentajes apropiados conforme al diseño estadístico de la encuesta, lo que permitió la generación de estadísticas con niveles adecuados de precisión</w:t>
      </w:r>
      <w:r w:rsidR="00004C88">
        <w:t>.</w:t>
      </w:r>
      <w:r w:rsidR="00004C88" w:rsidRPr="00660BD4">
        <w:t xml:space="preserve"> </w:t>
      </w:r>
      <w:r w:rsidR="00004C88">
        <w:t>Lo anterior con excepción de l</w:t>
      </w:r>
      <w:r w:rsidR="00455759">
        <w:t>os</w:t>
      </w:r>
      <w:r w:rsidR="00004C88">
        <w:t xml:space="preserve"> </w:t>
      </w:r>
      <w:r w:rsidR="00455759" w:rsidRPr="00660BD4">
        <w:t>dominio</w:t>
      </w:r>
      <w:r w:rsidR="00455759">
        <w:t>s</w:t>
      </w:r>
      <w:r w:rsidR="005816A8">
        <w:t xml:space="preserve"> </w:t>
      </w:r>
      <w:r w:rsidR="00D36E02" w:rsidRPr="00D36C84">
        <w:t>Información en medios masivos</w:t>
      </w:r>
      <w:r w:rsidR="005816A8">
        <w:t>,</w:t>
      </w:r>
      <w:r w:rsidR="00305C0B">
        <w:t xml:space="preserve"> y</w:t>
      </w:r>
      <w:r w:rsidR="005816A8">
        <w:t xml:space="preserve"> </w:t>
      </w:r>
      <w:r w:rsidR="005816A8" w:rsidRPr="001345AE">
        <w:t>Servicios profesionales, científicos y técnicos</w:t>
      </w:r>
      <w:r w:rsidR="00455759">
        <w:t xml:space="preserve">, </w:t>
      </w:r>
      <w:r w:rsidR="00455759" w:rsidRPr="00660BD4">
        <w:t>que tiene</w:t>
      </w:r>
      <w:r w:rsidR="00D36E02">
        <w:t>n una participación de 3.1</w:t>
      </w:r>
      <w:r w:rsidR="00455759" w:rsidRPr="00586FCF">
        <w:rPr>
          <w:color w:val="000000" w:themeColor="text1"/>
        </w:rPr>
        <w:t>%</w:t>
      </w:r>
      <w:r w:rsidR="00455759">
        <w:t xml:space="preserve"> en</w:t>
      </w:r>
      <w:r w:rsidR="00455759" w:rsidRPr="00660BD4">
        <w:t xml:space="preserve"> los ingresos </w:t>
      </w:r>
      <w:r w:rsidR="00455759">
        <w:t>representados por la encuesta</w:t>
      </w:r>
      <w:r w:rsidR="00566579">
        <w:rPr>
          <w:rFonts w:eastAsia="Calibri"/>
          <w:lang w:val="es-MX" w:eastAsia="en-US"/>
        </w:rPr>
        <w:t xml:space="preserve"> y </w:t>
      </w:r>
      <w:r w:rsidR="00056A88">
        <w:rPr>
          <w:rFonts w:eastAsia="Calibri"/>
          <w:lang w:val="es-MX" w:eastAsia="en-US"/>
        </w:rPr>
        <w:t>para los que se recomienda el uso con reserva de las estimaciones</w:t>
      </w:r>
      <w:r w:rsidR="00056A88">
        <w:t>.</w:t>
      </w:r>
    </w:p>
    <w:bookmarkEnd w:id="3"/>
    <w:p w14:paraId="11093D19" w14:textId="1CF90A99" w:rsidR="006F693E" w:rsidRPr="000A6510" w:rsidRDefault="006F693E" w:rsidP="006F693E">
      <w:pPr>
        <w:spacing w:before="240"/>
        <w:rPr>
          <w:lang w:val="es-MX" w:eastAsia="es-MX"/>
        </w:rPr>
      </w:pPr>
      <w:r w:rsidRPr="000A6510">
        <w:rPr>
          <w:lang w:val="es-MX" w:eastAsia="es-MX"/>
        </w:rPr>
        <w:t>Por otra parte, se informa que las cifras desestacionalizadas y de tendencia-ciclo pueden estar sujetas a revisiones debido al impacto derivado de la emergencia sanitaria de</w:t>
      </w:r>
      <w:r w:rsidR="004126F6">
        <w:rPr>
          <w:lang w:val="es-MX" w:eastAsia="es-MX"/>
        </w:rPr>
        <w:t xml:space="preserve"> </w:t>
      </w:r>
      <w:r w:rsidRPr="000A6510">
        <w:rPr>
          <w:lang w:val="es-MX" w:eastAsia="es-MX"/>
        </w:rPr>
        <w:t>l</w:t>
      </w:r>
      <w:r w:rsidR="004126F6">
        <w:rPr>
          <w:lang w:val="es-MX" w:eastAsia="es-MX"/>
        </w:rPr>
        <w:t>a</w:t>
      </w:r>
      <w:r w:rsidRPr="000A6510">
        <w:rPr>
          <w:lang w:val="es-MX" w:eastAsia="es-MX"/>
        </w:rPr>
        <w:t xml:space="preserve"> COVID-19. La estrategia seguida por el INEGI ha sido revisar de manera particular cada serie de tiempo y analizar la necesidad de incluir algún tratamiento especial</w:t>
      </w:r>
      <w:r w:rsidR="0081351F">
        <w:rPr>
          <w:lang w:val="es-MX" w:eastAsia="es-MX"/>
        </w:rPr>
        <w:t>,</w:t>
      </w:r>
      <w:r w:rsidRPr="000A6510">
        <w:rPr>
          <w:lang w:val="es-MX" w:eastAsia="es-MX"/>
        </w:rPr>
        <w:t xml:space="preserve"> </w:t>
      </w:r>
      <w:r w:rsidR="0081351F">
        <w:rPr>
          <w:lang w:val="es-MX" w:eastAsia="es-MX"/>
        </w:rPr>
        <w:t xml:space="preserve">como el de </w:t>
      </w:r>
      <w:proofErr w:type="spellStart"/>
      <w:r w:rsidR="0081351F">
        <w:rPr>
          <w:i/>
          <w:lang w:val="es-MX" w:eastAsia="es-MX"/>
        </w:rPr>
        <w:t>O</w:t>
      </w:r>
      <w:r w:rsidRPr="00D23FCD">
        <w:rPr>
          <w:i/>
          <w:lang w:val="es-MX" w:eastAsia="es-MX"/>
        </w:rPr>
        <w:t>utliers</w:t>
      </w:r>
      <w:proofErr w:type="spellEnd"/>
      <w:r w:rsidR="0081351F">
        <w:rPr>
          <w:i/>
          <w:lang w:val="es-MX" w:eastAsia="es-MX"/>
        </w:rPr>
        <w:t>,</w:t>
      </w:r>
      <w:r w:rsidRPr="000A6510">
        <w:rPr>
          <w:lang w:val="es-MX" w:eastAsia="es-MX"/>
        </w:rPr>
        <w:t xml:space="preserve"> en los modelos de ajuste estacional para los meses de la contingencia. Lo anterior con el objetivo de que los grandes cambios en las cifras originales no influyan de manera desproporcionada en los factores estacionales utilizados.</w:t>
      </w:r>
    </w:p>
    <w:p w14:paraId="7FD1E359" w14:textId="0B6D67A2" w:rsidR="00A46C32" w:rsidRPr="000A6510" w:rsidRDefault="00A46C32" w:rsidP="00BE0DB7">
      <w:pPr>
        <w:widowControl w:val="0"/>
        <w:tabs>
          <w:tab w:val="left" w:pos="2835"/>
          <w:tab w:val="left" w:pos="9432"/>
        </w:tabs>
        <w:spacing w:before="360"/>
        <w:ind w:right="431"/>
        <w:outlineLvl w:val="0"/>
        <w:rPr>
          <w:b/>
          <w:i/>
        </w:rPr>
      </w:pPr>
      <w:bookmarkStart w:id="4" w:name="_Hlk70498342"/>
      <w:r w:rsidRPr="000A6510">
        <w:rPr>
          <w:b/>
          <w:i/>
        </w:rPr>
        <w:t xml:space="preserve">Nota metodológica </w:t>
      </w:r>
    </w:p>
    <w:p w14:paraId="320BBC14" w14:textId="49AD3247" w:rsidR="003A76C9" w:rsidRPr="000A6510" w:rsidRDefault="003A76C9" w:rsidP="002612ED">
      <w:pPr>
        <w:pStyle w:val="Default"/>
        <w:spacing w:before="240"/>
        <w:jc w:val="both"/>
      </w:pPr>
      <w:r w:rsidRPr="000A6510">
        <w:t>La E</w:t>
      </w:r>
      <w:r w:rsidR="00972EEC" w:rsidRPr="000A6510">
        <w:t xml:space="preserve">ncuesta </w:t>
      </w:r>
      <w:r w:rsidRPr="000A6510">
        <w:t>M</w:t>
      </w:r>
      <w:r w:rsidR="00972EEC" w:rsidRPr="000A6510">
        <w:t xml:space="preserve">ensual de </w:t>
      </w:r>
      <w:r w:rsidRPr="000A6510">
        <w:t>O</w:t>
      </w:r>
      <w:r w:rsidR="00972EEC" w:rsidRPr="000A6510">
        <w:t xml:space="preserve">pinión </w:t>
      </w:r>
      <w:r w:rsidRPr="000A6510">
        <w:t>E</w:t>
      </w:r>
      <w:r w:rsidR="00972EEC" w:rsidRPr="000A6510">
        <w:t xml:space="preserve">mpresarial </w:t>
      </w:r>
      <w:r w:rsidR="0014031D" w:rsidRPr="000A6510">
        <w:t xml:space="preserve">(EMOE) </w:t>
      </w:r>
      <w:r w:rsidRPr="000A6510">
        <w:t xml:space="preserve">genera indicadores a nivel nacional de carácter cualitativo basados en las opiniones de los empresarios, que permiten conocer su expectativa respecto al comportamiento de variables relevantes en los sectores </w:t>
      </w:r>
      <w:r w:rsidRPr="000A6510">
        <w:rPr>
          <w:color w:val="auto"/>
          <w:lang w:val="es-ES"/>
        </w:rPr>
        <w:t>Industrias Manufactureras, de la Construcción, del Comercio y Servicios Privados no Financieros.</w:t>
      </w:r>
    </w:p>
    <w:p w14:paraId="073B10BA" w14:textId="146EAC5B" w:rsidR="003A76C9" w:rsidRPr="000A6510" w:rsidRDefault="003A76C9" w:rsidP="002612ED">
      <w:pPr>
        <w:pStyle w:val="Default"/>
        <w:spacing w:before="240"/>
        <w:jc w:val="both"/>
      </w:pPr>
      <w:r w:rsidRPr="000A6510">
        <w:t>El diseño conceptual y estadístico de la EMOE se realiza para cada uno de los sectores en estudio de manera independiente a fin de analizar los aspectos particulares de la operación económica de los mismos. En este sentido, se tienen marcos de estudio, estratificaciones, tamaños de muestra y variables económicas, diferenciados en los cuatro sectores.</w:t>
      </w:r>
    </w:p>
    <w:p w14:paraId="7FFD71A7" w14:textId="4476F715" w:rsidR="003A76C9" w:rsidRPr="000A6510" w:rsidRDefault="003A76C9" w:rsidP="00E71EDA">
      <w:pPr>
        <w:pStyle w:val="Default"/>
        <w:keepLines/>
        <w:spacing w:before="240"/>
        <w:jc w:val="both"/>
      </w:pPr>
      <w:r w:rsidRPr="000A6510">
        <w:t xml:space="preserve">Cabe señalar, que la información que se presenta en este documento se complementa con la que proporciona el Indicador de Confianza Empresarial (ICE), así como el Indicador de Pedidos Manufactureros (IPM) que se elabora con el Banco de México y que incorpora variables similares a las del </w:t>
      </w:r>
      <w:proofErr w:type="spellStart"/>
      <w:r w:rsidRPr="00343286">
        <w:rPr>
          <w:iCs/>
        </w:rPr>
        <w:t>Purchasing</w:t>
      </w:r>
      <w:proofErr w:type="spellEnd"/>
      <w:r w:rsidRPr="00343286">
        <w:rPr>
          <w:iCs/>
        </w:rPr>
        <w:t xml:space="preserve"> Managers </w:t>
      </w:r>
      <w:proofErr w:type="spellStart"/>
      <w:r w:rsidRPr="00343286">
        <w:rPr>
          <w:iCs/>
        </w:rPr>
        <w:t>Index</w:t>
      </w:r>
      <w:proofErr w:type="spellEnd"/>
      <w:r w:rsidRPr="00343286">
        <w:rPr>
          <w:iCs/>
        </w:rPr>
        <w:t xml:space="preserve"> </w:t>
      </w:r>
      <w:r w:rsidRPr="00527E3A">
        <w:rPr>
          <w:iCs/>
        </w:rPr>
        <w:t xml:space="preserve">(PMI) que genera el </w:t>
      </w:r>
      <w:proofErr w:type="spellStart"/>
      <w:r w:rsidRPr="00343286">
        <w:rPr>
          <w:iCs/>
        </w:rPr>
        <w:t>Institute</w:t>
      </w:r>
      <w:proofErr w:type="spellEnd"/>
      <w:r w:rsidRPr="00343286">
        <w:rPr>
          <w:iCs/>
        </w:rPr>
        <w:t xml:space="preserve"> </w:t>
      </w:r>
      <w:proofErr w:type="spellStart"/>
      <w:r w:rsidRPr="00343286">
        <w:rPr>
          <w:iCs/>
        </w:rPr>
        <w:t>for</w:t>
      </w:r>
      <w:proofErr w:type="spellEnd"/>
      <w:r w:rsidRPr="00343286">
        <w:rPr>
          <w:iCs/>
        </w:rPr>
        <w:t xml:space="preserve"> </w:t>
      </w:r>
      <w:proofErr w:type="spellStart"/>
      <w:r w:rsidRPr="00343286">
        <w:rPr>
          <w:iCs/>
        </w:rPr>
        <w:t>Supply</w:t>
      </w:r>
      <w:proofErr w:type="spellEnd"/>
      <w:r w:rsidRPr="00343286">
        <w:rPr>
          <w:iCs/>
        </w:rPr>
        <w:t xml:space="preserve"> Management</w:t>
      </w:r>
      <w:r w:rsidRPr="000A6510">
        <w:t xml:space="preserve"> (ISM) en los Estados Unidos de Norteamérica.</w:t>
      </w:r>
    </w:p>
    <w:p w14:paraId="38FE1BD0" w14:textId="2122A730" w:rsidR="003A76C9" w:rsidRPr="000A6510" w:rsidRDefault="003A76C9" w:rsidP="002612ED">
      <w:pPr>
        <w:pStyle w:val="Default"/>
        <w:keepLines/>
        <w:spacing w:before="240"/>
        <w:jc w:val="both"/>
        <w:rPr>
          <w:color w:val="auto"/>
        </w:rPr>
      </w:pPr>
      <w:r w:rsidRPr="000A6510">
        <w:rPr>
          <w:color w:val="auto"/>
        </w:rPr>
        <w:t>En el diseño del cuestionario se incorporaron las recomendaciones</w:t>
      </w:r>
      <w:r w:rsidR="000103B5">
        <w:rPr>
          <w:color w:val="auto"/>
        </w:rPr>
        <w:t xml:space="preserve"> del</w:t>
      </w:r>
      <w:r w:rsidRPr="000A6510">
        <w:rPr>
          <w:color w:val="auto"/>
        </w:rPr>
        <w:t xml:space="preserve"> </w:t>
      </w:r>
      <w:r w:rsidR="00566579">
        <w:rPr>
          <w:color w:val="auto"/>
        </w:rPr>
        <w:t>“</w:t>
      </w:r>
      <w:r w:rsidR="0095517A" w:rsidRPr="00F3273D">
        <w:rPr>
          <w:color w:val="auto"/>
        </w:rPr>
        <w:t>Manual de Encuestas de Tendencia Económica</w:t>
      </w:r>
      <w:r w:rsidR="00566579">
        <w:rPr>
          <w:color w:val="auto"/>
        </w:rPr>
        <w:t>”</w:t>
      </w:r>
      <w:r w:rsidR="0095517A">
        <w:rPr>
          <w:color w:val="auto"/>
        </w:rPr>
        <w:t xml:space="preserve"> </w:t>
      </w:r>
      <w:r w:rsidRPr="000A6510">
        <w:rPr>
          <w:color w:val="auto"/>
        </w:rPr>
        <w:t>de la ONU</w:t>
      </w:r>
      <w:r w:rsidR="0095517A">
        <w:rPr>
          <w:color w:val="auto"/>
        </w:rPr>
        <w:t xml:space="preserve">, del </w:t>
      </w:r>
      <w:r w:rsidR="00566579">
        <w:rPr>
          <w:color w:val="auto"/>
        </w:rPr>
        <w:t>“</w:t>
      </w:r>
      <w:r w:rsidR="0095517A" w:rsidRPr="00F3273D">
        <w:rPr>
          <w:color w:val="auto"/>
        </w:rPr>
        <w:t>Manual de Encuestas de Tendencia de Negocios</w:t>
      </w:r>
      <w:r w:rsidR="00566579">
        <w:rPr>
          <w:color w:val="auto"/>
        </w:rPr>
        <w:t>”</w:t>
      </w:r>
      <w:r w:rsidRPr="000A6510">
        <w:rPr>
          <w:color w:val="auto"/>
        </w:rPr>
        <w:t xml:space="preserve"> de la OCDE y las emitidas por la CEPAL en el </w:t>
      </w:r>
      <w:r w:rsidR="00566579">
        <w:rPr>
          <w:color w:val="auto"/>
        </w:rPr>
        <w:t>“</w:t>
      </w:r>
      <w:r w:rsidRPr="000A6510">
        <w:rPr>
          <w:color w:val="auto"/>
        </w:rPr>
        <w:t>Manual de Encuestas de Opinión Empresarial del Sector Industrial en América Latina</w:t>
      </w:r>
      <w:r w:rsidR="00566579">
        <w:rPr>
          <w:color w:val="auto"/>
        </w:rPr>
        <w:t>”</w:t>
      </w:r>
      <w:r w:rsidRPr="000A6510">
        <w:rPr>
          <w:color w:val="auto"/>
        </w:rPr>
        <w:t>, así como las sugerencias del Banco de México.</w:t>
      </w:r>
    </w:p>
    <w:p w14:paraId="077DD60E" w14:textId="15EA3CD6" w:rsidR="003A76C9" w:rsidRPr="000A6510" w:rsidRDefault="003A76C9" w:rsidP="002612ED">
      <w:pPr>
        <w:pStyle w:val="Default"/>
        <w:keepLines/>
        <w:spacing w:before="240"/>
        <w:jc w:val="both"/>
        <w:rPr>
          <w:color w:val="auto"/>
          <w:lang w:val="es-ES_tradnl"/>
        </w:rPr>
      </w:pPr>
      <w:r w:rsidRPr="000A6510">
        <w:rPr>
          <w:color w:val="auto"/>
          <w:lang w:val="es-ES_tradnl"/>
        </w:rPr>
        <w:lastRenderedPageBreak/>
        <w:t>La encuesta utiliza el Sistema de Clasificación Industrial de América del Norte (SCIAN) 2013 y la Norma Técnica del Proceso de Producción de Información Estadística y Geográfica que proporcionan un marco normativo regulatorio de la producción de información estadística en México.</w:t>
      </w:r>
    </w:p>
    <w:p w14:paraId="01898240" w14:textId="77777777" w:rsidR="003A76C9" w:rsidRPr="000A6510" w:rsidRDefault="003A76C9" w:rsidP="002612ED">
      <w:pPr>
        <w:pStyle w:val="Pa8"/>
        <w:spacing w:before="240" w:line="240" w:lineRule="auto"/>
        <w:jc w:val="both"/>
        <w:rPr>
          <w:lang w:val="es-ES_tradnl" w:eastAsia="es-MX"/>
        </w:rPr>
      </w:pPr>
      <w:r w:rsidRPr="000A6510">
        <w:rPr>
          <w:lang w:val="es-ES_tradnl" w:eastAsia="es-MX"/>
        </w:rPr>
        <w:t>La unidad de observación es la empresa, definida como la unidad económica que bajo una sola entidad propietaria o controladora combina acciones y recursos para realizar actividades de producción de bienes, compra-venta de mercancías o prestación de servicios, sea con fines mercantiles o no. La cobertura geográfica es nacional en los cuatro sectores en estudio.</w:t>
      </w:r>
    </w:p>
    <w:p w14:paraId="13567658" w14:textId="562C999C" w:rsidR="003A76C9" w:rsidRPr="000A6510" w:rsidRDefault="003A76C9" w:rsidP="002612ED">
      <w:pPr>
        <w:pStyle w:val="Default"/>
        <w:spacing w:before="240"/>
        <w:jc w:val="both"/>
        <w:rPr>
          <w:color w:val="auto"/>
        </w:rPr>
      </w:pPr>
      <w:r w:rsidRPr="000A6510">
        <w:rPr>
          <w:color w:val="auto"/>
        </w:rPr>
        <w:t xml:space="preserve">El marco poblacional está conformado por el directorio de empresas provenientes del </w:t>
      </w:r>
      <w:r w:rsidRPr="000A6510">
        <w:rPr>
          <w:color w:val="auto"/>
          <w:shd w:val="clear" w:color="auto" w:fill="FFFFFF"/>
        </w:rPr>
        <w:t>Registro Estadístico de Negocios de México (</w:t>
      </w:r>
      <w:r w:rsidRPr="000A6510">
        <w:rPr>
          <w:color w:val="auto"/>
        </w:rPr>
        <w:t>RENEM) que</w:t>
      </w:r>
      <w:r w:rsidR="00186539">
        <w:rPr>
          <w:color w:val="auto"/>
        </w:rPr>
        <w:t>,</w:t>
      </w:r>
      <w:r w:rsidRPr="000A6510">
        <w:rPr>
          <w:color w:val="auto"/>
        </w:rPr>
        <w:t xml:space="preserve"> en conjunto</w:t>
      </w:r>
      <w:r w:rsidR="00186539">
        <w:rPr>
          <w:color w:val="auto"/>
        </w:rPr>
        <w:t>,</w:t>
      </w:r>
      <w:r w:rsidRPr="000A6510">
        <w:rPr>
          <w:color w:val="auto"/>
        </w:rPr>
        <w:t xml:space="preserve"> hacen un total de 19,</w:t>
      </w:r>
      <w:r w:rsidR="00803607">
        <w:rPr>
          <w:color w:val="auto"/>
        </w:rPr>
        <w:t>854</w:t>
      </w:r>
      <w:r w:rsidRPr="000A6510">
        <w:rPr>
          <w:color w:val="auto"/>
        </w:rPr>
        <w:t xml:space="preserve"> empresas. </w:t>
      </w:r>
    </w:p>
    <w:p w14:paraId="7706BE12" w14:textId="460EBFAC" w:rsidR="00BD77B5" w:rsidRPr="000A6510" w:rsidRDefault="003A76C9" w:rsidP="002612ED">
      <w:pPr>
        <w:pStyle w:val="Default"/>
        <w:keepLines/>
        <w:spacing w:before="240" w:after="240"/>
        <w:jc w:val="both"/>
        <w:rPr>
          <w:color w:val="auto"/>
        </w:rPr>
      </w:pPr>
      <w:r w:rsidRPr="000A6510">
        <w:rPr>
          <w:color w:val="auto"/>
        </w:rPr>
        <w:t>El total de las cuatro muestras asciende a 3,</w:t>
      </w:r>
      <w:r w:rsidR="00803607">
        <w:rPr>
          <w:color w:val="auto"/>
        </w:rPr>
        <w:t>379</w:t>
      </w:r>
      <w:r w:rsidRPr="000A6510">
        <w:rPr>
          <w:color w:val="auto"/>
        </w:rPr>
        <w:t xml:space="preserve"> empresas a nivel nacional. Para la selección de la muestra se utilizó un diseño probabilístico y estratificado con base en el personal ocupado, con selección aleatoria e independiente en cada estrato</w:t>
      </w:r>
      <w:r w:rsidR="00BD77B5" w:rsidRPr="000A6510">
        <w:rPr>
          <w:color w:val="auto"/>
        </w:rPr>
        <w:t>.</w:t>
      </w:r>
      <w:r w:rsidR="00972EEC" w:rsidRPr="000A6510">
        <w:rPr>
          <w:color w:val="auto"/>
        </w:rPr>
        <w:t xml:space="preserve"> Se incluyen con certeza, para los sectores económicos mencionados, a las empresas con más de 1,000 personas ocupadas.</w:t>
      </w:r>
    </w:p>
    <w:tbl>
      <w:tblPr>
        <w:tblStyle w:val="Tablaconcuadrcula"/>
        <w:tblW w:w="7505"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4A0" w:firstRow="1" w:lastRow="0" w:firstColumn="1" w:lastColumn="0" w:noHBand="0" w:noVBand="1"/>
      </w:tblPr>
      <w:tblGrid>
        <w:gridCol w:w="2969"/>
        <w:gridCol w:w="1881"/>
        <w:gridCol w:w="1327"/>
        <w:gridCol w:w="1328"/>
      </w:tblGrid>
      <w:tr w:rsidR="00BD77B5" w:rsidRPr="000A6510" w14:paraId="5152F520" w14:textId="77777777" w:rsidTr="00BD77B5">
        <w:trPr>
          <w:cantSplit/>
          <w:jc w:val="center"/>
        </w:trPr>
        <w:tc>
          <w:tcPr>
            <w:tcW w:w="2969" w:type="dxa"/>
            <w:vMerge w:val="restart"/>
            <w:shd w:val="clear" w:color="auto" w:fill="CCCCFF"/>
            <w:vAlign w:val="center"/>
          </w:tcPr>
          <w:p w14:paraId="58B6B568" w14:textId="77777777" w:rsidR="00BD77B5" w:rsidRPr="000A6510" w:rsidRDefault="00BD77B5" w:rsidP="0014031D">
            <w:pPr>
              <w:widowControl w:val="0"/>
              <w:spacing w:before="40" w:after="40"/>
              <w:jc w:val="center"/>
              <w:rPr>
                <w:sz w:val="18"/>
                <w:szCs w:val="18"/>
              </w:rPr>
            </w:pPr>
            <w:r w:rsidRPr="000A6510">
              <w:rPr>
                <w:sz w:val="18"/>
                <w:szCs w:val="18"/>
              </w:rPr>
              <w:t>Sector</w:t>
            </w:r>
          </w:p>
        </w:tc>
        <w:tc>
          <w:tcPr>
            <w:tcW w:w="3208" w:type="dxa"/>
            <w:gridSpan w:val="2"/>
            <w:shd w:val="clear" w:color="auto" w:fill="CCCCFF"/>
            <w:vAlign w:val="center"/>
          </w:tcPr>
          <w:p w14:paraId="745A388F" w14:textId="77777777" w:rsidR="00BD77B5" w:rsidRPr="000A6510" w:rsidRDefault="00BD77B5" w:rsidP="00B555B0">
            <w:pPr>
              <w:keepNext/>
              <w:keepLines/>
              <w:spacing w:before="40" w:after="40"/>
              <w:jc w:val="center"/>
              <w:rPr>
                <w:sz w:val="18"/>
                <w:szCs w:val="18"/>
              </w:rPr>
            </w:pPr>
            <w:r w:rsidRPr="000A6510">
              <w:rPr>
                <w:sz w:val="18"/>
                <w:szCs w:val="18"/>
              </w:rPr>
              <w:t>Marco de estudio</w:t>
            </w:r>
          </w:p>
        </w:tc>
        <w:tc>
          <w:tcPr>
            <w:tcW w:w="1328" w:type="dxa"/>
            <w:vMerge w:val="restart"/>
            <w:shd w:val="clear" w:color="auto" w:fill="CCCCFF"/>
          </w:tcPr>
          <w:p w14:paraId="4438C7BA" w14:textId="77777777" w:rsidR="00BD77B5" w:rsidRPr="000A6510" w:rsidRDefault="00BD77B5" w:rsidP="00B555B0">
            <w:pPr>
              <w:keepNext/>
              <w:keepLines/>
              <w:spacing w:before="40" w:after="40"/>
              <w:jc w:val="center"/>
              <w:rPr>
                <w:sz w:val="18"/>
                <w:szCs w:val="18"/>
              </w:rPr>
            </w:pPr>
            <w:r w:rsidRPr="000A6510">
              <w:rPr>
                <w:sz w:val="18"/>
                <w:szCs w:val="18"/>
              </w:rPr>
              <w:t>Tamaño de muestra</w:t>
            </w:r>
          </w:p>
        </w:tc>
      </w:tr>
      <w:tr w:rsidR="00BD77B5" w:rsidRPr="000A6510" w14:paraId="039E1F10" w14:textId="77777777" w:rsidTr="00BD77B5">
        <w:trPr>
          <w:cantSplit/>
          <w:jc w:val="center"/>
        </w:trPr>
        <w:tc>
          <w:tcPr>
            <w:tcW w:w="2969" w:type="dxa"/>
            <w:vMerge/>
          </w:tcPr>
          <w:p w14:paraId="76929C32" w14:textId="77777777" w:rsidR="00BD77B5" w:rsidRPr="000A6510" w:rsidRDefault="00BD77B5" w:rsidP="0014031D">
            <w:pPr>
              <w:widowControl w:val="0"/>
              <w:spacing w:before="40" w:after="40"/>
              <w:rPr>
                <w:sz w:val="20"/>
                <w:szCs w:val="20"/>
              </w:rPr>
            </w:pPr>
          </w:p>
        </w:tc>
        <w:tc>
          <w:tcPr>
            <w:tcW w:w="1881" w:type="dxa"/>
            <w:shd w:val="clear" w:color="auto" w:fill="CCCCFF"/>
            <w:vAlign w:val="center"/>
          </w:tcPr>
          <w:p w14:paraId="717F269E" w14:textId="77777777" w:rsidR="00BD77B5" w:rsidRPr="000A6510" w:rsidRDefault="00BD77B5" w:rsidP="00B555B0">
            <w:pPr>
              <w:keepNext/>
              <w:keepLines/>
              <w:spacing w:before="40" w:after="40"/>
              <w:jc w:val="center"/>
              <w:rPr>
                <w:sz w:val="18"/>
                <w:szCs w:val="18"/>
              </w:rPr>
            </w:pPr>
            <w:r w:rsidRPr="000A6510">
              <w:rPr>
                <w:sz w:val="18"/>
                <w:szCs w:val="18"/>
              </w:rPr>
              <w:t>Tamaño</w:t>
            </w:r>
          </w:p>
        </w:tc>
        <w:tc>
          <w:tcPr>
            <w:tcW w:w="1327" w:type="dxa"/>
            <w:shd w:val="clear" w:color="auto" w:fill="CCCCFF"/>
            <w:vAlign w:val="center"/>
          </w:tcPr>
          <w:p w14:paraId="35F9705D" w14:textId="77777777" w:rsidR="00BD77B5" w:rsidRPr="000A6510" w:rsidRDefault="00BD77B5" w:rsidP="00B555B0">
            <w:pPr>
              <w:keepNext/>
              <w:keepLines/>
              <w:spacing w:before="40" w:after="40"/>
              <w:jc w:val="center"/>
              <w:rPr>
                <w:sz w:val="18"/>
                <w:szCs w:val="18"/>
              </w:rPr>
            </w:pPr>
            <w:r w:rsidRPr="000A6510">
              <w:rPr>
                <w:sz w:val="18"/>
                <w:szCs w:val="18"/>
              </w:rPr>
              <w:t>Empresas</w:t>
            </w:r>
          </w:p>
        </w:tc>
        <w:tc>
          <w:tcPr>
            <w:tcW w:w="1328" w:type="dxa"/>
            <w:vMerge/>
            <w:shd w:val="clear" w:color="auto" w:fill="CCCCFF"/>
          </w:tcPr>
          <w:p w14:paraId="3D586817" w14:textId="77777777" w:rsidR="00BD77B5" w:rsidRPr="000A6510" w:rsidRDefault="00BD77B5" w:rsidP="00B555B0">
            <w:pPr>
              <w:keepNext/>
              <w:keepLines/>
              <w:spacing w:before="40" w:after="40"/>
              <w:jc w:val="center"/>
              <w:rPr>
                <w:sz w:val="20"/>
                <w:szCs w:val="20"/>
              </w:rPr>
            </w:pPr>
          </w:p>
        </w:tc>
      </w:tr>
      <w:tr w:rsidR="00BD77B5" w:rsidRPr="000A6510" w14:paraId="3B7144BA" w14:textId="77777777" w:rsidTr="00BD77B5">
        <w:trPr>
          <w:cantSplit/>
          <w:jc w:val="center"/>
        </w:trPr>
        <w:tc>
          <w:tcPr>
            <w:tcW w:w="2969" w:type="dxa"/>
          </w:tcPr>
          <w:p w14:paraId="641A6115" w14:textId="77777777" w:rsidR="00BD77B5" w:rsidRPr="000A6510" w:rsidRDefault="00BD77B5" w:rsidP="0014031D">
            <w:pPr>
              <w:widowControl w:val="0"/>
              <w:spacing w:before="40" w:after="40"/>
              <w:jc w:val="left"/>
              <w:rPr>
                <w:b/>
                <w:sz w:val="18"/>
                <w:szCs w:val="18"/>
              </w:rPr>
            </w:pPr>
            <w:r w:rsidRPr="000A6510">
              <w:rPr>
                <w:b/>
                <w:sz w:val="18"/>
                <w:szCs w:val="18"/>
              </w:rPr>
              <w:t>Total</w:t>
            </w:r>
          </w:p>
        </w:tc>
        <w:tc>
          <w:tcPr>
            <w:tcW w:w="1881" w:type="dxa"/>
          </w:tcPr>
          <w:p w14:paraId="630B4C47" w14:textId="77777777" w:rsidR="00BD77B5" w:rsidRPr="000A6510" w:rsidRDefault="00BD77B5" w:rsidP="00B555B0">
            <w:pPr>
              <w:keepNext/>
              <w:keepLines/>
              <w:tabs>
                <w:tab w:val="decimal" w:pos="2898"/>
              </w:tabs>
              <w:spacing w:before="40" w:after="40"/>
              <w:rPr>
                <w:b/>
                <w:sz w:val="18"/>
                <w:szCs w:val="18"/>
              </w:rPr>
            </w:pPr>
          </w:p>
        </w:tc>
        <w:tc>
          <w:tcPr>
            <w:tcW w:w="1327" w:type="dxa"/>
          </w:tcPr>
          <w:p w14:paraId="437A1DFA" w14:textId="6B7BB94E" w:rsidR="00BD77B5" w:rsidRPr="000A6510" w:rsidRDefault="00BD77B5" w:rsidP="00B555B0">
            <w:pPr>
              <w:keepNext/>
              <w:keepLines/>
              <w:tabs>
                <w:tab w:val="decimal" w:pos="759"/>
              </w:tabs>
              <w:spacing w:before="40" w:after="40"/>
              <w:rPr>
                <w:b/>
                <w:sz w:val="18"/>
                <w:szCs w:val="18"/>
              </w:rPr>
            </w:pPr>
            <w:r w:rsidRPr="000A6510">
              <w:rPr>
                <w:b/>
                <w:sz w:val="18"/>
                <w:szCs w:val="18"/>
              </w:rPr>
              <w:t>19,</w:t>
            </w:r>
            <w:r w:rsidR="00803607">
              <w:rPr>
                <w:b/>
                <w:sz w:val="18"/>
                <w:szCs w:val="18"/>
              </w:rPr>
              <w:t>854</w:t>
            </w:r>
          </w:p>
        </w:tc>
        <w:tc>
          <w:tcPr>
            <w:tcW w:w="1328" w:type="dxa"/>
            <w:vAlign w:val="center"/>
          </w:tcPr>
          <w:p w14:paraId="3EDCE606" w14:textId="392A71EC" w:rsidR="00BD77B5" w:rsidRPr="000A6510" w:rsidRDefault="00BD77B5" w:rsidP="00B555B0">
            <w:pPr>
              <w:keepNext/>
              <w:keepLines/>
              <w:tabs>
                <w:tab w:val="decimal" w:pos="759"/>
              </w:tabs>
              <w:spacing w:before="40" w:after="40"/>
              <w:rPr>
                <w:b/>
                <w:sz w:val="18"/>
                <w:szCs w:val="18"/>
              </w:rPr>
            </w:pPr>
            <w:r w:rsidRPr="000A6510">
              <w:rPr>
                <w:b/>
                <w:sz w:val="18"/>
                <w:szCs w:val="18"/>
              </w:rPr>
              <w:t>3,</w:t>
            </w:r>
            <w:r w:rsidR="00803607">
              <w:rPr>
                <w:b/>
                <w:sz w:val="18"/>
                <w:szCs w:val="18"/>
              </w:rPr>
              <w:t>379</w:t>
            </w:r>
          </w:p>
        </w:tc>
      </w:tr>
      <w:tr w:rsidR="00BD77B5" w:rsidRPr="000A6510" w14:paraId="556A734F" w14:textId="77777777" w:rsidTr="00BD77B5">
        <w:trPr>
          <w:cantSplit/>
          <w:jc w:val="center"/>
        </w:trPr>
        <w:tc>
          <w:tcPr>
            <w:tcW w:w="2969" w:type="dxa"/>
            <w:vAlign w:val="center"/>
          </w:tcPr>
          <w:p w14:paraId="03667787" w14:textId="77777777" w:rsidR="00BD77B5" w:rsidRPr="000A6510" w:rsidRDefault="00BD77B5" w:rsidP="0014031D">
            <w:pPr>
              <w:widowControl w:val="0"/>
              <w:spacing w:before="40" w:after="40"/>
              <w:jc w:val="left"/>
              <w:rPr>
                <w:sz w:val="18"/>
                <w:szCs w:val="18"/>
              </w:rPr>
            </w:pPr>
            <w:r w:rsidRPr="000A6510">
              <w:rPr>
                <w:sz w:val="18"/>
                <w:szCs w:val="18"/>
              </w:rPr>
              <w:t>Manufacturero</w:t>
            </w:r>
          </w:p>
        </w:tc>
        <w:tc>
          <w:tcPr>
            <w:tcW w:w="1881" w:type="dxa"/>
          </w:tcPr>
          <w:p w14:paraId="0D04355C" w14:textId="77777777" w:rsidR="00BD77B5" w:rsidRPr="000A6510" w:rsidRDefault="00BD77B5" w:rsidP="00B555B0">
            <w:pPr>
              <w:keepNext/>
              <w:keepLines/>
              <w:spacing w:before="40" w:after="40"/>
              <w:ind w:left="-24" w:right="-104"/>
              <w:jc w:val="left"/>
              <w:rPr>
                <w:sz w:val="18"/>
                <w:szCs w:val="18"/>
              </w:rPr>
            </w:pPr>
            <w:r w:rsidRPr="000A6510">
              <w:rPr>
                <w:sz w:val="18"/>
                <w:szCs w:val="18"/>
              </w:rPr>
              <w:t xml:space="preserve">100 y más </w:t>
            </w:r>
            <w:r w:rsidRPr="000A6510">
              <w:rPr>
                <w:sz w:val="18"/>
                <w:szCs w:val="18"/>
              </w:rPr>
              <w:br/>
              <w:t>personas ocupadas</w:t>
            </w:r>
          </w:p>
        </w:tc>
        <w:tc>
          <w:tcPr>
            <w:tcW w:w="1327" w:type="dxa"/>
            <w:vAlign w:val="center"/>
          </w:tcPr>
          <w:p w14:paraId="757FD08D" w14:textId="77777777" w:rsidR="00BD77B5" w:rsidRPr="000A6510" w:rsidRDefault="00BD77B5" w:rsidP="00B555B0">
            <w:pPr>
              <w:keepNext/>
              <w:keepLines/>
              <w:tabs>
                <w:tab w:val="decimal" w:pos="759"/>
              </w:tabs>
              <w:spacing w:before="40" w:after="40"/>
              <w:rPr>
                <w:sz w:val="18"/>
                <w:szCs w:val="18"/>
              </w:rPr>
            </w:pPr>
            <w:r w:rsidRPr="000A6510">
              <w:rPr>
                <w:sz w:val="18"/>
                <w:szCs w:val="18"/>
              </w:rPr>
              <w:t>6,077</w:t>
            </w:r>
          </w:p>
        </w:tc>
        <w:tc>
          <w:tcPr>
            <w:tcW w:w="1328" w:type="dxa"/>
            <w:vAlign w:val="center"/>
          </w:tcPr>
          <w:p w14:paraId="4370B206" w14:textId="77777777" w:rsidR="00BD77B5" w:rsidRPr="000A6510" w:rsidRDefault="00BD77B5" w:rsidP="00B555B0">
            <w:pPr>
              <w:keepNext/>
              <w:keepLines/>
              <w:tabs>
                <w:tab w:val="decimal" w:pos="759"/>
              </w:tabs>
              <w:spacing w:before="40" w:after="40"/>
              <w:rPr>
                <w:sz w:val="18"/>
                <w:szCs w:val="18"/>
              </w:rPr>
            </w:pPr>
            <w:r w:rsidRPr="000A6510">
              <w:rPr>
                <w:sz w:val="18"/>
                <w:szCs w:val="18"/>
              </w:rPr>
              <w:t>1,492</w:t>
            </w:r>
          </w:p>
        </w:tc>
      </w:tr>
      <w:tr w:rsidR="00BD77B5" w:rsidRPr="000A6510" w14:paraId="6AF099EC" w14:textId="77777777" w:rsidTr="00BD77B5">
        <w:trPr>
          <w:cantSplit/>
          <w:jc w:val="center"/>
        </w:trPr>
        <w:tc>
          <w:tcPr>
            <w:tcW w:w="2969" w:type="dxa"/>
            <w:vAlign w:val="center"/>
          </w:tcPr>
          <w:p w14:paraId="6FD68373" w14:textId="77777777" w:rsidR="00BD77B5" w:rsidRPr="000A6510" w:rsidRDefault="00BD77B5" w:rsidP="0014031D">
            <w:pPr>
              <w:widowControl w:val="0"/>
              <w:spacing w:before="40" w:after="40"/>
              <w:jc w:val="left"/>
              <w:rPr>
                <w:sz w:val="18"/>
                <w:szCs w:val="18"/>
              </w:rPr>
            </w:pPr>
            <w:r w:rsidRPr="000A6510">
              <w:rPr>
                <w:sz w:val="18"/>
                <w:szCs w:val="18"/>
              </w:rPr>
              <w:t>Construcción</w:t>
            </w:r>
          </w:p>
        </w:tc>
        <w:tc>
          <w:tcPr>
            <w:tcW w:w="1881" w:type="dxa"/>
          </w:tcPr>
          <w:p w14:paraId="137DC63F" w14:textId="77777777" w:rsidR="00BD77B5" w:rsidRPr="000A6510" w:rsidRDefault="00BD77B5" w:rsidP="00B555B0">
            <w:pPr>
              <w:pStyle w:val="Prrafodelista"/>
              <w:keepNext/>
              <w:keepLines/>
              <w:spacing w:before="40" w:after="40"/>
              <w:ind w:left="-24" w:right="-104"/>
              <w:jc w:val="left"/>
              <w:rPr>
                <w:sz w:val="18"/>
                <w:szCs w:val="18"/>
              </w:rPr>
            </w:pPr>
            <w:r w:rsidRPr="000A6510">
              <w:rPr>
                <w:sz w:val="18"/>
                <w:szCs w:val="18"/>
              </w:rPr>
              <w:t xml:space="preserve">100 y más </w:t>
            </w:r>
            <w:r w:rsidRPr="000A6510">
              <w:rPr>
                <w:sz w:val="18"/>
                <w:szCs w:val="18"/>
              </w:rPr>
              <w:br/>
              <w:t>personas ocupadas</w:t>
            </w:r>
          </w:p>
        </w:tc>
        <w:tc>
          <w:tcPr>
            <w:tcW w:w="1327" w:type="dxa"/>
            <w:vAlign w:val="center"/>
          </w:tcPr>
          <w:p w14:paraId="5B2B0EEA" w14:textId="77777777" w:rsidR="00BD77B5" w:rsidRPr="000A6510" w:rsidRDefault="00BD77B5" w:rsidP="00B555B0">
            <w:pPr>
              <w:keepNext/>
              <w:keepLines/>
              <w:tabs>
                <w:tab w:val="decimal" w:pos="759"/>
              </w:tabs>
              <w:spacing w:before="40" w:after="40"/>
              <w:rPr>
                <w:sz w:val="18"/>
                <w:szCs w:val="18"/>
              </w:rPr>
            </w:pPr>
            <w:r w:rsidRPr="000A6510">
              <w:rPr>
                <w:sz w:val="18"/>
                <w:szCs w:val="18"/>
              </w:rPr>
              <w:t>1,323</w:t>
            </w:r>
          </w:p>
        </w:tc>
        <w:tc>
          <w:tcPr>
            <w:tcW w:w="1328" w:type="dxa"/>
            <w:vAlign w:val="center"/>
          </w:tcPr>
          <w:p w14:paraId="1DE81169" w14:textId="77777777" w:rsidR="00BD77B5" w:rsidRPr="000A6510" w:rsidRDefault="00BD77B5" w:rsidP="00B555B0">
            <w:pPr>
              <w:keepNext/>
              <w:keepLines/>
              <w:tabs>
                <w:tab w:val="decimal" w:pos="759"/>
              </w:tabs>
              <w:spacing w:before="40" w:after="40"/>
              <w:rPr>
                <w:sz w:val="18"/>
                <w:szCs w:val="18"/>
              </w:rPr>
            </w:pPr>
            <w:r w:rsidRPr="000A6510">
              <w:rPr>
                <w:sz w:val="18"/>
                <w:szCs w:val="18"/>
              </w:rPr>
              <w:t>239</w:t>
            </w:r>
          </w:p>
        </w:tc>
      </w:tr>
      <w:tr w:rsidR="00BD77B5" w:rsidRPr="000A6510" w14:paraId="3C6AF00E" w14:textId="77777777" w:rsidTr="00BD77B5">
        <w:trPr>
          <w:cantSplit/>
          <w:jc w:val="center"/>
        </w:trPr>
        <w:tc>
          <w:tcPr>
            <w:tcW w:w="2969" w:type="dxa"/>
            <w:vAlign w:val="center"/>
          </w:tcPr>
          <w:p w14:paraId="2B4DD617" w14:textId="77777777" w:rsidR="00BD77B5" w:rsidRPr="000A6510" w:rsidRDefault="00BD77B5" w:rsidP="0014031D">
            <w:pPr>
              <w:widowControl w:val="0"/>
              <w:spacing w:before="40" w:after="40"/>
              <w:jc w:val="left"/>
              <w:rPr>
                <w:sz w:val="18"/>
                <w:szCs w:val="18"/>
              </w:rPr>
            </w:pPr>
            <w:r w:rsidRPr="000A6510">
              <w:rPr>
                <w:sz w:val="18"/>
                <w:szCs w:val="18"/>
              </w:rPr>
              <w:t>Comercio</w:t>
            </w:r>
          </w:p>
        </w:tc>
        <w:tc>
          <w:tcPr>
            <w:tcW w:w="1881" w:type="dxa"/>
          </w:tcPr>
          <w:p w14:paraId="641B04CC" w14:textId="77777777" w:rsidR="00BD77B5" w:rsidRPr="000A6510" w:rsidRDefault="00BD77B5" w:rsidP="00B555B0">
            <w:pPr>
              <w:keepNext/>
              <w:keepLines/>
              <w:spacing w:before="40" w:after="40"/>
              <w:ind w:left="-24" w:right="-104"/>
              <w:jc w:val="left"/>
              <w:rPr>
                <w:sz w:val="18"/>
                <w:szCs w:val="18"/>
              </w:rPr>
            </w:pPr>
            <w:r w:rsidRPr="000A6510">
              <w:rPr>
                <w:sz w:val="18"/>
                <w:szCs w:val="18"/>
              </w:rPr>
              <w:t xml:space="preserve">50 y más </w:t>
            </w:r>
            <w:r w:rsidRPr="000A6510">
              <w:rPr>
                <w:sz w:val="18"/>
                <w:szCs w:val="18"/>
              </w:rPr>
              <w:br/>
              <w:t>personas ocupadas</w:t>
            </w:r>
          </w:p>
        </w:tc>
        <w:tc>
          <w:tcPr>
            <w:tcW w:w="1327" w:type="dxa"/>
            <w:vAlign w:val="center"/>
          </w:tcPr>
          <w:p w14:paraId="7B93FB25" w14:textId="77777777" w:rsidR="00BD77B5" w:rsidRPr="000A6510" w:rsidRDefault="00BD77B5" w:rsidP="00B555B0">
            <w:pPr>
              <w:keepNext/>
              <w:keepLines/>
              <w:tabs>
                <w:tab w:val="decimal" w:pos="759"/>
              </w:tabs>
              <w:spacing w:before="40" w:after="40"/>
              <w:rPr>
                <w:sz w:val="18"/>
                <w:szCs w:val="18"/>
              </w:rPr>
            </w:pPr>
            <w:r w:rsidRPr="000A6510">
              <w:rPr>
                <w:sz w:val="18"/>
                <w:szCs w:val="18"/>
              </w:rPr>
              <w:t>6,180</w:t>
            </w:r>
          </w:p>
        </w:tc>
        <w:tc>
          <w:tcPr>
            <w:tcW w:w="1328" w:type="dxa"/>
            <w:vAlign w:val="center"/>
          </w:tcPr>
          <w:p w14:paraId="7716B000" w14:textId="77777777" w:rsidR="00BD77B5" w:rsidRPr="000A6510" w:rsidRDefault="00BD77B5" w:rsidP="00B555B0">
            <w:pPr>
              <w:keepNext/>
              <w:keepLines/>
              <w:tabs>
                <w:tab w:val="decimal" w:pos="759"/>
              </w:tabs>
              <w:spacing w:before="40" w:after="40"/>
              <w:rPr>
                <w:sz w:val="18"/>
                <w:szCs w:val="18"/>
              </w:rPr>
            </w:pPr>
            <w:r w:rsidRPr="000A6510">
              <w:rPr>
                <w:sz w:val="18"/>
                <w:szCs w:val="18"/>
              </w:rPr>
              <w:t>532</w:t>
            </w:r>
          </w:p>
        </w:tc>
      </w:tr>
      <w:tr w:rsidR="00BD77B5" w:rsidRPr="000A6510" w14:paraId="41EED6B4" w14:textId="77777777" w:rsidTr="00BD77B5">
        <w:trPr>
          <w:cantSplit/>
          <w:jc w:val="center"/>
        </w:trPr>
        <w:tc>
          <w:tcPr>
            <w:tcW w:w="2969" w:type="dxa"/>
            <w:vAlign w:val="center"/>
          </w:tcPr>
          <w:p w14:paraId="6D880CE5" w14:textId="77777777" w:rsidR="00BD77B5" w:rsidRPr="000A6510" w:rsidRDefault="00BD77B5" w:rsidP="0014031D">
            <w:pPr>
              <w:widowControl w:val="0"/>
              <w:spacing w:before="40" w:after="40"/>
              <w:jc w:val="left"/>
              <w:rPr>
                <w:sz w:val="18"/>
                <w:szCs w:val="18"/>
              </w:rPr>
            </w:pPr>
            <w:r w:rsidRPr="000A6510">
              <w:rPr>
                <w:sz w:val="18"/>
                <w:szCs w:val="18"/>
              </w:rPr>
              <w:t>Servicios Privados no Financieros</w:t>
            </w:r>
          </w:p>
        </w:tc>
        <w:tc>
          <w:tcPr>
            <w:tcW w:w="1881" w:type="dxa"/>
          </w:tcPr>
          <w:p w14:paraId="176395CB" w14:textId="77777777" w:rsidR="00BD77B5" w:rsidRPr="000A6510" w:rsidRDefault="00BD77B5" w:rsidP="00B555B0">
            <w:pPr>
              <w:keepNext/>
              <w:keepLines/>
              <w:spacing w:before="40" w:after="40"/>
              <w:ind w:left="-24" w:right="-104"/>
              <w:jc w:val="left"/>
              <w:rPr>
                <w:sz w:val="18"/>
                <w:szCs w:val="18"/>
              </w:rPr>
            </w:pPr>
            <w:r w:rsidRPr="000A6510">
              <w:rPr>
                <w:sz w:val="18"/>
                <w:szCs w:val="18"/>
              </w:rPr>
              <w:t xml:space="preserve">100 y más </w:t>
            </w:r>
            <w:r w:rsidRPr="000A6510">
              <w:rPr>
                <w:sz w:val="18"/>
                <w:szCs w:val="18"/>
              </w:rPr>
              <w:br/>
              <w:t>personas ocupadas</w:t>
            </w:r>
          </w:p>
        </w:tc>
        <w:tc>
          <w:tcPr>
            <w:tcW w:w="1327" w:type="dxa"/>
            <w:vAlign w:val="center"/>
          </w:tcPr>
          <w:p w14:paraId="62765619" w14:textId="4827BA1C" w:rsidR="00BD77B5" w:rsidRPr="000A6510" w:rsidRDefault="00BD77B5" w:rsidP="00B555B0">
            <w:pPr>
              <w:keepNext/>
              <w:keepLines/>
              <w:tabs>
                <w:tab w:val="decimal" w:pos="759"/>
              </w:tabs>
              <w:spacing w:before="40" w:after="40"/>
              <w:rPr>
                <w:sz w:val="18"/>
                <w:szCs w:val="18"/>
              </w:rPr>
            </w:pPr>
            <w:r w:rsidRPr="000A6510">
              <w:rPr>
                <w:sz w:val="18"/>
                <w:szCs w:val="18"/>
              </w:rPr>
              <w:t>6,</w:t>
            </w:r>
            <w:r w:rsidR="00803607">
              <w:rPr>
                <w:sz w:val="18"/>
                <w:szCs w:val="18"/>
              </w:rPr>
              <w:t>274</w:t>
            </w:r>
          </w:p>
        </w:tc>
        <w:tc>
          <w:tcPr>
            <w:tcW w:w="1328" w:type="dxa"/>
            <w:vAlign w:val="center"/>
          </w:tcPr>
          <w:p w14:paraId="70D1F69D" w14:textId="6DD94650" w:rsidR="00BD77B5" w:rsidRPr="000A6510" w:rsidRDefault="00BD77B5" w:rsidP="00B555B0">
            <w:pPr>
              <w:keepNext/>
              <w:keepLines/>
              <w:tabs>
                <w:tab w:val="decimal" w:pos="759"/>
              </w:tabs>
              <w:spacing w:before="40" w:after="40"/>
              <w:rPr>
                <w:sz w:val="18"/>
                <w:szCs w:val="18"/>
              </w:rPr>
            </w:pPr>
            <w:r w:rsidRPr="000A6510">
              <w:rPr>
                <w:sz w:val="18"/>
                <w:szCs w:val="18"/>
              </w:rPr>
              <w:t>1,1</w:t>
            </w:r>
            <w:r w:rsidR="00803607">
              <w:rPr>
                <w:sz w:val="18"/>
                <w:szCs w:val="18"/>
              </w:rPr>
              <w:t>16</w:t>
            </w:r>
          </w:p>
        </w:tc>
      </w:tr>
    </w:tbl>
    <w:p w14:paraId="02AF8000" w14:textId="27E2EF55" w:rsidR="003A76C9" w:rsidRPr="000A6510" w:rsidRDefault="003A76C9" w:rsidP="00E917F3">
      <w:pPr>
        <w:pStyle w:val="Pa10"/>
        <w:keepLines/>
        <w:spacing w:before="240" w:after="240" w:line="240" w:lineRule="auto"/>
        <w:jc w:val="both"/>
        <w:rPr>
          <w:lang w:val="es-ES_tradnl" w:eastAsia="es-MX"/>
        </w:rPr>
      </w:pPr>
      <w:r w:rsidRPr="000A6510">
        <w:rPr>
          <w:lang w:val="es-MX" w:eastAsia="es-MX"/>
        </w:rPr>
        <w:t>S</w:t>
      </w:r>
      <w:r w:rsidR="00D337D1">
        <w:rPr>
          <w:lang w:val="es-ES_tradnl" w:eastAsia="es-MX"/>
        </w:rPr>
        <w:t>e</w:t>
      </w:r>
      <w:r w:rsidRPr="000A6510">
        <w:rPr>
          <w:lang w:val="es-ES_tradnl" w:eastAsia="es-MX"/>
        </w:rPr>
        <w:t xml:space="preserve"> utilizan cuatro modalidades para la captación de la información: cuestionario impreso (en papel), cuestionario electrónico para su captación en los Dispositivos de Cómputo Móvil</w:t>
      </w:r>
      <w:r w:rsidR="00EC6584">
        <w:rPr>
          <w:lang w:val="es-ES_tradnl" w:eastAsia="es-MX"/>
        </w:rPr>
        <w:t>,</w:t>
      </w:r>
      <w:r w:rsidRPr="000A6510">
        <w:rPr>
          <w:lang w:val="es-ES_tradnl" w:eastAsia="es-MX"/>
        </w:rPr>
        <w:t xml:space="preserve"> captación a través del Centro de Entrevistas Telefónicas Asistidas por computadora (CATI, por sus siglas en inglés) y cuestionario electrónico en el sitio del INEGI para la captación de información a través de internet.</w:t>
      </w:r>
    </w:p>
    <w:p w14:paraId="19C1910B" w14:textId="0A50BF0D" w:rsidR="0095517A" w:rsidRPr="005E1982" w:rsidRDefault="0095517A" w:rsidP="0095517A">
      <w:pPr>
        <w:pStyle w:val="Default"/>
        <w:spacing w:before="240" w:after="240"/>
        <w:jc w:val="both"/>
      </w:pPr>
      <w:r w:rsidRPr="005E1982">
        <w:t xml:space="preserve">Los indicadores de las expectativas empresariales </w:t>
      </w:r>
      <w:r w:rsidR="0030690E">
        <w:t xml:space="preserve">que </w:t>
      </w:r>
      <w:r w:rsidR="00D23FCD">
        <w:t xml:space="preserve">se integran mensualmente </w:t>
      </w:r>
      <w:r w:rsidR="0030690E">
        <w:t xml:space="preserve">son proporcionados por </w:t>
      </w:r>
      <w:r w:rsidR="00861FD6" w:rsidRPr="00D23FCD">
        <w:t>el directivo empresarial en las tres primeras semanas del mes de referencia de la encuesta, tomando como base la información disponible al momento en que ésta se aplica. Los resultados se difunden inmediatamente después de terminado dicho mes.</w:t>
      </w:r>
    </w:p>
    <w:p w14:paraId="0B8906A6" w14:textId="357BE9F4" w:rsidR="002F37FC" w:rsidRPr="000A6510" w:rsidRDefault="002F37FC" w:rsidP="0095517A">
      <w:pPr>
        <w:pStyle w:val="Default"/>
        <w:keepLines/>
        <w:spacing w:before="240"/>
        <w:jc w:val="both"/>
        <w:rPr>
          <w:color w:val="auto"/>
        </w:rPr>
      </w:pPr>
      <w:r w:rsidRPr="000A6510">
        <w:rPr>
          <w:color w:val="auto"/>
        </w:rPr>
        <w:lastRenderedPageBreak/>
        <w:t xml:space="preserve">Es importante mencionar que las preguntas efectuadas en la encuesta están estructuradas para captar información sobre el comportamiento de las variables de interés del mes en estudio en comparación con el mes precedente, por ejemplo: </w:t>
      </w:r>
      <w:r w:rsidRPr="000A6510">
        <w:rPr>
          <w:i/>
          <w:iCs/>
          <w:color w:val="auto"/>
        </w:rPr>
        <w:t xml:space="preserve">¿Cómo se comportó o comportará el volumen físico de producción de la empresa en el presente mes respecto </w:t>
      </w:r>
      <w:r w:rsidR="00CA0140" w:rsidRPr="000A6510">
        <w:rPr>
          <w:i/>
          <w:iCs/>
          <w:color w:val="auto"/>
        </w:rPr>
        <w:t>a</w:t>
      </w:r>
      <w:r w:rsidRPr="000A6510">
        <w:rPr>
          <w:i/>
          <w:iCs/>
          <w:color w:val="auto"/>
        </w:rPr>
        <w:t>l mes inmediato anterior?</w:t>
      </w:r>
    </w:p>
    <w:p w14:paraId="3A882F9A" w14:textId="190AE868" w:rsidR="005D42D9" w:rsidRPr="000A6510" w:rsidRDefault="005D42D9" w:rsidP="00DC0118">
      <w:pPr>
        <w:pStyle w:val="Default"/>
        <w:spacing w:before="240" w:after="240"/>
        <w:jc w:val="both"/>
      </w:pPr>
      <w:r w:rsidRPr="000A6510">
        <w:t xml:space="preserve">En este contexto y con base en la estructura de las preguntas fuente, los indicadores </w:t>
      </w:r>
      <w:r w:rsidR="0095517A">
        <w:t xml:space="preserve">simples de la EMOE se denominan expectativas empresariales </w:t>
      </w:r>
      <w:r w:rsidR="00DA23D4">
        <w:t xml:space="preserve">y </w:t>
      </w:r>
      <w:r w:rsidRPr="000A6510">
        <w:t>expresan la evolución que tienen las variables en el corto plazo</w:t>
      </w:r>
      <w:r w:rsidR="005B3436">
        <w:t>.</w:t>
      </w:r>
      <w:r w:rsidRPr="000A6510">
        <w:t xml:space="preserve"> </w:t>
      </w:r>
      <w:r w:rsidR="005B3436">
        <w:t>E</w:t>
      </w:r>
      <w:r w:rsidRPr="000A6510">
        <w:t>s decir, con base en su comparativo mensual (mes de estudio versus mes inmediato anterior) se obtiene la diferencia en puntos que denotará crecimiento o decrecimiento, según corresponda.</w:t>
      </w:r>
    </w:p>
    <w:p w14:paraId="0E22321F" w14:textId="3ADCB8B3" w:rsidR="004126F6" w:rsidRDefault="003A76C9" w:rsidP="00DC0118">
      <w:pPr>
        <w:pStyle w:val="Default"/>
        <w:spacing w:before="240" w:after="240"/>
        <w:jc w:val="both"/>
      </w:pPr>
      <w:r w:rsidRPr="000A6510">
        <w:t>Cada uno de los indicadores</w:t>
      </w:r>
      <w:r w:rsidR="00DA23D4">
        <w:t xml:space="preserve"> de expectativas empresariales</w:t>
      </w:r>
      <w:r w:rsidRPr="000A6510">
        <w:t xml:space="preserve"> se obtiene del promedio de los resultados expandidos de las respuestas a cada una de las preguntas</w:t>
      </w:r>
      <w:r w:rsidR="00FF3C7E" w:rsidRPr="000A6510">
        <w:t xml:space="preserve"> que se relacionan con las siguientes variables</w:t>
      </w:r>
      <w:r w:rsidRPr="000A6510">
        <w:t>:</w:t>
      </w:r>
    </w:p>
    <w:tbl>
      <w:tblPr>
        <w:tblStyle w:val="Tablaconcuadrcula"/>
        <w:tblW w:w="0" w:type="auto"/>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2994"/>
        <w:gridCol w:w="5223"/>
      </w:tblGrid>
      <w:tr w:rsidR="00BD77B5" w:rsidRPr="000A6510" w14:paraId="56C1866A" w14:textId="77777777" w:rsidTr="003A76C9">
        <w:trPr>
          <w:tblHeader/>
          <w:jc w:val="center"/>
        </w:trPr>
        <w:tc>
          <w:tcPr>
            <w:tcW w:w="2994" w:type="dxa"/>
            <w:shd w:val="clear" w:color="auto" w:fill="CCCCFF"/>
          </w:tcPr>
          <w:p w14:paraId="2C3A7C73" w14:textId="0926F34E" w:rsidR="00BD77B5" w:rsidRPr="000A6510" w:rsidRDefault="00DA23D4" w:rsidP="00B555B0">
            <w:pPr>
              <w:keepNext/>
              <w:keepLines/>
              <w:widowControl w:val="0"/>
              <w:spacing w:before="120" w:after="120"/>
              <w:jc w:val="center"/>
              <w:rPr>
                <w:strike/>
                <w:sz w:val="18"/>
                <w:szCs w:val="18"/>
              </w:rPr>
            </w:pPr>
            <w:r>
              <w:rPr>
                <w:sz w:val="18"/>
                <w:szCs w:val="18"/>
              </w:rPr>
              <w:t>Sector</w:t>
            </w:r>
          </w:p>
        </w:tc>
        <w:tc>
          <w:tcPr>
            <w:tcW w:w="5223" w:type="dxa"/>
            <w:shd w:val="clear" w:color="auto" w:fill="CCCCFF"/>
            <w:vAlign w:val="center"/>
          </w:tcPr>
          <w:p w14:paraId="5AC51B9F" w14:textId="77777777" w:rsidR="00BD77B5" w:rsidRPr="000A6510" w:rsidRDefault="00BD77B5" w:rsidP="00B555B0">
            <w:pPr>
              <w:keepNext/>
              <w:keepLines/>
              <w:widowControl w:val="0"/>
              <w:spacing w:before="120" w:after="120"/>
              <w:ind w:left="383"/>
              <w:rPr>
                <w:sz w:val="18"/>
                <w:szCs w:val="18"/>
              </w:rPr>
            </w:pPr>
            <w:r w:rsidRPr="000A6510">
              <w:rPr>
                <w:sz w:val="18"/>
                <w:szCs w:val="18"/>
              </w:rPr>
              <w:t xml:space="preserve">Variables relevantes </w:t>
            </w:r>
          </w:p>
        </w:tc>
      </w:tr>
      <w:tr w:rsidR="00BD77B5" w:rsidRPr="000A6510" w14:paraId="453F4674" w14:textId="77777777" w:rsidTr="003A76C9">
        <w:trPr>
          <w:jc w:val="center"/>
        </w:trPr>
        <w:tc>
          <w:tcPr>
            <w:tcW w:w="2994" w:type="dxa"/>
            <w:vAlign w:val="center"/>
          </w:tcPr>
          <w:p w14:paraId="594E80AD" w14:textId="77777777" w:rsidR="00BD77B5" w:rsidRPr="000A6510" w:rsidRDefault="00BD77B5" w:rsidP="00B555B0">
            <w:pPr>
              <w:jc w:val="left"/>
              <w:rPr>
                <w:color w:val="000000"/>
                <w:sz w:val="18"/>
                <w:szCs w:val="18"/>
              </w:rPr>
            </w:pPr>
            <w:r w:rsidRPr="000A6510">
              <w:rPr>
                <w:color w:val="000000"/>
                <w:sz w:val="18"/>
                <w:szCs w:val="18"/>
              </w:rPr>
              <w:t>Industrias Manufactureras</w:t>
            </w:r>
          </w:p>
        </w:tc>
        <w:tc>
          <w:tcPr>
            <w:tcW w:w="5223" w:type="dxa"/>
          </w:tcPr>
          <w:p w14:paraId="33AB4377"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 xml:space="preserve">Producción </w:t>
            </w:r>
          </w:p>
          <w:p w14:paraId="4C48052C"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sz w:val="18"/>
                <w:szCs w:val="18"/>
                <w:lang w:val="es-MX"/>
              </w:rPr>
              <w:t>Capacidad de planta utilizada</w:t>
            </w:r>
          </w:p>
          <w:p w14:paraId="01FB33C4"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Demanda nacional</w:t>
            </w:r>
            <w:r w:rsidR="0014031D" w:rsidRPr="000A6510">
              <w:rPr>
                <w:color w:val="000000"/>
                <w:sz w:val="18"/>
                <w:szCs w:val="18"/>
              </w:rPr>
              <w:t xml:space="preserve"> de sus productos</w:t>
            </w:r>
          </w:p>
          <w:p w14:paraId="1CFDA452"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 xml:space="preserve">Exportaciones </w:t>
            </w:r>
          </w:p>
          <w:p w14:paraId="30804E0E" w14:textId="420724EB" w:rsidR="00BD77B5" w:rsidRPr="000A6510" w:rsidRDefault="00BD77B5" w:rsidP="007332E4">
            <w:pPr>
              <w:pStyle w:val="Prrafodelista"/>
              <w:numPr>
                <w:ilvl w:val="0"/>
                <w:numId w:val="13"/>
              </w:numPr>
              <w:ind w:left="438"/>
              <w:contextualSpacing/>
              <w:jc w:val="left"/>
              <w:rPr>
                <w:color w:val="000000"/>
                <w:sz w:val="18"/>
                <w:szCs w:val="18"/>
              </w:rPr>
            </w:pPr>
            <w:r w:rsidRPr="000A6510">
              <w:rPr>
                <w:sz w:val="18"/>
                <w:szCs w:val="18"/>
                <w:lang w:val="es-MX"/>
              </w:rPr>
              <w:t>Personal ocupado total</w:t>
            </w:r>
          </w:p>
        </w:tc>
      </w:tr>
      <w:tr w:rsidR="00BD77B5" w:rsidRPr="000A6510" w14:paraId="3BBBB209" w14:textId="77777777" w:rsidTr="003A76C9">
        <w:trPr>
          <w:jc w:val="center"/>
        </w:trPr>
        <w:tc>
          <w:tcPr>
            <w:tcW w:w="2994" w:type="dxa"/>
            <w:vAlign w:val="center"/>
          </w:tcPr>
          <w:p w14:paraId="277EA20A" w14:textId="77777777" w:rsidR="00BD77B5" w:rsidRPr="000A6510" w:rsidRDefault="00BD77B5" w:rsidP="00B555B0">
            <w:pPr>
              <w:jc w:val="left"/>
              <w:rPr>
                <w:color w:val="000000"/>
                <w:sz w:val="18"/>
                <w:szCs w:val="18"/>
              </w:rPr>
            </w:pPr>
            <w:r w:rsidRPr="000A6510">
              <w:rPr>
                <w:color w:val="000000"/>
                <w:sz w:val="18"/>
                <w:szCs w:val="18"/>
              </w:rPr>
              <w:t>Construcción</w:t>
            </w:r>
          </w:p>
        </w:tc>
        <w:tc>
          <w:tcPr>
            <w:tcW w:w="5223" w:type="dxa"/>
          </w:tcPr>
          <w:p w14:paraId="401B2190"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Valor de las obras ejecutadas como contratista principal</w:t>
            </w:r>
          </w:p>
          <w:p w14:paraId="6BE37989"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Valor de las obras ejecutadas como subcontratista</w:t>
            </w:r>
          </w:p>
          <w:p w14:paraId="10BA7003"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Total de contratos y subcontratos</w:t>
            </w:r>
          </w:p>
          <w:p w14:paraId="5B67E4A7"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sz w:val="18"/>
                <w:szCs w:val="18"/>
                <w:lang w:val="es-MX"/>
              </w:rPr>
              <w:t>Personal ocupado total</w:t>
            </w:r>
          </w:p>
        </w:tc>
      </w:tr>
      <w:tr w:rsidR="00BD77B5" w:rsidRPr="000A6510" w14:paraId="1304CF9C" w14:textId="77777777" w:rsidTr="003A76C9">
        <w:trPr>
          <w:jc w:val="center"/>
        </w:trPr>
        <w:tc>
          <w:tcPr>
            <w:tcW w:w="2994" w:type="dxa"/>
            <w:vAlign w:val="center"/>
          </w:tcPr>
          <w:p w14:paraId="2AA9D52B" w14:textId="77777777" w:rsidR="00BD77B5" w:rsidRPr="000A6510" w:rsidRDefault="00BD77B5" w:rsidP="00B555B0">
            <w:pPr>
              <w:keepNext/>
              <w:keepLines/>
              <w:jc w:val="left"/>
              <w:rPr>
                <w:color w:val="000000"/>
                <w:sz w:val="18"/>
                <w:szCs w:val="18"/>
              </w:rPr>
            </w:pPr>
            <w:r w:rsidRPr="000A6510">
              <w:rPr>
                <w:color w:val="000000"/>
                <w:sz w:val="18"/>
                <w:szCs w:val="18"/>
              </w:rPr>
              <w:t>Comercio</w:t>
            </w:r>
          </w:p>
        </w:tc>
        <w:tc>
          <w:tcPr>
            <w:tcW w:w="5223" w:type="dxa"/>
          </w:tcPr>
          <w:p w14:paraId="50639A8D"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Ventas netas</w:t>
            </w:r>
          </w:p>
          <w:p w14:paraId="182CFB73"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Ingresos por consignación y/o comisión</w:t>
            </w:r>
          </w:p>
          <w:p w14:paraId="10B737A8"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Compras netas</w:t>
            </w:r>
          </w:p>
          <w:p w14:paraId="5FDEE971"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Inventarios de mercancías</w:t>
            </w:r>
          </w:p>
          <w:p w14:paraId="05AE83D9"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Personal ocupado total</w:t>
            </w:r>
          </w:p>
        </w:tc>
      </w:tr>
      <w:tr w:rsidR="00BD77B5" w:rsidRPr="000A6510" w14:paraId="04197795" w14:textId="77777777" w:rsidTr="003A76C9">
        <w:trPr>
          <w:jc w:val="center"/>
        </w:trPr>
        <w:tc>
          <w:tcPr>
            <w:tcW w:w="2994" w:type="dxa"/>
            <w:vAlign w:val="center"/>
          </w:tcPr>
          <w:p w14:paraId="3A9D5ADB" w14:textId="77777777" w:rsidR="00BD77B5" w:rsidRPr="000A6510" w:rsidRDefault="00BD77B5" w:rsidP="00E917F3">
            <w:pPr>
              <w:widowControl w:val="0"/>
              <w:jc w:val="left"/>
              <w:rPr>
                <w:color w:val="000000"/>
                <w:sz w:val="18"/>
                <w:szCs w:val="18"/>
              </w:rPr>
            </w:pPr>
            <w:r w:rsidRPr="000A6510">
              <w:rPr>
                <w:color w:val="000000"/>
                <w:sz w:val="18"/>
                <w:szCs w:val="18"/>
              </w:rPr>
              <w:t>Servicios Privados no Financieros</w:t>
            </w:r>
          </w:p>
        </w:tc>
        <w:tc>
          <w:tcPr>
            <w:tcW w:w="5223" w:type="dxa"/>
          </w:tcPr>
          <w:p w14:paraId="41B34C77" w14:textId="77777777" w:rsidR="00BD77B5" w:rsidRPr="000A6510" w:rsidRDefault="00BD77B5" w:rsidP="00E917F3">
            <w:pPr>
              <w:pStyle w:val="Prrafodelista"/>
              <w:widowControl w:val="0"/>
              <w:numPr>
                <w:ilvl w:val="0"/>
                <w:numId w:val="13"/>
              </w:numPr>
              <w:ind w:left="438"/>
              <w:contextualSpacing/>
              <w:jc w:val="left"/>
              <w:rPr>
                <w:color w:val="000000"/>
                <w:sz w:val="18"/>
                <w:szCs w:val="18"/>
              </w:rPr>
            </w:pPr>
            <w:r w:rsidRPr="000A6510">
              <w:rPr>
                <w:color w:val="000000"/>
                <w:sz w:val="18"/>
                <w:szCs w:val="18"/>
              </w:rPr>
              <w:t>Ingresos por la prestación de servicios</w:t>
            </w:r>
          </w:p>
          <w:p w14:paraId="168940F5" w14:textId="77777777" w:rsidR="00BD77B5" w:rsidRPr="000A6510" w:rsidRDefault="00BD77B5" w:rsidP="00E917F3">
            <w:pPr>
              <w:pStyle w:val="Prrafodelista"/>
              <w:widowControl w:val="0"/>
              <w:numPr>
                <w:ilvl w:val="0"/>
                <w:numId w:val="13"/>
              </w:numPr>
              <w:ind w:left="438"/>
              <w:contextualSpacing/>
              <w:jc w:val="left"/>
              <w:rPr>
                <w:color w:val="000000"/>
                <w:sz w:val="18"/>
                <w:szCs w:val="18"/>
              </w:rPr>
            </w:pPr>
            <w:r w:rsidRPr="000A6510">
              <w:rPr>
                <w:color w:val="000000"/>
                <w:sz w:val="18"/>
                <w:szCs w:val="18"/>
              </w:rPr>
              <w:t>Demanda</w:t>
            </w:r>
            <w:r w:rsidR="0014031D" w:rsidRPr="000A6510">
              <w:rPr>
                <w:color w:val="000000"/>
                <w:sz w:val="18"/>
                <w:szCs w:val="18"/>
              </w:rPr>
              <w:t xml:space="preserve"> nacional</w:t>
            </w:r>
            <w:r w:rsidRPr="000A6510">
              <w:rPr>
                <w:color w:val="000000"/>
                <w:sz w:val="18"/>
                <w:szCs w:val="18"/>
              </w:rPr>
              <w:t xml:space="preserve"> de servicios</w:t>
            </w:r>
          </w:p>
          <w:p w14:paraId="2A8DB4AC" w14:textId="77777777" w:rsidR="00BD77B5" w:rsidRPr="000A6510" w:rsidRDefault="00BD77B5" w:rsidP="00E917F3">
            <w:pPr>
              <w:pStyle w:val="Prrafodelista"/>
              <w:widowControl w:val="0"/>
              <w:numPr>
                <w:ilvl w:val="0"/>
                <w:numId w:val="13"/>
              </w:numPr>
              <w:ind w:left="438"/>
              <w:contextualSpacing/>
              <w:jc w:val="left"/>
              <w:rPr>
                <w:color w:val="000000"/>
                <w:sz w:val="18"/>
                <w:szCs w:val="18"/>
              </w:rPr>
            </w:pPr>
            <w:r w:rsidRPr="000A6510">
              <w:rPr>
                <w:color w:val="000000"/>
                <w:sz w:val="18"/>
                <w:szCs w:val="18"/>
              </w:rPr>
              <w:t>Gastos por consumo de bienes y servicios</w:t>
            </w:r>
          </w:p>
          <w:p w14:paraId="1958F0C5" w14:textId="77777777" w:rsidR="00BD77B5" w:rsidRPr="000A6510" w:rsidRDefault="00BD77B5" w:rsidP="00E917F3">
            <w:pPr>
              <w:pStyle w:val="Prrafodelista"/>
              <w:widowControl w:val="0"/>
              <w:numPr>
                <w:ilvl w:val="0"/>
                <w:numId w:val="13"/>
              </w:numPr>
              <w:ind w:left="438"/>
              <w:contextualSpacing/>
              <w:jc w:val="left"/>
              <w:rPr>
                <w:color w:val="000000"/>
                <w:sz w:val="18"/>
                <w:szCs w:val="18"/>
              </w:rPr>
            </w:pPr>
            <w:r w:rsidRPr="000A6510">
              <w:rPr>
                <w:color w:val="000000"/>
                <w:sz w:val="18"/>
                <w:szCs w:val="18"/>
              </w:rPr>
              <w:t>Personal ocupado total</w:t>
            </w:r>
          </w:p>
        </w:tc>
      </w:tr>
    </w:tbl>
    <w:p w14:paraId="53D646B7" w14:textId="63B74FC7" w:rsidR="00DA23D4" w:rsidRDefault="00DA23D4" w:rsidP="00E917F3">
      <w:pPr>
        <w:pStyle w:val="Default"/>
        <w:keepLines/>
        <w:widowControl w:val="0"/>
        <w:spacing w:before="240" w:after="240"/>
        <w:jc w:val="both"/>
      </w:pPr>
      <w:r w:rsidRPr="00444065">
        <w:t xml:space="preserve">Es importante mencionar que en el sector de Industrias Manufactureras se tienen cuatro variables relevantes adicionales: </w:t>
      </w:r>
      <w:r w:rsidR="00EC6584">
        <w:t>i</w:t>
      </w:r>
      <w:r w:rsidRPr="00444065">
        <w:t xml:space="preserve">nversión, </w:t>
      </w:r>
      <w:r w:rsidR="00EC6584">
        <w:t>i</w:t>
      </w:r>
      <w:r w:rsidRPr="00444065">
        <w:t xml:space="preserve">nventario de productos terminados, </w:t>
      </w:r>
      <w:r w:rsidR="00EC6584">
        <w:t>p</w:t>
      </w:r>
      <w:r w:rsidRPr="00444065">
        <w:t xml:space="preserve">recios de venta y </w:t>
      </w:r>
      <w:r w:rsidR="00EC6584">
        <w:t>p</w:t>
      </w:r>
      <w:r w:rsidRPr="00444065">
        <w:t>recios de insumos, que también se consideran como expectativas empresariales.</w:t>
      </w:r>
      <w:r w:rsidRPr="00A543E8">
        <w:t xml:space="preserve"> </w:t>
      </w:r>
    </w:p>
    <w:p w14:paraId="600D4394" w14:textId="3F433AC9" w:rsidR="003A76C9" w:rsidRPr="000A6510" w:rsidRDefault="003A76C9" w:rsidP="00DC0118">
      <w:pPr>
        <w:pStyle w:val="Default"/>
        <w:spacing w:before="240" w:after="240"/>
        <w:jc w:val="both"/>
        <w:rPr>
          <w:color w:val="auto"/>
        </w:rPr>
      </w:pPr>
      <w:r w:rsidRPr="000A6510">
        <w:t xml:space="preserve">En cada una de las preguntas, el informante tiene cinco opciones de respuesta: </w:t>
      </w:r>
      <w:r w:rsidR="00EC6584">
        <w:t>m</w:t>
      </w:r>
      <w:r w:rsidRPr="000A6510">
        <w:t xml:space="preserve">ucho mayor, </w:t>
      </w:r>
      <w:r w:rsidR="00EC6584">
        <w:t>m</w:t>
      </w:r>
      <w:r w:rsidRPr="000A6510">
        <w:t xml:space="preserve">ayor, </w:t>
      </w:r>
      <w:r w:rsidR="00EC6584">
        <w:t>i</w:t>
      </w:r>
      <w:r w:rsidRPr="000A6510">
        <w:t xml:space="preserve">gual, </w:t>
      </w:r>
      <w:r w:rsidR="00EC6584">
        <w:t>m</w:t>
      </w:r>
      <w:r w:rsidRPr="000A6510">
        <w:t xml:space="preserve">enor y </w:t>
      </w:r>
      <w:r w:rsidR="00EC6584">
        <w:t>m</w:t>
      </w:r>
      <w:r w:rsidRPr="000A6510">
        <w:t xml:space="preserve">ucho menor. Para los </w:t>
      </w:r>
      <w:r w:rsidR="00EC6584">
        <w:rPr>
          <w:color w:val="auto"/>
        </w:rPr>
        <w:t>p</w:t>
      </w:r>
      <w:r w:rsidRPr="000A6510">
        <w:rPr>
          <w:color w:val="auto"/>
        </w:rPr>
        <w:t xml:space="preserve">recios de venta y </w:t>
      </w:r>
      <w:r w:rsidR="00EC6584">
        <w:rPr>
          <w:color w:val="auto"/>
        </w:rPr>
        <w:t>p</w:t>
      </w:r>
      <w:r w:rsidRPr="000A6510">
        <w:rPr>
          <w:color w:val="auto"/>
        </w:rPr>
        <w:t xml:space="preserve">recios de insumos las opciones de respuesta son: </w:t>
      </w:r>
      <w:r w:rsidR="00EC6584">
        <w:rPr>
          <w:color w:val="auto"/>
        </w:rPr>
        <w:t>a</w:t>
      </w:r>
      <w:r w:rsidRPr="000A6510">
        <w:rPr>
          <w:color w:val="auto"/>
        </w:rPr>
        <w:t xml:space="preserve">umentaron mucho, </w:t>
      </w:r>
      <w:r w:rsidR="00EC6584">
        <w:rPr>
          <w:color w:val="auto"/>
        </w:rPr>
        <w:t>a</w:t>
      </w:r>
      <w:r w:rsidRPr="000A6510">
        <w:rPr>
          <w:color w:val="auto"/>
        </w:rPr>
        <w:t xml:space="preserve">umentaron poco, </w:t>
      </w:r>
      <w:r w:rsidR="00EC6584">
        <w:rPr>
          <w:color w:val="auto"/>
        </w:rPr>
        <w:t>p</w:t>
      </w:r>
      <w:r w:rsidRPr="000A6510">
        <w:rPr>
          <w:color w:val="auto"/>
        </w:rPr>
        <w:t xml:space="preserve">ermanecieron igual, </w:t>
      </w:r>
      <w:r w:rsidR="00EC6584">
        <w:rPr>
          <w:color w:val="auto"/>
        </w:rPr>
        <w:t>d</w:t>
      </w:r>
      <w:r w:rsidRPr="000A6510">
        <w:rPr>
          <w:color w:val="auto"/>
        </w:rPr>
        <w:t xml:space="preserve">isminuyeron poco y </w:t>
      </w:r>
      <w:r w:rsidR="00EC6584">
        <w:rPr>
          <w:color w:val="auto"/>
        </w:rPr>
        <w:t>d</w:t>
      </w:r>
      <w:r w:rsidRPr="000A6510">
        <w:rPr>
          <w:color w:val="auto"/>
        </w:rPr>
        <w:t xml:space="preserve">isminuyeron </w:t>
      </w:r>
      <w:r w:rsidR="00EC6584">
        <w:rPr>
          <w:color w:val="auto"/>
        </w:rPr>
        <w:t>m</w:t>
      </w:r>
      <w:r w:rsidRPr="000A6510">
        <w:rPr>
          <w:color w:val="auto"/>
        </w:rPr>
        <w:t>ucho.</w:t>
      </w:r>
    </w:p>
    <w:p w14:paraId="77E6644C" w14:textId="61435B4A" w:rsidR="00BD77B5" w:rsidRPr="000A6510" w:rsidRDefault="003A76C9" w:rsidP="00847ED0">
      <w:pPr>
        <w:pStyle w:val="Default"/>
        <w:keepNext/>
        <w:keepLines/>
        <w:widowControl w:val="0"/>
        <w:spacing w:before="240" w:after="240"/>
        <w:jc w:val="both"/>
        <w:rPr>
          <w:strike/>
        </w:rPr>
      </w:pPr>
      <w:r w:rsidRPr="000A6510">
        <w:lastRenderedPageBreak/>
        <w:t>Cada nivel de respuesta cuenta con un ponderador</w:t>
      </w:r>
      <w:r w:rsidR="00B6724F" w:rsidRPr="000A6510">
        <w:t>:</w:t>
      </w:r>
    </w:p>
    <w:tbl>
      <w:tblPr>
        <w:tblStyle w:val="Tablaconcuadrcula"/>
        <w:tblW w:w="5670" w:type="dxa"/>
        <w:jc w:val="center"/>
        <w:tblBorders>
          <w:top w:val="single" w:sz="4" w:space="0" w:color="404040"/>
          <w:left w:val="single" w:sz="4" w:space="0" w:color="404040"/>
          <w:bottom w:val="single" w:sz="4" w:space="0" w:color="404040"/>
          <w:right w:val="single" w:sz="4" w:space="0" w:color="404040"/>
          <w:insideH w:val="none" w:sz="0" w:space="0" w:color="auto"/>
          <w:insideV w:val="single" w:sz="4" w:space="0" w:color="404040"/>
        </w:tblBorders>
        <w:tblLook w:val="04A0" w:firstRow="1" w:lastRow="0" w:firstColumn="1" w:lastColumn="0" w:noHBand="0" w:noVBand="1"/>
      </w:tblPr>
      <w:tblGrid>
        <w:gridCol w:w="2945"/>
        <w:gridCol w:w="2725"/>
      </w:tblGrid>
      <w:tr w:rsidR="00FC128E" w:rsidRPr="000A6510" w14:paraId="6004BBC7" w14:textId="77777777" w:rsidTr="00FC128E">
        <w:trPr>
          <w:jc w:val="center"/>
        </w:trPr>
        <w:tc>
          <w:tcPr>
            <w:tcW w:w="1537" w:type="dxa"/>
            <w:tcBorders>
              <w:top w:val="single" w:sz="4" w:space="0" w:color="404040"/>
              <w:bottom w:val="single" w:sz="4" w:space="0" w:color="404040"/>
            </w:tcBorders>
            <w:shd w:val="clear" w:color="auto" w:fill="CCCCFF"/>
          </w:tcPr>
          <w:p w14:paraId="5CA2A826" w14:textId="77777777" w:rsidR="00FC128E" w:rsidRPr="000A6510" w:rsidRDefault="00FC128E" w:rsidP="00847ED0">
            <w:pPr>
              <w:keepNext/>
              <w:keepLines/>
              <w:widowControl w:val="0"/>
              <w:spacing w:before="120" w:after="120"/>
              <w:ind w:left="372"/>
              <w:jc w:val="left"/>
              <w:rPr>
                <w:sz w:val="18"/>
                <w:szCs w:val="18"/>
              </w:rPr>
            </w:pPr>
            <w:r w:rsidRPr="000A6510">
              <w:rPr>
                <w:sz w:val="18"/>
                <w:szCs w:val="18"/>
              </w:rPr>
              <w:t>Opción de respuesta</w:t>
            </w:r>
          </w:p>
        </w:tc>
        <w:tc>
          <w:tcPr>
            <w:tcW w:w="1422" w:type="dxa"/>
            <w:tcBorders>
              <w:top w:val="single" w:sz="4" w:space="0" w:color="404040"/>
              <w:bottom w:val="single" w:sz="4" w:space="0" w:color="404040"/>
            </w:tcBorders>
            <w:shd w:val="clear" w:color="auto" w:fill="CCCCFF"/>
          </w:tcPr>
          <w:p w14:paraId="6719B369" w14:textId="77777777" w:rsidR="00FC128E" w:rsidRPr="000A6510" w:rsidRDefault="00FC128E" w:rsidP="00847ED0">
            <w:pPr>
              <w:keepNext/>
              <w:keepLines/>
              <w:widowControl w:val="0"/>
              <w:spacing w:before="120" w:after="120"/>
              <w:jc w:val="center"/>
              <w:rPr>
                <w:sz w:val="18"/>
                <w:szCs w:val="18"/>
              </w:rPr>
            </w:pPr>
            <w:r w:rsidRPr="000A6510">
              <w:rPr>
                <w:sz w:val="18"/>
                <w:szCs w:val="18"/>
              </w:rPr>
              <w:t>Ponderador</w:t>
            </w:r>
          </w:p>
        </w:tc>
      </w:tr>
      <w:tr w:rsidR="00FC128E" w:rsidRPr="000A6510" w14:paraId="5021EFDC" w14:textId="77777777" w:rsidTr="00FC128E">
        <w:trPr>
          <w:jc w:val="center"/>
        </w:trPr>
        <w:tc>
          <w:tcPr>
            <w:tcW w:w="1537" w:type="dxa"/>
            <w:tcBorders>
              <w:top w:val="single" w:sz="4" w:space="0" w:color="404040"/>
            </w:tcBorders>
          </w:tcPr>
          <w:p w14:paraId="30A4AC11"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Mucho mayor</w:t>
            </w:r>
          </w:p>
        </w:tc>
        <w:tc>
          <w:tcPr>
            <w:tcW w:w="1422" w:type="dxa"/>
            <w:tcBorders>
              <w:top w:val="single" w:sz="4" w:space="0" w:color="404040"/>
            </w:tcBorders>
          </w:tcPr>
          <w:p w14:paraId="3869DBCC" w14:textId="77777777" w:rsidR="00FC128E" w:rsidRPr="000A6510" w:rsidRDefault="00FC128E" w:rsidP="00847ED0">
            <w:pPr>
              <w:keepNext/>
              <w:keepLines/>
              <w:widowControl w:val="0"/>
              <w:spacing w:before="40" w:after="40"/>
              <w:jc w:val="center"/>
              <w:rPr>
                <w:sz w:val="18"/>
                <w:szCs w:val="18"/>
              </w:rPr>
            </w:pPr>
            <w:r w:rsidRPr="000A6510">
              <w:rPr>
                <w:sz w:val="18"/>
                <w:szCs w:val="18"/>
              </w:rPr>
              <w:t>1.00</w:t>
            </w:r>
          </w:p>
        </w:tc>
      </w:tr>
      <w:tr w:rsidR="00FC128E" w:rsidRPr="000A6510" w14:paraId="450F9C56" w14:textId="77777777" w:rsidTr="00FC128E">
        <w:trPr>
          <w:jc w:val="center"/>
        </w:trPr>
        <w:tc>
          <w:tcPr>
            <w:tcW w:w="1537" w:type="dxa"/>
          </w:tcPr>
          <w:p w14:paraId="40FBA117"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Mayor</w:t>
            </w:r>
          </w:p>
        </w:tc>
        <w:tc>
          <w:tcPr>
            <w:tcW w:w="1422" w:type="dxa"/>
          </w:tcPr>
          <w:p w14:paraId="105FC4DA" w14:textId="77777777" w:rsidR="00FC128E" w:rsidRPr="000A6510" w:rsidRDefault="00FC128E" w:rsidP="00847ED0">
            <w:pPr>
              <w:keepNext/>
              <w:keepLines/>
              <w:widowControl w:val="0"/>
              <w:spacing w:before="40" w:after="40"/>
              <w:jc w:val="center"/>
              <w:rPr>
                <w:sz w:val="18"/>
                <w:szCs w:val="18"/>
              </w:rPr>
            </w:pPr>
            <w:r w:rsidRPr="000A6510">
              <w:rPr>
                <w:sz w:val="18"/>
                <w:szCs w:val="18"/>
              </w:rPr>
              <w:t>0.75</w:t>
            </w:r>
          </w:p>
        </w:tc>
      </w:tr>
      <w:tr w:rsidR="00FC128E" w:rsidRPr="000A6510" w14:paraId="7749E31E" w14:textId="77777777" w:rsidTr="00FC128E">
        <w:trPr>
          <w:jc w:val="center"/>
        </w:trPr>
        <w:tc>
          <w:tcPr>
            <w:tcW w:w="1537" w:type="dxa"/>
          </w:tcPr>
          <w:p w14:paraId="02ED717A"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Igual</w:t>
            </w:r>
          </w:p>
        </w:tc>
        <w:tc>
          <w:tcPr>
            <w:tcW w:w="1422" w:type="dxa"/>
          </w:tcPr>
          <w:p w14:paraId="6A270DD0" w14:textId="77777777" w:rsidR="00FC128E" w:rsidRPr="000A6510" w:rsidRDefault="00FC128E" w:rsidP="00847ED0">
            <w:pPr>
              <w:keepNext/>
              <w:keepLines/>
              <w:widowControl w:val="0"/>
              <w:spacing w:before="40" w:after="40"/>
              <w:jc w:val="center"/>
              <w:rPr>
                <w:sz w:val="18"/>
                <w:szCs w:val="18"/>
              </w:rPr>
            </w:pPr>
            <w:r w:rsidRPr="000A6510">
              <w:rPr>
                <w:sz w:val="18"/>
                <w:szCs w:val="18"/>
              </w:rPr>
              <w:t>0.50</w:t>
            </w:r>
          </w:p>
        </w:tc>
      </w:tr>
      <w:tr w:rsidR="00FC128E" w:rsidRPr="000A6510" w14:paraId="18C8CB46" w14:textId="77777777" w:rsidTr="00FC128E">
        <w:trPr>
          <w:jc w:val="center"/>
        </w:trPr>
        <w:tc>
          <w:tcPr>
            <w:tcW w:w="1537" w:type="dxa"/>
          </w:tcPr>
          <w:p w14:paraId="689ADEB9"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Menor</w:t>
            </w:r>
          </w:p>
        </w:tc>
        <w:tc>
          <w:tcPr>
            <w:tcW w:w="1422" w:type="dxa"/>
          </w:tcPr>
          <w:p w14:paraId="185F3D8B" w14:textId="77777777" w:rsidR="00FC128E" w:rsidRPr="000A6510" w:rsidRDefault="00FC128E" w:rsidP="00847ED0">
            <w:pPr>
              <w:keepNext/>
              <w:keepLines/>
              <w:widowControl w:val="0"/>
              <w:spacing w:before="40" w:after="40"/>
              <w:jc w:val="center"/>
              <w:rPr>
                <w:sz w:val="18"/>
                <w:szCs w:val="18"/>
              </w:rPr>
            </w:pPr>
            <w:r w:rsidRPr="000A6510">
              <w:rPr>
                <w:sz w:val="18"/>
                <w:szCs w:val="18"/>
              </w:rPr>
              <w:t>0.25</w:t>
            </w:r>
          </w:p>
        </w:tc>
      </w:tr>
      <w:tr w:rsidR="00FC128E" w:rsidRPr="000A6510" w14:paraId="2B382FA3" w14:textId="77777777" w:rsidTr="00FC128E">
        <w:trPr>
          <w:jc w:val="center"/>
        </w:trPr>
        <w:tc>
          <w:tcPr>
            <w:tcW w:w="1537" w:type="dxa"/>
          </w:tcPr>
          <w:p w14:paraId="6A2B04BC"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Mucho menor</w:t>
            </w:r>
          </w:p>
        </w:tc>
        <w:tc>
          <w:tcPr>
            <w:tcW w:w="1422" w:type="dxa"/>
          </w:tcPr>
          <w:p w14:paraId="0F618501" w14:textId="77777777" w:rsidR="00FC128E" w:rsidRPr="000A6510" w:rsidRDefault="00FC128E" w:rsidP="00847ED0">
            <w:pPr>
              <w:keepNext/>
              <w:keepLines/>
              <w:widowControl w:val="0"/>
              <w:spacing w:before="40" w:after="40"/>
              <w:jc w:val="center"/>
              <w:rPr>
                <w:sz w:val="18"/>
                <w:szCs w:val="18"/>
              </w:rPr>
            </w:pPr>
            <w:r w:rsidRPr="000A6510">
              <w:rPr>
                <w:sz w:val="18"/>
                <w:szCs w:val="18"/>
              </w:rPr>
              <w:t>0.00</w:t>
            </w:r>
          </w:p>
        </w:tc>
      </w:tr>
    </w:tbl>
    <w:p w14:paraId="25884381" w14:textId="77777777" w:rsidR="003A76C9" w:rsidRPr="000A6510" w:rsidRDefault="003A76C9" w:rsidP="002612ED">
      <w:pPr>
        <w:pStyle w:val="Default"/>
        <w:spacing w:before="240"/>
        <w:jc w:val="both"/>
      </w:pPr>
      <w:r w:rsidRPr="000A6510">
        <w:t>Los indicadores están diseñados para que sus valores fluctúen entre 0 y 100. De esta manera, a medida que el optimismo se generaliza entre los informantes, el valor del indicador se hace mayor. Por otra parte, a medida que el porcentaje de informantes con opiniones pesimistas se incrementa, el valor del indicador disminuirá.</w:t>
      </w:r>
    </w:p>
    <w:p w14:paraId="779263AF" w14:textId="050B46E7" w:rsidR="003A76C9" w:rsidRPr="000A6510" w:rsidRDefault="00DA23D4" w:rsidP="002612ED">
      <w:pPr>
        <w:pStyle w:val="Default"/>
        <w:spacing w:before="240"/>
        <w:jc w:val="both"/>
      </w:pPr>
      <w:r>
        <w:t xml:space="preserve">Los indicadores de las </w:t>
      </w:r>
      <w:r w:rsidR="00730BBB" w:rsidRPr="000A6510">
        <w:t>e</w:t>
      </w:r>
      <w:r w:rsidR="003A76C9" w:rsidRPr="000A6510">
        <w:t xml:space="preserve">xpectativas </w:t>
      </w:r>
      <w:r w:rsidR="00730BBB" w:rsidRPr="000A6510">
        <w:t>e</w:t>
      </w:r>
      <w:r w:rsidR="003A76C9" w:rsidRPr="000A6510">
        <w:t>mpresariales permiten señalar posibles</w:t>
      </w:r>
      <w:r>
        <w:t xml:space="preserve"> comportamientos</w:t>
      </w:r>
      <w:r w:rsidR="003A76C9" w:rsidRPr="000A6510">
        <w:t>, pero no establecen pronósticos puntuales de las tasas de variación de los indicadores provenientes de otras fuentes estadísticas.</w:t>
      </w:r>
    </w:p>
    <w:p w14:paraId="1901A0D8" w14:textId="087FA75F" w:rsidR="003A76C9" w:rsidRPr="00DB7155" w:rsidRDefault="00430C10" w:rsidP="002612ED">
      <w:pPr>
        <w:pStyle w:val="Default"/>
        <w:keepLines/>
        <w:spacing w:before="240"/>
        <w:jc w:val="both"/>
        <w:rPr>
          <w:strike/>
          <w:color w:val="auto"/>
        </w:rPr>
      </w:pPr>
      <w:r w:rsidRPr="009F32F7">
        <w:rPr>
          <w:color w:val="auto"/>
        </w:rPr>
        <w:t xml:space="preserve">En </w:t>
      </w:r>
      <w:r>
        <w:rPr>
          <w:color w:val="auto"/>
        </w:rPr>
        <w:t xml:space="preserve">los cuatro sectores, el IAT se calcula </w:t>
      </w:r>
      <w:r w:rsidRPr="009F32F7">
        <w:rPr>
          <w:color w:val="auto"/>
        </w:rPr>
        <w:t>considerando el conjunto de expectativas empresariales (</w:t>
      </w:r>
      <w:r>
        <w:rPr>
          <w:color w:val="auto"/>
        </w:rPr>
        <w:t>variables relevantes</w:t>
      </w:r>
      <w:r w:rsidRPr="009F32F7">
        <w:rPr>
          <w:color w:val="auto"/>
        </w:rPr>
        <w:t>)</w:t>
      </w:r>
      <w:r>
        <w:rPr>
          <w:color w:val="auto"/>
        </w:rPr>
        <w:t xml:space="preserve"> </w:t>
      </w:r>
      <w:r w:rsidR="00D23FCD">
        <w:rPr>
          <w:color w:val="auto"/>
        </w:rPr>
        <w:t>señaladas</w:t>
      </w:r>
      <w:r w:rsidRPr="009F32F7">
        <w:rPr>
          <w:color w:val="auto"/>
        </w:rPr>
        <w:t xml:space="preserve">. </w:t>
      </w:r>
      <w:r w:rsidR="00D23FCD">
        <w:rPr>
          <w:color w:val="auto"/>
        </w:rPr>
        <w:t>En los casos de</w:t>
      </w:r>
      <w:r w:rsidRPr="009F32F7">
        <w:rPr>
          <w:color w:val="auto"/>
        </w:rPr>
        <w:t xml:space="preserve"> Industrias Manufactureras </w:t>
      </w:r>
      <w:r>
        <w:rPr>
          <w:color w:val="auto"/>
        </w:rPr>
        <w:t>y Servicios Privados no Financieros su cálculo se realiza también a nivel de dominios de estudio (grupos de subsec</w:t>
      </w:r>
      <w:r w:rsidR="00B00FC9">
        <w:rPr>
          <w:color w:val="auto"/>
        </w:rPr>
        <w:t>t</w:t>
      </w:r>
      <w:r>
        <w:rPr>
          <w:color w:val="auto"/>
        </w:rPr>
        <w:t>ores y sectores, respectivamente).</w:t>
      </w:r>
    </w:p>
    <w:p w14:paraId="1D305E68" w14:textId="1E5A6EAA" w:rsidR="00430C10" w:rsidRPr="009F32F7" w:rsidRDefault="003A76C9" w:rsidP="002612ED">
      <w:pPr>
        <w:pStyle w:val="Default"/>
        <w:spacing w:before="240"/>
        <w:jc w:val="both"/>
        <w:rPr>
          <w:color w:val="auto"/>
        </w:rPr>
      </w:pPr>
      <w:r w:rsidRPr="000A6510">
        <w:rPr>
          <w:color w:val="auto"/>
        </w:rPr>
        <w:t>El cálculo del IAT en Construcción y Comercio corresponde a un promedio simple</w:t>
      </w:r>
      <w:r w:rsidR="00430C10">
        <w:rPr>
          <w:color w:val="auto"/>
        </w:rPr>
        <w:t xml:space="preserve"> </w:t>
      </w:r>
      <w:r w:rsidR="00430C10" w:rsidRPr="00B31901">
        <w:rPr>
          <w:color w:val="auto"/>
        </w:rPr>
        <w:t>de los indicadores de expectativas empresariales. En las Industrias Manufactureras y Servicios Privados no Financieros, primero se calcula el IAT de cada uno de los grupos de subsectores y sectores, también mediante promedio simple de las expectativas empresariales</w:t>
      </w:r>
      <w:r w:rsidR="00D75C6D">
        <w:rPr>
          <w:color w:val="auto"/>
        </w:rPr>
        <w:t>,</w:t>
      </w:r>
      <w:r w:rsidR="00430C10" w:rsidRPr="00B31901">
        <w:rPr>
          <w:color w:val="auto"/>
        </w:rPr>
        <w:t xml:space="preserve"> para después calcular el IAT a nivel de estos dos sectores como un indicador ponderado por el peso en los ingresos que tienen los dominios de estudio.</w:t>
      </w:r>
    </w:p>
    <w:p w14:paraId="6200F120" w14:textId="650F4367" w:rsidR="003A76C9" w:rsidRPr="000A6510" w:rsidRDefault="003A76C9" w:rsidP="002612ED">
      <w:pPr>
        <w:pStyle w:val="Default"/>
        <w:spacing w:before="240"/>
        <w:jc w:val="both"/>
        <w:rPr>
          <w:color w:val="auto"/>
        </w:rPr>
      </w:pPr>
      <w:r w:rsidRPr="000A6510">
        <w:t xml:space="preserve">El Indicador Agregado de Tendencia del sector Industrias Manufactureras </w:t>
      </w:r>
      <w:r w:rsidRPr="000A6510">
        <w:rPr>
          <w:color w:val="auto"/>
        </w:rPr>
        <w:t>difunde resultados del sector y por grupos de subsectores de actividad: Alimentos, bebidas y tabaco (subsectores 311 y 312); Derivados del petróleo y del carbón, industria química, del plástico y del hule (subsectores 324, 325 y 326); Minerales no metálicos y metálicas básicas (subsectores 327 y 331); Equipo de computación, accesorios electrónicos y aparatos eléctricos (subsectores 334 y 335); Equipo de transporte (subsector 336); Productos metálicos, maquinaria, equipo y muebles (subsectores 332, 333 y 337)</w:t>
      </w:r>
      <w:r w:rsidR="00E02F62">
        <w:rPr>
          <w:color w:val="auto"/>
        </w:rPr>
        <w:t>,</w:t>
      </w:r>
      <w:r w:rsidRPr="000A6510">
        <w:rPr>
          <w:color w:val="auto"/>
        </w:rPr>
        <w:t xml:space="preserve"> y Textiles, prendas de vestir, cuero y piel, madera, papel y otras industrias (subsectores 313, 314, 315, 316, 321, 322, 323 y 339).</w:t>
      </w:r>
    </w:p>
    <w:p w14:paraId="592F4532" w14:textId="0BFE2BF9" w:rsidR="003A76C9" w:rsidRPr="000A6510" w:rsidRDefault="003A76C9" w:rsidP="002612ED">
      <w:pPr>
        <w:pStyle w:val="Default"/>
        <w:spacing w:before="240"/>
        <w:jc w:val="both"/>
      </w:pPr>
      <w:r w:rsidRPr="000A6510">
        <w:t xml:space="preserve">Por su parte, el Indicador Agregado de Tendencia de la Construcción y </w:t>
      </w:r>
      <w:r w:rsidR="00B87DFD">
        <w:t xml:space="preserve">del </w:t>
      </w:r>
      <w:r w:rsidRPr="000A6510">
        <w:t>Comercio se publica</w:t>
      </w:r>
      <w:r w:rsidR="00B87DFD">
        <w:t>n</w:t>
      </w:r>
      <w:r w:rsidRPr="000A6510">
        <w:t xml:space="preserve"> a nivel del total del sector.</w:t>
      </w:r>
    </w:p>
    <w:p w14:paraId="057E7093" w14:textId="24E36309" w:rsidR="003A76C9" w:rsidRPr="000A6510" w:rsidRDefault="004B0E48" w:rsidP="002612ED">
      <w:pPr>
        <w:keepLines/>
        <w:autoSpaceDE w:val="0"/>
        <w:autoSpaceDN w:val="0"/>
        <w:adjustRightInd w:val="0"/>
        <w:spacing w:before="240"/>
      </w:pPr>
      <w:r>
        <w:lastRenderedPageBreak/>
        <w:t>El</w:t>
      </w:r>
      <w:r w:rsidR="003A76C9" w:rsidRPr="000A6510">
        <w:t xml:space="preserve"> IAT de los Servicios Privados no Financieros </w:t>
      </w:r>
      <w:r w:rsidR="003A76C9" w:rsidRPr="000A6510">
        <w:rPr>
          <w:rFonts w:eastAsiaTheme="minorHAnsi"/>
          <w:lang w:eastAsia="es-MX"/>
        </w:rPr>
        <w:t xml:space="preserve">se difunde a nivel agregado y para seis dominios de estudio, en este caso representados por </w:t>
      </w:r>
      <w:r w:rsidR="00972EEC" w:rsidRPr="000A6510">
        <w:rPr>
          <w:rFonts w:eastAsiaTheme="minorHAnsi"/>
          <w:lang w:eastAsia="es-MX"/>
        </w:rPr>
        <w:t xml:space="preserve">los </w:t>
      </w:r>
      <w:r w:rsidR="003A76C9" w:rsidRPr="000A6510">
        <w:rPr>
          <w:rFonts w:eastAsiaTheme="minorHAnsi"/>
          <w:lang w:eastAsia="es-MX"/>
        </w:rPr>
        <w:t>sectores: Transportes, correos y almacenamiento (sector 48-49); Información en medios masivos (sector 51); Servicios profesionales, científicos y técnicos (sector 54); Servicios de apoyo a los negocios y manejo de residuos y desechos, y servicios de remediación (sector 56); Servicios de alojamiento temporal y de preparación de alimentos y bebidas (sector 72), y Otros servicios</w:t>
      </w:r>
      <w:r w:rsidR="005612F2">
        <w:rPr>
          <w:rFonts w:eastAsiaTheme="minorHAnsi"/>
          <w:lang w:eastAsia="es-MX"/>
        </w:rPr>
        <w:t>.</w:t>
      </w:r>
      <w:r w:rsidR="004E1FDC">
        <w:rPr>
          <w:rFonts w:eastAsiaTheme="minorHAnsi"/>
          <w:lang w:eastAsia="es-MX"/>
        </w:rPr>
        <w:t xml:space="preserve"> Este último está</w:t>
      </w:r>
      <w:r w:rsidR="003A76C9" w:rsidRPr="000A6510">
        <w:rPr>
          <w:rFonts w:eastAsiaTheme="minorHAnsi"/>
          <w:lang w:eastAsia="es-MX"/>
        </w:rPr>
        <w:t xml:space="preserve"> integrado por los Servicios inmobiliarios y de alquiler de bienes muebles e intangibles (sector 53), Servicios educativos (sector 61), Servicios de salud y de asistencia social (sector 62) y Servicios de esparcimiento culturales y deportivos, y otros servicios recreativos (sector 71).</w:t>
      </w:r>
    </w:p>
    <w:p w14:paraId="59E39D86" w14:textId="2370BAF8" w:rsidR="004B0E48" w:rsidRPr="005F67D9" w:rsidRDefault="002E7091" w:rsidP="004B0E48">
      <w:pPr>
        <w:pStyle w:val="Default"/>
        <w:widowControl w:val="0"/>
        <w:spacing w:before="240" w:after="240"/>
        <w:jc w:val="both"/>
      </w:pPr>
      <w:r>
        <w:t>Finalmente</w:t>
      </w:r>
      <w:r w:rsidR="004B0E48" w:rsidRPr="005F67D9">
        <w:t xml:space="preserve">, el </w:t>
      </w:r>
      <w:r w:rsidR="004B0E48" w:rsidRPr="005F67D9">
        <w:rPr>
          <w:b/>
        </w:rPr>
        <w:t>Indicador Global de Opinión Empresarial de Tendencia</w:t>
      </w:r>
      <w:r w:rsidR="004B0E48" w:rsidRPr="005F67D9">
        <w:t xml:space="preserve"> se obtiene de</w:t>
      </w:r>
      <w:r w:rsidR="00430C10">
        <w:t xml:space="preserve"> </w:t>
      </w:r>
      <w:r w:rsidR="00430C10" w:rsidRPr="002152F0">
        <w:t>la suma del Indicador Agregado de Tendencia ponderado por la participación del PIB de los cuatro sectores en estudio. Para dich</w:t>
      </w:r>
      <w:r w:rsidR="00430C10">
        <w:t>o</w:t>
      </w:r>
      <w:r w:rsidR="00430C10" w:rsidRPr="002152F0">
        <w:t xml:space="preserve"> cálculo se utiliza un ponderador normalizado como se observa en la siguiente tabla</w:t>
      </w:r>
      <w:r w:rsidR="004B0E48" w:rsidRPr="005F67D9">
        <w:t>.</w:t>
      </w:r>
    </w:p>
    <w:tbl>
      <w:tblPr>
        <w:tblStyle w:val="Tablaconcuadrcula"/>
        <w:tblW w:w="6245"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ook w:val="04A0" w:firstRow="1" w:lastRow="0" w:firstColumn="1" w:lastColumn="0" w:noHBand="0" w:noVBand="1"/>
      </w:tblPr>
      <w:tblGrid>
        <w:gridCol w:w="3521"/>
        <w:gridCol w:w="2724"/>
      </w:tblGrid>
      <w:tr w:rsidR="004B0E48" w:rsidRPr="005F67D9" w14:paraId="0BEFC759" w14:textId="77777777" w:rsidTr="00140F2C">
        <w:trPr>
          <w:jc w:val="center"/>
        </w:trPr>
        <w:tc>
          <w:tcPr>
            <w:tcW w:w="3521" w:type="dxa"/>
            <w:tcBorders>
              <w:bottom w:val="single" w:sz="6" w:space="0" w:color="404040"/>
              <w:right w:val="single" w:sz="6" w:space="0" w:color="404040"/>
            </w:tcBorders>
            <w:shd w:val="clear" w:color="auto" w:fill="CCCCFF"/>
          </w:tcPr>
          <w:p w14:paraId="0C1EF4C0" w14:textId="77777777" w:rsidR="004B0E48" w:rsidRPr="005F67D9" w:rsidRDefault="004B0E48" w:rsidP="00140F2C">
            <w:pPr>
              <w:widowControl w:val="0"/>
              <w:spacing w:before="120" w:after="120"/>
              <w:ind w:left="372"/>
              <w:jc w:val="left"/>
              <w:rPr>
                <w:sz w:val="18"/>
                <w:szCs w:val="18"/>
              </w:rPr>
            </w:pPr>
            <w:r w:rsidRPr="005F67D9">
              <w:rPr>
                <w:sz w:val="18"/>
                <w:szCs w:val="18"/>
              </w:rPr>
              <w:t>Sector</w:t>
            </w:r>
          </w:p>
        </w:tc>
        <w:tc>
          <w:tcPr>
            <w:tcW w:w="2724" w:type="dxa"/>
            <w:tcBorders>
              <w:top w:val="single" w:sz="6" w:space="0" w:color="404040"/>
              <w:left w:val="single" w:sz="6" w:space="0" w:color="404040"/>
              <w:bottom w:val="single" w:sz="6" w:space="0" w:color="404040"/>
            </w:tcBorders>
            <w:shd w:val="clear" w:color="auto" w:fill="CCCCFF"/>
          </w:tcPr>
          <w:p w14:paraId="1AA01FC7" w14:textId="77777777" w:rsidR="004B0E48" w:rsidRPr="005F67D9" w:rsidRDefault="004B0E48" w:rsidP="00140F2C">
            <w:pPr>
              <w:keepNext/>
              <w:keepLines/>
              <w:widowControl w:val="0"/>
              <w:spacing w:before="120" w:after="120"/>
              <w:jc w:val="center"/>
              <w:rPr>
                <w:sz w:val="18"/>
                <w:szCs w:val="18"/>
              </w:rPr>
            </w:pPr>
            <w:r w:rsidRPr="005F67D9">
              <w:rPr>
                <w:sz w:val="18"/>
                <w:szCs w:val="18"/>
              </w:rPr>
              <w:t>Ponderador</w:t>
            </w:r>
          </w:p>
        </w:tc>
      </w:tr>
      <w:tr w:rsidR="004B0E48" w:rsidRPr="005F67D9" w14:paraId="5E6B1B98" w14:textId="77777777" w:rsidTr="00140F2C">
        <w:trPr>
          <w:jc w:val="center"/>
        </w:trPr>
        <w:tc>
          <w:tcPr>
            <w:tcW w:w="3521" w:type="dxa"/>
            <w:tcBorders>
              <w:top w:val="single" w:sz="6" w:space="0" w:color="404040"/>
              <w:left w:val="single" w:sz="6" w:space="0" w:color="404040"/>
              <w:bottom w:val="nil"/>
              <w:right w:val="single" w:sz="6" w:space="0" w:color="404040"/>
            </w:tcBorders>
            <w:vAlign w:val="center"/>
          </w:tcPr>
          <w:p w14:paraId="08BF61B3"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Construcción</w:t>
            </w:r>
          </w:p>
        </w:tc>
        <w:tc>
          <w:tcPr>
            <w:tcW w:w="2724" w:type="dxa"/>
            <w:tcBorders>
              <w:top w:val="single" w:sz="6" w:space="0" w:color="404040"/>
              <w:left w:val="single" w:sz="6" w:space="0" w:color="404040"/>
              <w:bottom w:val="nil"/>
            </w:tcBorders>
            <w:vAlign w:val="center"/>
          </w:tcPr>
          <w:p w14:paraId="3113C4A1" w14:textId="77777777" w:rsidR="004B0E48" w:rsidRPr="005F67D9" w:rsidRDefault="004B0E48" w:rsidP="00140F2C">
            <w:pPr>
              <w:keepNext/>
              <w:keepLines/>
              <w:widowControl w:val="0"/>
              <w:spacing w:before="40" w:after="40"/>
              <w:jc w:val="center"/>
              <w:rPr>
                <w:sz w:val="18"/>
                <w:szCs w:val="18"/>
              </w:rPr>
            </w:pPr>
            <w:r w:rsidRPr="005F67D9">
              <w:rPr>
                <w:sz w:val="18"/>
                <w:szCs w:val="18"/>
              </w:rPr>
              <w:t>9.69</w:t>
            </w:r>
          </w:p>
        </w:tc>
      </w:tr>
      <w:tr w:rsidR="004B0E48" w:rsidRPr="005F67D9" w14:paraId="512C708C" w14:textId="77777777" w:rsidTr="00140F2C">
        <w:trPr>
          <w:jc w:val="center"/>
        </w:trPr>
        <w:tc>
          <w:tcPr>
            <w:tcW w:w="3521" w:type="dxa"/>
            <w:tcBorders>
              <w:top w:val="nil"/>
              <w:left w:val="single" w:sz="6" w:space="0" w:color="404040"/>
              <w:bottom w:val="nil"/>
              <w:right w:val="single" w:sz="6" w:space="0" w:color="404040"/>
            </w:tcBorders>
            <w:vAlign w:val="center"/>
          </w:tcPr>
          <w:p w14:paraId="4E0E7E85"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Industrias Manufactureras</w:t>
            </w:r>
          </w:p>
        </w:tc>
        <w:tc>
          <w:tcPr>
            <w:tcW w:w="2724" w:type="dxa"/>
            <w:tcBorders>
              <w:top w:val="nil"/>
              <w:left w:val="single" w:sz="6" w:space="0" w:color="404040"/>
              <w:bottom w:val="nil"/>
            </w:tcBorders>
            <w:vAlign w:val="center"/>
          </w:tcPr>
          <w:p w14:paraId="1D18882A" w14:textId="77777777" w:rsidR="004B0E48" w:rsidRPr="005F67D9" w:rsidRDefault="004B0E48" w:rsidP="00140F2C">
            <w:pPr>
              <w:keepNext/>
              <w:keepLines/>
              <w:widowControl w:val="0"/>
              <w:spacing w:before="40" w:after="40"/>
              <w:jc w:val="center"/>
              <w:rPr>
                <w:sz w:val="18"/>
                <w:szCs w:val="18"/>
              </w:rPr>
            </w:pPr>
            <w:r w:rsidRPr="005F67D9">
              <w:rPr>
                <w:sz w:val="18"/>
                <w:szCs w:val="18"/>
              </w:rPr>
              <w:t>20.62</w:t>
            </w:r>
          </w:p>
        </w:tc>
      </w:tr>
      <w:tr w:rsidR="004B0E48" w:rsidRPr="005F67D9" w14:paraId="494F27D6" w14:textId="77777777" w:rsidTr="00140F2C">
        <w:trPr>
          <w:jc w:val="center"/>
        </w:trPr>
        <w:tc>
          <w:tcPr>
            <w:tcW w:w="3521" w:type="dxa"/>
            <w:tcBorders>
              <w:top w:val="nil"/>
              <w:left w:val="single" w:sz="6" w:space="0" w:color="404040"/>
              <w:bottom w:val="nil"/>
              <w:right w:val="single" w:sz="6" w:space="0" w:color="404040"/>
            </w:tcBorders>
            <w:vAlign w:val="center"/>
          </w:tcPr>
          <w:p w14:paraId="30E69B07"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Comercio</w:t>
            </w:r>
          </w:p>
        </w:tc>
        <w:tc>
          <w:tcPr>
            <w:tcW w:w="2724" w:type="dxa"/>
            <w:tcBorders>
              <w:top w:val="nil"/>
              <w:left w:val="single" w:sz="6" w:space="0" w:color="404040"/>
              <w:bottom w:val="nil"/>
            </w:tcBorders>
            <w:vAlign w:val="center"/>
          </w:tcPr>
          <w:p w14:paraId="19D6322A" w14:textId="77777777" w:rsidR="004B0E48" w:rsidRPr="005F67D9" w:rsidRDefault="004B0E48" w:rsidP="00140F2C">
            <w:pPr>
              <w:keepNext/>
              <w:keepLines/>
              <w:widowControl w:val="0"/>
              <w:spacing w:before="40" w:after="40"/>
              <w:jc w:val="center"/>
              <w:rPr>
                <w:sz w:val="18"/>
                <w:szCs w:val="18"/>
              </w:rPr>
            </w:pPr>
            <w:r w:rsidRPr="005F67D9">
              <w:rPr>
                <w:sz w:val="18"/>
                <w:szCs w:val="18"/>
              </w:rPr>
              <w:t>21.95</w:t>
            </w:r>
          </w:p>
        </w:tc>
      </w:tr>
      <w:tr w:rsidR="004B0E48" w:rsidRPr="005F67D9" w14:paraId="57EC24EA" w14:textId="77777777" w:rsidTr="00140F2C">
        <w:trPr>
          <w:jc w:val="center"/>
        </w:trPr>
        <w:tc>
          <w:tcPr>
            <w:tcW w:w="3521" w:type="dxa"/>
            <w:tcBorders>
              <w:top w:val="nil"/>
              <w:left w:val="single" w:sz="6" w:space="0" w:color="404040"/>
              <w:bottom w:val="single" w:sz="6" w:space="0" w:color="404040"/>
              <w:right w:val="single" w:sz="6" w:space="0" w:color="404040"/>
            </w:tcBorders>
            <w:vAlign w:val="center"/>
          </w:tcPr>
          <w:p w14:paraId="7CB80784"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Servicios Privados no Financieros</w:t>
            </w:r>
          </w:p>
        </w:tc>
        <w:tc>
          <w:tcPr>
            <w:tcW w:w="2724" w:type="dxa"/>
            <w:tcBorders>
              <w:top w:val="nil"/>
              <w:left w:val="single" w:sz="6" w:space="0" w:color="404040"/>
              <w:bottom w:val="single" w:sz="6" w:space="0" w:color="404040"/>
            </w:tcBorders>
            <w:vAlign w:val="center"/>
          </w:tcPr>
          <w:p w14:paraId="3B055DCC" w14:textId="77777777" w:rsidR="004B0E48" w:rsidRPr="005F67D9" w:rsidRDefault="004B0E48" w:rsidP="00140F2C">
            <w:pPr>
              <w:keepNext/>
              <w:keepLines/>
              <w:widowControl w:val="0"/>
              <w:spacing w:before="40" w:after="40"/>
              <w:jc w:val="center"/>
              <w:rPr>
                <w:sz w:val="18"/>
                <w:szCs w:val="18"/>
              </w:rPr>
            </w:pPr>
            <w:r w:rsidRPr="005F67D9">
              <w:rPr>
                <w:sz w:val="18"/>
                <w:szCs w:val="18"/>
              </w:rPr>
              <w:t>47.74</w:t>
            </w:r>
          </w:p>
        </w:tc>
      </w:tr>
    </w:tbl>
    <w:p w14:paraId="5EB16FF9" w14:textId="4F2211B0" w:rsidR="00C81D68" w:rsidRPr="000A6510" w:rsidRDefault="003A76C9" w:rsidP="002612ED">
      <w:pPr>
        <w:pStyle w:val="Default"/>
        <w:spacing w:before="240"/>
        <w:jc w:val="both"/>
        <w:rPr>
          <w:color w:val="auto"/>
        </w:rPr>
      </w:pPr>
      <w:r w:rsidRPr="005F67D9">
        <w:t>Con el objetivo de brindar mayores elementos que permitan determinar la precisión de</w:t>
      </w:r>
      <w:r w:rsidRPr="000A6510">
        <w:t xml:space="preserve"> los datos generados por la Encuesta Mensual de Opinión Empresarial, el INEGI publica en su página </w:t>
      </w:r>
      <w:r w:rsidRPr="000A6510">
        <w:rPr>
          <w:color w:val="auto"/>
        </w:rPr>
        <w:t xml:space="preserve">los Indicadores de Precisión Estadística </w:t>
      </w:r>
      <w:r w:rsidRPr="000A6510">
        <w:t>de</w:t>
      </w:r>
      <w:r w:rsidR="00DB0399">
        <w:t xml:space="preserve"> </w:t>
      </w:r>
      <w:r w:rsidRPr="000A6510">
        <w:t>l</w:t>
      </w:r>
      <w:r w:rsidR="00DB0399">
        <w:t>os</w:t>
      </w:r>
      <w:r w:rsidRPr="000A6510">
        <w:t xml:space="preserve"> Indicador</w:t>
      </w:r>
      <w:r w:rsidR="00DB0399">
        <w:t>es</w:t>
      </w:r>
      <w:r w:rsidRPr="000A6510">
        <w:t xml:space="preserve"> Agregado</w:t>
      </w:r>
      <w:r w:rsidR="00DB0399">
        <w:t>s</w:t>
      </w:r>
      <w:r w:rsidRPr="000A6510">
        <w:t xml:space="preserve"> de Tendencia, los cuales son una medida relativa de su exactitud. P</w:t>
      </w:r>
      <w:r w:rsidRPr="000A6510">
        <w:rPr>
          <w:color w:val="auto"/>
        </w:rPr>
        <w:t>ara conocer más al respecto, se sugiere consultar la siguiente liga:</w:t>
      </w:r>
    </w:p>
    <w:bookmarkStart w:id="5" w:name="OLE_LINK1"/>
    <w:p w14:paraId="5821829D" w14:textId="77777777" w:rsidR="00671B21" w:rsidRPr="000A6510" w:rsidRDefault="00181AD5" w:rsidP="002612ED">
      <w:pPr>
        <w:pStyle w:val="Default"/>
        <w:spacing w:before="240"/>
      </w:pPr>
      <w:r w:rsidRPr="000A6510">
        <w:fldChar w:fldCharType="begin"/>
      </w:r>
      <w:r w:rsidRPr="000A6510">
        <w:instrText xml:space="preserve"> HYPERLINK "https://www.inegi.org.mx/programas/emoe/2013/" </w:instrText>
      </w:r>
      <w:r w:rsidRPr="000A6510">
        <w:fldChar w:fldCharType="separate"/>
      </w:r>
      <w:r w:rsidRPr="000A6510">
        <w:rPr>
          <w:rStyle w:val="Hipervnculo"/>
        </w:rPr>
        <w:t>https://www.inegi.org.mx/programas/emoe/2013/</w:t>
      </w:r>
      <w:r w:rsidRPr="000A6510">
        <w:fldChar w:fldCharType="end"/>
      </w:r>
    </w:p>
    <w:bookmarkEnd w:id="5"/>
    <w:p w14:paraId="189CB51A" w14:textId="4CB69BB1" w:rsidR="003A76C9" w:rsidRPr="000A6510" w:rsidRDefault="003A76C9" w:rsidP="002612ED">
      <w:pPr>
        <w:pStyle w:val="Default"/>
        <w:keepLines/>
        <w:spacing w:before="240"/>
        <w:jc w:val="both"/>
      </w:pPr>
      <w:r w:rsidRPr="000A6510">
        <w:t xml:space="preserve">Es importante destacar que la mayoría de las series económicas se ven afectadas por factores estacionales. </w:t>
      </w:r>
      <w:r w:rsidR="00367C7C">
        <w:t>Es decir,</w:t>
      </w:r>
      <w:r w:rsidRPr="000A6510">
        <w:t xml:space="preserve"> efectos periódicos que se repiten cada año y cuyas causas pueden considerarse ajenas a la naturaleza económica de las series</w:t>
      </w:r>
      <w:bookmarkStart w:id="6" w:name="_Hlk95823674"/>
      <w:r w:rsidR="00E15C48">
        <w:t>. Éstas pueden ser:</w:t>
      </w:r>
      <w:r w:rsidRPr="000A6510">
        <w:t xml:space="preserve"> </w:t>
      </w:r>
      <w:bookmarkEnd w:id="6"/>
      <w:r w:rsidRPr="000A6510">
        <w:t xml:space="preserve">las festividades, el hecho de que algunos meses tienen más días que otros, los periodos de vacaciones escolares, el efecto del clima en las estaciones del año y otras fluctuaciones estacionales como la elevada producción de juguetes en los meses previos a la Navidad, provocada por la expectativa de mayores ventas en diciembre. </w:t>
      </w:r>
    </w:p>
    <w:p w14:paraId="451F1F23" w14:textId="23E0BF3B" w:rsidR="00BA4B1C" w:rsidRDefault="003A76C9" w:rsidP="002612ED">
      <w:pPr>
        <w:pStyle w:val="Default"/>
        <w:spacing w:before="240"/>
        <w:jc w:val="both"/>
      </w:pPr>
      <w:r w:rsidRPr="000A6510">
        <w:t xml:space="preserve">En este sentido, la desestacionalización o ajuste estacional de series económicas consiste en remover estas influencias </w:t>
      </w:r>
      <w:proofErr w:type="spellStart"/>
      <w:r w:rsidRPr="000A6510">
        <w:t>intra-anuales</w:t>
      </w:r>
      <w:proofErr w:type="spellEnd"/>
      <w:r w:rsidRPr="000A6510">
        <w:t xml:space="preserve"> periódicas, </w:t>
      </w:r>
      <w:r w:rsidR="00E15C48">
        <w:t xml:space="preserve">pues </w:t>
      </w:r>
      <w:r w:rsidRPr="000A6510">
        <w:t xml:space="preserve">su presencia dificulta diagnosticar o describir el comportamiento de una serie económica al no poder comparar adecuadamente un determinado mes con el inmediato anterior. </w:t>
      </w:r>
    </w:p>
    <w:p w14:paraId="4EDC67C8" w14:textId="70AD583D" w:rsidR="003A76C9" w:rsidRPr="000A6510" w:rsidRDefault="003A76C9" w:rsidP="002612ED">
      <w:pPr>
        <w:pStyle w:val="Default"/>
        <w:spacing w:before="240"/>
        <w:jc w:val="both"/>
      </w:pPr>
      <w:r w:rsidRPr="000A6510">
        <w:lastRenderedPageBreak/>
        <w:t xml:space="preserve">Analizar la serie desestacionalizada ayuda a realizar un mejor diagnóstico y pronóstico de </w:t>
      </w:r>
      <w:r w:rsidR="009065D6" w:rsidRPr="00D23FCD">
        <w:t>su</w:t>
      </w:r>
      <w:r w:rsidR="009065D6">
        <w:t xml:space="preserve"> </w:t>
      </w:r>
      <w:r w:rsidRPr="000A6510">
        <w:t xml:space="preserve">evolución, ya que facilita la identificación de la posible dirección de los movimientos que pudiera tener la variable en cuestión, en el corto plazo. </w:t>
      </w:r>
    </w:p>
    <w:p w14:paraId="78864C7A" w14:textId="77777777" w:rsidR="00671B21" w:rsidRPr="000A6510" w:rsidRDefault="003A76C9" w:rsidP="002612ED">
      <w:pPr>
        <w:autoSpaceDE w:val="0"/>
        <w:autoSpaceDN w:val="0"/>
        <w:adjustRightInd w:val="0"/>
        <w:spacing w:before="240"/>
        <w:rPr>
          <w:szCs w:val="20"/>
        </w:rPr>
      </w:pPr>
      <w:r w:rsidRPr="000A6510">
        <w:rPr>
          <w:szCs w:val="20"/>
        </w:rPr>
        <w:t>Las series originales se ajustan estacionalmente mediante el paquete estadístico X</w:t>
      </w:r>
      <w:r w:rsidRPr="000A6510">
        <w:rPr>
          <w:szCs w:val="20"/>
        </w:rPr>
        <w:noBreakHyphen/>
        <w:t>13ARIMA</w:t>
      </w:r>
      <w:r w:rsidRPr="000A6510">
        <w:rPr>
          <w:szCs w:val="20"/>
        </w:rPr>
        <w:noBreakHyphen/>
        <w:t>SEATS. Para conocer la metodología se sugiere consultar la siguiente liga</w:t>
      </w:r>
      <w:r w:rsidR="00671B21" w:rsidRPr="000A6510">
        <w:rPr>
          <w:szCs w:val="20"/>
        </w:rPr>
        <w:t>:</w:t>
      </w:r>
    </w:p>
    <w:p w14:paraId="5330E8F1" w14:textId="77777777" w:rsidR="00671B21" w:rsidRPr="000A6510" w:rsidRDefault="008533D8" w:rsidP="002612ED">
      <w:pPr>
        <w:pStyle w:val="Default"/>
        <w:spacing w:before="80"/>
        <w:contextualSpacing/>
        <w:jc w:val="both"/>
      </w:pPr>
      <w:hyperlink r:id="rId44" w:history="1">
        <w:r w:rsidR="00D3179D" w:rsidRPr="000A6510">
          <w:rPr>
            <w:rStyle w:val="Hipervnculo"/>
          </w:rPr>
          <w:t>https://www.inegi.org.mx/app/biblioteca/ficha.html?upc=702825099060</w:t>
        </w:r>
      </w:hyperlink>
    </w:p>
    <w:p w14:paraId="166552E0" w14:textId="3AA2923A" w:rsidR="003A76C9" w:rsidRPr="000A6510" w:rsidRDefault="003C353D" w:rsidP="002612ED">
      <w:pPr>
        <w:pStyle w:val="Default"/>
        <w:spacing w:before="240"/>
        <w:jc w:val="both"/>
      </w:pPr>
      <w:r w:rsidRPr="000A6510">
        <w:rPr>
          <w:noProof/>
        </w:rPr>
        <w:drawing>
          <wp:anchor distT="0" distB="0" distL="114300" distR="114300" simplePos="0" relativeHeight="251658240" behindDoc="0" locked="0" layoutInCell="1" allowOverlap="1" wp14:anchorId="63E7361C" wp14:editId="3879BFCE">
            <wp:simplePos x="0" y="0"/>
            <wp:positionH relativeFrom="column">
              <wp:posOffset>805278</wp:posOffset>
            </wp:positionH>
            <wp:positionV relativeFrom="paragraph">
              <wp:posOffset>523045</wp:posOffset>
            </wp:positionV>
            <wp:extent cx="152400" cy="152400"/>
            <wp:effectExtent l="0" t="0" r="0" b="0"/>
            <wp:wrapNone/>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r w:rsidR="003A76C9" w:rsidRPr="000A6510">
        <w:t>Asimismo, las especificaciones de los modelos utilizados para realizar el ajuste estacional están disponibles en el Banco de Información Económica, seleccionando el icono de información</w:t>
      </w:r>
      <w:r w:rsidR="00847ED0">
        <w:t xml:space="preserve">  </w:t>
      </w:r>
      <w:r w:rsidR="00E9647F" w:rsidRPr="000A6510">
        <w:t xml:space="preserve"> </w:t>
      </w:r>
      <w:r w:rsidR="00847ED0">
        <w:t xml:space="preserve">  </w:t>
      </w:r>
      <w:r w:rsidR="003A76C9" w:rsidRPr="000A6510">
        <w:t>correspondiente a las “series desestacionalizadas y de tendencia-ciclo” de los Indicadores de Opinión Empresarial.</w:t>
      </w:r>
    </w:p>
    <w:p w14:paraId="48290F60" w14:textId="7B52581A" w:rsidR="003A76C9" w:rsidRPr="000A6510" w:rsidRDefault="003A76C9" w:rsidP="002612ED">
      <w:pPr>
        <w:pStyle w:val="Default"/>
        <w:spacing w:before="240"/>
        <w:jc w:val="both"/>
      </w:pPr>
      <w:r w:rsidRPr="000A6510">
        <w:t xml:space="preserve">La información contenida en este documento se genera con base en la Encuesta Mensual de Opinión Empresarial y se da a conocer en la fecha establecida en el Calendario de </w:t>
      </w:r>
      <w:r w:rsidR="007607C5">
        <w:t>D</w:t>
      </w:r>
      <w:r w:rsidRPr="000A6510">
        <w:t xml:space="preserve">ifusión de </w:t>
      </w:r>
      <w:r w:rsidR="007607C5">
        <w:t>I</w:t>
      </w:r>
      <w:r w:rsidRPr="000A6510">
        <w:t xml:space="preserve">nformación </w:t>
      </w:r>
      <w:r w:rsidR="007607C5">
        <w:t>E</w:t>
      </w:r>
      <w:r w:rsidRPr="000A6510">
        <w:t xml:space="preserve">stadística y </w:t>
      </w:r>
      <w:r w:rsidR="007607C5">
        <w:t>G</w:t>
      </w:r>
      <w:r w:rsidRPr="000A6510">
        <w:t xml:space="preserve">eográfica y de Interés Nacional. </w:t>
      </w:r>
    </w:p>
    <w:p w14:paraId="6A3FB1F6" w14:textId="56E6F42C" w:rsidR="00671B21" w:rsidRPr="000A6510" w:rsidRDefault="003A76C9" w:rsidP="002612ED">
      <w:pPr>
        <w:pStyle w:val="texto0"/>
        <w:keepLines w:val="0"/>
        <w:widowControl/>
        <w:autoSpaceDE w:val="0"/>
        <w:autoSpaceDN w:val="0"/>
        <w:adjustRightInd w:val="0"/>
        <w:rPr>
          <w:rFonts w:cs="Arial"/>
          <w:color w:val="auto"/>
        </w:rPr>
      </w:pPr>
      <w:r w:rsidRPr="000A6510">
        <w:rPr>
          <w:rFonts w:cs="Arial"/>
          <w:color w:val="auto"/>
        </w:rPr>
        <w:t>Las cifras aquí mencionadas pueden ser consultadas en la página de</w:t>
      </w:r>
      <w:r w:rsidR="007607C5" w:rsidRPr="000A6510">
        <w:rPr>
          <w:rFonts w:cs="Arial"/>
          <w:color w:val="auto"/>
        </w:rPr>
        <w:t xml:space="preserve"> </w:t>
      </w:r>
      <w:r w:rsidR="007607C5">
        <w:rPr>
          <w:rFonts w:cs="Arial"/>
          <w:color w:val="auto"/>
        </w:rPr>
        <w:t>i</w:t>
      </w:r>
      <w:r w:rsidR="007607C5" w:rsidRPr="000A6510">
        <w:rPr>
          <w:rFonts w:cs="Arial"/>
          <w:color w:val="auto"/>
        </w:rPr>
        <w:t xml:space="preserve">nternet </w:t>
      </w:r>
      <w:r w:rsidR="007607C5">
        <w:rPr>
          <w:rFonts w:cs="Arial"/>
          <w:color w:val="auto"/>
        </w:rPr>
        <w:t xml:space="preserve">del </w:t>
      </w:r>
      <w:r w:rsidRPr="000A6510">
        <w:rPr>
          <w:rFonts w:cs="Arial"/>
          <w:color w:val="auto"/>
        </w:rPr>
        <w:t>INEGI en las siguientes secciones</w:t>
      </w:r>
      <w:r w:rsidR="00671B21" w:rsidRPr="000A6510">
        <w:rPr>
          <w:rFonts w:cs="Arial"/>
          <w:color w:val="auto"/>
        </w:rPr>
        <w:t>:</w:t>
      </w:r>
    </w:p>
    <w:p w14:paraId="289B0D46" w14:textId="77777777" w:rsidR="00671B21" w:rsidRPr="000A6510" w:rsidRDefault="00671B21" w:rsidP="00FF3C7E">
      <w:pPr>
        <w:pStyle w:val="Default"/>
        <w:spacing w:before="80"/>
        <w:contextualSpacing/>
        <w:jc w:val="both"/>
        <w:rPr>
          <w:color w:val="auto"/>
        </w:rPr>
      </w:pPr>
      <w:r w:rsidRPr="000A6510">
        <w:rPr>
          <w:color w:val="auto"/>
        </w:rPr>
        <w:t>Tema:</w:t>
      </w:r>
      <w:r w:rsidR="00836AB9" w:rsidRPr="000A6510">
        <w:rPr>
          <w:color w:val="auto"/>
        </w:rPr>
        <w:t xml:space="preserve"> </w:t>
      </w:r>
      <w:hyperlink r:id="rId46" w:history="1">
        <w:r w:rsidR="00836AB9" w:rsidRPr="000A6510">
          <w:rPr>
            <w:rStyle w:val="Hipervnculo"/>
          </w:rPr>
          <w:t>https://www.inegi.org.mx/temas/expectativas/</w:t>
        </w:r>
      </w:hyperlink>
    </w:p>
    <w:p w14:paraId="5F590747" w14:textId="77777777" w:rsidR="00E13B3E" w:rsidRPr="000A6510" w:rsidRDefault="00671B21" w:rsidP="00E13B3E">
      <w:pPr>
        <w:pStyle w:val="Default"/>
      </w:pPr>
      <w:r w:rsidRPr="000A6510">
        <w:rPr>
          <w:color w:val="auto"/>
        </w:rPr>
        <w:t>Programa:</w:t>
      </w:r>
      <w:r w:rsidR="00E13B3E" w:rsidRPr="000A6510">
        <w:t xml:space="preserve"> </w:t>
      </w:r>
      <w:hyperlink r:id="rId47" w:history="1">
        <w:r w:rsidR="00E13B3E" w:rsidRPr="000A6510">
          <w:rPr>
            <w:rStyle w:val="Hipervnculo"/>
          </w:rPr>
          <w:t>https://www.inegi.org.mx/programas/emoe/2013/</w:t>
        </w:r>
      </w:hyperlink>
    </w:p>
    <w:p w14:paraId="75790841" w14:textId="77777777" w:rsidR="00671B21" w:rsidRPr="004B613C" w:rsidRDefault="00671B21" w:rsidP="00671B21">
      <w:pPr>
        <w:pStyle w:val="Default"/>
        <w:keepNext/>
        <w:keepLines/>
        <w:widowControl w:val="0"/>
        <w:spacing w:before="120" w:after="240"/>
        <w:contextualSpacing/>
        <w:jc w:val="both"/>
      </w:pPr>
      <w:r w:rsidRPr="000A6510">
        <w:rPr>
          <w:color w:val="auto"/>
        </w:rPr>
        <w:t xml:space="preserve">Banco de Información Económica: </w:t>
      </w:r>
      <w:r w:rsidR="00D3179D" w:rsidRPr="000A6510">
        <w:rPr>
          <w:rStyle w:val="Hipervnculo"/>
        </w:rPr>
        <w:t>https://</w:t>
      </w:r>
      <w:hyperlink r:id="rId48" w:history="1">
        <w:r w:rsidRPr="000A6510">
          <w:rPr>
            <w:rStyle w:val="Hipervnculo"/>
          </w:rPr>
          <w:t>www.inegi.org.mx/sistemas/bie/</w:t>
        </w:r>
      </w:hyperlink>
      <w:bookmarkEnd w:id="4"/>
    </w:p>
    <w:sectPr w:rsidR="00671B21" w:rsidRPr="004B613C" w:rsidSect="00E71EDA">
      <w:headerReference w:type="default" r:id="rId49"/>
      <w:footerReference w:type="default" r:id="rId50"/>
      <w:pgSz w:w="12242" w:h="15842" w:code="119"/>
      <w:pgMar w:top="2438" w:right="1418" w:bottom="1134" w:left="1418" w:header="680" w:footer="680"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535F3" w14:textId="77777777" w:rsidR="008533D8" w:rsidRDefault="008533D8">
      <w:r>
        <w:separator/>
      </w:r>
    </w:p>
  </w:endnote>
  <w:endnote w:type="continuationSeparator" w:id="0">
    <w:p w14:paraId="4781C5C8" w14:textId="77777777" w:rsidR="008533D8" w:rsidRDefault="00853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1B23D" w14:textId="77777777" w:rsidR="0009313F" w:rsidRPr="00395C33" w:rsidRDefault="0009313F" w:rsidP="0009313F">
    <w:pPr>
      <w:pStyle w:val="Piedepgina"/>
      <w:jc w:val="center"/>
      <w:rPr>
        <w:b/>
        <w:bCs/>
        <w:color w:val="002060"/>
        <w:sz w:val="20"/>
        <w:szCs w:val="20"/>
      </w:rPr>
    </w:pPr>
    <w:r w:rsidRPr="00395C33">
      <w:rPr>
        <w:b/>
        <w:bCs/>
        <w:color w:val="002060"/>
        <w:sz w:val="20"/>
        <w:szCs w:val="20"/>
      </w:rPr>
      <w:t>COMUNICACIÓN SOCIAL</w:t>
    </w:r>
  </w:p>
  <w:p w14:paraId="37DF7F3D" w14:textId="77777777" w:rsidR="0009313F" w:rsidRPr="007B4B63" w:rsidRDefault="0009313F" w:rsidP="0009313F">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6D146" w14:textId="77777777" w:rsidR="0009313F" w:rsidRPr="00D67479" w:rsidRDefault="0009313F" w:rsidP="003076C4">
    <w:pPr>
      <w:pStyle w:val="Piedepgina"/>
      <w:jc w:val="center"/>
      <w:rPr>
        <w:b/>
        <w:color w:val="002060"/>
        <w:sz w:val="20"/>
        <w:szCs w:val="20"/>
        <w:lang w:val="es-MX"/>
      </w:rPr>
    </w:pPr>
    <w:r w:rsidRPr="00D67479">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3D83A" w14:textId="77777777" w:rsidR="008533D8" w:rsidRDefault="008533D8">
      <w:r>
        <w:separator/>
      </w:r>
    </w:p>
  </w:footnote>
  <w:footnote w:type="continuationSeparator" w:id="0">
    <w:p w14:paraId="2E8F5B40" w14:textId="77777777" w:rsidR="008533D8" w:rsidRDefault="008533D8">
      <w:r>
        <w:continuationSeparator/>
      </w:r>
    </w:p>
  </w:footnote>
  <w:footnote w:id="1">
    <w:p w14:paraId="54E12319" w14:textId="77777777" w:rsidR="0009313F" w:rsidRDefault="0009313F" w:rsidP="001D3EFE">
      <w:pPr>
        <w:pStyle w:val="Textonotapie"/>
        <w:ind w:left="140" w:hanging="140"/>
        <w:rPr>
          <w:sz w:val="16"/>
          <w:szCs w:val="16"/>
          <w:lang w:val="es-MX"/>
        </w:rPr>
      </w:pPr>
      <w:r>
        <w:rPr>
          <w:rStyle w:val="Refdenotaalpie"/>
          <w:sz w:val="18"/>
          <w:szCs w:val="18"/>
        </w:rPr>
        <w:footnoteRef/>
      </w:r>
      <w:r>
        <w:rPr>
          <w:sz w:val="16"/>
          <w:szCs w:val="16"/>
        </w:rPr>
        <w:tab/>
        <w:t>La mayoría de las series económicas se ven afectadas por factores estacionales y de calendario. El ajuste de los datos por dichos factores permite obtener las cifras desestacionalizadas, cuyo análisis ayuda a realizar un mejor diagnóstico de la evolución de las variables</w:t>
      </w:r>
      <w:r>
        <w:rPr>
          <w:color w:val="000000" w:themeColor="text1"/>
          <w:sz w:val="16"/>
          <w:szCs w:val="16"/>
        </w:rPr>
        <w:t>.</w:t>
      </w:r>
    </w:p>
  </w:footnote>
  <w:footnote w:id="2">
    <w:p w14:paraId="1996430A" w14:textId="4466216D" w:rsidR="0009313F" w:rsidRPr="00B6327C" w:rsidRDefault="0009313F" w:rsidP="00B9245D">
      <w:pPr>
        <w:pStyle w:val="Textonotapie"/>
        <w:ind w:left="140" w:hanging="140"/>
        <w:rPr>
          <w:sz w:val="16"/>
          <w:szCs w:val="16"/>
          <w:lang w:val="es-MX"/>
        </w:rPr>
      </w:pPr>
      <w:r w:rsidRPr="00B6327C">
        <w:rPr>
          <w:rStyle w:val="Refdenotaalpie"/>
          <w:sz w:val="18"/>
          <w:szCs w:val="16"/>
        </w:rPr>
        <w:footnoteRef/>
      </w:r>
      <w:r w:rsidRPr="00B6327C">
        <w:rPr>
          <w:sz w:val="16"/>
          <w:szCs w:val="16"/>
          <w:vertAlign w:val="superscript"/>
        </w:rPr>
        <w:tab/>
      </w:r>
      <w:r w:rsidRPr="00B6327C">
        <w:rPr>
          <w:sz w:val="16"/>
          <w:szCs w:val="16"/>
          <w:lang w:val="es-MX"/>
        </w:rPr>
        <w:t>El resto de las variables que se presenta</w:t>
      </w:r>
      <w:r>
        <w:rPr>
          <w:sz w:val="16"/>
          <w:szCs w:val="16"/>
          <w:lang w:val="es-MX"/>
        </w:rPr>
        <w:t>ba</w:t>
      </w:r>
      <w:r w:rsidRPr="00B6327C">
        <w:rPr>
          <w:sz w:val="16"/>
          <w:szCs w:val="16"/>
          <w:lang w:val="es-MX"/>
        </w:rPr>
        <w:t xml:space="preserve">n en esta nota técnica seguirán publicándose en la página </w:t>
      </w:r>
      <w:r>
        <w:rPr>
          <w:sz w:val="16"/>
          <w:szCs w:val="16"/>
          <w:lang w:val="es-MX"/>
        </w:rPr>
        <w:t>d</w:t>
      </w:r>
      <w:r w:rsidRPr="00B6327C">
        <w:rPr>
          <w:sz w:val="16"/>
          <w:szCs w:val="16"/>
          <w:lang w:val="es-MX"/>
        </w:rPr>
        <w:t>e internet del Instituto.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C64E6" w14:textId="28518EAC" w:rsidR="0009313F" w:rsidRPr="00306ECD" w:rsidRDefault="0009313F" w:rsidP="0009313F">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55D6705A" wp14:editId="1EA1154C">
          <wp:simplePos x="0" y="0"/>
          <wp:positionH relativeFrom="margin">
            <wp:posOffset>7364</wp:posOffset>
          </wp:positionH>
          <wp:positionV relativeFrom="margin">
            <wp:posOffset>-1092200</wp:posOffset>
          </wp:positionV>
          <wp:extent cx="828000" cy="828000"/>
          <wp:effectExtent l="0" t="0" r="0" b="0"/>
          <wp:wrapSquare wrapText="bothSides"/>
          <wp:docPr id="6"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CB25C1">
      <w:rPr>
        <w:b/>
        <w:color w:val="002060"/>
      </w:rPr>
      <w:t>173</w:t>
    </w:r>
    <w:r w:rsidRPr="00306ECD">
      <w:rPr>
        <w:b/>
        <w:color w:val="002060"/>
      </w:rPr>
      <w:t>/2</w:t>
    </w:r>
    <w:r>
      <w:rPr>
        <w:b/>
        <w:color w:val="002060"/>
      </w:rPr>
      <w:t>2</w:t>
    </w:r>
  </w:p>
  <w:p w14:paraId="6287BE31" w14:textId="77777777" w:rsidR="0009313F" w:rsidRPr="00306ECD" w:rsidRDefault="0009313F" w:rsidP="0009313F">
    <w:pPr>
      <w:pStyle w:val="Encabezado"/>
      <w:ind w:left="-567" w:right="49"/>
      <w:jc w:val="right"/>
      <w:rPr>
        <w:b/>
        <w:color w:val="002060"/>
        <w:lang w:val="pt-BR"/>
      </w:rPr>
    </w:pPr>
    <w:r>
      <w:rPr>
        <w:b/>
        <w:color w:val="002060"/>
        <w:lang w:val="pt-BR"/>
      </w:rPr>
      <w:t>1</w:t>
    </w:r>
    <w:r w:rsidRPr="00306ECD">
      <w:rPr>
        <w:b/>
        <w:color w:val="002060"/>
        <w:lang w:val="pt-BR"/>
      </w:rPr>
      <w:t xml:space="preserve"> DE </w:t>
    </w:r>
    <w:r>
      <w:rPr>
        <w:b/>
        <w:color w:val="002060"/>
        <w:lang w:val="pt-BR"/>
      </w:rPr>
      <w:t xml:space="preserve">ABRIL </w:t>
    </w:r>
    <w:r w:rsidRPr="00306ECD">
      <w:rPr>
        <w:b/>
        <w:color w:val="002060"/>
        <w:lang w:val="pt-BR"/>
      </w:rPr>
      <w:t>DE 202</w:t>
    </w:r>
    <w:r>
      <w:rPr>
        <w:b/>
        <w:color w:val="002060"/>
        <w:lang w:val="pt-BR"/>
      </w:rPr>
      <w:t>2</w:t>
    </w:r>
  </w:p>
  <w:p w14:paraId="0C985A8F" w14:textId="061F02BF" w:rsidR="0009313F" w:rsidRPr="00306ECD" w:rsidRDefault="0009313F" w:rsidP="0009313F">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w:t>
    </w:r>
    <w:r w:rsidR="003A0E78">
      <w:rPr>
        <w:b/>
        <w:color w:val="002060"/>
      </w:rPr>
      <w:t>7</w:t>
    </w:r>
  </w:p>
  <w:p w14:paraId="4BD6E3FC" w14:textId="77777777" w:rsidR="0009313F" w:rsidRDefault="0009313F" w:rsidP="0009313F">
    <w:pPr>
      <w:pStyle w:val="Encabezado"/>
      <w:ind w:right="49"/>
      <w:jc w:val="center"/>
    </w:pPr>
  </w:p>
  <w:p w14:paraId="0DF511B1" w14:textId="77777777" w:rsidR="0009313F" w:rsidRDefault="0009313F"/>
  <w:p w14:paraId="0DB4704C" w14:textId="77777777" w:rsidR="0009313F" w:rsidRDefault="000931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82A83" w14:textId="322F00EB" w:rsidR="0009313F" w:rsidRDefault="0009313F" w:rsidP="001D3EFE">
    <w:pPr>
      <w:pStyle w:val="Encabezado"/>
      <w:tabs>
        <w:tab w:val="clear" w:pos="4320"/>
        <w:tab w:val="clear" w:pos="8640"/>
        <w:tab w:val="left" w:pos="2188"/>
      </w:tabs>
      <w:jc w:val="center"/>
    </w:pPr>
    <w:r>
      <w:rPr>
        <w:noProof/>
        <w:lang w:val="es-MX" w:eastAsia="es-MX"/>
      </w:rPr>
      <w:drawing>
        <wp:inline distT="0" distB="0" distL="0" distR="0" wp14:anchorId="6E594530" wp14:editId="02D9515F">
          <wp:extent cx="828000" cy="828000"/>
          <wp:effectExtent l="0" t="0" r="0" b="0"/>
          <wp:docPr id="7" name="Imagen 7"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D07450"/>
    <w:multiLevelType w:val="hybridMultilevel"/>
    <w:tmpl w:val="B37AF73C"/>
    <w:lvl w:ilvl="0" w:tplc="04090017">
      <w:start w:val="1"/>
      <w:numFmt w:val="lowerLetter"/>
      <w:lvlText w:val="%1)"/>
      <w:lvlJc w:val="left"/>
      <w:pPr>
        <w:ind w:left="8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4A505B"/>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4"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9F4DAE"/>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6"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682105D"/>
    <w:multiLevelType w:val="hybridMultilevel"/>
    <w:tmpl w:val="CBC8767C"/>
    <w:lvl w:ilvl="0" w:tplc="6CB4AC8E">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8464713"/>
    <w:multiLevelType w:val="hybridMultilevel"/>
    <w:tmpl w:val="BBD6AAC0"/>
    <w:lvl w:ilvl="0" w:tplc="C8305E34">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CA5A87"/>
    <w:multiLevelType w:val="hybridMultilevel"/>
    <w:tmpl w:val="6988078E"/>
    <w:lvl w:ilvl="0" w:tplc="06927372">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3853F7"/>
    <w:multiLevelType w:val="hybridMultilevel"/>
    <w:tmpl w:val="47B42848"/>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4" w15:restartNumberingAfterBreak="0">
    <w:nsid w:val="33CE2D60"/>
    <w:multiLevelType w:val="hybridMultilevel"/>
    <w:tmpl w:val="D1A40C3C"/>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5" w15:restartNumberingAfterBreak="0">
    <w:nsid w:val="3AE946F0"/>
    <w:multiLevelType w:val="hybridMultilevel"/>
    <w:tmpl w:val="75D4D994"/>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6" w15:restartNumberingAfterBreak="0">
    <w:nsid w:val="3C264BA4"/>
    <w:multiLevelType w:val="hybridMultilevel"/>
    <w:tmpl w:val="EC6446D2"/>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7" w15:restartNumberingAfterBreak="0">
    <w:nsid w:val="50D82ADB"/>
    <w:multiLevelType w:val="hybridMultilevel"/>
    <w:tmpl w:val="C30ACA5A"/>
    <w:lvl w:ilvl="0" w:tplc="080A0001">
      <w:start w:val="1"/>
      <w:numFmt w:val="bullet"/>
      <w:lvlText w:val=""/>
      <w:lvlJc w:val="left"/>
      <w:pPr>
        <w:ind w:left="789" w:hanging="360"/>
      </w:pPr>
      <w:rPr>
        <w:rFonts w:ascii="Symbol" w:hAnsi="Symbol" w:hint="default"/>
      </w:rPr>
    </w:lvl>
    <w:lvl w:ilvl="1" w:tplc="080A0003" w:tentative="1">
      <w:start w:val="1"/>
      <w:numFmt w:val="bullet"/>
      <w:lvlText w:val="o"/>
      <w:lvlJc w:val="left"/>
      <w:pPr>
        <w:ind w:left="1509" w:hanging="360"/>
      </w:pPr>
      <w:rPr>
        <w:rFonts w:ascii="Courier New" w:hAnsi="Courier New" w:cs="Courier New" w:hint="default"/>
      </w:rPr>
    </w:lvl>
    <w:lvl w:ilvl="2" w:tplc="080A0005" w:tentative="1">
      <w:start w:val="1"/>
      <w:numFmt w:val="bullet"/>
      <w:lvlText w:val=""/>
      <w:lvlJc w:val="left"/>
      <w:pPr>
        <w:ind w:left="2229" w:hanging="360"/>
      </w:pPr>
      <w:rPr>
        <w:rFonts w:ascii="Wingdings" w:hAnsi="Wingdings" w:hint="default"/>
      </w:rPr>
    </w:lvl>
    <w:lvl w:ilvl="3" w:tplc="080A0001" w:tentative="1">
      <w:start w:val="1"/>
      <w:numFmt w:val="bullet"/>
      <w:lvlText w:val=""/>
      <w:lvlJc w:val="left"/>
      <w:pPr>
        <w:ind w:left="2949" w:hanging="360"/>
      </w:pPr>
      <w:rPr>
        <w:rFonts w:ascii="Symbol" w:hAnsi="Symbol" w:hint="default"/>
      </w:rPr>
    </w:lvl>
    <w:lvl w:ilvl="4" w:tplc="080A0003" w:tentative="1">
      <w:start w:val="1"/>
      <w:numFmt w:val="bullet"/>
      <w:lvlText w:val="o"/>
      <w:lvlJc w:val="left"/>
      <w:pPr>
        <w:ind w:left="3669" w:hanging="360"/>
      </w:pPr>
      <w:rPr>
        <w:rFonts w:ascii="Courier New" w:hAnsi="Courier New" w:cs="Courier New" w:hint="default"/>
      </w:rPr>
    </w:lvl>
    <w:lvl w:ilvl="5" w:tplc="080A0005" w:tentative="1">
      <w:start w:val="1"/>
      <w:numFmt w:val="bullet"/>
      <w:lvlText w:val=""/>
      <w:lvlJc w:val="left"/>
      <w:pPr>
        <w:ind w:left="4389" w:hanging="360"/>
      </w:pPr>
      <w:rPr>
        <w:rFonts w:ascii="Wingdings" w:hAnsi="Wingdings" w:hint="default"/>
      </w:rPr>
    </w:lvl>
    <w:lvl w:ilvl="6" w:tplc="080A0001" w:tentative="1">
      <w:start w:val="1"/>
      <w:numFmt w:val="bullet"/>
      <w:lvlText w:val=""/>
      <w:lvlJc w:val="left"/>
      <w:pPr>
        <w:ind w:left="5109" w:hanging="360"/>
      </w:pPr>
      <w:rPr>
        <w:rFonts w:ascii="Symbol" w:hAnsi="Symbol" w:hint="default"/>
      </w:rPr>
    </w:lvl>
    <w:lvl w:ilvl="7" w:tplc="080A0003" w:tentative="1">
      <w:start w:val="1"/>
      <w:numFmt w:val="bullet"/>
      <w:lvlText w:val="o"/>
      <w:lvlJc w:val="left"/>
      <w:pPr>
        <w:ind w:left="5829" w:hanging="360"/>
      </w:pPr>
      <w:rPr>
        <w:rFonts w:ascii="Courier New" w:hAnsi="Courier New" w:cs="Courier New" w:hint="default"/>
      </w:rPr>
    </w:lvl>
    <w:lvl w:ilvl="8" w:tplc="080A0005" w:tentative="1">
      <w:start w:val="1"/>
      <w:numFmt w:val="bullet"/>
      <w:lvlText w:val=""/>
      <w:lvlJc w:val="left"/>
      <w:pPr>
        <w:ind w:left="6549" w:hanging="360"/>
      </w:pPr>
      <w:rPr>
        <w:rFonts w:ascii="Wingdings" w:hAnsi="Wingdings" w:hint="default"/>
      </w:rPr>
    </w:lvl>
  </w:abstractNum>
  <w:abstractNum w:abstractNumId="18" w15:restartNumberingAfterBreak="0">
    <w:nsid w:val="680002CC"/>
    <w:multiLevelType w:val="hybridMultilevel"/>
    <w:tmpl w:val="404AA27E"/>
    <w:lvl w:ilvl="0" w:tplc="080A0001">
      <w:start w:val="1"/>
      <w:numFmt w:val="bullet"/>
      <w:lvlText w:val=""/>
      <w:lvlJc w:val="left"/>
      <w:pPr>
        <w:ind w:left="3479"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4"/>
  </w:num>
  <w:num w:numId="4">
    <w:abstractNumId w:val="7"/>
  </w:num>
  <w:num w:numId="5">
    <w:abstractNumId w:val="12"/>
  </w:num>
  <w:num w:numId="6">
    <w:abstractNumId w:val="2"/>
  </w:num>
  <w:num w:numId="7">
    <w:abstractNumId w:val="6"/>
  </w:num>
  <w:num w:numId="8">
    <w:abstractNumId w:val="11"/>
  </w:num>
  <w:num w:numId="9">
    <w:abstractNumId w:val="15"/>
  </w:num>
  <w:num w:numId="10">
    <w:abstractNumId w:val="9"/>
  </w:num>
  <w:num w:numId="11">
    <w:abstractNumId w:val="10"/>
  </w:num>
  <w:num w:numId="12">
    <w:abstractNumId w:val="8"/>
  </w:num>
  <w:num w:numId="13">
    <w:abstractNumId w:val="18"/>
  </w:num>
  <w:num w:numId="14">
    <w:abstractNumId w:val="13"/>
  </w:num>
  <w:num w:numId="15">
    <w:abstractNumId w:val="16"/>
  </w:num>
  <w:num w:numId="16">
    <w:abstractNumId w:val="3"/>
  </w:num>
  <w:num w:numId="17">
    <w:abstractNumId w:val="1"/>
  </w:num>
  <w:num w:numId="18">
    <w:abstractNumId w:val="17"/>
  </w:num>
  <w:num w:numId="19">
    <w:abstractNumId w:val="5"/>
  </w:num>
  <w:num w:numId="20">
    <w:abstractNumId w:val="11"/>
  </w:num>
  <w:num w:numId="21">
    <w:abstractNumId w:val="14"/>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BEA"/>
    <w:rsid w:val="0000180F"/>
    <w:rsid w:val="00002466"/>
    <w:rsid w:val="00002665"/>
    <w:rsid w:val="000027BD"/>
    <w:rsid w:val="00002B26"/>
    <w:rsid w:val="00003C25"/>
    <w:rsid w:val="00003C68"/>
    <w:rsid w:val="00004291"/>
    <w:rsid w:val="0000458A"/>
    <w:rsid w:val="00004B3C"/>
    <w:rsid w:val="00004C88"/>
    <w:rsid w:val="00004F22"/>
    <w:rsid w:val="000050C6"/>
    <w:rsid w:val="00005940"/>
    <w:rsid w:val="00005DDE"/>
    <w:rsid w:val="00006B5A"/>
    <w:rsid w:val="0000710C"/>
    <w:rsid w:val="00007779"/>
    <w:rsid w:val="000078B1"/>
    <w:rsid w:val="00007A1A"/>
    <w:rsid w:val="000103B5"/>
    <w:rsid w:val="00010A59"/>
    <w:rsid w:val="000112A7"/>
    <w:rsid w:val="0001151F"/>
    <w:rsid w:val="00011840"/>
    <w:rsid w:val="00011AC0"/>
    <w:rsid w:val="00011BD3"/>
    <w:rsid w:val="00011E30"/>
    <w:rsid w:val="00012278"/>
    <w:rsid w:val="00012A27"/>
    <w:rsid w:val="00012AD5"/>
    <w:rsid w:val="00012C21"/>
    <w:rsid w:val="00012D3A"/>
    <w:rsid w:val="00012E16"/>
    <w:rsid w:val="0001302A"/>
    <w:rsid w:val="000132A4"/>
    <w:rsid w:val="00013319"/>
    <w:rsid w:val="000134A8"/>
    <w:rsid w:val="00013E55"/>
    <w:rsid w:val="0001420C"/>
    <w:rsid w:val="00014343"/>
    <w:rsid w:val="0001447E"/>
    <w:rsid w:val="000144ED"/>
    <w:rsid w:val="000146C2"/>
    <w:rsid w:val="00014891"/>
    <w:rsid w:val="00014AE2"/>
    <w:rsid w:val="00014FBD"/>
    <w:rsid w:val="00015089"/>
    <w:rsid w:val="00015302"/>
    <w:rsid w:val="00015C92"/>
    <w:rsid w:val="00016590"/>
    <w:rsid w:val="00016911"/>
    <w:rsid w:val="00016B4E"/>
    <w:rsid w:val="00016D3A"/>
    <w:rsid w:val="00016EFA"/>
    <w:rsid w:val="0001718D"/>
    <w:rsid w:val="000176AC"/>
    <w:rsid w:val="00017CDF"/>
    <w:rsid w:val="00020162"/>
    <w:rsid w:val="0002100F"/>
    <w:rsid w:val="00021432"/>
    <w:rsid w:val="00021492"/>
    <w:rsid w:val="00021575"/>
    <w:rsid w:val="000216A3"/>
    <w:rsid w:val="00021989"/>
    <w:rsid w:val="00021A12"/>
    <w:rsid w:val="000228C4"/>
    <w:rsid w:val="00022CA3"/>
    <w:rsid w:val="00024E18"/>
    <w:rsid w:val="00025E01"/>
    <w:rsid w:val="000260EE"/>
    <w:rsid w:val="00026B3C"/>
    <w:rsid w:val="00026B52"/>
    <w:rsid w:val="00030480"/>
    <w:rsid w:val="0003065F"/>
    <w:rsid w:val="00030D10"/>
    <w:rsid w:val="00031231"/>
    <w:rsid w:val="000314D3"/>
    <w:rsid w:val="00031BCF"/>
    <w:rsid w:val="00032B16"/>
    <w:rsid w:val="00033603"/>
    <w:rsid w:val="00033A14"/>
    <w:rsid w:val="00034182"/>
    <w:rsid w:val="0003447A"/>
    <w:rsid w:val="00034868"/>
    <w:rsid w:val="00034AB4"/>
    <w:rsid w:val="00034BC3"/>
    <w:rsid w:val="00034F55"/>
    <w:rsid w:val="000353F3"/>
    <w:rsid w:val="00035600"/>
    <w:rsid w:val="00035B2D"/>
    <w:rsid w:val="00035DA7"/>
    <w:rsid w:val="00036AE2"/>
    <w:rsid w:val="00036D72"/>
    <w:rsid w:val="00037089"/>
    <w:rsid w:val="00037177"/>
    <w:rsid w:val="00037CC4"/>
    <w:rsid w:val="0004066E"/>
    <w:rsid w:val="00040730"/>
    <w:rsid w:val="00040F75"/>
    <w:rsid w:val="00041FF7"/>
    <w:rsid w:val="0004225C"/>
    <w:rsid w:val="00042583"/>
    <w:rsid w:val="00043016"/>
    <w:rsid w:val="00043535"/>
    <w:rsid w:val="000436FE"/>
    <w:rsid w:val="00043B32"/>
    <w:rsid w:val="00043E2B"/>
    <w:rsid w:val="00044296"/>
    <w:rsid w:val="00044699"/>
    <w:rsid w:val="00044700"/>
    <w:rsid w:val="0004471C"/>
    <w:rsid w:val="00044C5E"/>
    <w:rsid w:val="00044E34"/>
    <w:rsid w:val="0004596A"/>
    <w:rsid w:val="00045AF1"/>
    <w:rsid w:val="00045E9B"/>
    <w:rsid w:val="00046139"/>
    <w:rsid w:val="0004617C"/>
    <w:rsid w:val="000465BF"/>
    <w:rsid w:val="000467D1"/>
    <w:rsid w:val="00046822"/>
    <w:rsid w:val="00046AB6"/>
    <w:rsid w:val="00046D06"/>
    <w:rsid w:val="00046F67"/>
    <w:rsid w:val="000471CD"/>
    <w:rsid w:val="0004735D"/>
    <w:rsid w:val="0004777C"/>
    <w:rsid w:val="000501E0"/>
    <w:rsid w:val="00050934"/>
    <w:rsid w:val="00050E09"/>
    <w:rsid w:val="00050FB5"/>
    <w:rsid w:val="000511C8"/>
    <w:rsid w:val="00051BEC"/>
    <w:rsid w:val="00051C72"/>
    <w:rsid w:val="00051D1C"/>
    <w:rsid w:val="00051D9E"/>
    <w:rsid w:val="00052F04"/>
    <w:rsid w:val="00052F1E"/>
    <w:rsid w:val="000536D2"/>
    <w:rsid w:val="00053B2C"/>
    <w:rsid w:val="00053EB7"/>
    <w:rsid w:val="00054A4F"/>
    <w:rsid w:val="00055047"/>
    <w:rsid w:val="00055452"/>
    <w:rsid w:val="00055B54"/>
    <w:rsid w:val="00055CDD"/>
    <w:rsid w:val="00056A88"/>
    <w:rsid w:val="00056DF2"/>
    <w:rsid w:val="00056F51"/>
    <w:rsid w:val="00057182"/>
    <w:rsid w:val="000573F5"/>
    <w:rsid w:val="0005751B"/>
    <w:rsid w:val="00057F37"/>
    <w:rsid w:val="000602B0"/>
    <w:rsid w:val="0006056C"/>
    <w:rsid w:val="0006228A"/>
    <w:rsid w:val="00063614"/>
    <w:rsid w:val="0006377D"/>
    <w:rsid w:val="00063838"/>
    <w:rsid w:val="0006433F"/>
    <w:rsid w:val="000646BA"/>
    <w:rsid w:val="00064BBC"/>
    <w:rsid w:val="00064E9D"/>
    <w:rsid w:val="00064FDB"/>
    <w:rsid w:val="00065106"/>
    <w:rsid w:val="000651F1"/>
    <w:rsid w:val="00065708"/>
    <w:rsid w:val="00065A07"/>
    <w:rsid w:val="00065BC1"/>
    <w:rsid w:val="00065BF6"/>
    <w:rsid w:val="00066638"/>
    <w:rsid w:val="00066EA7"/>
    <w:rsid w:val="0007012A"/>
    <w:rsid w:val="0007017F"/>
    <w:rsid w:val="000703C8"/>
    <w:rsid w:val="00070431"/>
    <w:rsid w:val="000707FF"/>
    <w:rsid w:val="00070864"/>
    <w:rsid w:val="00070B70"/>
    <w:rsid w:val="00070ED6"/>
    <w:rsid w:val="0007131B"/>
    <w:rsid w:val="0007145A"/>
    <w:rsid w:val="00071F33"/>
    <w:rsid w:val="000722CD"/>
    <w:rsid w:val="000725AC"/>
    <w:rsid w:val="00072B18"/>
    <w:rsid w:val="000730F3"/>
    <w:rsid w:val="00073491"/>
    <w:rsid w:val="0007397F"/>
    <w:rsid w:val="000739D2"/>
    <w:rsid w:val="00073E78"/>
    <w:rsid w:val="00073EF4"/>
    <w:rsid w:val="00074E87"/>
    <w:rsid w:val="00074E88"/>
    <w:rsid w:val="000753EC"/>
    <w:rsid w:val="0007567F"/>
    <w:rsid w:val="00075742"/>
    <w:rsid w:val="00075B3A"/>
    <w:rsid w:val="00075C44"/>
    <w:rsid w:val="00075DEC"/>
    <w:rsid w:val="000760FF"/>
    <w:rsid w:val="00076234"/>
    <w:rsid w:val="000767F7"/>
    <w:rsid w:val="00076932"/>
    <w:rsid w:val="00076DCB"/>
    <w:rsid w:val="00076EE9"/>
    <w:rsid w:val="0007710C"/>
    <w:rsid w:val="00077C46"/>
    <w:rsid w:val="0008027F"/>
    <w:rsid w:val="00080469"/>
    <w:rsid w:val="0008055D"/>
    <w:rsid w:val="0008084D"/>
    <w:rsid w:val="000814ED"/>
    <w:rsid w:val="0008175A"/>
    <w:rsid w:val="0008195B"/>
    <w:rsid w:val="00081960"/>
    <w:rsid w:val="00081A94"/>
    <w:rsid w:val="000826F7"/>
    <w:rsid w:val="00082F11"/>
    <w:rsid w:val="0008325D"/>
    <w:rsid w:val="000834DD"/>
    <w:rsid w:val="00084572"/>
    <w:rsid w:val="00084687"/>
    <w:rsid w:val="00084A57"/>
    <w:rsid w:val="00084BED"/>
    <w:rsid w:val="00084EDB"/>
    <w:rsid w:val="00084FF2"/>
    <w:rsid w:val="0008524D"/>
    <w:rsid w:val="000856E9"/>
    <w:rsid w:val="00086295"/>
    <w:rsid w:val="00086FCA"/>
    <w:rsid w:val="000873F5"/>
    <w:rsid w:val="0008756B"/>
    <w:rsid w:val="00087DB7"/>
    <w:rsid w:val="0009005C"/>
    <w:rsid w:val="0009025D"/>
    <w:rsid w:val="00090B9C"/>
    <w:rsid w:val="00090D7B"/>
    <w:rsid w:val="00091474"/>
    <w:rsid w:val="000915F7"/>
    <w:rsid w:val="00091AFF"/>
    <w:rsid w:val="00092378"/>
    <w:rsid w:val="00092764"/>
    <w:rsid w:val="0009292F"/>
    <w:rsid w:val="00092F4C"/>
    <w:rsid w:val="0009313F"/>
    <w:rsid w:val="00093EC4"/>
    <w:rsid w:val="00094496"/>
    <w:rsid w:val="000950E7"/>
    <w:rsid w:val="00095360"/>
    <w:rsid w:val="000955AA"/>
    <w:rsid w:val="000957BC"/>
    <w:rsid w:val="00095BAA"/>
    <w:rsid w:val="00095FAB"/>
    <w:rsid w:val="00096737"/>
    <w:rsid w:val="00097C0A"/>
    <w:rsid w:val="000A0344"/>
    <w:rsid w:val="000A0823"/>
    <w:rsid w:val="000A0EF0"/>
    <w:rsid w:val="000A1817"/>
    <w:rsid w:val="000A21D6"/>
    <w:rsid w:val="000A2874"/>
    <w:rsid w:val="000A2F4F"/>
    <w:rsid w:val="000A312E"/>
    <w:rsid w:val="000A31EF"/>
    <w:rsid w:val="000A3354"/>
    <w:rsid w:val="000A3733"/>
    <w:rsid w:val="000A3817"/>
    <w:rsid w:val="000A43B0"/>
    <w:rsid w:val="000A53E6"/>
    <w:rsid w:val="000A574B"/>
    <w:rsid w:val="000A5B04"/>
    <w:rsid w:val="000A5E2A"/>
    <w:rsid w:val="000A643B"/>
    <w:rsid w:val="000A6510"/>
    <w:rsid w:val="000A6B8F"/>
    <w:rsid w:val="000A6E46"/>
    <w:rsid w:val="000A707A"/>
    <w:rsid w:val="000A73DD"/>
    <w:rsid w:val="000A78BA"/>
    <w:rsid w:val="000A7CE0"/>
    <w:rsid w:val="000B0710"/>
    <w:rsid w:val="000B158A"/>
    <w:rsid w:val="000B187F"/>
    <w:rsid w:val="000B1C11"/>
    <w:rsid w:val="000B1D13"/>
    <w:rsid w:val="000B1EA5"/>
    <w:rsid w:val="000B2334"/>
    <w:rsid w:val="000B29B8"/>
    <w:rsid w:val="000B2A27"/>
    <w:rsid w:val="000B311C"/>
    <w:rsid w:val="000B3877"/>
    <w:rsid w:val="000B4A6A"/>
    <w:rsid w:val="000B4D5C"/>
    <w:rsid w:val="000B50FB"/>
    <w:rsid w:val="000B515D"/>
    <w:rsid w:val="000B58C7"/>
    <w:rsid w:val="000B5A74"/>
    <w:rsid w:val="000B5DE9"/>
    <w:rsid w:val="000B5FA3"/>
    <w:rsid w:val="000B6AF6"/>
    <w:rsid w:val="000B785A"/>
    <w:rsid w:val="000B7EA8"/>
    <w:rsid w:val="000C1051"/>
    <w:rsid w:val="000C1EFB"/>
    <w:rsid w:val="000C1F04"/>
    <w:rsid w:val="000C2036"/>
    <w:rsid w:val="000C2892"/>
    <w:rsid w:val="000C2B3C"/>
    <w:rsid w:val="000C30D7"/>
    <w:rsid w:val="000C3105"/>
    <w:rsid w:val="000C34DD"/>
    <w:rsid w:val="000C37BC"/>
    <w:rsid w:val="000C482F"/>
    <w:rsid w:val="000C4992"/>
    <w:rsid w:val="000C5299"/>
    <w:rsid w:val="000C5468"/>
    <w:rsid w:val="000C55CC"/>
    <w:rsid w:val="000C576D"/>
    <w:rsid w:val="000C5852"/>
    <w:rsid w:val="000C5D0E"/>
    <w:rsid w:val="000C6A4A"/>
    <w:rsid w:val="000C6AFD"/>
    <w:rsid w:val="000C7B7C"/>
    <w:rsid w:val="000D02A7"/>
    <w:rsid w:val="000D0576"/>
    <w:rsid w:val="000D06FA"/>
    <w:rsid w:val="000D0DDA"/>
    <w:rsid w:val="000D0ED5"/>
    <w:rsid w:val="000D113E"/>
    <w:rsid w:val="000D1169"/>
    <w:rsid w:val="000D15C5"/>
    <w:rsid w:val="000D28A5"/>
    <w:rsid w:val="000D31C1"/>
    <w:rsid w:val="000D33ED"/>
    <w:rsid w:val="000D36B2"/>
    <w:rsid w:val="000D39FD"/>
    <w:rsid w:val="000D40C6"/>
    <w:rsid w:val="000D4833"/>
    <w:rsid w:val="000D49D2"/>
    <w:rsid w:val="000D4A88"/>
    <w:rsid w:val="000D4BBC"/>
    <w:rsid w:val="000D4D39"/>
    <w:rsid w:val="000D4D90"/>
    <w:rsid w:val="000D4E26"/>
    <w:rsid w:val="000D5176"/>
    <w:rsid w:val="000D5EDB"/>
    <w:rsid w:val="000D6C0F"/>
    <w:rsid w:val="000D6F1E"/>
    <w:rsid w:val="000D7A95"/>
    <w:rsid w:val="000D7BBD"/>
    <w:rsid w:val="000E03C0"/>
    <w:rsid w:val="000E0654"/>
    <w:rsid w:val="000E08EA"/>
    <w:rsid w:val="000E1434"/>
    <w:rsid w:val="000E19B3"/>
    <w:rsid w:val="000E1AE5"/>
    <w:rsid w:val="000E2678"/>
    <w:rsid w:val="000E2970"/>
    <w:rsid w:val="000E3CC1"/>
    <w:rsid w:val="000E3E03"/>
    <w:rsid w:val="000E417A"/>
    <w:rsid w:val="000E5331"/>
    <w:rsid w:val="000E5526"/>
    <w:rsid w:val="000E5D6B"/>
    <w:rsid w:val="000E5FE0"/>
    <w:rsid w:val="000E65F3"/>
    <w:rsid w:val="000E6D5D"/>
    <w:rsid w:val="000E7005"/>
    <w:rsid w:val="000E7CB6"/>
    <w:rsid w:val="000F05D5"/>
    <w:rsid w:val="000F0654"/>
    <w:rsid w:val="000F1AA6"/>
    <w:rsid w:val="000F1DEB"/>
    <w:rsid w:val="000F3491"/>
    <w:rsid w:val="000F3DE6"/>
    <w:rsid w:val="000F44E7"/>
    <w:rsid w:val="000F49F1"/>
    <w:rsid w:val="000F4B67"/>
    <w:rsid w:val="000F4C41"/>
    <w:rsid w:val="000F4FA7"/>
    <w:rsid w:val="000F502D"/>
    <w:rsid w:val="000F536A"/>
    <w:rsid w:val="000F541D"/>
    <w:rsid w:val="000F5AD1"/>
    <w:rsid w:val="000F66FE"/>
    <w:rsid w:val="000F69FA"/>
    <w:rsid w:val="000F7295"/>
    <w:rsid w:val="000F7577"/>
    <w:rsid w:val="000F7974"/>
    <w:rsid w:val="000F7ECD"/>
    <w:rsid w:val="000F7FB5"/>
    <w:rsid w:val="00100317"/>
    <w:rsid w:val="001011EC"/>
    <w:rsid w:val="00101549"/>
    <w:rsid w:val="001017C1"/>
    <w:rsid w:val="00101CF2"/>
    <w:rsid w:val="00101E92"/>
    <w:rsid w:val="00101F40"/>
    <w:rsid w:val="00102B78"/>
    <w:rsid w:val="00103847"/>
    <w:rsid w:val="00103913"/>
    <w:rsid w:val="0010472B"/>
    <w:rsid w:val="00105234"/>
    <w:rsid w:val="00105E2B"/>
    <w:rsid w:val="0010619C"/>
    <w:rsid w:val="0010642C"/>
    <w:rsid w:val="001064F9"/>
    <w:rsid w:val="0010664D"/>
    <w:rsid w:val="001068CE"/>
    <w:rsid w:val="0010715A"/>
    <w:rsid w:val="001071E0"/>
    <w:rsid w:val="0011028E"/>
    <w:rsid w:val="001104E3"/>
    <w:rsid w:val="00110510"/>
    <w:rsid w:val="0011076D"/>
    <w:rsid w:val="001109B4"/>
    <w:rsid w:val="00110DB1"/>
    <w:rsid w:val="00110DF0"/>
    <w:rsid w:val="001114D0"/>
    <w:rsid w:val="00111703"/>
    <w:rsid w:val="00111AA3"/>
    <w:rsid w:val="00111DDC"/>
    <w:rsid w:val="00111F29"/>
    <w:rsid w:val="001129EF"/>
    <w:rsid w:val="00113348"/>
    <w:rsid w:val="00113393"/>
    <w:rsid w:val="00113404"/>
    <w:rsid w:val="001134B4"/>
    <w:rsid w:val="00113DE8"/>
    <w:rsid w:val="0011424C"/>
    <w:rsid w:val="0011478A"/>
    <w:rsid w:val="00114B56"/>
    <w:rsid w:val="00114B96"/>
    <w:rsid w:val="00114E47"/>
    <w:rsid w:val="00115A20"/>
    <w:rsid w:val="00115E3F"/>
    <w:rsid w:val="00116647"/>
    <w:rsid w:val="00116CAC"/>
    <w:rsid w:val="00116F84"/>
    <w:rsid w:val="001175D0"/>
    <w:rsid w:val="001178A4"/>
    <w:rsid w:val="00117D7A"/>
    <w:rsid w:val="00117FC8"/>
    <w:rsid w:val="001200CA"/>
    <w:rsid w:val="00120112"/>
    <w:rsid w:val="00120EA1"/>
    <w:rsid w:val="00121399"/>
    <w:rsid w:val="0012181E"/>
    <w:rsid w:val="00122048"/>
    <w:rsid w:val="001226FC"/>
    <w:rsid w:val="001228A0"/>
    <w:rsid w:val="00123EFF"/>
    <w:rsid w:val="001241F7"/>
    <w:rsid w:val="001241FF"/>
    <w:rsid w:val="001249F7"/>
    <w:rsid w:val="00124D1A"/>
    <w:rsid w:val="001250B6"/>
    <w:rsid w:val="001251AF"/>
    <w:rsid w:val="00125654"/>
    <w:rsid w:val="00125A8E"/>
    <w:rsid w:val="00125AA4"/>
    <w:rsid w:val="00125D0D"/>
    <w:rsid w:val="00125D9D"/>
    <w:rsid w:val="001263E8"/>
    <w:rsid w:val="00126708"/>
    <w:rsid w:val="00127810"/>
    <w:rsid w:val="00127B12"/>
    <w:rsid w:val="00127B5E"/>
    <w:rsid w:val="001301E6"/>
    <w:rsid w:val="001304F2"/>
    <w:rsid w:val="0013070A"/>
    <w:rsid w:val="00130C4C"/>
    <w:rsid w:val="001313EB"/>
    <w:rsid w:val="0013222E"/>
    <w:rsid w:val="0013373C"/>
    <w:rsid w:val="00133B20"/>
    <w:rsid w:val="00134904"/>
    <w:rsid w:val="001349AB"/>
    <w:rsid w:val="00134F4E"/>
    <w:rsid w:val="00134FB0"/>
    <w:rsid w:val="0013501C"/>
    <w:rsid w:val="001350AC"/>
    <w:rsid w:val="001352EC"/>
    <w:rsid w:val="00135755"/>
    <w:rsid w:val="00135E0B"/>
    <w:rsid w:val="0013618F"/>
    <w:rsid w:val="001361A8"/>
    <w:rsid w:val="00136509"/>
    <w:rsid w:val="001365A5"/>
    <w:rsid w:val="001368CC"/>
    <w:rsid w:val="00136BDD"/>
    <w:rsid w:val="001372CA"/>
    <w:rsid w:val="00137AFD"/>
    <w:rsid w:val="0014000C"/>
    <w:rsid w:val="0014012A"/>
    <w:rsid w:val="0014014C"/>
    <w:rsid w:val="0014031D"/>
    <w:rsid w:val="00140691"/>
    <w:rsid w:val="00140AD8"/>
    <w:rsid w:val="00140BE4"/>
    <w:rsid w:val="00140F2C"/>
    <w:rsid w:val="001411DE"/>
    <w:rsid w:val="00141399"/>
    <w:rsid w:val="001416EE"/>
    <w:rsid w:val="0014198C"/>
    <w:rsid w:val="00141A0B"/>
    <w:rsid w:val="00141AF4"/>
    <w:rsid w:val="0014282D"/>
    <w:rsid w:val="00142E09"/>
    <w:rsid w:val="0014377B"/>
    <w:rsid w:val="00143D3A"/>
    <w:rsid w:val="00145F65"/>
    <w:rsid w:val="001460E0"/>
    <w:rsid w:val="00146902"/>
    <w:rsid w:val="00146DFA"/>
    <w:rsid w:val="0015018D"/>
    <w:rsid w:val="00150228"/>
    <w:rsid w:val="001502C3"/>
    <w:rsid w:val="001504E8"/>
    <w:rsid w:val="00150536"/>
    <w:rsid w:val="00152959"/>
    <w:rsid w:val="001533B2"/>
    <w:rsid w:val="001534CA"/>
    <w:rsid w:val="0015369A"/>
    <w:rsid w:val="00153759"/>
    <w:rsid w:val="0015386A"/>
    <w:rsid w:val="001539B9"/>
    <w:rsid w:val="001540F9"/>
    <w:rsid w:val="00154E90"/>
    <w:rsid w:val="001557A9"/>
    <w:rsid w:val="00155878"/>
    <w:rsid w:val="0015599D"/>
    <w:rsid w:val="00155A36"/>
    <w:rsid w:val="001570BA"/>
    <w:rsid w:val="0015755C"/>
    <w:rsid w:val="00157720"/>
    <w:rsid w:val="00157C8D"/>
    <w:rsid w:val="001600C9"/>
    <w:rsid w:val="00160308"/>
    <w:rsid w:val="0016052B"/>
    <w:rsid w:val="00160838"/>
    <w:rsid w:val="00160957"/>
    <w:rsid w:val="00160B56"/>
    <w:rsid w:val="0016159C"/>
    <w:rsid w:val="00161833"/>
    <w:rsid w:val="00161E62"/>
    <w:rsid w:val="00162797"/>
    <w:rsid w:val="001628D2"/>
    <w:rsid w:val="00162A20"/>
    <w:rsid w:val="001631A9"/>
    <w:rsid w:val="00164CD1"/>
    <w:rsid w:val="001655BD"/>
    <w:rsid w:val="00165810"/>
    <w:rsid w:val="0016581D"/>
    <w:rsid w:val="00165E36"/>
    <w:rsid w:val="0016614B"/>
    <w:rsid w:val="001665FD"/>
    <w:rsid w:val="00167A64"/>
    <w:rsid w:val="00167A72"/>
    <w:rsid w:val="00167D50"/>
    <w:rsid w:val="00167FBE"/>
    <w:rsid w:val="0017080F"/>
    <w:rsid w:val="00170972"/>
    <w:rsid w:val="00170AF1"/>
    <w:rsid w:val="00170BD4"/>
    <w:rsid w:val="001711E3"/>
    <w:rsid w:val="00171F36"/>
    <w:rsid w:val="00172464"/>
    <w:rsid w:val="00172600"/>
    <w:rsid w:val="00172614"/>
    <w:rsid w:val="00172AA4"/>
    <w:rsid w:val="0017308E"/>
    <w:rsid w:val="00173238"/>
    <w:rsid w:val="00173309"/>
    <w:rsid w:val="0017331F"/>
    <w:rsid w:val="0017357E"/>
    <w:rsid w:val="001735A8"/>
    <w:rsid w:val="00173881"/>
    <w:rsid w:val="001740E5"/>
    <w:rsid w:val="00174587"/>
    <w:rsid w:val="0017474C"/>
    <w:rsid w:val="00174783"/>
    <w:rsid w:val="00175349"/>
    <w:rsid w:val="001756B1"/>
    <w:rsid w:val="00175CF4"/>
    <w:rsid w:val="001763FA"/>
    <w:rsid w:val="001763FC"/>
    <w:rsid w:val="00176592"/>
    <w:rsid w:val="00176639"/>
    <w:rsid w:val="00176E7D"/>
    <w:rsid w:val="00176F5B"/>
    <w:rsid w:val="00177026"/>
    <w:rsid w:val="00177187"/>
    <w:rsid w:val="001773BC"/>
    <w:rsid w:val="0017743A"/>
    <w:rsid w:val="00177D2D"/>
    <w:rsid w:val="00180887"/>
    <w:rsid w:val="00180A83"/>
    <w:rsid w:val="001813AB"/>
    <w:rsid w:val="001819C6"/>
    <w:rsid w:val="00181AD5"/>
    <w:rsid w:val="00181B78"/>
    <w:rsid w:val="00181EF6"/>
    <w:rsid w:val="00181F8F"/>
    <w:rsid w:val="0018211C"/>
    <w:rsid w:val="001821F8"/>
    <w:rsid w:val="00182CBE"/>
    <w:rsid w:val="001831B3"/>
    <w:rsid w:val="001842E4"/>
    <w:rsid w:val="001845FA"/>
    <w:rsid w:val="001847F2"/>
    <w:rsid w:val="00184E41"/>
    <w:rsid w:val="0018518B"/>
    <w:rsid w:val="0018522B"/>
    <w:rsid w:val="001854A8"/>
    <w:rsid w:val="00185D40"/>
    <w:rsid w:val="00186539"/>
    <w:rsid w:val="00186A0C"/>
    <w:rsid w:val="00186C17"/>
    <w:rsid w:val="001872FE"/>
    <w:rsid w:val="00190180"/>
    <w:rsid w:val="001904B3"/>
    <w:rsid w:val="00190A43"/>
    <w:rsid w:val="00190D0B"/>
    <w:rsid w:val="001912FB"/>
    <w:rsid w:val="00191608"/>
    <w:rsid w:val="00191664"/>
    <w:rsid w:val="00192065"/>
    <w:rsid w:val="0019208E"/>
    <w:rsid w:val="0019363B"/>
    <w:rsid w:val="0019396A"/>
    <w:rsid w:val="00193F63"/>
    <w:rsid w:val="001941AA"/>
    <w:rsid w:val="00194F73"/>
    <w:rsid w:val="00195EC2"/>
    <w:rsid w:val="00195F99"/>
    <w:rsid w:val="00196260"/>
    <w:rsid w:val="001962D4"/>
    <w:rsid w:val="00196AE6"/>
    <w:rsid w:val="00197334"/>
    <w:rsid w:val="00197C56"/>
    <w:rsid w:val="001A016C"/>
    <w:rsid w:val="001A0422"/>
    <w:rsid w:val="001A102F"/>
    <w:rsid w:val="001A150F"/>
    <w:rsid w:val="001A19CF"/>
    <w:rsid w:val="001A19EC"/>
    <w:rsid w:val="001A1A27"/>
    <w:rsid w:val="001A1ED0"/>
    <w:rsid w:val="001A35A6"/>
    <w:rsid w:val="001A368A"/>
    <w:rsid w:val="001A3963"/>
    <w:rsid w:val="001A41DF"/>
    <w:rsid w:val="001A43F5"/>
    <w:rsid w:val="001A4E0E"/>
    <w:rsid w:val="001A4E8C"/>
    <w:rsid w:val="001A4EF7"/>
    <w:rsid w:val="001A4F6E"/>
    <w:rsid w:val="001A5782"/>
    <w:rsid w:val="001A5ABD"/>
    <w:rsid w:val="001A5CE0"/>
    <w:rsid w:val="001A60E2"/>
    <w:rsid w:val="001A681F"/>
    <w:rsid w:val="001A690F"/>
    <w:rsid w:val="001A69F0"/>
    <w:rsid w:val="001A6D47"/>
    <w:rsid w:val="001A76E3"/>
    <w:rsid w:val="001A79AA"/>
    <w:rsid w:val="001A7F95"/>
    <w:rsid w:val="001B07B0"/>
    <w:rsid w:val="001B0992"/>
    <w:rsid w:val="001B0AC4"/>
    <w:rsid w:val="001B1120"/>
    <w:rsid w:val="001B15E2"/>
    <w:rsid w:val="001B163A"/>
    <w:rsid w:val="001B186E"/>
    <w:rsid w:val="001B1DD5"/>
    <w:rsid w:val="001B1EDC"/>
    <w:rsid w:val="001B253D"/>
    <w:rsid w:val="001B277C"/>
    <w:rsid w:val="001B2C6A"/>
    <w:rsid w:val="001B2C89"/>
    <w:rsid w:val="001B2F19"/>
    <w:rsid w:val="001B2F7D"/>
    <w:rsid w:val="001B3555"/>
    <w:rsid w:val="001B35ED"/>
    <w:rsid w:val="001B369D"/>
    <w:rsid w:val="001B450E"/>
    <w:rsid w:val="001B46DB"/>
    <w:rsid w:val="001B4F75"/>
    <w:rsid w:val="001B5DDB"/>
    <w:rsid w:val="001B62D3"/>
    <w:rsid w:val="001B6D56"/>
    <w:rsid w:val="001B6EA6"/>
    <w:rsid w:val="001B74F4"/>
    <w:rsid w:val="001B75DC"/>
    <w:rsid w:val="001C0136"/>
    <w:rsid w:val="001C0A6E"/>
    <w:rsid w:val="001C0AD1"/>
    <w:rsid w:val="001C0BCC"/>
    <w:rsid w:val="001C0D6C"/>
    <w:rsid w:val="001C112A"/>
    <w:rsid w:val="001C117D"/>
    <w:rsid w:val="001C1F9C"/>
    <w:rsid w:val="001C1FF2"/>
    <w:rsid w:val="001C226A"/>
    <w:rsid w:val="001C22D9"/>
    <w:rsid w:val="001C236E"/>
    <w:rsid w:val="001C29E7"/>
    <w:rsid w:val="001C32C6"/>
    <w:rsid w:val="001C350A"/>
    <w:rsid w:val="001C3A2B"/>
    <w:rsid w:val="001C3BFE"/>
    <w:rsid w:val="001C3E2D"/>
    <w:rsid w:val="001C48C7"/>
    <w:rsid w:val="001C4A9E"/>
    <w:rsid w:val="001C4ED4"/>
    <w:rsid w:val="001C61BE"/>
    <w:rsid w:val="001C68B9"/>
    <w:rsid w:val="001C6CAB"/>
    <w:rsid w:val="001C6CC1"/>
    <w:rsid w:val="001C7130"/>
    <w:rsid w:val="001C783A"/>
    <w:rsid w:val="001C7C0D"/>
    <w:rsid w:val="001C7E70"/>
    <w:rsid w:val="001D0068"/>
    <w:rsid w:val="001D01C6"/>
    <w:rsid w:val="001D092F"/>
    <w:rsid w:val="001D0D39"/>
    <w:rsid w:val="001D1AEF"/>
    <w:rsid w:val="001D244E"/>
    <w:rsid w:val="001D24F1"/>
    <w:rsid w:val="001D25EF"/>
    <w:rsid w:val="001D3AD1"/>
    <w:rsid w:val="001D3EFE"/>
    <w:rsid w:val="001D478B"/>
    <w:rsid w:val="001D4970"/>
    <w:rsid w:val="001D4E75"/>
    <w:rsid w:val="001D5F02"/>
    <w:rsid w:val="001D6028"/>
    <w:rsid w:val="001D6186"/>
    <w:rsid w:val="001D62AF"/>
    <w:rsid w:val="001D637E"/>
    <w:rsid w:val="001D643C"/>
    <w:rsid w:val="001D6652"/>
    <w:rsid w:val="001D69E5"/>
    <w:rsid w:val="001D6B3D"/>
    <w:rsid w:val="001D7104"/>
    <w:rsid w:val="001E054E"/>
    <w:rsid w:val="001E075F"/>
    <w:rsid w:val="001E08D8"/>
    <w:rsid w:val="001E0933"/>
    <w:rsid w:val="001E14E8"/>
    <w:rsid w:val="001E15D0"/>
    <w:rsid w:val="001E18BD"/>
    <w:rsid w:val="001E1DBA"/>
    <w:rsid w:val="001E1EF2"/>
    <w:rsid w:val="001E290B"/>
    <w:rsid w:val="001E3539"/>
    <w:rsid w:val="001E3646"/>
    <w:rsid w:val="001E385F"/>
    <w:rsid w:val="001E39E4"/>
    <w:rsid w:val="001E490C"/>
    <w:rsid w:val="001E4C68"/>
    <w:rsid w:val="001E5027"/>
    <w:rsid w:val="001E50FD"/>
    <w:rsid w:val="001E5310"/>
    <w:rsid w:val="001E5422"/>
    <w:rsid w:val="001E581B"/>
    <w:rsid w:val="001E59DC"/>
    <w:rsid w:val="001E5DD7"/>
    <w:rsid w:val="001E5EEE"/>
    <w:rsid w:val="001E6EDE"/>
    <w:rsid w:val="001E7358"/>
    <w:rsid w:val="001E7C72"/>
    <w:rsid w:val="001E7EDD"/>
    <w:rsid w:val="001F02CD"/>
    <w:rsid w:val="001F0B7F"/>
    <w:rsid w:val="001F0CD0"/>
    <w:rsid w:val="001F0F71"/>
    <w:rsid w:val="001F0F9E"/>
    <w:rsid w:val="001F19D1"/>
    <w:rsid w:val="001F1B69"/>
    <w:rsid w:val="001F1D9A"/>
    <w:rsid w:val="001F2036"/>
    <w:rsid w:val="001F2740"/>
    <w:rsid w:val="001F2C3A"/>
    <w:rsid w:val="001F3531"/>
    <w:rsid w:val="001F3696"/>
    <w:rsid w:val="001F42FF"/>
    <w:rsid w:val="001F44B4"/>
    <w:rsid w:val="001F44D3"/>
    <w:rsid w:val="001F44FE"/>
    <w:rsid w:val="001F4510"/>
    <w:rsid w:val="001F58D3"/>
    <w:rsid w:val="001F5D36"/>
    <w:rsid w:val="001F60E9"/>
    <w:rsid w:val="001F65A4"/>
    <w:rsid w:val="001F65E0"/>
    <w:rsid w:val="001F6EE3"/>
    <w:rsid w:val="001F7362"/>
    <w:rsid w:val="001F7AE9"/>
    <w:rsid w:val="001F7CFD"/>
    <w:rsid w:val="0020044D"/>
    <w:rsid w:val="00200988"/>
    <w:rsid w:val="002011B4"/>
    <w:rsid w:val="002011D5"/>
    <w:rsid w:val="00201884"/>
    <w:rsid w:val="00201C2D"/>
    <w:rsid w:val="00203367"/>
    <w:rsid w:val="0020362F"/>
    <w:rsid w:val="00203AE5"/>
    <w:rsid w:val="00204438"/>
    <w:rsid w:val="00204A44"/>
    <w:rsid w:val="00206147"/>
    <w:rsid w:val="002064F3"/>
    <w:rsid w:val="002069A8"/>
    <w:rsid w:val="00206EE7"/>
    <w:rsid w:val="002076D3"/>
    <w:rsid w:val="0020789A"/>
    <w:rsid w:val="00207C83"/>
    <w:rsid w:val="002104A7"/>
    <w:rsid w:val="00210869"/>
    <w:rsid w:val="00210F7E"/>
    <w:rsid w:val="002116AD"/>
    <w:rsid w:val="00211999"/>
    <w:rsid w:val="002123A4"/>
    <w:rsid w:val="002126CD"/>
    <w:rsid w:val="00213773"/>
    <w:rsid w:val="00213B0E"/>
    <w:rsid w:val="00213CBC"/>
    <w:rsid w:val="002141FB"/>
    <w:rsid w:val="002146CA"/>
    <w:rsid w:val="002147D6"/>
    <w:rsid w:val="00214B44"/>
    <w:rsid w:val="0021575B"/>
    <w:rsid w:val="00215783"/>
    <w:rsid w:val="0021669B"/>
    <w:rsid w:val="0021685B"/>
    <w:rsid w:val="00216876"/>
    <w:rsid w:val="0022018A"/>
    <w:rsid w:val="00220ADA"/>
    <w:rsid w:val="00220B7B"/>
    <w:rsid w:val="0022180E"/>
    <w:rsid w:val="002220BA"/>
    <w:rsid w:val="002227B3"/>
    <w:rsid w:val="00222CE3"/>
    <w:rsid w:val="0022330D"/>
    <w:rsid w:val="002235D7"/>
    <w:rsid w:val="00223791"/>
    <w:rsid w:val="002239C4"/>
    <w:rsid w:val="00224617"/>
    <w:rsid w:val="00225591"/>
    <w:rsid w:val="00225690"/>
    <w:rsid w:val="0022574F"/>
    <w:rsid w:val="0022593A"/>
    <w:rsid w:val="00225B52"/>
    <w:rsid w:val="00225CE3"/>
    <w:rsid w:val="002260D7"/>
    <w:rsid w:val="00226980"/>
    <w:rsid w:val="00226B17"/>
    <w:rsid w:val="0022712B"/>
    <w:rsid w:val="002276A4"/>
    <w:rsid w:val="00227843"/>
    <w:rsid w:val="00227A99"/>
    <w:rsid w:val="00227AA8"/>
    <w:rsid w:val="00227C8B"/>
    <w:rsid w:val="002300D2"/>
    <w:rsid w:val="00230A44"/>
    <w:rsid w:val="00230A52"/>
    <w:rsid w:val="00230FA5"/>
    <w:rsid w:val="00231131"/>
    <w:rsid w:val="00231250"/>
    <w:rsid w:val="00231380"/>
    <w:rsid w:val="0023170E"/>
    <w:rsid w:val="00231839"/>
    <w:rsid w:val="00232127"/>
    <w:rsid w:val="0023262B"/>
    <w:rsid w:val="00232A4E"/>
    <w:rsid w:val="0023360A"/>
    <w:rsid w:val="00233A7D"/>
    <w:rsid w:val="0023482B"/>
    <w:rsid w:val="0023482C"/>
    <w:rsid w:val="00234AA4"/>
    <w:rsid w:val="00234C7F"/>
    <w:rsid w:val="00234E62"/>
    <w:rsid w:val="00234F8F"/>
    <w:rsid w:val="002362BD"/>
    <w:rsid w:val="0023658F"/>
    <w:rsid w:val="00236872"/>
    <w:rsid w:val="00236890"/>
    <w:rsid w:val="002368C0"/>
    <w:rsid w:val="00236CC2"/>
    <w:rsid w:val="00236CDE"/>
    <w:rsid w:val="00236FA2"/>
    <w:rsid w:val="0023763A"/>
    <w:rsid w:val="00237D7D"/>
    <w:rsid w:val="002404D1"/>
    <w:rsid w:val="002405C8"/>
    <w:rsid w:val="00240ECB"/>
    <w:rsid w:val="00241381"/>
    <w:rsid w:val="002415DA"/>
    <w:rsid w:val="00241857"/>
    <w:rsid w:val="002425FF"/>
    <w:rsid w:val="0024285E"/>
    <w:rsid w:val="00242D8E"/>
    <w:rsid w:val="00242F79"/>
    <w:rsid w:val="00242FA8"/>
    <w:rsid w:val="0024310E"/>
    <w:rsid w:val="00243204"/>
    <w:rsid w:val="00243AC5"/>
    <w:rsid w:val="0024401E"/>
    <w:rsid w:val="0024405D"/>
    <w:rsid w:val="00244516"/>
    <w:rsid w:val="00244641"/>
    <w:rsid w:val="00244AA7"/>
    <w:rsid w:val="00244BB0"/>
    <w:rsid w:val="00244CF8"/>
    <w:rsid w:val="00244DB2"/>
    <w:rsid w:val="002454F0"/>
    <w:rsid w:val="002455CF"/>
    <w:rsid w:val="00245B9E"/>
    <w:rsid w:val="002465AC"/>
    <w:rsid w:val="002465EC"/>
    <w:rsid w:val="00246614"/>
    <w:rsid w:val="00246907"/>
    <w:rsid w:val="00246A59"/>
    <w:rsid w:val="00246C0E"/>
    <w:rsid w:val="00246EC9"/>
    <w:rsid w:val="00246FC4"/>
    <w:rsid w:val="00246FE9"/>
    <w:rsid w:val="00247130"/>
    <w:rsid w:val="0024723E"/>
    <w:rsid w:val="00247760"/>
    <w:rsid w:val="002478C2"/>
    <w:rsid w:val="00247E6F"/>
    <w:rsid w:val="00247FD9"/>
    <w:rsid w:val="0025003A"/>
    <w:rsid w:val="00250260"/>
    <w:rsid w:val="00250688"/>
    <w:rsid w:val="002507ED"/>
    <w:rsid w:val="00250FD5"/>
    <w:rsid w:val="00251167"/>
    <w:rsid w:val="002511BA"/>
    <w:rsid w:val="002514E7"/>
    <w:rsid w:val="002526B9"/>
    <w:rsid w:val="00252C25"/>
    <w:rsid w:val="00252DD3"/>
    <w:rsid w:val="00252FA6"/>
    <w:rsid w:val="0025394F"/>
    <w:rsid w:val="00253B97"/>
    <w:rsid w:val="002544CB"/>
    <w:rsid w:val="00254724"/>
    <w:rsid w:val="00255153"/>
    <w:rsid w:val="00255D8E"/>
    <w:rsid w:val="0025647F"/>
    <w:rsid w:val="00256584"/>
    <w:rsid w:val="00256C48"/>
    <w:rsid w:val="00256E15"/>
    <w:rsid w:val="00256EF8"/>
    <w:rsid w:val="002570D5"/>
    <w:rsid w:val="00257177"/>
    <w:rsid w:val="00257730"/>
    <w:rsid w:val="00257803"/>
    <w:rsid w:val="00257B74"/>
    <w:rsid w:val="00257CD8"/>
    <w:rsid w:val="00260161"/>
    <w:rsid w:val="002610D8"/>
    <w:rsid w:val="002612ED"/>
    <w:rsid w:val="002619E7"/>
    <w:rsid w:val="00261A6C"/>
    <w:rsid w:val="002629E2"/>
    <w:rsid w:val="00262BA8"/>
    <w:rsid w:val="00262BC8"/>
    <w:rsid w:val="00263D10"/>
    <w:rsid w:val="0026402C"/>
    <w:rsid w:val="002641D9"/>
    <w:rsid w:val="002643C5"/>
    <w:rsid w:val="00264917"/>
    <w:rsid w:val="002650DF"/>
    <w:rsid w:val="002651EC"/>
    <w:rsid w:val="00265DC2"/>
    <w:rsid w:val="0026638C"/>
    <w:rsid w:val="00266F00"/>
    <w:rsid w:val="00266F4E"/>
    <w:rsid w:val="002670EF"/>
    <w:rsid w:val="002671A2"/>
    <w:rsid w:val="002672D3"/>
    <w:rsid w:val="00267A38"/>
    <w:rsid w:val="00267F5F"/>
    <w:rsid w:val="00270690"/>
    <w:rsid w:val="00270819"/>
    <w:rsid w:val="00270965"/>
    <w:rsid w:val="00270C96"/>
    <w:rsid w:val="00271E5D"/>
    <w:rsid w:val="00272082"/>
    <w:rsid w:val="0027349D"/>
    <w:rsid w:val="00273516"/>
    <w:rsid w:val="0027370D"/>
    <w:rsid w:val="00273985"/>
    <w:rsid w:val="002739A8"/>
    <w:rsid w:val="00273B40"/>
    <w:rsid w:val="00273B82"/>
    <w:rsid w:val="00273E7A"/>
    <w:rsid w:val="00274372"/>
    <w:rsid w:val="0027475A"/>
    <w:rsid w:val="002747B1"/>
    <w:rsid w:val="002749F7"/>
    <w:rsid w:val="00275C7B"/>
    <w:rsid w:val="00275F56"/>
    <w:rsid w:val="002765B7"/>
    <w:rsid w:val="00276EAA"/>
    <w:rsid w:val="0027733B"/>
    <w:rsid w:val="00277713"/>
    <w:rsid w:val="002778D5"/>
    <w:rsid w:val="00277DBC"/>
    <w:rsid w:val="00277F64"/>
    <w:rsid w:val="00280550"/>
    <w:rsid w:val="00280FE3"/>
    <w:rsid w:val="00281063"/>
    <w:rsid w:val="00281676"/>
    <w:rsid w:val="00281807"/>
    <w:rsid w:val="00281E32"/>
    <w:rsid w:val="0028236D"/>
    <w:rsid w:val="00282479"/>
    <w:rsid w:val="00282722"/>
    <w:rsid w:val="0028276E"/>
    <w:rsid w:val="002827F3"/>
    <w:rsid w:val="002829BD"/>
    <w:rsid w:val="00282ABA"/>
    <w:rsid w:val="00282B3E"/>
    <w:rsid w:val="00282C1F"/>
    <w:rsid w:val="00282C6C"/>
    <w:rsid w:val="00283B7F"/>
    <w:rsid w:val="0028468D"/>
    <w:rsid w:val="0028470C"/>
    <w:rsid w:val="00284883"/>
    <w:rsid w:val="00284B5F"/>
    <w:rsid w:val="0028596B"/>
    <w:rsid w:val="00285FB9"/>
    <w:rsid w:val="00286219"/>
    <w:rsid w:val="00286A03"/>
    <w:rsid w:val="00287514"/>
    <w:rsid w:val="0028791B"/>
    <w:rsid w:val="00287E44"/>
    <w:rsid w:val="00287F79"/>
    <w:rsid w:val="002900A9"/>
    <w:rsid w:val="002903DC"/>
    <w:rsid w:val="00290C43"/>
    <w:rsid w:val="00290C90"/>
    <w:rsid w:val="002916DB"/>
    <w:rsid w:val="00291756"/>
    <w:rsid w:val="0029190A"/>
    <w:rsid w:val="00291FEE"/>
    <w:rsid w:val="0029253A"/>
    <w:rsid w:val="00293271"/>
    <w:rsid w:val="002932C7"/>
    <w:rsid w:val="00293587"/>
    <w:rsid w:val="00293896"/>
    <w:rsid w:val="00293ED1"/>
    <w:rsid w:val="002945D9"/>
    <w:rsid w:val="002947DA"/>
    <w:rsid w:val="00294891"/>
    <w:rsid w:val="00294A06"/>
    <w:rsid w:val="00294FFB"/>
    <w:rsid w:val="002954FD"/>
    <w:rsid w:val="002955DF"/>
    <w:rsid w:val="00296242"/>
    <w:rsid w:val="00296CE6"/>
    <w:rsid w:val="002973DF"/>
    <w:rsid w:val="00297D6A"/>
    <w:rsid w:val="002A0190"/>
    <w:rsid w:val="002A0983"/>
    <w:rsid w:val="002A0BF5"/>
    <w:rsid w:val="002A1128"/>
    <w:rsid w:val="002A158C"/>
    <w:rsid w:val="002A2056"/>
    <w:rsid w:val="002A24EB"/>
    <w:rsid w:val="002A2C5E"/>
    <w:rsid w:val="002A2D66"/>
    <w:rsid w:val="002A428E"/>
    <w:rsid w:val="002A4368"/>
    <w:rsid w:val="002A46FA"/>
    <w:rsid w:val="002A49E5"/>
    <w:rsid w:val="002A4CB2"/>
    <w:rsid w:val="002A4E01"/>
    <w:rsid w:val="002A513F"/>
    <w:rsid w:val="002A5227"/>
    <w:rsid w:val="002A53F9"/>
    <w:rsid w:val="002A57BC"/>
    <w:rsid w:val="002A581C"/>
    <w:rsid w:val="002B00FE"/>
    <w:rsid w:val="002B0E27"/>
    <w:rsid w:val="002B0ECF"/>
    <w:rsid w:val="002B10B6"/>
    <w:rsid w:val="002B10D3"/>
    <w:rsid w:val="002B1113"/>
    <w:rsid w:val="002B1867"/>
    <w:rsid w:val="002B1EA3"/>
    <w:rsid w:val="002B2A55"/>
    <w:rsid w:val="002B2DA9"/>
    <w:rsid w:val="002B30C8"/>
    <w:rsid w:val="002B31FA"/>
    <w:rsid w:val="002B33D5"/>
    <w:rsid w:val="002B3A06"/>
    <w:rsid w:val="002B3E33"/>
    <w:rsid w:val="002B4552"/>
    <w:rsid w:val="002B4C84"/>
    <w:rsid w:val="002B5746"/>
    <w:rsid w:val="002B63D3"/>
    <w:rsid w:val="002B6815"/>
    <w:rsid w:val="002B6AB1"/>
    <w:rsid w:val="002B6E42"/>
    <w:rsid w:val="002B71D1"/>
    <w:rsid w:val="002B787E"/>
    <w:rsid w:val="002C0121"/>
    <w:rsid w:val="002C0144"/>
    <w:rsid w:val="002C02DB"/>
    <w:rsid w:val="002C0915"/>
    <w:rsid w:val="002C0AE7"/>
    <w:rsid w:val="002C0CAC"/>
    <w:rsid w:val="002C0D8A"/>
    <w:rsid w:val="002C1F28"/>
    <w:rsid w:val="002C254B"/>
    <w:rsid w:val="002C25DE"/>
    <w:rsid w:val="002C2760"/>
    <w:rsid w:val="002C27E8"/>
    <w:rsid w:val="002C2ACB"/>
    <w:rsid w:val="002C2F60"/>
    <w:rsid w:val="002C41CB"/>
    <w:rsid w:val="002C42A3"/>
    <w:rsid w:val="002C451A"/>
    <w:rsid w:val="002C5C58"/>
    <w:rsid w:val="002C6453"/>
    <w:rsid w:val="002C68D1"/>
    <w:rsid w:val="002C6A1A"/>
    <w:rsid w:val="002C6B67"/>
    <w:rsid w:val="002C73EE"/>
    <w:rsid w:val="002C7660"/>
    <w:rsid w:val="002C7718"/>
    <w:rsid w:val="002C77DB"/>
    <w:rsid w:val="002C77F7"/>
    <w:rsid w:val="002C7CD4"/>
    <w:rsid w:val="002C7DD8"/>
    <w:rsid w:val="002D0321"/>
    <w:rsid w:val="002D0567"/>
    <w:rsid w:val="002D0E7A"/>
    <w:rsid w:val="002D13BE"/>
    <w:rsid w:val="002D155B"/>
    <w:rsid w:val="002D1AD3"/>
    <w:rsid w:val="002D1F15"/>
    <w:rsid w:val="002D2D16"/>
    <w:rsid w:val="002D40A5"/>
    <w:rsid w:val="002D48E1"/>
    <w:rsid w:val="002D61C8"/>
    <w:rsid w:val="002D629E"/>
    <w:rsid w:val="002D6CA5"/>
    <w:rsid w:val="002D6E9A"/>
    <w:rsid w:val="002D726B"/>
    <w:rsid w:val="002D75DB"/>
    <w:rsid w:val="002D7936"/>
    <w:rsid w:val="002D7D49"/>
    <w:rsid w:val="002E0067"/>
    <w:rsid w:val="002E02D0"/>
    <w:rsid w:val="002E0489"/>
    <w:rsid w:val="002E04C0"/>
    <w:rsid w:val="002E0544"/>
    <w:rsid w:val="002E0BAC"/>
    <w:rsid w:val="002E1DF4"/>
    <w:rsid w:val="002E2027"/>
    <w:rsid w:val="002E26F6"/>
    <w:rsid w:val="002E2954"/>
    <w:rsid w:val="002E2C3B"/>
    <w:rsid w:val="002E3B77"/>
    <w:rsid w:val="002E3C37"/>
    <w:rsid w:val="002E4BA7"/>
    <w:rsid w:val="002E4D3D"/>
    <w:rsid w:val="002E5650"/>
    <w:rsid w:val="002E5CA7"/>
    <w:rsid w:val="002E668B"/>
    <w:rsid w:val="002E7091"/>
    <w:rsid w:val="002E7235"/>
    <w:rsid w:val="002E7DEA"/>
    <w:rsid w:val="002F0276"/>
    <w:rsid w:val="002F10E7"/>
    <w:rsid w:val="002F11F9"/>
    <w:rsid w:val="002F1274"/>
    <w:rsid w:val="002F13E0"/>
    <w:rsid w:val="002F1478"/>
    <w:rsid w:val="002F16CB"/>
    <w:rsid w:val="002F1742"/>
    <w:rsid w:val="002F1775"/>
    <w:rsid w:val="002F1AB0"/>
    <w:rsid w:val="002F2108"/>
    <w:rsid w:val="002F29D1"/>
    <w:rsid w:val="002F37FC"/>
    <w:rsid w:val="002F3C64"/>
    <w:rsid w:val="002F4431"/>
    <w:rsid w:val="002F47E7"/>
    <w:rsid w:val="002F510D"/>
    <w:rsid w:val="002F5F61"/>
    <w:rsid w:val="00300081"/>
    <w:rsid w:val="0030023E"/>
    <w:rsid w:val="0030059B"/>
    <w:rsid w:val="00300FC5"/>
    <w:rsid w:val="00301277"/>
    <w:rsid w:val="00301837"/>
    <w:rsid w:val="003019CD"/>
    <w:rsid w:val="00302027"/>
    <w:rsid w:val="0030341B"/>
    <w:rsid w:val="003034D2"/>
    <w:rsid w:val="0030373E"/>
    <w:rsid w:val="00303A1B"/>
    <w:rsid w:val="00303A7C"/>
    <w:rsid w:val="003045BE"/>
    <w:rsid w:val="00304C19"/>
    <w:rsid w:val="003058C2"/>
    <w:rsid w:val="00305BD4"/>
    <w:rsid w:val="00305C0B"/>
    <w:rsid w:val="00305F53"/>
    <w:rsid w:val="003060F3"/>
    <w:rsid w:val="0030612A"/>
    <w:rsid w:val="0030616E"/>
    <w:rsid w:val="0030626A"/>
    <w:rsid w:val="003068EC"/>
    <w:rsid w:val="0030690E"/>
    <w:rsid w:val="00306C01"/>
    <w:rsid w:val="0030759B"/>
    <w:rsid w:val="003076C4"/>
    <w:rsid w:val="003079A6"/>
    <w:rsid w:val="00310170"/>
    <w:rsid w:val="003106C8"/>
    <w:rsid w:val="00310E3F"/>
    <w:rsid w:val="00311270"/>
    <w:rsid w:val="0031175D"/>
    <w:rsid w:val="003119DD"/>
    <w:rsid w:val="00312297"/>
    <w:rsid w:val="00313367"/>
    <w:rsid w:val="0031354F"/>
    <w:rsid w:val="00314614"/>
    <w:rsid w:val="00314739"/>
    <w:rsid w:val="00314773"/>
    <w:rsid w:val="00314CD7"/>
    <w:rsid w:val="00314F8A"/>
    <w:rsid w:val="003151F3"/>
    <w:rsid w:val="003152FA"/>
    <w:rsid w:val="003154DB"/>
    <w:rsid w:val="003159EC"/>
    <w:rsid w:val="00315C09"/>
    <w:rsid w:val="00315FA1"/>
    <w:rsid w:val="00316779"/>
    <w:rsid w:val="00317DA5"/>
    <w:rsid w:val="003201D0"/>
    <w:rsid w:val="003205E0"/>
    <w:rsid w:val="0032091D"/>
    <w:rsid w:val="00321386"/>
    <w:rsid w:val="00321788"/>
    <w:rsid w:val="00321848"/>
    <w:rsid w:val="00321B0F"/>
    <w:rsid w:val="00321CB3"/>
    <w:rsid w:val="003220A1"/>
    <w:rsid w:val="0032229C"/>
    <w:rsid w:val="00322341"/>
    <w:rsid w:val="0032345B"/>
    <w:rsid w:val="003235FE"/>
    <w:rsid w:val="00323767"/>
    <w:rsid w:val="00324FF5"/>
    <w:rsid w:val="003256A0"/>
    <w:rsid w:val="00326114"/>
    <w:rsid w:val="003265DE"/>
    <w:rsid w:val="00326A08"/>
    <w:rsid w:val="00327501"/>
    <w:rsid w:val="003275D6"/>
    <w:rsid w:val="0032767E"/>
    <w:rsid w:val="003276F4"/>
    <w:rsid w:val="003277C6"/>
    <w:rsid w:val="00327845"/>
    <w:rsid w:val="00327B0E"/>
    <w:rsid w:val="00327C8B"/>
    <w:rsid w:val="003302CF"/>
    <w:rsid w:val="00330559"/>
    <w:rsid w:val="00330711"/>
    <w:rsid w:val="00330B86"/>
    <w:rsid w:val="00330DB5"/>
    <w:rsid w:val="00331306"/>
    <w:rsid w:val="00331659"/>
    <w:rsid w:val="003319C5"/>
    <w:rsid w:val="00331A58"/>
    <w:rsid w:val="00331D5D"/>
    <w:rsid w:val="003320F9"/>
    <w:rsid w:val="00332276"/>
    <w:rsid w:val="003327BD"/>
    <w:rsid w:val="00332806"/>
    <w:rsid w:val="00332E79"/>
    <w:rsid w:val="003338EB"/>
    <w:rsid w:val="00334446"/>
    <w:rsid w:val="0033444C"/>
    <w:rsid w:val="00334725"/>
    <w:rsid w:val="00334826"/>
    <w:rsid w:val="00334A38"/>
    <w:rsid w:val="00334AF1"/>
    <w:rsid w:val="003353D5"/>
    <w:rsid w:val="003355C9"/>
    <w:rsid w:val="00335742"/>
    <w:rsid w:val="00335A53"/>
    <w:rsid w:val="00336D88"/>
    <w:rsid w:val="003376E1"/>
    <w:rsid w:val="003379A4"/>
    <w:rsid w:val="00337BB0"/>
    <w:rsid w:val="00337CB6"/>
    <w:rsid w:val="003403AE"/>
    <w:rsid w:val="003409BD"/>
    <w:rsid w:val="0034111B"/>
    <w:rsid w:val="00342559"/>
    <w:rsid w:val="00342D1A"/>
    <w:rsid w:val="00342E06"/>
    <w:rsid w:val="00343286"/>
    <w:rsid w:val="0034339B"/>
    <w:rsid w:val="00343860"/>
    <w:rsid w:val="003439DA"/>
    <w:rsid w:val="00343AB5"/>
    <w:rsid w:val="00344A59"/>
    <w:rsid w:val="00344CEF"/>
    <w:rsid w:val="00344F44"/>
    <w:rsid w:val="0034511C"/>
    <w:rsid w:val="00345191"/>
    <w:rsid w:val="0034550A"/>
    <w:rsid w:val="00345878"/>
    <w:rsid w:val="00345B7B"/>
    <w:rsid w:val="00345DB9"/>
    <w:rsid w:val="0034620C"/>
    <w:rsid w:val="00346579"/>
    <w:rsid w:val="00346C50"/>
    <w:rsid w:val="003474B3"/>
    <w:rsid w:val="00347A1B"/>
    <w:rsid w:val="00347CA3"/>
    <w:rsid w:val="00347CD4"/>
    <w:rsid w:val="00347F9F"/>
    <w:rsid w:val="003500C9"/>
    <w:rsid w:val="00351032"/>
    <w:rsid w:val="00351286"/>
    <w:rsid w:val="0035149A"/>
    <w:rsid w:val="00351668"/>
    <w:rsid w:val="00351AE5"/>
    <w:rsid w:val="00352245"/>
    <w:rsid w:val="00352775"/>
    <w:rsid w:val="003528A3"/>
    <w:rsid w:val="00352F14"/>
    <w:rsid w:val="003530B3"/>
    <w:rsid w:val="00353337"/>
    <w:rsid w:val="00353432"/>
    <w:rsid w:val="00354160"/>
    <w:rsid w:val="0035546F"/>
    <w:rsid w:val="003554BD"/>
    <w:rsid w:val="003554CE"/>
    <w:rsid w:val="00356121"/>
    <w:rsid w:val="00356586"/>
    <w:rsid w:val="00356792"/>
    <w:rsid w:val="00356B28"/>
    <w:rsid w:val="003571E2"/>
    <w:rsid w:val="003608AA"/>
    <w:rsid w:val="00360A82"/>
    <w:rsid w:val="00361062"/>
    <w:rsid w:val="003610F5"/>
    <w:rsid w:val="003616F4"/>
    <w:rsid w:val="00362B5E"/>
    <w:rsid w:val="00362C61"/>
    <w:rsid w:val="003635B6"/>
    <w:rsid w:val="0036360A"/>
    <w:rsid w:val="003638E9"/>
    <w:rsid w:val="003643A5"/>
    <w:rsid w:val="00364D97"/>
    <w:rsid w:val="0036533F"/>
    <w:rsid w:val="00365370"/>
    <w:rsid w:val="003658E5"/>
    <w:rsid w:val="003661C9"/>
    <w:rsid w:val="0036693A"/>
    <w:rsid w:val="00366AFA"/>
    <w:rsid w:val="00366C31"/>
    <w:rsid w:val="00366E4E"/>
    <w:rsid w:val="003676E5"/>
    <w:rsid w:val="003676EA"/>
    <w:rsid w:val="00367886"/>
    <w:rsid w:val="00367AD9"/>
    <w:rsid w:val="00367C7C"/>
    <w:rsid w:val="00367CC7"/>
    <w:rsid w:val="00370219"/>
    <w:rsid w:val="0037051E"/>
    <w:rsid w:val="0037057F"/>
    <w:rsid w:val="00370859"/>
    <w:rsid w:val="00371047"/>
    <w:rsid w:val="00371208"/>
    <w:rsid w:val="003718D9"/>
    <w:rsid w:val="0037207D"/>
    <w:rsid w:val="00372389"/>
    <w:rsid w:val="00372564"/>
    <w:rsid w:val="00372644"/>
    <w:rsid w:val="00372D9A"/>
    <w:rsid w:val="003730A0"/>
    <w:rsid w:val="0037334A"/>
    <w:rsid w:val="003734B3"/>
    <w:rsid w:val="0037443B"/>
    <w:rsid w:val="003744B7"/>
    <w:rsid w:val="00374D3E"/>
    <w:rsid w:val="003755CD"/>
    <w:rsid w:val="00375820"/>
    <w:rsid w:val="00375B14"/>
    <w:rsid w:val="00375D85"/>
    <w:rsid w:val="00375E3A"/>
    <w:rsid w:val="003760FD"/>
    <w:rsid w:val="003769D5"/>
    <w:rsid w:val="00377337"/>
    <w:rsid w:val="00377475"/>
    <w:rsid w:val="00377A8C"/>
    <w:rsid w:val="00380472"/>
    <w:rsid w:val="0038054C"/>
    <w:rsid w:val="0038061C"/>
    <w:rsid w:val="00381168"/>
    <w:rsid w:val="00381E3D"/>
    <w:rsid w:val="003825F4"/>
    <w:rsid w:val="00382752"/>
    <w:rsid w:val="00383181"/>
    <w:rsid w:val="003831C2"/>
    <w:rsid w:val="00383338"/>
    <w:rsid w:val="0038339B"/>
    <w:rsid w:val="00383701"/>
    <w:rsid w:val="003840B4"/>
    <w:rsid w:val="00384187"/>
    <w:rsid w:val="0038449A"/>
    <w:rsid w:val="0038458A"/>
    <w:rsid w:val="00384744"/>
    <w:rsid w:val="00384900"/>
    <w:rsid w:val="00384BDA"/>
    <w:rsid w:val="00384D8F"/>
    <w:rsid w:val="00384DCE"/>
    <w:rsid w:val="00384EF8"/>
    <w:rsid w:val="003850A6"/>
    <w:rsid w:val="00385445"/>
    <w:rsid w:val="00386891"/>
    <w:rsid w:val="00386A21"/>
    <w:rsid w:val="00386BB6"/>
    <w:rsid w:val="00386EA0"/>
    <w:rsid w:val="0038735C"/>
    <w:rsid w:val="003874B4"/>
    <w:rsid w:val="00387631"/>
    <w:rsid w:val="00387644"/>
    <w:rsid w:val="00387823"/>
    <w:rsid w:val="00390044"/>
    <w:rsid w:val="003903FB"/>
    <w:rsid w:val="00390644"/>
    <w:rsid w:val="0039066F"/>
    <w:rsid w:val="00390D50"/>
    <w:rsid w:val="00390EAD"/>
    <w:rsid w:val="00390EAF"/>
    <w:rsid w:val="00391908"/>
    <w:rsid w:val="00391CBB"/>
    <w:rsid w:val="00391D90"/>
    <w:rsid w:val="00391DDE"/>
    <w:rsid w:val="0039208E"/>
    <w:rsid w:val="003923A6"/>
    <w:rsid w:val="0039257A"/>
    <w:rsid w:val="003931A6"/>
    <w:rsid w:val="00393231"/>
    <w:rsid w:val="003935FC"/>
    <w:rsid w:val="0039372B"/>
    <w:rsid w:val="003937C8"/>
    <w:rsid w:val="0039383D"/>
    <w:rsid w:val="00394181"/>
    <w:rsid w:val="00394221"/>
    <w:rsid w:val="00394435"/>
    <w:rsid w:val="003949F6"/>
    <w:rsid w:val="00394FE8"/>
    <w:rsid w:val="00395069"/>
    <w:rsid w:val="003955AD"/>
    <w:rsid w:val="00395950"/>
    <w:rsid w:val="00395A0A"/>
    <w:rsid w:val="00395C33"/>
    <w:rsid w:val="00396AD3"/>
    <w:rsid w:val="00396C46"/>
    <w:rsid w:val="00397167"/>
    <w:rsid w:val="00397BF1"/>
    <w:rsid w:val="003A050A"/>
    <w:rsid w:val="003A08AC"/>
    <w:rsid w:val="003A0A67"/>
    <w:rsid w:val="003A0C6C"/>
    <w:rsid w:val="003A0E78"/>
    <w:rsid w:val="003A1273"/>
    <w:rsid w:val="003A1596"/>
    <w:rsid w:val="003A1FEA"/>
    <w:rsid w:val="003A2182"/>
    <w:rsid w:val="003A344A"/>
    <w:rsid w:val="003A3622"/>
    <w:rsid w:val="003A36D4"/>
    <w:rsid w:val="003A4139"/>
    <w:rsid w:val="003A48F5"/>
    <w:rsid w:val="003A495B"/>
    <w:rsid w:val="003A4B2F"/>
    <w:rsid w:val="003A4C4A"/>
    <w:rsid w:val="003A4E97"/>
    <w:rsid w:val="003A4F9E"/>
    <w:rsid w:val="003A5033"/>
    <w:rsid w:val="003A53AA"/>
    <w:rsid w:val="003A5437"/>
    <w:rsid w:val="003A5EEB"/>
    <w:rsid w:val="003A66EA"/>
    <w:rsid w:val="003A6FFF"/>
    <w:rsid w:val="003A701E"/>
    <w:rsid w:val="003A7161"/>
    <w:rsid w:val="003A7200"/>
    <w:rsid w:val="003A75C6"/>
    <w:rsid w:val="003A76C9"/>
    <w:rsid w:val="003A79FF"/>
    <w:rsid w:val="003A7DFF"/>
    <w:rsid w:val="003B00E9"/>
    <w:rsid w:val="003B02DF"/>
    <w:rsid w:val="003B0A8B"/>
    <w:rsid w:val="003B1083"/>
    <w:rsid w:val="003B12B1"/>
    <w:rsid w:val="003B12DB"/>
    <w:rsid w:val="003B1C5D"/>
    <w:rsid w:val="003B1EAD"/>
    <w:rsid w:val="003B1F1C"/>
    <w:rsid w:val="003B1F7D"/>
    <w:rsid w:val="003B23A8"/>
    <w:rsid w:val="003B3822"/>
    <w:rsid w:val="003B3BAD"/>
    <w:rsid w:val="003B3F02"/>
    <w:rsid w:val="003B3F64"/>
    <w:rsid w:val="003B4292"/>
    <w:rsid w:val="003B4644"/>
    <w:rsid w:val="003B499C"/>
    <w:rsid w:val="003B4B26"/>
    <w:rsid w:val="003B4E29"/>
    <w:rsid w:val="003B5306"/>
    <w:rsid w:val="003B6179"/>
    <w:rsid w:val="003B69D0"/>
    <w:rsid w:val="003B72CE"/>
    <w:rsid w:val="003B740C"/>
    <w:rsid w:val="003B7B4D"/>
    <w:rsid w:val="003C0125"/>
    <w:rsid w:val="003C03F7"/>
    <w:rsid w:val="003C05CD"/>
    <w:rsid w:val="003C0FE5"/>
    <w:rsid w:val="003C1CAF"/>
    <w:rsid w:val="003C22D4"/>
    <w:rsid w:val="003C25A5"/>
    <w:rsid w:val="003C29AF"/>
    <w:rsid w:val="003C353D"/>
    <w:rsid w:val="003C3F73"/>
    <w:rsid w:val="003C40A2"/>
    <w:rsid w:val="003C4F88"/>
    <w:rsid w:val="003C5519"/>
    <w:rsid w:val="003C5A97"/>
    <w:rsid w:val="003C616B"/>
    <w:rsid w:val="003C681D"/>
    <w:rsid w:val="003C6BED"/>
    <w:rsid w:val="003C7906"/>
    <w:rsid w:val="003C7965"/>
    <w:rsid w:val="003C7BDE"/>
    <w:rsid w:val="003C7D06"/>
    <w:rsid w:val="003C7EF7"/>
    <w:rsid w:val="003D0E1F"/>
    <w:rsid w:val="003D1182"/>
    <w:rsid w:val="003D1A21"/>
    <w:rsid w:val="003D1AE0"/>
    <w:rsid w:val="003D22DA"/>
    <w:rsid w:val="003D3779"/>
    <w:rsid w:val="003D39ED"/>
    <w:rsid w:val="003D425A"/>
    <w:rsid w:val="003D428A"/>
    <w:rsid w:val="003D44E4"/>
    <w:rsid w:val="003D4866"/>
    <w:rsid w:val="003D507A"/>
    <w:rsid w:val="003D6280"/>
    <w:rsid w:val="003D66CB"/>
    <w:rsid w:val="003D687A"/>
    <w:rsid w:val="003D6E45"/>
    <w:rsid w:val="003D7A2D"/>
    <w:rsid w:val="003D7C91"/>
    <w:rsid w:val="003E043F"/>
    <w:rsid w:val="003E07F1"/>
    <w:rsid w:val="003E0E8C"/>
    <w:rsid w:val="003E113F"/>
    <w:rsid w:val="003E1418"/>
    <w:rsid w:val="003E1FD5"/>
    <w:rsid w:val="003E4979"/>
    <w:rsid w:val="003E4B79"/>
    <w:rsid w:val="003E4B85"/>
    <w:rsid w:val="003E5188"/>
    <w:rsid w:val="003E581F"/>
    <w:rsid w:val="003E5F16"/>
    <w:rsid w:val="003E634D"/>
    <w:rsid w:val="003E64BB"/>
    <w:rsid w:val="003E6AC1"/>
    <w:rsid w:val="003E6BD3"/>
    <w:rsid w:val="003E7EEA"/>
    <w:rsid w:val="003F01E7"/>
    <w:rsid w:val="003F18CF"/>
    <w:rsid w:val="003F2BFE"/>
    <w:rsid w:val="003F3A44"/>
    <w:rsid w:val="003F5F0A"/>
    <w:rsid w:val="003F61C7"/>
    <w:rsid w:val="003F695D"/>
    <w:rsid w:val="003F6BA2"/>
    <w:rsid w:val="003F6C2F"/>
    <w:rsid w:val="003F6DF4"/>
    <w:rsid w:val="003F7022"/>
    <w:rsid w:val="003F7263"/>
    <w:rsid w:val="003F791C"/>
    <w:rsid w:val="003F7D77"/>
    <w:rsid w:val="00400A5E"/>
    <w:rsid w:val="00400A9A"/>
    <w:rsid w:val="004012D3"/>
    <w:rsid w:val="00401340"/>
    <w:rsid w:val="004015B0"/>
    <w:rsid w:val="004016AD"/>
    <w:rsid w:val="00401A15"/>
    <w:rsid w:val="00401C5B"/>
    <w:rsid w:val="00401DB1"/>
    <w:rsid w:val="004020FB"/>
    <w:rsid w:val="0040230D"/>
    <w:rsid w:val="004028D0"/>
    <w:rsid w:val="00402940"/>
    <w:rsid w:val="00403226"/>
    <w:rsid w:val="00403827"/>
    <w:rsid w:val="004040E3"/>
    <w:rsid w:val="00404C42"/>
    <w:rsid w:val="00404D4D"/>
    <w:rsid w:val="004055D7"/>
    <w:rsid w:val="00406CD1"/>
    <w:rsid w:val="00407CDA"/>
    <w:rsid w:val="004100FD"/>
    <w:rsid w:val="0041029D"/>
    <w:rsid w:val="00410347"/>
    <w:rsid w:val="004104BF"/>
    <w:rsid w:val="0041068A"/>
    <w:rsid w:val="00410DEC"/>
    <w:rsid w:val="00410E6E"/>
    <w:rsid w:val="004112CA"/>
    <w:rsid w:val="0041138F"/>
    <w:rsid w:val="004118D5"/>
    <w:rsid w:val="00411AFF"/>
    <w:rsid w:val="004126F6"/>
    <w:rsid w:val="00412EF3"/>
    <w:rsid w:val="004133CD"/>
    <w:rsid w:val="00413549"/>
    <w:rsid w:val="00414538"/>
    <w:rsid w:val="0041479C"/>
    <w:rsid w:val="004151CD"/>
    <w:rsid w:val="00416787"/>
    <w:rsid w:val="0041740C"/>
    <w:rsid w:val="0041749D"/>
    <w:rsid w:val="004203CA"/>
    <w:rsid w:val="004208D7"/>
    <w:rsid w:val="00420CA2"/>
    <w:rsid w:val="00421878"/>
    <w:rsid w:val="004228EE"/>
    <w:rsid w:val="00422BB1"/>
    <w:rsid w:val="00422D87"/>
    <w:rsid w:val="0042325A"/>
    <w:rsid w:val="0042336F"/>
    <w:rsid w:val="004234EF"/>
    <w:rsid w:val="00423A24"/>
    <w:rsid w:val="00423BA4"/>
    <w:rsid w:val="004241E4"/>
    <w:rsid w:val="004242F2"/>
    <w:rsid w:val="00424344"/>
    <w:rsid w:val="004249DB"/>
    <w:rsid w:val="00424A1E"/>
    <w:rsid w:val="00424C76"/>
    <w:rsid w:val="00424FE3"/>
    <w:rsid w:val="00425554"/>
    <w:rsid w:val="0042556A"/>
    <w:rsid w:val="00425B68"/>
    <w:rsid w:val="00425C9F"/>
    <w:rsid w:val="00426144"/>
    <w:rsid w:val="004263C6"/>
    <w:rsid w:val="004268A5"/>
    <w:rsid w:val="004300E1"/>
    <w:rsid w:val="00430294"/>
    <w:rsid w:val="004309CF"/>
    <w:rsid w:val="00430B44"/>
    <w:rsid w:val="00430C10"/>
    <w:rsid w:val="00430F27"/>
    <w:rsid w:val="0043104B"/>
    <w:rsid w:val="0043181D"/>
    <w:rsid w:val="00431D44"/>
    <w:rsid w:val="004328E4"/>
    <w:rsid w:val="00432920"/>
    <w:rsid w:val="00432937"/>
    <w:rsid w:val="00433460"/>
    <w:rsid w:val="004335A5"/>
    <w:rsid w:val="00433D87"/>
    <w:rsid w:val="00433ECE"/>
    <w:rsid w:val="0043416C"/>
    <w:rsid w:val="004347A7"/>
    <w:rsid w:val="00434800"/>
    <w:rsid w:val="00434C56"/>
    <w:rsid w:val="00434EB0"/>
    <w:rsid w:val="00434F9C"/>
    <w:rsid w:val="0043533E"/>
    <w:rsid w:val="00435F09"/>
    <w:rsid w:val="00435F6F"/>
    <w:rsid w:val="00436548"/>
    <w:rsid w:val="00436C20"/>
    <w:rsid w:val="00436C79"/>
    <w:rsid w:val="004373A1"/>
    <w:rsid w:val="00440392"/>
    <w:rsid w:val="00440502"/>
    <w:rsid w:val="004405DD"/>
    <w:rsid w:val="00440818"/>
    <w:rsid w:val="00440D0A"/>
    <w:rsid w:val="004412E5"/>
    <w:rsid w:val="004415FC"/>
    <w:rsid w:val="004417DE"/>
    <w:rsid w:val="00441989"/>
    <w:rsid w:val="00442112"/>
    <w:rsid w:val="00442822"/>
    <w:rsid w:val="004437F3"/>
    <w:rsid w:val="00443A3A"/>
    <w:rsid w:val="00443AE0"/>
    <w:rsid w:val="00443D1A"/>
    <w:rsid w:val="004442B1"/>
    <w:rsid w:val="004443FB"/>
    <w:rsid w:val="0044476D"/>
    <w:rsid w:val="00444DD5"/>
    <w:rsid w:val="00445064"/>
    <w:rsid w:val="00445172"/>
    <w:rsid w:val="00446091"/>
    <w:rsid w:val="00447603"/>
    <w:rsid w:val="00447999"/>
    <w:rsid w:val="00447A71"/>
    <w:rsid w:val="00447AC5"/>
    <w:rsid w:val="00447CFA"/>
    <w:rsid w:val="00447EAD"/>
    <w:rsid w:val="004504A7"/>
    <w:rsid w:val="00450899"/>
    <w:rsid w:val="004508B7"/>
    <w:rsid w:val="00450FE9"/>
    <w:rsid w:val="00451A7B"/>
    <w:rsid w:val="004522A6"/>
    <w:rsid w:val="004529D7"/>
    <w:rsid w:val="00452A11"/>
    <w:rsid w:val="00453083"/>
    <w:rsid w:val="00453BF4"/>
    <w:rsid w:val="00454571"/>
    <w:rsid w:val="004546A2"/>
    <w:rsid w:val="0045475C"/>
    <w:rsid w:val="00455759"/>
    <w:rsid w:val="00455AFA"/>
    <w:rsid w:val="00456092"/>
    <w:rsid w:val="00456308"/>
    <w:rsid w:val="004566BE"/>
    <w:rsid w:val="0045682E"/>
    <w:rsid w:val="004568B4"/>
    <w:rsid w:val="004569ED"/>
    <w:rsid w:val="00457142"/>
    <w:rsid w:val="00457170"/>
    <w:rsid w:val="004573A4"/>
    <w:rsid w:val="00457493"/>
    <w:rsid w:val="00457540"/>
    <w:rsid w:val="00457958"/>
    <w:rsid w:val="00460348"/>
    <w:rsid w:val="0046115F"/>
    <w:rsid w:val="0046148D"/>
    <w:rsid w:val="00461535"/>
    <w:rsid w:val="00461736"/>
    <w:rsid w:val="004627CF"/>
    <w:rsid w:val="00462977"/>
    <w:rsid w:val="00462DBA"/>
    <w:rsid w:val="004635B7"/>
    <w:rsid w:val="00464027"/>
    <w:rsid w:val="004641C0"/>
    <w:rsid w:val="004641CB"/>
    <w:rsid w:val="0046443B"/>
    <w:rsid w:val="00464550"/>
    <w:rsid w:val="00464A50"/>
    <w:rsid w:val="00464BC7"/>
    <w:rsid w:val="004651B8"/>
    <w:rsid w:val="00465230"/>
    <w:rsid w:val="00465580"/>
    <w:rsid w:val="00465972"/>
    <w:rsid w:val="00465E7E"/>
    <w:rsid w:val="00466BB5"/>
    <w:rsid w:val="004672E8"/>
    <w:rsid w:val="004677E9"/>
    <w:rsid w:val="00470535"/>
    <w:rsid w:val="00471183"/>
    <w:rsid w:val="0047123C"/>
    <w:rsid w:val="004714F6"/>
    <w:rsid w:val="0047289C"/>
    <w:rsid w:val="00472B98"/>
    <w:rsid w:val="00472E22"/>
    <w:rsid w:val="00472F67"/>
    <w:rsid w:val="00473524"/>
    <w:rsid w:val="004738E2"/>
    <w:rsid w:val="004739A1"/>
    <w:rsid w:val="0047430D"/>
    <w:rsid w:val="00474B14"/>
    <w:rsid w:val="00474C09"/>
    <w:rsid w:val="00474C56"/>
    <w:rsid w:val="00474FDF"/>
    <w:rsid w:val="004754EB"/>
    <w:rsid w:val="00475688"/>
    <w:rsid w:val="004758F6"/>
    <w:rsid w:val="004759E3"/>
    <w:rsid w:val="00475BBC"/>
    <w:rsid w:val="00475C51"/>
    <w:rsid w:val="00476161"/>
    <w:rsid w:val="00476658"/>
    <w:rsid w:val="00476E34"/>
    <w:rsid w:val="00476EE1"/>
    <w:rsid w:val="00477163"/>
    <w:rsid w:val="0047722C"/>
    <w:rsid w:val="0047732D"/>
    <w:rsid w:val="0047740B"/>
    <w:rsid w:val="00477B0E"/>
    <w:rsid w:val="004803E6"/>
    <w:rsid w:val="004812D1"/>
    <w:rsid w:val="00481688"/>
    <w:rsid w:val="00481E86"/>
    <w:rsid w:val="004820E0"/>
    <w:rsid w:val="004822CA"/>
    <w:rsid w:val="00482A2C"/>
    <w:rsid w:val="00483D4C"/>
    <w:rsid w:val="00483F95"/>
    <w:rsid w:val="00484D20"/>
    <w:rsid w:val="00484D3C"/>
    <w:rsid w:val="00484F66"/>
    <w:rsid w:val="004850C1"/>
    <w:rsid w:val="00486F54"/>
    <w:rsid w:val="004870A9"/>
    <w:rsid w:val="004871B4"/>
    <w:rsid w:val="004876DD"/>
    <w:rsid w:val="00490D48"/>
    <w:rsid w:val="00490DB9"/>
    <w:rsid w:val="0049178A"/>
    <w:rsid w:val="00491C1D"/>
    <w:rsid w:val="00491DF1"/>
    <w:rsid w:val="00491F6B"/>
    <w:rsid w:val="00492535"/>
    <w:rsid w:val="00492541"/>
    <w:rsid w:val="00493435"/>
    <w:rsid w:val="00493ABF"/>
    <w:rsid w:val="004945AC"/>
    <w:rsid w:val="004945E7"/>
    <w:rsid w:val="00494B28"/>
    <w:rsid w:val="00494DE1"/>
    <w:rsid w:val="00495FFF"/>
    <w:rsid w:val="004963C2"/>
    <w:rsid w:val="00496A9F"/>
    <w:rsid w:val="00497358"/>
    <w:rsid w:val="00497447"/>
    <w:rsid w:val="00497753"/>
    <w:rsid w:val="00497F64"/>
    <w:rsid w:val="00497FA5"/>
    <w:rsid w:val="004A0193"/>
    <w:rsid w:val="004A03B3"/>
    <w:rsid w:val="004A04D5"/>
    <w:rsid w:val="004A1247"/>
    <w:rsid w:val="004A1B07"/>
    <w:rsid w:val="004A2E04"/>
    <w:rsid w:val="004A310C"/>
    <w:rsid w:val="004A3226"/>
    <w:rsid w:val="004A399F"/>
    <w:rsid w:val="004A3AB0"/>
    <w:rsid w:val="004A4070"/>
    <w:rsid w:val="004A4096"/>
    <w:rsid w:val="004A4692"/>
    <w:rsid w:val="004A5C5E"/>
    <w:rsid w:val="004A61A8"/>
    <w:rsid w:val="004A65D4"/>
    <w:rsid w:val="004A669F"/>
    <w:rsid w:val="004A6842"/>
    <w:rsid w:val="004A718C"/>
    <w:rsid w:val="004A7732"/>
    <w:rsid w:val="004A7BB1"/>
    <w:rsid w:val="004A7DBE"/>
    <w:rsid w:val="004A7F94"/>
    <w:rsid w:val="004B0804"/>
    <w:rsid w:val="004B08AC"/>
    <w:rsid w:val="004B0D88"/>
    <w:rsid w:val="004B0E48"/>
    <w:rsid w:val="004B1442"/>
    <w:rsid w:val="004B1A0E"/>
    <w:rsid w:val="004B206E"/>
    <w:rsid w:val="004B229E"/>
    <w:rsid w:val="004B29C2"/>
    <w:rsid w:val="004B29E1"/>
    <w:rsid w:val="004B2C52"/>
    <w:rsid w:val="004B2F46"/>
    <w:rsid w:val="004B3207"/>
    <w:rsid w:val="004B395D"/>
    <w:rsid w:val="004B3C1E"/>
    <w:rsid w:val="004B4194"/>
    <w:rsid w:val="004B457E"/>
    <w:rsid w:val="004B55F0"/>
    <w:rsid w:val="004B56C3"/>
    <w:rsid w:val="004B613C"/>
    <w:rsid w:val="004B622B"/>
    <w:rsid w:val="004B6928"/>
    <w:rsid w:val="004B7016"/>
    <w:rsid w:val="004B7666"/>
    <w:rsid w:val="004B79FA"/>
    <w:rsid w:val="004B7D94"/>
    <w:rsid w:val="004C0430"/>
    <w:rsid w:val="004C0FB7"/>
    <w:rsid w:val="004C104B"/>
    <w:rsid w:val="004C164A"/>
    <w:rsid w:val="004C2E14"/>
    <w:rsid w:val="004C2FE3"/>
    <w:rsid w:val="004C305A"/>
    <w:rsid w:val="004C35EF"/>
    <w:rsid w:val="004C3BCF"/>
    <w:rsid w:val="004C44E9"/>
    <w:rsid w:val="004C46EF"/>
    <w:rsid w:val="004C4829"/>
    <w:rsid w:val="004C4D30"/>
    <w:rsid w:val="004C4EAB"/>
    <w:rsid w:val="004C5570"/>
    <w:rsid w:val="004C5BC8"/>
    <w:rsid w:val="004C5BD0"/>
    <w:rsid w:val="004C5D52"/>
    <w:rsid w:val="004C5DB0"/>
    <w:rsid w:val="004C5F50"/>
    <w:rsid w:val="004C6001"/>
    <w:rsid w:val="004C6065"/>
    <w:rsid w:val="004C60D8"/>
    <w:rsid w:val="004C62EE"/>
    <w:rsid w:val="004C6A0D"/>
    <w:rsid w:val="004C7290"/>
    <w:rsid w:val="004D0121"/>
    <w:rsid w:val="004D1000"/>
    <w:rsid w:val="004D1D27"/>
    <w:rsid w:val="004D2417"/>
    <w:rsid w:val="004D2EC3"/>
    <w:rsid w:val="004D2FF6"/>
    <w:rsid w:val="004D3FD6"/>
    <w:rsid w:val="004D405F"/>
    <w:rsid w:val="004D55CA"/>
    <w:rsid w:val="004D595C"/>
    <w:rsid w:val="004D5A27"/>
    <w:rsid w:val="004D5F0E"/>
    <w:rsid w:val="004D65C9"/>
    <w:rsid w:val="004D6626"/>
    <w:rsid w:val="004D66C4"/>
    <w:rsid w:val="004D6758"/>
    <w:rsid w:val="004D6926"/>
    <w:rsid w:val="004D7B1A"/>
    <w:rsid w:val="004E0335"/>
    <w:rsid w:val="004E0830"/>
    <w:rsid w:val="004E0C0B"/>
    <w:rsid w:val="004E1080"/>
    <w:rsid w:val="004E1408"/>
    <w:rsid w:val="004E169C"/>
    <w:rsid w:val="004E1BF0"/>
    <w:rsid w:val="004E1CFC"/>
    <w:rsid w:val="004E1E6A"/>
    <w:rsid w:val="004E1FDC"/>
    <w:rsid w:val="004E212B"/>
    <w:rsid w:val="004E28E1"/>
    <w:rsid w:val="004E293F"/>
    <w:rsid w:val="004E2B01"/>
    <w:rsid w:val="004E34C7"/>
    <w:rsid w:val="004E356A"/>
    <w:rsid w:val="004E375D"/>
    <w:rsid w:val="004E3850"/>
    <w:rsid w:val="004E3CF2"/>
    <w:rsid w:val="004E3FC1"/>
    <w:rsid w:val="004E58EA"/>
    <w:rsid w:val="004E596E"/>
    <w:rsid w:val="004E5F65"/>
    <w:rsid w:val="004E690A"/>
    <w:rsid w:val="004E6C7A"/>
    <w:rsid w:val="004E7615"/>
    <w:rsid w:val="004E79CE"/>
    <w:rsid w:val="004E7CDF"/>
    <w:rsid w:val="004F071F"/>
    <w:rsid w:val="004F078C"/>
    <w:rsid w:val="004F1276"/>
    <w:rsid w:val="004F1324"/>
    <w:rsid w:val="004F1C7D"/>
    <w:rsid w:val="004F1D24"/>
    <w:rsid w:val="004F21D2"/>
    <w:rsid w:val="004F2641"/>
    <w:rsid w:val="004F27F3"/>
    <w:rsid w:val="004F29B9"/>
    <w:rsid w:val="004F2B8E"/>
    <w:rsid w:val="004F2C85"/>
    <w:rsid w:val="004F32BF"/>
    <w:rsid w:val="004F3E6A"/>
    <w:rsid w:val="004F469D"/>
    <w:rsid w:val="004F4C09"/>
    <w:rsid w:val="004F5346"/>
    <w:rsid w:val="004F5C09"/>
    <w:rsid w:val="004F5E4E"/>
    <w:rsid w:val="004F63CC"/>
    <w:rsid w:val="004F6678"/>
    <w:rsid w:val="004F6B28"/>
    <w:rsid w:val="004F6C65"/>
    <w:rsid w:val="004F6D2E"/>
    <w:rsid w:val="004F7390"/>
    <w:rsid w:val="004F748C"/>
    <w:rsid w:val="004F7F0F"/>
    <w:rsid w:val="004F7FBC"/>
    <w:rsid w:val="005001AE"/>
    <w:rsid w:val="0050042F"/>
    <w:rsid w:val="005007E7"/>
    <w:rsid w:val="005012FC"/>
    <w:rsid w:val="00501EBE"/>
    <w:rsid w:val="005022A2"/>
    <w:rsid w:val="005025D0"/>
    <w:rsid w:val="00502653"/>
    <w:rsid w:val="00503551"/>
    <w:rsid w:val="00503E57"/>
    <w:rsid w:val="00503F38"/>
    <w:rsid w:val="005043FC"/>
    <w:rsid w:val="005044DD"/>
    <w:rsid w:val="00504A55"/>
    <w:rsid w:val="005059A4"/>
    <w:rsid w:val="00505F08"/>
    <w:rsid w:val="0050671D"/>
    <w:rsid w:val="0050672C"/>
    <w:rsid w:val="00506C4C"/>
    <w:rsid w:val="0050700E"/>
    <w:rsid w:val="005079D7"/>
    <w:rsid w:val="00507B2A"/>
    <w:rsid w:val="00510432"/>
    <w:rsid w:val="00510591"/>
    <w:rsid w:val="00510A22"/>
    <w:rsid w:val="00510CA6"/>
    <w:rsid w:val="00510D8A"/>
    <w:rsid w:val="00511379"/>
    <w:rsid w:val="00511662"/>
    <w:rsid w:val="00511E6F"/>
    <w:rsid w:val="00511EBC"/>
    <w:rsid w:val="005125D5"/>
    <w:rsid w:val="00512D51"/>
    <w:rsid w:val="00512E95"/>
    <w:rsid w:val="00514674"/>
    <w:rsid w:val="0051477F"/>
    <w:rsid w:val="00514C46"/>
    <w:rsid w:val="00514ECF"/>
    <w:rsid w:val="00515A6D"/>
    <w:rsid w:val="00515BCF"/>
    <w:rsid w:val="00516083"/>
    <w:rsid w:val="0051635A"/>
    <w:rsid w:val="0051646E"/>
    <w:rsid w:val="005166C3"/>
    <w:rsid w:val="00516EA5"/>
    <w:rsid w:val="005176E5"/>
    <w:rsid w:val="005179DA"/>
    <w:rsid w:val="00517E2A"/>
    <w:rsid w:val="00520C1C"/>
    <w:rsid w:val="00520FD7"/>
    <w:rsid w:val="00521439"/>
    <w:rsid w:val="00522133"/>
    <w:rsid w:val="0052292E"/>
    <w:rsid w:val="0052373B"/>
    <w:rsid w:val="00523C0A"/>
    <w:rsid w:val="00523E00"/>
    <w:rsid w:val="0052439F"/>
    <w:rsid w:val="005243EB"/>
    <w:rsid w:val="00524707"/>
    <w:rsid w:val="00524A8E"/>
    <w:rsid w:val="00524C31"/>
    <w:rsid w:val="00524D2D"/>
    <w:rsid w:val="00525121"/>
    <w:rsid w:val="00525606"/>
    <w:rsid w:val="00525789"/>
    <w:rsid w:val="00525890"/>
    <w:rsid w:val="00526452"/>
    <w:rsid w:val="00526816"/>
    <w:rsid w:val="00526BBF"/>
    <w:rsid w:val="00526F09"/>
    <w:rsid w:val="00527E3A"/>
    <w:rsid w:val="00527F4F"/>
    <w:rsid w:val="00530512"/>
    <w:rsid w:val="005305B5"/>
    <w:rsid w:val="00530799"/>
    <w:rsid w:val="0053109F"/>
    <w:rsid w:val="005311E8"/>
    <w:rsid w:val="005312C4"/>
    <w:rsid w:val="0053133A"/>
    <w:rsid w:val="005313C0"/>
    <w:rsid w:val="00531822"/>
    <w:rsid w:val="00531EE2"/>
    <w:rsid w:val="005326D0"/>
    <w:rsid w:val="005327CB"/>
    <w:rsid w:val="00532800"/>
    <w:rsid w:val="00532A41"/>
    <w:rsid w:val="00532A80"/>
    <w:rsid w:val="00532FDA"/>
    <w:rsid w:val="00533D55"/>
    <w:rsid w:val="00533EE8"/>
    <w:rsid w:val="005340B6"/>
    <w:rsid w:val="0053417D"/>
    <w:rsid w:val="00534246"/>
    <w:rsid w:val="00534793"/>
    <w:rsid w:val="0053490C"/>
    <w:rsid w:val="00535585"/>
    <w:rsid w:val="00536A58"/>
    <w:rsid w:val="00536AB4"/>
    <w:rsid w:val="005370D8"/>
    <w:rsid w:val="00537127"/>
    <w:rsid w:val="0053764B"/>
    <w:rsid w:val="00537DF9"/>
    <w:rsid w:val="0054069F"/>
    <w:rsid w:val="00540A8D"/>
    <w:rsid w:val="00541307"/>
    <w:rsid w:val="00541B60"/>
    <w:rsid w:val="00541DB8"/>
    <w:rsid w:val="00541F9A"/>
    <w:rsid w:val="00542599"/>
    <w:rsid w:val="00542EB4"/>
    <w:rsid w:val="005448B9"/>
    <w:rsid w:val="00544C85"/>
    <w:rsid w:val="00545136"/>
    <w:rsid w:val="005452C1"/>
    <w:rsid w:val="00545551"/>
    <w:rsid w:val="00545B42"/>
    <w:rsid w:val="0054612B"/>
    <w:rsid w:val="0054752D"/>
    <w:rsid w:val="00547544"/>
    <w:rsid w:val="00547753"/>
    <w:rsid w:val="005479F5"/>
    <w:rsid w:val="00547B41"/>
    <w:rsid w:val="00547D90"/>
    <w:rsid w:val="00550134"/>
    <w:rsid w:val="005508EF"/>
    <w:rsid w:val="005510E3"/>
    <w:rsid w:val="0055135B"/>
    <w:rsid w:val="0055173F"/>
    <w:rsid w:val="00551AE8"/>
    <w:rsid w:val="00551D57"/>
    <w:rsid w:val="00551D6B"/>
    <w:rsid w:val="0055214D"/>
    <w:rsid w:val="00552630"/>
    <w:rsid w:val="00552E11"/>
    <w:rsid w:val="00552FEB"/>
    <w:rsid w:val="0055326B"/>
    <w:rsid w:val="005532A3"/>
    <w:rsid w:val="00553395"/>
    <w:rsid w:val="00553567"/>
    <w:rsid w:val="005538EF"/>
    <w:rsid w:val="00553C15"/>
    <w:rsid w:val="0055400F"/>
    <w:rsid w:val="005548DD"/>
    <w:rsid w:val="00555500"/>
    <w:rsid w:val="00555CA0"/>
    <w:rsid w:val="00555DA5"/>
    <w:rsid w:val="00555FC3"/>
    <w:rsid w:val="00556027"/>
    <w:rsid w:val="005562ED"/>
    <w:rsid w:val="005564D4"/>
    <w:rsid w:val="00556506"/>
    <w:rsid w:val="00556539"/>
    <w:rsid w:val="0055659A"/>
    <w:rsid w:val="00556731"/>
    <w:rsid w:val="00557401"/>
    <w:rsid w:val="0055747C"/>
    <w:rsid w:val="00557D41"/>
    <w:rsid w:val="00557F5B"/>
    <w:rsid w:val="00557FE2"/>
    <w:rsid w:val="005601CB"/>
    <w:rsid w:val="00560729"/>
    <w:rsid w:val="00560A79"/>
    <w:rsid w:val="00560A86"/>
    <w:rsid w:val="005612F2"/>
    <w:rsid w:val="00561C64"/>
    <w:rsid w:val="0056218D"/>
    <w:rsid w:val="00562DB4"/>
    <w:rsid w:val="00562EAD"/>
    <w:rsid w:val="00563222"/>
    <w:rsid w:val="00563AEB"/>
    <w:rsid w:val="005645B3"/>
    <w:rsid w:val="00564775"/>
    <w:rsid w:val="00565B8D"/>
    <w:rsid w:val="005664E3"/>
    <w:rsid w:val="00566579"/>
    <w:rsid w:val="00566C28"/>
    <w:rsid w:val="00566EBC"/>
    <w:rsid w:val="00567500"/>
    <w:rsid w:val="0056753D"/>
    <w:rsid w:val="00567811"/>
    <w:rsid w:val="00567CDA"/>
    <w:rsid w:val="00570163"/>
    <w:rsid w:val="005701B3"/>
    <w:rsid w:val="005702BD"/>
    <w:rsid w:val="005704B1"/>
    <w:rsid w:val="00571C79"/>
    <w:rsid w:val="00571D9F"/>
    <w:rsid w:val="00572749"/>
    <w:rsid w:val="0057371A"/>
    <w:rsid w:val="005739F4"/>
    <w:rsid w:val="00573A7F"/>
    <w:rsid w:val="00573EE1"/>
    <w:rsid w:val="0057406C"/>
    <w:rsid w:val="0057482E"/>
    <w:rsid w:val="00574877"/>
    <w:rsid w:val="00575051"/>
    <w:rsid w:val="005753FB"/>
    <w:rsid w:val="005755B4"/>
    <w:rsid w:val="005758E3"/>
    <w:rsid w:val="00576740"/>
    <w:rsid w:val="00576D35"/>
    <w:rsid w:val="005775D8"/>
    <w:rsid w:val="005777C8"/>
    <w:rsid w:val="00577AD5"/>
    <w:rsid w:val="00577F23"/>
    <w:rsid w:val="00580A72"/>
    <w:rsid w:val="0058107B"/>
    <w:rsid w:val="0058149F"/>
    <w:rsid w:val="0058161B"/>
    <w:rsid w:val="005816A8"/>
    <w:rsid w:val="005817A5"/>
    <w:rsid w:val="00581DF3"/>
    <w:rsid w:val="00582846"/>
    <w:rsid w:val="00582853"/>
    <w:rsid w:val="00582893"/>
    <w:rsid w:val="00582C76"/>
    <w:rsid w:val="005833A3"/>
    <w:rsid w:val="0058345A"/>
    <w:rsid w:val="00583A87"/>
    <w:rsid w:val="0058403B"/>
    <w:rsid w:val="005842BA"/>
    <w:rsid w:val="005843E6"/>
    <w:rsid w:val="005845FA"/>
    <w:rsid w:val="00584AC0"/>
    <w:rsid w:val="00584AC1"/>
    <w:rsid w:val="00584E3E"/>
    <w:rsid w:val="005851E3"/>
    <w:rsid w:val="00585C21"/>
    <w:rsid w:val="005874CD"/>
    <w:rsid w:val="00587597"/>
    <w:rsid w:val="00590D18"/>
    <w:rsid w:val="00590EDD"/>
    <w:rsid w:val="00590F06"/>
    <w:rsid w:val="005918C1"/>
    <w:rsid w:val="00591988"/>
    <w:rsid w:val="00592135"/>
    <w:rsid w:val="005921C8"/>
    <w:rsid w:val="005922A3"/>
    <w:rsid w:val="0059239E"/>
    <w:rsid w:val="005924DB"/>
    <w:rsid w:val="005929E8"/>
    <w:rsid w:val="00592A2E"/>
    <w:rsid w:val="00592EB3"/>
    <w:rsid w:val="00593155"/>
    <w:rsid w:val="0059337B"/>
    <w:rsid w:val="0059353B"/>
    <w:rsid w:val="0059361C"/>
    <w:rsid w:val="005938DB"/>
    <w:rsid w:val="005949FB"/>
    <w:rsid w:val="00594C1A"/>
    <w:rsid w:val="00595106"/>
    <w:rsid w:val="005951B8"/>
    <w:rsid w:val="00595692"/>
    <w:rsid w:val="00595B7B"/>
    <w:rsid w:val="00595DBD"/>
    <w:rsid w:val="00596020"/>
    <w:rsid w:val="00596112"/>
    <w:rsid w:val="005962BA"/>
    <w:rsid w:val="0059632F"/>
    <w:rsid w:val="00596458"/>
    <w:rsid w:val="00596491"/>
    <w:rsid w:val="00597799"/>
    <w:rsid w:val="005977F9"/>
    <w:rsid w:val="00597A9B"/>
    <w:rsid w:val="00597BA8"/>
    <w:rsid w:val="005A01E7"/>
    <w:rsid w:val="005A02C8"/>
    <w:rsid w:val="005A09E5"/>
    <w:rsid w:val="005A0C9A"/>
    <w:rsid w:val="005A1473"/>
    <w:rsid w:val="005A19FF"/>
    <w:rsid w:val="005A2074"/>
    <w:rsid w:val="005A24AE"/>
    <w:rsid w:val="005A3394"/>
    <w:rsid w:val="005A403A"/>
    <w:rsid w:val="005A43BE"/>
    <w:rsid w:val="005A4624"/>
    <w:rsid w:val="005A5011"/>
    <w:rsid w:val="005A508D"/>
    <w:rsid w:val="005A5A74"/>
    <w:rsid w:val="005A60BA"/>
    <w:rsid w:val="005A6A84"/>
    <w:rsid w:val="005A761B"/>
    <w:rsid w:val="005A7E90"/>
    <w:rsid w:val="005B096F"/>
    <w:rsid w:val="005B0987"/>
    <w:rsid w:val="005B0FB5"/>
    <w:rsid w:val="005B1191"/>
    <w:rsid w:val="005B1205"/>
    <w:rsid w:val="005B1D3B"/>
    <w:rsid w:val="005B2088"/>
    <w:rsid w:val="005B2466"/>
    <w:rsid w:val="005B2BBB"/>
    <w:rsid w:val="005B2BF5"/>
    <w:rsid w:val="005B2CB1"/>
    <w:rsid w:val="005B2F62"/>
    <w:rsid w:val="005B2FD3"/>
    <w:rsid w:val="005B3012"/>
    <w:rsid w:val="005B3436"/>
    <w:rsid w:val="005B40C5"/>
    <w:rsid w:val="005B4112"/>
    <w:rsid w:val="005B41B3"/>
    <w:rsid w:val="005B4289"/>
    <w:rsid w:val="005B5926"/>
    <w:rsid w:val="005B5A74"/>
    <w:rsid w:val="005B5DBE"/>
    <w:rsid w:val="005B635F"/>
    <w:rsid w:val="005B66DA"/>
    <w:rsid w:val="005B6927"/>
    <w:rsid w:val="005B698D"/>
    <w:rsid w:val="005B6B33"/>
    <w:rsid w:val="005B6B72"/>
    <w:rsid w:val="005B6BFD"/>
    <w:rsid w:val="005B7331"/>
    <w:rsid w:val="005B75B6"/>
    <w:rsid w:val="005B7815"/>
    <w:rsid w:val="005B7F6E"/>
    <w:rsid w:val="005B7F7C"/>
    <w:rsid w:val="005C0BC8"/>
    <w:rsid w:val="005C12AC"/>
    <w:rsid w:val="005C1C90"/>
    <w:rsid w:val="005C1CEF"/>
    <w:rsid w:val="005C3964"/>
    <w:rsid w:val="005C428A"/>
    <w:rsid w:val="005C4330"/>
    <w:rsid w:val="005C4787"/>
    <w:rsid w:val="005C5113"/>
    <w:rsid w:val="005C54B8"/>
    <w:rsid w:val="005C557C"/>
    <w:rsid w:val="005C56B7"/>
    <w:rsid w:val="005C5CDF"/>
    <w:rsid w:val="005C5E1F"/>
    <w:rsid w:val="005C677E"/>
    <w:rsid w:val="005C6CD0"/>
    <w:rsid w:val="005C7072"/>
    <w:rsid w:val="005C785E"/>
    <w:rsid w:val="005C78D5"/>
    <w:rsid w:val="005C7FE2"/>
    <w:rsid w:val="005D00B6"/>
    <w:rsid w:val="005D0B47"/>
    <w:rsid w:val="005D101F"/>
    <w:rsid w:val="005D1247"/>
    <w:rsid w:val="005D169A"/>
    <w:rsid w:val="005D1D60"/>
    <w:rsid w:val="005D205D"/>
    <w:rsid w:val="005D2112"/>
    <w:rsid w:val="005D28E2"/>
    <w:rsid w:val="005D2F54"/>
    <w:rsid w:val="005D33D2"/>
    <w:rsid w:val="005D353D"/>
    <w:rsid w:val="005D3FD5"/>
    <w:rsid w:val="005D42D9"/>
    <w:rsid w:val="005D5402"/>
    <w:rsid w:val="005D593D"/>
    <w:rsid w:val="005D63A5"/>
    <w:rsid w:val="005D661A"/>
    <w:rsid w:val="005D68ED"/>
    <w:rsid w:val="005D69A4"/>
    <w:rsid w:val="005D79B5"/>
    <w:rsid w:val="005D7BDA"/>
    <w:rsid w:val="005E0220"/>
    <w:rsid w:val="005E0A1F"/>
    <w:rsid w:val="005E0DEA"/>
    <w:rsid w:val="005E0ECD"/>
    <w:rsid w:val="005E1465"/>
    <w:rsid w:val="005E1667"/>
    <w:rsid w:val="005E17B3"/>
    <w:rsid w:val="005E1982"/>
    <w:rsid w:val="005E1BB5"/>
    <w:rsid w:val="005E1BD6"/>
    <w:rsid w:val="005E20D0"/>
    <w:rsid w:val="005E2A79"/>
    <w:rsid w:val="005E2D15"/>
    <w:rsid w:val="005E2EDB"/>
    <w:rsid w:val="005E2FB1"/>
    <w:rsid w:val="005E36ED"/>
    <w:rsid w:val="005E3850"/>
    <w:rsid w:val="005E395E"/>
    <w:rsid w:val="005E3EB4"/>
    <w:rsid w:val="005E40C8"/>
    <w:rsid w:val="005E43DF"/>
    <w:rsid w:val="005E48DE"/>
    <w:rsid w:val="005E566F"/>
    <w:rsid w:val="005E63D3"/>
    <w:rsid w:val="005E64AF"/>
    <w:rsid w:val="005E6BE9"/>
    <w:rsid w:val="005E71A5"/>
    <w:rsid w:val="005E777B"/>
    <w:rsid w:val="005F03D5"/>
    <w:rsid w:val="005F0860"/>
    <w:rsid w:val="005F14A7"/>
    <w:rsid w:val="005F1B20"/>
    <w:rsid w:val="005F1E18"/>
    <w:rsid w:val="005F27E0"/>
    <w:rsid w:val="005F29C0"/>
    <w:rsid w:val="005F2A66"/>
    <w:rsid w:val="005F2B32"/>
    <w:rsid w:val="005F3176"/>
    <w:rsid w:val="005F33B0"/>
    <w:rsid w:val="005F3549"/>
    <w:rsid w:val="005F3D8C"/>
    <w:rsid w:val="005F4D70"/>
    <w:rsid w:val="005F4FC5"/>
    <w:rsid w:val="005F54B4"/>
    <w:rsid w:val="005F5576"/>
    <w:rsid w:val="005F5A18"/>
    <w:rsid w:val="005F5A4E"/>
    <w:rsid w:val="005F5A6F"/>
    <w:rsid w:val="005F5C0D"/>
    <w:rsid w:val="005F5C12"/>
    <w:rsid w:val="005F5C6D"/>
    <w:rsid w:val="005F5E8E"/>
    <w:rsid w:val="005F60E6"/>
    <w:rsid w:val="005F61DD"/>
    <w:rsid w:val="005F67D9"/>
    <w:rsid w:val="005F6B33"/>
    <w:rsid w:val="005F73D2"/>
    <w:rsid w:val="005F764A"/>
    <w:rsid w:val="0060008E"/>
    <w:rsid w:val="006005C1"/>
    <w:rsid w:val="006010C3"/>
    <w:rsid w:val="006011A0"/>
    <w:rsid w:val="00601E00"/>
    <w:rsid w:val="00602A78"/>
    <w:rsid w:val="00602BCA"/>
    <w:rsid w:val="0060305F"/>
    <w:rsid w:val="00603286"/>
    <w:rsid w:val="006034C7"/>
    <w:rsid w:val="00603902"/>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C10"/>
    <w:rsid w:val="0061069F"/>
    <w:rsid w:val="00611BA6"/>
    <w:rsid w:val="00612D19"/>
    <w:rsid w:val="0061330F"/>
    <w:rsid w:val="00613641"/>
    <w:rsid w:val="006137BA"/>
    <w:rsid w:val="00614139"/>
    <w:rsid w:val="00614483"/>
    <w:rsid w:val="0061478C"/>
    <w:rsid w:val="0061516E"/>
    <w:rsid w:val="006151BC"/>
    <w:rsid w:val="00615204"/>
    <w:rsid w:val="006154F0"/>
    <w:rsid w:val="00615E77"/>
    <w:rsid w:val="006162A3"/>
    <w:rsid w:val="00616C7D"/>
    <w:rsid w:val="0061735F"/>
    <w:rsid w:val="0061756D"/>
    <w:rsid w:val="006205E1"/>
    <w:rsid w:val="006208EE"/>
    <w:rsid w:val="0062091D"/>
    <w:rsid w:val="00620B66"/>
    <w:rsid w:val="00620C44"/>
    <w:rsid w:val="0062100E"/>
    <w:rsid w:val="006211A5"/>
    <w:rsid w:val="006212DE"/>
    <w:rsid w:val="006219B9"/>
    <w:rsid w:val="006219BC"/>
    <w:rsid w:val="0062205D"/>
    <w:rsid w:val="00622789"/>
    <w:rsid w:val="006233C1"/>
    <w:rsid w:val="006235B4"/>
    <w:rsid w:val="00623DDC"/>
    <w:rsid w:val="00624649"/>
    <w:rsid w:val="006247C4"/>
    <w:rsid w:val="006249A7"/>
    <w:rsid w:val="006249D1"/>
    <w:rsid w:val="00624D41"/>
    <w:rsid w:val="00624D4F"/>
    <w:rsid w:val="00625713"/>
    <w:rsid w:val="00625722"/>
    <w:rsid w:val="00625B22"/>
    <w:rsid w:val="00625C53"/>
    <w:rsid w:val="00626112"/>
    <w:rsid w:val="00626415"/>
    <w:rsid w:val="0062675B"/>
    <w:rsid w:val="0062691F"/>
    <w:rsid w:val="00626BAD"/>
    <w:rsid w:val="0062768B"/>
    <w:rsid w:val="00627A49"/>
    <w:rsid w:val="00627D60"/>
    <w:rsid w:val="00627DA6"/>
    <w:rsid w:val="00627E30"/>
    <w:rsid w:val="006303FC"/>
    <w:rsid w:val="006309D1"/>
    <w:rsid w:val="0063145B"/>
    <w:rsid w:val="00631670"/>
    <w:rsid w:val="00631716"/>
    <w:rsid w:val="0063179F"/>
    <w:rsid w:val="006317A4"/>
    <w:rsid w:val="00631AEC"/>
    <w:rsid w:val="00632259"/>
    <w:rsid w:val="00632765"/>
    <w:rsid w:val="00632DD8"/>
    <w:rsid w:val="006338DA"/>
    <w:rsid w:val="0063390C"/>
    <w:rsid w:val="00633A5E"/>
    <w:rsid w:val="00633F74"/>
    <w:rsid w:val="006345D2"/>
    <w:rsid w:val="00635AEB"/>
    <w:rsid w:val="00636EF8"/>
    <w:rsid w:val="00636F4E"/>
    <w:rsid w:val="00636FEF"/>
    <w:rsid w:val="0063715F"/>
    <w:rsid w:val="006374D6"/>
    <w:rsid w:val="006377DB"/>
    <w:rsid w:val="00637B02"/>
    <w:rsid w:val="006405A2"/>
    <w:rsid w:val="00640699"/>
    <w:rsid w:val="0064096C"/>
    <w:rsid w:val="006417E0"/>
    <w:rsid w:val="006418D2"/>
    <w:rsid w:val="006419D4"/>
    <w:rsid w:val="00641E1E"/>
    <w:rsid w:val="00642453"/>
    <w:rsid w:val="006443B2"/>
    <w:rsid w:val="0064463A"/>
    <w:rsid w:val="00645210"/>
    <w:rsid w:val="00645933"/>
    <w:rsid w:val="006459B3"/>
    <w:rsid w:val="00645A61"/>
    <w:rsid w:val="00645BE6"/>
    <w:rsid w:val="00645D57"/>
    <w:rsid w:val="00646970"/>
    <w:rsid w:val="006469D8"/>
    <w:rsid w:val="00646FDD"/>
    <w:rsid w:val="00647901"/>
    <w:rsid w:val="00647AFA"/>
    <w:rsid w:val="00647C38"/>
    <w:rsid w:val="00647D39"/>
    <w:rsid w:val="006500A2"/>
    <w:rsid w:val="00650213"/>
    <w:rsid w:val="0065058D"/>
    <w:rsid w:val="00650C5E"/>
    <w:rsid w:val="00651147"/>
    <w:rsid w:val="0065131D"/>
    <w:rsid w:val="00651DC1"/>
    <w:rsid w:val="00651FD6"/>
    <w:rsid w:val="006520FF"/>
    <w:rsid w:val="0065234B"/>
    <w:rsid w:val="0065252C"/>
    <w:rsid w:val="00652602"/>
    <w:rsid w:val="00653AC4"/>
    <w:rsid w:val="00653C52"/>
    <w:rsid w:val="006540C1"/>
    <w:rsid w:val="00654185"/>
    <w:rsid w:val="00654642"/>
    <w:rsid w:val="006549FB"/>
    <w:rsid w:val="00654AF4"/>
    <w:rsid w:val="00654CB8"/>
    <w:rsid w:val="0065561D"/>
    <w:rsid w:val="00655B2B"/>
    <w:rsid w:val="00655E82"/>
    <w:rsid w:val="00655F61"/>
    <w:rsid w:val="006562F3"/>
    <w:rsid w:val="006565D3"/>
    <w:rsid w:val="00656F87"/>
    <w:rsid w:val="00656FC3"/>
    <w:rsid w:val="00657589"/>
    <w:rsid w:val="006575D2"/>
    <w:rsid w:val="00657693"/>
    <w:rsid w:val="00657861"/>
    <w:rsid w:val="00657B97"/>
    <w:rsid w:val="00660010"/>
    <w:rsid w:val="00660083"/>
    <w:rsid w:val="00660680"/>
    <w:rsid w:val="00660BFB"/>
    <w:rsid w:val="00660E23"/>
    <w:rsid w:val="00661739"/>
    <w:rsid w:val="0066294E"/>
    <w:rsid w:val="00662A70"/>
    <w:rsid w:val="00662AF9"/>
    <w:rsid w:val="00662C14"/>
    <w:rsid w:val="00662C97"/>
    <w:rsid w:val="00662CBB"/>
    <w:rsid w:val="00662F3E"/>
    <w:rsid w:val="0066398B"/>
    <w:rsid w:val="00663F53"/>
    <w:rsid w:val="006643BE"/>
    <w:rsid w:val="0066486A"/>
    <w:rsid w:val="00664D75"/>
    <w:rsid w:val="0066527F"/>
    <w:rsid w:val="00665A11"/>
    <w:rsid w:val="00666754"/>
    <w:rsid w:val="006667A4"/>
    <w:rsid w:val="00666AEA"/>
    <w:rsid w:val="00666CE9"/>
    <w:rsid w:val="006679EB"/>
    <w:rsid w:val="00667FB2"/>
    <w:rsid w:val="00670919"/>
    <w:rsid w:val="00670D2E"/>
    <w:rsid w:val="00671B21"/>
    <w:rsid w:val="006725B8"/>
    <w:rsid w:val="0067269F"/>
    <w:rsid w:val="006726CB"/>
    <w:rsid w:val="0067272F"/>
    <w:rsid w:val="00673BA4"/>
    <w:rsid w:val="006747DA"/>
    <w:rsid w:val="00674C5D"/>
    <w:rsid w:val="00674ED8"/>
    <w:rsid w:val="00675793"/>
    <w:rsid w:val="006758D7"/>
    <w:rsid w:val="00675C5E"/>
    <w:rsid w:val="0067654F"/>
    <w:rsid w:val="00676C25"/>
    <w:rsid w:val="00676CA5"/>
    <w:rsid w:val="00676F0B"/>
    <w:rsid w:val="006773D1"/>
    <w:rsid w:val="006775E5"/>
    <w:rsid w:val="006801BB"/>
    <w:rsid w:val="006802BE"/>
    <w:rsid w:val="006802E3"/>
    <w:rsid w:val="00680CC6"/>
    <w:rsid w:val="00681AD0"/>
    <w:rsid w:val="0068241B"/>
    <w:rsid w:val="00682827"/>
    <w:rsid w:val="00683889"/>
    <w:rsid w:val="006842A2"/>
    <w:rsid w:val="0068453F"/>
    <w:rsid w:val="006848BB"/>
    <w:rsid w:val="00685075"/>
    <w:rsid w:val="00685339"/>
    <w:rsid w:val="00685597"/>
    <w:rsid w:val="00686338"/>
    <w:rsid w:val="006872DA"/>
    <w:rsid w:val="0068731C"/>
    <w:rsid w:val="006875AD"/>
    <w:rsid w:val="006904AD"/>
    <w:rsid w:val="0069051E"/>
    <w:rsid w:val="006905F1"/>
    <w:rsid w:val="00691206"/>
    <w:rsid w:val="006912E6"/>
    <w:rsid w:val="006914E9"/>
    <w:rsid w:val="00691815"/>
    <w:rsid w:val="00691E51"/>
    <w:rsid w:val="00691EA5"/>
    <w:rsid w:val="006920CA"/>
    <w:rsid w:val="006927F0"/>
    <w:rsid w:val="00692C4E"/>
    <w:rsid w:val="00693315"/>
    <w:rsid w:val="006936DB"/>
    <w:rsid w:val="00693801"/>
    <w:rsid w:val="00693E39"/>
    <w:rsid w:val="006944B8"/>
    <w:rsid w:val="00694706"/>
    <w:rsid w:val="00694DCB"/>
    <w:rsid w:val="00694DF8"/>
    <w:rsid w:val="006956E0"/>
    <w:rsid w:val="00695D95"/>
    <w:rsid w:val="00695DDA"/>
    <w:rsid w:val="00696136"/>
    <w:rsid w:val="00696243"/>
    <w:rsid w:val="006962E6"/>
    <w:rsid w:val="0069632D"/>
    <w:rsid w:val="0069657D"/>
    <w:rsid w:val="00696910"/>
    <w:rsid w:val="00696989"/>
    <w:rsid w:val="00696A8E"/>
    <w:rsid w:val="00696C5C"/>
    <w:rsid w:val="00696FC4"/>
    <w:rsid w:val="0069703E"/>
    <w:rsid w:val="00697208"/>
    <w:rsid w:val="00697A32"/>
    <w:rsid w:val="006A06E3"/>
    <w:rsid w:val="006A06F7"/>
    <w:rsid w:val="006A0B03"/>
    <w:rsid w:val="006A0ECA"/>
    <w:rsid w:val="006A11F4"/>
    <w:rsid w:val="006A14A8"/>
    <w:rsid w:val="006A182D"/>
    <w:rsid w:val="006A1ADF"/>
    <w:rsid w:val="006A1C6F"/>
    <w:rsid w:val="006A23AC"/>
    <w:rsid w:val="006A2835"/>
    <w:rsid w:val="006A2C82"/>
    <w:rsid w:val="006A3A19"/>
    <w:rsid w:val="006A3B9E"/>
    <w:rsid w:val="006A3D6D"/>
    <w:rsid w:val="006A3D73"/>
    <w:rsid w:val="006A43EA"/>
    <w:rsid w:val="006A471A"/>
    <w:rsid w:val="006A5290"/>
    <w:rsid w:val="006A626F"/>
    <w:rsid w:val="006A6655"/>
    <w:rsid w:val="006A6C89"/>
    <w:rsid w:val="006A71B7"/>
    <w:rsid w:val="006A777A"/>
    <w:rsid w:val="006A77B9"/>
    <w:rsid w:val="006A7AE9"/>
    <w:rsid w:val="006A7BB0"/>
    <w:rsid w:val="006A7C9D"/>
    <w:rsid w:val="006B0264"/>
    <w:rsid w:val="006B15BD"/>
    <w:rsid w:val="006B1E59"/>
    <w:rsid w:val="006B2233"/>
    <w:rsid w:val="006B2995"/>
    <w:rsid w:val="006B2F13"/>
    <w:rsid w:val="006B3EFD"/>
    <w:rsid w:val="006B40C8"/>
    <w:rsid w:val="006B472A"/>
    <w:rsid w:val="006B4A2E"/>
    <w:rsid w:val="006B4BD5"/>
    <w:rsid w:val="006B5290"/>
    <w:rsid w:val="006B549F"/>
    <w:rsid w:val="006B65CB"/>
    <w:rsid w:val="006B6AFB"/>
    <w:rsid w:val="006B71C4"/>
    <w:rsid w:val="006B765D"/>
    <w:rsid w:val="006C0867"/>
    <w:rsid w:val="006C0FC0"/>
    <w:rsid w:val="006C12F3"/>
    <w:rsid w:val="006C170E"/>
    <w:rsid w:val="006C188D"/>
    <w:rsid w:val="006C1B78"/>
    <w:rsid w:val="006C215A"/>
    <w:rsid w:val="006C24C7"/>
    <w:rsid w:val="006C273C"/>
    <w:rsid w:val="006C33D0"/>
    <w:rsid w:val="006C374A"/>
    <w:rsid w:val="006C3A0F"/>
    <w:rsid w:val="006C43B2"/>
    <w:rsid w:val="006C479E"/>
    <w:rsid w:val="006C57FE"/>
    <w:rsid w:val="006C5AB5"/>
    <w:rsid w:val="006C609D"/>
    <w:rsid w:val="006C6E36"/>
    <w:rsid w:val="006C705E"/>
    <w:rsid w:val="006C7216"/>
    <w:rsid w:val="006C7266"/>
    <w:rsid w:val="006C795C"/>
    <w:rsid w:val="006D045E"/>
    <w:rsid w:val="006D0B6D"/>
    <w:rsid w:val="006D0F26"/>
    <w:rsid w:val="006D1549"/>
    <w:rsid w:val="006D19E8"/>
    <w:rsid w:val="006D1A5F"/>
    <w:rsid w:val="006D1E9C"/>
    <w:rsid w:val="006D27F9"/>
    <w:rsid w:val="006D29AD"/>
    <w:rsid w:val="006D2DE0"/>
    <w:rsid w:val="006D3315"/>
    <w:rsid w:val="006D381C"/>
    <w:rsid w:val="006D39EA"/>
    <w:rsid w:val="006D3CE0"/>
    <w:rsid w:val="006D4801"/>
    <w:rsid w:val="006D487E"/>
    <w:rsid w:val="006D4A33"/>
    <w:rsid w:val="006D53DF"/>
    <w:rsid w:val="006D54DE"/>
    <w:rsid w:val="006D54F7"/>
    <w:rsid w:val="006D5604"/>
    <w:rsid w:val="006D5CDA"/>
    <w:rsid w:val="006D7847"/>
    <w:rsid w:val="006D7902"/>
    <w:rsid w:val="006D7C9D"/>
    <w:rsid w:val="006D7D54"/>
    <w:rsid w:val="006D7D85"/>
    <w:rsid w:val="006E045E"/>
    <w:rsid w:val="006E09E9"/>
    <w:rsid w:val="006E0B21"/>
    <w:rsid w:val="006E1467"/>
    <w:rsid w:val="006E171B"/>
    <w:rsid w:val="006E2A10"/>
    <w:rsid w:val="006E2C6D"/>
    <w:rsid w:val="006E33D2"/>
    <w:rsid w:val="006E374B"/>
    <w:rsid w:val="006E3901"/>
    <w:rsid w:val="006E3B50"/>
    <w:rsid w:val="006E44D3"/>
    <w:rsid w:val="006E4705"/>
    <w:rsid w:val="006E470D"/>
    <w:rsid w:val="006E49DF"/>
    <w:rsid w:val="006E4E81"/>
    <w:rsid w:val="006E5438"/>
    <w:rsid w:val="006E58CF"/>
    <w:rsid w:val="006E6241"/>
    <w:rsid w:val="006E645F"/>
    <w:rsid w:val="006E6636"/>
    <w:rsid w:val="006E6F3D"/>
    <w:rsid w:val="006F117D"/>
    <w:rsid w:val="006F1195"/>
    <w:rsid w:val="006F13F3"/>
    <w:rsid w:val="006F1DBD"/>
    <w:rsid w:val="006F1E00"/>
    <w:rsid w:val="006F301F"/>
    <w:rsid w:val="006F4AB2"/>
    <w:rsid w:val="006F4B76"/>
    <w:rsid w:val="006F4D73"/>
    <w:rsid w:val="006F57AE"/>
    <w:rsid w:val="006F5847"/>
    <w:rsid w:val="006F589C"/>
    <w:rsid w:val="006F5B1A"/>
    <w:rsid w:val="006F5F6B"/>
    <w:rsid w:val="006F5F76"/>
    <w:rsid w:val="006F6790"/>
    <w:rsid w:val="006F693E"/>
    <w:rsid w:val="0070016D"/>
    <w:rsid w:val="007006DB"/>
    <w:rsid w:val="00700821"/>
    <w:rsid w:val="00700FF6"/>
    <w:rsid w:val="007010A7"/>
    <w:rsid w:val="007010E4"/>
    <w:rsid w:val="007011D1"/>
    <w:rsid w:val="007011D8"/>
    <w:rsid w:val="007016AF"/>
    <w:rsid w:val="0070192F"/>
    <w:rsid w:val="007019B9"/>
    <w:rsid w:val="00702723"/>
    <w:rsid w:val="0070303A"/>
    <w:rsid w:val="0070328F"/>
    <w:rsid w:val="00703413"/>
    <w:rsid w:val="00703D49"/>
    <w:rsid w:val="00704346"/>
    <w:rsid w:val="00704464"/>
    <w:rsid w:val="00704527"/>
    <w:rsid w:val="0070522E"/>
    <w:rsid w:val="00705B8F"/>
    <w:rsid w:val="00705BD7"/>
    <w:rsid w:val="007061EC"/>
    <w:rsid w:val="00706461"/>
    <w:rsid w:val="007068C5"/>
    <w:rsid w:val="00706995"/>
    <w:rsid w:val="00706C3A"/>
    <w:rsid w:val="00706E1E"/>
    <w:rsid w:val="007071D4"/>
    <w:rsid w:val="0070767C"/>
    <w:rsid w:val="00707C37"/>
    <w:rsid w:val="00710164"/>
    <w:rsid w:val="00710167"/>
    <w:rsid w:val="00710595"/>
    <w:rsid w:val="00710772"/>
    <w:rsid w:val="00710870"/>
    <w:rsid w:val="007110B3"/>
    <w:rsid w:val="00712020"/>
    <w:rsid w:val="00712026"/>
    <w:rsid w:val="0071214D"/>
    <w:rsid w:val="007121C0"/>
    <w:rsid w:val="00712638"/>
    <w:rsid w:val="0071276A"/>
    <w:rsid w:val="00712B22"/>
    <w:rsid w:val="00712D93"/>
    <w:rsid w:val="007139BF"/>
    <w:rsid w:val="00713C11"/>
    <w:rsid w:val="00714752"/>
    <w:rsid w:val="00714A38"/>
    <w:rsid w:val="00714A89"/>
    <w:rsid w:val="00714B10"/>
    <w:rsid w:val="00714B64"/>
    <w:rsid w:val="00714BA7"/>
    <w:rsid w:val="00714EBC"/>
    <w:rsid w:val="00714F03"/>
    <w:rsid w:val="00715B94"/>
    <w:rsid w:val="00715C06"/>
    <w:rsid w:val="00716D4E"/>
    <w:rsid w:val="0071717E"/>
    <w:rsid w:val="00717917"/>
    <w:rsid w:val="0072072E"/>
    <w:rsid w:val="00720A2C"/>
    <w:rsid w:val="00720B85"/>
    <w:rsid w:val="00720C22"/>
    <w:rsid w:val="00720C6E"/>
    <w:rsid w:val="00720E58"/>
    <w:rsid w:val="00720E79"/>
    <w:rsid w:val="00722BE6"/>
    <w:rsid w:val="00722CD9"/>
    <w:rsid w:val="00722EF9"/>
    <w:rsid w:val="007232F1"/>
    <w:rsid w:val="007233F9"/>
    <w:rsid w:val="00723F60"/>
    <w:rsid w:val="0072454A"/>
    <w:rsid w:val="007245B1"/>
    <w:rsid w:val="00724952"/>
    <w:rsid w:val="00724CD4"/>
    <w:rsid w:val="007255B0"/>
    <w:rsid w:val="00725D1A"/>
    <w:rsid w:val="00725DF3"/>
    <w:rsid w:val="00726B7D"/>
    <w:rsid w:val="00727285"/>
    <w:rsid w:val="00727380"/>
    <w:rsid w:val="007278AC"/>
    <w:rsid w:val="00727996"/>
    <w:rsid w:val="00727D91"/>
    <w:rsid w:val="00727E44"/>
    <w:rsid w:val="00730152"/>
    <w:rsid w:val="007301B7"/>
    <w:rsid w:val="0073071A"/>
    <w:rsid w:val="00730BBB"/>
    <w:rsid w:val="00730DD2"/>
    <w:rsid w:val="007310E4"/>
    <w:rsid w:val="00731129"/>
    <w:rsid w:val="00731A11"/>
    <w:rsid w:val="00731D01"/>
    <w:rsid w:val="0073225F"/>
    <w:rsid w:val="00732732"/>
    <w:rsid w:val="007332E4"/>
    <w:rsid w:val="007332F2"/>
    <w:rsid w:val="00733974"/>
    <w:rsid w:val="0073397C"/>
    <w:rsid w:val="00734051"/>
    <w:rsid w:val="0073458B"/>
    <w:rsid w:val="00734B84"/>
    <w:rsid w:val="00734E3E"/>
    <w:rsid w:val="00735EBF"/>
    <w:rsid w:val="00735F00"/>
    <w:rsid w:val="007365ED"/>
    <w:rsid w:val="00736927"/>
    <w:rsid w:val="00737A4B"/>
    <w:rsid w:val="00737B17"/>
    <w:rsid w:val="00740008"/>
    <w:rsid w:val="00741212"/>
    <w:rsid w:val="00741355"/>
    <w:rsid w:val="007418CF"/>
    <w:rsid w:val="00741C56"/>
    <w:rsid w:val="00741C83"/>
    <w:rsid w:val="00741E9A"/>
    <w:rsid w:val="00742891"/>
    <w:rsid w:val="00742C3D"/>
    <w:rsid w:val="00742DAD"/>
    <w:rsid w:val="00742F66"/>
    <w:rsid w:val="00743455"/>
    <w:rsid w:val="00743590"/>
    <w:rsid w:val="007435B8"/>
    <w:rsid w:val="00743ADE"/>
    <w:rsid w:val="007444AE"/>
    <w:rsid w:val="007447C6"/>
    <w:rsid w:val="007449FE"/>
    <w:rsid w:val="00744CEC"/>
    <w:rsid w:val="00745A05"/>
    <w:rsid w:val="00745F8E"/>
    <w:rsid w:val="00746564"/>
    <w:rsid w:val="00746721"/>
    <w:rsid w:val="00747741"/>
    <w:rsid w:val="00747E4F"/>
    <w:rsid w:val="007505F4"/>
    <w:rsid w:val="00750979"/>
    <w:rsid w:val="0075097C"/>
    <w:rsid w:val="00750AEF"/>
    <w:rsid w:val="00750B87"/>
    <w:rsid w:val="00751313"/>
    <w:rsid w:val="007514AA"/>
    <w:rsid w:val="00751760"/>
    <w:rsid w:val="007518C9"/>
    <w:rsid w:val="007519E9"/>
    <w:rsid w:val="00751A9D"/>
    <w:rsid w:val="0075218A"/>
    <w:rsid w:val="00752238"/>
    <w:rsid w:val="00752D99"/>
    <w:rsid w:val="00752DE0"/>
    <w:rsid w:val="00752E14"/>
    <w:rsid w:val="00753DA5"/>
    <w:rsid w:val="00754E53"/>
    <w:rsid w:val="00754EA0"/>
    <w:rsid w:val="0075502B"/>
    <w:rsid w:val="00755633"/>
    <w:rsid w:val="00755B6F"/>
    <w:rsid w:val="00756A17"/>
    <w:rsid w:val="00756B41"/>
    <w:rsid w:val="007576EC"/>
    <w:rsid w:val="00757957"/>
    <w:rsid w:val="007607C5"/>
    <w:rsid w:val="00760978"/>
    <w:rsid w:val="00760D42"/>
    <w:rsid w:val="00760F98"/>
    <w:rsid w:val="007623B0"/>
    <w:rsid w:val="00762A7D"/>
    <w:rsid w:val="00762D33"/>
    <w:rsid w:val="00762D7F"/>
    <w:rsid w:val="00763B9E"/>
    <w:rsid w:val="00763D10"/>
    <w:rsid w:val="007640A9"/>
    <w:rsid w:val="00764588"/>
    <w:rsid w:val="007648FE"/>
    <w:rsid w:val="00764B39"/>
    <w:rsid w:val="00765106"/>
    <w:rsid w:val="0076549E"/>
    <w:rsid w:val="007657DC"/>
    <w:rsid w:val="007659B6"/>
    <w:rsid w:val="00765B94"/>
    <w:rsid w:val="0076618D"/>
    <w:rsid w:val="007664EA"/>
    <w:rsid w:val="00766771"/>
    <w:rsid w:val="007667C4"/>
    <w:rsid w:val="007670FC"/>
    <w:rsid w:val="00767282"/>
    <w:rsid w:val="00767731"/>
    <w:rsid w:val="007678B9"/>
    <w:rsid w:val="00767DDD"/>
    <w:rsid w:val="00767F7F"/>
    <w:rsid w:val="007703EA"/>
    <w:rsid w:val="00770454"/>
    <w:rsid w:val="007704BC"/>
    <w:rsid w:val="007706BA"/>
    <w:rsid w:val="00770C49"/>
    <w:rsid w:val="00770FC2"/>
    <w:rsid w:val="00770FE2"/>
    <w:rsid w:val="0077130E"/>
    <w:rsid w:val="007713D7"/>
    <w:rsid w:val="00771BF6"/>
    <w:rsid w:val="007723AD"/>
    <w:rsid w:val="0077249A"/>
    <w:rsid w:val="0077262C"/>
    <w:rsid w:val="00772A29"/>
    <w:rsid w:val="00772E3B"/>
    <w:rsid w:val="0077355B"/>
    <w:rsid w:val="00773B3E"/>
    <w:rsid w:val="00773E65"/>
    <w:rsid w:val="007741B0"/>
    <w:rsid w:val="007745D3"/>
    <w:rsid w:val="007746DC"/>
    <w:rsid w:val="0077558B"/>
    <w:rsid w:val="007756E4"/>
    <w:rsid w:val="00775C2C"/>
    <w:rsid w:val="00775DE7"/>
    <w:rsid w:val="00775F42"/>
    <w:rsid w:val="00776053"/>
    <w:rsid w:val="00776874"/>
    <w:rsid w:val="00776A1A"/>
    <w:rsid w:val="00776BDA"/>
    <w:rsid w:val="0077726C"/>
    <w:rsid w:val="00777321"/>
    <w:rsid w:val="00777AAB"/>
    <w:rsid w:val="007803A2"/>
    <w:rsid w:val="00780A0B"/>
    <w:rsid w:val="00780FF9"/>
    <w:rsid w:val="0078285C"/>
    <w:rsid w:val="00782B30"/>
    <w:rsid w:val="00783A36"/>
    <w:rsid w:val="007840C2"/>
    <w:rsid w:val="007845D4"/>
    <w:rsid w:val="00784C8F"/>
    <w:rsid w:val="00784DF0"/>
    <w:rsid w:val="00785A38"/>
    <w:rsid w:val="00785C2A"/>
    <w:rsid w:val="0078668F"/>
    <w:rsid w:val="0078700E"/>
    <w:rsid w:val="00787339"/>
    <w:rsid w:val="00787B59"/>
    <w:rsid w:val="007900A9"/>
    <w:rsid w:val="00790786"/>
    <w:rsid w:val="007910C3"/>
    <w:rsid w:val="00791110"/>
    <w:rsid w:val="00791250"/>
    <w:rsid w:val="0079150D"/>
    <w:rsid w:val="00791B93"/>
    <w:rsid w:val="00791DE1"/>
    <w:rsid w:val="007924A4"/>
    <w:rsid w:val="00792DE4"/>
    <w:rsid w:val="00793181"/>
    <w:rsid w:val="007936BD"/>
    <w:rsid w:val="007936C1"/>
    <w:rsid w:val="00793C61"/>
    <w:rsid w:val="00793D45"/>
    <w:rsid w:val="007957ED"/>
    <w:rsid w:val="00795E20"/>
    <w:rsid w:val="007963FF"/>
    <w:rsid w:val="0079645A"/>
    <w:rsid w:val="007965D0"/>
    <w:rsid w:val="00796787"/>
    <w:rsid w:val="0079724E"/>
    <w:rsid w:val="007975BD"/>
    <w:rsid w:val="00797B7E"/>
    <w:rsid w:val="007A05A2"/>
    <w:rsid w:val="007A09EF"/>
    <w:rsid w:val="007A10D6"/>
    <w:rsid w:val="007A12EE"/>
    <w:rsid w:val="007A138C"/>
    <w:rsid w:val="007A140A"/>
    <w:rsid w:val="007A1834"/>
    <w:rsid w:val="007A1856"/>
    <w:rsid w:val="007A1E52"/>
    <w:rsid w:val="007A1E61"/>
    <w:rsid w:val="007A25EC"/>
    <w:rsid w:val="007A2A4D"/>
    <w:rsid w:val="007A2B70"/>
    <w:rsid w:val="007A31B2"/>
    <w:rsid w:val="007A3629"/>
    <w:rsid w:val="007A385C"/>
    <w:rsid w:val="007A38F5"/>
    <w:rsid w:val="007A3A06"/>
    <w:rsid w:val="007A3B06"/>
    <w:rsid w:val="007A3D24"/>
    <w:rsid w:val="007A3F28"/>
    <w:rsid w:val="007A4860"/>
    <w:rsid w:val="007A4CAF"/>
    <w:rsid w:val="007A4F7B"/>
    <w:rsid w:val="007A4F8C"/>
    <w:rsid w:val="007A5899"/>
    <w:rsid w:val="007A61E4"/>
    <w:rsid w:val="007A704A"/>
    <w:rsid w:val="007A7242"/>
    <w:rsid w:val="007A7E94"/>
    <w:rsid w:val="007B033E"/>
    <w:rsid w:val="007B12B0"/>
    <w:rsid w:val="007B1392"/>
    <w:rsid w:val="007B1785"/>
    <w:rsid w:val="007B1FBD"/>
    <w:rsid w:val="007B215A"/>
    <w:rsid w:val="007B22DC"/>
    <w:rsid w:val="007B24F0"/>
    <w:rsid w:val="007B34DC"/>
    <w:rsid w:val="007B37E8"/>
    <w:rsid w:val="007B3A98"/>
    <w:rsid w:val="007B4008"/>
    <w:rsid w:val="007B49C4"/>
    <w:rsid w:val="007B4D74"/>
    <w:rsid w:val="007B4DC6"/>
    <w:rsid w:val="007B5132"/>
    <w:rsid w:val="007B5ADA"/>
    <w:rsid w:val="007B69E8"/>
    <w:rsid w:val="007B6A02"/>
    <w:rsid w:val="007B6C17"/>
    <w:rsid w:val="007B7015"/>
    <w:rsid w:val="007B743C"/>
    <w:rsid w:val="007B750E"/>
    <w:rsid w:val="007B7D7E"/>
    <w:rsid w:val="007C0165"/>
    <w:rsid w:val="007C031D"/>
    <w:rsid w:val="007C048B"/>
    <w:rsid w:val="007C0508"/>
    <w:rsid w:val="007C057E"/>
    <w:rsid w:val="007C1541"/>
    <w:rsid w:val="007C19DF"/>
    <w:rsid w:val="007C1B24"/>
    <w:rsid w:val="007C25F8"/>
    <w:rsid w:val="007C267A"/>
    <w:rsid w:val="007C27FF"/>
    <w:rsid w:val="007C2FFF"/>
    <w:rsid w:val="007C43F8"/>
    <w:rsid w:val="007C44DC"/>
    <w:rsid w:val="007C4545"/>
    <w:rsid w:val="007C45F7"/>
    <w:rsid w:val="007C46D1"/>
    <w:rsid w:val="007C47C2"/>
    <w:rsid w:val="007C4822"/>
    <w:rsid w:val="007C4DEF"/>
    <w:rsid w:val="007C5468"/>
    <w:rsid w:val="007C55F1"/>
    <w:rsid w:val="007C58AB"/>
    <w:rsid w:val="007C5AD1"/>
    <w:rsid w:val="007C6148"/>
    <w:rsid w:val="007C6898"/>
    <w:rsid w:val="007C6900"/>
    <w:rsid w:val="007C69A9"/>
    <w:rsid w:val="007C6C60"/>
    <w:rsid w:val="007C6D07"/>
    <w:rsid w:val="007C745C"/>
    <w:rsid w:val="007C7578"/>
    <w:rsid w:val="007C7E7C"/>
    <w:rsid w:val="007C7F4C"/>
    <w:rsid w:val="007D03A9"/>
    <w:rsid w:val="007D065E"/>
    <w:rsid w:val="007D0A94"/>
    <w:rsid w:val="007D0B22"/>
    <w:rsid w:val="007D0BD6"/>
    <w:rsid w:val="007D0D5B"/>
    <w:rsid w:val="007D13C5"/>
    <w:rsid w:val="007D143D"/>
    <w:rsid w:val="007D2273"/>
    <w:rsid w:val="007D25B9"/>
    <w:rsid w:val="007D2789"/>
    <w:rsid w:val="007D2BE8"/>
    <w:rsid w:val="007D3066"/>
    <w:rsid w:val="007D3ECB"/>
    <w:rsid w:val="007D421B"/>
    <w:rsid w:val="007D4490"/>
    <w:rsid w:val="007D4579"/>
    <w:rsid w:val="007D4EE5"/>
    <w:rsid w:val="007D51EB"/>
    <w:rsid w:val="007D58BB"/>
    <w:rsid w:val="007D6835"/>
    <w:rsid w:val="007D6A93"/>
    <w:rsid w:val="007D6B3D"/>
    <w:rsid w:val="007D7CDE"/>
    <w:rsid w:val="007D7DC7"/>
    <w:rsid w:val="007E01AF"/>
    <w:rsid w:val="007E0772"/>
    <w:rsid w:val="007E0B47"/>
    <w:rsid w:val="007E0D31"/>
    <w:rsid w:val="007E0E04"/>
    <w:rsid w:val="007E0EF9"/>
    <w:rsid w:val="007E21D9"/>
    <w:rsid w:val="007E2BDD"/>
    <w:rsid w:val="007E3248"/>
    <w:rsid w:val="007E3381"/>
    <w:rsid w:val="007E3A8E"/>
    <w:rsid w:val="007E3C5C"/>
    <w:rsid w:val="007E45CA"/>
    <w:rsid w:val="007E48C0"/>
    <w:rsid w:val="007E5490"/>
    <w:rsid w:val="007E5885"/>
    <w:rsid w:val="007E61B7"/>
    <w:rsid w:val="007E64FF"/>
    <w:rsid w:val="007E6D70"/>
    <w:rsid w:val="007E6F62"/>
    <w:rsid w:val="007E6FEA"/>
    <w:rsid w:val="007E7C7B"/>
    <w:rsid w:val="007E7E0F"/>
    <w:rsid w:val="007E7F8F"/>
    <w:rsid w:val="007F015E"/>
    <w:rsid w:val="007F026C"/>
    <w:rsid w:val="007F0349"/>
    <w:rsid w:val="007F0A55"/>
    <w:rsid w:val="007F0FC6"/>
    <w:rsid w:val="007F1160"/>
    <w:rsid w:val="007F21B0"/>
    <w:rsid w:val="007F2DE9"/>
    <w:rsid w:val="007F339E"/>
    <w:rsid w:val="007F341B"/>
    <w:rsid w:val="007F3682"/>
    <w:rsid w:val="007F3AA2"/>
    <w:rsid w:val="007F3B45"/>
    <w:rsid w:val="007F3E3E"/>
    <w:rsid w:val="007F4A9E"/>
    <w:rsid w:val="007F4ABC"/>
    <w:rsid w:val="007F4B94"/>
    <w:rsid w:val="007F4D45"/>
    <w:rsid w:val="007F510F"/>
    <w:rsid w:val="007F545B"/>
    <w:rsid w:val="007F59B2"/>
    <w:rsid w:val="007F6607"/>
    <w:rsid w:val="007F7865"/>
    <w:rsid w:val="007F7FB3"/>
    <w:rsid w:val="008000B5"/>
    <w:rsid w:val="0080026A"/>
    <w:rsid w:val="00800340"/>
    <w:rsid w:val="00800953"/>
    <w:rsid w:val="00800A37"/>
    <w:rsid w:val="00801255"/>
    <w:rsid w:val="0080197B"/>
    <w:rsid w:val="00801C1F"/>
    <w:rsid w:val="00801CB2"/>
    <w:rsid w:val="008021D3"/>
    <w:rsid w:val="00802849"/>
    <w:rsid w:val="00802971"/>
    <w:rsid w:val="00803607"/>
    <w:rsid w:val="0080372C"/>
    <w:rsid w:val="008038E3"/>
    <w:rsid w:val="008038F6"/>
    <w:rsid w:val="00804558"/>
    <w:rsid w:val="008047AE"/>
    <w:rsid w:val="00804B21"/>
    <w:rsid w:val="00805483"/>
    <w:rsid w:val="008054FA"/>
    <w:rsid w:val="0080554C"/>
    <w:rsid w:val="0080585D"/>
    <w:rsid w:val="00806273"/>
    <w:rsid w:val="0080661F"/>
    <w:rsid w:val="00806968"/>
    <w:rsid w:val="00806EFD"/>
    <w:rsid w:val="00807074"/>
    <w:rsid w:val="00807592"/>
    <w:rsid w:val="008076BD"/>
    <w:rsid w:val="00807E43"/>
    <w:rsid w:val="00807F69"/>
    <w:rsid w:val="00810368"/>
    <w:rsid w:val="00810438"/>
    <w:rsid w:val="0081062A"/>
    <w:rsid w:val="008108B5"/>
    <w:rsid w:val="00810BE7"/>
    <w:rsid w:val="008112FF"/>
    <w:rsid w:val="00811336"/>
    <w:rsid w:val="0081165D"/>
    <w:rsid w:val="00811B28"/>
    <w:rsid w:val="00811BE4"/>
    <w:rsid w:val="00812862"/>
    <w:rsid w:val="00812A7A"/>
    <w:rsid w:val="00812DAD"/>
    <w:rsid w:val="00812F1D"/>
    <w:rsid w:val="00812FC3"/>
    <w:rsid w:val="0081301B"/>
    <w:rsid w:val="0081351F"/>
    <w:rsid w:val="0081362B"/>
    <w:rsid w:val="00813887"/>
    <w:rsid w:val="0081450B"/>
    <w:rsid w:val="0081467F"/>
    <w:rsid w:val="00815339"/>
    <w:rsid w:val="008153B0"/>
    <w:rsid w:val="0081541B"/>
    <w:rsid w:val="0081581D"/>
    <w:rsid w:val="0081591F"/>
    <w:rsid w:val="00815A99"/>
    <w:rsid w:val="00815E5B"/>
    <w:rsid w:val="008160D1"/>
    <w:rsid w:val="008162B3"/>
    <w:rsid w:val="0081640D"/>
    <w:rsid w:val="0081687A"/>
    <w:rsid w:val="008169A1"/>
    <w:rsid w:val="00817F62"/>
    <w:rsid w:val="008200AE"/>
    <w:rsid w:val="00820160"/>
    <w:rsid w:val="0082022B"/>
    <w:rsid w:val="0082087B"/>
    <w:rsid w:val="00820AC1"/>
    <w:rsid w:val="00820E0E"/>
    <w:rsid w:val="00821237"/>
    <w:rsid w:val="008216DA"/>
    <w:rsid w:val="008217C3"/>
    <w:rsid w:val="00821868"/>
    <w:rsid w:val="008219B8"/>
    <w:rsid w:val="00821ECA"/>
    <w:rsid w:val="00822414"/>
    <w:rsid w:val="00822CB9"/>
    <w:rsid w:val="00822E2C"/>
    <w:rsid w:val="00823116"/>
    <w:rsid w:val="0082350E"/>
    <w:rsid w:val="00823658"/>
    <w:rsid w:val="00823854"/>
    <w:rsid w:val="008239BF"/>
    <w:rsid w:val="00823B36"/>
    <w:rsid w:val="00824055"/>
    <w:rsid w:val="0082488C"/>
    <w:rsid w:val="008251E7"/>
    <w:rsid w:val="00825417"/>
    <w:rsid w:val="008262BC"/>
    <w:rsid w:val="00826468"/>
    <w:rsid w:val="008266A2"/>
    <w:rsid w:val="008267AE"/>
    <w:rsid w:val="00826838"/>
    <w:rsid w:val="00826BB3"/>
    <w:rsid w:val="008271CC"/>
    <w:rsid w:val="0082723C"/>
    <w:rsid w:val="00830B33"/>
    <w:rsid w:val="0083118A"/>
    <w:rsid w:val="00831784"/>
    <w:rsid w:val="00831D6B"/>
    <w:rsid w:val="00831F36"/>
    <w:rsid w:val="00832727"/>
    <w:rsid w:val="008337C1"/>
    <w:rsid w:val="00834120"/>
    <w:rsid w:val="00834F23"/>
    <w:rsid w:val="008353B6"/>
    <w:rsid w:val="00835ACD"/>
    <w:rsid w:val="008360F7"/>
    <w:rsid w:val="008363F5"/>
    <w:rsid w:val="00836A67"/>
    <w:rsid w:val="00836AB9"/>
    <w:rsid w:val="00836CEB"/>
    <w:rsid w:val="00837324"/>
    <w:rsid w:val="00837406"/>
    <w:rsid w:val="008400B8"/>
    <w:rsid w:val="008402D7"/>
    <w:rsid w:val="00840640"/>
    <w:rsid w:val="00840C2E"/>
    <w:rsid w:val="00840D75"/>
    <w:rsid w:val="00840EAF"/>
    <w:rsid w:val="008416BF"/>
    <w:rsid w:val="008416FD"/>
    <w:rsid w:val="0084188F"/>
    <w:rsid w:val="00841FA7"/>
    <w:rsid w:val="00842659"/>
    <w:rsid w:val="0084293A"/>
    <w:rsid w:val="00842DCC"/>
    <w:rsid w:val="00843073"/>
    <w:rsid w:val="0084354C"/>
    <w:rsid w:val="0084375D"/>
    <w:rsid w:val="0084416F"/>
    <w:rsid w:val="00844462"/>
    <w:rsid w:val="008449FE"/>
    <w:rsid w:val="00844B91"/>
    <w:rsid w:val="00845515"/>
    <w:rsid w:val="00845520"/>
    <w:rsid w:val="00845FC4"/>
    <w:rsid w:val="008461B0"/>
    <w:rsid w:val="00846C9F"/>
    <w:rsid w:val="00846D16"/>
    <w:rsid w:val="00846D1A"/>
    <w:rsid w:val="00846F4C"/>
    <w:rsid w:val="0084716E"/>
    <w:rsid w:val="00847ED0"/>
    <w:rsid w:val="00847FB1"/>
    <w:rsid w:val="00850066"/>
    <w:rsid w:val="0085044B"/>
    <w:rsid w:val="00850EE1"/>
    <w:rsid w:val="0085165B"/>
    <w:rsid w:val="0085179C"/>
    <w:rsid w:val="008517FF"/>
    <w:rsid w:val="008518FA"/>
    <w:rsid w:val="00851903"/>
    <w:rsid w:val="00851B3F"/>
    <w:rsid w:val="00851DCB"/>
    <w:rsid w:val="00851E0C"/>
    <w:rsid w:val="00851F5F"/>
    <w:rsid w:val="00852142"/>
    <w:rsid w:val="008528CF"/>
    <w:rsid w:val="00852A30"/>
    <w:rsid w:val="008533D8"/>
    <w:rsid w:val="00853510"/>
    <w:rsid w:val="0085399C"/>
    <w:rsid w:val="00853E5B"/>
    <w:rsid w:val="00854123"/>
    <w:rsid w:val="008542D1"/>
    <w:rsid w:val="00854465"/>
    <w:rsid w:val="008544BD"/>
    <w:rsid w:val="00854946"/>
    <w:rsid w:val="00854B62"/>
    <w:rsid w:val="00854B77"/>
    <w:rsid w:val="00854E58"/>
    <w:rsid w:val="00854FB2"/>
    <w:rsid w:val="008558ED"/>
    <w:rsid w:val="008558EF"/>
    <w:rsid w:val="00855CFC"/>
    <w:rsid w:val="00855FD5"/>
    <w:rsid w:val="00856049"/>
    <w:rsid w:val="0085632A"/>
    <w:rsid w:val="008568BB"/>
    <w:rsid w:val="00856E96"/>
    <w:rsid w:val="008577B8"/>
    <w:rsid w:val="00857822"/>
    <w:rsid w:val="00857C93"/>
    <w:rsid w:val="00857D8E"/>
    <w:rsid w:val="008604B3"/>
    <w:rsid w:val="0086092A"/>
    <w:rsid w:val="00860D51"/>
    <w:rsid w:val="008611C1"/>
    <w:rsid w:val="0086151A"/>
    <w:rsid w:val="0086161E"/>
    <w:rsid w:val="0086173C"/>
    <w:rsid w:val="00861DA4"/>
    <w:rsid w:val="00861FD6"/>
    <w:rsid w:val="00862131"/>
    <w:rsid w:val="00862330"/>
    <w:rsid w:val="0086264B"/>
    <w:rsid w:val="008626E9"/>
    <w:rsid w:val="008626EB"/>
    <w:rsid w:val="00862EFD"/>
    <w:rsid w:val="008638FB"/>
    <w:rsid w:val="00863AF4"/>
    <w:rsid w:val="00863F1B"/>
    <w:rsid w:val="0086444C"/>
    <w:rsid w:val="008644B1"/>
    <w:rsid w:val="00864768"/>
    <w:rsid w:val="008653AE"/>
    <w:rsid w:val="008658AB"/>
    <w:rsid w:val="00865B18"/>
    <w:rsid w:val="0086672E"/>
    <w:rsid w:val="00866CF2"/>
    <w:rsid w:val="0086751B"/>
    <w:rsid w:val="008675EC"/>
    <w:rsid w:val="008679CE"/>
    <w:rsid w:val="00867DA7"/>
    <w:rsid w:val="008705A8"/>
    <w:rsid w:val="00870859"/>
    <w:rsid w:val="008718FC"/>
    <w:rsid w:val="00871CC2"/>
    <w:rsid w:val="00871F4F"/>
    <w:rsid w:val="0087200D"/>
    <w:rsid w:val="00872131"/>
    <w:rsid w:val="008723B8"/>
    <w:rsid w:val="008725F5"/>
    <w:rsid w:val="00872D5C"/>
    <w:rsid w:val="00873147"/>
    <w:rsid w:val="00873664"/>
    <w:rsid w:val="00873BE2"/>
    <w:rsid w:val="00873C1E"/>
    <w:rsid w:val="00873CD6"/>
    <w:rsid w:val="00873DE6"/>
    <w:rsid w:val="00873FBF"/>
    <w:rsid w:val="00874178"/>
    <w:rsid w:val="00874272"/>
    <w:rsid w:val="008743DF"/>
    <w:rsid w:val="00874C66"/>
    <w:rsid w:val="00874F67"/>
    <w:rsid w:val="00875F4F"/>
    <w:rsid w:val="008762D8"/>
    <w:rsid w:val="008765B2"/>
    <w:rsid w:val="008772D9"/>
    <w:rsid w:val="00877B29"/>
    <w:rsid w:val="00877E77"/>
    <w:rsid w:val="00877F30"/>
    <w:rsid w:val="008804EB"/>
    <w:rsid w:val="008808B9"/>
    <w:rsid w:val="00880B30"/>
    <w:rsid w:val="00880F1D"/>
    <w:rsid w:val="0088172A"/>
    <w:rsid w:val="00881F90"/>
    <w:rsid w:val="008828C8"/>
    <w:rsid w:val="00883F5E"/>
    <w:rsid w:val="00884033"/>
    <w:rsid w:val="008844D1"/>
    <w:rsid w:val="00884EFA"/>
    <w:rsid w:val="008851C4"/>
    <w:rsid w:val="00885296"/>
    <w:rsid w:val="00885696"/>
    <w:rsid w:val="0088570A"/>
    <w:rsid w:val="00885E88"/>
    <w:rsid w:val="00885E9D"/>
    <w:rsid w:val="0088636E"/>
    <w:rsid w:val="008864A7"/>
    <w:rsid w:val="0088666A"/>
    <w:rsid w:val="0088688A"/>
    <w:rsid w:val="00886A9E"/>
    <w:rsid w:val="00886DC9"/>
    <w:rsid w:val="00886EC7"/>
    <w:rsid w:val="00887184"/>
    <w:rsid w:val="008879EA"/>
    <w:rsid w:val="00890139"/>
    <w:rsid w:val="00891031"/>
    <w:rsid w:val="0089160E"/>
    <w:rsid w:val="00891663"/>
    <w:rsid w:val="00891B3A"/>
    <w:rsid w:val="00891B65"/>
    <w:rsid w:val="008921B1"/>
    <w:rsid w:val="00892687"/>
    <w:rsid w:val="00893087"/>
    <w:rsid w:val="00893386"/>
    <w:rsid w:val="0089363C"/>
    <w:rsid w:val="00893657"/>
    <w:rsid w:val="00893671"/>
    <w:rsid w:val="0089397C"/>
    <w:rsid w:val="008941FB"/>
    <w:rsid w:val="00894565"/>
    <w:rsid w:val="008950D6"/>
    <w:rsid w:val="00895B46"/>
    <w:rsid w:val="00896474"/>
    <w:rsid w:val="008966FC"/>
    <w:rsid w:val="00896DBC"/>
    <w:rsid w:val="008972E3"/>
    <w:rsid w:val="00897B59"/>
    <w:rsid w:val="00897C6C"/>
    <w:rsid w:val="00897D1A"/>
    <w:rsid w:val="008A0905"/>
    <w:rsid w:val="008A0B02"/>
    <w:rsid w:val="008A0E0D"/>
    <w:rsid w:val="008A155C"/>
    <w:rsid w:val="008A180E"/>
    <w:rsid w:val="008A197C"/>
    <w:rsid w:val="008A2545"/>
    <w:rsid w:val="008A2636"/>
    <w:rsid w:val="008A35DB"/>
    <w:rsid w:val="008A3AF9"/>
    <w:rsid w:val="008A3FBE"/>
    <w:rsid w:val="008A4013"/>
    <w:rsid w:val="008A4C9C"/>
    <w:rsid w:val="008A4F23"/>
    <w:rsid w:val="008A550D"/>
    <w:rsid w:val="008A6041"/>
    <w:rsid w:val="008A60F8"/>
    <w:rsid w:val="008A643D"/>
    <w:rsid w:val="008A69FE"/>
    <w:rsid w:val="008A6EC7"/>
    <w:rsid w:val="008A6F36"/>
    <w:rsid w:val="008A7286"/>
    <w:rsid w:val="008A771A"/>
    <w:rsid w:val="008A7B50"/>
    <w:rsid w:val="008B0641"/>
    <w:rsid w:val="008B0EB7"/>
    <w:rsid w:val="008B138E"/>
    <w:rsid w:val="008B1C78"/>
    <w:rsid w:val="008B1F87"/>
    <w:rsid w:val="008B28BD"/>
    <w:rsid w:val="008B2E96"/>
    <w:rsid w:val="008B2F53"/>
    <w:rsid w:val="008B3006"/>
    <w:rsid w:val="008B3139"/>
    <w:rsid w:val="008B3B50"/>
    <w:rsid w:val="008B3D47"/>
    <w:rsid w:val="008B44CB"/>
    <w:rsid w:val="008B46D2"/>
    <w:rsid w:val="008B5253"/>
    <w:rsid w:val="008B53D8"/>
    <w:rsid w:val="008B551A"/>
    <w:rsid w:val="008B63BE"/>
    <w:rsid w:val="008B640E"/>
    <w:rsid w:val="008B64DD"/>
    <w:rsid w:val="008B6505"/>
    <w:rsid w:val="008B670A"/>
    <w:rsid w:val="008B688D"/>
    <w:rsid w:val="008B70EE"/>
    <w:rsid w:val="008B715C"/>
    <w:rsid w:val="008B75B8"/>
    <w:rsid w:val="008B7E85"/>
    <w:rsid w:val="008C0A85"/>
    <w:rsid w:val="008C0EAD"/>
    <w:rsid w:val="008C118F"/>
    <w:rsid w:val="008C1442"/>
    <w:rsid w:val="008C1693"/>
    <w:rsid w:val="008C19D9"/>
    <w:rsid w:val="008C1A5E"/>
    <w:rsid w:val="008C1A81"/>
    <w:rsid w:val="008C29FE"/>
    <w:rsid w:val="008C32CA"/>
    <w:rsid w:val="008C3967"/>
    <w:rsid w:val="008C4143"/>
    <w:rsid w:val="008C431E"/>
    <w:rsid w:val="008C54BD"/>
    <w:rsid w:val="008C54C4"/>
    <w:rsid w:val="008C5654"/>
    <w:rsid w:val="008C6056"/>
    <w:rsid w:val="008C6628"/>
    <w:rsid w:val="008C692E"/>
    <w:rsid w:val="008C69C9"/>
    <w:rsid w:val="008C6C4B"/>
    <w:rsid w:val="008C6E38"/>
    <w:rsid w:val="008C6F75"/>
    <w:rsid w:val="008C7624"/>
    <w:rsid w:val="008C7C18"/>
    <w:rsid w:val="008C7C66"/>
    <w:rsid w:val="008C7CC4"/>
    <w:rsid w:val="008D047D"/>
    <w:rsid w:val="008D0B4C"/>
    <w:rsid w:val="008D12F5"/>
    <w:rsid w:val="008D14C4"/>
    <w:rsid w:val="008D1964"/>
    <w:rsid w:val="008D221A"/>
    <w:rsid w:val="008D24D6"/>
    <w:rsid w:val="008D24E1"/>
    <w:rsid w:val="008D2E5A"/>
    <w:rsid w:val="008D3E6A"/>
    <w:rsid w:val="008D4D38"/>
    <w:rsid w:val="008D4E8D"/>
    <w:rsid w:val="008D4FE7"/>
    <w:rsid w:val="008D53E2"/>
    <w:rsid w:val="008D558E"/>
    <w:rsid w:val="008D5908"/>
    <w:rsid w:val="008D5AF1"/>
    <w:rsid w:val="008D67AD"/>
    <w:rsid w:val="008D6A6E"/>
    <w:rsid w:val="008D7792"/>
    <w:rsid w:val="008D781F"/>
    <w:rsid w:val="008D7DBE"/>
    <w:rsid w:val="008E02B7"/>
    <w:rsid w:val="008E20BE"/>
    <w:rsid w:val="008E241B"/>
    <w:rsid w:val="008E3096"/>
    <w:rsid w:val="008E330C"/>
    <w:rsid w:val="008E332F"/>
    <w:rsid w:val="008E4114"/>
    <w:rsid w:val="008E4238"/>
    <w:rsid w:val="008E45EA"/>
    <w:rsid w:val="008E4A1A"/>
    <w:rsid w:val="008E4A1B"/>
    <w:rsid w:val="008E5E01"/>
    <w:rsid w:val="008E69A3"/>
    <w:rsid w:val="008E706B"/>
    <w:rsid w:val="008E7C08"/>
    <w:rsid w:val="008E7CC9"/>
    <w:rsid w:val="008F02A1"/>
    <w:rsid w:val="008F0E69"/>
    <w:rsid w:val="008F12FF"/>
    <w:rsid w:val="008F1555"/>
    <w:rsid w:val="008F1E5B"/>
    <w:rsid w:val="008F2CD6"/>
    <w:rsid w:val="008F3D3E"/>
    <w:rsid w:val="008F3F31"/>
    <w:rsid w:val="008F4655"/>
    <w:rsid w:val="008F4779"/>
    <w:rsid w:val="008F542B"/>
    <w:rsid w:val="008F5670"/>
    <w:rsid w:val="008F56B2"/>
    <w:rsid w:val="008F599F"/>
    <w:rsid w:val="008F60AC"/>
    <w:rsid w:val="008F63DF"/>
    <w:rsid w:val="008F64E5"/>
    <w:rsid w:val="008F66E3"/>
    <w:rsid w:val="008F677E"/>
    <w:rsid w:val="008F6A1C"/>
    <w:rsid w:val="008F7C28"/>
    <w:rsid w:val="0090032E"/>
    <w:rsid w:val="0090034D"/>
    <w:rsid w:val="0090045A"/>
    <w:rsid w:val="00900EC7"/>
    <w:rsid w:val="00900FFC"/>
    <w:rsid w:val="009010FA"/>
    <w:rsid w:val="009011F9"/>
    <w:rsid w:val="00901244"/>
    <w:rsid w:val="00901979"/>
    <w:rsid w:val="00901B0A"/>
    <w:rsid w:val="00902357"/>
    <w:rsid w:val="0090242A"/>
    <w:rsid w:val="00902C85"/>
    <w:rsid w:val="00903082"/>
    <w:rsid w:val="009030F7"/>
    <w:rsid w:val="00903185"/>
    <w:rsid w:val="009032E0"/>
    <w:rsid w:val="009034CE"/>
    <w:rsid w:val="009034D9"/>
    <w:rsid w:val="009045AC"/>
    <w:rsid w:val="009046C9"/>
    <w:rsid w:val="009046F1"/>
    <w:rsid w:val="009046FD"/>
    <w:rsid w:val="00904883"/>
    <w:rsid w:val="00904B0A"/>
    <w:rsid w:val="00904F84"/>
    <w:rsid w:val="00905404"/>
    <w:rsid w:val="00905573"/>
    <w:rsid w:val="009055DD"/>
    <w:rsid w:val="0090616A"/>
    <w:rsid w:val="00906527"/>
    <w:rsid w:val="009065D6"/>
    <w:rsid w:val="00906BD9"/>
    <w:rsid w:val="00906D18"/>
    <w:rsid w:val="00906EA0"/>
    <w:rsid w:val="00906F7E"/>
    <w:rsid w:val="009071AB"/>
    <w:rsid w:val="00907F4C"/>
    <w:rsid w:val="0091006A"/>
    <w:rsid w:val="00910161"/>
    <w:rsid w:val="00910B57"/>
    <w:rsid w:val="0091148A"/>
    <w:rsid w:val="00911BEB"/>
    <w:rsid w:val="00912347"/>
    <w:rsid w:val="0091268D"/>
    <w:rsid w:val="009129C1"/>
    <w:rsid w:val="00912A62"/>
    <w:rsid w:val="00913B74"/>
    <w:rsid w:val="00913EBB"/>
    <w:rsid w:val="009141BB"/>
    <w:rsid w:val="009144A4"/>
    <w:rsid w:val="009146A7"/>
    <w:rsid w:val="00914B55"/>
    <w:rsid w:val="00914BC4"/>
    <w:rsid w:val="00914DC4"/>
    <w:rsid w:val="00915329"/>
    <w:rsid w:val="0091588C"/>
    <w:rsid w:val="00915DB5"/>
    <w:rsid w:val="00915DF4"/>
    <w:rsid w:val="00915E07"/>
    <w:rsid w:val="00915F5F"/>
    <w:rsid w:val="00916068"/>
    <w:rsid w:val="009160D3"/>
    <w:rsid w:val="009164D3"/>
    <w:rsid w:val="009164E0"/>
    <w:rsid w:val="00916656"/>
    <w:rsid w:val="00916BF5"/>
    <w:rsid w:val="00916CCB"/>
    <w:rsid w:val="00917DB8"/>
    <w:rsid w:val="00920EC8"/>
    <w:rsid w:val="00921102"/>
    <w:rsid w:val="00921305"/>
    <w:rsid w:val="00921783"/>
    <w:rsid w:val="009217D9"/>
    <w:rsid w:val="00921AC8"/>
    <w:rsid w:val="0092206F"/>
    <w:rsid w:val="00922482"/>
    <w:rsid w:val="00922A2B"/>
    <w:rsid w:val="00922D7F"/>
    <w:rsid w:val="00922FF5"/>
    <w:rsid w:val="009235ED"/>
    <w:rsid w:val="00923ACE"/>
    <w:rsid w:val="00924A6C"/>
    <w:rsid w:val="00924ED4"/>
    <w:rsid w:val="00924F63"/>
    <w:rsid w:val="00925E0F"/>
    <w:rsid w:val="009264BB"/>
    <w:rsid w:val="0092682B"/>
    <w:rsid w:val="00926A15"/>
    <w:rsid w:val="00926B9A"/>
    <w:rsid w:val="009271AB"/>
    <w:rsid w:val="00927281"/>
    <w:rsid w:val="009273B8"/>
    <w:rsid w:val="00927937"/>
    <w:rsid w:val="00927A20"/>
    <w:rsid w:val="00930298"/>
    <w:rsid w:val="009302A6"/>
    <w:rsid w:val="0093106F"/>
    <w:rsid w:val="00931074"/>
    <w:rsid w:val="0093116C"/>
    <w:rsid w:val="00931325"/>
    <w:rsid w:val="0093152D"/>
    <w:rsid w:val="009319DC"/>
    <w:rsid w:val="00931AAD"/>
    <w:rsid w:val="00931E6D"/>
    <w:rsid w:val="0093201D"/>
    <w:rsid w:val="00932D04"/>
    <w:rsid w:val="00932E9E"/>
    <w:rsid w:val="00933B8A"/>
    <w:rsid w:val="00934141"/>
    <w:rsid w:val="009341AA"/>
    <w:rsid w:val="0093429A"/>
    <w:rsid w:val="009352D3"/>
    <w:rsid w:val="009355A6"/>
    <w:rsid w:val="009355BB"/>
    <w:rsid w:val="00935789"/>
    <w:rsid w:val="009359C5"/>
    <w:rsid w:val="00935CFA"/>
    <w:rsid w:val="0093612D"/>
    <w:rsid w:val="009361E8"/>
    <w:rsid w:val="00936247"/>
    <w:rsid w:val="009362F4"/>
    <w:rsid w:val="00936501"/>
    <w:rsid w:val="009366AD"/>
    <w:rsid w:val="0093751E"/>
    <w:rsid w:val="009377A1"/>
    <w:rsid w:val="00937CAC"/>
    <w:rsid w:val="00937E35"/>
    <w:rsid w:val="00937F65"/>
    <w:rsid w:val="00937F80"/>
    <w:rsid w:val="00940318"/>
    <w:rsid w:val="00940850"/>
    <w:rsid w:val="00940B1D"/>
    <w:rsid w:val="0094243B"/>
    <w:rsid w:val="009428A4"/>
    <w:rsid w:val="00942AF7"/>
    <w:rsid w:val="00943157"/>
    <w:rsid w:val="00943185"/>
    <w:rsid w:val="009435D4"/>
    <w:rsid w:val="0094368C"/>
    <w:rsid w:val="00943893"/>
    <w:rsid w:val="00944312"/>
    <w:rsid w:val="009443DC"/>
    <w:rsid w:val="00944771"/>
    <w:rsid w:val="00944A9F"/>
    <w:rsid w:val="00944AE2"/>
    <w:rsid w:val="0094526B"/>
    <w:rsid w:val="009456EB"/>
    <w:rsid w:val="009457E4"/>
    <w:rsid w:val="00945E7E"/>
    <w:rsid w:val="00945E8F"/>
    <w:rsid w:val="009463FD"/>
    <w:rsid w:val="00946678"/>
    <w:rsid w:val="009467FD"/>
    <w:rsid w:val="00946C6B"/>
    <w:rsid w:val="00946D2E"/>
    <w:rsid w:val="00946E64"/>
    <w:rsid w:val="009472F6"/>
    <w:rsid w:val="0094783F"/>
    <w:rsid w:val="00950B18"/>
    <w:rsid w:val="00950C55"/>
    <w:rsid w:val="00950CB3"/>
    <w:rsid w:val="009516A3"/>
    <w:rsid w:val="009519F4"/>
    <w:rsid w:val="00952092"/>
    <w:rsid w:val="0095267E"/>
    <w:rsid w:val="00952EBB"/>
    <w:rsid w:val="00952F24"/>
    <w:rsid w:val="0095370E"/>
    <w:rsid w:val="009538B7"/>
    <w:rsid w:val="00953B5D"/>
    <w:rsid w:val="00953D3D"/>
    <w:rsid w:val="00953F68"/>
    <w:rsid w:val="00953F70"/>
    <w:rsid w:val="009543D8"/>
    <w:rsid w:val="009545D6"/>
    <w:rsid w:val="00954BC0"/>
    <w:rsid w:val="00954F67"/>
    <w:rsid w:val="0095517A"/>
    <w:rsid w:val="00955AA9"/>
    <w:rsid w:val="00955AB2"/>
    <w:rsid w:val="00955E60"/>
    <w:rsid w:val="00955EC8"/>
    <w:rsid w:val="0095699A"/>
    <w:rsid w:val="00956A1C"/>
    <w:rsid w:val="00956B34"/>
    <w:rsid w:val="0095702D"/>
    <w:rsid w:val="009571A6"/>
    <w:rsid w:val="0095752A"/>
    <w:rsid w:val="009577C1"/>
    <w:rsid w:val="009602BA"/>
    <w:rsid w:val="00960B7D"/>
    <w:rsid w:val="00961456"/>
    <w:rsid w:val="009615D7"/>
    <w:rsid w:val="00961C96"/>
    <w:rsid w:val="00962B17"/>
    <w:rsid w:val="00962C63"/>
    <w:rsid w:val="00962D17"/>
    <w:rsid w:val="00963D17"/>
    <w:rsid w:val="00963D45"/>
    <w:rsid w:val="009640B5"/>
    <w:rsid w:val="00964414"/>
    <w:rsid w:val="00964459"/>
    <w:rsid w:val="009657D5"/>
    <w:rsid w:val="009659E3"/>
    <w:rsid w:val="00965F9F"/>
    <w:rsid w:val="00966141"/>
    <w:rsid w:val="009662EC"/>
    <w:rsid w:val="00966611"/>
    <w:rsid w:val="009669CC"/>
    <w:rsid w:val="00967655"/>
    <w:rsid w:val="00967AC3"/>
    <w:rsid w:val="00970F12"/>
    <w:rsid w:val="00970FB5"/>
    <w:rsid w:val="009710BF"/>
    <w:rsid w:val="009711B7"/>
    <w:rsid w:val="00971874"/>
    <w:rsid w:val="00971F83"/>
    <w:rsid w:val="00972061"/>
    <w:rsid w:val="0097245C"/>
    <w:rsid w:val="009725FE"/>
    <w:rsid w:val="0097282B"/>
    <w:rsid w:val="00972BB5"/>
    <w:rsid w:val="00972DAC"/>
    <w:rsid w:val="00972EEC"/>
    <w:rsid w:val="00973747"/>
    <w:rsid w:val="00973A35"/>
    <w:rsid w:val="00973CF7"/>
    <w:rsid w:val="00974A1E"/>
    <w:rsid w:val="00974D8B"/>
    <w:rsid w:val="0097559A"/>
    <w:rsid w:val="00975D48"/>
    <w:rsid w:val="009761A9"/>
    <w:rsid w:val="00976546"/>
    <w:rsid w:val="00976FCF"/>
    <w:rsid w:val="009770E0"/>
    <w:rsid w:val="00980BAC"/>
    <w:rsid w:val="00980F3F"/>
    <w:rsid w:val="00981453"/>
    <w:rsid w:val="00981D1C"/>
    <w:rsid w:val="00982214"/>
    <w:rsid w:val="009823D4"/>
    <w:rsid w:val="00982474"/>
    <w:rsid w:val="00982FA3"/>
    <w:rsid w:val="009830D6"/>
    <w:rsid w:val="00983146"/>
    <w:rsid w:val="0098315C"/>
    <w:rsid w:val="00983285"/>
    <w:rsid w:val="00984256"/>
    <w:rsid w:val="00984672"/>
    <w:rsid w:val="00984F97"/>
    <w:rsid w:val="009853FD"/>
    <w:rsid w:val="0098569D"/>
    <w:rsid w:val="00985A09"/>
    <w:rsid w:val="00986277"/>
    <w:rsid w:val="009866A3"/>
    <w:rsid w:val="0098693D"/>
    <w:rsid w:val="00986B38"/>
    <w:rsid w:val="00986EA5"/>
    <w:rsid w:val="009871BC"/>
    <w:rsid w:val="00990343"/>
    <w:rsid w:val="009905E1"/>
    <w:rsid w:val="0099064C"/>
    <w:rsid w:val="0099078A"/>
    <w:rsid w:val="0099097F"/>
    <w:rsid w:val="00992097"/>
    <w:rsid w:val="00992510"/>
    <w:rsid w:val="0099270B"/>
    <w:rsid w:val="00992869"/>
    <w:rsid w:val="00992914"/>
    <w:rsid w:val="00992C47"/>
    <w:rsid w:val="00993776"/>
    <w:rsid w:val="00993832"/>
    <w:rsid w:val="00993F15"/>
    <w:rsid w:val="009944B9"/>
    <w:rsid w:val="009947D5"/>
    <w:rsid w:val="00994B69"/>
    <w:rsid w:val="00994CF8"/>
    <w:rsid w:val="00994E90"/>
    <w:rsid w:val="0099551B"/>
    <w:rsid w:val="009955E2"/>
    <w:rsid w:val="00995629"/>
    <w:rsid w:val="009959A5"/>
    <w:rsid w:val="00995C16"/>
    <w:rsid w:val="0099625A"/>
    <w:rsid w:val="009965BC"/>
    <w:rsid w:val="0099662E"/>
    <w:rsid w:val="00996EC1"/>
    <w:rsid w:val="00997258"/>
    <w:rsid w:val="00997913"/>
    <w:rsid w:val="00997C19"/>
    <w:rsid w:val="00997D06"/>
    <w:rsid w:val="009A0415"/>
    <w:rsid w:val="009A04CD"/>
    <w:rsid w:val="009A0E31"/>
    <w:rsid w:val="009A177E"/>
    <w:rsid w:val="009A186D"/>
    <w:rsid w:val="009A1AE9"/>
    <w:rsid w:val="009A22E6"/>
    <w:rsid w:val="009A2486"/>
    <w:rsid w:val="009A2690"/>
    <w:rsid w:val="009A2E6B"/>
    <w:rsid w:val="009A3307"/>
    <w:rsid w:val="009A3520"/>
    <w:rsid w:val="009A3547"/>
    <w:rsid w:val="009A39FF"/>
    <w:rsid w:val="009A3CB5"/>
    <w:rsid w:val="009A3EAF"/>
    <w:rsid w:val="009A3F33"/>
    <w:rsid w:val="009A5501"/>
    <w:rsid w:val="009A6621"/>
    <w:rsid w:val="009A6AEA"/>
    <w:rsid w:val="009A6CC5"/>
    <w:rsid w:val="009B0869"/>
    <w:rsid w:val="009B1F3A"/>
    <w:rsid w:val="009B22E0"/>
    <w:rsid w:val="009B2766"/>
    <w:rsid w:val="009B32F0"/>
    <w:rsid w:val="009B3EB4"/>
    <w:rsid w:val="009B3F21"/>
    <w:rsid w:val="009B42BE"/>
    <w:rsid w:val="009B54CC"/>
    <w:rsid w:val="009B5973"/>
    <w:rsid w:val="009B5B48"/>
    <w:rsid w:val="009B62E6"/>
    <w:rsid w:val="009B67C4"/>
    <w:rsid w:val="009B6A3F"/>
    <w:rsid w:val="009B6C51"/>
    <w:rsid w:val="009B6C5A"/>
    <w:rsid w:val="009B71E1"/>
    <w:rsid w:val="009C0448"/>
    <w:rsid w:val="009C0615"/>
    <w:rsid w:val="009C085F"/>
    <w:rsid w:val="009C0CF8"/>
    <w:rsid w:val="009C125A"/>
    <w:rsid w:val="009C1910"/>
    <w:rsid w:val="009C1CA0"/>
    <w:rsid w:val="009C1EB2"/>
    <w:rsid w:val="009C2675"/>
    <w:rsid w:val="009C2839"/>
    <w:rsid w:val="009C2DC4"/>
    <w:rsid w:val="009C3042"/>
    <w:rsid w:val="009C3413"/>
    <w:rsid w:val="009C386A"/>
    <w:rsid w:val="009C3CC9"/>
    <w:rsid w:val="009C3E9C"/>
    <w:rsid w:val="009C3FF5"/>
    <w:rsid w:val="009C46E5"/>
    <w:rsid w:val="009C4A32"/>
    <w:rsid w:val="009C4C14"/>
    <w:rsid w:val="009C4EE2"/>
    <w:rsid w:val="009C5AA3"/>
    <w:rsid w:val="009C5B3A"/>
    <w:rsid w:val="009C63AB"/>
    <w:rsid w:val="009C69D0"/>
    <w:rsid w:val="009C69F4"/>
    <w:rsid w:val="009C7163"/>
    <w:rsid w:val="009C7496"/>
    <w:rsid w:val="009C74F3"/>
    <w:rsid w:val="009C77A3"/>
    <w:rsid w:val="009C7A85"/>
    <w:rsid w:val="009D1082"/>
    <w:rsid w:val="009D143B"/>
    <w:rsid w:val="009D20AC"/>
    <w:rsid w:val="009D20C9"/>
    <w:rsid w:val="009D21C8"/>
    <w:rsid w:val="009D2242"/>
    <w:rsid w:val="009D26D8"/>
    <w:rsid w:val="009D30F9"/>
    <w:rsid w:val="009D3192"/>
    <w:rsid w:val="009D31C0"/>
    <w:rsid w:val="009D322C"/>
    <w:rsid w:val="009D334F"/>
    <w:rsid w:val="009D372A"/>
    <w:rsid w:val="009D3A26"/>
    <w:rsid w:val="009D3BAC"/>
    <w:rsid w:val="009D3BF3"/>
    <w:rsid w:val="009D3EDD"/>
    <w:rsid w:val="009D48AE"/>
    <w:rsid w:val="009D48BA"/>
    <w:rsid w:val="009D4B7E"/>
    <w:rsid w:val="009D4D48"/>
    <w:rsid w:val="009D4DC6"/>
    <w:rsid w:val="009D5106"/>
    <w:rsid w:val="009D66B9"/>
    <w:rsid w:val="009D6B77"/>
    <w:rsid w:val="009D6CA7"/>
    <w:rsid w:val="009D6CE1"/>
    <w:rsid w:val="009E01A5"/>
    <w:rsid w:val="009E14B2"/>
    <w:rsid w:val="009E1D15"/>
    <w:rsid w:val="009E1DFA"/>
    <w:rsid w:val="009E2138"/>
    <w:rsid w:val="009E23ED"/>
    <w:rsid w:val="009E26BC"/>
    <w:rsid w:val="009E2C68"/>
    <w:rsid w:val="009E3120"/>
    <w:rsid w:val="009E322C"/>
    <w:rsid w:val="009E3352"/>
    <w:rsid w:val="009E3479"/>
    <w:rsid w:val="009E387D"/>
    <w:rsid w:val="009E453D"/>
    <w:rsid w:val="009E4D10"/>
    <w:rsid w:val="009E4DD7"/>
    <w:rsid w:val="009E4DFF"/>
    <w:rsid w:val="009E4E4C"/>
    <w:rsid w:val="009E5013"/>
    <w:rsid w:val="009E54B2"/>
    <w:rsid w:val="009E56B0"/>
    <w:rsid w:val="009E5917"/>
    <w:rsid w:val="009E5A1B"/>
    <w:rsid w:val="009E6223"/>
    <w:rsid w:val="009E725F"/>
    <w:rsid w:val="009E7772"/>
    <w:rsid w:val="009E7918"/>
    <w:rsid w:val="009E79CF"/>
    <w:rsid w:val="009E7F2E"/>
    <w:rsid w:val="009F009C"/>
    <w:rsid w:val="009F0345"/>
    <w:rsid w:val="009F04F2"/>
    <w:rsid w:val="009F087D"/>
    <w:rsid w:val="009F0A8F"/>
    <w:rsid w:val="009F231C"/>
    <w:rsid w:val="009F2512"/>
    <w:rsid w:val="009F2C7D"/>
    <w:rsid w:val="009F2F9B"/>
    <w:rsid w:val="009F32F7"/>
    <w:rsid w:val="009F40CE"/>
    <w:rsid w:val="009F4CDA"/>
    <w:rsid w:val="009F59BF"/>
    <w:rsid w:val="009F5F68"/>
    <w:rsid w:val="009F68C8"/>
    <w:rsid w:val="009F776E"/>
    <w:rsid w:val="00A00F42"/>
    <w:rsid w:val="00A01519"/>
    <w:rsid w:val="00A0195A"/>
    <w:rsid w:val="00A02C8F"/>
    <w:rsid w:val="00A02D3C"/>
    <w:rsid w:val="00A02FEC"/>
    <w:rsid w:val="00A032EA"/>
    <w:rsid w:val="00A03C2B"/>
    <w:rsid w:val="00A03DD9"/>
    <w:rsid w:val="00A0408F"/>
    <w:rsid w:val="00A04E68"/>
    <w:rsid w:val="00A05088"/>
    <w:rsid w:val="00A05975"/>
    <w:rsid w:val="00A05EAA"/>
    <w:rsid w:val="00A0608D"/>
    <w:rsid w:val="00A060BE"/>
    <w:rsid w:val="00A065C1"/>
    <w:rsid w:val="00A0695E"/>
    <w:rsid w:val="00A07D26"/>
    <w:rsid w:val="00A1036E"/>
    <w:rsid w:val="00A104A1"/>
    <w:rsid w:val="00A10D80"/>
    <w:rsid w:val="00A10FC7"/>
    <w:rsid w:val="00A10FE2"/>
    <w:rsid w:val="00A11671"/>
    <w:rsid w:val="00A1187C"/>
    <w:rsid w:val="00A12779"/>
    <w:rsid w:val="00A12CCC"/>
    <w:rsid w:val="00A12D1A"/>
    <w:rsid w:val="00A12E07"/>
    <w:rsid w:val="00A12F3D"/>
    <w:rsid w:val="00A13A4E"/>
    <w:rsid w:val="00A14780"/>
    <w:rsid w:val="00A15566"/>
    <w:rsid w:val="00A15B2D"/>
    <w:rsid w:val="00A163CD"/>
    <w:rsid w:val="00A1668A"/>
    <w:rsid w:val="00A16778"/>
    <w:rsid w:val="00A16B57"/>
    <w:rsid w:val="00A16D7D"/>
    <w:rsid w:val="00A17752"/>
    <w:rsid w:val="00A20224"/>
    <w:rsid w:val="00A21424"/>
    <w:rsid w:val="00A21997"/>
    <w:rsid w:val="00A2247E"/>
    <w:rsid w:val="00A23A98"/>
    <w:rsid w:val="00A24217"/>
    <w:rsid w:val="00A244E9"/>
    <w:rsid w:val="00A24622"/>
    <w:rsid w:val="00A246A3"/>
    <w:rsid w:val="00A2591D"/>
    <w:rsid w:val="00A259A8"/>
    <w:rsid w:val="00A25ABB"/>
    <w:rsid w:val="00A25E17"/>
    <w:rsid w:val="00A25E39"/>
    <w:rsid w:val="00A267F3"/>
    <w:rsid w:val="00A26827"/>
    <w:rsid w:val="00A26D47"/>
    <w:rsid w:val="00A26DA7"/>
    <w:rsid w:val="00A26F41"/>
    <w:rsid w:val="00A26F88"/>
    <w:rsid w:val="00A275A1"/>
    <w:rsid w:val="00A275D1"/>
    <w:rsid w:val="00A2784C"/>
    <w:rsid w:val="00A27B57"/>
    <w:rsid w:val="00A30748"/>
    <w:rsid w:val="00A30FF6"/>
    <w:rsid w:val="00A313B3"/>
    <w:rsid w:val="00A314DC"/>
    <w:rsid w:val="00A31D00"/>
    <w:rsid w:val="00A32051"/>
    <w:rsid w:val="00A32AE0"/>
    <w:rsid w:val="00A32B77"/>
    <w:rsid w:val="00A32BB4"/>
    <w:rsid w:val="00A3388B"/>
    <w:rsid w:val="00A33CCF"/>
    <w:rsid w:val="00A33E8A"/>
    <w:rsid w:val="00A3413C"/>
    <w:rsid w:val="00A345F4"/>
    <w:rsid w:val="00A34CF8"/>
    <w:rsid w:val="00A356E2"/>
    <w:rsid w:val="00A35D65"/>
    <w:rsid w:val="00A36CF6"/>
    <w:rsid w:val="00A36EC5"/>
    <w:rsid w:val="00A37EDA"/>
    <w:rsid w:val="00A4035D"/>
    <w:rsid w:val="00A40CEE"/>
    <w:rsid w:val="00A40FFD"/>
    <w:rsid w:val="00A413A3"/>
    <w:rsid w:val="00A42D15"/>
    <w:rsid w:val="00A43270"/>
    <w:rsid w:val="00A443EC"/>
    <w:rsid w:val="00A4539E"/>
    <w:rsid w:val="00A46080"/>
    <w:rsid w:val="00A461CB"/>
    <w:rsid w:val="00A46776"/>
    <w:rsid w:val="00A46C32"/>
    <w:rsid w:val="00A46C6C"/>
    <w:rsid w:val="00A46EB1"/>
    <w:rsid w:val="00A47A54"/>
    <w:rsid w:val="00A47C59"/>
    <w:rsid w:val="00A50FEC"/>
    <w:rsid w:val="00A51459"/>
    <w:rsid w:val="00A514D0"/>
    <w:rsid w:val="00A51FC3"/>
    <w:rsid w:val="00A532FC"/>
    <w:rsid w:val="00A53624"/>
    <w:rsid w:val="00A53AC1"/>
    <w:rsid w:val="00A54F72"/>
    <w:rsid w:val="00A565B6"/>
    <w:rsid w:val="00A567E2"/>
    <w:rsid w:val="00A56806"/>
    <w:rsid w:val="00A57D66"/>
    <w:rsid w:val="00A57DFB"/>
    <w:rsid w:val="00A57F15"/>
    <w:rsid w:val="00A60066"/>
    <w:rsid w:val="00A60179"/>
    <w:rsid w:val="00A60B80"/>
    <w:rsid w:val="00A615DA"/>
    <w:rsid w:val="00A6175A"/>
    <w:rsid w:val="00A61782"/>
    <w:rsid w:val="00A61FD9"/>
    <w:rsid w:val="00A61FDA"/>
    <w:rsid w:val="00A629A1"/>
    <w:rsid w:val="00A632C9"/>
    <w:rsid w:val="00A63850"/>
    <w:rsid w:val="00A64787"/>
    <w:rsid w:val="00A648E9"/>
    <w:rsid w:val="00A65181"/>
    <w:rsid w:val="00A6587D"/>
    <w:rsid w:val="00A658FC"/>
    <w:rsid w:val="00A6654A"/>
    <w:rsid w:val="00A66C0D"/>
    <w:rsid w:val="00A66E00"/>
    <w:rsid w:val="00A67076"/>
    <w:rsid w:val="00A6748B"/>
    <w:rsid w:val="00A675BA"/>
    <w:rsid w:val="00A6764D"/>
    <w:rsid w:val="00A67934"/>
    <w:rsid w:val="00A67D4A"/>
    <w:rsid w:val="00A67FCB"/>
    <w:rsid w:val="00A70010"/>
    <w:rsid w:val="00A703AE"/>
    <w:rsid w:val="00A70415"/>
    <w:rsid w:val="00A709AE"/>
    <w:rsid w:val="00A70D58"/>
    <w:rsid w:val="00A70DCB"/>
    <w:rsid w:val="00A70E5B"/>
    <w:rsid w:val="00A71FD1"/>
    <w:rsid w:val="00A720C2"/>
    <w:rsid w:val="00A7246E"/>
    <w:rsid w:val="00A7248F"/>
    <w:rsid w:val="00A72733"/>
    <w:rsid w:val="00A72BC8"/>
    <w:rsid w:val="00A72C04"/>
    <w:rsid w:val="00A72FE2"/>
    <w:rsid w:val="00A73341"/>
    <w:rsid w:val="00A748ED"/>
    <w:rsid w:val="00A74994"/>
    <w:rsid w:val="00A75386"/>
    <w:rsid w:val="00A7593A"/>
    <w:rsid w:val="00A7597F"/>
    <w:rsid w:val="00A75D3F"/>
    <w:rsid w:val="00A768C8"/>
    <w:rsid w:val="00A76C21"/>
    <w:rsid w:val="00A76DE9"/>
    <w:rsid w:val="00A77727"/>
    <w:rsid w:val="00A80096"/>
    <w:rsid w:val="00A8226A"/>
    <w:rsid w:val="00A82941"/>
    <w:rsid w:val="00A82C0E"/>
    <w:rsid w:val="00A82E1B"/>
    <w:rsid w:val="00A834D6"/>
    <w:rsid w:val="00A83512"/>
    <w:rsid w:val="00A83DBC"/>
    <w:rsid w:val="00A84746"/>
    <w:rsid w:val="00A847AE"/>
    <w:rsid w:val="00A84A0E"/>
    <w:rsid w:val="00A84AA3"/>
    <w:rsid w:val="00A84AD5"/>
    <w:rsid w:val="00A84D2C"/>
    <w:rsid w:val="00A84DE7"/>
    <w:rsid w:val="00A85084"/>
    <w:rsid w:val="00A855FE"/>
    <w:rsid w:val="00A85836"/>
    <w:rsid w:val="00A85E79"/>
    <w:rsid w:val="00A85F29"/>
    <w:rsid w:val="00A8613B"/>
    <w:rsid w:val="00A86203"/>
    <w:rsid w:val="00A86229"/>
    <w:rsid w:val="00A86CFE"/>
    <w:rsid w:val="00A86D62"/>
    <w:rsid w:val="00A87982"/>
    <w:rsid w:val="00A87C2F"/>
    <w:rsid w:val="00A904F2"/>
    <w:rsid w:val="00A90A9D"/>
    <w:rsid w:val="00A90EEA"/>
    <w:rsid w:val="00A90EFD"/>
    <w:rsid w:val="00A9108C"/>
    <w:rsid w:val="00A911A0"/>
    <w:rsid w:val="00A91363"/>
    <w:rsid w:val="00A91450"/>
    <w:rsid w:val="00A91B63"/>
    <w:rsid w:val="00A920B1"/>
    <w:rsid w:val="00A920C6"/>
    <w:rsid w:val="00A92564"/>
    <w:rsid w:val="00A92DB9"/>
    <w:rsid w:val="00A93738"/>
    <w:rsid w:val="00A94084"/>
    <w:rsid w:val="00A9446E"/>
    <w:rsid w:val="00A946D1"/>
    <w:rsid w:val="00A94935"/>
    <w:rsid w:val="00A95D9D"/>
    <w:rsid w:val="00A96130"/>
    <w:rsid w:val="00A967EB"/>
    <w:rsid w:val="00A96852"/>
    <w:rsid w:val="00A96D1C"/>
    <w:rsid w:val="00A9791D"/>
    <w:rsid w:val="00A97D4A"/>
    <w:rsid w:val="00A97DB8"/>
    <w:rsid w:val="00AA0209"/>
    <w:rsid w:val="00AA03A6"/>
    <w:rsid w:val="00AA1128"/>
    <w:rsid w:val="00AA1348"/>
    <w:rsid w:val="00AA1743"/>
    <w:rsid w:val="00AA1A7C"/>
    <w:rsid w:val="00AA1ADA"/>
    <w:rsid w:val="00AA2053"/>
    <w:rsid w:val="00AA20B3"/>
    <w:rsid w:val="00AA2A7D"/>
    <w:rsid w:val="00AA2A95"/>
    <w:rsid w:val="00AA2ECC"/>
    <w:rsid w:val="00AA3A3E"/>
    <w:rsid w:val="00AA3B94"/>
    <w:rsid w:val="00AA3C94"/>
    <w:rsid w:val="00AA41D4"/>
    <w:rsid w:val="00AA4203"/>
    <w:rsid w:val="00AA4775"/>
    <w:rsid w:val="00AA488F"/>
    <w:rsid w:val="00AA5377"/>
    <w:rsid w:val="00AA5515"/>
    <w:rsid w:val="00AA567F"/>
    <w:rsid w:val="00AA583C"/>
    <w:rsid w:val="00AA60F4"/>
    <w:rsid w:val="00AA61FE"/>
    <w:rsid w:val="00AA65CF"/>
    <w:rsid w:val="00AA6A88"/>
    <w:rsid w:val="00AA749F"/>
    <w:rsid w:val="00AA74C2"/>
    <w:rsid w:val="00AB02DD"/>
    <w:rsid w:val="00AB045C"/>
    <w:rsid w:val="00AB05BB"/>
    <w:rsid w:val="00AB090C"/>
    <w:rsid w:val="00AB0F9A"/>
    <w:rsid w:val="00AB1160"/>
    <w:rsid w:val="00AB1411"/>
    <w:rsid w:val="00AB142E"/>
    <w:rsid w:val="00AB1C10"/>
    <w:rsid w:val="00AB212D"/>
    <w:rsid w:val="00AB32C1"/>
    <w:rsid w:val="00AB3552"/>
    <w:rsid w:val="00AB4923"/>
    <w:rsid w:val="00AB49C3"/>
    <w:rsid w:val="00AB4EF1"/>
    <w:rsid w:val="00AB52AD"/>
    <w:rsid w:val="00AB55F8"/>
    <w:rsid w:val="00AB5DF2"/>
    <w:rsid w:val="00AB613A"/>
    <w:rsid w:val="00AB6C4D"/>
    <w:rsid w:val="00AB72B2"/>
    <w:rsid w:val="00AB72B3"/>
    <w:rsid w:val="00AB7866"/>
    <w:rsid w:val="00AC0C79"/>
    <w:rsid w:val="00AC0F1D"/>
    <w:rsid w:val="00AC14B5"/>
    <w:rsid w:val="00AC1D3B"/>
    <w:rsid w:val="00AC226A"/>
    <w:rsid w:val="00AC246C"/>
    <w:rsid w:val="00AC2FB2"/>
    <w:rsid w:val="00AC30BF"/>
    <w:rsid w:val="00AC3229"/>
    <w:rsid w:val="00AC32FB"/>
    <w:rsid w:val="00AC3ADE"/>
    <w:rsid w:val="00AC3BFC"/>
    <w:rsid w:val="00AC3F58"/>
    <w:rsid w:val="00AC4117"/>
    <w:rsid w:val="00AC4C44"/>
    <w:rsid w:val="00AC4C92"/>
    <w:rsid w:val="00AC4E28"/>
    <w:rsid w:val="00AC4E71"/>
    <w:rsid w:val="00AC4F7E"/>
    <w:rsid w:val="00AC5700"/>
    <w:rsid w:val="00AC5A64"/>
    <w:rsid w:val="00AC6614"/>
    <w:rsid w:val="00AC69BB"/>
    <w:rsid w:val="00AC7042"/>
    <w:rsid w:val="00AC752F"/>
    <w:rsid w:val="00AC7B8D"/>
    <w:rsid w:val="00AC7E49"/>
    <w:rsid w:val="00AD07AB"/>
    <w:rsid w:val="00AD099F"/>
    <w:rsid w:val="00AD09E1"/>
    <w:rsid w:val="00AD0D2F"/>
    <w:rsid w:val="00AD1A1C"/>
    <w:rsid w:val="00AD1C10"/>
    <w:rsid w:val="00AD1EB5"/>
    <w:rsid w:val="00AD2AC4"/>
    <w:rsid w:val="00AD2E7B"/>
    <w:rsid w:val="00AD2F8F"/>
    <w:rsid w:val="00AD3685"/>
    <w:rsid w:val="00AD3805"/>
    <w:rsid w:val="00AD3F4F"/>
    <w:rsid w:val="00AD403C"/>
    <w:rsid w:val="00AD4153"/>
    <w:rsid w:val="00AD4838"/>
    <w:rsid w:val="00AD49E6"/>
    <w:rsid w:val="00AD52BC"/>
    <w:rsid w:val="00AD5420"/>
    <w:rsid w:val="00AD5531"/>
    <w:rsid w:val="00AD56CF"/>
    <w:rsid w:val="00AD57BB"/>
    <w:rsid w:val="00AD5B97"/>
    <w:rsid w:val="00AD5BF7"/>
    <w:rsid w:val="00AD5DDB"/>
    <w:rsid w:val="00AD5E3E"/>
    <w:rsid w:val="00AD5E45"/>
    <w:rsid w:val="00AD6001"/>
    <w:rsid w:val="00AD60B8"/>
    <w:rsid w:val="00AD60EF"/>
    <w:rsid w:val="00AD612C"/>
    <w:rsid w:val="00AD6BF8"/>
    <w:rsid w:val="00AD734C"/>
    <w:rsid w:val="00AD7922"/>
    <w:rsid w:val="00AE0413"/>
    <w:rsid w:val="00AE05BF"/>
    <w:rsid w:val="00AE0D8D"/>
    <w:rsid w:val="00AE1A1D"/>
    <w:rsid w:val="00AE23C8"/>
    <w:rsid w:val="00AE2653"/>
    <w:rsid w:val="00AE265A"/>
    <w:rsid w:val="00AE268D"/>
    <w:rsid w:val="00AE308D"/>
    <w:rsid w:val="00AE36D1"/>
    <w:rsid w:val="00AE3DDB"/>
    <w:rsid w:val="00AE4746"/>
    <w:rsid w:val="00AE4A64"/>
    <w:rsid w:val="00AE5771"/>
    <w:rsid w:val="00AE59FC"/>
    <w:rsid w:val="00AE5A01"/>
    <w:rsid w:val="00AE646F"/>
    <w:rsid w:val="00AE684A"/>
    <w:rsid w:val="00AE6AAF"/>
    <w:rsid w:val="00AE6B19"/>
    <w:rsid w:val="00AE6CA8"/>
    <w:rsid w:val="00AE6E97"/>
    <w:rsid w:val="00AE758E"/>
    <w:rsid w:val="00AE77B0"/>
    <w:rsid w:val="00AE7D2D"/>
    <w:rsid w:val="00AE7E53"/>
    <w:rsid w:val="00AF059D"/>
    <w:rsid w:val="00AF077D"/>
    <w:rsid w:val="00AF0992"/>
    <w:rsid w:val="00AF0C7C"/>
    <w:rsid w:val="00AF0D62"/>
    <w:rsid w:val="00AF0EB3"/>
    <w:rsid w:val="00AF1281"/>
    <w:rsid w:val="00AF14C8"/>
    <w:rsid w:val="00AF20CB"/>
    <w:rsid w:val="00AF23D9"/>
    <w:rsid w:val="00AF290E"/>
    <w:rsid w:val="00AF29FA"/>
    <w:rsid w:val="00AF2E84"/>
    <w:rsid w:val="00AF37D5"/>
    <w:rsid w:val="00AF381B"/>
    <w:rsid w:val="00AF3E6D"/>
    <w:rsid w:val="00AF3F63"/>
    <w:rsid w:val="00AF4345"/>
    <w:rsid w:val="00AF463B"/>
    <w:rsid w:val="00AF49BB"/>
    <w:rsid w:val="00AF4CC5"/>
    <w:rsid w:val="00AF4EB2"/>
    <w:rsid w:val="00AF5319"/>
    <w:rsid w:val="00AF57D8"/>
    <w:rsid w:val="00AF5D76"/>
    <w:rsid w:val="00AF5DFE"/>
    <w:rsid w:val="00AF5FBB"/>
    <w:rsid w:val="00AF608B"/>
    <w:rsid w:val="00AF6A53"/>
    <w:rsid w:val="00AF6A59"/>
    <w:rsid w:val="00AF7968"/>
    <w:rsid w:val="00AF7BDD"/>
    <w:rsid w:val="00B0037C"/>
    <w:rsid w:val="00B00B81"/>
    <w:rsid w:val="00B00F8C"/>
    <w:rsid w:val="00B00FC9"/>
    <w:rsid w:val="00B00FEC"/>
    <w:rsid w:val="00B01F0D"/>
    <w:rsid w:val="00B02145"/>
    <w:rsid w:val="00B0220D"/>
    <w:rsid w:val="00B02406"/>
    <w:rsid w:val="00B02F0C"/>
    <w:rsid w:val="00B03471"/>
    <w:rsid w:val="00B03576"/>
    <w:rsid w:val="00B03776"/>
    <w:rsid w:val="00B03ED8"/>
    <w:rsid w:val="00B0401D"/>
    <w:rsid w:val="00B04124"/>
    <w:rsid w:val="00B042D2"/>
    <w:rsid w:val="00B04E8D"/>
    <w:rsid w:val="00B04F2D"/>
    <w:rsid w:val="00B04F50"/>
    <w:rsid w:val="00B0542F"/>
    <w:rsid w:val="00B05A05"/>
    <w:rsid w:val="00B06089"/>
    <w:rsid w:val="00B06495"/>
    <w:rsid w:val="00B064F1"/>
    <w:rsid w:val="00B06DA3"/>
    <w:rsid w:val="00B075CE"/>
    <w:rsid w:val="00B0762C"/>
    <w:rsid w:val="00B109DF"/>
    <w:rsid w:val="00B10AB8"/>
    <w:rsid w:val="00B118E1"/>
    <w:rsid w:val="00B11A39"/>
    <w:rsid w:val="00B11A5F"/>
    <w:rsid w:val="00B11A9A"/>
    <w:rsid w:val="00B120CF"/>
    <w:rsid w:val="00B1210E"/>
    <w:rsid w:val="00B1243E"/>
    <w:rsid w:val="00B129BD"/>
    <w:rsid w:val="00B12BDA"/>
    <w:rsid w:val="00B136B4"/>
    <w:rsid w:val="00B13CA0"/>
    <w:rsid w:val="00B13D2B"/>
    <w:rsid w:val="00B13F2E"/>
    <w:rsid w:val="00B14011"/>
    <w:rsid w:val="00B14793"/>
    <w:rsid w:val="00B1495D"/>
    <w:rsid w:val="00B15075"/>
    <w:rsid w:val="00B15573"/>
    <w:rsid w:val="00B15636"/>
    <w:rsid w:val="00B15774"/>
    <w:rsid w:val="00B15DB9"/>
    <w:rsid w:val="00B166DB"/>
    <w:rsid w:val="00B171D5"/>
    <w:rsid w:val="00B177CA"/>
    <w:rsid w:val="00B1780E"/>
    <w:rsid w:val="00B200D3"/>
    <w:rsid w:val="00B2060E"/>
    <w:rsid w:val="00B20DCF"/>
    <w:rsid w:val="00B20F8A"/>
    <w:rsid w:val="00B215EB"/>
    <w:rsid w:val="00B22522"/>
    <w:rsid w:val="00B2288A"/>
    <w:rsid w:val="00B24D66"/>
    <w:rsid w:val="00B258AF"/>
    <w:rsid w:val="00B264B0"/>
    <w:rsid w:val="00B26AC6"/>
    <w:rsid w:val="00B26CDB"/>
    <w:rsid w:val="00B26ECF"/>
    <w:rsid w:val="00B27444"/>
    <w:rsid w:val="00B27734"/>
    <w:rsid w:val="00B27771"/>
    <w:rsid w:val="00B27787"/>
    <w:rsid w:val="00B278D7"/>
    <w:rsid w:val="00B3091E"/>
    <w:rsid w:val="00B31459"/>
    <w:rsid w:val="00B31602"/>
    <w:rsid w:val="00B319FE"/>
    <w:rsid w:val="00B3232C"/>
    <w:rsid w:val="00B32F2E"/>
    <w:rsid w:val="00B33121"/>
    <w:rsid w:val="00B331B8"/>
    <w:rsid w:val="00B33786"/>
    <w:rsid w:val="00B337A4"/>
    <w:rsid w:val="00B33BBD"/>
    <w:rsid w:val="00B34725"/>
    <w:rsid w:val="00B34DF7"/>
    <w:rsid w:val="00B350A1"/>
    <w:rsid w:val="00B355F0"/>
    <w:rsid w:val="00B3578C"/>
    <w:rsid w:val="00B35FB6"/>
    <w:rsid w:val="00B36D9E"/>
    <w:rsid w:val="00B37034"/>
    <w:rsid w:val="00B37311"/>
    <w:rsid w:val="00B373FB"/>
    <w:rsid w:val="00B37627"/>
    <w:rsid w:val="00B376E9"/>
    <w:rsid w:val="00B37975"/>
    <w:rsid w:val="00B40B57"/>
    <w:rsid w:val="00B4106F"/>
    <w:rsid w:val="00B418A6"/>
    <w:rsid w:val="00B41BE7"/>
    <w:rsid w:val="00B424F7"/>
    <w:rsid w:val="00B42568"/>
    <w:rsid w:val="00B42E2A"/>
    <w:rsid w:val="00B4316E"/>
    <w:rsid w:val="00B4339F"/>
    <w:rsid w:val="00B4381B"/>
    <w:rsid w:val="00B4383C"/>
    <w:rsid w:val="00B43959"/>
    <w:rsid w:val="00B4403D"/>
    <w:rsid w:val="00B44277"/>
    <w:rsid w:val="00B45847"/>
    <w:rsid w:val="00B46068"/>
    <w:rsid w:val="00B460A1"/>
    <w:rsid w:val="00B46275"/>
    <w:rsid w:val="00B464C7"/>
    <w:rsid w:val="00B4658A"/>
    <w:rsid w:val="00B4667E"/>
    <w:rsid w:val="00B4733F"/>
    <w:rsid w:val="00B4758E"/>
    <w:rsid w:val="00B47933"/>
    <w:rsid w:val="00B47CBB"/>
    <w:rsid w:val="00B5083E"/>
    <w:rsid w:val="00B50895"/>
    <w:rsid w:val="00B50ADB"/>
    <w:rsid w:val="00B51604"/>
    <w:rsid w:val="00B51711"/>
    <w:rsid w:val="00B51F64"/>
    <w:rsid w:val="00B5278D"/>
    <w:rsid w:val="00B528C3"/>
    <w:rsid w:val="00B52EC8"/>
    <w:rsid w:val="00B533D1"/>
    <w:rsid w:val="00B53B4E"/>
    <w:rsid w:val="00B53C5F"/>
    <w:rsid w:val="00B54A27"/>
    <w:rsid w:val="00B54BD8"/>
    <w:rsid w:val="00B555B0"/>
    <w:rsid w:val="00B555B7"/>
    <w:rsid w:val="00B5596C"/>
    <w:rsid w:val="00B569B2"/>
    <w:rsid w:val="00B56FBD"/>
    <w:rsid w:val="00B5715A"/>
    <w:rsid w:val="00B57327"/>
    <w:rsid w:val="00B6002D"/>
    <w:rsid w:val="00B6010B"/>
    <w:rsid w:val="00B602E5"/>
    <w:rsid w:val="00B60A35"/>
    <w:rsid w:val="00B61262"/>
    <w:rsid w:val="00B6210A"/>
    <w:rsid w:val="00B6220A"/>
    <w:rsid w:val="00B629F3"/>
    <w:rsid w:val="00B6327C"/>
    <w:rsid w:val="00B63302"/>
    <w:rsid w:val="00B6344C"/>
    <w:rsid w:val="00B63775"/>
    <w:rsid w:val="00B640CF"/>
    <w:rsid w:val="00B653BA"/>
    <w:rsid w:val="00B65828"/>
    <w:rsid w:val="00B65C96"/>
    <w:rsid w:val="00B65E01"/>
    <w:rsid w:val="00B665BB"/>
    <w:rsid w:val="00B66800"/>
    <w:rsid w:val="00B668CA"/>
    <w:rsid w:val="00B66AB0"/>
    <w:rsid w:val="00B6724F"/>
    <w:rsid w:val="00B677D7"/>
    <w:rsid w:val="00B7095E"/>
    <w:rsid w:val="00B70C27"/>
    <w:rsid w:val="00B70ED8"/>
    <w:rsid w:val="00B710E0"/>
    <w:rsid w:val="00B7162D"/>
    <w:rsid w:val="00B71E56"/>
    <w:rsid w:val="00B71F94"/>
    <w:rsid w:val="00B72189"/>
    <w:rsid w:val="00B727DF"/>
    <w:rsid w:val="00B72CF9"/>
    <w:rsid w:val="00B72EE9"/>
    <w:rsid w:val="00B73534"/>
    <w:rsid w:val="00B73637"/>
    <w:rsid w:val="00B737F4"/>
    <w:rsid w:val="00B73C64"/>
    <w:rsid w:val="00B73D34"/>
    <w:rsid w:val="00B742B6"/>
    <w:rsid w:val="00B742C1"/>
    <w:rsid w:val="00B74720"/>
    <w:rsid w:val="00B74C99"/>
    <w:rsid w:val="00B74CF1"/>
    <w:rsid w:val="00B75032"/>
    <w:rsid w:val="00B750D5"/>
    <w:rsid w:val="00B7591C"/>
    <w:rsid w:val="00B75D1D"/>
    <w:rsid w:val="00B75E98"/>
    <w:rsid w:val="00B76A33"/>
    <w:rsid w:val="00B76A3F"/>
    <w:rsid w:val="00B76A7D"/>
    <w:rsid w:val="00B76CE1"/>
    <w:rsid w:val="00B76D38"/>
    <w:rsid w:val="00B76E98"/>
    <w:rsid w:val="00B776D5"/>
    <w:rsid w:val="00B77B7E"/>
    <w:rsid w:val="00B80744"/>
    <w:rsid w:val="00B80979"/>
    <w:rsid w:val="00B818AA"/>
    <w:rsid w:val="00B81B66"/>
    <w:rsid w:val="00B81BC2"/>
    <w:rsid w:val="00B81C75"/>
    <w:rsid w:val="00B81D8F"/>
    <w:rsid w:val="00B81ECA"/>
    <w:rsid w:val="00B81EEF"/>
    <w:rsid w:val="00B81F26"/>
    <w:rsid w:val="00B82CC8"/>
    <w:rsid w:val="00B82ECD"/>
    <w:rsid w:val="00B840BB"/>
    <w:rsid w:val="00B84C9F"/>
    <w:rsid w:val="00B8525F"/>
    <w:rsid w:val="00B856E9"/>
    <w:rsid w:val="00B85774"/>
    <w:rsid w:val="00B86429"/>
    <w:rsid w:val="00B8648F"/>
    <w:rsid w:val="00B866C7"/>
    <w:rsid w:val="00B86EFB"/>
    <w:rsid w:val="00B87563"/>
    <w:rsid w:val="00B87826"/>
    <w:rsid w:val="00B87DFD"/>
    <w:rsid w:val="00B87EBC"/>
    <w:rsid w:val="00B87FF0"/>
    <w:rsid w:val="00B90825"/>
    <w:rsid w:val="00B9084F"/>
    <w:rsid w:val="00B90862"/>
    <w:rsid w:val="00B90DD5"/>
    <w:rsid w:val="00B90E0D"/>
    <w:rsid w:val="00B912EC"/>
    <w:rsid w:val="00B91371"/>
    <w:rsid w:val="00B91777"/>
    <w:rsid w:val="00B917AC"/>
    <w:rsid w:val="00B91F77"/>
    <w:rsid w:val="00B9245D"/>
    <w:rsid w:val="00B926AC"/>
    <w:rsid w:val="00B92E6B"/>
    <w:rsid w:val="00B93043"/>
    <w:rsid w:val="00B93431"/>
    <w:rsid w:val="00B93500"/>
    <w:rsid w:val="00B939C9"/>
    <w:rsid w:val="00B93A7B"/>
    <w:rsid w:val="00B93D55"/>
    <w:rsid w:val="00B93D97"/>
    <w:rsid w:val="00B94392"/>
    <w:rsid w:val="00B955F5"/>
    <w:rsid w:val="00B95663"/>
    <w:rsid w:val="00B95A36"/>
    <w:rsid w:val="00B95B06"/>
    <w:rsid w:val="00B95CCC"/>
    <w:rsid w:val="00B95F44"/>
    <w:rsid w:val="00B96327"/>
    <w:rsid w:val="00B96D3C"/>
    <w:rsid w:val="00B97577"/>
    <w:rsid w:val="00BA0FE9"/>
    <w:rsid w:val="00BA139F"/>
    <w:rsid w:val="00BA1A0B"/>
    <w:rsid w:val="00BA1AA2"/>
    <w:rsid w:val="00BA1E85"/>
    <w:rsid w:val="00BA29AD"/>
    <w:rsid w:val="00BA2E99"/>
    <w:rsid w:val="00BA34EB"/>
    <w:rsid w:val="00BA359B"/>
    <w:rsid w:val="00BA39B7"/>
    <w:rsid w:val="00BA3A93"/>
    <w:rsid w:val="00BA4B1C"/>
    <w:rsid w:val="00BA4D05"/>
    <w:rsid w:val="00BA4D9A"/>
    <w:rsid w:val="00BA5165"/>
    <w:rsid w:val="00BA5599"/>
    <w:rsid w:val="00BA5975"/>
    <w:rsid w:val="00BA5A40"/>
    <w:rsid w:val="00BA5FD5"/>
    <w:rsid w:val="00BA60B3"/>
    <w:rsid w:val="00BA62AB"/>
    <w:rsid w:val="00BA7E0B"/>
    <w:rsid w:val="00BB0A39"/>
    <w:rsid w:val="00BB0DE3"/>
    <w:rsid w:val="00BB0EA0"/>
    <w:rsid w:val="00BB10CD"/>
    <w:rsid w:val="00BB10F0"/>
    <w:rsid w:val="00BB122E"/>
    <w:rsid w:val="00BB14FD"/>
    <w:rsid w:val="00BB17BA"/>
    <w:rsid w:val="00BB1E40"/>
    <w:rsid w:val="00BB25BB"/>
    <w:rsid w:val="00BB3382"/>
    <w:rsid w:val="00BB3E99"/>
    <w:rsid w:val="00BB4532"/>
    <w:rsid w:val="00BB4A61"/>
    <w:rsid w:val="00BB4A6F"/>
    <w:rsid w:val="00BB56B1"/>
    <w:rsid w:val="00BB573E"/>
    <w:rsid w:val="00BB5759"/>
    <w:rsid w:val="00BB5A30"/>
    <w:rsid w:val="00BB5B98"/>
    <w:rsid w:val="00BB7993"/>
    <w:rsid w:val="00BB7B85"/>
    <w:rsid w:val="00BB7BAC"/>
    <w:rsid w:val="00BB7BF9"/>
    <w:rsid w:val="00BB7D97"/>
    <w:rsid w:val="00BC05F9"/>
    <w:rsid w:val="00BC08D8"/>
    <w:rsid w:val="00BC08FC"/>
    <w:rsid w:val="00BC202D"/>
    <w:rsid w:val="00BC213B"/>
    <w:rsid w:val="00BC2964"/>
    <w:rsid w:val="00BC3112"/>
    <w:rsid w:val="00BC3776"/>
    <w:rsid w:val="00BC3D8E"/>
    <w:rsid w:val="00BC3E7F"/>
    <w:rsid w:val="00BC41B5"/>
    <w:rsid w:val="00BC4C09"/>
    <w:rsid w:val="00BC4C63"/>
    <w:rsid w:val="00BC54D1"/>
    <w:rsid w:val="00BC5DDA"/>
    <w:rsid w:val="00BC60A0"/>
    <w:rsid w:val="00BC6308"/>
    <w:rsid w:val="00BC63FE"/>
    <w:rsid w:val="00BC666D"/>
    <w:rsid w:val="00BC67A4"/>
    <w:rsid w:val="00BC6B4D"/>
    <w:rsid w:val="00BC6C4F"/>
    <w:rsid w:val="00BC76AA"/>
    <w:rsid w:val="00BC7D4A"/>
    <w:rsid w:val="00BD0095"/>
    <w:rsid w:val="00BD00AB"/>
    <w:rsid w:val="00BD04F0"/>
    <w:rsid w:val="00BD0AD2"/>
    <w:rsid w:val="00BD1290"/>
    <w:rsid w:val="00BD1CFB"/>
    <w:rsid w:val="00BD2B8F"/>
    <w:rsid w:val="00BD2CDD"/>
    <w:rsid w:val="00BD35B9"/>
    <w:rsid w:val="00BD368A"/>
    <w:rsid w:val="00BD36EC"/>
    <w:rsid w:val="00BD380B"/>
    <w:rsid w:val="00BD404E"/>
    <w:rsid w:val="00BD4A52"/>
    <w:rsid w:val="00BD51CA"/>
    <w:rsid w:val="00BD592C"/>
    <w:rsid w:val="00BD5CD2"/>
    <w:rsid w:val="00BD7138"/>
    <w:rsid w:val="00BD771B"/>
    <w:rsid w:val="00BD77B5"/>
    <w:rsid w:val="00BD77DE"/>
    <w:rsid w:val="00BD79C2"/>
    <w:rsid w:val="00BE01E0"/>
    <w:rsid w:val="00BE02F5"/>
    <w:rsid w:val="00BE0A47"/>
    <w:rsid w:val="00BE0DB7"/>
    <w:rsid w:val="00BE1196"/>
    <w:rsid w:val="00BE175B"/>
    <w:rsid w:val="00BE1F2E"/>
    <w:rsid w:val="00BE1FA7"/>
    <w:rsid w:val="00BE2AD7"/>
    <w:rsid w:val="00BE2BAA"/>
    <w:rsid w:val="00BE4CF8"/>
    <w:rsid w:val="00BE4E9F"/>
    <w:rsid w:val="00BE4F8D"/>
    <w:rsid w:val="00BE590A"/>
    <w:rsid w:val="00BE616A"/>
    <w:rsid w:val="00BE61FF"/>
    <w:rsid w:val="00BE770F"/>
    <w:rsid w:val="00BE778C"/>
    <w:rsid w:val="00BF01D4"/>
    <w:rsid w:val="00BF12D2"/>
    <w:rsid w:val="00BF20FB"/>
    <w:rsid w:val="00BF2261"/>
    <w:rsid w:val="00BF2997"/>
    <w:rsid w:val="00BF2A6A"/>
    <w:rsid w:val="00BF4C22"/>
    <w:rsid w:val="00BF4CD1"/>
    <w:rsid w:val="00BF4DD7"/>
    <w:rsid w:val="00BF51E4"/>
    <w:rsid w:val="00BF6043"/>
    <w:rsid w:val="00BF76ED"/>
    <w:rsid w:val="00C00156"/>
    <w:rsid w:val="00C003C3"/>
    <w:rsid w:val="00C006F6"/>
    <w:rsid w:val="00C00838"/>
    <w:rsid w:val="00C008C6"/>
    <w:rsid w:val="00C00B96"/>
    <w:rsid w:val="00C00BE6"/>
    <w:rsid w:val="00C00F80"/>
    <w:rsid w:val="00C01250"/>
    <w:rsid w:val="00C01619"/>
    <w:rsid w:val="00C03041"/>
    <w:rsid w:val="00C03791"/>
    <w:rsid w:val="00C03815"/>
    <w:rsid w:val="00C03E44"/>
    <w:rsid w:val="00C041F4"/>
    <w:rsid w:val="00C04C59"/>
    <w:rsid w:val="00C0524E"/>
    <w:rsid w:val="00C05428"/>
    <w:rsid w:val="00C058A3"/>
    <w:rsid w:val="00C05E05"/>
    <w:rsid w:val="00C05E5D"/>
    <w:rsid w:val="00C0711F"/>
    <w:rsid w:val="00C077E1"/>
    <w:rsid w:val="00C106CF"/>
    <w:rsid w:val="00C107BE"/>
    <w:rsid w:val="00C10BD0"/>
    <w:rsid w:val="00C10C03"/>
    <w:rsid w:val="00C112F7"/>
    <w:rsid w:val="00C1161D"/>
    <w:rsid w:val="00C11688"/>
    <w:rsid w:val="00C12026"/>
    <w:rsid w:val="00C12CC4"/>
    <w:rsid w:val="00C12CE6"/>
    <w:rsid w:val="00C12D9C"/>
    <w:rsid w:val="00C13208"/>
    <w:rsid w:val="00C133F5"/>
    <w:rsid w:val="00C1360E"/>
    <w:rsid w:val="00C13819"/>
    <w:rsid w:val="00C13C88"/>
    <w:rsid w:val="00C13CCA"/>
    <w:rsid w:val="00C13CE9"/>
    <w:rsid w:val="00C142EA"/>
    <w:rsid w:val="00C14AD2"/>
    <w:rsid w:val="00C14CA5"/>
    <w:rsid w:val="00C15BE1"/>
    <w:rsid w:val="00C160C5"/>
    <w:rsid w:val="00C160D9"/>
    <w:rsid w:val="00C16B32"/>
    <w:rsid w:val="00C16FDE"/>
    <w:rsid w:val="00C16FF1"/>
    <w:rsid w:val="00C17089"/>
    <w:rsid w:val="00C1715B"/>
    <w:rsid w:val="00C1757F"/>
    <w:rsid w:val="00C17B74"/>
    <w:rsid w:val="00C17BCC"/>
    <w:rsid w:val="00C17E69"/>
    <w:rsid w:val="00C20358"/>
    <w:rsid w:val="00C20A09"/>
    <w:rsid w:val="00C20AEB"/>
    <w:rsid w:val="00C20F22"/>
    <w:rsid w:val="00C21FF8"/>
    <w:rsid w:val="00C220F2"/>
    <w:rsid w:val="00C223A0"/>
    <w:rsid w:val="00C22934"/>
    <w:rsid w:val="00C22CFF"/>
    <w:rsid w:val="00C23885"/>
    <w:rsid w:val="00C23BBD"/>
    <w:rsid w:val="00C2455C"/>
    <w:rsid w:val="00C245FA"/>
    <w:rsid w:val="00C24630"/>
    <w:rsid w:val="00C24638"/>
    <w:rsid w:val="00C24647"/>
    <w:rsid w:val="00C251C4"/>
    <w:rsid w:val="00C2565D"/>
    <w:rsid w:val="00C26495"/>
    <w:rsid w:val="00C27159"/>
    <w:rsid w:val="00C273ED"/>
    <w:rsid w:val="00C27447"/>
    <w:rsid w:val="00C27891"/>
    <w:rsid w:val="00C27D45"/>
    <w:rsid w:val="00C3009C"/>
    <w:rsid w:val="00C300F5"/>
    <w:rsid w:val="00C301C3"/>
    <w:rsid w:val="00C305AD"/>
    <w:rsid w:val="00C30AED"/>
    <w:rsid w:val="00C30AFA"/>
    <w:rsid w:val="00C30DD5"/>
    <w:rsid w:val="00C31063"/>
    <w:rsid w:val="00C31073"/>
    <w:rsid w:val="00C314B5"/>
    <w:rsid w:val="00C31FC1"/>
    <w:rsid w:val="00C3250D"/>
    <w:rsid w:val="00C32570"/>
    <w:rsid w:val="00C325CF"/>
    <w:rsid w:val="00C32C1E"/>
    <w:rsid w:val="00C32D17"/>
    <w:rsid w:val="00C32D53"/>
    <w:rsid w:val="00C32F69"/>
    <w:rsid w:val="00C33063"/>
    <w:rsid w:val="00C3312E"/>
    <w:rsid w:val="00C3317B"/>
    <w:rsid w:val="00C33CD5"/>
    <w:rsid w:val="00C340CF"/>
    <w:rsid w:val="00C34101"/>
    <w:rsid w:val="00C34463"/>
    <w:rsid w:val="00C348FE"/>
    <w:rsid w:val="00C34FBC"/>
    <w:rsid w:val="00C35087"/>
    <w:rsid w:val="00C3523B"/>
    <w:rsid w:val="00C3587F"/>
    <w:rsid w:val="00C35947"/>
    <w:rsid w:val="00C36FFE"/>
    <w:rsid w:val="00C3739B"/>
    <w:rsid w:val="00C37B84"/>
    <w:rsid w:val="00C37FB0"/>
    <w:rsid w:val="00C40267"/>
    <w:rsid w:val="00C406CC"/>
    <w:rsid w:val="00C408A8"/>
    <w:rsid w:val="00C40A83"/>
    <w:rsid w:val="00C40D37"/>
    <w:rsid w:val="00C412E1"/>
    <w:rsid w:val="00C416FD"/>
    <w:rsid w:val="00C41E73"/>
    <w:rsid w:val="00C41FA0"/>
    <w:rsid w:val="00C4271F"/>
    <w:rsid w:val="00C42A6C"/>
    <w:rsid w:val="00C42B60"/>
    <w:rsid w:val="00C43E4A"/>
    <w:rsid w:val="00C43FD4"/>
    <w:rsid w:val="00C4445E"/>
    <w:rsid w:val="00C44846"/>
    <w:rsid w:val="00C455AB"/>
    <w:rsid w:val="00C45A51"/>
    <w:rsid w:val="00C45BF4"/>
    <w:rsid w:val="00C469E3"/>
    <w:rsid w:val="00C46E18"/>
    <w:rsid w:val="00C46EA9"/>
    <w:rsid w:val="00C47155"/>
    <w:rsid w:val="00C47987"/>
    <w:rsid w:val="00C47CD2"/>
    <w:rsid w:val="00C47D56"/>
    <w:rsid w:val="00C50763"/>
    <w:rsid w:val="00C510DE"/>
    <w:rsid w:val="00C51FCC"/>
    <w:rsid w:val="00C536E4"/>
    <w:rsid w:val="00C538AE"/>
    <w:rsid w:val="00C53A77"/>
    <w:rsid w:val="00C53C32"/>
    <w:rsid w:val="00C53E7A"/>
    <w:rsid w:val="00C54492"/>
    <w:rsid w:val="00C544B6"/>
    <w:rsid w:val="00C54601"/>
    <w:rsid w:val="00C5490E"/>
    <w:rsid w:val="00C54C85"/>
    <w:rsid w:val="00C54E26"/>
    <w:rsid w:val="00C55E74"/>
    <w:rsid w:val="00C56A84"/>
    <w:rsid w:val="00C575E8"/>
    <w:rsid w:val="00C5777E"/>
    <w:rsid w:val="00C57EB0"/>
    <w:rsid w:val="00C605B6"/>
    <w:rsid w:val="00C60984"/>
    <w:rsid w:val="00C60C36"/>
    <w:rsid w:val="00C60D1A"/>
    <w:rsid w:val="00C60E33"/>
    <w:rsid w:val="00C60FE6"/>
    <w:rsid w:val="00C6111A"/>
    <w:rsid w:val="00C61801"/>
    <w:rsid w:val="00C618DF"/>
    <w:rsid w:val="00C61D42"/>
    <w:rsid w:val="00C6277F"/>
    <w:rsid w:val="00C638E4"/>
    <w:rsid w:val="00C643F8"/>
    <w:rsid w:val="00C6454C"/>
    <w:rsid w:val="00C64585"/>
    <w:rsid w:val="00C64762"/>
    <w:rsid w:val="00C65030"/>
    <w:rsid w:val="00C652A1"/>
    <w:rsid w:val="00C655E4"/>
    <w:rsid w:val="00C65738"/>
    <w:rsid w:val="00C6590A"/>
    <w:rsid w:val="00C65FFB"/>
    <w:rsid w:val="00C66663"/>
    <w:rsid w:val="00C668D8"/>
    <w:rsid w:val="00C66BCD"/>
    <w:rsid w:val="00C66BCF"/>
    <w:rsid w:val="00C66E56"/>
    <w:rsid w:val="00C66E74"/>
    <w:rsid w:val="00C67029"/>
    <w:rsid w:val="00C67576"/>
    <w:rsid w:val="00C67C84"/>
    <w:rsid w:val="00C67CC2"/>
    <w:rsid w:val="00C70B38"/>
    <w:rsid w:val="00C70B43"/>
    <w:rsid w:val="00C7186C"/>
    <w:rsid w:val="00C71A56"/>
    <w:rsid w:val="00C71D9E"/>
    <w:rsid w:val="00C71E08"/>
    <w:rsid w:val="00C730CC"/>
    <w:rsid w:val="00C7318C"/>
    <w:rsid w:val="00C732C2"/>
    <w:rsid w:val="00C7532A"/>
    <w:rsid w:val="00C75721"/>
    <w:rsid w:val="00C760A6"/>
    <w:rsid w:val="00C762B7"/>
    <w:rsid w:val="00C763B2"/>
    <w:rsid w:val="00C76825"/>
    <w:rsid w:val="00C76B79"/>
    <w:rsid w:val="00C7727E"/>
    <w:rsid w:val="00C77C2C"/>
    <w:rsid w:val="00C77C4B"/>
    <w:rsid w:val="00C77D50"/>
    <w:rsid w:val="00C80DC6"/>
    <w:rsid w:val="00C815E4"/>
    <w:rsid w:val="00C818F6"/>
    <w:rsid w:val="00C81D68"/>
    <w:rsid w:val="00C8261D"/>
    <w:rsid w:val="00C8290C"/>
    <w:rsid w:val="00C841C5"/>
    <w:rsid w:val="00C849B6"/>
    <w:rsid w:val="00C8512B"/>
    <w:rsid w:val="00C855A3"/>
    <w:rsid w:val="00C858C8"/>
    <w:rsid w:val="00C85A79"/>
    <w:rsid w:val="00C861EA"/>
    <w:rsid w:val="00C86242"/>
    <w:rsid w:val="00C86267"/>
    <w:rsid w:val="00C86344"/>
    <w:rsid w:val="00C86D64"/>
    <w:rsid w:val="00C8701F"/>
    <w:rsid w:val="00C87882"/>
    <w:rsid w:val="00C87CDD"/>
    <w:rsid w:val="00C87DF0"/>
    <w:rsid w:val="00C909EE"/>
    <w:rsid w:val="00C90E27"/>
    <w:rsid w:val="00C910ED"/>
    <w:rsid w:val="00C91187"/>
    <w:rsid w:val="00C914C9"/>
    <w:rsid w:val="00C9156F"/>
    <w:rsid w:val="00C91E57"/>
    <w:rsid w:val="00C9210B"/>
    <w:rsid w:val="00C922E8"/>
    <w:rsid w:val="00C92B4A"/>
    <w:rsid w:val="00C92D9B"/>
    <w:rsid w:val="00C92E18"/>
    <w:rsid w:val="00C93188"/>
    <w:rsid w:val="00C94221"/>
    <w:rsid w:val="00C9485C"/>
    <w:rsid w:val="00C94EF3"/>
    <w:rsid w:val="00C952A9"/>
    <w:rsid w:val="00C9534F"/>
    <w:rsid w:val="00C95412"/>
    <w:rsid w:val="00C95E98"/>
    <w:rsid w:val="00C95F67"/>
    <w:rsid w:val="00C961C0"/>
    <w:rsid w:val="00C965E4"/>
    <w:rsid w:val="00C96FCA"/>
    <w:rsid w:val="00C97197"/>
    <w:rsid w:val="00C9739A"/>
    <w:rsid w:val="00CA0140"/>
    <w:rsid w:val="00CA1258"/>
    <w:rsid w:val="00CA13BF"/>
    <w:rsid w:val="00CA13F7"/>
    <w:rsid w:val="00CA1463"/>
    <w:rsid w:val="00CA14DE"/>
    <w:rsid w:val="00CA2A57"/>
    <w:rsid w:val="00CA2C4B"/>
    <w:rsid w:val="00CA2D96"/>
    <w:rsid w:val="00CA30A9"/>
    <w:rsid w:val="00CA35D4"/>
    <w:rsid w:val="00CA35EC"/>
    <w:rsid w:val="00CA3D36"/>
    <w:rsid w:val="00CA3EC4"/>
    <w:rsid w:val="00CA4249"/>
    <w:rsid w:val="00CA481E"/>
    <w:rsid w:val="00CA4EF3"/>
    <w:rsid w:val="00CA4FD3"/>
    <w:rsid w:val="00CA575F"/>
    <w:rsid w:val="00CA593C"/>
    <w:rsid w:val="00CA6C44"/>
    <w:rsid w:val="00CA6F7C"/>
    <w:rsid w:val="00CB0154"/>
    <w:rsid w:val="00CB0652"/>
    <w:rsid w:val="00CB0A8A"/>
    <w:rsid w:val="00CB0BAD"/>
    <w:rsid w:val="00CB138C"/>
    <w:rsid w:val="00CB161D"/>
    <w:rsid w:val="00CB1A2D"/>
    <w:rsid w:val="00CB1AF4"/>
    <w:rsid w:val="00CB1BD3"/>
    <w:rsid w:val="00CB21EF"/>
    <w:rsid w:val="00CB22F1"/>
    <w:rsid w:val="00CB25C1"/>
    <w:rsid w:val="00CB26B1"/>
    <w:rsid w:val="00CB2714"/>
    <w:rsid w:val="00CB27F7"/>
    <w:rsid w:val="00CB2824"/>
    <w:rsid w:val="00CB2C75"/>
    <w:rsid w:val="00CB2F95"/>
    <w:rsid w:val="00CB2FEF"/>
    <w:rsid w:val="00CB30E7"/>
    <w:rsid w:val="00CB3270"/>
    <w:rsid w:val="00CB4414"/>
    <w:rsid w:val="00CB4DA4"/>
    <w:rsid w:val="00CB557A"/>
    <w:rsid w:val="00CB567E"/>
    <w:rsid w:val="00CB6108"/>
    <w:rsid w:val="00CB644A"/>
    <w:rsid w:val="00CB7071"/>
    <w:rsid w:val="00CB75F9"/>
    <w:rsid w:val="00CB76E7"/>
    <w:rsid w:val="00CB78C6"/>
    <w:rsid w:val="00CB7D14"/>
    <w:rsid w:val="00CB7D9F"/>
    <w:rsid w:val="00CC07A1"/>
    <w:rsid w:val="00CC0824"/>
    <w:rsid w:val="00CC08D7"/>
    <w:rsid w:val="00CC09A7"/>
    <w:rsid w:val="00CC0A9A"/>
    <w:rsid w:val="00CC0EA3"/>
    <w:rsid w:val="00CC1229"/>
    <w:rsid w:val="00CC156F"/>
    <w:rsid w:val="00CC1B8C"/>
    <w:rsid w:val="00CC1C5B"/>
    <w:rsid w:val="00CC2404"/>
    <w:rsid w:val="00CC2606"/>
    <w:rsid w:val="00CC2B9C"/>
    <w:rsid w:val="00CC326E"/>
    <w:rsid w:val="00CC38EE"/>
    <w:rsid w:val="00CC4668"/>
    <w:rsid w:val="00CC4B88"/>
    <w:rsid w:val="00CC566D"/>
    <w:rsid w:val="00CC6AA6"/>
    <w:rsid w:val="00CC6ACF"/>
    <w:rsid w:val="00CC722F"/>
    <w:rsid w:val="00CC726E"/>
    <w:rsid w:val="00CC7476"/>
    <w:rsid w:val="00CC754E"/>
    <w:rsid w:val="00CC75EE"/>
    <w:rsid w:val="00CD0BAE"/>
    <w:rsid w:val="00CD0D09"/>
    <w:rsid w:val="00CD1017"/>
    <w:rsid w:val="00CD129C"/>
    <w:rsid w:val="00CD12BA"/>
    <w:rsid w:val="00CD181E"/>
    <w:rsid w:val="00CD2455"/>
    <w:rsid w:val="00CD2C45"/>
    <w:rsid w:val="00CD387C"/>
    <w:rsid w:val="00CD474C"/>
    <w:rsid w:val="00CD4EB8"/>
    <w:rsid w:val="00CD50C8"/>
    <w:rsid w:val="00CD5589"/>
    <w:rsid w:val="00CD5CCC"/>
    <w:rsid w:val="00CD600D"/>
    <w:rsid w:val="00CD62DF"/>
    <w:rsid w:val="00CD6634"/>
    <w:rsid w:val="00CD6905"/>
    <w:rsid w:val="00CD6B16"/>
    <w:rsid w:val="00CD6B5E"/>
    <w:rsid w:val="00CD7422"/>
    <w:rsid w:val="00CD7743"/>
    <w:rsid w:val="00CD7897"/>
    <w:rsid w:val="00CD7C87"/>
    <w:rsid w:val="00CD7FB3"/>
    <w:rsid w:val="00CE04C5"/>
    <w:rsid w:val="00CE0950"/>
    <w:rsid w:val="00CE0FC5"/>
    <w:rsid w:val="00CE11D8"/>
    <w:rsid w:val="00CE13C4"/>
    <w:rsid w:val="00CE1648"/>
    <w:rsid w:val="00CE19A6"/>
    <w:rsid w:val="00CE1A2E"/>
    <w:rsid w:val="00CE1A90"/>
    <w:rsid w:val="00CE1C5C"/>
    <w:rsid w:val="00CE1CA9"/>
    <w:rsid w:val="00CE1D2A"/>
    <w:rsid w:val="00CE1E07"/>
    <w:rsid w:val="00CE2567"/>
    <w:rsid w:val="00CE25AC"/>
    <w:rsid w:val="00CE2A65"/>
    <w:rsid w:val="00CE2FFD"/>
    <w:rsid w:val="00CE3037"/>
    <w:rsid w:val="00CE32AD"/>
    <w:rsid w:val="00CE3361"/>
    <w:rsid w:val="00CE3F49"/>
    <w:rsid w:val="00CE43FE"/>
    <w:rsid w:val="00CE4440"/>
    <w:rsid w:val="00CE49B0"/>
    <w:rsid w:val="00CE4EA8"/>
    <w:rsid w:val="00CE51BE"/>
    <w:rsid w:val="00CE5261"/>
    <w:rsid w:val="00CE584B"/>
    <w:rsid w:val="00CE5A0A"/>
    <w:rsid w:val="00CE6502"/>
    <w:rsid w:val="00CE6662"/>
    <w:rsid w:val="00CE6C5C"/>
    <w:rsid w:val="00CE6F2D"/>
    <w:rsid w:val="00CE72F6"/>
    <w:rsid w:val="00CE75D4"/>
    <w:rsid w:val="00CE7FF2"/>
    <w:rsid w:val="00CF0ACB"/>
    <w:rsid w:val="00CF0E8B"/>
    <w:rsid w:val="00CF1090"/>
    <w:rsid w:val="00CF12DA"/>
    <w:rsid w:val="00CF1AB9"/>
    <w:rsid w:val="00CF1B03"/>
    <w:rsid w:val="00CF1B1E"/>
    <w:rsid w:val="00CF1E58"/>
    <w:rsid w:val="00CF1F79"/>
    <w:rsid w:val="00CF270E"/>
    <w:rsid w:val="00CF273E"/>
    <w:rsid w:val="00CF2AAB"/>
    <w:rsid w:val="00CF2AB4"/>
    <w:rsid w:val="00CF2B1C"/>
    <w:rsid w:val="00CF2B8E"/>
    <w:rsid w:val="00CF2C5B"/>
    <w:rsid w:val="00CF2CAF"/>
    <w:rsid w:val="00CF34F8"/>
    <w:rsid w:val="00CF39B2"/>
    <w:rsid w:val="00CF3E3D"/>
    <w:rsid w:val="00CF4060"/>
    <w:rsid w:val="00CF45D4"/>
    <w:rsid w:val="00CF5184"/>
    <w:rsid w:val="00CF52EB"/>
    <w:rsid w:val="00CF585D"/>
    <w:rsid w:val="00CF593A"/>
    <w:rsid w:val="00CF5CA8"/>
    <w:rsid w:val="00CF72BD"/>
    <w:rsid w:val="00CF767E"/>
    <w:rsid w:val="00CF78C0"/>
    <w:rsid w:val="00D00B74"/>
    <w:rsid w:val="00D00DFF"/>
    <w:rsid w:val="00D015A8"/>
    <w:rsid w:val="00D024F9"/>
    <w:rsid w:val="00D02686"/>
    <w:rsid w:val="00D027F9"/>
    <w:rsid w:val="00D032AA"/>
    <w:rsid w:val="00D03A3E"/>
    <w:rsid w:val="00D03B1A"/>
    <w:rsid w:val="00D03E97"/>
    <w:rsid w:val="00D040BB"/>
    <w:rsid w:val="00D048DF"/>
    <w:rsid w:val="00D04B99"/>
    <w:rsid w:val="00D05224"/>
    <w:rsid w:val="00D056E9"/>
    <w:rsid w:val="00D05CB6"/>
    <w:rsid w:val="00D05FF7"/>
    <w:rsid w:val="00D06325"/>
    <w:rsid w:val="00D0755B"/>
    <w:rsid w:val="00D07684"/>
    <w:rsid w:val="00D076A6"/>
    <w:rsid w:val="00D07F59"/>
    <w:rsid w:val="00D07FBB"/>
    <w:rsid w:val="00D104B2"/>
    <w:rsid w:val="00D10986"/>
    <w:rsid w:val="00D10A4B"/>
    <w:rsid w:val="00D11BB2"/>
    <w:rsid w:val="00D1220A"/>
    <w:rsid w:val="00D122D7"/>
    <w:rsid w:val="00D12DFC"/>
    <w:rsid w:val="00D12F1F"/>
    <w:rsid w:val="00D13207"/>
    <w:rsid w:val="00D13358"/>
    <w:rsid w:val="00D1342C"/>
    <w:rsid w:val="00D13B07"/>
    <w:rsid w:val="00D13C78"/>
    <w:rsid w:val="00D142FA"/>
    <w:rsid w:val="00D14873"/>
    <w:rsid w:val="00D14C06"/>
    <w:rsid w:val="00D14DAF"/>
    <w:rsid w:val="00D14DEB"/>
    <w:rsid w:val="00D155FC"/>
    <w:rsid w:val="00D1564A"/>
    <w:rsid w:val="00D156E5"/>
    <w:rsid w:val="00D15AF0"/>
    <w:rsid w:val="00D15B04"/>
    <w:rsid w:val="00D16747"/>
    <w:rsid w:val="00D175C7"/>
    <w:rsid w:val="00D17B39"/>
    <w:rsid w:val="00D17E09"/>
    <w:rsid w:val="00D201A1"/>
    <w:rsid w:val="00D20886"/>
    <w:rsid w:val="00D2091D"/>
    <w:rsid w:val="00D20EEE"/>
    <w:rsid w:val="00D22877"/>
    <w:rsid w:val="00D22B8C"/>
    <w:rsid w:val="00D22E00"/>
    <w:rsid w:val="00D23039"/>
    <w:rsid w:val="00D23692"/>
    <w:rsid w:val="00D238E9"/>
    <w:rsid w:val="00D23FCD"/>
    <w:rsid w:val="00D251E6"/>
    <w:rsid w:val="00D259B0"/>
    <w:rsid w:val="00D26097"/>
    <w:rsid w:val="00D2609E"/>
    <w:rsid w:val="00D261C5"/>
    <w:rsid w:val="00D26391"/>
    <w:rsid w:val="00D2699D"/>
    <w:rsid w:val="00D275C7"/>
    <w:rsid w:val="00D27747"/>
    <w:rsid w:val="00D27BF7"/>
    <w:rsid w:val="00D302FD"/>
    <w:rsid w:val="00D30729"/>
    <w:rsid w:val="00D30A73"/>
    <w:rsid w:val="00D30EAF"/>
    <w:rsid w:val="00D314F6"/>
    <w:rsid w:val="00D3179D"/>
    <w:rsid w:val="00D31A4F"/>
    <w:rsid w:val="00D31D6C"/>
    <w:rsid w:val="00D31D99"/>
    <w:rsid w:val="00D32043"/>
    <w:rsid w:val="00D322D4"/>
    <w:rsid w:val="00D32B64"/>
    <w:rsid w:val="00D32CDD"/>
    <w:rsid w:val="00D32E0D"/>
    <w:rsid w:val="00D3326D"/>
    <w:rsid w:val="00D33603"/>
    <w:rsid w:val="00D337D1"/>
    <w:rsid w:val="00D33977"/>
    <w:rsid w:val="00D34097"/>
    <w:rsid w:val="00D3544C"/>
    <w:rsid w:val="00D35F34"/>
    <w:rsid w:val="00D36031"/>
    <w:rsid w:val="00D36749"/>
    <w:rsid w:val="00D36B25"/>
    <w:rsid w:val="00D36C34"/>
    <w:rsid w:val="00D36E02"/>
    <w:rsid w:val="00D3719F"/>
    <w:rsid w:val="00D371C8"/>
    <w:rsid w:val="00D37B17"/>
    <w:rsid w:val="00D402D9"/>
    <w:rsid w:val="00D4061B"/>
    <w:rsid w:val="00D41658"/>
    <w:rsid w:val="00D41962"/>
    <w:rsid w:val="00D41AE8"/>
    <w:rsid w:val="00D42AA0"/>
    <w:rsid w:val="00D431DA"/>
    <w:rsid w:val="00D43450"/>
    <w:rsid w:val="00D43D75"/>
    <w:rsid w:val="00D43F48"/>
    <w:rsid w:val="00D43F90"/>
    <w:rsid w:val="00D44156"/>
    <w:rsid w:val="00D44198"/>
    <w:rsid w:val="00D445B3"/>
    <w:rsid w:val="00D44C03"/>
    <w:rsid w:val="00D453B5"/>
    <w:rsid w:val="00D45977"/>
    <w:rsid w:val="00D46514"/>
    <w:rsid w:val="00D4687A"/>
    <w:rsid w:val="00D46DBF"/>
    <w:rsid w:val="00D46F26"/>
    <w:rsid w:val="00D4709E"/>
    <w:rsid w:val="00D47591"/>
    <w:rsid w:val="00D50522"/>
    <w:rsid w:val="00D50ADA"/>
    <w:rsid w:val="00D50EA6"/>
    <w:rsid w:val="00D50F4A"/>
    <w:rsid w:val="00D51089"/>
    <w:rsid w:val="00D511EC"/>
    <w:rsid w:val="00D5228C"/>
    <w:rsid w:val="00D52DF5"/>
    <w:rsid w:val="00D52E06"/>
    <w:rsid w:val="00D535D5"/>
    <w:rsid w:val="00D535F5"/>
    <w:rsid w:val="00D54D63"/>
    <w:rsid w:val="00D54DC2"/>
    <w:rsid w:val="00D553C7"/>
    <w:rsid w:val="00D5648F"/>
    <w:rsid w:val="00D5651D"/>
    <w:rsid w:val="00D56684"/>
    <w:rsid w:val="00D5717F"/>
    <w:rsid w:val="00D57634"/>
    <w:rsid w:val="00D57B21"/>
    <w:rsid w:val="00D57B9A"/>
    <w:rsid w:val="00D57FA7"/>
    <w:rsid w:val="00D60190"/>
    <w:rsid w:val="00D602D3"/>
    <w:rsid w:val="00D605A5"/>
    <w:rsid w:val="00D606A0"/>
    <w:rsid w:val="00D60A2F"/>
    <w:rsid w:val="00D60DAB"/>
    <w:rsid w:val="00D61A8A"/>
    <w:rsid w:val="00D62369"/>
    <w:rsid w:val="00D623AA"/>
    <w:rsid w:val="00D62A24"/>
    <w:rsid w:val="00D62C25"/>
    <w:rsid w:val="00D62FAC"/>
    <w:rsid w:val="00D635B0"/>
    <w:rsid w:val="00D637A9"/>
    <w:rsid w:val="00D63BE1"/>
    <w:rsid w:val="00D648ED"/>
    <w:rsid w:val="00D65280"/>
    <w:rsid w:val="00D6616F"/>
    <w:rsid w:val="00D6652B"/>
    <w:rsid w:val="00D6699B"/>
    <w:rsid w:val="00D67479"/>
    <w:rsid w:val="00D7009E"/>
    <w:rsid w:val="00D70C63"/>
    <w:rsid w:val="00D710C5"/>
    <w:rsid w:val="00D71705"/>
    <w:rsid w:val="00D71824"/>
    <w:rsid w:val="00D71888"/>
    <w:rsid w:val="00D718C0"/>
    <w:rsid w:val="00D71B45"/>
    <w:rsid w:val="00D722C1"/>
    <w:rsid w:val="00D72437"/>
    <w:rsid w:val="00D72630"/>
    <w:rsid w:val="00D726A5"/>
    <w:rsid w:val="00D727AC"/>
    <w:rsid w:val="00D72AC2"/>
    <w:rsid w:val="00D72CAE"/>
    <w:rsid w:val="00D72E5F"/>
    <w:rsid w:val="00D736A5"/>
    <w:rsid w:val="00D74160"/>
    <w:rsid w:val="00D74660"/>
    <w:rsid w:val="00D74797"/>
    <w:rsid w:val="00D74968"/>
    <w:rsid w:val="00D749D2"/>
    <w:rsid w:val="00D74AE6"/>
    <w:rsid w:val="00D74D9B"/>
    <w:rsid w:val="00D750A2"/>
    <w:rsid w:val="00D75336"/>
    <w:rsid w:val="00D75650"/>
    <w:rsid w:val="00D756E8"/>
    <w:rsid w:val="00D75720"/>
    <w:rsid w:val="00D75C6D"/>
    <w:rsid w:val="00D76DC5"/>
    <w:rsid w:val="00D77135"/>
    <w:rsid w:val="00D7730C"/>
    <w:rsid w:val="00D77E77"/>
    <w:rsid w:val="00D801EB"/>
    <w:rsid w:val="00D8041B"/>
    <w:rsid w:val="00D80747"/>
    <w:rsid w:val="00D8099F"/>
    <w:rsid w:val="00D809FF"/>
    <w:rsid w:val="00D80C65"/>
    <w:rsid w:val="00D80E48"/>
    <w:rsid w:val="00D810F2"/>
    <w:rsid w:val="00D811D9"/>
    <w:rsid w:val="00D81285"/>
    <w:rsid w:val="00D81B9A"/>
    <w:rsid w:val="00D822C6"/>
    <w:rsid w:val="00D8276F"/>
    <w:rsid w:val="00D82890"/>
    <w:rsid w:val="00D843D6"/>
    <w:rsid w:val="00D84B47"/>
    <w:rsid w:val="00D84FDB"/>
    <w:rsid w:val="00D85237"/>
    <w:rsid w:val="00D85475"/>
    <w:rsid w:val="00D85A2F"/>
    <w:rsid w:val="00D861B4"/>
    <w:rsid w:val="00D86605"/>
    <w:rsid w:val="00D87949"/>
    <w:rsid w:val="00D87BDC"/>
    <w:rsid w:val="00D9096B"/>
    <w:rsid w:val="00D90D1C"/>
    <w:rsid w:val="00D90D5C"/>
    <w:rsid w:val="00D90ED4"/>
    <w:rsid w:val="00D90FF0"/>
    <w:rsid w:val="00D910A5"/>
    <w:rsid w:val="00D91838"/>
    <w:rsid w:val="00D920E8"/>
    <w:rsid w:val="00D92722"/>
    <w:rsid w:val="00D92BF2"/>
    <w:rsid w:val="00D93295"/>
    <w:rsid w:val="00D9335B"/>
    <w:rsid w:val="00D93DAF"/>
    <w:rsid w:val="00D9415C"/>
    <w:rsid w:val="00D941AE"/>
    <w:rsid w:val="00D94E5E"/>
    <w:rsid w:val="00D94F2C"/>
    <w:rsid w:val="00D96138"/>
    <w:rsid w:val="00D965AB"/>
    <w:rsid w:val="00D96B07"/>
    <w:rsid w:val="00D96BD2"/>
    <w:rsid w:val="00D974EC"/>
    <w:rsid w:val="00D97594"/>
    <w:rsid w:val="00D97DAF"/>
    <w:rsid w:val="00DA002B"/>
    <w:rsid w:val="00DA0351"/>
    <w:rsid w:val="00DA0417"/>
    <w:rsid w:val="00DA059A"/>
    <w:rsid w:val="00DA0676"/>
    <w:rsid w:val="00DA08F0"/>
    <w:rsid w:val="00DA0F27"/>
    <w:rsid w:val="00DA156A"/>
    <w:rsid w:val="00DA1DA8"/>
    <w:rsid w:val="00DA20DE"/>
    <w:rsid w:val="00DA22C1"/>
    <w:rsid w:val="00DA23D4"/>
    <w:rsid w:val="00DA24B0"/>
    <w:rsid w:val="00DA2582"/>
    <w:rsid w:val="00DA2694"/>
    <w:rsid w:val="00DA2CAC"/>
    <w:rsid w:val="00DA3050"/>
    <w:rsid w:val="00DA3CF1"/>
    <w:rsid w:val="00DA46CB"/>
    <w:rsid w:val="00DA4B0E"/>
    <w:rsid w:val="00DA50E4"/>
    <w:rsid w:val="00DA5BEB"/>
    <w:rsid w:val="00DA5D67"/>
    <w:rsid w:val="00DA60EF"/>
    <w:rsid w:val="00DA6BFD"/>
    <w:rsid w:val="00DA755C"/>
    <w:rsid w:val="00DA7645"/>
    <w:rsid w:val="00DA7781"/>
    <w:rsid w:val="00DA7842"/>
    <w:rsid w:val="00DA7B87"/>
    <w:rsid w:val="00DA7E15"/>
    <w:rsid w:val="00DA7FC8"/>
    <w:rsid w:val="00DB02FF"/>
    <w:rsid w:val="00DB0399"/>
    <w:rsid w:val="00DB10BD"/>
    <w:rsid w:val="00DB130A"/>
    <w:rsid w:val="00DB1433"/>
    <w:rsid w:val="00DB16CD"/>
    <w:rsid w:val="00DB18DF"/>
    <w:rsid w:val="00DB197C"/>
    <w:rsid w:val="00DB1AAF"/>
    <w:rsid w:val="00DB1CC1"/>
    <w:rsid w:val="00DB1CD1"/>
    <w:rsid w:val="00DB243C"/>
    <w:rsid w:val="00DB26B5"/>
    <w:rsid w:val="00DB3AA0"/>
    <w:rsid w:val="00DB3C49"/>
    <w:rsid w:val="00DB3FE5"/>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155"/>
    <w:rsid w:val="00DB767E"/>
    <w:rsid w:val="00DB7F10"/>
    <w:rsid w:val="00DC0118"/>
    <w:rsid w:val="00DC039B"/>
    <w:rsid w:val="00DC1524"/>
    <w:rsid w:val="00DC1889"/>
    <w:rsid w:val="00DC1CA3"/>
    <w:rsid w:val="00DC28D5"/>
    <w:rsid w:val="00DC2A33"/>
    <w:rsid w:val="00DC31E4"/>
    <w:rsid w:val="00DC3214"/>
    <w:rsid w:val="00DC338F"/>
    <w:rsid w:val="00DC3436"/>
    <w:rsid w:val="00DC3579"/>
    <w:rsid w:val="00DC3663"/>
    <w:rsid w:val="00DC3E0F"/>
    <w:rsid w:val="00DC43AE"/>
    <w:rsid w:val="00DC466F"/>
    <w:rsid w:val="00DC4841"/>
    <w:rsid w:val="00DC4D21"/>
    <w:rsid w:val="00DC51EE"/>
    <w:rsid w:val="00DC5533"/>
    <w:rsid w:val="00DC5770"/>
    <w:rsid w:val="00DC59D7"/>
    <w:rsid w:val="00DC62AE"/>
    <w:rsid w:val="00DC6E13"/>
    <w:rsid w:val="00DC6E1B"/>
    <w:rsid w:val="00DC7BD4"/>
    <w:rsid w:val="00DC7EBE"/>
    <w:rsid w:val="00DD00DA"/>
    <w:rsid w:val="00DD05AB"/>
    <w:rsid w:val="00DD0985"/>
    <w:rsid w:val="00DD0BDF"/>
    <w:rsid w:val="00DD12EF"/>
    <w:rsid w:val="00DD158F"/>
    <w:rsid w:val="00DD16FB"/>
    <w:rsid w:val="00DD235A"/>
    <w:rsid w:val="00DD2381"/>
    <w:rsid w:val="00DD2458"/>
    <w:rsid w:val="00DD2B1D"/>
    <w:rsid w:val="00DD2E42"/>
    <w:rsid w:val="00DD3821"/>
    <w:rsid w:val="00DD391B"/>
    <w:rsid w:val="00DD45D3"/>
    <w:rsid w:val="00DD472A"/>
    <w:rsid w:val="00DD48F3"/>
    <w:rsid w:val="00DD4E0C"/>
    <w:rsid w:val="00DD5A2A"/>
    <w:rsid w:val="00DD662B"/>
    <w:rsid w:val="00DD6C92"/>
    <w:rsid w:val="00DD732C"/>
    <w:rsid w:val="00DE01AB"/>
    <w:rsid w:val="00DE0463"/>
    <w:rsid w:val="00DE0B85"/>
    <w:rsid w:val="00DE0DCC"/>
    <w:rsid w:val="00DE12BD"/>
    <w:rsid w:val="00DE1532"/>
    <w:rsid w:val="00DE179B"/>
    <w:rsid w:val="00DE1E3B"/>
    <w:rsid w:val="00DE292D"/>
    <w:rsid w:val="00DE296E"/>
    <w:rsid w:val="00DE2AA3"/>
    <w:rsid w:val="00DE30D1"/>
    <w:rsid w:val="00DE3770"/>
    <w:rsid w:val="00DE3B74"/>
    <w:rsid w:val="00DE3F1D"/>
    <w:rsid w:val="00DE40F7"/>
    <w:rsid w:val="00DE47DF"/>
    <w:rsid w:val="00DE4D21"/>
    <w:rsid w:val="00DE4D6D"/>
    <w:rsid w:val="00DE52D6"/>
    <w:rsid w:val="00DE5EA6"/>
    <w:rsid w:val="00DE5F41"/>
    <w:rsid w:val="00DE61FB"/>
    <w:rsid w:val="00DE62A7"/>
    <w:rsid w:val="00DE6363"/>
    <w:rsid w:val="00DE640B"/>
    <w:rsid w:val="00DE6B6A"/>
    <w:rsid w:val="00DE730F"/>
    <w:rsid w:val="00DE731D"/>
    <w:rsid w:val="00DE79FA"/>
    <w:rsid w:val="00DE7A1D"/>
    <w:rsid w:val="00DF0075"/>
    <w:rsid w:val="00DF0A8D"/>
    <w:rsid w:val="00DF0E97"/>
    <w:rsid w:val="00DF11F0"/>
    <w:rsid w:val="00DF1956"/>
    <w:rsid w:val="00DF1AD2"/>
    <w:rsid w:val="00DF1D62"/>
    <w:rsid w:val="00DF1ECE"/>
    <w:rsid w:val="00DF1F76"/>
    <w:rsid w:val="00DF2170"/>
    <w:rsid w:val="00DF24E6"/>
    <w:rsid w:val="00DF2FC2"/>
    <w:rsid w:val="00DF303F"/>
    <w:rsid w:val="00DF3D62"/>
    <w:rsid w:val="00DF40AB"/>
    <w:rsid w:val="00DF4838"/>
    <w:rsid w:val="00DF54EF"/>
    <w:rsid w:val="00DF572E"/>
    <w:rsid w:val="00DF583D"/>
    <w:rsid w:val="00DF596A"/>
    <w:rsid w:val="00DF63B1"/>
    <w:rsid w:val="00DF6DA6"/>
    <w:rsid w:val="00DF708D"/>
    <w:rsid w:val="00DF72DE"/>
    <w:rsid w:val="00DF7E92"/>
    <w:rsid w:val="00DF7EB8"/>
    <w:rsid w:val="00E0031E"/>
    <w:rsid w:val="00E00FD5"/>
    <w:rsid w:val="00E01956"/>
    <w:rsid w:val="00E02047"/>
    <w:rsid w:val="00E023E5"/>
    <w:rsid w:val="00E02837"/>
    <w:rsid w:val="00E02F62"/>
    <w:rsid w:val="00E04428"/>
    <w:rsid w:val="00E0443C"/>
    <w:rsid w:val="00E04B4F"/>
    <w:rsid w:val="00E053F1"/>
    <w:rsid w:val="00E059C8"/>
    <w:rsid w:val="00E06CAE"/>
    <w:rsid w:val="00E06FD6"/>
    <w:rsid w:val="00E074C1"/>
    <w:rsid w:val="00E07B79"/>
    <w:rsid w:val="00E07CD2"/>
    <w:rsid w:val="00E07CDC"/>
    <w:rsid w:val="00E1006A"/>
    <w:rsid w:val="00E105B9"/>
    <w:rsid w:val="00E1079E"/>
    <w:rsid w:val="00E10F6A"/>
    <w:rsid w:val="00E112FA"/>
    <w:rsid w:val="00E12A5C"/>
    <w:rsid w:val="00E12CED"/>
    <w:rsid w:val="00E13B3E"/>
    <w:rsid w:val="00E13D2C"/>
    <w:rsid w:val="00E13EE3"/>
    <w:rsid w:val="00E14883"/>
    <w:rsid w:val="00E148CD"/>
    <w:rsid w:val="00E14BD8"/>
    <w:rsid w:val="00E14E22"/>
    <w:rsid w:val="00E14FF5"/>
    <w:rsid w:val="00E150FF"/>
    <w:rsid w:val="00E15713"/>
    <w:rsid w:val="00E15A06"/>
    <w:rsid w:val="00E15C48"/>
    <w:rsid w:val="00E16682"/>
    <w:rsid w:val="00E1678A"/>
    <w:rsid w:val="00E16A20"/>
    <w:rsid w:val="00E17549"/>
    <w:rsid w:val="00E17BAE"/>
    <w:rsid w:val="00E17C47"/>
    <w:rsid w:val="00E17E85"/>
    <w:rsid w:val="00E17E99"/>
    <w:rsid w:val="00E2002A"/>
    <w:rsid w:val="00E2018B"/>
    <w:rsid w:val="00E2055A"/>
    <w:rsid w:val="00E20C77"/>
    <w:rsid w:val="00E21F2D"/>
    <w:rsid w:val="00E22A26"/>
    <w:rsid w:val="00E22DD9"/>
    <w:rsid w:val="00E2336E"/>
    <w:rsid w:val="00E23655"/>
    <w:rsid w:val="00E23AB9"/>
    <w:rsid w:val="00E23AC4"/>
    <w:rsid w:val="00E23ED2"/>
    <w:rsid w:val="00E24E62"/>
    <w:rsid w:val="00E256F7"/>
    <w:rsid w:val="00E25995"/>
    <w:rsid w:val="00E25D57"/>
    <w:rsid w:val="00E25F20"/>
    <w:rsid w:val="00E26257"/>
    <w:rsid w:val="00E264AD"/>
    <w:rsid w:val="00E27074"/>
    <w:rsid w:val="00E271BA"/>
    <w:rsid w:val="00E27E1C"/>
    <w:rsid w:val="00E300F2"/>
    <w:rsid w:val="00E30733"/>
    <w:rsid w:val="00E31966"/>
    <w:rsid w:val="00E3203D"/>
    <w:rsid w:val="00E32AE4"/>
    <w:rsid w:val="00E32D6A"/>
    <w:rsid w:val="00E32E7D"/>
    <w:rsid w:val="00E33396"/>
    <w:rsid w:val="00E335C5"/>
    <w:rsid w:val="00E33D24"/>
    <w:rsid w:val="00E33E8E"/>
    <w:rsid w:val="00E34706"/>
    <w:rsid w:val="00E34A28"/>
    <w:rsid w:val="00E34EB5"/>
    <w:rsid w:val="00E34ED4"/>
    <w:rsid w:val="00E35580"/>
    <w:rsid w:val="00E36DD5"/>
    <w:rsid w:val="00E36E5B"/>
    <w:rsid w:val="00E3751A"/>
    <w:rsid w:val="00E375D8"/>
    <w:rsid w:val="00E377A6"/>
    <w:rsid w:val="00E4005E"/>
    <w:rsid w:val="00E40A1E"/>
    <w:rsid w:val="00E41CF2"/>
    <w:rsid w:val="00E41D23"/>
    <w:rsid w:val="00E4233D"/>
    <w:rsid w:val="00E423D5"/>
    <w:rsid w:val="00E4297F"/>
    <w:rsid w:val="00E438F7"/>
    <w:rsid w:val="00E43E29"/>
    <w:rsid w:val="00E43EE5"/>
    <w:rsid w:val="00E445B1"/>
    <w:rsid w:val="00E448CF"/>
    <w:rsid w:val="00E449C5"/>
    <w:rsid w:val="00E44ACD"/>
    <w:rsid w:val="00E44CB9"/>
    <w:rsid w:val="00E44FF6"/>
    <w:rsid w:val="00E45343"/>
    <w:rsid w:val="00E4561F"/>
    <w:rsid w:val="00E45B97"/>
    <w:rsid w:val="00E4611B"/>
    <w:rsid w:val="00E46852"/>
    <w:rsid w:val="00E46AB1"/>
    <w:rsid w:val="00E46FA9"/>
    <w:rsid w:val="00E479FF"/>
    <w:rsid w:val="00E50E0E"/>
    <w:rsid w:val="00E51392"/>
    <w:rsid w:val="00E51555"/>
    <w:rsid w:val="00E515B1"/>
    <w:rsid w:val="00E51662"/>
    <w:rsid w:val="00E52466"/>
    <w:rsid w:val="00E524BC"/>
    <w:rsid w:val="00E5269A"/>
    <w:rsid w:val="00E527E5"/>
    <w:rsid w:val="00E535D1"/>
    <w:rsid w:val="00E536FC"/>
    <w:rsid w:val="00E53AA6"/>
    <w:rsid w:val="00E53C6C"/>
    <w:rsid w:val="00E53CB2"/>
    <w:rsid w:val="00E53D6A"/>
    <w:rsid w:val="00E5411B"/>
    <w:rsid w:val="00E5412B"/>
    <w:rsid w:val="00E54898"/>
    <w:rsid w:val="00E55558"/>
    <w:rsid w:val="00E55BB8"/>
    <w:rsid w:val="00E55F0E"/>
    <w:rsid w:val="00E56344"/>
    <w:rsid w:val="00E57E87"/>
    <w:rsid w:val="00E60D77"/>
    <w:rsid w:val="00E60DE1"/>
    <w:rsid w:val="00E60F7E"/>
    <w:rsid w:val="00E61076"/>
    <w:rsid w:val="00E61812"/>
    <w:rsid w:val="00E62CF0"/>
    <w:rsid w:val="00E62E5D"/>
    <w:rsid w:val="00E62F63"/>
    <w:rsid w:val="00E63121"/>
    <w:rsid w:val="00E6315D"/>
    <w:rsid w:val="00E6342E"/>
    <w:rsid w:val="00E63730"/>
    <w:rsid w:val="00E6469F"/>
    <w:rsid w:val="00E64D8F"/>
    <w:rsid w:val="00E64FCD"/>
    <w:rsid w:val="00E65073"/>
    <w:rsid w:val="00E65DAB"/>
    <w:rsid w:val="00E65E8C"/>
    <w:rsid w:val="00E661EC"/>
    <w:rsid w:val="00E667CE"/>
    <w:rsid w:val="00E66800"/>
    <w:rsid w:val="00E66D23"/>
    <w:rsid w:val="00E66D78"/>
    <w:rsid w:val="00E673C1"/>
    <w:rsid w:val="00E67C5C"/>
    <w:rsid w:val="00E67E55"/>
    <w:rsid w:val="00E70504"/>
    <w:rsid w:val="00E71198"/>
    <w:rsid w:val="00E71E4F"/>
    <w:rsid w:val="00E71EDA"/>
    <w:rsid w:val="00E7224F"/>
    <w:rsid w:val="00E72486"/>
    <w:rsid w:val="00E724EF"/>
    <w:rsid w:val="00E7264E"/>
    <w:rsid w:val="00E72651"/>
    <w:rsid w:val="00E72C2B"/>
    <w:rsid w:val="00E732DA"/>
    <w:rsid w:val="00E73957"/>
    <w:rsid w:val="00E73C90"/>
    <w:rsid w:val="00E73D3A"/>
    <w:rsid w:val="00E743A1"/>
    <w:rsid w:val="00E7461C"/>
    <w:rsid w:val="00E74BC5"/>
    <w:rsid w:val="00E74F05"/>
    <w:rsid w:val="00E7518B"/>
    <w:rsid w:val="00E7593F"/>
    <w:rsid w:val="00E76497"/>
    <w:rsid w:val="00E76C33"/>
    <w:rsid w:val="00E8011B"/>
    <w:rsid w:val="00E801FE"/>
    <w:rsid w:val="00E805CC"/>
    <w:rsid w:val="00E80768"/>
    <w:rsid w:val="00E80C28"/>
    <w:rsid w:val="00E80E1E"/>
    <w:rsid w:val="00E819C5"/>
    <w:rsid w:val="00E82135"/>
    <w:rsid w:val="00E82715"/>
    <w:rsid w:val="00E82862"/>
    <w:rsid w:val="00E828F2"/>
    <w:rsid w:val="00E82CA0"/>
    <w:rsid w:val="00E82E17"/>
    <w:rsid w:val="00E84650"/>
    <w:rsid w:val="00E8495E"/>
    <w:rsid w:val="00E84AD4"/>
    <w:rsid w:val="00E8534F"/>
    <w:rsid w:val="00E854EA"/>
    <w:rsid w:val="00E8584F"/>
    <w:rsid w:val="00E85EC9"/>
    <w:rsid w:val="00E86BAE"/>
    <w:rsid w:val="00E87091"/>
    <w:rsid w:val="00E876A3"/>
    <w:rsid w:val="00E87DC5"/>
    <w:rsid w:val="00E903A5"/>
    <w:rsid w:val="00E907B3"/>
    <w:rsid w:val="00E909AD"/>
    <w:rsid w:val="00E90A19"/>
    <w:rsid w:val="00E91460"/>
    <w:rsid w:val="00E915F1"/>
    <w:rsid w:val="00E917F3"/>
    <w:rsid w:val="00E91C42"/>
    <w:rsid w:val="00E92341"/>
    <w:rsid w:val="00E92C3C"/>
    <w:rsid w:val="00E93635"/>
    <w:rsid w:val="00E94F06"/>
    <w:rsid w:val="00E95243"/>
    <w:rsid w:val="00E956CB"/>
    <w:rsid w:val="00E960B8"/>
    <w:rsid w:val="00E9647F"/>
    <w:rsid w:val="00E96AEE"/>
    <w:rsid w:val="00E96D1C"/>
    <w:rsid w:val="00E96D57"/>
    <w:rsid w:val="00E977CB"/>
    <w:rsid w:val="00E977CE"/>
    <w:rsid w:val="00E97990"/>
    <w:rsid w:val="00E97BEE"/>
    <w:rsid w:val="00E97D2F"/>
    <w:rsid w:val="00E97EA7"/>
    <w:rsid w:val="00E97FB1"/>
    <w:rsid w:val="00EA08E8"/>
    <w:rsid w:val="00EA1514"/>
    <w:rsid w:val="00EA16E1"/>
    <w:rsid w:val="00EA1767"/>
    <w:rsid w:val="00EA1F8E"/>
    <w:rsid w:val="00EA2360"/>
    <w:rsid w:val="00EA272B"/>
    <w:rsid w:val="00EA2D40"/>
    <w:rsid w:val="00EA2F5D"/>
    <w:rsid w:val="00EA301E"/>
    <w:rsid w:val="00EA3BA1"/>
    <w:rsid w:val="00EA445E"/>
    <w:rsid w:val="00EA449C"/>
    <w:rsid w:val="00EA4F1E"/>
    <w:rsid w:val="00EA4F7D"/>
    <w:rsid w:val="00EA53C5"/>
    <w:rsid w:val="00EA5F9C"/>
    <w:rsid w:val="00EA630B"/>
    <w:rsid w:val="00EA633B"/>
    <w:rsid w:val="00EA659C"/>
    <w:rsid w:val="00EA70ED"/>
    <w:rsid w:val="00EA7206"/>
    <w:rsid w:val="00EB0A68"/>
    <w:rsid w:val="00EB0E6A"/>
    <w:rsid w:val="00EB0FE6"/>
    <w:rsid w:val="00EB1696"/>
    <w:rsid w:val="00EB16EB"/>
    <w:rsid w:val="00EB182C"/>
    <w:rsid w:val="00EB19D9"/>
    <w:rsid w:val="00EB2249"/>
    <w:rsid w:val="00EB2287"/>
    <w:rsid w:val="00EB269D"/>
    <w:rsid w:val="00EB30E8"/>
    <w:rsid w:val="00EB344E"/>
    <w:rsid w:val="00EB370F"/>
    <w:rsid w:val="00EB4101"/>
    <w:rsid w:val="00EB45D7"/>
    <w:rsid w:val="00EB47B3"/>
    <w:rsid w:val="00EB4926"/>
    <w:rsid w:val="00EB4B58"/>
    <w:rsid w:val="00EB4E5F"/>
    <w:rsid w:val="00EB5197"/>
    <w:rsid w:val="00EB5629"/>
    <w:rsid w:val="00EB5734"/>
    <w:rsid w:val="00EB66EC"/>
    <w:rsid w:val="00EB6FB8"/>
    <w:rsid w:val="00EB75EB"/>
    <w:rsid w:val="00EB7605"/>
    <w:rsid w:val="00EB76CB"/>
    <w:rsid w:val="00EC089D"/>
    <w:rsid w:val="00EC0DD3"/>
    <w:rsid w:val="00EC101A"/>
    <w:rsid w:val="00EC1394"/>
    <w:rsid w:val="00EC1C6F"/>
    <w:rsid w:val="00EC20D7"/>
    <w:rsid w:val="00EC226A"/>
    <w:rsid w:val="00EC229B"/>
    <w:rsid w:val="00EC28DD"/>
    <w:rsid w:val="00EC2A9C"/>
    <w:rsid w:val="00EC2EE6"/>
    <w:rsid w:val="00EC3012"/>
    <w:rsid w:val="00EC3713"/>
    <w:rsid w:val="00EC37A0"/>
    <w:rsid w:val="00EC3FA5"/>
    <w:rsid w:val="00EC552D"/>
    <w:rsid w:val="00EC5B93"/>
    <w:rsid w:val="00EC6584"/>
    <w:rsid w:val="00EC6898"/>
    <w:rsid w:val="00EC7369"/>
    <w:rsid w:val="00EC774B"/>
    <w:rsid w:val="00ED0A51"/>
    <w:rsid w:val="00ED13EB"/>
    <w:rsid w:val="00ED1462"/>
    <w:rsid w:val="00ED14A1"/>
    <w:rsid w:val="00ED17FA"/>
    <w:rsid w:val="00ED1856"/>
    <w:rsid w:val="00ED24B6"/>
    <w:rsid w:val="00ED25D2"/>
    <w:rsid w:val="00ED35C0"/>
    <w:rsid w:val="00ED3F38"/>
    <w:rsid w:val="00ED4124"/>
    <w:rsid w:val="00ED46E6"/>
    <w:rsid w:val="00ED5030"/>
    <w:rsid w:val="00ED5404"/>
    <w:rsid w:val="00ED547D"/>
    <w:rsid w:val="00ED596C"/>
    <w:rsid w:val="00ED5ACF"/>
    <w:rsid w:val="00ED5E36"/>
    <w:rsid w:val="00ED67E8"/>
    <w:rsid w:val="00ED7CCC"/>
    <w:rsid w:val="00EE0174"/>
    <w:rsid w:val="00EE01D1"/>
    <w:rsid w:val="00EE07FE"/>
    <w:rsid w:val="00EE083C"/>
    <w:rsid w:val="00EE0D6A"/>
    <w:rsid w:val="00EE0DF1"/>
    <w:rsid w:val="00EE12E9"/>
    <w:rsid w:val="00EE13A7"/>
    <w:rsid w:val="00EE2B55"/>
    <w:rsid w:val="00EE3341"/>
    <w:rsid w:val="00EE3445"/>
    <w:rsid w:val="00EE3F8D"/>
    <w:rsid w:val="00EE4436"/>
    <w:rsid w:val="00EE4547"/>
    <w:rsid w:val="00EE4BBE"/>
    <w:rsid w:val="00EE4DC6"/>
    <w:rsid w:val="00EE546C"/>
    <w:rsid w:val="00EE563D"/>
    <w:rsid w:val="00EE5BC0"/>
    <w:rsid w:val="00EE5DFC"/>
    <w:rsid w:val="00EE60E7"/>
    <w:rsid w:val="00EE6290"/>
    <w:rsid w:val="00EE6940"/>
    <w:rsid w:val="00EE6A20"/>
    <w:rsid w:val="00EE702B"/>
    <w:rsid w:val="00EE7503"/>
    <w:rsid w:val="00EE7636"/>
    <w:rsid w:val="00EE7F14"/>
    <w:rsid w:val="00EF00A8"/>
    <w:rsid w:val="00EF02E6"/>
    <w:rsid w:val="00EF045D"/>
    <w:rsid w:val="00EF0908"/>
    <w:rsid w:val="00EF0983"/>
    <w:rsid w:val="00EF0C8C"/>
    <w:rsid w:val="00EF0E21"/>
    <w:rsid w:val="00EF0EBD"/>
    <w:rsid w:val="00EF138D"/>
    <w:rsid w:val="00EF1821"/>
    <w:rsid w:val="00EF1D2F"/>
    <w:rsid w:val="00EF20C3"/>
    <w:rsid w:val="00EF231B"/>
    <w:rsid w:val="00EF2449"/>
    <w:rsid w:val="00EF2467"/>
    <w:rsid w:val="00EF256C"/>
    <w:rsid w:val="00EF2A25"/>
    <w:rsid w:val="00EF32C6"/>
    <w:rsid w:val="00EF3390"/>
    <w:rsid w:val="00EF3393"/>
    <w:rsid w:val="00EF3C6A"/>
    <w:rsid w:val="00EF3CFE"/>
    <w:rsid w:val="00EF3F1A"/>
    <w:rsid w:val="00EF463E"/>
    <w:rsid w:val="00EF4776"/>
    <w:rsid w:val="00EF5100"/>
    <w:rsid w:val="00EF541D"/>
    <w:rsid w:val="00EF571F"/>
    <w:rsid w:val="00EF579C"/>
    <w:rsid w:val="00EF57BB"/>
    <w:rsid w:val="00EF585C"/>
    <w:rsid w:val="00EF5B95"/>
    <w:rsid w:val="00EF60B7"/>
    <w:rsid w:val="00EF613D"/>
    <w:rsid w:val="00EF6466"/>
    <w:rsid w:val="00EF78EB"/>
    <w:rsid w:val="00EF7C48"/>
    <w:rsid w:val="00EF7CC4"/>
    <w:rsid w:val="00F008A6"/>
    <w:rsid w:val="00F00922"/>
    <w:rsid w:val="00F0102C"/>
    <w:rsid w:val="00F0106B"/>
    <w:rsid w:val="00F0137B"/>
    <w:rsid w:val="00F0139C"/>
    <w:rsid w:val="00F018E3"/>
    <w:rsid w:val="00F020E1"/>
    <w:rsid w:val="00F0221D"/>
    <w:rsid w:val="00F0285B"/>
    <w:rsid w:val="00F02DE5"/>
    <w:rsid w:val="00F0324F"/>
    <w:rsid w:val="00F03AA2"/>
    <w:rsid w:val="00F043F9"/>
    <w:rsid w:val="00F04C51"/>
    <w:rsid w:val="00F04C5D"/>
    <w:rsid w:val="00F04D6C"/>
    <w:rsid w:val="00F04E02"/>
    <w:rsid w:val="00F05558"/>
    <w:rsid w:val="00F0595E"/>
    <w:rsid w:val="00F05A7B"/>
    <w:rsid w:val="00F05FA3"/>
    <w:rsid w:val="00F06454"/>
    <w:rsid w:val="00F06CB2"/>
    <w:rsid w:val="00F06E4A"/>
    <w:rsid w:val="00F06E72"/>
    <w:rsid w:val="00F07C8A"/>
    <w:rsid w:val="00F07D8B"/>
    <w:rsid w:val="00F104D0"/>
    <w:rsid w:val="00F10840"/>
    <w:rsid w:val="00F116E1"/>
    <w:rsid w:val="00F11E4F"/>
    <w:rsid w:val="00F12195"/>
    <w:rsid w:val="00F122B1"/>
    <w:rsid w:val="00F1272B"/>
    <w:rsid w:val="00F12E00"/>
    <w:rsid w:val="00F13033"/>
    <w:rsid w:val="00F13232"/>
    <w:rsid w:val="00F132E7"/>
    <w:rsid w:val="00F13A85"/>
    <w:rsid w:val="00F13C6A"/>
    <w:rsid w:val="00F13C93"/>
    <w:rsid w:val="00F14212"/>
    <w:rsid w:val="00F14A1F"/>
    <w:rsid w:val="00F14D95"/>
    <w:rsid w:val="00F14FDD"/>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2EF7"/>
    <w:rsid w:val="00F232DA"/>
    <w:rsid w:val="00F23303"/>
    <w:rsid w:val="00F23A11"/>
    <w:rsid w:val="00F2468C"/>
    <w:rsid w:val="00F24874"/>
    <w:rsid w:val="00F24980"/>
    <w:rsid w:val="00F249C3"/>
    <w:rsid w:val="00F24B20"/>
    <w:rsid w:val="00F24EF6"/>
    <w:rsid w:val="00F256D7"/>
    <w:rsid w:val="00F25C36"/>
    <w:rsid w:val="00F26145"/>
    <w:rsid w:val="00F26345"/>
    <w:rsid w:val="00F2634C"/>
    <w:rsid w:val="00F26A0C"/>
    <w:rsid w:val="00F26A63"/>
    <w:rsid w:val="00F26D6D"/>
    <w:rsid w:val="00F30616"/>
    <w:rsid w:val="00F31677"/>
    <w:rsid w:val="00F319F9"/>
    <w:rsid w:val="00F32AF9"/>
    <w:rsid w:val="00F33B96"/>
    <w:rsid w:val="00F346B1"/>
    <w:rsid w:val="00F3484E"/>
    <w:rsid w:val="00F34E84"/>
    <w:rsid w:val="00F34FB3"/>
    <w:rsid w:val="00F35284"/>
    <w:rsid w:val="00F3629F"/>
    <w:rsid w:val="00F36323"/>
    <w:rsid w:val="00F36B90"/>
    <w:rsid w:val="00F36F16"/>
    <w:rsid w:val="00F373A8"/>
    <w:rsid w:val="00F37507"/>
    <w:rsid w:val="00F37F78"/>
    <w:rsid w:val="00F40042"/>
    <w:rsid w:val="00F415F2"/>
    <w:rsid w:val="00F4186D"/>
    <w:rsid w:val="00F419C1"/>
    <w:rsid w:val="00F42037"/>
    <w:rsid w:val="00F420FC"/>
    <w:rsid w:val="00F423F6"/>
    <w:rsid w:val="00F42415"/>
    <w:rsid w:val="00F424D3"/>
    <w:rsid w:val="00F424EB"/>
    <w:rsid w:val="00F4284C"/>
    <w:rsid w:val="00F42A5E"/>
    <w:rsid w:val="00F433D5"/>
    <w:rsid w:val="00F43D24"/>
    <w:rsid w:val="00F443B0"/>
    <w:rsid w:val="00F444E7"/>
    <w:rsid w:val="00F447EA"/>
    <w:rsid w:val="00F44943"/>
    <w:rsid w:val="00F453DF"/>
    <w:rsid w:val="00F4635D"/>
    <w:rsid w:val="00F46F48"/>
    <w:rsid w:val="00F4737E"/>
    <w:rsid w:val="00F47651"/>
    <w:rsid w:val="00F47D5F"/>
    <w:rsid w:val="00F47E5F"/>
    <w:rsid w:val="00F50623"/>
    <w:rsid w:val="00F5065C"/>
    <w:rsid w:val="00F50A89"/>
    <w:rsid w:val="00F50BC6"/>
    <w:rsid w:val="00F50ED7"/>
    <w:rsid w:val="00F511EE"/>
    <w:rsid w:val="00F51D28"/>
    <w:rsid w:val="00F51E4D"/>
    <w:rsid w:val="00F5276B"/>
    <w:rsid w:val="00F52A10"/>
    <w:rsid w:val="00F5335D"/>
    <w:rsid w:val="00F533F9"/>
    <w:rsid w:val="00F539AC"/>
    <w:rsid w:val="00F53D94"/>
    <w:rsid w:val="00F5420D"/>
    <w:rsid w:val="00F54768"/>
    <w:rsid w:val="00F54ADC"/>
    <w:rsid w:val="00F553E8"/>
    <w:rsid w:val="00F55AA3"/>
    <w:rsid w:val="00F55DFC"/>
    <w:rsid w:val="00F55E49"/>
    <w:rsid w:val="00F56C88"/>
    <w:rsid w:val="00F57BDA"/>
    <w:rsid w:val="00F57F43"/>
    <w:rsid w:val="00F60058"/>
    <w:rsid w:val="00F6066A"/>
    <w:rsid w:val="00F60688"/>
    <w:rsid w:val="00F60D88"/>
    <w:rsid w:val="00F60DC0"/>
    <w:rsid w:val="00F60E6F"/>
    <w:rsid w:val="00F60FFD"/>
    <w:rsid w:val="00F61248"/>
    <w:rsid w:val="00F61281"/>
    <w:rsid w:val="00F613C3"/>
    <w:rsid w:val="00F61946"/>
    <w:rsid w:val="00F626F5"/>
    <w:rsid w:val="00F629DE"/>
    <w:rsid w:val="00F63100"/>
    <w:rsid w:val="00F636CF"/>
    <w:rsid w:val="00F638B4"/>
    <w:rsid w:val="00F6394E"/>
    <w:rsid w:val="00F639FB"/>
    <w:rsid w:val="00F643C2"/>
    <w:rsid w:val="00F644A0"/>
    <w:rsid w:val="00F6480D"/>
    <w:rsid w:val="00F64A0B"/>
    <w:rsid w:val="00F653FB"/>
    <w:rsid w:val="00F6557B"/>
    <w:rsid w:val="00F65A9D"/>
    <w:rsid w:val="00F666B5"/>
    <w:rsid w:val="00F6688F"/>
    <w:rsid w:val="00F669E9"/>
    <w:rsid w:val="00F67275"/>
    <w:rsid w:val="00F67EF9"/>
    <w:rsid w:val="00F71285"/>
    <w:rsid w:val="00F7130B"/>
    <w:rsid w:val="00F713E2"/>
    <w:rsid w:val="00F7187B"/>
    <w:rsid w:val="00F718A4"/>
    <w:rsid w:val="00F72698"/>
    <w:rsid w:val="00F728AA"/>
    <w:rsid w:val="00F72A88"/>
    <w:rsid w:val="00F72AD3"/>
    <w:rsid w:val="00F72C8A"/>
    <w:rsid w:val="00F72CA8"/>
    <w:rsid w:val="00F72D90"/>
    <w:rsid w:val="00F73A11"/>
    <w:rsid w:val="00F741FA"/>
    <w:rsid w:val="00F7430B"/>
    <w:rsid w:val="00F745D9"/>
    <w:rsid w:val="00F7523E"/>
    <w:rsid w:val="00F753AE"/>
    <w:rsid w:val="00F759D7"/>
    <w:rsid w:val="00F7609A"/>
    <w:rsid w:val="00F765FF"/>
    <w:rsid w:val="00F76924"/>
    <w:rsid w:val="00F76FD6"/>
    <w:rsid w:val="00F77293"/>
    <w:rsid w:val="00F772A4"/>
    <w:rsid w:val="00F7783C"/>
    <w:rsid w:val="00F77C33"/>
    <w:rsid w:val="00F77D71"/>
    <w:rsid w:val="00F80879"/>
    <w:rsid w:val="00F808F0"/>
    <w:rsid w:val="00F80927"/>
    <w:rsid w:val="00F80B77"/>
    <w:rsid w:val="00F80B7F"/>
    <w:rsid w:val="00F8199F"/>
    <w:rsid w:val="00F819E1"/>
    <w:rsid w:val="00F822A0"/>
    <w:rsid w:val="00F8343F"/>
    <w:rsid w:val="00F83984"/>
    <w:rsid w:val="00F83A8B"/>
    <w:rsid w:val="00F83B2E"/>
    <w:rsid w:val="00F84099"/>
    <w:rsid w:val="00F8412E"/>
    <w:rsid w:val="00F843F7"/>
    <w:rsid w:val="00F8446A"/>
    <w:rsid w:val="00F8476D"/>
    <w:rsid w:val="00F84B8D"/>
    <w:rsid w:val="00F84C56"/>
    <w:rsid w:val="00F85501"/>
    <w:rsid w:val="00F8563F"/>
    <w:rsid w:val="00F856DE"/>
    <w:rsid w:val="00F85851"/>
    <w:rsid w:val="00F86769"/>
    <w:rsid w:val="00F8676D"/>
    <w:rsid w:val="00F86C16"/>
    <w:rsid w:val="00F870E7"/>
    <w:rsid w:val="00F8798B"/>
    <w:rsid w:val="00F87FA0"/>
    <w:rsid w:val="00F9034D"/>
    <w:rsid w:val="00F90624"/>
    <w:rsid w:val="00F907AF"/>
    <w:rsid w:val="00F90E09"/>
    <w:rsid w:val="00F91CBC"/>
    <w:rsid w:val="00F91E36"/>
    <w:rsid w:val="00F922ED"/>
    <w:rsid w:val="00F92D3F"/>
    <w:rsid w:val="00F92DF4"/>
    <w:rsid w:val="00F93A0A"/>
    <w:rsid w:val="00F94A71"/>
    <w:rsid w:val="00F94CCA"/>
    <w:rsid w:val="00F9535C"/>
    <w:rsid w:val="00F954B2"/>
    <w:rsid w:val="00F95780"/>
    <w:rsid w:val="00F95EFB"/>
    <w:rsid w:val="00F9624E"/>
    <w:rsid w:val="00F96923"/>
    <w:rsid w:val="00F96A0D"/>
    <w:rsid w:val="00F96C3D"/>
    <w:rsid w:val="00F96E26"/>
    <w:rsid w:val="00F970DB"/>
    <w:rsid w:val="00F9766C"/>
    <w:rsid w:val="00FA008C"/>
    <w:rsid w:val="00FA0431"/>
    <w:rsid w:val="00FA0577"/>
    <w:rsid w:val="00FA086C"/>
    <w:rsid w:val="00FA0870"/>
    <w:rsid w:val="00FA0FFB"/>
    <w:rsid w:val="00FA1441"/>
    <w:rsid w:val="00FA203F"/>
    <w:rsid w:val="00FA2618"/>
    <w:rsid w:val="00FA2661"/>
    <w:rsid w:val="00FA38A1"/>
    <w:rsid w:val="00FA3AA3"/>
    <w:rsid w:val="00FA3B65"/>
    <w:rsid w:val="00FA3C01"/>
    <w:rsid w:val="00FA3F41"/>
    <w:rsid w:val="00FA44D9"/>
    <w:rsid w:val="00FA48C9"/>
    <w:rsid w:val="00FA4918"/>
    <w:rsid w:val="00FA4A3B"/>
    <w:rsid w:val="00FA4C69"/>
    <w:rsid w:val="00FA62C1"/>
    <w:rsid w:val="00FA6B17"/>
    <w:rsid w:val="00FA7749"/>
    <w:rsid w:val="00FA7860"/>
    <w:rsid w:val="00FB0060"/>
    <w:rsid w:val="00FB012F"/>
    <w:rsid w:val="00FB0A08"/>
    <w:rsid w:val="00FB0AD3"/>
    <w:rsid w:val="00FB0D58"/>
    <w:rsid w:val="00FB185F"/>
    <w:rsid w:val="00FB1CDD"/>
    <w:rsid w:val="00FB21EE"/>
    <w:rsid w:val="00FB2506"/>
    <w:rsid w:val="00FB2BA3"/>
    <w:rsid w:val="00FB306B"/>
    <w:rsid w:val="00FB3784"/>
    <w:rsid w:val="00FB37D3"/>
    <w:rsid w:val="00FB42C1"/>
    <w:rsid w:val="00FB4C29"/>
    <w:rsid w:val="00FB50C2"/>
    <w:rsid w:val="00FB529D"/>
    <w:rsid w:val="00FB56C5"/>
    <w:rsid w:val="00FB57EF"/>
    <w:rsid w:val="00FB59E5"/>
    <w:rsid w:val="00FB5FB0"/>
    <w:rsid w:val="00FB64D0"/>
    <w:rsid w:val="00FB6F0E"/>
    <w:rsid w:val="00FB74F6"/>
    <w:rsid w:val="00FB7B08"/>
    <w:rsid w:val="00FC06BF"/>
    <w:rsid w:val="00FC0745"/>
    <w:rsid w:val="00FC0AE4"/>
    <w:rsid w:val="00FC0E21"/>
    <w:rsid w:val="00FC128E"/>
    <w:rsid w:val="00FC1694"/>
    <w:rsid w:val="00FC1CF2"/>
    <w:rsid w:val="00FC2124"/>
    <w:rsid w:val="00FC2576"/>
    <w:rsid w:val="00FC2A8A"/>
    <w:rsid w:val="00FC2CE5"/>
    <w:rsid w:val="00FC2E45"/>
    <w:rsid w:val="00FC351E"/>
    <w:rsid w:val="00FC35DE"/>
    <w:rsid w:val="00FC4398"/>
    <w:rsid w:val="00FC4940"/>
    <w:rsid w:val="00FC4B62"/>
    <w:rsid w:val="00FC4BA2"/>
    <w:rsid w:val="00FC4CCC"/>
    <w:rsid w:val="00FC503B"/>
    <w:rsid w:val="00FC5301"/>
    <w:rsid w:val="00FC588B"/>
    <w:rsid w:val="00FC5933"/>
    <w:rsid w:val="00FC5B26"/>
    <w:rsid w:val="00FC5F5C"/>
    <w:rsid w:val="00FC6028"/>
    <w:rsid w:val="00FC61CD"/>
    <w:rsid w:val="00FC635D"/>
    <w:rsid w:val="00FC66B8"/>
    <w:rsid w:val="00FC6947"/>
    <w:rsid w:val="00FC6E6C"/>
    <w:rsid w:val="00FC6E74"/>
    <w:rsid w:val="00FC7186"/>
    <w:rsid w:val="00FC742F"/>
    <w:rsid w:val="00FC7C89"/>
    <w:rsid w:val="00FC7E0D"/>
    <w:rsid w:val="00FC7E61"/>
    <w:rsid w:val="00FD0447"/>
    <w:rsid w:val="00FD0F61"/>
    <w:rsid w:val="00FD1280"/>
    <w:rsid w:val="00FD143C"/>
    <w:rsid w:val="00FD1946"/>
    <w:rsid w:val="00FD1C6C"/>
    <w:rsid w:val="00FD2066"/>
    <w:rsid w:val="00FD2965"/>
    <w:rsid w:val="00FD2A64"/>
    <w:rsid w:val="00FD2CC3"/>
    <w:rsid w:val="00FD3D61"/>
    <w:rsid w:val="00FD436D"/>
    <w:rsid w:val="00FD474F"/>
    <w:rsid w:val="00FD491D"/>
    <w:rsid w:val="00FD49DB"/>
    <w:rsid w:val="00FD5062"/>
    <w:rsid w:val="00FD6AA8"/>
    <w:rsid w:val="00FD6D27"/>
    <w:rsid w:val="00FD6E98"/>
    <w:rsid w:val="00FD74D9"/>
    <w:rsid w:val="00FD764D"/>
    <w:rsid w:val="00FD7842"/>
    <w:rsid w:val="00FD7B35"/>
    <w:rsid w:val="00FD7C6C"/>
    <w:rsid w:val="00FD7CDC"/>
    <w:rsid w:val="00FD7F20"/>
    <w:rsid w:val="00FE01A6"/>
    <w:rsid w:val="00FE02F8"/>
    <w:rsid w:val="00FE06F7"/>
    <w:rsid w:val="00FE0BA6"/>
    <w:rsid w:val="00FE1445"/>
    <w:rsid w:val="00FE153E"/>
    <w:rsid w:val="00FE18EF"/>
    <w:rsid w:val="00FE1CC5"/>
    <w:rsid w:val="00FE1CE2"/>
    <w:rsid w:val="00FE1DFC"/>
    <w:rsid w:val="00FE235B"/>
    <w:rsid w:val="00FE27FE"/>
    <w:rsid w:val="00FE2852"/>
    <w:rsid w:val="00FE2F5F"/>
    <w:rsid w:val="00FE37DB"/>
    <w:rsid w:val="00FE393B"/>
    <w:rsid w:val="00FE3E2B"/>
    <w:rsid w:val="00FE4514"/>
    <w:rsid w:val="00FE4608"/>
    <w:rsid w:val="00FE4826"/>
    <w:rsid w:val="00FE48DB"/>
    <w:rsid w:val="00FE5DD2"/>
    <w:rsid w:val="00FE63A9"/>
    <w:rsid w:val="00FE66DF"/>
    <w:rsid w:val="00FE6845"/>
    <w:rsid w:val="00FE6AD1"/>
    <w:rsid w:val="00FE78FD"/>
    <w:rsid w:val="00FE7BA2"/>
    <w:rsid w:val="00FE7D33"/>
    <w:rsid w:val="00FE7F82"/>
    <w:rsid w:val="00FF0586"/>
    <w:rsid w:val="00FF080D"/>
    <w:rsid w:val="00FF09BD"/>
    <w:rsid w:val="00FF162B"/>
    <w:rsid w:val="00FF1744"/>
    <w:rsid w:val="00FF2265"/>
    <w:rsid w:val="00FF3496"/>
    <w:rsid w:val="00FF3AB1"/>
    <w:rsid w:val="00FF3C7E"/>
    <w:rsid w:val="00FF3CA1"/>
    <w:rsid w:val="00FF4177"/>
    <w:rsid w:val="00FF4518"/>
    <w:rsid w:val="00FF4675"/>
    <w:rsid w:val="00FF48C8"/>
    <w:rsid w:val="00FF5308"/>
    <w:rsid w:val="00FF5523"/>
    <w:rsid w:val="00FF61A1"/>
    <w:rsid w:val="00FF6310"/>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C86753"/>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uiPriority w:val="99"/>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table" w:styleId="Tablaconcuadrcula">
    <w:name w:val="Table Grid"/>
    <w:basedOn w:val="Tablanormal"/>
    <w:uiPriority w:val="59"/>
    <w:rsid w:val="00A46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0">
    <w:name w:val="texto"/>
    <w:basedOn w:val="Normal"/>
    <w:uiPriority w:val="99"/>
    <w:rsid w:val="00A46C32"/>
    <w:pPr>
      <w:keepLines/>
      <w:widowControl w:val="0"/>
      <w:spacing w:before="240"/>
    </w:pPr>
    <w:rPr>
      <w:rFonts w:cs="Times New Roman"/>
      <w:snapToGrid w:val="0"/>
      <w:color w:val="000080"/>
      <w:szCs w:val="20"/>
      <w:lang w:val="es-MX"/>
    </w:rPr>
  </w:style>
  <w:style w:type="character" w:customStyle="1" w:styleId="TextoindependienteCar">
    <w:name w:val="Texto independiente Car"/>
    <w:basedOn w:val="Fuentedeprrafopredeter"/>
    <w:link w:val="Textoindependiente"/>
    <w:rsid w:val="002947DA"/>
    <w:rPr>
      <w:rFonts w:ascii="Arial" w:hAnsi="Arial" w:cs="Arial"/>
      <w:color w:val="0000FF"/>
      <w:sz w:val="24"/>
      <w:szCs w:val="24"/>
      <w:lang w:val="es-ES_tradnl" w:eastAsia="es-ES"/>
    </w:rPr>
  </w:style>
  <w:style w:type="paragraph" w:styleId="NormalWeb">
    <w:name w:val="Normal (Web)"/>
    <w:basedOn w:val="Normal"/>
    <w:uiPriority w:val="99"/>
    <w:unhideWhenUsed/>
    <w:rsid w:val="002C2760"/>
    <w:pPr>
      <w:spacing w:before="100" w:beforeAutospacing="1" w:after="100" w:afterAutospacing="1"/>
      <w:jc w:val="left"/>
    </w:pPr>
    <w:rPr>
      <w:rFonts w:ascii="Times New Roman" w:hAnsi="Times New Roman" w:cs="Times New Roman"/>
      <w:lang w:val="es-MX" w:eastAsia="es-MX"/>
    </w:rPr>
  </w:style>
  <w:style w:type="paragraph" w:customStyle="1" w:styleId="parr2">
    <w:name w:val="parr2"/>
    <w:basedOn w:val="Normal"/>
    <w:rsid w:val="00396AD3"/>
    <w:pPr>
      <w:spacing w:before="600"/>
      <w:ind w:left="567" w:right="15"/>
    </w:pPr>
    <w:rPr>
      <w:rFonts w:cs="Times New Roman"/>
      <w:szCs w:val="20"/>
    </w:rPr>
  </w:style>
  <w:style w:type="paragraph" w:customStyle="1" w:styleId="Pa10">
    <w:name w:val="Pa10"/>
    <w:basedOn w:val="Default"/>
    <w:next w:val="Default"/>
    <w:uiPriority w:val="99"/>
    <w:rsid w:val="00C81D68"/>
    <w:pPr>
      <w:spacing w:line="221" w:lineRule="atLeast"/>
    </w:pPr>
    <w:rPr>
      <w:rFonts w:eastAsiaTheme="minorHAnsi"/>
      <w:color w:val="auto"/>
      <w:lang w:val="en-US" w:eastAsia="en-US"/>
    </w:rPr>
  </w:style>
  <w:style w:type="paragraph" w:customStyle="1" w:styleId="Pa8">
    <w:name w:val="Pa8"/>
    <w:basedOn w:val="Default"/>
    <w:next w:val="Default"/>
    <w:uiPriority w:val="99"/>
    <w:rsid w:val="003A76C9"/>
    <w:pPr>
      <w:spacing w:line="221" w:lineRule="atLeast"/>
    </w:pPr>
    <w:rPr>
      <w:rFonts w:eastAsiaTheme="minorHAnsi"/>
      <w:color w:val="auto"/>
      <w:lang w:val="en-US" w:eastAsia="en-US"/>
    </w:rPr>
  </w:style>
  <w:style w:type="character" w:styleId="Refdecomentario">
    <w:name w:val="annotation reference"/>
    <w:basedOn w:val="Fuentedeprrafopredeter"/>
    <w:semiHidden/>
    <w:unhideWhenUsed/>
    <w:rsid w:val="00FC128E"/>
    <w:rPr>
      <w:sz w:val="16"/>
      <w:szCs w:val="16"/>
    </w:rPr>
  </w:style>
  <w:style w:type="paragraph" w:styleId="Textocomentario">
    <w:name w:val="annotation text"/>
    <w:basedOn w:val="Normal"/>
    <w:link w:val="TextocomentarioCar"/>
    <w:unhideWhenUsed/>
    <w:rsid w:val="00FC128E"/>
    <w:rPr>
      <w:sz w:val="20"/>
      <w:szCs w:val="20"/>
    </w:rPr>
  </w:style>
  <w:style w:type="character" w:customStyle="1" w:styleId="TextocomentarioCar">
    <w:name w:val="Texto comentario Car"/>
    <w:basedOn w:val="Fuentedeprrafopredeter"/>
    <w:link w:val="Textocomentario"/>
    <w:rsid w:val="00FC128E"/>
    <w:rPr>
      <w:rFonts w:ascii="Arial" w:hAnsi="Arial" w:cs="Arial"/>
      <w:lang w:val="es-ES_tradnl" w:eastAsia="es-ES"/>
    </w:rPr>
  </w:style>
  <w:style w:type="paragraph" w:styleId="Asuntodelcomentario">
    <w:name w:val="annotation subject"/>
    <w:basedOn w:val="Textocomentario"/>
    <w:next w:val="Textocomentario"/>
    <w:link w:val="AsuntodelcomentarioCar"/>
    <w:semiHidden/>
    <w:unhideWhenUsed/>
    <w:rsid w:val="00FC128E"/>
    <w:rPr>
      <w:b/>
      <w:bCs/>
    </w:rPr>
  </w:style>
  <w:style w:type="character" w:customStyle="1" w:styleId="AsuntodelcomentarioCar">
    <w:name w:val="Asunto del comentario Car"/>
    <w:basedOn w:val="TextocomentarioCar"/>
    <w:link w:val="Asuntodelcomentario"/>
    <w:semiHidden/>
    <w:rsid w:val="00FC128E"/>
    <w:rPr>
      <w:rFonts w:ascii="Arial" w:hAnsi="Arial" w:cs="Arial"/>
      <w:b/>
      <w:bCs/>
      <w:lang w:val="es-ES_tradnl" w:eastAsia="es-ES"/>
    </w:rPr>
  </w:style>
  <w:style w:type="paragraph" w:styleId="Revisin">
    <w:name w:val="Revision"/>
    <w:hidden/>
    <w:uiPriority w:val="99"/>
    <w:semiHidden/>
    <w:rsid w:val="00FC128E"/>
    <w:rPr>
      <w:rFonts w:ascii="Arial" w:hAnsi="Arial" w:cs="Arial"/>
      <w:sz w:val="24"/>
      <w:szCs w:val="24"/>
      <w:lang w:val="es-ES_tradnl" w:eastAsia="es-ES"/>
    </w:rPr>
  </w:style>
  <w:style w:type="paragraph" w:customStyle="1" w:styleId="bulnot">
    <w:name w:val="bulnot"/>
    <w:basedOn w:val="Normal"/>
    <w:rsid w:val="001D3EFE"/>
    <w:pPr>
      <w:tabs>
        <w:tab w:val="left" w:pos="851"/>
      </w:tabs>
      <w:spacing w:before="360"/>
      <w:ind w:left="1985" w:right="2036" w:hanging="273"/>
    </w:pPr>
    <w:rPr>
      <w:rFonts w:cs="Times New Roman"/>
      <w:b/>
      <w:color w:val="0000FF"/>
      <w:spacing w:val="10"/>
      <w:sz w:val="22"/>
      <w:szCs w:val="20"/>
      <w:lang w:val="es-MX"/>
    </w:rPr>
  </w:style>
  <w:style w:type="paragraph" w:styleId="Ttulo">
    <w:name w:val="Title"/>
    <w:basedOn w:val="Normal"/>
    <w:link w:val="TtuloCar"/>
    <w:uiPriority w:val="10"/>
    <w:qFormat/>
    <w:rsid w:val="001D3EFE"/>
    <w:pPr>
      <w:jc w:val="center"/>
    </w:pPr>
    <w:rPr>
      <w:rFonts w:cs="Times New Roman"/>
      <w:b/>
      <w:szCs w:val="20"/>
      <w:lang w:val="es-ES"/>
    </w:rPr>
  </w:style>
  <w:style w:type="character" w:customStyle="1" w:styleId="TtuloCar">
    <w:name w:val="Título Car"/>
    <w:basedOn w:val="Fuentedeprrafopredeter"/>
    <w:link w:val="Ttulo"/>
    <w:uiPriority w:val="10"/>
    <w:rsid w:val="001D3EFE"/>
    <w:rPr>
      <w:rFonts w:ascii="Arial" w:hAnsi="Arial"/>
      <w:b/>
      <w:sz w:val="24"/>
      <w:lang w:val="es-ES" w:eastAsia="es-ES"/>
    </w:rPr>
  </w:style>
  <w:style w:type="character" w:customStyle="1" w:styleId="SubttuloCar">
    <w:name w:val="Subtítulo Car"/>
    <w:basedOn w:val="Fuentedeprrafopredeter"/>
    <w:link w:val="Subttulo"/>
    <w:uiPriority w:val="99"/>
    <w:rsid w:val="001D3EFE"/>
    <w:rPr>
      <w:rFonts w:ascii="Arial" w:hAnsi="Arial" w:cs="Arial"/>
      <w:b/>
      <w:bCs/>
      <w:sz w:val="24"/>
      <w:szCs w:val="24"/>
      <w:lang w:val="es-ES_tradnl" w:eastAsia="es-ES"/>
    </w:rPr>
  </w:style>
  <w:style w:type="character" w:customStyle="1" w:styleId="PiedepginaCar">
    <w:name w:val="Pie de página Car"/>
    <w:basedOn w:val="Fuentedeprrafopredeter"/>
    <w:link w:val="Piedepgina"/>
    <w:uiPriority w:val="99"/>
    <w:rsid w:val="001D3EFE"/>
    <w:rPr>
      <w:rFonts w:ascii="Arial" w:hAnsi="Arial" w:cs="Arial"/>
      <w:sz w:val="24"/>
      <w:szCs w:val="24"/>
      <w:lang w:val="es-ES_tradnl" w:eastAsia="es-ES"/>
    </w:rPr>
  </w:style>
  <w:style w:type="paragraph" w:customStyle="1" w:styleId="Titcuadrograf">
    <w:name w:val="Tit cuadro graf"/>
    <w:basedOn w:val="Normal"/>
    <w:link w:val="TitcuadrografCar"/>
    <w:qFormat/>
    <w:rsid w:val="001D3EFE"/>
    <w:pPr>
      <w:ind w:left="-567"/>
      <w:jc w:val="center"/>
    </w:pPr>
    <w:rPr>
      <w:b/>
      <w:smallCaps/>
      <w:lang w:val="es-MX"/>
    </w:rPr>
  </w:style>
  <w:style w:type="character" w:customStyle="1" w:styleId="TitcuadrografCar">
    <w:name w:val="Tit cuadro graf Car"/>
    <w:basedOn w:val="Fuentedeprrafopredeter"/>
    <w:link w:val="Titcuadrograf"/>
    <w:rsid w:val="001D3EFE"/>
    <w:rPr>
      <w:rFonts w:ascii="Arial" w:hAnsi="Arial" w:cs="Arial"/>
      <w:b/>
      <w:smallCap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70380">
      <w:bodyDiv w:val="1"/>
      <w:marLeft w:val="0"/>
      <w:marRight w:val="0"/>
      <w:marTop w:val="0"/>
      <w:marBottom w:val="0"/>
      <w:divBdr>
        <w:top w:val="none" w:sz="0" w:space="0" w:color="auto"/>
        <w:left w:val="none" w:sz="0" w:space="0" w:color="auto"/>
        <w:bottom w:val="none" w:sz="0" w:space="0" w:color="auto"/>
        <w:right w:val="none" w:sz="0" w:space="0" w:color="auto"/>
      </w:divBdr>
    </w:div>
    <w:div w:id="133377612">
      <w:bodyDiv w:val="1"/>
      <w:marLeft w:val="0"/>
      <w:marRight w:val="0"/>
      <w:marTop w:val="0"/>
      <w:marBottom w:val="0"/>
      <w:divBdr>
        <w:top w:val="none" w:sz="0" w:space="0" w:color="auto"/>
        <w:left w:val="none" w:sz="0" w:space="0" w:color="auto"/>
        <w:bottom w:val="none" w:sz="0" w:space="0" w:color="auto"/>
        <w:right w:val="none" w:sz="0" w:space="0" w:color="auto"/>
      </w:divBdr>
    </w:div>
    <w:div w:id="166219141">
      <w:bodyDiv w:val="1"/>
      <w:marLeft w:val="0"/>
      <w:marRight w:val="0"/>
      <w:marTop w:val="0"/>
      <w:marBottom w:val="0"/>
      <w:divBdr>
        <w:top w:val="none" w:sz="0" w:space="0" w:color="auto"/>
        <w:left w:val="none" w:sz="0" w:space="0" w:color="auto"/>
        <w:bottom w:val="none" w:sz="0" w:space="0" w:color="auto"/>
        <w:right w:val="none" w:sz="0" w:space="0" w:color="auto"/>
      </w:divBdr>
    </w:div>
    <w:div w:id="322707091">
      <w:bodyDiv w:val="1"/>
      <w:marLeft w:val="0"/>
      <w:marRight w:val="0"/>
      <w:marTop w:val="0"/>
      <w:marBottom w:val="0"/>
      <w:divBdr>
        <w:top w:val="none" w:sz="0" w:space="0" w:color="auto"/>
        <w:left w:val="none" w:sz="0" w:space="0" w:color="auto"/>
        <w:bottom w:val="none" w:sz="0" w:space="0" w:color="auto"/>
        <w:right w:val="none" w:sz="0" w:space="0" w:color="auto"/>
      </w:divBdr>
    </w:div>
    <w:div w:id="360210928">
      <w:bodyDiv w:val="1"/>
      <w:marLeft w:val="0"/>
      <w:marRight w:val="0"/>
      <w:marTop w:val="0"/>
      <w:marBottom w:val="0"/>
      <w:divBdr>
        <w:top w:val="none" w:sz="0" w:space="0" w:color="auto"/>
        <w:left w:val="none" w:sz="0" w:space="0" w:color="auto"/>
        <w:bottom w:val="none" w:sz="0" w:space="0" w:color="auto"/>
        <w:right w:val="none" w:sz="0" w:space="0" w:color="auto"/>
      </w:divBdr>
    </w:div>
    <w:div w:id="400522302">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63296184">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34995650">
      <w:bodyDiv w:val="1"/>
      <w:marLeft w:val="0"/>
      <w:marRight w:val="0"/>
      <w:marTop w:val="0"/>
      <w:marBottom w:val="0"/>
      <w:divBdr>
        <w:top w:val="none" w:sz="0" w:space="0" w:color="auto"/>
        <w:left w:val="none" w:sz="0" w:space="0" w:color="auto"/>
        <w:bottom w:val="none" w:sz="0" w:space="0" w:color="auto"/>
        <w:right w:val="none" w:sz="0" w:space="0" w:color="auto"/>
      </w:divBdr>
    </w:div>
    <w:div w:id="852499011">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94584248">
      <w:bodyDiv w:val="1"/>
      <w:marLeft w:val="0"/>
      <w:marRight w:val="0"/>
      <w:marTop w:val="0"/>
      <w:marBottom w:val="0"/>
      <w:divBdr>
        <w:top w:val="none" w:sz="0" w:space="0" w:color="auto"/>
        <w:left w:val="none" w:sz="0" w:space="0" w:color="auto"/>
        <w:bottom w:val="none" w:sz="0" w:space="0" w:color="auto"/>
        <w:right w:val="none" w:sz="0" w:space="0" w:color="auto"/>
      </w:divBdr>
    </w:div>
    <w:div w:id="912204245">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23299139">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68848074">
      <w:bodyDiv w:val="1"/>
      <w:marLeft w:val="0"/>
      <w:marRight w:val="0"/>
      <w:marTop w:val="0"/>
      <w:marBottom w:val="0"/>
      <w:divBdr>
        <w:top w:val="none" w:sz="0" w:space="0" w:color="auto"/>
        <w:left w:val="none" w:sz="0" w:space="0" w:color="auto"/>
        <w:bottom w:val="none" w:sz="0" w:space="0" w:color="auto"/>
        <w:right w:val="none" w:sz="0" w:space="0" w:color="auto"/>
      </w:divBdr>
    </w:div>
    <w:div w:id="1269391711">
      <w:bodyDiv w:val="1"/>
      <w:marLeft w:val="0"/>
      <w:marRight w:val="0"/>
      <w:marTop w:val="0"/>
      <w:marBottom w:val="0"/>
      <w:divBdr>
        <w:top w:val="none" w:sz="0" w:space="0" w:color="auto"/>
        <w:left w:val="none" w:sz="0" w:space="0" w:color="auto"/>
        <w:bottom w:val="none" w:sz="0" w:space="0" w:color="auto"/>
        <w:right w:val="none" w:sz="0" w:space="0" w:color="auto"/>
      </w:divBdr>
    </w:div>
    <w:div w:id="1305086059">
      <w:bodyDiv w:val="1"/>
      <w:marLeft w:val="0"/>
      <w:marRight w:val="0"/>
      <w:marTop w:val="0"/>
      <w:marBottom w:val="0"/>
      <w:divBdr>
        <w:top w:val="none" w:sz="0" w:space="0" w:color="auto"/>
        <w:left w:val="none" w:sz="0" w:space="0" w:color="auto"/>
        <w:bottom w:val="none" w:sz="0" w:space="0" w:color="auto"/>
        <w:right w:val="none" w:sz="0" w:space="0" w:color="auto"/>
      </w:divBdr>
    </w:div>
    <w:div w:id="1429351840">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463251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09909490">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03383950">
      <w:bodyDiv w:val="1"/>
      <w:marLeft w:val="0"/>
      <w:marRight w:val="0"/>
      <w:marTop w:val="0"/>
      <w:marBottom w:val="0"/>
      <w:divBdr>
        <w:top w:val="none" w:sz="0" w:space="0" w:color="auto"/>
        <w:left w:val="none" w:sz="0" w:space="0" w:color="auto"/>
        <w:bottom w:val="none" w:sz="0" w:space="0" w:color="auto"/>
        <w:right w:val="none" w:sz="0" w:space="0" w:color="auto"/>
      </w:divBdr>
    </w:div>
    <w:div w:id="1818570267">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77046422">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6.xml"/><Relationship Id="rId39" Type="http://schemas.openxmlformats.org/officeDocument/2006/relationships/chart" Target="charts/chart19.xml"/><Relationship Id="rId21" Type="http://schemas.openxmlformats.org/officeDocument/2006/relationships/chart" Target="charts/chart1.xml"/><Relationship Id="rId34" Type="http://schemas.openxmlformats.org/officeDocument/2006/relationships/chart" Target="charts/chart14.xml"/><Relationship Id="rId42" Type="http://schemas.openxmlformats.org/officeDocument/2006/relationships/chart" Target="charts/chart22.xml"/><Relationship Id="rId47" Type="http://schemas.openxmlformats.org/officeDocument/2006/relationships/hyperlink" Target="https://www.inegi.org.mx/programas/emoe/2013/" TargetMode="Externa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9.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chart" Target="charts/chart20.xml"/><Relationship Id="rId45" Type="http://schemas.openxmlformats.org/officeDocument/2006/relationships/image" Target="media/image7.gif"/><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49"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11.xml"/><Relationship Id="rId44" Type="http://schemas.openxmlformats.org/officeDocument/2006/relationships/hyperlink" Target="https://www.inegi.org.mx/app/biblioteca/ficha.html?upc=702825099060"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chart" Target="charts/chart23.xml"/><Relationship Id="rId48" Type="http://schemas.openxmlformats.org/officeDocument/2006/relationships/hyperlink" Target="http://www.inegi.org.mx/sistemas/bie/" TargetMode="External"/><Relationship Id="rId8" Type="http://schemas.openxmlformats.org/officeDocument/2006/relationships/hyperlink" Target="mailto:comunicacionsocial@inegi.org.mx"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chart" Target="charts/chart18.xml"/><Relationship Id="rId46" Type="http://schemas.openxmlformats.org/officeDocument/2006/relationships/hyperlink" Target="https://www.inegi.org.mx/temas/expectativas/" TargetMode="External"/><Relationship Id="rId20" Type="http://schemas.openxmlformats.org/officeDocument/2006/relationships/footer" Target="footer1.xml"/><Relationship Id="rId41" Type="http://schemas.openxmlformats.org/officeDocument/2006/relationships/chart" Target="charts/chart21.xm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4587180057201224E-2"/>
          <c:y val="5.3184310166848617E-2"/>
          <c:w val="0.91082089423299528"/>
          <c:h val="0.80050722297403054"/>
        </c:manualLayout>
      </c:layout>
      <c:lineChart>
        <c:grouping val="standard"/>
        <c:varyColors val="0"/>
        <c:ser>
          <c:idx val="0"/>
          <c:order val="0"/>
          <c:tx>
            <c:strRef>
              <c:f>'Datos MAN'!$C$4</c:f>
              <c:strCache>
                <c:ptCount val="1"/>
                <c:pt idx="0">
                  <c:v>Serie Desestacionalizada</c:v>
                </c:pt>
              </c:strCache>
            </c:strRef>
          </c:tx>
          <c:spPr>
            <a:ln w="19050">
              <a:solidFill>
                <a:srgbClr val="4A7EBB"/>
              </a:solidFill>
            </a:ln>
          </c:spPr>
          <c:marker>
            <c:symbol val="none"/>
          </c:marker>
          <c:cat>
            <c:multiLvlStrRef>
              <c:f>'Datos MAN'!$A$161:$B$232</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 MAN'!$C$161:$C$232</c:f>
              <c:numCache>
                <c:formatCode>0.0_)</c:formatCode>
                <c:ptCount val="63"/>
                <c:pt idx="0">
                  <c:v>53.589599734241503</c:v>
                </c:pt>
                <c:pt idx="1">
                  <c:v>53.859019330003001</c:v>
                </c:pt>
                <c:pt idx="2">
                  <c:v>53.900459252722797</c:v>
                </c:pt>
                <c:pt idx="3">
                  <c:v>54.533341618907102</c:v>
                </c:pt>
                <c:pt idx="4">
                  <c:v>54.294555168724699</c:v>
                </c:pt>
                <c:pt idx="5">
                  <c:v>53.344474882839499</c:v>
                </c:pt>
                <c:pt idx="6">
                  <c:v>53.779623916439398</c:v>
                </c:pt>
                <c:pt idx="7">
                  <c:v>53.386268150488299</c:v>
                </c:pt>
                <c:pt idx="8">
                  <c:v>51.446440827770303</c:v>
                </c:pt>
                <c:pt idx="9">
                  <c:v>52.882076773537001</c:v>
                </c:pt>
                <c:pt idx="10">
                  <c:v>52.160758688947801</c:v>
                </c:pt>
                <c:pt idx="11">
                  <c:v>51.452380434852003</c:v>
                </c:pt>
                <c:pt idx="12">
                  <c:v>52.768143335129103</c:v>
                </c:pt>
                <c:pt idx="13">
                  <c:v>52.648292360599399</c:v>
                </c:pt>
                <c:pt idx="14">
                  <c:v>55.261816658310998</c:v>
                </c:pt>
                <c:pt idx="15">
                  <c:v>52.122573272757002</c:v>
                </c:pt>
                <c:pt idx="16">
                  <c:v>52.087480617467598</c:v>
                </c:pt>
                <c:pt idx="17">
                  <c:v>52.078573505614003</c:v>
                </c:pt>
                <c:pt idx="18">
                  <c:v>51.675177588023502</c:v>
                </c:pt>
                <c:pt idx="19">
                  <c:v>52.4205672830265</c:v>
                </c:pt>
                <c:pt idx="20">
                  <c:v>51.778691690151199</c:v>
                </c:pt>
                <c:pt idx="21">
                  <c:v>51.939414992519801</c:v>
                </c:pt>
                <c:pt idx="22">
                  <c:v>51.632463176551298</c:v>
                </c:pt>
                <c:pt idx="23">
                  <c:v>51.271583789279198</c:v>
                </c:pt>
                <c:pt idx="24">
                  <c:v>52.606865064709602</c:v>
                </c:pt>
                <c:pt idx="25">
                  <c:v>52.1296706617048</c:v>
                </c:pt>
                <c:pt idx="26">
                  <c:v>52.190522393659101</c:v>
                </c:pt>
                <c:pt idx="27">
                  <c:v>52.364414607130698</c:v>
                </c:pt>
                <c:pt idx="28">
                  <c:v>51.864145854501501</c:v>
                </c:pt>
                <c:pt idx="29">
                  <c:v>51.976073419242802</c:v>
                </c:pt>
                <c:pt idx="30">
                  <c:v>51.065325676900798</c:v>
                </c:pt>
                <c:pt idx="31">
                  <c:v>51.511158975795801</c:v>
                </c:pt>
                <c:pt idx="32">
                  <c:v>50.795753845212502</c:v>
                </c:pt>
                <c:pt idx="33">
                  <c:v>48.6252430323824</c:v>
                </c:pt>
                <c:pt idx="34">
                  <c:v>50.797966268288</c:v>
                </c:pt>
                <c:pt idx="35">
                  <c:v>50.6386497505368</c:v>
                </c:pt>
                <c:pt idx="36">
                  <c:v>49.909389624875999</c:v>
                </c:pt>
                <c:pt idx="37">
                  <c:v>50.495891458519601</c:v>
                </c:pt>
                <c:pt idx="38">
                  <c:v>46.163572887765703</c:v>
                </c:pt>
                <c:pt idx="39">
                  <c:v>40.098700818792103</c:v>
                </c:pt>
                <c:pt idx="40">
                  <c:v>44.036937181802202</c:v>
                </c:pt>
                <c:pt idx="41">
                  <c:v>49.227632075346797</c:v>
                </c:pt>
                <c:pt idx="42">
                  <c:v>49.690150668522797</c:v>
                </c:pt>
                <c:pt idx="43">
                  <c:v>49.5165329560622</c:v>
                </c:pt>
                <c:pt idx="44">
                  <c:v>50.771666107527999</c:v>
                </c:pt>
                <c:pt idx="45">
                  <c:v>50.303662838810801</c:v>
                </c:pt>
                <c:pt idx="46">
                  <c:v>49.9800688218902</c:v>
                </c:pt>
                <c:pt idx="47">
                  <c:v>50.733454242876299</c:v>
                </c:pt>
                <c:pt idx="48">
                  <c:v>50.200076616984802</c:v>
                </c:pt>
                <c:pt idx="49">
                  <c:v>49.925510775232802</c:v>
                </c:pt>
                <c:pt idx="50">
                  <c:v>51.834193340653201</c:v>
                </c:pt>
                <c:pt idx="51">
                  <c:v>49.619826546230598</c:v>
                </c:pt>
                <c:pt idx="52">
                  <c:v>50.544502556190302</c:v>
                </c:pt>
                <c:pt idx="53">
                  <c:v>50.674378116094303</c:v>
                </c:pt>
                <c:pt idx="54">
                  <c:v>50.982282245288999</c:v>
                </c:pt>
                <c:pt idx="55">
                  <c:v>50.384780181652097</c:v>
                </c:pt>
                <c:pt idx="56">
                  <c:v>50.163430467133303</c:v>
                </c:pt>
                <c:pt idx="57">
                  <c:v>50.714217102635402</c:v>
                </c:pt>
                <c:pt idx="58">
                  <c:v>51.259820194926</c:v>
                </c:pt>
                <c:pt idx="59">
                  <c:v>50.677552991412298</c:v>
                </c:pt>
                <c:pt idx="60">
                  <c:v>51.119518861433498</c:v>
                </c:pt>
                <c:pt idx="61">
                  <c:v>54.289249095833902</c:v>
                </c:pt>
                <c:pt idx="62">
                  <c:v>52.150007704537003</c:v>
                </c:pt>
              </c:numCache>
            </c:numRef>
          </c:val>
          <c:smooth val="0"/>
          <c:extLst>
            <c:ext xmlns:c16="http://schemas.microsoft.com/office/drawing/2014/chart" uri="{C3380CC4-5D6E-409C-BE32-E72D297353CC}">
              <c16:uniqueId val="{00000000-362F-4336-B15D-BBF89741ACF7}"/>
            </c:ext>
          </c:extLst>
        </c:ser>
        <c:ser>
          <c:idx val="1"/>
          <c:order val="1"/>
          <c:tx>
            <c:strRef>
              <c:f>'Datos MAN'!$D$4</c:f>
              <c:strCache>
                <c:ptCount val="1"/>
                <c:pt idx="0">
                  <c:v>Serie de Tendencia-Ciclo</c:v>
                </c:pt>
              </c:strCache>
            </c:strRef>
          </c:tx>
          <c:spPr>
            <a:ln w="9525">
              <a:solidFill>
                <a:srgbClr val="FF0000"/>
              </a:solidFill>
            </a:ln>
          </c:spPr>
          <c:marker>
            <c:symbol val="none"/>
          </c:marker>
          <c:cat>
            <c:multiLvlStrRef>
              <c:f>'Datos MAN'!$A$161:$B$232</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 MAN'!$D$161:$D$232</c:f>
              <c:numCache>
                <c:formatCode>0.0_)</c:formatCode>
                <c:ptCount val="63"/>
                <c:pt idx="0">
                  <c:v>54.0002428596054</c:v>
                </c:pt>
                <c:pt idx="1">
                  <c:v>53.999127299103201</c:v>
                </c:pt>
                <c:pt idx="2">
                  <c:v>54.033503162424701</c:v>
                </c:pt>
                <c:pt idx="3">
                  <c:v>54.052775910690698</c:v>
                </c:pt>
                <c:pt idx="4">
                  <c:v>54.004128782085097</c:v>
                </c:pt>
                <c:pt idx="5">
                  <c:v>53.8512717764781</c:v>
                </c:pt>
                <c:pt idx="6">
                  <c:v>53.586015971903201</c:v>
                </c:pt>
                <c:pt idx="7">
                  <c:v>53.258883301628998</c:v>
                </c:pt>
                <c:pt idx="8">
                  <c:v>52.956258146431999</c:v>
                </c:pt>
                <c:pt idx="9">
                  <c:v>52.737577055840099</c:v>
                </c:pt>
                <c:pt idx="10">
                  <c:v>52.615190593517703</c:v>
                </c:pt>
                <c:pt idx="11">
                  <c:v>52.553797703413899</c:v>
                </c:pt>
                <c:pt idx="12">
                  <c:v>52.530754723018099</c:v>
                </c:pt>
                <c:pt idx="13">
                  <c:v>52.496548776326698</c:v>
                </c:pt>
                <c:pt idx="14">
                  <c:v>52.413450524433699</c:v>
                </c:pt>
                <c:pt idx="15">
                  <c:v>52.288837907875802</c:v>
                </c:pt>
                <c:pt idx="16">
                  <c:v>52.159882405903801</c:v>
                </c:pt>
                <c:pt idx="17">
                  <c:v>52.063240740789198</c:v>
                </c:pt>
                <c:pt idx="18">
                  <c:v>51.9889739616032</c:v>
                </c:pt>
                <c:pt idx="19">
                  <c:v>51.920815819074797</c:v>
                </c:pt>
                <c:pt idx="20">
                  <c:v>51.8580141199755</c:v>
                </c:pt>
                <c:pt idx="21">
                  <c:v>51.815183562857897</c:v>
                </c:pt>
                <c:pt idx="22">
                  <c:v>51.824101262780502</c:v>
                </c:pt>
                <c:pt idx="23">
                  <c:v>51.896378088332298</c:v>
                </c:pt>
                <c:pt idx="24">
                  <c:v>52.024482400605798</c:v>
                </c:pt>
                <c:pt idx="25">
                  <c:v>52.148962953173097</c:v>
                </c:pt>
                <c:pt idx="26">
                  <c:v>52.214664491384703</c:v>
                </c:pt>
                <c:pt idx="27">
                  <c:v>52.164077255215098</c:v>
                </c:pt>
                <c:pt idx="28">
                  <c:v>51.995004660536097</c:v>
                </c:pt>
                <c:pt idx="29">
                  <c:v>51.737097347919402</c:v>
                </c:pt>
                <c:pt idx="30">
                  <c:v>51.467826230207201</c:v>
                </c:pt>
                <c:pt idx="31">
                  <c:v>51.2363942005273</c:v>
                </c:pt>
                <c:pt idx="32">
                  <c:v>51.027125104379103</c:v>
                </c:pt>
                <c:pt idx="33">
                  <c:v>50.825912181724</c:v>
                </c:pt>
                <c:pt idx="34">
                  <c:v>50.585660525475198</c:v>
                </c:pt>
                <c:pt idx="35">
                  <c:v>50.284525692989902</c:v>
                </c:pt>
                <c:pt idx="36">
                  <c:v>49.938204198989801</c:v>
                </c:pt>
                <c:pt idx="37">
                  <c:v>49.600160431193601</c:v>
                </c:pt>
                <c:pt idx="38">
                  <c:v>49.326152452276503</c:v>
                </c:pt>
                <c:pt idx="39">
                  <c:v>49.171526940349999</c:v>
                </c:pt>
                <c:pt idx="40">
                  <c:v>49.195540161020801</c:v>
                </c:pt>
                <c:pt idx="41">
                  <c:v>49.362524357891601</c:v>
                </c:pt>
                <c:pt idx="42">
                  <c:v>49.610485152624499</c:v>
                </c:pt>
                <c:pt idx="43">
                  <c:v>49.880309430408097</c:v>
                </c:pt>
                <c:pt idx="44">
                  <c:v>50.113552001545301</c:v>
                </c:pt>
                <c:pt idx="45">
                  <c:v>50.266431258746003</c:v>
                </c:pt>
                <c:pt idx="46">
                  <c:v>50.325284518778098</c:v>
                </c:pt>
                <c:pt idx="47">
                  <c:v>50.308979539235999</c:v>
                </c:pt>
                <c:pt idx="48">
                  <c:v>50.258222746849398</c:v>
                </c:pt>
                <c:pt idx="49">
                  <c:v>50.245068628046504</c:v>
                </c:pt>
                <c:pt idx="50">
                  <c:v>50.3061221737726</c:v>
                </c:pt>
                <c:pt idx="51">
                  <c:v>50.416631788464102</c:v>
                </c:pt>
                <c:pt idx="52">
                  <c:v>50.503362296185401</c:v>
                </c:pt>
                <c:pt idx="53">
                  <c:v>50.565128302879003</c:v>
                </c:pt>
                <c:pt idx="54">
                  <c:v>50.596672363293798</c:v>
                </c:pt>
                <c:pt idx="55">
                  <c:v>50.587755598792299</c:v>
                </c:pt>
                <c:pt idx="56">
                  <c:v>50.585583746057502</c:v>
                </c:pt>
                <c:pt idx="57">
                  <c:v>50.656907337973401</c:v>
                </c:pt>
                <c:pt idx="58">
                  <c:v>50.818981584952603</c:v>
                </c:pt>
                <c:pt idx="59">
                  <c:v>51.056064560355601</c:v>
                </c:pt>
                <c:pt idx="60">
                  <c:v>51.324595810276698</c:v>
                </c:pt>
                <c:pt idx="61">
                  <c:v>51.572789216859803</c:v>
                </c:pt>
                <c:pt idx="62">
                  <c:v>51.765206394409702</c:v>
                </c:pt>
              </c:numCache>
            </c:numRef>
          </c:val>
          <c:smooth val="0"/>
          <c:extLst>
            <c:ext xmlns:c16="http://schemas.microsoft.com/office/drawing/2014/chart" uri="{C3380CC4-5D6E-409C-BE32-E72D297353CC}">
              <c16:uniqueId val="{00000001-362F-4336-B15D-BBF89741ACF7}"/>
            </c:ext>
          </c:extLst>
        </c:ser>
        <c:dLbls>
          <c:showLegendKey val="0"/>
          <c:showVal val="0"/>
          <c:showCatName val="0"/>
          <c:showSerName val="0"/>
          <c:showPercent val="0"/>
          <c:showBubbleSize val="0"/>
        </c:dLbls>
        <c:smooth val="0"/>
        <c:axId val="402827184"/>
        <c:axId val="402831888"/>
      </c:lineChart>
      <c:catAx>
        <c:axId val="40282718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402831888"/>
        <c:crossesAt val="50"/>
        <c:auto val="1"/>
        <c:lblAlgn val="ctr"/>
        <c:lblOffset val="50"/>
        <c:tickLblSkip val="1"/>
        <c:tickMarkSkip val="12"/>
        <c:noMultiLvlLbl val="1"/>
      </c:catAx>
      <c:valAx>
        <c:axId val="402831888"/>
        <c:scaling>
          <c:orientation val="minMax"/>
          <c:max val="60"/>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402827184"/>
        <c:crosses val="autoZero"/>
        <c:crossBetween val="between"/>
        <c:majorUnit val="5"/>
      </c:valAx>
      <c:spPr>
        <a:noFill/>
        <a:ln w="0">
          <a:solidFill>
            <a:schemeClr val="bg1">
              <a:lumMod val="50000"/>
            </a:schemeClr>
          </a:solidFill>
        </a:ln>
      </c:spPr>
    </c:plotArea>
    <c:legend>
      <c:legendPos val="b"/>
      <c:layout>
        <c:manualLayout>
          <c:xMode val="edge"/>
          <c:yMode val="edge"/>
          <c:x val="0.14382231805666484"/>
          <c:y val="0.94077754286589399"/>
          <c:w val="0.70494865324357503"/>
          <c:h val="5.9222457134105955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Total de contratos y subcontratos</a:t>
            </a:r>
          </a:p>
        </c:rich>
      </c:tx>
      <c:layout>
        <c:manualLayout>
          <c:xMode val="edge"/>
          <c:yMode val="edge"/>
          <c:x val="0.26798313463127238"/>
          <c:y val="1.0939494155981902E-2"/>
        </c:manualLayout>
      </c:layout>
      <c:overlay val="1"/>
    </c:title>
    <c:autoTitleDeleted val="0"/>
    <c:plotArea>
      <c:layout>
        <c:manualLayout>
          <c:layoutTarget val="inner"/>
          <c:xMode val="edge"/>
          <c:yMode val="edge"/>
          <c:x val="5.598544266191325E-2"/>
          <c:y val="9.440630793001327E-2"/>
          <c:w val="0.93080897207368285"/>
          <c:h val="0.69873134878648135"/>
        </c:manualLayout>
      </c:layout>
      <c:lineChart>
        <c:grouping val="standard"/>
        <c:varyColors val="0"/>
        <c:ser>
          <c:idx val="0"/>
          <c:order val="0"/>
          <c:tx>
            <c:strRef>
              <c:f>'Datos CONS'!$I$4</c:f>
              <c:strCache>
                <c:ptCount val="1"/>
                <c:pt idx="0">
                  <c:v>Serie Desestacionalizada</c:v>
                </c:pt>
              </c:strCache>
            </c:strRef>
          </c:tx>
          <c:spPr>
            <a:ln w="15875">
              <a:solidFill>
                <a:srgbClr val="3D6AA1"/>
              </a:solidFill>
            </a:ln>
          </c:spPr>
          <c:marker>
            <c:symbol val="none"/>
          </c:marker>
          <c:cat>
            <c:multiLvlStrRef>
              <c:f>'Datos CONS'!$A$77:$B$148</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 CONS'!$I$77:$I$148</c:f>
              <c:numCache>
                <c:formatCode>0.0_)</c:formatCode>
                <c:ptCount val="63"/>
                <c:pt idx="0">
                  <c:v>54.185012929228797</c:v>
                </c:pt>
                <c:pt idx="1">
                  <c:v>53.846314367628402</c:v>
                </c:pt>
                <c:pt idx="2">
                  <c:v>53.9237977407088</c:v>
                </c:pt>
                <c:pt idx="3">
                  <c:v>53.936479387071302</c:v>
                </c:pt>
                <c:pt idx="4">
                  <c:v>55.1872195555285</c:v>
                </c:pt>
                <c:pt idx="5">
                  <c:v>53.140406340980299</c:v>
                </c:pt>
                <c:pt idx="6">
                  <c:v>52.906071627102101</c:v>
                </c:pt>
                <c:pt idx="7">
                  <c:v>53.270207960567397</c:v>
                </c:pt>
                <c:pt idx="8">
                  <c:v>52.875894305985</c:v>
                </c:pt>
                <c:pt idx="9">
                  <c:v>53.0004308312513</c:v>
                </c:pt>
                <c:pt idx="10">
                  <c:v>53.5700681766534</c:v>
                </c:pt>
                <c:pt idx="11">
                  <c:v>52.609945840009203</c:v>
                </c:pt>
                <c:pt idx="12">
                  <c:v>52.577494798240402</c:v>
                </c:pt>
                <c:pt idx="13">
                  <c:v>51.698222145523403</c:v>
                </c:pt>
                <c:pt idx="14">
                  <c:v>50.824328654022999</c:v>
                </c:pt>
                <c:pt idx="15">
                  <c:v>52.435932319655699</c:v>
                </c:pt>
                <c:pt idx="16">
                  <c:v>53.2683494431094</c:v>
                </c:pt>
                <c:pt idx="17">
                  <c:v>50.8461350416096</c:v>
                </c:pt>
                <c:pt idx="18">
                  <c:v>52.984518259465901</c:v>
                </c:pt>
                <c:pt idx="19">
                  <c:v>53.039001371135399</c:v>
                </c:pt>
                <c:pt idx="20">
                  <c:v>51.919633091443799</c:v>
                </c:pt>
                <c:pt idx="21">
                  <c:v>53.067805513525201</c:v>
                </c:pt>
                <c:pt idx="22">
                  <c:v>51.790311796281401</c:v>
                </c:pt>
                <c:pt idx="23">
                  <c:v>51.826885134819797</c:v>
                </c:pt>
                <c:pt idx="24">
                  <c:v>52.268900118373999</c:v>
                </c:pt>
                <c:pt idx="25">
                  <c:v>52.879202304544499</c:v>
                </c:pt>
                <c:pt idx="26">
                  <c:v>52.090688981631402</c:v>
                </c:pt>
                <c:pt idx="27">
                  <c:v>51.880048385599999</c:v>
                </c:pt>
                <c:pt idx="28">
                  <c:v>51.508045537205597</c:v>
                </c:pt>
                <c:pt idx="29">
                  <c:v>50.987295213539099</c:v>
                </c:pt>
                <c:pt idx="30">
                  <c:v>49.860226651283099</c:v>
                </c:pt>
                <c:pt idx="31">
                  <c:v>50.504569792180398</c:v>
                </c:pt>
                <c:pt idx="32">
                  <c:v>50.802428318375703</c:v>
                </c:pt>
                <c:pt idx="33">
                  <c:v>50.415736368063001</c:v>
                </c:pt>
                <c:pt idx="34">
                  <c:v>50.254196073463902</c:v>
                </c:pt>
                <c:pt idx="35">
                  <c:v>48.432973111230602</c:v>
                </c:pt>
                <c:pt idx="36">
                  <c:v>49.4240913784922</c:v>
                </c:pt>
                <c:pt idx="37">
                  <c:v>50.239098746496403</c:v>
                </c:pt>
                <c:pt idx="38">
                  <c:v>49.239708639180598</c:v>
                </c:pt>
                <c:pt idx="39">
                  <c:v>46.794818959972098</c:v>
                </c:pt>
                <c:pt idx="40">
                  <c:v>45.590087742363103</c:v>
                </c:pt>
                <c:pt idx="41">
                  <c:v>49.012197835046798</c:v>
                </c:pt>
                <c:pt idx="42">
                  <c:v>49.313248294124698</c:v>
                </c:pt>
                <c:pt idx="43">
                  <c:v>50.072271448351998</c:v>
                </c:pt>
                <c:pt idx="44">
                  <c:v>50.401339920782902</c:v>
                </c:pt>
                <c:pt idx="45">
                  <c:v>50.922503193614297</c:v>
                </c:pt>
                <c:pt idx="46">
                  <c:v>51.154814982498998</c:v>
                </c:pt>
                <c:pt idx="47">
                  <c:v>51.842827800006098</c:v>
                </c:pt>
                <c:pt idx="48">
                  <c:v>52.0318260509694</c:v>
                </c:pt>
                <c:pt idx="49">
                  <c:v>52.396525575881803</c:v>
                </c:pt>
                <c:pt idx="50">
                  <c:v>52.9732236523719</c:v>
                </c:pt>
                <c:pt idx="51">
                  <c:v>53.681000244986301</c:v>
                </c:pt>
                <c:pt idx="52">
                  <c:v>53.496410846520902</c:v>
                </c:pt>
                <c:pt idx="53">
                  <c:v>53.646138898771298</c:v>
                </c:pt>
                <c:pt idx="54">
                  <c:v>53.8883879232705</c:v>
                </c:pt>
                <c:pt idx="55">
                  <c:v>53.1644006676948</c:v>
                </c:pt>
                <c:pt idx="56">
                  <c:v>53.354658100000897</c:v>
                </c:pt>
                <c:pt idx="57">
                  <c:v>52.554663510088702</c:v>
                </c:pt>
                <c:pt idx="58">
                  <c:v>52.943828871029197</c:v>
                </c:pt>
                <c:pt idx="59">
                  <c:v>53.667922477317902</c:v>
                </c:pt>
                <c:pt idx="60">
                  <c:v>53.793895756009</c:v>
                </c:pt>
                <c:pt idx="61">
                  <c:v>54.136442409890897</c:v>
                </c:pt>
                <c:pt idx="62">
                  <c:v>54.540455367735198</c:v>
                </c:pt>
              </c:numCache>
            </c:numRef>
          </c:val>
          <c:smooth val="0"/>
          <c:extLst>
            <c:ext xmlns:c16="http://schemas.microsoft.com/office/drawing/2014/chart" uri="{C3380CC4-5D6E-409C-BE32-E72D297353CC}">
              <c16:uniqueId val="{00000000-DABF-4C56-BD7D-A2F8E121371D}"/>
            </c:ext>
          </c:extLst>
        </c:ser>
        <c:ser>
          <c:idx val="1"/>
          <c:order val="1"/>
          <c:tx>
            <c:strRef>
              <c:f>'Datos CONS'!$J$4</c:f>
              <c:strCache>
                <c:ptCount val="1"/>
                <c:pt idx="0">
                  <c:v>Serie de Tendencia-Ciclo</c:v>
                </c:pt>
              </c:strCache>
            </c:strRef>
          </c:tx>
          <c:spPr>
            <a:ln w="12700">
              <a:solidFill>
                <a:srgbClr val="C00000"/>
              </a:solidFill>
            </a:ln>
          </c:spPr>
          <c:marker>
            <c:symbol val="none"/>
          </c:marker>
          <c:cat>
            <c:multiLvlStrRef>
              <c:f>'Datos CONS'!$A$77:$B$148</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 CONS'!$J$77:$J$148</c:f>
              <c:numCache>
                <c:formatCode>0.0_)</c:formatCode>
                <c:ptCount val="63"/>
                <c:pt idx="0">
                  <c:v>53.810535341362801</c:v>
                </c:pt>
                <c:pt idx="1">
                  <c:v>53.8841251377549</c:v>
                </c:pt>
                <c:pt idx="2">
                  <c:v>53.8704755325167</c:v>
                </c:pt>
                <c:pt idx="3">
                  <c:v>53.752787185882497</c:v>
                </c:pt>
                <c:pt idx="4">
                  <c:v>53.533914655985498</c:v>
                </c:pt>
                <c:pt idx="5">
                  <c:v>53.322268524465102</c:v>
                </c:pt>
                <c:pt idx="6">
                  <c:v>53.169231610047099</c:v>
                </c:pt>
                <c:pt idx="7">
                  <c:v>53.110250589426997</c:v>
                </c:pt>
                <c:pt idx="8">
                  <c:v>53.105666189977498</c:v>
                </c:pt>
                <c:pt idx="9">
                  <c:v>53.065452503892402</c:v>
                </c:pt>
                <c:pt idx="10">
                  <c:v>52.906537726086697</c:v>
                </c:pt>
                <c:pt idx="11">
                  <c:v>52.643356982745097</c:v>
                </c:pt>
                <c:pt idx="12">
                  <c:v>52.353198177677299</c:v>
                </c:pt>
                <c:pt idx="13">
                  <c:v>52.1408403657626</c:v>
                </c:pt>
                <c:pt idx="14">
                  <c:v>52.104158638929299</c:v>
                </c:pt>
                <c:pt idx="15">
                  <c:v>52.222864471454699</c:v>
                </c:pt>
                <c:pt idx="16">
                  <c:v>52.4542650442555</c:v>
                </c:pt>
                <c:pt idx="17">
                  <c:v>52.683973234502197</c:v>
                </c:pt>
                <c:pt idx="18">
                  <c:v>52.786810376222</c:v>
                </c:pt>
                <c:pt idx="19">
                  <c:v>52.719542084823601</c:v>
                </c:pt>
                <c:pt idx="20">
                  <c:v>52.540821339334798</c:v>
                </c:pt>
                <c:pt idx="21">
                  <c:v>52.368894766307697</c:v>
                </c:pt>
                <c:pt idx="22">
                  <c:v>52.275758668059702</c:v>
                </c:pt>
                <c:pt idx="23">
                  <c:v>52.255094126573198</c:v>
                </c:pt>
                <c:pt idx="24">
                  <c:v>52.275589102475898</c:v>
                </c:pt>
                <c:pt idx="25">
                  <c:v>52.260378027324201</c:v>
                </c:pt>
                <c:pt idx="26">
                  <c:v>52.110619060368599</c:v>
                </c:pt>
                <c:pt idx="27">
                  <c:v>51.814087376431203</c:v>
                </c:pt>
                <c:pt idx="28">
                  <c:v>51.432871288321202</c:v>
                </c:pt>
                <c:pt idx="29">
                  <c:v>51.044107722622101</c:v>
                </c:pt>
                <c:pt idx="30">
                  <c:v>50.754334211996699</c:v>
                </c:pt>
                <c:pt idx="31">
                  <c:v>50.582481964505298</c:v>
                </c:pt>
                <c:pt idx="32">
                  <c:v>50.457980067991798</c:v>
                </c:pt>
                <c:pt idx="33">
                  <c:v>50.308478137031699</c:v>
                </c:pt>
                <c:pt idx="34">
                  <c:v>50.088235565180803</c:v>
                </c:pt>
                <c:pt idx="35">
                  <c:v>49.7549144963304</c:v>
                </c:pt>
                <c:pt idx="36">
                  <c:v>49.3383560882056</c:v>
                </c:pt>
                <c:pt idx="37">
                  <c:v>48.9252986935455</c:v>
                </c:pt>
                <c:pt idx="38">
                  <c:v>48.626784066373503</c:v>
                </c:pt>
                <c:pt idx="39">
                  <c:v>48.507256466050301</c:v>
                </c:pt>
                <c:pt idx="40">
                  <c:v>48.599533672557698</c:v>
                </c:pt>
                <c:pt idx="41">
                  <c:v>48.891432227180601</c:v>
                </c:pt>
                <c:pt idx="42">
                  <c:v>49.332919741617701</c:v>
                </c:pt>
                <c:pt idx="43">
                  <c:v>49.856387593868597</c:v>
                </c:pt>
                <c:pt idx="44">
                  <c:v>50.381627947987802</c:v>
                </c:pt>
                <c:pt idx="45">
                  <c:v>50.855868765126402</c:v>
                </c:pt>
                <c:pt idx="46">
                  <c:v>51.281498825654303</c:v>
                </c:pt>
                <c:pt idx="47">
                  <c:v>51.705758849057602</c:v>
                </c:pt>
                <c:pt idx="48">
                  <c:v>52.140628505677803</c:v>
                </c:pt>
                <c:pt idx="49">
                  <c:v>52.584501179359997</c:v>
                </c:pt>
                <c:pt idx="50">
                  <c:v>53.003930105238403</c:v>
                </c:pt>
                <c:pt idx="51">
                  <c:v>53.3555486156773</c:v>
                </c:pt>
                <c:pt idx="52">
                  <c:v>53.583272909194299</c:v>
                </c:pt>
                <c:pt idx="53">
                  <c:v>53.635981451176697</c:v>
                </c:pt>
                <c:pt idx="54">
                  <c:v>53.529413374789399</c:v>
                </c:pt>
                <c:pt idx="55">
                  <c:v>53.332629932642099</c:v>
                </c:pt>
                <c:pt idx="56">
                  <c:v>53.153685861800199</c:v>
                </c:pt>
                <c:pt idx="57">
                  <c:v>53.094155149208198</c:v>
                </c:pt>
                <c:pt idx="58">
                  <c:v>53.198249723296001</c:v>
                </c:pt>
                <c:pt idx="59">
                  <c:v>53.440242239461597</c:v>
                </c:pt>
                <c:pt idx="60">
                  <c:v>53.755862288121499</c:v>
                </c:pt>
                <c:pt idx="61">
                  <c:v>54.057391132015098</c:v>
                </c:pt>
                <c:pt idx="62">
                  <c:v>54.282754166173397</c:v>
                </c:pt>
              </c:numCache>
            </c:numRef>
          </c:val>
          <c:smooth val="0"/>
          <c:extLst>
            <c:ext xmlns:c16="http://schemas.microsoft.com/office/drawing/2014/chart" uri="{C3380CC4-5D6E-409C-BE32-E72D297353CC}">
              <c16:uniqueId val="{00000001-DABF-4C56-BD7D-A2F8E121371D}"/>
            </c:ext>
          </c:extLst>
        </c:ser>
        <c:dLbls>
          <c:showLegendKey val="0"/>
          <c:showVal val="0"/>
          <c:showCatName val="0"/>
          <c:showSerName val="0"/>
          <c:showPercent val="0"/>
          <c:showBubbleSize val="0"/>
        </c:dLbls>
        <c:smooth val="0"/>
        <c:axId val="404417600"/>
        <c:axId val="404421128"/>
      </c:lineChart>
      <c:catAx>
        <c:axId val="40441760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04421128"/>
        <c:crossesAt val="50"/>
        <c:auto val="1"/>
        <c:lblAlgn val="ctr"/>
        <c:lblOffset val="50"/>
        <c:tickLblSkip val="1"/>
        <c:tickMarkSkip val="12"/>
        <c:noMultiLvlLbl val="1"/>
      </c:catAx>
      <c:valAx>
        <c:axId val="404421128"/>
        <c:scaling>
          <c:orientation val="minMax"/>
          <c:max val="57"/>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04417600"/>
        <c:crosses val="autoZero"/>
        <c:crossBetween val="between"/>
        <c:majorUnit val="3"/>
      </c:valAx>
      <c:spPr>
        <a:noFill/>
      </c:spPr>
    </c:plotArea>
    <c:legend>
      <c:legendPos val="b"/>
      <c:layout>
        <c:manualLayout>
          <c:xMode val="edge"/>
          <c:yMode val="edge"/>
          <c:x val="0.13875782069626913"/>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Personal ocupado total</a:t>
            </a:r>
          </a:p>
        </c:rich>
      </c:tx>
      <c:layout>
        <c:manualLayout>
          <c:xMode val="edge"/>
          <c:yMode val="edge"/>
          <c:x val="0.36493762531821089"/>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'Datos CONS'!$K$4</c:f>
              <c:strCache>
                <c:ptCount val="1"/>
                <c:pt idx="0">
                  <c:v>Serie Desestacionalizada</c:v>
                </c:pt>
              </c:strCache>
            </c:strRef>
          </c:tx>
          <c:spPr>
            <a:ln w="15875">
              <a:solidFill>
                <a:srgbClr val="3D6AA1"/>
              </a:solidFill>
            </a:ln>
          </c:spPr>
          <c:marker>
            <c:symbol val="none"/>
          </c:marker>
          <c:cat>
            <c:multiLvlStrRef>
              <c:f>'Datos CONS'!$A$77:$B$148</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 CONS'!$K$77:$K$148</c:f>
              <c:numCache>
                <c:formatCode>0.0_)</c:formatCode>
                <c:ptCount val="63"/>
                <c:pt idx="0">
                  <c:v>49.907721740424002</c:v>
                </c:pt>
                <c:pt idx="1">
                  <c:v>50.841984407419503</c:v>
                </c:pt>
                <c:pt idx="2">
                  <c:v>51.493600248005301</c:v>
                </c:pt>
                <c:pt idx="3">
                  <c:v>50.394959942152298</c:v>
                </c:pt>
                <c:pt idx="4">
                  <c:v>50.7535814753358</c:v>
                </c:pt>
                <c:pt idx="5">
                  <c:v>50.781599372381898</c:v>
                </c:pt>
                <c:pt idx="6">
                  <c:v>50.341001113221701</c:v>
                </c:pt>
                <c:pt idx="7">
                  <c:v>50.678721674023201</c:v>
                </c:pt>
                <c:pt idx="8">
                  <c:v>49.266966945020499</c:v>
                </c:pt>
                <c:pt idx="9">
                  <c:v>50.036906543887604</c:v>
                </c:pt>
                <c:pt idx="10">
                  <c:v>50.5680031123349</c:v>
                </c:pt>
                <c:pt idx="11">
                  <c:v>49.2091574390086</c:v>
                </c:pt>
                <c:pt idx="12">
                  <c:v>50.0989663749112</c:v>
                </c:pt>
                <c:pt idx="13">
                  <c:v>49.8900775644045</c:v>
                </c:pt>
                <c:pt idx="14">
                  <c:v>50.0143975813195</c:v>
                </c:pt>
                <c:pt idx="15">
                  <c:v>49.843112382565202</c:v>
                </c:pt>
                <c:pt idx="16">
                  <c:v>49.538251959031101</c:v>
                </c:pt>
                <c:pt idx="17">
                  <c:v>48.710063761018397</c:v>
                </c:pt>
                <c:pt idx="18">
                  <c:v>48.668371274395</c:v>
                </c:pt>
                <c:pt idx="19">
                  <c:v>49.338539184669997</c:v>
                </c:pt>
                <c:pt idx="20">
                  <c:v>48.676517996791702</c:v>
                </c:pt>
                <c:pt idx="21">
                  <c:v>48.891125217482802</c:v>
                </c:pt>
                <c:pt idx="22">
                  <c:v>47.830419797194097</c:v>
                </c:pt>
                <c:pt idx="23">
                  <c:v>47.303392319391499</c:v>
                </c:pt>
                <c:pt idx="24">
                  <c:v>48.121511974453497</c:v>
                </c:pt>
                <c:pt idx="25">
                  <c:v>48.493888530821799</c:v>
                </c:pt>
                <c:pt idx="26">
                  <c:v>48.439600017396302</c:v>
                </c:pt>
                <c:pt idx="27">
                  <c:v>49.252540237118701</c:v>
                </c:pt>
                <c:pt idx="28">
                  <c:v>48.800950253268702</c:v>
                </c:pt>
                <c:pt idx="29">
                  <c:v>49.133160576047899</c:v>
                </c:pt>
                <c:pt idx="30">
                  <c:v>48.907917312815101</c:v>
                </c:pt>
                <c:pt idx="31">
                  <c:v>48.078349338764099</c:v>
                </c:pt>
                <c:pt idx="32">
                  <c:v>48.082725962294099</c:v>
                </c:pt>
                <c:pt idx="33">
                  <c:v>47.7656783149381</c:v>
                </c:pt>
                <c:pt idx="34">
                  <c:v>47.3939273148629</c:v>
                </c:pt>
                <c:pt idx="35">
                  <c:v>46.767277795992598</c:v>
                </c:pt>
                <c:pt idx="36">
                  <c:v>47.106778820730298</c:v>
                </c:pt>
                <c:pt idx="37">
                  <c:v>47.741359506953103</c:v>
                </c:pt>
                <c:pt idx="38">
                  <c:v>46.686749480714198</c:v>
                </c:pt>
                <c:pt idx="39">
                  <c:v>42.523519988378901</c:v>
                </c:pt>
                <c:pt idx="40">
                  <c:v>40.669548057974403</c:v>
                </c:pt>
                <c:pt idx="41">
                  <c:v>46.6933840312754</c:v>
                </c:pt>
                <c:pt idx="42">
                  <c:v>48.008516453009797</c:v>
                </c:pt>
                <c:pt idx="43">
                  <c:v>48.058344340662302</c:v>
                </c:pt>
                <c:pt idx="44">
                  <c:v>48.567279996124803</c:v>
                </c:pt>
                <c:pt idx="45">
                  <c:v>49.051445574351497</c:v>
                </c:pt>
                <c:pt idx="46">
                  <c:v>49.770067733632203</c:v>
                </c:pt>
                <c:pt idx="47">
                  <c:v>50.406554732512497</c:v>
                </c:pt>
                <c:pt idx="48">
                  <c:v>50.368651489330396</c:v>
                </c:pt>
                <c:pt idx="49">
                  <c:v>50.538624637715898</c:v>
                </c:pt>
                <c:pt idx="50">
                  <c:v>51.045886469847503</c:v>
                </c:pt>
                <c:pt idx="51">
                  <c:v>50.9317301880237</c:v>
                </c:pt>
                <c:pt idx="52">
                  <c:v>51.185542507515699</c:v>
                </c:pt>
                <c:pt idx="53">
                  <c:v>51.2491617076982</c:v>
                </c:pt>
                <c:pt idx="54">
                  <c:v>50.982955680422499</c:v>
                </c:pt>
                <c:pt idx="55">
                  <c:v>51.199603669910303</c:v>
                </c:pt>
                <c:pt idx="56">
                  <c:v>51.593930872973502</c:v>
                </c:pt>
                <c:pt idx="57">
                  <c:v>50.660639510971798</c:v>
                </c:pt>
                <c:pt idx="58">
                  <c:v>51.615362078072401</c:v>
                </c:pt>
                <c:pt idx="59">
                  <c:v>52.368082954499997</c:v>
                </c:pt>
                <c:pt idx="60">
                  <c:v>52.638988077149499</c:v>
                </c:pt>
                <c:pt idx="61">
                  <c:v>52.694824752326902</c:v>
                </c:pt>
                <c:pt idx="62">
                  <c:v>52.320117332509</c:v>
                </c:pt>
              </c:numCache>
            </c:numRef>
          </c:val>
          <c:smooth val="0"/>
          <c:extLst>
            <c:ext xmlns:c16="http://schemas.microsoft.com/office/drawing/2014/chart" uri="{C3380CC4-5D6E-409C-BE32-E72D297353CC}">
              <c16:uniqueId val="{00000000-52CF-4EB2-8FE4-1F257E0EA59C}"/>
            </c:ext>
          </c:extLst>
        </c:ser>
        <c:ser>
          <c:idx val="1"/>
          <c:order val="1"/>
          <c:tx>
            <c:strRef>
              <c:f>'Datos CONS'!$L$4</c:f>
              <c:strCache>
                <c:ptCount val="1"/>
                <c:pt idx="0">
                  <c:v>Serie de Tendencia-Ciclo</c:v>
                </c:pt>
              </c:strCache>
            </c:strRef>
          </c:tx>
          <c:spPr>
            <a:ln w="12700">
              <a:solidFill>
                <a:srgbClr val="C00000"/>
              </a:solidFill>
            </a:ln>
          </c:spPr>
          <c:marker>
            <c:symbol val="none"/>
          </c:marker>
          <c:cat>
            <c:multiLvlStrRef>
              <c:f>'Datos CONS'!$A$77:$B$148</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 CONS'!$L$77:$L$148</c:f>
              <c:numCache>
                <c:formatCode>0.0_)</c:formatCode>
                <c:ptCount val="63"/>
                <c:pt idx="0">
                  <c:v>50.331276147808303</c:v>
                </c:pt>
                <c:pt idx="1">
                  <c:v>50.564524770242201</c:v>
                </c:pt>
                <c:pt idx="2">
                  <c:v>50.721877313800597</c:v>
                </c:pt>
                <c:pt idx="3">
                  <c:v>50.787699859650203</c:v>
                </c:pt>
                <c:pt idx="4">
                  <c:v>50.749306408907003</c:v>
                </c:pt>
                <c:pt idx="5">
                  <c:v>50.6531458557603</c:v>
                </c:pt>
                <c:pt idx="6">
                  <c:v>50.527240197758999</c:v>
                </c:pt>
                <c:pt idx="7">
                  <c:v>50.4051674128755</c:v>
                </c:pt>
                <c:pt idx="8">
                  <c:v>50.302936296409797</c:v>
                </c:pt>
                <c:pt idx="9">
                  <c:v>50.205368641492598</c:v>
                </c:pt>
                <c:pt idx="10">
                  <c:v>50.122314195845703</c:v>
                </c:pt>
                <c:pt idx="11">
                  <c:v>50.083515826718902</c:v>
                </c:pt>
                <c:pt idx="12">
                  <c:v>50.054737829024198</c:v>
                </c:pt>
                <c:pt idx="13">
                  <c:v>49.9758502179007</c:v>
                </c:pt>
                <c:pt idx="14">
                  <c:v>49.831957101022397</c:v>
                </c:pt>
                <c:pt idx="15">
                  <c:v>49.621239727608199</c:v>
                </c:pt>
                <c:pt idx="16">
                  <c:v>49.404063188314403</c:v>
                </c:pt>
                <c:pt idx="17">
                  <c:v>49.201079627769197</c:v>
                </c:pt>
                <c:pt idx="18">
                  <c:v>49.008864049748901</c:v>
                </c:pt>
                <c:pt idx="19">
                  <c:v>48.829523599038403</c:v>
                </c:pt>
                <c:pt idx="20">
                  <c:v>48.648818383720801</c:v>
                </c:pt>
                <c:pt idx="21">
                  <c:v>48.459047802866699</c:v>
                </c:pt>
                <c:pt idx="22">
                  <c:v>48.291596382294699</c:v>
                </c:pt>
                <c:pt idx="23">
                  <c:v>48.194364866091597</c:v>
                </c:pt>
                <c:pt idx="24">
                  <c:v>48.219487432145598</c:v>
                </c:pt>
                <c:pt idx="25">
                  <c:v>48.395691897272101</c:v>
                </c:pt>
                <c:pt idx="26">
                  <c:v>48.649407113174</c:v>
                </c:pt>
                <c:pt idx="27">
                  <c:v>48.863463241395401</c:v>
                </c:pt>
                <c:pt idx="28">
                  <c:v>48.960722963461599</c:v>
                </c:pt>
                <c:pt idx="29">
                  <c:v>48.9056449504168</c:v>
                </c:pt>
                <c:pt idx="30">
                  <c:v>48.710042688139502</c:v>
                </c:pt>
                <c:pt idx="31">
                  <c:v>48.402431760749202</c:v>
                </c:pt>
                <c:pt idx="32">
                  <c:v>48.0395062719655</c:v>
                </c:pt>
                <c:pt idx="33">
                  <c:v>47.678252674307302</c:v>
                </c:pt>
                <c:pt idx="34">
                  <c:v>47.363576839469097</c:v>
                </c:pt>
                <c:pt idx="35">
                  <c:v>47.106173037143101</c:v>
                </c:pt>
                <c:pt idx="36">
                  <c:v>46.901638540657302</c:v>
                </c:pt>
                <c:pt idx="37">
                  <c:v>46.740500565657499</c:v>
                </c:pt>
                <c:pt idx="38">
                  <c:v>46.648061273782602</c:v>
                </c:pt>
                <c:pt idx="39">
                  <c:v>46.664831172361097</c:v>
                </c:pt>
                <c:pt idx="40">
                  <c:v>46.803190275139698</c:v>
                </c:pt>
                <c:pt idx="41">
                  <c:v>47.072898531308901</c:v>
                </c:pt>
                <c:pt idx="42">
                  <c:v>47.485064876559797</c:v>
                </c:pt>
                <c:pt idx="43">
                  <c:v>48.019718256707201</c:v>
                </c:pt>
                <c:pt idx="44">
                  <c:v>48.601744879443501</c:v>
                </c:pt>
                <c:pt idx="45">
                  <c:v>49.174034132638603</c:v>
                </c:pt>
                <c:pt idx="46">
                  <c:v>49.685720997231002</c:v>
                </c:pt>
                <c:pt idx="47">
                  <c:v>50.110846611732903</c:v>
                </c:pt>
                <c:pt idx="48">
                  <c:v>50.454729536248401</c:v>
                </c:pt>
                <c:pt idx="49">
                  <c:v>50.719168506539702</c:v>
                </c:pt>
                <c:pt idx="50">
                  <c:v>50.893565448127099</c:v>
                </c:pt>
                <c:pt idx="51">
                  <c:v>51.003220767757902</c:v>
                </c:pt>
                <c:pt idx="52">
                  <c:v>51.082020599109903</c:v>
                </c:pt>
                <c:pt idx="53">
                  <c:v>51.142640406030203</c:v>
                </c:pt>
                <c:pt idx="54">
                  <c:v>51.197270136271399</c:v>
                </c:pt>
                <c:pt idx="55">
                  <c:v>51.2789002544231</c:v>
                </c:pt>
                <c:pt idx="56">
                  <c:v>51.437116060190498</c:v>
                </c:pt>
                <c:pt idx="57">
                  <c:v>51.672818575306103</c:v>
                </c:pt>
                <c:pt idx="58">
                  <c:v>51.9355687850707</c:v>
                </c:pt>
                <c:pt idx="59">
                  <c:v>52.176940009396297</c:v>
                </c:pt>
                <c:pt idx="60">
                  <c:v>52.364052069017703</c:v>
                </c:pt>
                <c:pt idx="61">
                  <c:v>52.498824108106099</c:v>
                </c:pt>
                <c:pt idx="62">
                  <c:v>52.608748925709598</c:v>
                </c:pt>
              </c:numCache>
            </c:numRef>
          </c:val>
          <c:smooth val="0"/>
          <c:extLst>
            <c:ext xmlns:c16="http://schemas.microsoft.com/office/drawing/2014/chart" uri="{C3380CC4-5D6E-409C-BE32-E72D297353CC}">
              <c16:uniqueId val="{00000001-52CF-4EB2-8FE4-1F257E0EA59C}"/>
            </c:ext>
          </c:extLst>
        </c:ser>
        <c:dLbls>
          <c:showLegendKey val="0"/>
          <c:showVal val="0"/>
          <c:showCatName val="0"/>
          <c:showSerName val="0"/>
          <c:showPercent val="0"/>
          <c:showBubbleSize val="0"/>
        </c:dLbls>
        <c:smooth val="0"/>
        <c:axId val="404414856"/>
        <c:axId val="404418776"/>
      </c:lineChart>
      <c:catAx>
        <c:axId val="40441485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04418776"/>
        <c:crossesAt val="50"/>
        <c:auto val="1"/>
        <c:lblAlgn val="ctr"/>
        <c:lblOffset val="50"/>
        <c:tickLblSkip val="1"/>
        <c:tickMarkSkip val="12"/>
        <c:noMultiLvlLbl val="1"/>
      </c:catAx>
      <c:valAx>
        <c:axId val="404418776"/>
        <c:scaling>
          <c:orientation val="minMax"/>
          <c:max val="55"/>
          <c:min val="4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04414856"/>
        <c:crosses val="autoZero"/>
        <c:crossBetween val="between"/>
        <c:majorUnit val="5"/>
        <c:minorUnit val="0.4"/>
      </c:valAx>
      <c:spPr>
        <a:noFill/>
      </c:spPr>
    </c:plotArea>
    <c:legend>
      <c:legendPos val="b"/>
      <c:layout>
        <c:manualLayout>
          <c:xMode val="edge"/>
          <c:yMode val="edge"/>
          <c:x val="0.14650885225885227"/>
          <c:y val="0.92057031249999999"/>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47759116938725E-2"/>
          <c:y val="5.0134357724078003E-2"/>
          <c:w val="0.92499794672559355"/>
          <c:h val="0.80953871619274687"/>
        </c:manualLayout>
      </c:layout>
      <c:lineChart>
        <c:grouping val="standard"/>
        <c:varyColors val="0"/>
        <c:ser>
          <c:idx val="0"/>
          <c:order val="0"/>
          <c:tx>
            <c:strRef>
              <c:f>'Datos COM'!$C$4</c:f>
              <c:strCache>
                <c:ptCount val="1"/>
                <c:pt idx="0">
                  <c:v>Serie Desestacionalizada</c:v>
                </c:pt>
              </c:strCache>
            </c:strRef>
          </c:tx>
          <c:spPr>
            <a:ln w="19050">
              <a:solidFill>
                <a:srgbClr val="4A7EBB"/>
              </a:solidFill>
            </a:ln>
          </c:spPr>
          <c:marker>
            <c:symbol val="none"/>
          </c:marker>
          <c:cat>
            <c:multiLvlStrRef>
              <c:f>'Datos COM'!$A$77:$B$148</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 COM'!$C$77:$C$148</c:f>
              <c:numCache>
                <c:formatCode>0.0_)</c:formatCode>
                <c:ptCount val="63"/>
                <c:pt idx="0">
                  <c:v>55.737973054992601</c:v>
                </c:pt>
                <c:pt idx="1">
                  <c:v>57.185924270387297</c:v>
                </c:pt>
                <c:pt idx="2">
                  <c:v>56.331951040267299</c:v>
                </c:pt>
                <c:pt idx="3">
                  <c:v>56.906676050522599</c:v>
                </c:pt>
                <c:pt idx="4">
                  <c:v>57.229137786111302</c:v>
                </c:pt>
                <c:pt idx="5">
                  <c:v>57.576629303186301</c:v>
                </c:pt>
                <c:pt idx="6">
                  <c:v>55.756261626700997</c:v>
                </c:pt>
                <c:pt idx="7">
                  <c:v>56.130901909930202</c:v>
                </c:pt>
                <c:pt idx="8">
                  <c:v>54.9469325757237</c:v>
                </c:pt>
                <c:pt idx="9">
                  <c:v>57.1129560822285</c:v>
                </c:pt>
                <c:pt idx="10">
                  <c:v>57.441310543246402</c:v>
                </c:pt>
                <c:pt idx="11">
                  <c:v>55.721074128008802</c:v>
                </c:pt>
                <c:pt idx="12">
                  <c:v>56.994205190762102</c:v>
                </c:pt>
                <c:pt idx="13">
                  <c:v>57.055970281952902</c:v>
                </c:pt>
                <c:pt idx="14">
                  <c:v>58.589648405895701</c:v>
                </c:pt>
                <c:pt idx="15">
                  <c:v>51.655788975891099</c:v>
                </c:pt>
                <c:pt idx="16">
                  <c:v>55.296604818036201</c:v>
                </c:pt>
                <c:pt idx="17">
                  <c:v>54.423362600961198</c:v>
                </c:pt>
                <c:pt idx="18">
                  <c:v>55.397016338649102</c:v>
                </c:pt>
                <c:pt idx="19">
                  <c:v>55.410163447315099</c:v>
                </c:pt>
                <c:pt idx="20">
                  <c:v>55.082238254037001</c:v>
                </c:pt>
                <c:pt idx="21">
                  <c:v>54.1563899580282</c:v>
                </c:pt>
                <c:pt idx="22">
                  <c:v>54.5550474397782</c:v>
                </c:pt>
                <c:pt idx="23">
                  <c:v>55.282226387221698</c:v>
                </c:pt>
                <c:pt idx="24">
                  <c:v>53.479719570443798</c:v>
                </c:pt>
                <c:pt idx="25">
                  <c:v>53.5403337843304</c:v>
                </c:pt>
                <c:pt idx="26">
                  <c:v>53.206018449538398</c:v>
                </c:pt>
                <c:pt idx="27">
                  <c:v>55.0281845380673</c:v>
                </c:pt>
                <c:pt idx="28">
                  <c:v>54.0551780538636</c:v>
                </c:pt>
                <c:pt idx="29">
                  <c:v>53.399817936551798</c:v>
                </c:pt>
                <c:pt idx="30">
                  <c:v>54.104600461326903</c:v>
                </c:pt>
                <c:pt idx="31">
                  <c:v>54.5566984719038</c:v>
                </c:pt>
                <c:pt idx="32">
                  <c:v>53.3669049409921</c:v>
                </c:pt>
                <c:pt idx="33">
                  <c:v>53.444198632726</c:v>
                </c:pt>
                <c:pt idx="34">
                  <c:v>52.858252759373002</c:v>
                </c:pt>
                <c:pt idx="35">
                  <c:v>51.966005942810497</c:v>
                </c:pt>
                <c:pt idx="36">
                  <c:v>53.637097825452202</c:v>
                </c:pt>
                <c:pt idx="37">
                  <c:v>51.745057177045503</c:v>
                </c:pt>
                <c:pt idx="38">
                  <c:v>47.722519657390997</c:v>
                </c:pt>
                <c:pt idx="39">
                  <c:v>36.722844260388896</c:v>
                </c:pt>
                <c:pt idx="40">
                  <c:v>43.814382070805799</c:v>
                </c:pt>
                <c:pt idx="41">
                  <c:v>53.159006005090703</c:v>
                </c:pt>
                <c:pt idx="42">
                  <c:v>53.591787856116603</c:v>
                </c:pt>
                <c:pt idx="43">
                  <c:v>51.548361799236297</c:v>
                </c:pt>
                <c:pt idx="44">
                  <c:v>52.185688978173999</c:v>
                </c:pt>
                <c:pt idx="45">
                  <c:v>52.868032785369699</c:v>
                </c:pt>
                <c:pt idx="46">
                  <c:v>52.012791490121103</c:v>
                </c:pt>
                <c:pt idx="47">
                  <c:v>53.128467527952402</c:v>
                </c:pt>
                <c:pt idx="48">
                  <c:v>53.221100486374603</c:v>
                </c:pt>
                <c:pt idx="49">
                  <c:v>56.109066337309997</c:v>
                </c:pt>
                <c:pt idx="50">
                  <c:v>53.947183755572198</c:v>
                </c:pt>
                <c:pt idx="51">
                  <c:v>51.757571947006298</c:v>
                </c:pt>
                <c:pt idx="52">
                  <c:v>53.045675973154502</c:v>
                </c:pt>
                <c:pt idx="53">
                  <c:v>53.4398291022896</c:v>
                </c:pt>
                <c:pt idx="54">
                  <c:v>52.524020460539099</c:v>
                </c:pt>
                <c:pt idx="55">
                  <c:v>52.511792389049099</c:v>
                </c:pt>
                <c:pt idx="56">
                  <c:v>53.325643338441402</c:v>
                </c:pt>
                <c:pt idx="57">
                  <c:v>52.967007181528402</c:v>
                </c:pt>
                <c:pt idx="58">
                  <c:v>53.515987998118803</c:v>
                </c:pt>
                <c:pt idx="59">
                  <c:v>53.030293220941303</c:v>
                </c:pt>
                <c:pt idx="60">
                  <c:v>50.889409833118698</c:v>
                </c:pt>
                <c:pt idx="61">
                  <c:v>52.213818235930397</c:v>
                </c:pt>
                <c:pt idx="62">
                  <c:v>51.892659614683502</c:v>
                </c:pt>
              </c:numCache>
            </c:numRef>
          </c:val>
          <c:smooth val="0"/>
          <c:extLst>
            <c:ext xmlns:c16="http://schemas.microsoft.com/office/drawing/2014/chart" uri="{C3380CC4-5D6E-409C-BE32-E72D297353CC}">
              <c16:uniqueId val="{00000000-4060-41CA-B7DC-B781D0ADCB23}"/>
            </c:ext>
          </c:extLst>
        </c:ser>
        <c:ser>
          <c:idx val="1"/>
          <c:order val="1"/>
          <c:tx>
            <c:strRef>
              <c:f>'Datos COM'!$D$4</c:f>
              <c:strCache>
                <c:ptCount val="1"/>
                <c:pt idx="0">
                  <c:v>Serie de Tendencia-Ciclo</c:v>
                </c:pt>
              </c:strCache>
            </c:strRef>
          </c:tx>
          <c:spPr>
            <a:ln w="9525">
              <a:solidFill>
                <a:srgbClr val="FF0000"/>
              </a:solidFill>
            </a:ln>
          </c:spPr>
          <c:marker>
            <c:symbol val="none"/>
          </c:marker>
          <c:cat>
            <c:multiLvlStrRef>
              <c:f>'Datos COM'!$A$77:$B$148</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 COM'!$D$77:$D$148</c:f>
              <c:numCache>
                <c:formatCode>0.0_)</c:formatCode>
                <c:ptCount val="63"/>
                <c:pt idx="0">
                  <c:v>56.932784941607601</c:v>
                </c:pt>
                <c:pt idx="1">
                  <c:v>56.871595342297198</c:v>
                </c:pt>
                <c:pt idx="2">
                  <c:v>56.802734541618101</c:v>
                </c:pt>
                <c:pt idx="3">
                  <c:v>56.737368232452802</c:v>
                </c:pt>
                <c:pt idx="4">
                  <c:v>56.690205580857501</c:v>
                </c:pt>
                <c:pt idx="5">
                  <c:v>56.665936136324397</c:v>
                </c:pt>
                <c:pt idx="6">
                  <c:v>56.669157963784002</c:v>
                </c:pt>
                <c:pt idx="7">
                  <c:v>56.686075624916498</c:v>
                </c:pt>
                <c:pt idx="8">
                  <c:v>56.698838879866997</c:v>
                </c:pt>
                <c:pt idx="9">
                  <c:v>56.690715657718101</c:v>
                </c:pt>
                <c:pt idx="10">
                  <c:v>56.654493031047302</c:v>
                </c:pt>
                <c:pt idx="11">
                  <c:v>56.582960176326502</c:v>
                </c:pt>
                <c:pt idx="12">
                  <c:v>56.468777187297903</c:v>
                </c:pt>
                <c:pt idx="13">
                  <c:v>56.3186629691943</c:v>
                </c:pt>
                <c:pt idx="14">
                  <c:v>56.134404932224001</c:v>
                </c:pt>
                <c:pt idx="15">
                  <c:v>55.9262632400863</c:v>
                </c:pt>
                <c:pt idx="16">
                  <c:v>55.692620792894502</c:v>
                </c:pt>
                <c:pt idx="17">
                  <c:v>55.442679344513103</c:v>
                </c:pt>
                <c:pt idx="18">
                  <c:v>55.196058609223897</c:v>
                </c:pt>
                <c:pt idx="19">
                  <c:v>54.969592900036503</c:v>
                </c:pt>
                <c:pt idx="20">
                  <c:v>54.764553598683598</c:v>
                </c:pt>
                <c:pt idx="21">
                  <c:v>54.583804398166798</c:v>
                </c:pt>
                <c:pt idx="22">
                  <c:v>54.427139621764297</c:v>
                </c:pt>
                <c:pt idx="23">
                  <c:v>54.299009615369201</c:v>
                </c:pt>
                <c:pt idx="24">
                  <c:v>54.203596506868401</c:v>
                </c:pt>
                <c:pt idx="25">
                  <c:v>54.124307839104901</c:v>
                </c:pt>
                <c:pt idx="26">
                  <c:v>54.056217753979801</c:v>
                </c:pt>
                <c:pt idx="27">
                  <c:v>53.993675427974203</c:v>
                </c:pt>
                <c:pt idx="28">
                  <c:v>53.929069394155199</c:v>
                </c:pt>
                <c:pt idx="29">
                  <c:v>53.852840626216803</c:v>
                </c:pt>
                <c:pt idx="30">
                  <c:v>53.753765597831901</c:v>
                </c:pt>
                <c:pt idx="31">
                  <c:v>53.622604951448999</c:v>
                </c:pt>
                <c:pt idx="32">
                  <c:v>53.469003514198597</c:v>
                </c:pt>
                <c:pt idx="33">
                  <c:v>53.3080962555334</c:v>
                </c:pt>
                <c:pt idx="34">
                  <c:v>53.151041283412397</c:v>
                </c:pt>
                <c:pt idx="35">
                  <c:v>53.008703172579899</c:v>
                </c:pt>
                <c:pt idx="36">
                  <c:v>52.8892988568305</c:v>
                </c:pt>
                <c:pt idx="37">
                  <c:v>52.800358145235599</c:v>
                </c:pt>
                <c:pt idx="38">
                  <c:v>52.736657473536702</c:v>
                </c:pt>
                <c:pt idx="39">
                  <c:v>52.688004423071298</c:v>
                </c:pt>
                <c:pt idx="40">
                  <c:v>52.6546893928084</c:v>
                </c:pt>
                <c:pt idx="41">
                  <c:v>52.641225100640902</c:v>
                </c:pt>
                <c:pt idx="42">
                  <c:v>52.642457188835202</c:v>
                </c:pt>
                <c:pt idx="43">
                  <c:v>52.654726175962402</c:v>
                </c:pt>
                <c:pt idx="44">
                  <c:v>52.680638953448401</c:v>
                </c:pt>
                <c:pt idx="45">
                  <c:v>52.7209163340789</c:v>
                </c:pt>
                <c:pt idx="46">
                  <c:v>52.772614095712903</c:v>
                </c:pt>
                <c:pt idx="47">
                  <c:v>52.830474003083197</c:v>
                </c:pt>
                <c:pt idx="48">
                  <c:v>52.887880712570698</c:v>
                </c:pt>
                <c:pt idx="49">
                  <c:v>52.943742888295702</c:v>
                </c:pt>
                <c:pt idx="50">
                  <c:v>52.998244287397</c:v>
                </c:pt>
                <c:pt idx="51">
                  <c:v>53.041596672366701</c:v>
                </c:pt>
                <c:pt idx="52">
                  <c:v>53.063120857110398</c:v>
                </c:pt>
                <c:pt idx="53">
                  <c:v>53.057067602523901</c:v>
                </c:pt>
                <c:pt idx="54">
                  <c:v>53.0238686754969</c:v>
                </c:pt>
                <c:pt idx="55">
                  <c:v>52.9685841010741</c:v>
                </c:pt>
                <c:pt idx="56">
                  <c:v>52.894905159935099</c:v>
                </c:pt>
                <c:pt idx="57">
                  <c:v>52.802984475568401</c:v>
                </c:pt>
                <c:pt idx="58">
                  <c:v>52.695591996469197</c:v>
                </c:pt>
                <c:pt idx="59">
                  <c:v>52.577300751084699</c:v>
                </c:pt>
                <c:pt idx="60">
                  <c:v>52.448855588688303</c:v>
                </c:pt>
                <c:pt idx="61">
                  <c:v>52.3130924361339</c:v>
                </c:pt>
                <c:pt idx="62">
                  <c:v>52.177146763387597</c:v>
                </c:pt>
              </c:numCache>
            </c:numRef>
          </c:val>
          <c:smooth val="0"/>
          <c:extLst>
            <c:ext xmlns:c16="http://schemas.microsoft.com/office/drawing/2014/chart" uri="{C3380CC4-5D6E-409C-BE32-E72D297353CC}">
              <c16:uniqueId val="{00000001-4060-41CA-B7DC-B781D0ADCB23}"/>
            </c:ext>
          </c:extLst>
        </c:ser>
        <c:dLbls>
          <c:showLegendKey val="0"/>
          <c:showVal val="0"/>
          <c:showCatName val="0"/>
          <c:showSerName val="0"/>
          <c:showPercent val="0"/>
          <c:showBubbleSize val="0"/>
        </c:dLbls>
        <c:smooth val="0"/>
        <c:axId val="404419168"/>
        <c:axId val="439966456"/>
      </c:lineChart>
      <c:catAx>
        <c:axId val="40441916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439966456"/>
        <c:crossesAt val="50"/>
        <c:auto val="1"/>
        <c:lblAlgn val="ctr"/>
        <c:lblOffset val="50"/>
        <c:tickLblSkip val="1"/>
        <c:tickMarkSkip val="12"/>
        <c:noMultiLvlLbl val="1"/>
      </c:catAx>
      <c:valAx>
        <c:axId val="439966456"/>
        <c:scaling>
          <c:orientation val="minMax"/>
          <c:max val="62"/>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404419168"/>
        <c:crosses val="autoZero"/>
        <c:crossBetween val="between"/>
        <c:majorUnit val="5"/>
      </c:valAx>
      <c:spPr>
        <a:noFill/>
        <a:ln w="0">
          <a:solidFill>
            <a:schemeClr val="bg1">
              <a:lumMod val="50000"/>
            </a:schemeClr>
          </a:solidFill>
        </a:ln>
      </c:spPr>
    </c:plotArea>
    <c:legend>
      <c:legendPos val="b"/>
      <c:layout>
        <c:manualLayout>
          <c:xMode val="edge"/>
          <c:yMode val="edge"/>
          <c:x val="0.14652377018262672"/>
          <c:y val="0.95027575202706105"/>
          <c:w val="0.6969181929181929"/>
          <c:h val="4.9723858134772515E-2"/>
        </c:manualLayout>
      </c:layout>
      <c:overlay val="0"/>
      <c:spPr>
        <a:noFill/>
        <a:ln>
          <a:noFill/>
        </a:ln>
      </c:spPr>
      <c:txPr>
        <a:bodyPr/>
        <a:lstStyle/>
        <a:p>
          <a:pPr>
            <a:defRPr sz="700"/>
          </a:pPr>
          <a:endParaRPr lang="es-MX"/>
        </a:p>
      </c:txPr>
    </c:legend>
    <c:plotVisOnly val="1"/>
    <c:dispBlanksAs val="gap"/>
    <c:showDLblsOverMax val="0"/>
  </c:chart>
  <c:spPr>
    <a:noFill/>
    <a:ln w="6350">
      <a:solidFill>
        <a:schemeClr val="tx1"/>
      </a:solidFill>
    </a:ln>
    <a:effectLst>
      <a:outerShdw dist="16510" dir="2700000" algn="tl" rotWithShape="0">
        <a:prstClr val="black"/>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Ventas</a:t>
            </a:r>
            <a:r>
              <a:rPr lang="es-MX" sz="700" baseline="0"/>
              <a:t> netas</a:t>
            </a:r>
            <a:endParaRPr lang="es-MX" sz="700"/>
          </a:p>
        </c:rich>
      </c:tx>
      <c:layout>
        <c:manualLayout>
          <c:xMode val="edge"/>
          <c:yMode val="edge"/>
          <c:x val="0.39644825474586648"/>
          <c:y val="1.0854294249180168E-2"/>
        </c:manualLayout>
      </c:layout>
      <c:overlay val="1"/>
    </c:title>
    <c:autoTitleDeleted val="0"/>
    <c:plotArea>
      <c:layout>
        <c:manualLayout>
          <c:layoutTarget val="inner"/>
          <c:xMode val="edge"/>
          <c:yMode val="edge"/>
          <c:x val="4.5666605073354578E-2"/>
          <c:y val="9.4692741315695217E-2"/>
          <c:w val="0.93080897207368285"/>
          <c:h val="0.68740328071804391"/>
        </c:manualLayout>
      </c:layout>
      <c:lineChart>
        <c:grouping val="standard"/>
        <c:varyColors val="0"/>
        <c:ser>
          <c:idx val="0"/>
          <c:order val="0"/>
          <c:tx>
            <c:strRef>
              <c:f>'Datos COM'!$E$4</c:f>
              <c:strCache>
                <c:ptCount val="1"/>
                <c:pt idx="0">
                  <c:v>Serie Desestacionalizada</c:v>
                </c:pt>
              </c:strCache>
            </c:strRef>
          </c:tx>
          <c:spPr>
            <a:ln w="15875">
              <a:solidFill>
                <a:srgbClr val="3D6AA1"/>
              </a:solidFill>
            </a:ln>
          </c:spPr>
          <c:marker>
            <c:symbol val="none"/>
          </c:marker>
          <c:cat>
            <c:multiLvlStrRef>
              <c:f>'Datos COM'!$A$77:$B$148</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 COM'!$E$77:$E$148</c:f>
              <c:numCache>
                <c:formatCode>0.0_)</c:formatCode>
                <c:ptCount val="63"/>
                <c:pt idx="0">
                  <c:v>54.453155784856499</c:v>
                </c:pt>
                <c:pt idx="1">
                  <c:v>51.6267154571349</c:v>
                </c:pt>
                <c:pt idx="2">
                  <c:v>52.6107381539179</c:v>
                </c:pt>
                <c:pt idx="3">
                  <c:v>54.3064375139124</c:v>
                </c:pt>
                <c:pt idx="4">
                  <c:v>53.711238574771002</c:v>
                </c:pt>
                <c:pt idx="5">
                  <c:v>53.392819189571497</c:v>
                </c:pt>
                <c:pt idx="6">
                  <c:v>51.447207332584298</c:v>
                </c:pt>
                <c:pt idx="7">
                  <c:v>52.552526378581597</c:v>
                </c:pt>
                <c:pt idx="8">
                  <c:v>51.479584122027198</c:v>
                </c:pt>
                <c:pt idx="9">
                  <c:v>56.339329453278197</c:v>
                </c:pt>
                <c:pt idx="10">
                  <c:v>57.144743890329799</c:v>
                </c:pt>
                <c:pt idx="11">
                  <c:v>54.043829222214299</c:v>
                </c:pt>
                <c:pt idx="12">
                  <c:v>52.738596772557898</c:v>
                </c:pt>
                <c:pt idx="13">
                  <c:v>52.199300759508297</c:v>
                </c:pt>
                <c:pt idx="14">
                  <c:v>56.9214437469576</c:v>
                </c:pt>
                <c:pt idx="15">
                  <c:v>45.890204580143198</c:v>
                </c:pt>
                <c:pt idx="16">
                  <c:v>54.441559210007</c:v>
                </c:pt>
                <c:pt idx="17">
                  <c:v>53.9763163843634</c:v>
                </c:pt>
                <c:pt idx="18">
                  <c:v>55.040831159604302</c:v>
                </c:pt>
                <c:pt idx="19">
                  <c:v>53.299738020994702</c:v>
                </c:pt>
                <c:pt idx="20">
                  <c:v>53.211991407256299</c:v>
                </c:pt>
                <c:pt idx="21">
                  <c:v>52.927904243970502</c:v>
                </c:pt>
                <c:pt idx="22">
                  <c:v>53.4693939401497</c:v>
                </c:pt>
                <c:pt idx="23">
                  <c:v>53.619218211333198</c:v>
                </c:pt>
                <c:pt idx="24">
                  <c:v>53.528686904877297</c:v>
                </c:pt>
                <c:pt idx="25">
                  <c:v>53.835826712445197</c:v>
                </c:pt>
                <c:pt idx="26">
                  <c:v>52.0777988661035</c:v>
                </c:pt>
                <c:pt idx="27">
                  <c:v>55.695353569295897</c:v>
                </c:pt>
                <c:pt idx="28">
                  <c:v>53.670512645060001</c:v>
                </c:pt>
                <c:pt idx="29">
                  <c:v>52.6275095206788</c:v>
                </c:pt>
                <c:pt idx="30">
                  <c:v>53.524925817028297</c:v>
                </c:pt>
                <c:pt idx="31">
                  <c:v>55.1899883733889</c:v>
                </c:pt>
                <c:pt idx="32">
                  <c:v>53.566912441191</c:v>
                </c:pt>
                <c:pt idx="33">
                  <c:v>53.114371249129</c:v>
                </c:pt>
                <c:pt idx="34">
                  <c:v>53.320409412224997</c:v>
                </c:pt>
                <c:pt idx="35">
                  <c:v>53.241577156925402</c:v>
                </c:pt>
                <c:pt idx="36">
                  <c:v>53.700573870978502</c:v>
                </c:pt>
                <c:pt idx="37">
                  <c:v>53.051043003982798</c:v>
                </c:pt>
                <c:pt idx="38">
                  <c:v>52.7436568225394</c:v>
                </c:pt>
                <c:pt idx="39">
                  <c:v>29.863503807779399</c:v>
                </c:pt>
                <c:pt idx="40">
                  <c:v>45.950759506996697</c:v>
                </c:pt>
                <c:pt idx="41">
                  <c:v>55.599046381783502</c:v>
                </c:pt>
                <c:pt idx="42">
                  <c:v>54.792098239916299</c:v>
                </c:pt>
                <c:pt idx="43">
                  <c:v>54.541466991944503</c:v>
                </c:pt>
                <c:pt idx="44">
                  <c:v>53.759305197990003</c:v>
                </c:pt>
                <c:pt idx="45">
                  <c:v>53.846633734121703</c:v>
                </c:pt>
                <c:pt idx="46">
                  <c:v>53.076008879585302</c:v>
                </c:pt>
                <c:pt idx="47">
                  <c:v>53.686246519231602</c:v>
                </c:pt>
                <c:pt idx="48">
                  <c:v>52.415651297888303</c:v>
                </c:pt>
                <c:pt idx="49">
                  <c:v>54.604216007212401</c:v>
                </c:pt>
                <c:pt idx="50">
                  <c:v>56.405844036784003</c:v>
                </c:pt>
                <c:pt idx="51">
                  <c:v>50.345220333631701</c:v>
                </c:pt>
                <c:pt idx="52">
                  <c:v>52.506478352639199</c:v>
                </c:pt>
                <c:pt idx="53">
                  <c:v>53.405128461387797</c:v>
                </c:pt>
                <c:pt idx="54">
                  <c:v>53.0523932131875</c:v>
                </c:pt>
                <c:pt idx="55">
                  <c:v>52.774644686591202</c:v>
                </c:pt>
                <c:pt idx="56">
                  <c:v>54.172400945722998</c:v>
                </c:pt>
                <c:pt idx="57">
                  <c:v>54.1077432336199</c:v>
                </c:pt>
                <c:pt idx="58">
                  <c:v>53.844024505020798</c:v>
                </c:pt>
                <c:pt idx="59">
                  <c:v>53.0348049627381</c:v>
                </c:pt>
                <c:pt idx="60">
                  <c:v>54.458019924602603</c:v>
                </c:pt>
                <c:pt idx="61">
                  <c:v>53.314964736050797</c:v>
                </c:pt>
                <c:pt idx="62">
                  <c:v>53.1342011349413</c:v>
                </c:pt>
              </c:numCache>
            </c:numRef>
          </c:val>
          <c:smooth val="0"/>
          <c:extLst>
            <c:ext xmlns:c16="http://schemas.microsoft.com/office/drawing/2014/chart" uri="{C3380CC4-5D6E-409C-BE32-E72D297353CC}">
              <c16:uniqueId val="{00000000-43DB-438E-8F6E-1DEF621C0D38}"/>
            </c:ext>
          </c:extLst>
        </c:ser>
        <c:ser>
          <c:idx val="1"/>
          <c:order val="1"/>
          <c:tx>
            <c:strRef>
              <c:f>'Datos COM'!$F$4</c:f>
              <c:strCache>
                <c:ptCount val="1"/>
                <c:pt idx="0">
                  <c:v>Serie de Tendencia-Ciclo</c:v>
                </c:pt>
              </c:strCache>
            </c:strRef>
          </c:tx>
          <c:spPr>
            <a:ln w="12700">
              <a:solidFill>
                <a:srgbClr val="C00000"/>
              </a:solidFill>
            </a:ln>
          </c:spPr>
          <c:marker>
            <c:symbol val="none"/>
          </c:marker>
          <c:cat>
            <c:multiLvlStrRef>
              <c:f>'Datos COM'!$A$77:$B$148</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 COM'!$F$77:$F$148</c:f>
              <c:numCache>
                <c:formatCode>0.0_)</c:formatCode>
                <c:ptCount val="63"/>
                <c:pt idx="0">
                  <c:v>53.649680316151603</c:v>
                </c:pt>
                <c:pt idx="1">
                  <c:v>53.465702491216902</c:v>
                </c:pt>
                <c:pt idx="2">
                  <c:v>53.273317424247999</c:v>
                </c:pt>
                <c:pt idx="3">
                  <c:v>53.096393572708998</c:v>
                </c:pt>
                <c:pt idx="4">
                  <c:v>52.9587285938523</c:v>
                </c:pt>
                <c:pt idx="5">
                  <c:v>52.8747331379153</c:v>
                </c:pt>
                <c:pt idx="6">
                  <c:v>52.8650297646479</c:v>
                </c:pt>
                <c:pt idx="7">
                  <c:v>52.932851620799902</c:v>
                </c:pt>
                <c:pt idx="8">
                  <c:v>53.077298491307701</c:v>
                </c:pt>
                <c:pt idx="9">
                  <c:v>53.287584534271801</c:v>
                </c:pt>
                <c:pt idx="10">
                  <c:v>53.546772820019001</c:v>
                </c:pt>
                <c:pt idx="11">
                  <c:v>53.825614165575097</c:v>
                </c:pt>
                <c:pt idx="12">
                  <c:v>54.086847049077903</c:v>
                </c:pt>
                <c:pt idx="13">
                  <c:v>54.300834446671203</c:v>
                </c:pt>
                <c:pt idx="14">
                  <c:v>54.4425925993704</c:v>
                </c:pt>
                <c:pt idx="15">
                  <c:v>54.492230863498598</c:v>
                </c:pt>
                <c:pt idx="16">
                  <c:v>54.434918920270597</c:v>
                </c:pt>
                <c:pt idx="17">
                  <c:v>54.292125504336397</c:v>
                </c:pt>
                <c:pt idx="18">
                  <c:v>54.104891992332803</c:v>
                </c:pt>
                <c:pt idx="19">
                  <c:v>53.911637819950599</c:v>
                </c:pt>
                <c:pt idx="20">
                  <c:v>53.731113643819299</c:v>
                </c:pt>
                <c:pt idx="21">
                  <c:v>53.583343641508499</c:v>
                </c:pt>
                <c:pt idx="22">
                  <c:v>53.482289836600899</c:v>
                </c:pt>
                <c:pt idx="23">
                  <c:v>53.439221088692904</c:v>
                </c:pt>
                <c:pt idx="24">
                  <c:v>53.454135806946397</c:v>
                </c:pt>
                <c:pt idx="25">
                  <c:v>53.509722630179802</c:v>
                </c:pt>
                <c:pt idx="26">
                  <c:v>53.577363866423603</c:v>
                </c:pt>
                <c:pt idx="27">
                  <c:v>53.632565882021701</c:v>
                </c:pt>
                <c:pt idx="28">
                  <c:v>53.670147126071498</c:v>
                </c:pt>
                <c:pt idx="29">
                  <c:v>53.675864633191097</c:v>
                </c:pt>
                <c:pt idx="30">
                  <c:v>53.639333530266597</c:v>
                </c:pt>
                <c:pt idx="31">
                  <c:v>53.564669105174502</c:v>
                </c:pt>
                <c:pt idx="32">
                  <c:v>53.475189537900199</c:v>
                </c:pt>
                <c:pt idx="33">
                  <c:v>53.395737826608404</c:v>
                </c:pt>
                <c:pt idx="34">
                  <c:v>53.348560555871103</c:v>
                </c:pt>
                <c:pt idx="35">
                  <c:v>53.350671606968596</c:v>
                </c:pt>
                <c:pt idx="36">
                  <c:v>53.408060864031498</c:v>
                </c:pt>
                <c:pt idx="37">
                  <c:v>53.520442879361198</c:v>
                </c:pt>
                <c:pt idx="38">
                  <c:v>53.665230097931001</c:v>
                </c:pt>
                <c:pt idx="39">
                  <c:v>53.813466727522297</c:v>
                </c:pt>
                <c:pt idx="40">
                  <c:v>53.948376538809001</c:v>
                </c:pt>
                <c:pt idx="41">
                  <c:v>54.063726080360297</c:v>
                </c:pt>
                <c:pt idx="42">
                  <c:v>54.1353564807604</c:v>
                </c:pt>
                <c:pt idx="43">
                  <c:v>54.139505127361197</c:v>
                </c:pt>
                <c:pt idx="44">
                  <c:v>54.070083253719197</c:v>
                </c:pt>
                <c:pt idx="45">
                  <c:v>53.932414205151098</c:v>
                </c:pt>
                <c:pt idx="46">
                  <c:v>53.7400704688106</c:v>
                </c:pt>
                <c:pt idx="47">
                  <c:v>53.517664686791903</c:v>
                </c:pt>
                <c:pt idx="48">
                  <c:v>53.301702361710198</c:v>
                </c:pt>
                <c:pt idx="49">
                  <c:v>53.121363509273898</c:v>
                </c:pt>
                <c:pt idx="50">
                  <c:v>53.0043604181474</c:v>
                </c:pt>
                <c:pt idx="51">
                  <c:v>52.962370298492502</c:v>
                </c:pt>
                <c:pt idx="52">
                  <c:v>52.984264375252501</c:v>
                </c:pt>
                <c:pt idx="53">
                  <c:v>53.0531217424384</c:v>
                </c:pt>
                <c:pt idx="54">
                  <c:v>53.155009353136897</c:v>
                </c:pt>
                <c:pt idx="55">
                  <c:v>53.278817439896102</c:v>
                </c:pt>
                <c:pt idx="56">
                  <c:v>53.410058710697598</c:v>
                </c:pt>
                <c:pt idx="57">
                  <c:v>53.534732698629703</c:v>
                </c:pt>
                <c:pt idx="58">
                  <c:v>53.6376071426835</c:v>
                </c:pt>
                <c:pt idx="59">
                  <c:v>53.706383370239202</c:v>
                </c:pt>
                <c:pt idx="60">
                  <c:v>53.731376569571303</c:v>
                </c:pt>
                <c:pt idx="61">
                  <c:v>53.7150876149203</c:v>
                </c:pt>
                <c:pt idx="62">
                  <c:v>53.666418562756199</c:v>
                </c:pt>
              </c:numCache>
            </c:numRef>
          </c:val>
          <c:smooth val="0"/>
          <c:extLst>
            <c:ext xmlns:c16="http://schemas.microsoft.com/office/drawing/2014/chart" uri="{C3380CC4-5D6E-409C-BE32-E72D297353CC}">
              <c16:uniqueId val="{00000001-43DB-438E-8F6E-1DEF621C0D38}"/>
            </c:ext>
          </c:extLst>
        </c:ser>
        <c:dLbls>
          <c:showLegendKey val="0"/>
          <c:showVal val="0"/>
          <c:showCatName val="0"/>
          <c:showSerName val="0"/>
          <c:showPercent val="0"/>
          <c:showBubbleSize val="0"/>
        </c:dLbls>
        <c:smooth val="0"/>
        <c:axId val="439967632"/>
        <c:axId val="439969200"/>
      </c:lineChart>
      <c:catAx>
        <c:axId val="43996763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39969200"/>
        <c:crossesAt val="50"/>
        <c:auto val="1"/>
        <c:lblAlgn val="ctr"/>
        <c:lblOffset val="50"/>
        <c:tickLblSkip val="1"/>
        <c:tickMarkSkip val="12"/>
        <c:noMultiLvlLbl val="1"/>
      </c:catAx>
      <c:valAx>
        <c:axId val="439969200"/>
        <c:scaling>
          <c:orientation val="minMax"/>
          <c:max val="62"/>
          <c:min val="2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39967632"/>
        <c:crosses val="autoZero"/>
        <c:crossBetween val="between"/>
        <c:majorUnit val="12"/>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Ingresos</a:t>
            </a:r>
            <a:r>
              <a:rPr lang="es-MX" sz="700" baseline="0"/>
              <a:t> por consignación y/o comisión</a:t>
            </a:r>
            <a:endParaRPr lang="es-MX" sz="700"/>
          </a:p>
        </c:rich>
      </c:tx>
      <c:layout>
        <c:manualLayout>
          <c:xMode val="edge"/>
          <c:yMode val="edge"/>
          <c:x val="0.24876418873208894"/>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COM'!$G$4</c:f>
              <c:strCache>
                <c:ptCount val="1"/>
                <c:pt idx="0">
                  <c:v>Serie Desestacionalizada</c:v>
                </c:pt>
              </c:strCache>
            </c:strRef>
          </c:tx>
          <c:spPr>
            <a:ln w="15875">
              <a:solidFill>
                <a:srgbClr val="3D6AA1"/>
              </a:solidFill>
            </a:ln>
          </c:spPr>
          <c:marker>
            <c:symbol val="none"/>
          </c:marker>
          <c:cat>
            <c:multiLvlStrRef>
              <c:f>'Datos COM'!$A$77:$B$148</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 COM'!$G$77:$G$148</c:f>
              <c:numCache>
                <c:formatCode>0.0_)</c:formatCode>
                <c:ptCount val="63"/>
                <c:pt idx="0">
                  <c:v>57.054719888079397</c:v>
                </c:pt>
                <c:pt idx="1">
                  <c:v>68.816762594442906</c:v>
                </c:pt>
                <c:pt idx="2">
                  <c:v>60.532949698727002</c:v>
                </c:pt>
                <c:pt idx="3">
                  <c:v>63.867740326235499</c:v>
                </c:pt>
                <c:pt idx="4">
                  <c:v>63.2221936643029</c:v>
                </c:pt>
                <c:pt idx="5">
                  <c:v>62.700178420908898</c:v>
                </c:pt>
                <c:pt idx="6">
                  <c:v>60.1739364000831</c:v>
                </c:pt>
                <c:pt idx="7">
                  <c:v>61.916222462093103</c:v>
                </c:pt>
                <c:pt idx="8">
                  <c:v>56.3401917955307</c:v>
                </c:pt>
                <c:pt idx="9">
                  <c:v>62.078939405909701</c:v>
                </c:pt>
                <c:pt idx="10">
                  <c:v>63.7032627367103</c:v>
                </c:pt>
                <c:pt idx="11">
                  <c:v>59.226806621052198</c:v>
                </c:pt>
                <c:pt idx="12">
                  <c:v>71.414687831320705</c:v>
                </c:pt>
                <c:pt idx="13">
                  <c:v>61.530472450817697</c:v>
                </c:pt>
                <c:pt idx="14">
                  <c:v>64.6849989301666</c:v>
                </c:pt>
                <c:pt idx="15">
                  <c:v>51.471300804410497</c:v>
                </c:pt>
                <c:pt idx="16">
                  <c:v>56.3357856145591</c:v>
                </c:pt>
                <c:pt idx="17">
                  <c:v>45.255424054617997</c:v>
                </c:pt>
                <c:pt idx="18">
                  <c:v>55.164215985163402</c:v>
                </c:pt>
                <c:pt idx="19">
                  <c:v>53.656707096119497</c:v>
                </c:pt>
                <c:pt idx="20">
                  <c:v>53.555706410337599</c:v>
                </c:pt>
                <c:pt idx="21">
                  <c:v>55.418867822958099</c:v>
                </c:pt>
                <c:pt idx="22">
                  <c:v>55.914287439788403</c:v>
                </c:pt>
                <c:pt idx="23">
                  <c:v>55.488432443220802</c:v>
                </c:pt>
                <c:pt idx="24">
                  <c:v>52.074340849862701</c:v>
                </c:pt>
                <c:pt idx="25">
                  <c:v>59.0719666855017</c:v>
                </c:pt>
                <c:pt idx="26">
                  <c:v>54.695624972856997</c:v>
                </c:pt>
                <c:pt idx="27">
                  <c:v>55.781591512742096</c:v>
                </c:pt>
                <c:pt idx="28">
                  <c:v>54.384827306378</c:v>
                </c:pt>
                <c:pt idx="29">
                  <c:v>52.895858743315898</c:v>
                </c:pt>
                <c:pt idx="30">
                  <c:v>54.827579175963997</c:v>
                </c:pt>
                <c:pt idx="31">
                  <c:v>57.2497038502704</c:v>
                </c:pt>
                <c:pt idx="32">
                  <c:v>53.404164375505601</c:v>
                </c:pt>
                <c:pt idx="33">
                  <c:v>54.949759274382799</c:v>
                </c:pt>
                <c:pt idx="34">
                  <c:v>53.946021797600999</c:v>
                </c:pt>
                <c:pt idx="35">
                  <c:v>52.953487262778303</c:v>
                </c:pt>
                <c:pt idx="36">
                  <c:v>53.824014809808098</c:v>
                </c:pt>
                <c:pt idx="37">
                  <c:v>50.487826193327599</c:v>
                </c:pt>
                <c:pt idx="38">
                  <c:v>42.215076498305599</c:v>
                </c:pt>
                <c:pt idx="39">
                  <c:v>36.949022246591099</c:v>
                </c:pt>
                <c:pt idx="40">
                  <c:v>41.650169256652397</c:v>
                </c:pt>
                <c:pt idx="41">
                  <c:v>57.772414138003803</c:v>
                </c:pt>
                <c:pt idx="42">
                  <c:v>56.670803059057</c:v>
                </c:pt>
                <c:pt idx="43">
                  <c:v>54.9514934241597</c:v>
                </c:pt>
                <c:pt idx="44">
                  <c:v>56.325913418202603</c:v>
                </c:pt>
                <c:pt idx="45">
                  <c:v>54.136669148276901</c:v>
                </c:pt>
                <c:pt idx="46">
                  <c:v>53.824056451270998</c:v>
                </c:pt>
                <c:pt idx="47">
                  <c:v>55.865825433782902</c:v>
                </c:pt>
                <c:pt idx="48">
                  <c:v>57.611393679343799</c:v>
                </c:pt>
                <c:pt idx="49">
                  <c:v>59.387929488704998</c:v>
                </c:pt>
                <c:pt idx="50">
                  <c:v>61.465132772128698</c:v>
                </c:pt>
                <c:pt idx="51">
                  <c:v>54.551389432901402</c:v>
                </c:pt>
                <c:pt idx="52">
                  <c:v>55.619680533078302</c:v>
                </c:pt>
                <c:pt idx="53">
                  <c:v>53.460601717017703</c:v>
                </c:pt>
                <c:pt idx="54">
                  <c:v>52.5760689147655</c:v>
                </c:pt>
                <c:pt idx="55">
                  <c:v>51.261994119644498</c:v>
                </c:pt>
                <c:pt idx="56">
                  <c:v>52.882017422685799</c:v>
                </c:pt>
                <c:pt idx="57">
                  <c:v>54.1406911470431</c:v>
                </c:pt>
                <c:pt idx="58">
                  <c:v>54.216102293749898</c:v>
                </c:pt>
                <c:pt idx="59">
                  <c:v>53.875059236974103</c:v>
                </c:pt>
                <c:pt idx="60">
                  <c:v>42.648268632869303</c:v>
                </c:pt>
                <c:pt idx="61">
                  <c:v>47.897838694635901</c:v>
                </c:pt>
                <c:pt idx="62">
                  <c:v>46.166576886694799</c:v>
                </c:pt>
              </c:numCache>
            </c:numRef>
          </c:val>
          <c:smooth val="0"/>
          <c:extLst>
            <c:ext xmlns:c16="http://schemas.microsoft.com/office/drawing/2014/chart" uri="{C3380CC4-5D6E-409C-BE32-E72D297353CC}">
              <c16:uniqueId val="{00000000-0163-43FC-B848-65DD2EB8BD5E}"/>
            </c:ext>
          </c:extLst>
        </c:ser>
        <c:ser>
          <c:idx val="1"/>
          <c:order val="1"/>
          <c:tx>
            <c:strRef>
              <c:f>'Datos COM'!$H$4</c:f>
              <c:strCache>
                <c:ptCount val="1"/>
                <c:pt idx="0">
                  <c:v>Serie de Tendencia-Ciclo</c:v>
                </c:pt>
              </c:strCache>
            </c:strRef>
          </c:tx>
          <c:spPr>
            <a:ln w="12700">
              <a:solidFill>
                <a:srgbClr val="C00000"/>
              </a:solidFill>
            </a:ln>
          </c:spPr>
          <c:marker>
            <c:symbol val="none"/>
          </c:marker>
          <c:cat>
            <c:multiLvlStrRef>
              <c:f>'Datos COM'!$A$77:$B$148</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 COM'!$H$77:$H$148</c:f>
              <c:numCache>
                <c:formatCode>0.0_)</c:formatCode>
                <c:ptCount val="63"/>
                <c:pt idx="0">
                  <c:v>62.056390017345798</c:v>
                </c:pt>
                <c:pt idx="1">
                  <c:v>62.223439055645599</c:v>
                </c:pt>
                <c:pt idx="2">
                  <c:v>62.3072634107155</c:v>
                </c:pt>
                <c:pt idx="3">
                  <c:v>62.304701121368502</c:v>
                </c:pt>
                <c:pt idx="4">
                  <c:v>62.260483816721298</c:v>
                </c:pt>
                <c:pt idx="5">
                  <c:v>62.194703611775303</c:v>
                </c:pt>
                <c:pt idx="6">
                  <c:v>62.119869771632601</c:v>
                </c:pt>
                <c:pt idx="7">
                  <c:v>62.027586143892599</c:v>
                </c:pt>
                <c:pt idx="8">
                  <c:v>61.926833811730503</c:v>
                </c:pt>
                <c:pt idx="9">
                  <c:v>61.832765417171501</c:v>
                </c:pt>
                <c:pt idx="10">
                  <c:v>61.751593059572897</c:v>
                </c:pt>
                <c:pt idx="11">
                  <c:v>61.676658648683699</c:v>
                </c:pt>
                <c:pt idx="12">
                  <c:v>61.603872905237097</c:v>
                </c:pt>
                <c:pt idx="13">
                  <c:v>61.556287567194602</c:v>
                </c:pt>
                <c:pt idx="14">
                  <c:v>61.528316853147302</c:v>
                </c:pt>
                <c:pt idx="15">
                  <c:v>53.978460020957399</c:v>
                </c:pt>
                <c:pt idx="16">
                  <c:v>54.0006102726881</c:v>
                </c:pt>
                <c:pt idx="17">
                  <c:v>54.063323809769201</c:v>
                </c:pt>
                <c:pt idx="18">
                  <c:v>54.186415248214402</c:v>
                </c:pt>
                <c:pt idx="19">
                  <c:v>54.363796850853397</c:v>
                </c:pt>
                <c:pt idx="20">
                  <c:v>54.5538105440612</c:v>
                </c:pt>
                <c:pt idx="21">
                  <c:v>54.737344478505399</c:v>
                </c:pt>
                <c:pt idx="22">
                  <c:v>54.892780967783203</c:v>
                </c:pt>
                <c:pt idx="23">
                  <c:v>55.011292498265597</c:v>
                </c:pt>
                <c:pt idx="24">
                  <c:v>55.097019957282598</c:v>
                </c:pt>
                <c:pt idx="25">
                  <c:v>55.1340712412117</c:v>
                </c:pt>
                <c:pt idx="26">
                  <c:v>55.136753058089703</c:v>
                </c:pt>
                <c:pt idx="27">
                  <c:v>55.108584984406598</c:v>
                </c:pt>
                <c:pt idx="28">
                  <c:v>55.044741694378303</c:v>
                </c:pt>
                <c:pt idx="29">
                  <c:v>54.920997510067103</c:v>
                </c:pt>
                <c:pt idx="30">
                  <c:v>54.727393673782501</c:v>
                </c:pt>
                <c:pt idx="31">
                  <c:v>54.469162009933001</c:v>
                </c:pt>
                <c:pt idx="32">
                  <c:v>54.186034693287198</c:v>
                </c:pt>
                <c:pt idx="33">
                  <c:v>53.912676481433998</c:v>
                </c:pt>
                <c:pt idx="34">
                  <c:v>53.693834237442601</c:v>
                </c:pt>
                <c:pt idx="35">
                  <c:v>53.577870081817203</c:v>
                </c:pt>
                <c:pt idx="36">
                  <c:v>53.586787110810903</c:v>
                </c:pt>
                <c:pt idx="37">
                  <c:v>53.707903930977302</c:v>
                </c:pt>
                <c:pt idx="38">
                  <c:v>53.902908165781199</c:v>
                </c:pt>
                <c:pt idx="39">
                  <c:v>54.164582081598198</c:v>
                </c:pt>
                <c:pt idx="40">
                  <c:v>54.482796094220298</c:v>
                </c:pt>
                <c:pt idx="41">
                  <c:v>54.839544344344397</c:v>
                </c:pt>
                <c:pt idx="42">
                  <c:v>55.206434485820502</c:v>
                </c:pt>
                <c:pt idx="43">
                  <c:v>55.545700859138201</c:v>
                </c:pt>
                <c:pt idx="44">
                  <c:v>55.835494381258798</c:v>
                </c:pt>
                <c:pt idx="45">
                  <c:v>56.057387565251098</c:v>
                </c:pt>
                <c:pt idx="46">
                  <c:v>56.174009780645797</c:v>
                </c:pt>
                <c:pt idx="47">
                  <c:v>56.169528388504801</c:v>
                </c:pt>
                <c:pt idx="48">
                  <c:v>56.044359767918799</c:v>
                </c:pt>
                <c:pt idx="49">
                  <c:v>55.819478114892902</c:v>
                </c:pt>
                <c:pt idx="50">
                  <c:v>55.5281211392901</c:v>
                </c:pt>
                <c:pt idx="51">
                  <c:v>55.176112320290699</c:v>
                </c:pt>
                <c:pt idx="52">
                  <c:v>54.7705085627302</c:v>
                </c:pt>
                <c:pt idx="53">
                  <c:v>54.330769978572697</c:v>
                </c:pt>
                <c:pt idx="54">
                  <c:v>53.871540917125401</c:v>
                </c:pt>
                <c:pt idx="55">
                  <c:v>53.432165336781303</c:v>
                </c:pt>
                <c:pt idx="56">
                  <c:v>53.058915661024997</c:v>
                </c:pt>
                <c:pt idx="57">
                  <c:v>52.783067727360198</c:v>
                </c:pt>
                <c:pt idx="58">
                  <c:v>52.628605795842297</c:v>
                </c:pt>
                <c:pt idx="59">
                  <c:v>52.586725623132402</c:v>
                </c:pt>
                <c:pt idx="60">
                  <c:v>52.627444142453101</c:v>
                </c:pt>
                <c:pt idx="61">
                  <c:v>52.725166609909401</c:v>
                </c:pt>
                <c:pt idx="62">
                  <c:v>52.869134738911903</c:v>
                </c:pt>
              </c:numCache>
            </c:numRef>
          </c:val>
          <c:smooth val="0"/>
          <c:extLst>
            <c:ext xmlns:c16="http://schemas.microsoft.com/office/drawing/2014/chart" uri="{C3380CC4-5D6E-409C-BE32-E72D297353CC}">
              <c16:uniqueId val="{00000001-0163-43FC-B848-65DD2EB8BD5E}"/>
            </c:ext>
          </c:extLst>
        </c:ser>
        <c:dLbls>
          <c:showLegendKey val="0"/>
          <c:showVal val="0"/>
          <c:showCatName val="0"/>
          <c:showSerName val="0"/>
          <c:showPercent val="0"/>
          <c:showBubbleSize val="0"/>
        </c:dLbls>
        <c:smooth val="0"/>
        <c:axId val="439970768"/>
        <c:axId val="439964888"/>
      </c:lineChart>
      <c:catAx>
        <c:axId val="43997076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39964888"/>
        <c:crossesAt val="50"/>
        <c:auto val="1"/>
        <c:lblAlgn val="ctr"/>
        <c:lblOffset val="50"/>
        <c:tickLblSkip val="1"/>
        <c:tickMarkSkip val="12"/>
        <c:noMultiLvlLbl val="1"/>
      </c:catAx>
      <c:valAx>
        <c:axId val="439964888"/>
        <c:scaling>
          <c:orientation val="minMax"/>
          <c:max val="78"/>
          <c:min val="3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39970768"/>
        <c:crosses val="autoZero"/>
        <c:crossBetween val="between"/>
        <c:majorUnit val="7"/>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Compras</a:t>
            </a:r>
            <a:r>
              <a:rPr lang="es-MX" sz="700" baseline="0"/>
              <a:t> netas</a:t>
            </a:r>
            <a:endParaRPr lang="es-MX" sz="700"/>
          </a:p>
        </c:rich>
      </c:tx>
      <c:layout>
        <c:manualLayout>
          <c:xMode val="edge"/>
          <c:yMode val="edge"/>
          <c:x val="0.4042567649259956"/>
          <c:y val="1.0854772413270351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COM'!$I$4</c:f>
              <c:strCache>
                <c:ptCount val="1"/>
                <c:pt idx="0">
                  <c:v>Serie Desestacionalizada</c:v>
                </c:pt>
              </c:strCache>
            </c:strRef>
          </c:tx>
          <c:spPr>
            <a:ln w="15875">
              <a:solidFill>
                <a:srgbClr val="3D6AA1"/>
              </a:solidFill>
            </a:ln>
          </c:spPr>
          <c:marker>
            <c:symbol val="none"/>
          </c:marker>
          <c:cat>
            <c:multiLvlStrRef>
              <c:f>'Datos COM'!$A$77:$B$148</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 COM'!$I$77:$I$148</c:f>
              <c:numCache>
                <c:formatCode>0.0_)</c:formatCode>
                <c:ptCount val="63"/>
                <c:pt idx="0">
                  <c:v>54.670326182919801</c:v>
                </c:pt>
                <c:pt idx="1">
                  <c:v>57.558259471194297</c:v>
                </c:pt>
                <c:pt idx="2">
                  <c:v>57.790240620496299</c:v>
                </c:pt>
                <c:pt idx="3">
                  <c:v>56.344150707584603</c:v>
                </c:pt>
                <c:pt idx="4">
                  <c:v>57.729930008451397</c:v>
                </c:pt>
                <c:pt idx="5">
                  <c:v>56.778031295689502</c:v>
                </c:pt>
                <c:pt idx="6">
                  <c:v>55.3325869750404</c:v>
                </c:pt>
                <c:pt idx="7">
                  <c:v>56.100238576212199</c:v>
                </c:pt>
                <c:pt idx="8">
                  <c:v>56.725890493486702</c:v>
                </c:pt>
                <c:pt idx="9">
                  <c:v>55.633409832547002</c:v>
                </c:pt>
                <c:pt idx="10">
                  <c:v>57.126060187118199</c:v>
                </c:pt>
                <c:pt idx="11">
                  <c:v>56.255275038706898</c:v>
                </c:pt>
                <c:pt idx="12">
                  <c:v>52.076435664522897</c:v>
                </c:pt>
                <c:pt idx="13">
                  <c:v>55.781269797446001</c:v>
                </c:pt>
                <c:pt idx="14">
                  <c:v>58.521136737167602</c:v>
                </c:pt>
                <c:pt idx="15">
                  <c:v>50.697258247883099</c:v>
                </c:pt>
                <c:pt idx="16">
                  <c:v>53.2915422666388</c:v>
                </c:pt>
                <c:pt idx="17">
                  <c:v>54.746209784006602</c:v>
                </c:pt>
                <c:pt idx="18">
                  <c:v>53.964276669664898</c:v>
                </c:pt>
                <c:pt idx="19">
                  <c:v>56.121257450337602</c:v>
                </c:pt>
                <c:pt idx="20">
                  <c:v>55.573650344744202</c:v>
                </c:pt>
                <c:pt idx="21">
                  <c:v>53.233290081986198</c:v>
                </c:pt>
                <c:pt idx="22">
                  <c:v>54.686404631731698</c:v>
                </c:pt>
                <c:pt idx="23">
                  <c:v>54.3622728789462</c:v>
                </c:pt>
                <c:pt idx="24">
                  <c:v>53.720092338569998</c:v>
                </c:pt>
                <c:pt idx="25">
                  <c:v>52.835668091148698</c:v>
                </c:pt>
                <c:pt idx="26">
                  <c:v>52.547912073226499</c:v>
                </c:pt>
                <c:pt idx="27">
                  <c:v>56.2255028236291</c:v>
                </c:pt>
                <c:pt idx="28">
                  <c:v>54.366006727512499</c:v>
                </c:pt>
                <c:pt idx="29">
                  <c:v>50.059623994871302</c:v>
                </c:pt>
                <c:pt idx="30">
                  <c:v>54.840849138026101</c:v>
                </c:pt>
                <c:pt idx="31">
                  <c:v>53.994663953225199</c:v>
                </c:pt>
                <c:pt idx="32">
                  <c:v>52.795354479866504</c:v>
                </c:pt>
                <c:pt idx="33">
                  <c:v>54.600311712651099</c:v>
                </c:pt>
                <c:pt idx="34">
                  <c:v>52.5037078964831</c:v>
                </c:pt>
                <c:pt idx="35">
                  <c:v>52.271928368893299</c:v>
                </c:pt>
                <c:pt idx="36">
                  <c:v>53.640744049790101</c:v>
                </c:pt>
                <c:pt idx="37">
                  <c:v>51.201576009017103</c:v>
                </c:pt>
                <c:pt idx="38">
                  <c:v>52.112287090020899</c:v>
                </c:pt>
                <c:pt idx="39">
                  <c:v>31.4166159175779</c:v>
                </c:pt>
                <c:pt idx="40">
                  <c:v>43.010937885025903</c:v>
                </c:pt>
                <c:pt idx="41">
                  <c:v>52.601252673912903</c:v>
                </c:pt>
                <c:pt idx="42">
                  <c:v>53.8100984264183</c:v>
                </c:pt>
                <c:pt idx="43">
                  <c:v>51.641429813189397</c:v>
                </c:pt>
                <c:pt idx="44">
                  <c:v>51.4420626947526</c:v>
                </c:pt>
                <c:pt idx="45">
                  <c:v>53.629032152363699</c:v>
                </c:pt>
                <c:pt idx="46">
                  <c:v>51.610804631167497</c:v>
                </c:pt>
                <c:pt idx="47">
                  <c:v>53.2402465775343</c:v>
                </c:pt>
                <c:pt idx="48">
                  <c:v>53.307898680795802</c:v>
                </c:pt>
                <c:pt idx="49">
                  <c:v>55.158255486573601</c:v>
                </c:pt>
                <c:pt idx="50">
                  <c:v>54.797316129416998</c:v>
                </c:pt>
                <c:pt idx="51">
                  <c:v>50.612788663968303</c:v>
                </c:pt>
                <c:pt idx="52">
                  <c:v>54.075836826689397</c:v>
                </c:pt>
                <c:pt idx="53">
                  <c:v>53.796106548307897</c:v>
                </c:pt>
                <c:pt idx="54">
                  <c:v>51.616029043999703</c:v>
                </c:pt>
                <c:pt idx="55">
                  <c:v>52.561121408852898</c:v>
                </c:pt>
                <c:pt idx="56">
                  <c:v>54.406457829072401</c:v>
                </c:pt>
                <c:pt idx="57">
                  <c:v>52.442073021260398</c:v>
                </c:pt>
                <c:pt idx="58">
                  <c:v>54.162553579671098</c:v>
                </c:pt>
                <c:pt idx="59">
                  <c:v>53.389379110694797</c:v>
                </c:pt>
                <c:pt idx="60">
                  <c:v>52.663303169856</c:v>
                </c:pt>
                <c:pt idx="61">
                  <c:v>52.655322363207297</c:v>
                </c:pt>
                <c:pt idx="62">
                  <c:v>53.691101727085098</c:v>
                </c:pt>
              </c:numCache>
            </c:numRef>
          </c:val>
          <c:smooth val="0"/>
          <c:extLst>
            <c:ext xmlns:c16="http://schemas.microsoft.com/office/drawing/2014/chart" uri="{C3380CC4-5D6E-409C-BE32-E72D297353CC}">
              <c16:uniqueId val="{00000000-3936-460B-8220-91BD475EDECC}"/>
            </c:ext>
          </c:extLst>
        </c:ser>
        <c:ser>
          <c:idx val="1"/>
          <c:order val="1"/>
          <c:tx>
            <c:strRef>
              <c:f>'Datos COM'!$J$4</c:f>
              <c:strCache>
                <c:ptCount val="1"/>
                <c:pt idx="0">
                  <c:v>Serie de Tendencia-Ciclo</c:v>
                </c:pt>
              </c:strCache>
            </c:strRef>
          </c:tx>
          <c:spPr>
            <a:ln w="12700">
              <a:solidFill>
                <a:srgbClr val="C00000"/>
              </a:solidFill>
            </a:ln>
          </c:spPr>
          <c:marker>
            <c:symbol val="none"/>
          </c:marker>
          <c:cat>
            <c:multiLvlStrRef>
              <c:f>'Datos COM'!$A$77:$B$148</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 COM'!$J$77:$J$148</c:f>
              <c:numCache>
                <c:formatCode>0.0_)</c:formatCode>
                <c:ptCount val="63"/>
                <c:pt idx="0">
                  <c:v>57.070923098564997</c:v>
                </c:pt>
                <c:pt idx="1">
                  <c:v>56.994255671356697</c:v>
                </c:pt>
                <c:pt idx="2">
                  <c:v>56.914858765669898</c:v>
                </c:pt>
                <c:pt idx="3">
                  <c:v>56.8338266178136</c:v>
                </c:pt>
                <c:pt idx="4">
                  <c:v>56.748656745373196</c:v>
                </c:pt>
                <c:pt idx="5">
                  <c:v>56.665226753830801</c:v>
                </c:pt>
                <c:pt idx="6">
                  <c:v>56.579480197000599</c:v>
                </c:pt>
                <c:pt idx="7">
                  <c:v>56.481031067934303</c:v>
                </c:pt>
                <c:pt idx="8">
                  <c:v>56.354904657149902</c:v>
                </c:pt>
                <c:pt idx="9">
                  <c:v>56.191545962135002</c:v>
                </c:pt>
                <c:pt idx="10">
                  <c:v>55.998661771212198</c:v>
                </c:pt>
                <c:pt idx="11">
                  <c:v>55.786880795695303</c:v>
                </c:pt>
                <c:pt idx="12">
                  <c:v>55.567733926558702</c:v>
                </c:pt>
                <c:pt idx="13">
                  <c:v>55.354420186576597</c:v>
                </c:pt>
                <c:pt idx="14">
                  <c:v>55.153513780869403</c:v>
                </c:pt>
                <c:pt idx="15">
                  <c:v>54.979334220980398</c:v>
                </c:pt>
                <c:pt idx="16">
                  <c:v>54.834535510073998</c:v>
                </c:pt>
                <c:pt idx="17">
                  <c:v>54.708221908845204</c:v>
                </c:pt>
                <c:pt idx="18">
                  <c:v>54.598420653841302</c:v>
                </c:pt>
                <c:pt idx="19">
                  <c:v>54.492797310354803</c:v>
                </c:pt>
                <c:pt idx="20">
                  <c:v>54.377769845649503</c:v>
                </c:pt>
                <c:pt idx="21">
                  <c:v>54.254610083584197</c:v>
                </c:pt>
                <c:pt idx="22">
                  <c:v>54.122750223476899</c:v>
                </c:pt>
                <c:pt idx="23">
                  <c:v>53.990669293119197</c:v>
                </c:pt>
                <c:pt idx="24">
                  <c:v>53.878892927706701</c:v>
                </c:pt>
                <c:pt idx="25">
                  <c:v>53.794581252561301</c:v>
                </c:pt>
                <c:pt idx="26">
                  <c:v>53.747351175858</c:v>
                </c:pt>
                <c:pt idx="27">
                  <c:v>53.739236843618897</c:v>
                </c:pt>
                <c:pt idx="28">
                  <c:v>53.755345492061402</c:v>
                </c:pt>
                <c:pt idx="29">
                  <c:v>53.771121467660997</c:v>
                </c:pt>
                <c:pt idx="30">
                  <c:v>53.753442972398901</c:v>
                </c:pt>
                <c:pt idx="31">
                  <c:v>53.675993230868301</c:v>
                </c:pt>
                <c:pt idx="32">
                  <c:v>53.533968920381099</c:v>
                </c:pt>
                <c:pt idx="33">
                  <c:v>53.349454859969804</c:v>
                </c:pt>
                <c:pt idx="34">
                  <c:v>53.139256333975801</c:v>
                </c:pt>
                <c:pt idx="35">
                  <c:v>52.923663352615399</c:v>
                </c:pt>
                <c:pt idx="36">
                  <c:v>52.726914141003</c:v>
                </c:pt>
                <c:pt idx="37">
                  <c:v>52.569127913013197</c:v>
                </c:pt>
                <c:pt idx="38">
                  <c:v>52.453379399051698</c:v>
                </c:pt>
                <c:pt idx="39">
                  <c:v>52.375123357827</c:v>
                </c:pt>
                <c:pt idx="40">
                  <c:v>52.334676843337903</c:v>
                </c:pt>
                <c:pt idx="41">
                  <c:v>52.336577638664401</c:v>
                </c:pt>
                <c:pt idx="42">
                  <c:v>52.386327994646898</c:v>
                </c:pt>
                <c:pt idx="43">
                  <c:v>52.491941873350498</c:v>
                </c:pt>
                <c:pt idx="44">
                  <c:v>52.656594603051197</c:v>
                </c:pt>
                <c:pt idx="45">
                  <c:v>52.859666687381697</c:v>
                </c:pt>
                <c:pt idx="46">
                  <c:v>53.080094596309998</c:v>
                </c:pt>
                <c:pt idx="47">
                  <c:v>53.297669434761097</c:v>
                </c:pt>
                <c:pt idx="48">
                  <c:v>53.4874303226254</c:v>
                </c:pt>
                <c:pt idx="49">
                  <c:v>53.634138416987298</c:v>
                </c:pt>
                <c:pt idx="50">
                  <c:v>53.733158947610399</c:v>
                </c:pt>
                <c:pt idx="51">
                  <c:v>53.767260333151299</c:v>
                </c:pt>
                <c:pt idx="52">
                  <c:v>53.733897048514898</c:v>
                </c:pt>
                <c:pt idx="53">
                  <c:v>53.6476045527846</c:v>
                </c:pt>
                <c:pt idx="54">
                  <c:v>53.526823013106203</c:v>
                </c:pt>
                <c:pt idx="55">
                  <c:v>53.395940225222297</c:v>
                </c:pt>
                <c:pt idx="56">
                  <c:v>53.280901180789797</c:v>
                </c:pt>
                <c:pt idx="57">
                  <c:v>53.1929215763546</c:v>
                </c:pt>
                <c:pt idx="58">
                  <c:v>53.136180958764598</c:v>
                </c:pt>
                <c:pt idx="59">
                  <c:v>53.112949112685797</c:v>
                </c:pt>
                <c:pt idx="60">
                  <c:v>53.107240141902501</c:v>
                </c:pt>
                <c:pt idx="61">
                  <c:v>53.105503146369699</c:v>
                </c:pt>
                <c:pt idx="62">
                  <c:v>53.098100257820199</c:v>
                </c:pt>
              </c:numCache>
            </c:numRef>
          </c:val>
          <c:smooth val="0"/>
          <c:extLst>
            <c:ext xmlns:c16="http://schemas.microsoft.com/office/drawing/2014/chart" uri="{C3380CC4-5D6E-409C-BE32-E72D297353CC}">
              <c16:uniqueId val="{00000001-3936-460B-8220-91BD475EDECC}"/>
            </c:ext>
          </c:extLst>
        </c:ser>
        <c:dLbls>
          <c:showLegendKey val="0"/>
          <c:showVal val="0"/>
          <c:showCatName val="0"/>
          <c:showSerName val="0"/>
          <c:showPercent val="0"/>
          <c:showBubbleSize val="0"/>
        </c:dLbls>
        <c:smooth val="0"/>
        <c:axId val="439965280"/>
        <c:axId val="439966064"/>
      </c:lineChart>
      <c:catAx>
        <c:axId val="43996528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39966064"/>
        <c:crossesAt val="50"/>
        <c:auto val="1"/>
        <c:lblAlgn val="ctr"/>
        <c:lblOffset val="50"/>
        <c:tickLblSkip val="1"/>
        <c:tickMarkSkip val="12"/>
        <c:noMultiLvlLbl val="1"/>
      </c:catAx>
      <c:valAx>
        <c:axId val="439966064"/>
        <c:scaling>
          <c:orientation val="minMax"/>
          <c:max val="63"/>
          <c:min val="3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39965280"/>
        <c:crosses val="autoZero"/>
        <c:crossBetween val="between"/>
        <c:majorUnit val="10"/>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Inventarios</a:t>
            </a:r>
            <a:r>
              <a:rPr lang="es-MX" sz="700" baseline="0"/>
              <a:t> de mercancías</a:t>
            </a:r>
            <a:endParaRPr lang="es-MX" sz="700"/>
          </a:p>
        </c:rich>
      </c:tx>
      <c:layout>
        <c:manualLayout>
          <c:xMode val="edge"/>
          <c:yMode val="edge"/>
          <c:x val="0.34596393278897064"/>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COM'!$K$4</c:f>
              <c:strCache>
                <c:ptCount val="1"/>
                <c:pt idx="0">
                  <c:v>Serie Desestacionalizada</c:v>
                </c:pt>
              </c:strCache>
            </c:strRef>
          </c:tx>
          <c:spPr>
            <a:ln w="15875">
              <a:solidFill>
                <a:srgbClr val="3D6AA1"/>
              </a:solidFill>
            </a:ln>
          </c:spPr>
          <c:marker>
            <c:symbol val="none"/>
          </c:marker>
          <c:cat>
            <c:multiLvlStrRef>
              <c:f>'Datos COM'!$A$77:$B$148</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 COM'!$K$77:$K$148</c:f>
              <c:numCache>
                <c:formatCode>0.0_)</c:formatCode>
                <c:ptCount val="63"/>
                <c:pt idx="0">
                  <c:v>52.743428835192397</c:v>
                </c:pt>
                <c:pt idx="1">
                  <c:v>53.271256393387802</c:v>
                </c:pt>
                <c:pt idx="2">
                  <c:v>53.439859849927402</c:v>
                </c:pt>
                <c:pt idx="3">
                  <c:v>52.632015135513498</c:v>
                </c:pt>
                <c:pt idx="4">
                  <c:v>53.160926841916101</c:v>
                </c:pt>
                <c:pt idx="5">
                  <c:v>54.235082411681098</c:v>
                </c:pt>
                <c:pt idx="6">
                  <c:v>52.283627678639697</c:v>
                </c:pt>
                <c:pt idx="7">
                  <c:v>50.603661852273099</c:v>
                </c:pt>
                <c:pt idx="8">
                  <c:v>54.363646708071599</c:v>
                </c:pt>
                <c:pt idx="9">
                  <c:v>55.401772575728899</c:v>
                </c:pt>
                <c:pt idx="10">
                  <c:v>54.977503889911297</c:v>
                </c:pt>
                <c:pt idx="11">
                  <c:v>52.7158249732448</c:v>
                </c:pt>
                <c:pt idx="12">
                  <c:v>50.2297772385946</c:v>
                </c:pt>
                <c:pt idx="13">
                  <c:v>61.472852061099601</c:v>
                </c:pt>
                <c:pt idx="14">
                  <c:v>54.491001717068698</c:v>
                </c:pt>
                <c:pt idx="15">
                  <c:v>55.679710378670499</c:v>
                </c:pt>
                <c:pt idx="16">
                  <c:v>53.703569570334501</c:v>
                </c:pt>
                <c:pt idx="17">
                  <c:v>55.499323389346699</c:v>
                </c:pt>
                <c:pt idx="18">
                  <c:v>53.782983941961398</c:v>
                </c:pt>
                <c:pt idx="19">
                  <c:v>55.226829687897599</c:v>
                </c:pt>
                <c:pt idx="20">
                  <c:v>54.482857811512901</c:v>
                </c:pt>
                <c:pt idx="21">
                  <c:v>53.627933166430303</c:v>
                </c:pt>
                <c:pt idx="22">
                  <c:v>53.222620341503102</c:v>
                </c:pt>
                <c:pt idx="23">
                  <c:v>58.077421289841602</c:v>
                </c:pt>
                <c:pt idx="24">
                  <c:v>52.493362973151598</c:v>
                </c:pt>
                <c:pt idx="25">
                  <c:v>51.450014632808298</c:v>
                </c:pt>
                <c:pt idx="26">
                  <c:v>53.161371496932198</c:v>
                </c:pt>
                <c:pt idx="27">
                  <c:v>53.5058961359954</c:v>
                </c:pt>
                <c:pt idx="28">
                  <c:v>53.265515488323103</c:v>
                </c:pt>
                <c:pt idx="29">
                  <c:v>51.939068817852998</c:v>
                </c:pt>
                <c:pt idx="30">
                  <c:v>51.931385980378302</c:v>
                </c:pt>
                <c:pt idx="31">
                  <c:v>50.808619314804503</c:v>
                </c:pt>
                <c:pt idx="32">
                  <c:v>51.343475621355402</c:v>
                </c:pt>
                <c:pt idx="33">
                  <c:v>52.343616244678302</c:v>
                </c:pt>
                <c:pt idx="34">
                  <c:v>51.920162171421197</c:v>
                </c:pt>
                <c:pt idx="35">
                  <c:v>48.978132656506801</c:v>
                </c:pt>
                <c:pt idx="36">
                  <c:v>51.4641959786928</c:v>
                </c:pt>
                <c:pt idx="37">
                  <c:v>50.379077163613999</c:v>
                </c:pt>
                <c:pt idx="38">
                  <c:v>48.688749110388798</c:v>
                </c:pt>
                <c:pt idx="39">
                  <c:v>44.187048170942198</c:v>
                </c:pt>
                <c:pt idx="40">
                  <c:v>44.084821840745001</c:v>
                </c:pt>
                <c:pt idx="41">
                  <c:v>51.722231904332901</c:v>
                </c:pt>
                <c:pt idx="42">
                  <c:v>52.123018058575802</c:v>
                </c:pt>
                <c:pt idx="43">
                  <c:v>45.450193259003598</c:v>
                </c:pt>
                <c:pt idx="44">
                  <c:v>51.3935889962613</c:v>
                </c:pt>
                <c:pt idx="45">
                  <c:v>51.399827015295799</c:v>
                </c:pt>
                <c:pt idx="46">
                  <c:v>50.533543849414201</c:v>
                </c:pt>
                <c:pt idx="47">
                  <c:v>52.489143676141403</c:v>
                </c:pt>
                <c:pt idx="48">
                  <c:v>52.299860536461999</c:v>
                </c:pt>
                <c:pt idx="49">
                  <c:v>52.894906640121299</c:v>
                </c:pt>
                <c:pt idx="50">
                  <c:v>51.396913940467599</c:v>
                </c:pt>
                <c:pt idx="51">
                  <c:v>51.3251600636139</c:v>
                </c:pt>
                <c:pt idx="52">
                  <c:v>51.581289043610298</c:v>
                </c:pt>
                <c:pt idx="53">
                  <c:v>50.327737786744997</c:v>
                </c:pt>
                <c:pt idx="54">
                  <c:v>52.0470895262062</c:v>
                </c:pt>
                <c:pt idx="55">
                  <c:v>52.2759524307831</c:v>
                </c:pt>
                <c:pt idx="56">
                  <c:v>51.883846272655902</c:v>
                </c:pt>
                <c:pt idx="57">
                  <c:v>51.856415931801699</c:v>
                </c:pt>
                <c:pt idx="58">
                  <c:v>52.169263372958802</c:v>
                </c:pt>
                <c:pt idx="59">
                  <c:v>53.077387741807598</c:v>
                </c:pt>
                <c:pt idx="60">
                  <c:v>50.282662828337898</c:v>
                </c:pt>
                <c:pt idx="61">
                  <c:v>53.834019324630702</c:v>
                </c:pt>
                <c:pt idx="62">
                  <c:v>54.263193174316598</c:v>
                </c:pt>
              </c:numCache>
            </c:numRef>
          </c:val>
          <c:smooth val="0"/>
          <c:extLst>
            <c:ext xmlns:c16="http://schemas.microsoft.com/office/drawing/2014/chart" uri="{C3380CC4-5D6E-409C-BE32-E72D297353CC}">
              <c16:uniqueId val="{00000000-F3BF-47F3-9B9A-7BAE56634588}"/>
            </c:ext>
          </c:extLst>
        </c:ser>
        <c:ser>
          <c:idx val="1"/>
          <c:order val="1"/>
          <c:tx>
            <c:strRef>
              <c:f>'Datos COM'!$L$4</c:f>
              <c:strCache>
                <c:ptCount val="1"/>
                <c:pt idx="0">
                  <c:v>Serie de Tendencia-Ciclo</c:v>
                </c:pt>
              </c:strCache>
            </c:strRef>
          </c:tx>
          <c:spPr>
            <a:ln w="12700">
              <a:solidFill>
                <a:srgbClr val="C00000"/>
              </a:solidFill>
            </a:ln>
          </c:spPr>
          <c:marker>
            <c:symbol val="none"/>
          </c:marker>
          <c:cat>
            <c:multiLvlStrRef>
              <c:f>'Datos COM'!$A$77:$B$148</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 COM'!$L$77:$L$148</c:f>
              <c:numCache>
                <c:formatCode>0.0_)</c:formatCode>
                <c:ptCount val="63"/>
                <c:pt idx="0">
                  <c:v>53.413102957736598</c:v>
                </c:pt>
                <c:pt idx="1">
                  <c:v>53.347117505740599</c:v>
                </c:pt>
                <c:pt idx="2">
                  <c:v>53.309929774650897</c:v>
                </c:pt>
                <c:pt idx="3">
                  <c:v>53.312582801492198</c:v>
                </c:pt>
                <c:pt idx="4">
                  <c:v>53.346051358703903</c:v>
                </c:pt>
                <c:pt idx="5">
                  <c:v>53.410072142548202</c:v>
                </c:pt>
                <c:pt idx="6">
                  <c:v>53.501319284525103</c:v>
                </c:pt>
                <c:pt idx="7">
                  <c:v>53.6148971335626</c:v>
                </c:pt>
                <c:pt idx="8">
                  <c:v>53.738819078952702</c:v>
                </c:pt>
                <c:pt idx="9">
                  <c:v>53.8611319503826</c:v>
                </c:pt>
                <c:pt idx="10">
                  <c:v>53.981797042533799</c:v>
                </c:pt>
                <c:pt idx="11">
                  <c:v>54.099450849714998</c:v>
                </c:pt>
                <c:pt idx="12">
                  <c:v>54.214286394554598</c:v>
                </c:pt>
                <c:pt idx="13">
                  <c:v>54.329021368146002</c:v>
                </c:pt>
                <c:pt idx="14">
                  <c:v>54.4335746309009</c:v>
                </c:pt>
                <c:pt idx="15">
                  <c:v>54.511598214783803</c:v>
                </c:pt>
                <c:pt idx="16">
                  <c:v>54.5439333560089</c:v>
                </c:pt>
                <c:pt idx="17">
                  <c:v>54.513144463108503</c:v>
                </c:pt>
                <c:pt idx="18">
                  <c:v>54.419360330357598</c:v>
                </c:pt>
                <c:pt idx="19">
                  <c:v>54.272491317556501</c:v>
                </c:pt>
                <c:pt idx="20">
                  <c:v>54.079930355883498</c:v>
                </c:pt>
                <c:pt idx="21">
                  <c:v>53.853634792271897</c:v>
                </c:pt>
                <c:pt idx="22">
                  <c:v>53.606839244606398</c:v>
                </c:pt>
                <c:pt idx="23">
                  <c:v>53.358382479951402</c:v>
                </c:pt>
                <c:pt idx="24">
                  <c:v>53.130892282655203</c:v>
                </c:pt>
                <c:pt idx="25">
                  <c:v>52.9251818967955</c:v>
                </c:pt>
                <c:pt idx="26">
                  <c:v>52.742702732117003</c:v>
                </c:pt>
                <c:pt idx="27">
                  <c:v>52.573751351000702</c:v>
                </c:pt>
                <c:pt idx="28">
                  <c:v>52.411534904447699</c:v>
                </c:pt>
                <c:pt idx="29">
                  <c:v>52.247626310283501</c:v>
                </c:pt>
                <c:pt idx="30">
                  <c:v>52.0661049139607</c:v>
                </c:pt>
                <c:pt idx="31">
                  <c:v>51.864987458140099</c:v>
                </c:pt>
                <c:pt idx="32">
                  <c:v>51.6482307633582</c:v>
                </c:pt>
                <c:pt idx="33">
                  <c:v>51.439775938428497</c:v>
                </c:pt>
                <c:pt idx="34">
                  <c:v>51.264810616620899</c:v>
                </c:pt>
                <c:pt idx="35">
                  <c:v>51.144253703065097</c:v>
                </c:pt>
                <c:pt idx="36">
                  <c:v>51.081564899696602</c:v>
                </c:pt>
                <c:pt idx="37">
                  <c:v>51.070636328646401</c:v>
                </c:pt>
                <c:pt idx="38">
                  <c:v>51.094963765312301</c:v>
                </c:pt>
                <c:pt idx="39">
                  <c:v>51.144646083031098</c:v>
                </c:pt>
                <c:pt idx="40">
                  <c:v>51.218626279805299</c:v>
                </c:pt>
                <c:pt idx="41">
                  <c:v>51.317487280914797</c:v>
                </c:pt>
                <c:pt idx="42">
                  <c:v>51.442490400739601</c:v>
                </c:pt>
                <c:pt idx="43">
                  <c:v>51.576980682683498</c:v>
                </c:pt>
                <c:pt idx="44">
                  <c:v>51.698723066141099</c:v>
                </c:pt>
                <c:pt idx="45">
                  <c:v>51.785648388166301</c:v>
                </c:pt>
                <c:pt idx="46">
                  <c:v>51.829099914013902</c:v>
                </c:pt>
                <c:pt idx="47">
                  <c:v>51.835085013752703</c:v>
                </c:pt>
                <c:pt idx="48">
                  <c:v>51.811412710664698</c:v>
                </c:pt>
                <c:pt idx="49">
                  <c:v>51.768561833087197</c:v>
                </c:pt>
                <c:pt idx="50">
                  <c:v>51.719980278227801</c:v>
                </c:pt>
                <c:pt idx="51">
                  <c:v>51.677089453692901</c:v>
                </c:pt>
                <c:pt idx="52">
                  <c:v>51.655989284166502</c:v>
                </c:pt>
                <c:pt idx="53">
                  <c:v>51.672997624040299</c:v>
                </c:pt>
                <c:pt idx="54">
                  <c:v>51.743393491950599</c:v>
                </c:pt>
                <c:pt idx="55">
                  <c:v>51.873654850245103</c:v>
                </c:pt>
                <c:pt idx="56">
                  <c:v>52.058701711388899</c:v>
                </c:pt>
                <c:pt idx="57">
                  <c:v>52.278485860873701</c:v>
                </c:pt>
                <c:pt idx="58">
                  <c:v>52.502157944939697</c:v>
                </c:pt>
                <c:pt idx="59">
                  <c:v>52.694292770236601</c:v>
                </c:pt>
                <c:pt idx="60">
                  <c:v>52.823052399715898</c:v>
                </c:pt>
                <c:pt idx="61">
                  <c:v>52.878715760031902</c:v>
                </c:pt>
                <c:pt idx="62">
                  <c:v>52.864828269627502</c:v>
                </c:pt>
              </c:numCache>
            </c:numRef>
          </c:val>
          <c:smooth val="0"/>
          <c:extLst>
            <c:ext xmlns:c16="http://schemas.microsoft.com/office/drawing/2014/chart" uri="{C3380CC4-5D6E-409C-BE32-E72D297353CC}">
              <c16:uniqueId val="{00000001-F3BF-47F3-9B9A-7BAE56634588}"/>
            </c:ext>
          </c:extLst>
        </c:ser>
        <c:dLbls>
          <c:showLegendKey val="0"/>
          <c:showVal val="0"/>
          <c:showCatName val="0"/>
          <c:showSerName val="0"/>
          <c:showPercent val="0"/>
          <c:showBubbleSize val="0"/>
        </c:dLbls>
        <c:smooth val="0"/>
        <c:axId val="439968416"/>
        <c:axId val="439971160"/>
      </c:lineChart>
      <c:catAx>
        <c:axId val="43996841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39971160"/>
        <c:crossesAt val="50"/>
        <c:auto val="1"/>
        <c:lblAlgn val="ctr"/>
        <c:lblOffset val="50"/>
        <c:tickLblSkip val="1"/>
        <c:tickMarkSkip val="12"/>
        <c:noMultiLvlLbl val="1"/>
      </c:catAx>
      <c:valAx>
        <c:axId val="439971160"/>
        <c:scaling>
          <c:orientation val="minMax"/>
          <c:max val="64"/>
          <c:min val="4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39968416"/>
        <c:crosses val="autoZero"/>
        <c:crossBetween val="between"/>
        <c:majorUnit val="4"/>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a:t>
            </a:r>
            <a:r>
              <a:rPr lang="es-MX" sz="700" baseline="0"/>
              <a:t> ocupado total</a:t>
            </a:r>
            <a:endParaRPr lang="es-MX" sz="700"/>
          </a:p>
        </c:rich>
      </c:tx>
      <c:layout>
        <c:manualLayout>
          <c:xMode val="edge"/>
          <c:yMode val="edge"/>
          <c:x val="0.36929629386423707"/>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COM'!$M$4</c:f>
              <c:strCache>
                <c:ptCount val="1"/>
                <c:pt idx="0">
                  <c:v>Serie Desestacionalizada</c:v>
                </c:pt>
              </c:strCache>
            </c:strRef>
          </c:tx>
          <c:spPr>
            <a:ln w="15875">
              <a:solidFill>
                <a:srgbClr val="3D6AA1"/>
              </a:solidFill>
            </a:ln>
          </c:spPr>
          <c:marker>
            <c:symbol val="none"/>
          </c:marker>
          <c:cat>
            <c:multiLvlStrRef>
              <c:f>'Datos COM'!$A$77:$B$148</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 COM'!$M$77:$M$148</c:f>
              <c:numCache>
                <c:formatCode>0.0_)</c:formatCode>
                <c:ptCount val="63"/>
                <c:pt idx="0">
                  <c:v>59.050328628658903</c:v>
                </c:pt>
                <c:pt idx="1">
                  <c:v>59.176709644546499</c:v>
                </c:pt>
                <c:pt idx="2">
                  <c:v>56.054044268177201</c:v>
                </c:pt>
                <c:pt idx="3">
                  <c:v>58.4505023396433</c:v>
                </c:pt>
                <c:pt idx="4">
                  <c:v>58.016897479567</c:v>
                </c:pt>
                <c:pt idx="5">
                  <c:v>58.451670857989001</c:v>
                </c:pt>
                <c:pt idx="6">
                  <c:v>58.337824634985303</c:v>
                </c:pt>
                <c:pt idx="7">
                  <c:v>58.2519871541963</c:v>
                </c:pt>
                <c:pt idx="8">
                  <c:v>54.964702786932797</c:v>
                </c:pt>
                <c:pt idx="9">
                  <c:v>57.031365665986598</c:v>
                </c:pt>
                <c:pt idx="10">
                  <c:v>54.613538450369802</c:v>
                </c:pt>
                <c:pt idx="11">
                  <c:v>56.505304396954102</c:v>
                </c:pt>
                <c:pt idx="12">
                  <c:v>57.654177816884498</c:v>
                </c:pt>
                <c:pt idx="13">
                  <c:v>58.3225276683415</c:v>
                </c:pt>
                <c:pt idx="14">
                  <c:v>57.904221891315203</c:v>
                </c:pt>
                <c:pt idx="15">
                  <c:v>56.349651817397501</c:v>
                </c:pt>
                <c:pt idx="16">
                  <c:v>58.304066676821797</c:v>
                </c:pt>
                <c:pt idx="17">
                  <c:v>57.551377480924799</c:v>
                </c:pt>
                <c:pt idx="18">
                  <c:v>58.434723800803901</c:v>
                </c:pt>
                <c:pt idx="19">
                  <c:v>57.9573250321763</c:v>
                </c:pt>
                <c:pt idx="20">
                  <c:v>57.689801030917003</c:v>
                </c:pt>
                <c:pt idx="21">
                  <c:v>56.788682160570502</c:v>
                </c:pt>
                <c:pt idx="22">
                  <c:v>56.261901205924801</c:v>
                </c:pt>
                <c:pt idx="23">
                  <c:v>56.205831082274102</c:v>
                </c:pt>
                <c:pt idx="24">
                  <c:v>54.8414434927343</c:v>
                </c:pt>
                <c:pt idx="25">
                  <c:v>52.663523191336402</c:v>
                </c:pt>
                <c:pt idx="26">
                  <c:v>54.7624266821391</c:v>
                </c:pt>
                <c:pt idx="27">
                  <c:v>56.235319353149499</c:v>
                </c:pt>
                <c:pt idx="28">
                  <c:v>54.326196812810203</c:v>
                </c:pt>
                <c:pt idx="29">
                  <c:v>54.618911382513801</c:v>
                </c:pt>
                <c:pt idx="30">
                  <c:v>55.037431875206103</c:v>
                </c:pt>
                <c:pt idx="31">
                  <c:v>54.984281163277103</c:v>
                </c:pt>
                <c:pt idx="32">
                  <c:v>55.092507346462298</c:v>
                </c:pt>
                <c:pt idx="33">
                  <c:v>53.354665910467901</c:v>
                </c:pt>
                <c:pt idx="34">
                  <c:v>53.243607441705002</c:v>
                </c:pt>
                <c:pt idx="35">
                  <c:v>52.803462403700102</c:v>
                </c:pt>
                <c:pt idx="36">
                  <c:v>54.185473765424902</c:v>
                </c:pt>
                <c:pt idx="37">
                  <c:v>53.075522834751098</c:v>
                </c:pt>
                <c:pt idx="38">
                  <c:v>45.272275511225097</c:v>
                </c:pt>
                <c:pt idx="39">
                  <c:v>41.851269975248897</c:v>
                </c:pt>
                <c:pt idx="40">
                  <c:v>44.510719063603098</c:v>
                </c:pt>
                <c:pt idx="41">
                  <c:v>43.497218175387701</c:v>
                </c:pt>
                <c:pt idx="42">
                  <c:v>50.073975552039997</c:v>
                </c:pt>
                <c:pt idx="43">
                  <c:v>50.214248417290598</c:v>
                </c:pt>
                <c:pt idx="44">
                  <c:v>47.992247956576399</c:v>
                </c:pt>
                <c:pt idx="45">
                  <c:v>52.251151119776097</c:v>
                </c:pt>
                <c:pt idx="46">
                  <c:v>51.494162597574203</c:v>
                </c:pt>
                <c:pt idx="47">
                  <c:v>52.0590970453636</c:v>
                </c:pt>
                <c:pt idx="48">
                  <c:v>48.127246488384102</c:v>
                </c:pt>
                <c:pt idx="49">
                  <c:v>56.6487575280172</c:v>
                </c:pt>
                <c:pt idx="50">
                  <c:v>49.764442688285499</c:v>
                </c:pt>
                <c:pt idx="51">
                  <c:v>52.696742814842104</c:v>
                </c:pt>
                <c:pt idx="52">
                  <c:v>52.3103757502005</c:v>
                </c:pt>
                <c:pt idx="53">
                  <c:v>52.442924219668498</c:v>
                </c:pt>
                <c:pt idx="54">
                  <c:v>52.6111638647806</c:v>
                </c:pt>
                <c:pt idx="55">
                  <c:v>52.562379034981802</c:v>
                </c:pt>
                <c:pt idx="56">
                  <c:v>53.043197068827702</c:v>
                </c:pt>
                <c:pt idx="57">
                  <c:v>53.506140614457301</c:v>
                </c:pt>
                <c:pt idx="58">
                  <c:v>54.5372675212014</c:v>
                </c:pt>
                <c:pt idx="59">
                  <c:v>53.702613114803697</c:v>
                </c:pt>
                <c:pt idx="60">
                  <c:v>51.512364670155499</c:v>
                </c:pt>
                <c:pt idx="61">
                  <c:v>51.6119609876949</c:v>
                </c:pt>
                <c:pt idx="62">
                  <c:v>55.223713054997397</c:v>
                </c:pt>
              </c:numCache>
            </c:numRef>
          </c:val>
          <c:smooth val="0"/>
          <c:extLst>
            <c:ext xmlns:c16="http://schemas.microsoft.com/office/drawing/2014/chart" uri="{C3380CC4-5D6E-409C-BE32-E72D297353CC}">
              <c16:uniqueId val="{00000000-D5B6-4248-8F4D-A832EC05C849}"/>
            </c:ext>
          </c:extLst>
        </c:ser>
        <c:ser>
          <c:idx val="1"/>
          <c:order val="1"/>
          <c:tx>
            <c:strRef>
              <c:f>'Datos COM'!$N$4</c:f>
              <c:strCache>
                <c:ptCount val="1"/>
                <c:pt idx="0">
                  <c:v>Serie de Tendencia-Ciclo</c:v>
                </c:pt>
              </c:strCache>
            </c:strRef>
          </c:tx>
          <c:spPr>
            <a:ln w="12700">
              <a:solidFill>
                <a:srgbClr val="C00000"/>
              </a:solidFill>
            </a:ln>
          </c:spPr>
          <c:marker>
            <c:symbol val="none"/>
          </c:marker>
          <c:cat>
            <c:multiLvlStrRef>
              <c:f>'Datos COM'!$A$77:$B$148</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 COM'!$N$77:$N$148</c:f>
              <c:numCache>
                <c:formatCode>0.0_)</c:formatCode>
                <c:ptCount val="63"/>
                <c:pt idx="0">
                  <c:v>59.208408348927698</c:v>
                </c:pt>
                <c:pt idx="1">
                  <c:v>58.943343936778803</c:v>
                </c:pt>
                <c:pt idx="2">
                  <c:v>58.721377414656601</c:v>
                </c:pt>
                <c:pt idx="3">
                  <c:v>58.557188490836801</c:v>
                </c:pt>
                <c:pt idx="4">
                  <c:v>58.403007194550803</c:v>
                </c:pt>
                <c:pt idx="5">
                  <c:v>58.208430219718402</c:v>
                </c:pt>
                <c:pt idx="6">
                  <c:v>57.904840440019001</c:v>
                </c:pt>
                <c:pt idx="7">
                  <c:v>57.487386679711797</c:v>
                </c:pt>
                <c:pt idx="8">
                  <c:v>57.0685109998537</c:v>
                </c:pt>
                <c:pt idx="9">
                  <c:v>56.8067117145658</c:v>
                </c:pt>
                <c:pt idx="10">
                  <c:v>56.767717873070602</c:v>
                </c:pt>
                <c:pt idx="11">
                  <c:v>56.946096381309403</c:v>
                </c:pt>
                <c:pt idx="12">
                  <c:v>57.239029243052101</c:v>
                </c:pt>
                <c:pt idx="13">
                  <c:v>57.519067117539997</c:v>
                </c:pt>
                <c:pt idx="14">
                  <c:v>57.710973500812599</c:v>
                </c:pt>
                <c:pt idx="15">
                  <c:v>57.824097370899402</c:v>
                </c:pt>
                <c:pt idx="16">
                  <c:v>57.913635976947702</c:v>
                </c:pt>
                <c:pt idx="17">
                  <c:v>57.951029443294402</c:v>
                </c:pt>
                <c:pt idx="18">
                  <c:v>57.9438778843164</c:v>
                </c:pt>
                <c:pt idx="19">
                  <c:v>57.821565673216902</c:v>
                </c:pt>
                <c:pt idx="20">
                  <c:v>57.503199636943997</c:v>
                </c:pt>
                <c:pt idx="21">
                  <c:v>56.968298083394501</c:v>
                </c:pt>
                <c:pt idx="22">
                  <c:v>56.360541315245698</c:v>
                </c:pt>
                <c:pt idx="23">
                  <c:v>55.822421857881203</c:v>
                </c:pt>
                <c:pt idx="24">
                  <c:v>55.395507321872202</c:v>
                </c:pt>
                <c:pt idx="25">
                  <c:v>55.116324806558801</c:v>
                </c:pt>
                <c:pt idx="26">
                  <c:v>54.9506743506021</c:v>
                </c:pt>
                <c:pt idx="27">
                  <c:v>54.906717350755699</c:v>
                </c:pt>
                <c:pt idx="28">
                  <c:v>54.936317226617199</c:v>
                </c:pt>
                <c:pt idx="29">
                  <c:v>54.965078152095799</c:v>
                </c:pt>
                <c:pt idx="30">
                  <c:v>54.8709925597013</c:v>
                </c:pt>
                <c:pt idx="31">
                  <c:v>54.634020167261703</c:v>
                </c:pt>
                <c:pt idx="32">
                  <c:v>54.3284392409182</c:v>
                </c:pt>
                <c:pt idx="33">
                  <c:v>54.008880578591402</c:v>
                </c:pt>
                <c:pt idx="34">
                  <c:v>53.697201422745401</c:v>
                </c:pt>
                <c:pt idx="35">
                  <c:v>53.392931053684102</c:v>
                </c:pt>
                <c:pt idx="36">
                  <c:v>53.147451810955502</c:v>
                </c:pt>
                <c:pt idx="37">
                  <c:v>52.900087315004001</c:v>
                </c:pt>
                <c:pt idx="38">
                  <c:v>52.558826462211798</c:v>
                </c:pt>
                <c:pt idx="39">
                  <c:v>52.0662038538023</c:v>
                </c:pt>
                <c:pt idx="40">
                  <c:v>51.485768578118901</c:v>
                </c:pt>
                <c:pt idx="41">
                  <c:v>50.974213279315997</c:v>
                </c:pt>
                <c:pt idx="42">
                  <c:v>50.657833593558699</c:v>
                </c:pt>
                <c:pt idx="43">
                  <c:v>50.5878415230152</c:v>
                </c:pt>
                <c:pt idx="44">
                  <c:v>50.7292075540499</c:v>
                </c:pt>
                <c:pt idx="45">
                  <c:v>51.0395648657829</c:v>
                </c:pt>
                <c:pt idx="46">
                  <c:v>51.440980512179301</c:v>
                </c:pt>
                <c:pt idx="47">
                  <c:v>51.827862194043902</c:v>
                </c:pt>
                <c:pt idx="48">
                  <c:v>52.108663711744299</c:v>
                </c:pt>
                <c:pt idx="49">
                  <c:v>52.272492110866501</c:v>
                </c:pt>
                <c:pt idx="50">
                  <c:v>52.3632806143614</c:v>
                </c:pt>
                <c:pt idx="51">
                  <c:v>52.4081810997736</c:v>
                </c:pt>
                <c:pt idx="52">
                  <c:v>52.425538485562797</c:v>
                </c:pt>
                <c:pt idx="53">
                  <c:v>52.473368761121002</c:v>
                </c:pt>
                <c:pt idx="54">
                  <c:v>52.654088280920398</c:v>
                </c:pt>
                <c:pt idx="55">
                  <c:v>52.9558071893562</c:v>
                </c:pt>
                <c:pt idx="56">
                  <c:v>53.2624423680506</c:v>
                </c:pt>
                <c:pt idx="57">
                  <c:v>53.436615007707303</c:v>
                </c:pt>
                <c:pt idx="58">
                  <c:v>53.396301036607902</c:v>
                </c:pt>
                <c:pt idx="59">
                  <c:v>53.157274983448197</c:v>
                </c:pt>
                <c:pt idx="60">
                  <c:v>52.831772097961498</c:v>
                </c:pt>
                <c:pt idx="61">
                  <c:v>52.568021610572799</c:v>
                </c:pt>
                <c:pt idx="62">
                  <c:v>52.504035878455198</c:v>
                </c:pt>
              </c:numCache>
            </c:numRef>
          </c:val>
          <c:smooth val="0"/>
          <c:extLst>
            <c:ext xmlns:c16="http://schemas.microsoft.com/office/drawing/2014/chart" uri="{C3380CC4-5D6E-409C-BE32-E72D297353CC}">
              <c16:uniqueId val="{00000001-D5B6-4248-8F4D-A832EC05C849}"/>
            </c:ext>
          </c:extLst>
        </c:ser>
        <c:dLbls>
          <c:showLegendKey val="0"/>
          <c:showVal val="0"/>
          <c:showCatName val="0"/>
          <c:showSerName val="0"/>
          <c:showPercent val="0"/>
          <c:showBubbleSize val="0"/>
        </c:dLbls>
        <c:smooth val="0"/>
        <c:axId val="439969592"/>
        <c:axId val="439969984"/>
      </c:lineChart>
      <c:catAx>
        <c:axId val="43996959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39969984"/>
        <c:crossesAt val="50"/>
        <c:auto val="1"/>
        <c:lblAlgn val="ctr"/>
        <c:lblOffset val="50"/>
        <c:tickLblSkip val="1"/>
        <c:tickMarkSkip val="12"/>
        <c:noMultiLvlLbl val="1"/>
      </c:catAx>
      <c:valAx>
        <c:axId val="439969984"/>
        <c:scaling>
          <c:orientation val="minMax"/>
          <c:min val="4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39969592"/>
        <c:crosses val="autoZero"/>
        <c:crossBetween val="between"/>
        <c:majorUnit val="4"/>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47759116938725E-2"/>
          <c:y val="5.0134357724078003E-2"/>
          <c:w val="0.92499794672559355"/>
          <c:h val="0.80953871619274687"/>
        </c:manualLayout>
      </c:layout>
      <c:lineChart>
        <c:grouping val="standard"/>
        <c:varyColors val="0"/>
        <c:ser>
          <c:idx val="0"/>
          <c:order val="0"/>
          <c:tx>
            <c:strRef>
              <c:f>'Datos SERV'!$C$4</c:f>
              <c:strCache>
                <c:ptCount val="1"/>
                <c:pt idx="0">
                  <c:v>Serie Desestacionalizada</c:v>
                </c:pt>
              </c:strCache>
            </c:strRef>
          </c:tx>
          <c:spPr>
            <a:ln w="19050">
              <a:solidFill>
                <a:srgbClr val="4A7EBB"/>
              </a:solidFill>
            </a:ln>
          </c:spPr>
          <c:marker>
            <c:symbol val="none"/>
          </c:marker>
          <c:cat>
            <c:multiLvlStrRef>
              <c:f>'Datos SERV'!$A$5:$B$76</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 SERV'!$C$5:$C$76</c:f>
              <c:numCache>
                <c:formatCode>0.0_)</c:formatCode>
                <c:ptCount val="63"/>
                <c:pt idx="0">
                  <c:v>51.7700442647618</c:v>
                </c:pt>
                <c:pt idx="1">
                  <c:v>52.428073531107998</c:v>
                </c:pt>
                <c:pt idx="2">
                  <c:v>52.948102506770901</c:v>
                </c:pt>
                <c:pt idx="3">
                  <c:v>52.464041438417397</c:v>
                </c:pt>
                <c:pt idx="4">
                  <c:v>52.735264500747597</c:v>
                </c:pt>
                <c:pt idx="5">
                  <c:v>51.369067917231803</c:v>
                </c:pt>
                <c:pt idx="6">
                  <c:v>53.945657325833501</c:v>
                </c:pt>
                <c:pt idx="7">
                  <c:v>56.040434057745799</c:v>
                </c:pt>
                <c:pt idx="8">
                  <c:v>56.403349465192001</c:v>
                </c:pt>
                <c:pt idx="9">
                  <c:v>54.420640901407303</c:v>
                </c:pt>
                <c:pt idx="10">
                  <c:v>56.7907608168262</c:v>
                </c:pt>
                <c:pt idx="11">
                  <c:v>57.346311319074701</c:v>
                </c:pt>
                <c:pt idx="12">
                  <c:v>55.925190563644399</c:v>
                </c:pt>
                <c:pt idx="13">
                  <c:v>54.968067799405198</c:v>
                </c:pt>
                <c:pt idx="14">
                  <c:v>54.350708004786</c:v>
                </c:pt>
                <c:pt idx="15">
                  <c:v>54.585183705543898</c:v>
                </c:pt>
                <c:pt idx="16">
                  <c:v>54.862027401634599</c:v>
                </c:pt>
                <c:pt idx="17">
                  <c:v>57.908103059959501</c:v>
                </c:pt>
                <c:pt idx="18">
                  <c:v>55.4684539137738</c:v>
                </c:pt>
                <c:pt idx="19">
                  <c:v>53.337715674854898</c:v>
                </c:pt>
                <c:pt idx="20">
                  <c:v>53.8069772919822</c:v>
                </c:pt>
                <c:pt idx="21">
                  <c:v>53.503475963541398</c:v>
                </c:pt>
                <c:pt idx="22">
                  <c:v>53.211016995955802</c:v>
                </c:pt>
                <c:pt idx="23">
                  <c:v>57.999629035930603</c:v>
                </c:pt>
                <c:pt idx="24">
                  <c:v>55.858326402778097</c:v>
                </c:pt>
                <c:pt idx="25">
                  <c:v>55.546128449865797</c:v>
                </c:pt>
                <c:pt idx="26">
                  <c:v>52.093838090338203</c:v>
                </c:pt>
                <c:pt idx="27">
                  <c:v>59.766173289281298</c:v>
                </c:pt>
                <c:pt idx="28">
                  <c:v>52.367713064898297</c:v>
                </c:pt>
                <c:pt idx="29">
                  <c:v>52.933680142975298</c:v>
                </c:pt>
                <c:pt idx="30">
                  <c:v>54.101714432776603</c:v>
                </c:pt>
                <c:pt idx="31">
                  <c:v>51.872137709353098</c:v>
                </c:pt>
                <c:pt idx="32">
                  <c:v>51.1367159032364</c:v>
                </c:pt>
                <c:pt idx="33">
                  <c:v>52.265578246532201</c:v>
                </c:pt>
                <c:pt idx="34">
                  <c:v>52.716881573522301</c:v>
                </c:pt>
                <c:pt idx="35">
                  <c:v>51.006742942091698</c:v>
                </c:pt>
                <c:pt idx="36">
                  <c:v>52.016896432901603</c:v>
                </c:pt>
                <c:pt idx="37">
                  <c:v>51.165852758220097</c:v>
                </c:pt>
                <c:pt idx="38">
                  <c:v>40.336689805468701</c:v>
                </c:pt>
                <c:pt idx="39">
                  <c:v>37.9010917856464</c:v>
                </c:pt>
                <c:pt idx="40">
                  <c:v>38.564438005416001</c:v>
                </c:pt>
                <c:pt idx="41">
                  <c:v>51.044995597734399</c:v>
                </c:pt>
                <c:pt idx="42">
                  <c:v>50.806502894352903</c:v>
                </c:pt>
                <c:pt idx="43">
                  <c:v>53.439302017920902</c:v>
                </c:pt>
                <c:pt idx="44">
                  <c:v>54.034804599376997</c:v>
                </c:pt>
                <c:pt idx="45">
                  <c:v>53.252541819912103</c:v>
                </c:pt>
                <c:pt idx="46">
                  <c:v>53.232085195165702</c:v>
                </c:pt>
                <c:pt idx="47">
                  <c:v>52.690895860569299</c:v>
                </c:pt>
                <c:pt idx="48">
                  <c:v>43.771676414558797</c:v>
                </c:pt>
                <c:pt idx="49">
                  <c:v>53.250045752799998</c:v>
                </c:pt>
                <c:pt idx="50">
                  <c:v>50.620054624557397</c:v>
                </c:pt>
                <c:pt idx="51">
                  <c:v>53.621065553496997</c:v>
                </c:pt>
                <c:pt idx="52">
                  <c:v>54.174884837652698</c:v>
                </c:pt>
                <c:pt idx="53">
                  <c:v>53.789405211129797</c:v>
                </c:pt>
                <c:pt idx="54">
                  <c:v>52.513421586322401</c:v>
                </c:pt>
                <c:pt idx="55">
                  <c:v>51.526783609065703</c:v>
                </c:pt>
                <c:pt idx="56">
                  <c:v>51.010105916062898</c:v>
                </c:pt>
                <c:pt idx="57">
                  <c:v>51.811261314135201</c:v>
                </c:pt>
                <c:pt idx="58">
                  <c:v>50.386096437827099</c:v>
                </c:pt>
                <c:pt idx="59">
                  <c:v>51.167621228507898</c:v>
                </c:pt>
                <c:pt idx="60">
                  <c:v>48.365873245239598</c:v>
                </c:pt>
                <c:pt idx="61">
                  <c:v>48.945916492728301</c:v>
                </c:pt>
                <c:pt idx="62">
                  <c:v>54.508696080944603</c:v>
                </c:pt>
              </c:numCache>
            </c:numRef>
          </c:val>
          <c:smooth val="0"/>
          <c:extLst>
            <c:ext xmlns:c16="http://schemas.microsoft.com/office/drawing/2014/chart" uri="{C3380CC4-5D6E-409C-BE32-E72D297353CC}">
              <c16:uniqueId val="{00000000-6CC4-49A5-BCC0-FCD80531890F}"/>
            </c:ext>
          </c:extLst>
        </c:ser>
        <c:ser>
          <c:idx val="1"/>
          <c:order val="1"/>
          <c:tx>
            <c:strRef>
              <c:f>'Datos SERV'!$D$4</c:f>
              <c:strCache>
                <c:ptCount val="1"/>
                <c:pt idx="0">
                  <c:v>Serie de Tendencia-Ciclo</c:v>
                </c:pt>
              </c:strCache>
            </c:strRef>
          </c:tx>
          <c:spPr>
            <a:ln w="9525">
              <a:solidFill>
                <a:srgbClr val="FF0000"/>
              </a:solidFill>
            </a:ln>
          </c:spPr>
          <c:marker>
            <c:symbol val="none"/>
          </c:marker>
          <c:cat>
            <c:multiLvlStrRef>
              <c:f>'Datos SERV'!$A$5:$B$76</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 SERV'!$D$5:$D$76</c:f>
              <c:numCache>
                <c:formatCode>0.0_)</c:formatCode>
                <c:ptCount val="63"/>
                <c:pt idx="0">
                  <c:v>52.080129542841</c:v>
                </c:pt>
                <c:pt idx="1">
                  <c:v>52.196456535176601</c:v>
                </c:pt>
                <c:pt idx="2">
                  <c:v>52.4376847753813</c:v>
                </c:pt>
                <c:pt idx="3">
                  <c:v>52.754327238962397</c:v>
                </c:pt>
                <c:pt idx="4">
                  <c:v>53.198462343045101</c:v>
                </c:pt>
                <c:pt idx="5">
                  <c:v>53.750199937342799</c:v>
                </c:pt>
                <c:pt idx="6">
                  <c:v>54.416457646000602</c:v>
                </c:pt>
                <c:pt idx="7">
                  <c:v>55.154341058047699</c:v>
                </c:pt>
                <c:pt idx="8">
                  <c:v>55.837587626581403</c:v>
                </c:pt>
                <c:pt idx="9">
                  <c:v>56.297232208967003</c:v>
                </c:pt>
                <c:pt idx="10">
                  <c:v>56.425370841812502</c:v>
                </c:pt>
                <c:pt idx="11">
                  <c:v>56.245367168109603</c:v>
                </c:pt>
                <c:pt idx="12">
                  <c:v>55.8433984625606</c:v>
                </c:pt>
                <c:pt idx="13">
                  <c:v>55.404209263832897</c:v>
                </c:pt>
                <c:pt idx="14">
                  <c:v>55.047369480381498</c:v>
                </c:pt>
                <c:pt idx="15">
                  <c:v>54.798535900277798</c:v>
                </c:pt>
                <c:pt idx="16">
                  <c:v>54.668176773470798</c:v>
                </c:pt>
                <c:pt idx="17">
                  <c:v>54.573582442203303</c:v>
                </c:pt>
                <c:pt idx="18">
                  <c:v>54.360111072445299</c:v>
                </c:pt>
                <c:pt idx="19">
                  <c:v>54.049832779100598</c:v>
                </c:pt>
                <c:pt idx="20">
                  <c:v>53.835094243671101</c:v>
                </c:pt>
                <c:pt idx="21">
                  <c:v>53.870876560530199</c:v>
                </c:pt>
                <c:pt idx="22">
                  <c:v>54.175174095621003</c:v>
                </c:pt>
                <c:pt idx="23">
                  <c:v>54.568532501499902</c:v>
                </c:pt>
                <c:pt idx="24">
                  <c:v>54.800932898662197</c:v>
                </c:pt>
                <c:pt idx="25">
                  <c:v>54.739867326089403</c:v>
                </c:pt>
                <c:pt idx="26">
                  <c:v>54.385838213379998</c:v>
                </c:pt>
                <c:pt idx="27">
                  <c:v>53.843669409207202</c:v>
                </c:pt>
                <c:pt idx="28">
                  <c:v>53.226620699782899</c:v>
                </c:pt>
                <c:pt idx="29">
                  <c:v>52.729075692750499</c:v>
                </c:pt>
                <c:pt idx="30">
                  <c:v>52.414996942038002</c:v>
                </c:pt>
                <c:pt idx="31">
                  <c:v>52.233206369875099</c:v>
                </c:pt>
                <c:pt idx="32">
                  <c:v>52.088480270546498</c:v>
                </c:pt>
                <c:pt idx="33">
                  <c:v>51.940831275937597</c:v>
                </c:pt>
                <c:pt idx="34">
                  <c:v>51.808705129379298</c:v>
                </c:pt>
                <c:pt idx="35">
                  <c:v>51.726001713294202</c:v>
                </c:pt>
                <c:pt idx="36">
                  <c:v>51.694727951822003</c:v>
                </c:pt>
                <c:pt idx="37">
                  <c:v>51.606411769442502</c:v>
                </c:pt>
                <c:pt idx="38">
                  <c:v>51.4473965942096</c:v>
                </c:pt>
                <c:pt idx="39">
                  <c:v>51.3605293552666</c:v>
                </c:pt>
                <c:pt idx="40">
                  <c:v>51.448033603869902</c:v>
                </c:pt>
                <c:pt idx="41">
                  <c:v>51.722262910156097</c:v>
                </c:pt>
                <c:pt idx="42">
                  <c:v>52.153692386769997</c:v>
                </c:pt>
                <c:pt idx="43">
                  <c:v>52.640333510960303</c:v>
                </c:pt>
                <c:pt idx="44">
                  <c:v>53.024827294479401</c:v>
                </c:pt>
                <c:pt idx="45">
                  <c:v>53.214262096491296</c:v>
                </c:pt>
                <c:pt idx="46">
                  <c:v>53.174209705747401</c:v>
                </c:pt>
                <c:pt idx="47">
                  <c:v>53.011197144476398</c:v>
                </c:pt>
                <c:pt idx="48">
                  <c:v>52.921763343707198</c:v>
                </c:pt>
                <c:pt idx="49">
                  <c:v>53.048794616542601</c:v>
                </c:pt>
                <c:pt idx="50">
                  <c:v>53.338372675151398</c:v>
                </c:pt>
                <c:pt idx="51">
                  <c:v>53.543053660565903</c:v>
                </c:pt>
                <c:pt idx="52">
                  <c:v>53.521184905054803</c:v>
                </c:pt>
                <c:pt idx="53">
                  <c:v>53.2159564271102</c:v>
                </c:pt>
                <c:pt idx="54">
                  <c:v>52.678459178888097</c:v>
                </c:pt>
                <c:pt idx="55">
                  <c:v>52.052573752469598</c:v>
                </c:pt>
                <c:pt idx="56">
                  <c:v>51.491472249092901</c:v>
                </c:pt>
                <c:pt idx="57">
                  <c:v>51.078496501402</c:v>
                </c:pt>
                <c:pt idx="58">
                  <c:v>50.874965405091103</c:v>
                </c:pt>
                <c:pt idx="59">
                  <c:v>50.878727686269798</c:v>
                </c:pt>
                <c:pt idx="60">
                  <c:v>51.055430188169296</c:v>
                </c:pt>
                <c:pt idx="61">
                  <c:v>51.3515218812909</c:v>
                </c:pt>
                <c:pt idx="62">
                  <c:v>51.711534304523397</c:v>
                </c:pt>
              </c:numCache>
            </c:numRef>
          </c:val>
          <c:smooth val="0"/>
          <c:extLst>
            <c:ext xmlns:c16="http://schemas.microsoft.com/office/drawing/2014/chart" uri="{C3380CC4-5D6E-409C-BE32-E72D297353CC}">
              <c16:uniqueId val="{00000001-6CC4-49A5-BCC0-FCD80531890F}"/>
            </c:ext>
          </c:extLst>
        </c:ser>
        <c:dLbls>
          <c:showLegendKey val="0"/>
          <c:showVal val="0"/>
          <c:showCatName val="0"/>
          <c:showSerName val="0"/>
          <c:showPercent val="0"/>
          <c:showBubbleSize val="0"/>
        </c:dLbls>
        <c:smooth val="0"/>
        <c:axId val="439970376"/>
        <c:axId val="439964496"/>
      </c:lineChart>
      <c:catAx>
        <c:axId val="43997037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439964496"/>
        <c:crossesAt val="50"/>
        <c:auto val="1"/>
        <c:lblAlgn val="ctr"/>
        <c:lblOffset val="50"/>
        <c:tickLblSkip val="1"/>
        <c:tickMarkSkip val="12"/>
        <c:noMultiLvlLbl val="1"/>
      </c:catAx>
      <c:valAx>
        <c:axId val="439964496"/>
        <c:scaling>
          <c:orientation val="minMax"/>
          <c:max val="62"/>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439970376"/>
        <c:crosses val="autoZero"/>
        <c:crossBetween val="between"/>
        <c:majorUnit val="5"/>
      </c:valAx>
      <c:spPr>
        <a:noFill/>
        <a:ln w="0">
          <a:solidFill>
            <a:schemeClr val="bg1">
              <a:lumMod val="50000"/>
            </a:schemeClr>
          </a:solidFill>
        </a:ln>
      </c:spPr>
    </c:plotArea>
    <c:legend>
      <c:legendPos val="b"/>
      <c:layout>
        <c:manualLayout>
          <c:xMode val="edge"/>
          <c:yMode val="edge"/>
          <c:x val="0.14652377018262672"/>
          <c:y val="0.95027575202706105"/>
          <c:w val="0.6969181929181929"/>
          <c:h val="4.9723858134772515E-2"/>
        </c:manualLayout>
      </c:layout>
      <c:overlay val="0"/>
      <c:spPr>
        <a:noFill/>
        <a:ln>
          <a:noFill/>
        </a:ln>
      </c:spPr>
      <c:txPr>
        <a:bodyPr/>
        <a:lstStyle/>
        <a:p>
          <a:pPr>
            <a:defRPr sz="700"/>
          </a:pPr>
          <a:endParaRPr lang="es-MX"/>
        </a:p>
      </c:txPr>
    </c:legend>
    <c:plotVisOnly val="1"/>
    <c:dispBlanksAs val="gap"/>
    <c:showDLblsOverMax val="0"/>
  </c:chart>
  <c:spPr>
    <a:noFill/>
    <a:ln w="6350">
      <a:solidFill>
        <a:schemeClr val="tx1"/>
      </a:solidFill>
    </a:ln>
    <a:effectLst>
      <a:outerShdw dist="16510" dir="2700000" algn="tl" rotWithShape="0">
        <a:prstClr val="black"/>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700"/>
            </a:pPr>
            <a:r>
              <a:rPr lang="es-MX" sz="700"/>
              <a:t>Ingresos por la prestación</a:t>
            </a:r>
            <a:r>
              <a:rPr lang="es-MX" sz="700" baseline="0"/>
              <a:t> de servicios</a:t>
            </a:r>
            <a:endParaRPr lang="es-MX" sz="700"/>
          </a:p>
        </c:rich>
      </c:tx>
      <c:layout>
        <c:manualLayout>
          <c:xMode val="edge"/>
          <c:yMode val="edge"/>
          <c:x val="0.23741534101060882"/>
          <c:y val="1.0854294249180168E-2"/>
        </c:manualLayout>
      </c:layout>
      <c:overlay val="1"/>
    </c:title>
    <c:autoTitleDeleted val="0"/>
    <c:plotArea>
      <c:layout>
        <c:manualLayout>
          <c:layoutTarget val="inner"/>
          <c:xMode val="edge"/>
          <c:yMode val="edge"/>
          <c:x val="4.5666605073354578E-2"/>
          <c:y val="9.4692741315695217E-2"/>
          <c:w val="0.93080897207368285"/>
          <c:h val="0.68740328071804391"/>
        </c:manualLayout>
      </c:layout>
      <c:lineChart>
        <c:grouping val="standard"/>
        <c:varyColors val="0"/>
        <c:ser>
          <c:idx val="0"/>
          <c:order val="0"/>
          <c:tx>
            <c:strRef>
              <c:f>'Datos SERV'!$E$4</c:f>
              <c:strCache>
                <c:ptCount val="1"/>
                <c:pt idx="0">
                  <c:v>Serie Desestacionalizada</c:v>
                </c:pt>
              </c:strCache>
            </c:strRef>
          </c:tx>
          <c:spPr>
            <a:ln w="15875">
              <a:solidFill>
                <a:srgbClr val="3D6AA1"/>
              </a:solidFill>
            </a:ln>
          </c:spPr>
          <c:marker>
            <c:symbol val="none"/>
          </c:marker>
          <c:cat>
            <c:multiLvlStrRef>
              <c:f>'Datos SERV'!$A$5:$B$76</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 SERV'!$E$5:$E$76</c:f>
              <c:numCache>
                <c:formatCode>0.0_)</c:formatCode>
                <c:ptCount val="63"/>
                <c:pt idx="0">
                  <c:v>51.079701827999102</c:v>
                </c:pt>
                <c:pt idx="1">
                  <c:v>50.908408700046699</c:v>
                </c:pt>
                <c:pt idx="2">
                  <c:v>59.304249495578297</c:v>
                </c:pt>
                <c:pt idx="3">
                  <c:v>50.001265575146498</c:v>
                </c:pt>
                <c:pt idx="4">
                  <c:v>51.729442028576301</c:v>
                </c:pt>
                <c:pt idx="5">
                  <c:v>50.380393339788199</c:v>
                </c:pt>
                <c:pt idx="6">
                  <c:v>54.533407565724303</c:v>
                </c:pt>
                <c:pt idx="7">
                  <c:v>57.010151372520397</c:v>
                </c:pt>
                <c:pt idx="8">
                  <c:v>60.451478264237302</c:v>
                </c:pt>
                <c:pt idx="9">
                  <c:v>53.1190415649084</c:v>
                </c:pt>
                <c:pt idx="10">
                  <c:v>55.091988597672902</c:v>
                </c:pt>
                <c:pt idx="11">
                  <c:v>58.8380439258123</c:v>
                </c:pt>
                <c:pt idx="12">
                  <c:v>57.272384452013497</c:v>
                </c:pt>
                <c:pt idx="13">
                  <c:v>55.459519657273603</c:v>
                </c:pt>
                <c:pt idx="14">
                  <c:v>55.834184418949803</c:v>
                </c:pt>
                <c:pt idx="15">
                  <c:v>55.310204821562898</c:v>
                </c:pt>
                <c:pt idx="16">
                  <c:v>55.073181195737298</c:v>
                </c:pt>
                <c:pt idx="17">
                  <c:v>61.307844009372303</c:v>
                </c:pt>
                <c:pt idx="18">
                  <c:v>57.1621040900853</c:v>
                </c:pt>
                <c:pt idx="19">
                  <c:v>53.6608786668736</c:v>
                </c:pt>
                <c:pt idx="20">
                  <c:v>53.585296657940702</c:v>
                </c:pt>
                <c:pt idx="21">
                  <c:v>54.4580529821759</c:v>
                </c:pt>
                <c:pt idx="22">
                  <c:v>54.187548910105598</c:v>
                </c:pt>
                <c:pt idx="23">
                  <c:v>62.039436042390001</c:v>
                </c:pt>
                <c:pt idx="24">
                  <c:v>56.239885412204799</c:v>
                </c:pt>
                <c:pt idx="25">
                  <c:v>56.5733046935744</c:v>
                </c:pt>
                <c:pt idx="26">
                  <c:v>53.420676313296298</c:v>
                </c:pt>
                <c:pt idx="27">
                  <c:v>61.771509758803703</c:v>
                </c:pt>
                <c:pt idx="28">
                  <c:v>54.768749046718398</c:v>
                </c:pt>
                <c:pt idx="29">
                  <c:v>55.380946396019702</c:v>
                </c:pt>
                <c:pt idx="30">
                  <c:v>57.736703259576501</c:v>
                </c:pt>
                <c:pt idx="31">
                  <c:v>51.105291675248203</c:v>
                </c:pt>
                <c:pt idx="32">
                  <c:v>50.743413810490402</c:v>
                </c:pt>
                <c:pt idx="33">
                  <c:v>51.610353395382297</c:v>
                </c:pt>
                <c:pt idx="34">
                  <c:v>54.047869582089398</c:v>
                </c:pt>
                <c:pt idx="35">
                  <c:v>50.457468549401199</c:v>
                </c:pt>
                <c:pt idx="36">
                  <c:v>52.892371406783198</c:v>
                </c:pt>
                <c:pt idx="37">
                  <c:v>52.675191716570303</c:v>
                </c:pt>
                <c:pt idx="38">
                  <c:v>37.910953763447999</c:v>
                </c:pt>
                <c:pt idx="39">
                  <c:v>34.686127108361703</c:v>
                </c:pt>
                <c:pt idx="40">
                  <c:v>36.2319635564305</c:v>
                </c:pt>
                <c:pt idx="41">
                  <c:v>53.619169808891598</c:v>
                </c:pt>
                <c:pt idx="42">
                  <c:v>53.0481041572028</c:v>
                </c:pt>
                <c:pt idx="43">
                  <c:v>56.293679647950299</c:v>
                </c:pt>
                <c:pt idx="44">
                  <c:v>56.898558250472</c:v>
                </c:pt>
                <c:pt idx="45">
                  <c:v>56.916707172877402</c:v>
                </c:pt>
                <c:pt idx="46">
                  <c:v>54.4190871106697</c:v>
                </c:pt>
                <c:pt idx="47">
                  <c:v>55.216862000896903</c:v>
                </c:pt>
                <c:pt idx="48">
                  <c:v>43.3224538215146</c:v>
                </c:pt>
                <c:pt idx="49">
                  <c:v>55.968372351338203</c:v>
                </c:pt>
                <c:pt idx="50">
                  <c:v>51.416947083961297</c:v>
                </c:pt>
                <c:pt idx="51">
                  <c:v>56.6912638192873</c:v>
                </c:pt>
                <c:pt idx="52">
                  <c:v>54.922892338881802</c:v>
                </c:pt>
                <c:pt idx="53">
                  <c:v>53.711409705991102</c:v>
                </c:pt>
                <c:pt idx="54">
                  <c:v>52.461026428103501</c:v>
                </c:pt>
                <c:pt idx="55">
                  <c:v>53.5578705553297</c:v>
                </c:pt>
                <c:pt idx="56">
                  <c:v>54.1721605523066</c:v>
                </c:pt>
                <c:pt idx="57">
                  <c:v>53.538608898177699</c:v>
                </c:pt>
                <c:pt idx="58">
                  <c:v>53.508370214552698</c:v>
                </c:pt>
                <c:pt idx="59">
                  <c:v>52.755584162068203</c:v>
                </c:pt>
                <c:pt idx="60">
                  <c:v>50.216572362454002</c:v>
                </c:pt>
                <c:pt idx="61">
                  <c:v>50.088955793071598</c:v>
                </c:pt>
                <c:pt idx="62">
                  <c:v>56.412377505631802</c:v>
                </c:pt>
              </c:numCache>
            </c:numRef>
          </c:val>
          <c:smooth val="0"/>
          <c:extLst>
            <c:ext xmlns:c16="http://schemas.microsoft.com/office/drawing/2014/chart" uri="{C3380CC4-5D6E-409C-BE32-E72D297353CC}">
              <c16:uniqueId val="{00000000-026E-4304-91D5-BE8FCC17B757}"/>
            </c:ext>
          </c:extLst>
        </c:ser>
        <c:ser>
          <c:idx val="1"/>
          <c:order val="1"/>
          <c:tx>
            <c:strRef>
              <c:f>'Datos SERV'!$F$4</c:f>
              <c:strCache>
                <c:ptCount val="1"/>
                <c:pt idx="0">
                  <c:v>Serie de Tendencia-Ciclo</c:v>
                </c:pt>
              </c:strCache>
            </c:strRef>
          </c:tx>
          <c:spPr>
            <a:ln w="12700">
              <a:solidFill>
                <a:srgbClr val="C00000"/>
              </a:solidFill>
            </a:ln>
          </c:spPr>
          <c:marker>
            <c:symbol val="none"/>
          </c:marker>
          <c:cat>
            <c:multiLvlStrRef>
              <c:f>'Datos SERV'!$A$5:$B$76</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 SERV'!$F$5:$F$76</c:f>
              <c:numCache>
                <c:formatCode>0.0_)</c:formatCode>
                <c:ptCount val="63"/>
                <c:pt idx="0">
                  <c:v>50.182394561534899</c:v>
                </c:pt>
                <c:pt idx="1">
                  <c:v>50.725164815428101</c:v>
                </c:pt>
                <c:pt idx="2">
                  <c:v>51.337768095898298</c:v>
                </c:pt>
                <c:pt idx="3">
                  <c:v>51.927378850768697</c:v>
                </c:pt>
                <c:pt idx="4">
                  <c:v>52.551263813973499</c:v>
                </c:pt>
                <c:pt idx="5">
                  <c:v>53.220797288296197</c:v>
                </c:pt>
                <c:pt idx="6">
                  <c:v>53.928283068975901</c:v>
                </c:pt>
                <c:pt idx="7">
                  <c:v>54.631884586143499</c:v>
                </c:pt>
                <c:pt idx="8">
                  <c:v>55.257967970305103</c:v>
                </c:pt>
                <c:pt idx="9">
                  <c:v>55.789993982418103</c:v>
                </c:pt>
                <c:pt idx="10">
                  <c:v>56.1817237267324</c:v>
                </c:pt>
                <c:pt idx="11">
                  <c:v>56.403123173329398</c:v>
                </c:pt>
                <c:pt idx="12">
                  <c:v>56.4467625256991</c:v>
                </c:pt>
                <c:pt idx="13">
                  <c:v>56.332402214899297</c:v>
                </c:pt>
                <c:pt idx="14">
                  <c:v>56.096487368239202</c:v>
                </c:pt>
                <c:pt idx="15">
                  <c:v>55.805295929509903</c:v>
                </c:pt>
                <c:pt idx="16">
                  <c:v>55.522838959862497</c:v>
                </c:pt>
                <c:pt idx="17">
                  <c:v>55.281999262493798</c:v>
                </c:pt>
                <c:pt idx="18">
                  <c:v>55.096695162889297</c:v>
                </c:pt>
                <c:pt idx="19">
                  <c:v>54.970999453169199</c:v>
                </c:pt>
                <c:pt idx="20">
                  <c:v>54.9208714166653</c:v>
                </c:pt>
                <c:pt idx="21">
                  <c:v>54.9547844679728</c:v>
                </c:pt>
                <c:pt idx="22">
                  <c:v>55.042336808559902</c:v>
                </c:pt>
                <c:pt idx="23">
                  <c:v>55.114614140185999</c:v>
                </c:pt>
                <c:pt idx="24">
                  <c:v>55.124148991062</c:v>
                </c:pt>
                <c:pt idx="25">
                  <c:v>55.045602927749599</c:v>
                </c:pt>
                <c:pt idx="26">
                  <c:v>54.861651411314597</c:v>
                </c:pt>
                <c:pt idx="27">
                  <c:v>54.562946565361898</c:v>
                </c:pt>
                <c:pt idx="28">
                  <c:v>54.162703260656997</c:v>
                </c:pt>
                <c:pt idx="29">
                  <c:v>53.692555086449097</c:v>
                </c:pt>
                <c:pt idx="30">
                  <c:v>53.2021616662865</c:v>
                </c:pt>
                <c:pt idx="31">
                  <c:v>52.757783793533797</c:v>
                </c:pt>
                <c:pt idx="32">
                  <c:v>52.413460598672103</c:v>
                </c:pt>
                <c:pt idx="33">
                  <c:v>52.188522191135299</c:v>
                </c:pt>
                <c:pt idx="34">
                  <c:v>52.08941115831</c:v>
                </c:pt>
                <c:pt idx="35">
                  <c:v>52.127061246140002</c:v>
                </c:pt>
                <c:pt idx="36">
                  <c:v>52.296078994109202</c:v>
                </c:pt>
                <c:pt idx="37">
                  <c:v>52.589629482121502</c:v>
                </c:pt>
                <c:pt idx="38">
                  <c:v>52.980992107646401</c:v>
                </c:pt>
                <c:pt idx="39">
                  <c:v>53.435198620029297</c:v>
                </c:pt>
                <c:pt idx="40">
                  <c:v>53.893185992727503</c:v>
                </c:pt>
                <c:pt idx="41">
                  <c:v>54.3157442458172</c:v>
                </c:pt>
                <c:pt idx="42">
                  <c:v>54.688829430635501</c:v>
                </c:pt>
                <c:pt idx="43">
                  <c:v>55.018929275725597</c:v>
                </c:pt>
                <c:pt idx="44">
                  <c:v>55.298615652001203</c:v>
                </c:pt>
                <c:pt idx="45">
                  <c:v>55.500558185095798</c:v>
                </c:pt>
                <c:pt idx="46">
                  <c:v>55.601855885852999</c:v>
                </c:pt>
                <c:pt idx="47">
                  <c:v>55.596336894935597</c:v>
                </c:pt>
                <c:pt idx="48">
                  <c:v>55.501216012770698</c:v>
                </c:pt>
                <c:pt idx="49">
                  <c:v>55.333812321787804</c:v>
                </c:pt>
                <c:pt idx="50">
                  <c:v>55.1224611534929</c:v>
                </c:pt>
                <c:pt idx="51">
                  <c:v>54.877094957893497</c:v>
                </c:pt>
                <c:pt idx="52">
                  <c:v>54.602243124116903</c:v>
                </c:pt>
                <c:pt idx="53">
                  <c:v>54.301840089191501</c:v>
                </c:pt>
                <c:pt idx="54">
                  <c:v>53.978973493023503</c:v>
                </c:pt>
                <c:pt idx="55">
                  <c:v>53.634114992774002</c:v>
                </c:pt>
                <c:pt idx="56">
                  <c:v>53.274262838060302</c:v>
                </c:pt>
                <c:pt idx="57">
                  <c:v>52.9308950292167</c:v>
                </c:pt>
                <c:pt idx="58">
                  <c:v>52.643417941126998</c:v>
                </c:pt>
                <c:pt idx="59">
                  <c:v>52.442598407442802</c:v>
                </c:pt>
                <c:pt idx="60">
                  <c:v>52.3305459306277</c:v>
                </c:pt>
                <c:pt idx="61">
                  <c:v>52.300730667062098</c:v>
                </c:pt>
                <c:pt idx="62">
                  <c:v>52.333879453216198</c:v>
                </c:pt>
              </c:numCache>
            </c:numRef>
          </c:val>
          <c:smooth val="0"/>
          <c:extLst>
            <c:ext xmlns:c16="http://schemas.microsoft.com/office/drawing/2014/chart" uri="{C3380CC4-5D6E-409C-BE32-E72D297353CC}">
              <c16:uniqueId val="{00000001-026E-4304-91D5-BE8FCC17B757}"/>
            </c:ext>
          </c:extLst>
        </c:ser>
        <c:dLbls>
          <c:showLegendKey val="0"/>
          <c:showVal val="0"/>
          <c:showCatName val="0"/>
          <c:showSerName val="0"/>
          <c:showPercent val="0"/>
          <c:showBubbleSize val="0"/>
        </c:dLbls>
        <c:smooth val="0"/>
        <c:axId val="498023440"/>
        <c:axId val="498025400"/>
      </c:lineChart>
      <c:catAx>
        <c:axId val="49802344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98025400"/>
        <c:crossesAt val="50"/>
        <c:auto val="1"/>
        <c:lblAlgn val="ctr"/>
        <c:lblOffset val="50"/>
        <c:tickLblSkip val="1"/>
        <c:tickMarkSkip val="12"/>
        <c:noMultiLvlLbl val="1"/>
      </c:catAx>
      <c:valAx>
        <c:axId val="498025400"/>
        <c:scaling>
          <c:orientation val="minMax"/>
          <c:max val="66"/>
          <c:min val="3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98023440"/>
        <c:crosses val="autoZero"/>
        <c:crossBetween val="between"/>
        <c:majorUnit val="8"/>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Producción</a:t>
            </a:r>
          </a:p>
        </c:rich>
      </c:tx>
      <c:layout>
        <c:manualLayout>
          <c:xMode val="edge"/>
          <c:yMode val="edge"/>
          <c:x val="0.41525705705705707"/>
          <c:y val="0"/>
        </c:manualLayout>
      </c:layout>
      <c:overlay val="1"/>
    </c:title>
    <c:autoTitleDeleted val="0"/>
    <c:plotArea>
      <c:layout>
        <c:manualLayout>
          <c:layoutTarget val="inner"/>
          <c:xMode val="edge"/>
          <c:yMode val="edge"/>
          <c:x val="5.598544266191325E-2"/>
          <c:y val="8.3418402777777775E-2"/>
          <c:w val="0.93080897207368285"/>
          <c:h val="0.70982031249999999"/>
        </c:manualLayout>
      </c:layout>
      <c:lineChart>
        <c:grouping val="standard"/>
        <c:varyColors val="0"/>
        <c:ser>
          <c:idx val="0"/>
          <c:order val="0"/>
          <c:tx>
            <c:strRef>
              <c:f>'Datos MAN'!$E$4</c:f>
              <c:strCache>
                <c:ptCount val="1"/>
                <c:pt idx="0">
                  <c:v>Serie Desestacionalizada</c:v>
                </c:pt>
              </c:strCache>
            </c:strRef>
          </c:tx>
          <c:spPr>
            <a:ln w="15875">
              <a:solidFill>
                <a:srgbClr val="3D6AA1"/>
              </a:solidFill>
            </a:ln>
          </c:spPr>
          <c:marker>
            <c:symbol val="none"/>
          </c:marker>
          <c:cat>
            <c:multiLvlStrRef>
              <c:f>'Datos MAN'!$A$161:$B$232</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 MAN'!$E$161:$E$232</c:f>
              <c:numCache>
                <c:formatCode>0.0_)</c:formatCode>
                <c:ptCount val="63"/>
                <c:pt idx="0">
                  <c:v>55.341717154966098</c:v>
                </c:pt>
                <c:pt idx="1">
                  <c:v>55.135209806738303</c:v>
                </c:pt>
                <c:pt idx="2">
                  <c:v>55.731677419005898</c:v>
                </c:pt>
                <c:pt idx="3">
                  <c:v>57.795664344756801</c:v>
                </c:pt>
                <c:pt idx="4">
                  <c:v>55.695800307220999</c:v>
                </c:pt>
                <c:pt idx="5">
                  <c:v>54.637743981544702</c:v>
                </c:pt>
                <c:pt idx="6">
                  <c:v>54.607269620811898</c:v>
                </c:pt>
                <c:pt idx="7">
                  <c:v>56.015493220077502</c:v>
                </c:pt>
                <c:pt idx="8">
                  <c:v>52.480393443482797</c:v>
                </c:pt>
                <c:pt idx="9">
                  <c:v>55.411369183081</c:v>
                </c:pt>
                <c:pt idx="10">
                  <c:v>49.225930135188101</c:v>
                </c:pt>
                <c:pt idx="11">
                  <c:v>50.412249651859298</c:v>
                </c:pt>
                <c:pt idx="12">
                  <c:v>54.326722968999498</c:v>
                </c:pt>
                <c:pt idx="13">
                  <c:v>52.854296597229997</c:v>
                </c:pt>
                <c:pt idx="14">
                  <c:v>57.442570855902403</c:v>
                </c:pt>
                <c:pt idx="15">
                  <c:v>50.757256950337002</c:v>
                </c:pt>
                <c:pt idx="16">
                  <c:v>52.2493686387186</c:v>
                </c:pt>
                <c:pt idx="17">
                  <c:v>51.586143105600001</c:v>
                </c:pt>
                <c:pt idx="18">
                  <c:v>52.119424563597498</c:v>
                </c:pt>
                <c:pt idx="19">
                  <c:v>51.231869965433503</c:v>
                </c:pt>
                <c:pt idx="20">
                  <c:v>52.1932861060547</c:v>
                </c:pt>
                <c:pt idx="21">
                  <c:v>53.461969126524998</c:v>
                </c:pt>
                <c:pt idx="22">
                  <c:v>52.115290169001298</c:v>
                </c:pt>
                <c:pt idx="23">
                  <c:v>52.847276234743099</c:v>
                </c:pt>
                <c:pt idx="24">
                  <c:v>53.611184252339299</c:v>
                </c:pt>
                <c:pt idx="25">
                  <c:v>51.735601796772798</c:v>
                </c:pt>
                <c:pt idx="26">
                  <c:v>52.216536628603698</c:v>
                </c:pt>
                <c:pt idx="27">
                  <c:v>54.115477775522599</c:v>
                </c:pt>
                <c:pt idx="28">
                  <c:v>53.696709768939797</c:v>
                </c:pt>
                <c:pt idx="29">
                  <c:v>52.916201506519897</c:v>
                </c:pt>
                <c:pt idx="30">
                  <c:v>51.051608832236802</c:v>
                </c:pt>
                <c:pt idx="31">
                  <c:v>53.980505784815001</c:v>
                </c:pt>
                <c:pt idx="32">
                  <c:v>52.160154441234098</c:v>
                </c:pt>
                <c:pt idx="33">
                  <c:v>48.668607796096403</c:v>
                </c:pt>
                <c:pt idx="34">
                  <c:v>51.314685868749201</c:v>
                </c:pt>
                <c:pt idx="35">
                  <c:v>52.321213145102703</c:v>
                </c:pt>
                <c:pt idx="36">
                  <c:v>51.202815057444901</c:v>
                </c:pt>
                <c:pt idx="37">
                  <c:v>52.349124960111901</c:v>
                </c:pt>
                <c:pt idx="38">
                  <c:v>48.393623634490602</c:v>
                </c:pt>
                <c:pt idx="39">
                  <c:v>39.826772549532997</c:v>
                </c:pt>
                <c:pt idx="40">
                  <c:v>41.704616036014698</c:v>
                </c:pt>
                <c:pt idx="41">
                  <c:v>50.6819361443604</c:v>
                </c:pt>
                <c:pt idx="42">
                  <c:v>50.540239062293502</c:v>
                </c:pt>
                <c:pt idx="43">
                  <c:v>49.625508201212597</c:v>
                </c:pt>
                <c:pt idx="44">
                  <c:v>52.832141091693202</c:v>
                </c:pt>
                <c:pt idx="45">
                  <c:v>50.188452154809397</c:v>
                </c:pt>
                <c:pt idx="46">
                  <c:v>49.860325165198198</c:v>
                </c:pt>
                <c:pt idx="47">
                  <c:v>49.4083499922356</c:v>
                </c:pt>
                <c:pt idx="48">
                  <c:v>49.245930542430401</c:v>
                </c:pt>
                <c:pt idx="49">
                  <c:v>48.707978323796297</c:v>
                </c:pt>
                <c:pt idx="50">
                  <c:v>53.267725808959</c:v>
                </c:pt>
                <c:pt idx="51">
                  <c:v>48.923153050905299</c:v>
                </c:pt>
                <c:pt idx="52">
                  <c:v>50.888450442098403</c:v>
                </c:pt>
                <c:pt idx="53">
                  <c:v>50.607597384292902</c:v>
                </c:pt>
                <c:pt idx="54">
                  <c:v>51.886707197514099</c:v>
                </c:pt>
                <c:pt idx="55">
                  <c:v>50.806967781870704</c:v>
                </c:pt>
                <c:pt idx="56">
                  <c:v>50.465385065960099</c:v>
                </c:pt>
                <c:pt idx="57">
                  <c:v>51.533068279261201</c:v>
                </c:pt>
                <c:pt idx="58">
                  <c:v>52.448715596002998</c:v>
                </c:pt>
                <c:pt idx="59">
                  <c:v>51.429261934396003</c:v>
                </c:pt>
                <c:pt idx="60">
                  <c:v>51.460869028089299</c:v>
                </c:pt>
                <c:pt idx="61">
                  <c:v>55.434196092593297</c:v>
                </c:pt>
                <c:pt idx="62">
                  <c:v>52.85716762154</c:v>
                </c:pt>
              </c:numCache>
            </c:numRef>
          </c:val>
          <c:smooth val="0"/>
          <c:extLst>
            <c:ext xmlns:c16="http://schemas.microsoft.com/office/drawing/2014/chart" uri="{C3380CC4-5D6E-409C-BE32-E72D297353CC}">
              <c16:uniqueId val="{00000000-216F-4B0B-A762-92B9B0898F09}"/>
            </c:ext>
          </c:extLst>
        </c:ser>
        <c:ser>
          <c:idx val="1"/>
          <c:order val="1"/>
          <c:tx>
            <c:strRef>
              <c:f>'Datos MAN'!$F$4</c:f>
              <c:strCache>
                <c:ptCount val="1"/>
                <c:pt idx="0">
                  <c:v>Serie de Tendencia-Ciclo</c:v>
                </c:pt>
              </c:strCache>
            </c:strRef>
          </c:tx>
          <c:spPr>
            <a:ln w="12700">
              <a:solidFill>
                <a:srgbClr val="C00000"/>
              </a:solidFill>
            </a:ln>
          </c:spPr>
          <c:marker>
            <c:symbol val="none"/>
          </c:marker>
          <c:cat>
            <c:multiLvlStrRef>
              <c:f>'Datos MAN'!$A$161:$B$232</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 MAN'!$F$161:$F$232</c:f>
              <c:numCache>
                <c:formatCode>0.0_)</c:formatCode>
                <c:ptCount val="63"/>
                <c:pt idx="0">
                  <c:v>55.995501967750201</c:v>
                </c:pt>
                <c:pt idx="1">
                  <c:v>55.8804152997062</c:v>
                </c:pt>
                <c:pt idx="2">
                  <c:v>55.733037357391403</c:v>
                </c:pt>
                <c:pt idx="3">
                  <c:v>55.552518165962098</c:v>
                </c:pt>
                <c:pt idx="4">
                  <c:v>55.340097860287997</c:v>
                </c:pt>
                <c:pt idx="5">
                  <c:v>55.085031685892197</c:v>
                </c:pt>
                <c:pt idx="6">
                  <c:v>54.785204086883397</c:v>
                </c:pt>
                <c:pt idx="7">
                  <c:v>54.452037546708603</c:v>
                </c:pt>
                <c:pt idx="8">
                  <c:v>54.102915085056303</c:v>
                </c:pt>
                <c:pt idx="9">
                  <c:v>53.749148857019101</c:v>
                </c:pt>
                <c:pt idx="10">
                  <c:v>53.402569867050403</c:v>
                </c:pt>
                <c:pt idx="11">
                  <c:v>53.076508531359103</c:v>
                </c:pt>
                <c:pt idx="12">
                  <c:v>52.780132931448698</c:v>
                </c:pt>
                <c:pt idx="13">
                  <c:v>52.523157743575098</c:v>
                </c:pt>
                <c:pt idx="14">
                  <c:v>52.314682230590101</c:v>
                </c:pt>
                <c:pt idx="15">
                  <c:v>52.158276243032802</c:v>
                </c:pt>
                <c:pt idx="16">
                  <c:v>52.050140428494203</c:v>
                </c:pt>
                <c:pt idx="17">
                  <c:v>51.995417161420399</c:v>
                </c:pt>
                <c:pt idx="18">
                  <c:v>51.996848873670601</c:v>
                </c:pt>
                <c:pt idx="19">
                  <c:v>52.060150892864002</c:v>
                </c:pt>
                <c:pt idx="20">
                  <c:v>52.174411572557503</c:v>
                </c:pt>
                <c:pt idx="21">
                  <c:v>52.331621121044201</c:v>
                </c:pt>
                <c:pt idx="22">
                  <c:v>52.508129364802897</c:v>
                </c:pt>
                <c:pt idx="23">
                  <c:v>52.684531658948202</c:v>
                </c:pt>
                <c:pt idx="24">
                  <c:v>52.830778958333298</c:v>
                </c:pt>
                <c:pt idx="25">
                  <c:v>52.925277841036099</c:v>
                </c:pt>
                <c:pt idx="26">
                  <c:v>52.961463258812302</c:v>
                </c:pt>
                <c:pt idx="27">
                  <c:v>52.9451669599827</c:v>
                </c:pt>
                <c:pt idx="28">
                  <c:v>52.886795017069502</c:v>
                </c:pt>
                <c:pt idx="29">
                  <c:v>52.7926046821404</c:v>
                </c:pt>
                <c:pt idx="30">
                  <c:v>52.666363750983699</c:v>
                </c:pt>
                <c:pt idx="31">
                  <c:v>52.506449504654597</c:v>
                </c:pt>
                <c:pt idx="32">
                  <c:v>52.316683840951697</c:v>
                </c:pt>
                <c:pt idx="33">
                  <c:v>52.093113469024402</c:v>
                </c:pt>
                <c:pt idx="34">
                  <c:v>51.841702772205799</c:v>
                </c:pt>
                <c:pt idx="35">
                  <c:v>51.578943519493102</c:v>
                </c:pt>
                <c:pt idx="36">
                  <c:v>51.317990859306803</c:v>
                </c:pt>
                <c:pt idx="37">
                  <c:v>51.074304770445899</c:v>
                </c:pt>
                <c:pt idx="38">
                  <c:v>50.861329591544099</c:v>
                </c:pt>
                <c:pt idx="39">
                  <c:v>50.669625609510902</c:v>
                </c:pt>
                <c:pt idx="40">
                  <c:v>50.493251834609197</c:v>
                </c:pt>
                <c:pt idx="41">
                  <c:v>50.328217299759203</c:v>
                </c:pt>
                <c:pt idx="42">
                  <c:v>50.172374815367597</c:v>
                </c:pt>
                <c:pt idx="43">
                  <c:v>50.018337170448</c:v>
                </c:pt>
                <c:pt idx="44">
                  <c:v>49.864947109093599</c:v>
                </c:pt>
                <c:pt idx="45">
                  <c:v>49.734603461149</c:v>
                </c:pt>
                <c:pt idx="46">
                  <c:v>49.638782862915598</c:v>
                </c:pt>
                <c:pt idx="47">
                  <c:v>49.580381823451702</c:v>
                </c:pt>
                <c:pt idx="48">
                  <c:v>49.5680237365845</c:v>
                </c:pt>
                <c:pt idx="49">
                  <c:v>49.616739715919302</c:v>
                </c:pt>
                <c:pt idx="50">
                  <c:v>49.7317049841215</c:v>
                </c:pt>
                <c:pt idx="51">
                  <c:v>49.914688736764703</c:v>
                </c:pt>
                <c:pt idx="52">
                  <c:v>50.155500686994301</c:v>
                </c:pt>
                <c:pt idx="53">
                  <c:v>50.439243749921097</c:v>
                </c:pt>
                <c:pt idx="54">
                  <c:v>50.744562932791801</c:v>
                </c:pt>
                <c:pt idx="55">
                  <c:v>51.049899686354202</c:v>
                </c:pt>
                <c:pt idx="56">
                  <c:v>51.333206204680998</c:v>
                </c:pt>
                <c:pt idx="57">
                  <c:v>51.565770119902702</c:v>
                </c:pt>
                <c:pt idx="58">
                  <c:v>51.734288509609598</c:v>
                </c:pt>
                <c:pt idx="59">
                  <c:v>51.834083021447</c:v>
                </c:pt>
                <c:pt idx="60">
                  <c:v>51.869584195617499</c:v>
                </c:pt>
                <c:pt idx="61">
                  <c:v>51.848567130678603</c:v>
                </c:pt>
                <c:pt idx="62">
                  <c:v>51.775405609101398</c:v>
                </c:pt>
              </c:numCache>
            </c:numRef>
          </c:val>
          <c:smooth val="0"/>
          <c:extLst>
            <c:ext xmlns:c16="http://schemas.microsoft.com/office/drawing/2014/chart" uri="{C3380CC4-5D6E-409C-BE32-E72D297353CC}">
              <c16:uniqueId val="{00000001-216F-4B0B-A762-92B9B0898F09}"/>
            </c:ext>
          </c:extLst>
        </c:ser>
        <c:dLbls>
          <c:showLegendKey val="0"/>
          <c:showVal val="0"/>
          <c:showCatName val="0"/>
          <c:showSerName val="0"/>
          <c:showPercent val="0"/>
          <c:showBubbleSize val="0"/>
        </c:dLbls>
        <c:smooth val="0"/>
        <c:axId val="402825224"/>
        <c:axId val="402826008"/>
      </c:lineChart>
      <c:catAx>
        <c:axId val="40282522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02826008"/>
        <c:crossesAt val="50"/>
        <c:auto val="1"/>
        <c:lblAlgn val="ctr"/>
        <c:lblOffset val="50"/>
        <c:tickLblSkip val="1"/>
        <c:tickMarkSkip val="12"/>
        <c:noMultiLvlLbl val="1"/>
      </c:catAx>
      <c:valAx>
        <c:axId val="402826008"/>
        <c:scaling>
          <c:orientation val="minMax"/>
          <c:max val="59"/>
          <c:min val="38"/>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02825224"/>
        <c:crosses val="autoZero"/>
        <c:crossBetween val="between"/>
        <c:majorUnit val="6"/>
      </c:valAx>
      <c:spPr>
        <a:noFill/>
      </c:spPr>
    </c:plotArea>
    <c:legend>
      <c:legendPos val="b"/>
      <c:layout>
        <c:manualLayout>
          <c:xMode val="edge"/>
          <c:yMode val="edge"/>
          <c:x val="0.14382231805666484"/>
          <c:y val="0.92057021341707268"/>
          <c:w val="0.70494865324357503"/>
          <c:h val="7.9429914529914533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Demanda nacional de servicios</a:t>
            </a:r>
          </a:p>
        </c:rich>
      </c:tx>
      <c:layout>
        <c:manualLayout>
          <c:xMode val="edge"/>
          <c:yMode val="edge"/>
          <c:x val="0.3108258136043846"/>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SERV'!$G$4</c:f>
              <c:strCache>
                <c:ptCount val="1"/>
                <c:pt idx="0">
                  <c:v>Serie Desestacionalizada</c:v>
                </c:pt>
              </c:strCache>
            </c:strRef>
          </c:tx>
          <c:spPr>
            <a:ln w="15875">
              <a:solidFill>
                <a:srgbClr val="3D6AA1"/>
              </a:solidFill>
            </a:ln>
          </c:spPr>
          <c:marker>
            <c:symbol val="none"/>
          </c:marker>
          <c:cat>
            <c:multiLvlStrRef>
              <c:f>'Datos SERV'!$A$5:$B$76</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 SERV'!$G$5:$G$76</c:f>
              <c:numCache>
                <c:formatCode>0.0_)</c:formatCode>
                <c:ptCount val="63"/>
                <c:pt idx="0">
                  <c:v>51.661215611405403</c:v>
                </c:pt>
                <c:pt idx="1">
                  <c:v>53.997003214114102</c:v>
                </c:pt>
                <c:pt idx="2">
                  <c:v>52.889134937713301</c:v>
                </c:pt>
                <c:pt idx="3">
                  <c:v>53.490345696213701</c:v>
                </c:pt>
                <c:pt idx="4">
                  <c:v>53.674848360343397</c:v>
                </c:pt>
                <c:pt idx="5">
                  <c:v>53.985834948242299</c:v>
                </c:pt>
                <c:pt idx="6">
                  <c:v>52.624613982382897</c:v>
                </c:pt>
                <c:pt idx="7">
                  <c:v>53.725263842468301</c:v>
                </c:pt>
                <c:pt idx="8">
                  <c:v>56.093375338360602</c:v>
                </c:pt>
                <c:pt idx="9">
                  <c:v>54.984614398087501</c:v>
                </c:pt>
                <c:pt idx="10">
                  <c:v>61.200579282727901</c:v>
                </c:pt>
                <c:pt idx="11">
                  <c:v>56.982385854740201</c:v>
                </c:pt>
                <c:pt idx="12">
                  <c:v>58.0310071442441</c:v>
                </c:pt>
                <c:pt idx="13">
                  <c:v>56.164807363839302</c:v>
                </c:pt>
                <c:pt idx="14">
                  <c:v>56.976643282357998</c:v>
                </c:pt>
                <c:pt idx="15">
                  <c:v>53.176758053299899</c:v>
                </c:pt>
                <c:pt idx="16">
                  <c:v>56.268729983207102</c:v>
                </c:pt>
                <c:pt idx="17">
                  <c:v>60.859498553735101</c:v>
                </c:pt>
                <c:pt idx="18">
                  <c:v>58.987321659540797</c:v>
                </c:pt>
                <c:pt idx="19">
                  <c:v>54.590498557643897</c:v>
                </c:pt>
                <c:pt idx="20">
                  <c:v>54.599678569634698</c:v>
                </c:pt>
                <c:pt idx="21">
                  <c:v>56.590921153599503</c:v>
                </c:pt>
                <c:pt idx="22">
                  <c:v>55.299519693033403</c:v>
                </c:pt>
                <c:pt idx="23">
                  <c:v>56.649002134921297</c:v>
                </c:pt>
                <c:pt idx="24">
                  <c:v>57.819428177568</c:v>
                </c:pt>
                <c:pt idx="25">
                  <c:v>56.516263113008101</c:v>
                </c:pt>
                <c:pt idx="26">
                  <c:v>53.609868481459301</c:v>
                </c:pt>
                <c:pt idx="27">
                  <c:v>59.600752468305402</c:v>
                </c:pt>
                <c:pt idx="28">
                  <c:v>53.0807881659195</c:v>
                </c:pt>
                <c:pt idx="29">
                  <c:v>53.830289754400397</c:v>
                </c:pt>
                <c:pt idx="30">
                  <c:v>55.638655826786398</c:v>
                </c:pt>
                <c:pt idx="31">
                  <c:v>53.443781528802099</c:v>
                </c:pt>
                <c:pt idx="32">
                  <c:v>50.5277381339721</c:v>
                </c:pt>
                <c:pt idx="33">
                  <c:v>52.082942520413198</c:v>
                </c:pt>
                <c:pt idx="34">
                  <c:v>54.9776802694171</c:v>
                </c:pt>
                <c:pt idx="35">
                  <c:v>52.661982262435203</c:v>
                </c:pt>
                <c:pt idx="36">
                  <c:v>52.023463522779601</c:v>
                </c:pt>
                <c:pt idx="37">
                  <c:v>50.807123497391402</c:v>
                </c:pt>
                <c:pt idx="38">
                  <c:v>40.700576680520797</c:v>
                </c:pt>
                <c:pt idx="39">
                  <c:v>33.0909392297716</c:v>
                </c:pt>
                <c:pt idx="40">
                  <c:v>36.769083957225199</c:v>
                </c:pt>
                <c:pt idx="41">
                  <c:v>52.1784308247083</c:v>
                </c:pt>
                <c:pt idx="42">
                  <c:v>52.721898169723403</c:v>
                </c:pt>
                <c:pt idx="43">
                  <c:v>55.216960122201797</c:v>
                </c:pt>
                <c:pt idx="44">
                  <c:v>55.398151095519601</c:v>
                </c:pt>
                <c:pt idx="45">
                  <c:v>53.538118255011199</c:v>
                </c:pt>
                <c:pt idx="46">
                  <c:v>52.914957117847798</c:v>
                </c:pt>
                <c:pt idx="47">
                  <c:v>53.260134532392897</c:v>
                </c:pt>
                <c:pt idx="48">
                  <c:v>43.243876382182002</c:v>
                </c:pt>
                <c:pt idx="49">
                  <c:v>55.165114216229703</c:v>
                </c:pt>
                <c:pt idx="50">
                  <c:v>48.229738813027303</c:v>
                </c:pt>
                <c:pt idx="51">
                  <c:v>54.612317480097197</c:v>
                </c:pt>
                <c:pt idx="52">
                  <c:v>55.046216213341999</c:v>
                </c:pt>
                <c:pt idx="53">
                  <c:v>54.3722437839183</c:v>
                </c:pt>
                <c:pt idx="54">
                  <c:v>50.841396763661002</c:v>
                </c:pt>
                <c:pt idx="55">
                  <c:v>52.098720392209799</c:v>
                </c:pt>
                <c:pt idx="56">
                  <c:v>52.508996239136899</c:v>
                </c:pt>
                <c:pt idx="57">
                  <c:v>56.424985312405603</c:v>
                </c:pt>
                <c:pt idx="58">
                  <c:v>50.770846954835697</c:v>
                </c:pt>
                <c:pt idx="59">
                  <c:v>51.097887823484299</c:v>
                </c:pt>
                <c:pt idx="60">
                  <c:v>47.990707774079098</c:v>
                </c:pt>
                <c:pt idx="61">
                  <c:v>47.365457054846097</c:v>
                </c:pt>
                <c:pt idx="62">
                  <c:v>57.063658588005701</c:v>
                </c:pt>
              </c:numCache>
            </c:numRef>
          </c:val>
          <c:smooth val="0"/>
          <c:extLst>
            <c:ext xmlns:c16="http://schemas.microsoft.com/office/drawing/2014/chart" uri="{C3380CC4-5D6E-409C-BE32-E72D297353CC}">
              <c16:uniqueId val="{00000000-361F-4C92-A085-9EF6050014BD}"/>
            </c:ext>
          </c:extLst>
        </c:ser>
        <c:ser>
          <c:idx val="1"/>
          <c:order val="1"/>
          <c:tx>
            <c:strRef>
              <c:f>'Datos SERV'!$H$4</c:f>
              <c:strCache>
                <c:ptCount val="1"/>
                <c:pt idx="0">
                  <c:v>Serie de Tendencia-Ciclo</c:v>
                </c:pt>
              </c:strCache>
            </c:strRef>
          </c:tx>
          <c:spPr>
            <a:ln w="12700">
              <a:solidFill>
                <a:srgbClr val="C00000"/>
              </a:solidFill>
            </a:ln>
          </c:spPr>
          <c:marker>
            <c:symbol val="none"/>
          </c:marker>
          <c:cat>
            <c:multiLvlStrRef>
              <c:f>'Datos SERV'!$A$5:$B$76</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 SERV'!$H$5:$H$76</c:f>
              <c:numCache>
                <c:formatCode>0.0_)</c:formatCode>
                <c:ptCount val="63"/>
                <c:pt idx="0">
                  <c:v>52.373582860269799</c:v>
                </c:pt>
                <c:pt idx="1">
                  <c:v>52.5902437413013</c:v>
                </c:pt>
                <c:pt idx="2">
                  <c:v>52.914857003486397</c:v>
                </c:pt>
                <c:pt idx="3">
                  <c:v>53.205335698863998</c:v>
                </c:pt>
                <c:pt idx="4">
                  <c:v>53.513974700223599</c:v>
                </c:pt>
                <c:pt idx="5">
                  <c:v>53.854559071713901</c:v>
                </c:pt>
                <c:pt idx="6">
                  <c:v>54.246560435536203</c:v>
                </c:pt>
                <c:pt idx="7">
                  <c:v>54.681320168208501</c:v>
                </c:pt>
                <c:pt idx="8">
                  <c:v>55.126216320444499</c:v>
                </c:pt>
                <c:pt idx="9">
                  <c:v>55.5991557476368</c:v>
                </c:pt>
                <c:pt idx="10">
                  <c:v>56.058556114127903</c:v>
                </c:pt>
                <c:pt idx="11">
                  <c:v>56.460481274774502</c:v>
                </c:pt>
                <c:pt idx="12">
                  <c:v>56.768016065495502</c:v>
                </c:pt>
                <c:pt idx="13">
                  <c:v>56.950743994344201</c:v>
                </c:pt>
                <c:pt idx="14">
                  <c:v>56.997635429754702</c:v>
                </c:pt>
                <c:pt idx="15">
                  <c:v>56.943312230490598</c:v>
                </c:pt>
                <c:pt idx="16">
                  <c:v>56.8242670727088</c:v>
                </c:pt>
                <c:pt idx="17">
                  <c:v>56.684035021517403</c:v>
                </c:pt>
                <c:pt idx="18">
                  <c:v>56.552071781490902</c:v>
                </c:pt>
                <c:pt idx="19">
                  <c:v>56.4316271700147</c:v>
                </c:pt>
                <c:pt idx="20">
                  <c:v>56.312838266271797</c:v>
                </c:pt>
                <c:pt idx="21">
                  <c:v>56.193000170824199</c:v>
                </c:pt>
                <c:pt idx="22">
                  <c:v>56.0656644095682</c:v>
                </c:pt>
                <c:pt idx="23">
                  <c:v>55.898175854605597</c:v>
                </c:pt>
                <c:pt idx="24">
                  <c:v>55.676165535779901</c:v>
                </c:pt>
                <c:pt idx="25">
                  <c:v>55.400601851828</c:v>
                </c:pt>
                <c:pt idx="26">
                  <c:v>55.0891009998859</c:v>
                </c:pt>
                <c:pt idx="27">
                  <c:v>54.737955284339399</c:v>
                </c:pt>
                <c:pt idx="28">
                  <c:v>54.359974035362903</c:v>
                </c:pt>
                <c:pt idx="29">
                  <c:v>53.970706134391897</c:v>
                </c:pt>
                <c:pt idx="30">
                  <c:v>53.594015317800498</c:v>
                </c:pt>
                <c:pt idx="31">
                  <c:v>53.260614064210202</c:v>
                </c:pt>
                <c:pt idx="32">
                  <c:v>52.990055779519302</c:v>
                </c:pt>
                <c:pt idx="33">
                  <c:v>52.773034411325497</c:v>
                </c:pt>
                <c:pt idx="34">
                  <c:v>52.6082319681733</c:v>
                </c:pt>
                <c:pt idx="35">
                  <c:v>52.506308950254997</c:v>
                </c:pt>
                <c:pt idx="36">
                  <c:v>52.468096840135203</c:v>
                </c:pt>
                <c:pt idx="37">
                  <c:v>52.500692223964599</c:v>
                </c:pt>
                <c:pt idx="38">
                  <c:v>52.602760568799702</c:v>
                </c:pt>
                <c:pt idx="39">
                  <c:v>52.766621993812201</c:v>
                </c:pt>
                <c:pt idx="40">
                  <c:v>52.963964912040502</c:v>
                </c:pt>
                <c:pt idx="41">
                  <c:v>53.1673760871534</c:v>
                </c:pt>
                <c:pt idx="42">
                  <c:v>53.352245865502702</c:v>
                </c:pt>
                <c:pt idx="43">
                  <c:v>53.525775495138198</c:v>
                </c:pt>
                <c:pt idx="44">
                  <c:v>53.699640649334803</c:v>
                </c:pt>
                <c:pt idx="45">
                  <c:v>53.8631904368346</c:v>
                </c:pt>
                <c:pt idx="46">
                  <c:v>53.992066014696498</c:v>
                </c:pt>
                <c:pt idx="47">
                  <c:v>54.073848755085898</c:v>
                </c:pt>
                <c:pt idx="48">
                  <c:v>54.109337366530099</c:v>
                </c:pt>
                <c:pt idx="49">
                  <c:v>54.090622863495099</c:v>
                </c:pt>
                <c:pt idx="50">
                  <c:v>54.003930604040697</c:v>
                </c:pt>
                <c:pt idx="51">
                  <c:v>53.833629043730497</c:v>
                </c:pt>
                <c:pt idx="52">
                  <c:v>53.583515472203899</c:v>
                </c:pt>
                <c:pt idx="53">
                  <c:v>53.2561590136227</c:v>
                </c:pt>
                <c:pt idx="54">
                  <c:v>52.8705540127457</c:v>
                </c:pt>
                <c:pt idx="55">
                  <c:v>52.453062128433501</c:v>
                </c:pt>
                <c:pt idx="56">
                  <c:v>52.0393450816089</c:v>
                </c:pt>
                <c:pt idx="57">
                  <c:v>51.680747127737497</c:v>
                </c:pt>
                <c:pt idx="58">
                  <c:v>51.419375936278797</c:v>
                </c:pt>
                <c:pt idx="59">
                  <c:v>51.284037462383701</c:v>
                </c:pt>
                <c:pt idx="60">
                  <c:v>51.278970649772901</c:v>
                </c:pt>
                <c:pt idx="61">
                  <c:v>51.389971797565302</c:v>
                </c:pt>
                <c:pt idx="62">
                  <c:v>51.581051114537502</c:v>
                </c:pt>
              </c:numCache>
            </c:numRef>
          </c:val>
          <c:smooth val="0"/>
          <c:extLst>
            <c:ext xmlns:c16="http://schemas.microsoft.com/office/drawing/2014/chart" uri="{C3380CC4-5D6E-409C-BE32-E72D297353CC}">
              <c16:uniqueId val="{00000001-361F-4C92-A085-9EF6050014BD}"/>
            </c:ext>
          </c:extLst>
        </c:ser>
        <c:dLbls>
          <c:showLegendKey val="0"/>
          <c:showVal val="0"/>
          <c:showCatName val="0"/>
          <c:showSerName val="0"/>
          <c:showPercent val="0"/>
          <c:showBubbleSize val="0"/>
        </c:dLbls>
        <c:smooth val="0"/>
        <c:axId val="498023832"/>
        <c:axId val="498024224"/>
      </c:lineChart>
      <c:catAx>
        <c:axId val="49802383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98024224"/>
        <c:crossesAt val="50"/>
        <c:auto val="1"/>
        <c:lblAlgn val="ctr"/>
        <c:lblOffset val="50"/>
        <c:tickLblSkip val="1"/>
        <c:tickMarkSkip val="12"/>
        <c:noMultiLvlLbl val="1"/>
      </c:catAx>
      <c:valAx>
        <c:axId val="498024224"/>
        <c:scaling>
          <c:orientation val="minMax"/>
          <c:max val="64"/>
          <c:min val="3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98023832"/>
        <c:crosses val="autoZero"/>
        <c:crossBetween val="between"/>
        <c:majorUnit val="9"/>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Gastos por consumo de bienes y servicios</a:t>
            </a:r>
          </a:p>
        </c:rich>
      </c:tx>
      <c:layout>
        <c:manualLayout>
          <c:xMode val="edge"/>
          <c:yMode val="edge"/>
          <c:x val="0.24205285927862522"/>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SERV'!$I$4</c:f>
              <c:strCache>
                <c:ptCount val="1"/>
                <c:pt idx="0">
                  <c:v>Serie Desestacionalizada</c:v>
                </c:pt>
              </c:strCache>
            </c:strRef>
          </c:tx>
          <c:spPr>
            <a:ln w="15875">
              <a:solidFill>
                <a:srgbClr val="3D6AA1"/>
              </a:solidFill>
            </a:ln>
          </c:spPr>
          <c:marker>
            <c:symbol val="none"/>
          </c:marker>
          <c:cat>
            <c:multiLvlStrRef>
              <c:f>'Datos SERV'!$A$5:$B$76</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 SERV'!$I$5:$I$76</c:f>
              <c:numCache>
                <c:formatCode>0.0_)</c:formatCode>
                <c:ptCount val="63"/>
                <c:pt idx="0">
                  <c:v>53.128066685208502</c:v>
                </c:pt>
                <c:pt idx="1">
                  <c:v>54.219888093903798</c:v>
                </c:pt>
                <c:pt idx="2">
                  <c:v>52.704412496360298</c:v>
                </c:pt>
                <c:pt idx="3">
                  <c:v>54.726337339181001</c:v>
                </c:pt>
                <c:pt idx="4">
                  <c:v>55.425379494000502</c:v>
                </c:pt>
                <c:pt idx="5">
                  <c:v>49.418495972255897</c:v>
                </c:pt>
                <c:pt idx="6">
                  <c:v>58.290946516347702</c:v>
                </c:pt>
                <c:pt idx="7">
                  <c:v>61.053387331737603</c:v>
                </c:pt>
                <c:pt idx="8">
                  <c:v>57.909183959099302</c:v>
                </c:pt>
                <c:pt idx="9">
                  <c:v>58.569539709757102</c:v>
                </c:pt>
                <c:pt idx="10">
                  <c:v>59.87640213553</c:v>
                </c:pt>
                <c:pt idx="11">
                  <c:v>60.734276808302297</c:v>
                </c:pt>
                <c:pt idx="12">
                  <c:v>56.454234816880799</c:v>
                </c:pt>
                <c:pt idx="13">
                  <c:v>56.878471341575299</c:v>
                </c:pt>
                <c:pt idx="14">
                  <c:v>57.337275154510998</c:v>
                </c:pt>
                <c:pt idx="15">
                  <c:v>58.637311615628299</c:v>
                </c:pt>
                <c:pt idx="16">
                  <c:v>57.536523228666297</c:v>
                </c:pt>
                <c:pt idx="17">
                  <c:v>58.8342183186776</c:v>
                </c:pt>
                <c:pt idx="18">
                  <c:v>54.750547371090398</c:v>
                </c:pt>
                <c:pt idx="19">
                  <c:v>54.182576583554301</c:v>
                </c:pt>
                <c:pt idx="20">
                  <c:v>57.028950473438599</c:v>
                </c:pt>
                <c:pt idx="21">
                  <c:v>52.957086573893498</c:v>
                </c:pt>
                <c:pt idx="22">
                  <c:v>53.788045890902303</c:v>
                </c:pt>
                <c:pt idx="23">
                  <c:v>59.955291861575098</c:v>
                </c:pt>
                <c:pt idx="24">
                  <c:v>56.1154519988443</c:v>
                </c:pt>
                <c:pt idx="25">
                  <c:v>56.564969508478498</c:v>
                </c:pt>
                <c:pt idx="26">
                  <c:v>53.218595483928198</c:v>
                </c:pt>
                <c:pt idx="27">
                  <c:v>62.751568160004403</c:v>
                </c:pt>
                <c:pt idx="28">
                  <c:v>51.323272225866198</c:v>
                </c:pt>
                <c:pt idx="29">
                  <c:v>50.734062827242298</c:v>
                </c:pt>
                <c:pt idx="30">
                  <c:v>53.174779428792903</c:v>
                </c:pt>
                <c:pt idx="31">
                  <c:v>52.090496029317897</c:v>
                </c:pt>
                <c:pt idx="32">
                  <c:v>51.964830339383802</c:v>
                </c:pt>
                <c:pt idx="33">
                  <c:v>55.3727331449562</c:v>
                </c:pt>
                <c:pt idx="34">
                  <c:v>52.211533769584697</c:v>
                </c:pt>
                <c:pt idx="35">
                  <c:v>51.358043111563298</c:v>
                </c:pt>
                <c:pt idx="36">
                  <c:v>54.628694858295503</c:v>
                </c:pt>
                <c:pt idx="37">
                  <c:v>52.103263588255601</c:v>
                </c:pt>
                <c:pt idx="38">
                  <c:v>40.837552502761298</c:v>
                </c:pt>
                <c:pt idx="39">
                  <c:v>37.239114021863003</c:v>
                </c:pt>
                <c:pt idx="40">
                  <c:v>37.993679937267103</c:v>
                </c:pt>
                <c:pt idx="41">
                  <c:v>52.791260551261701</c:v>
                </c:pt>
                <c:pt idx="42">
                  <c:v>51.372209843320803</c:v>
                </c:pt>
                <c:pt idx="43">
                  <c:v>54.326010468894097</c:v>
                </c:pt>
                <c:pt idx="44">
                  <c:v>54.772926008774903</c:v>
                </c:pt>
                <c:pt idx="45">
                  <c:v>54.487449132057201</c:v>
                </c:pt>
                <c:pt idx="46">
                  <c:v>56.491969972954301</c:v>
                </c:pt>
                <c:pt idx="47">
                  <c:v>53.5545461025688</c:v>
                </c:pt>
                <c:pt idx="48">
                  <c:v>41.478073731303198</c:v>
                </c:pt>
                <c:pt idx="49">
                  <c:v>54.418239184465698</c:v>
                </c:pt>
                <c:pt idx="50">
                  <c:v>53.4045783747193</c:v>
                </c:pt>
                <c:pt idx="51">
                  <c:v>52.229762311312797</c:v>
                </c:pt>
                <c:pt idx="52">
                  <c:v>54.614528520039102</c:v>
                </c:pt>
                <c:pt idx="53">
                  <c:v>54.1292466295683</c:v>
                </c:pt>
                <c:pt idx="54">
                  <c:v>57.369600122749397</c:v>
                </c:pt>
                <c:pt idx="55">
                  <c:v>51.705298796199699</c:v>
                </c:pt>
                <c:pt idx="56">
                  <c:v>49.179750943228903</c:v>
                </c:pt>
                <c:pt idx="57">
                  <c:v>49.956455935906597</c:v>
                </c:pt>
                <c:pt idx="58">
                  <c:v>48.080016026096899</c:v>
                </c:pt>
                <c:pt idx="59">
                  <c:v>50.751803027165401</c:v>
                </c:pt>
                <c:pt idx="60">
                  <c:v>47.925068489849501</c:v>
                </c:pt>
                <c:pt idx="61">
                  <c:v>49.240278054494297</c:v>
                </c:pt>
                <c:pt idx="62">
                  <c:v>54.617834714395002</c:v>
                </c:pt>
              </c:numCache>
            </c:numRef>
          </c:val>
          <c:smooth val="0"/>
          <c:extLst>
            <c:ext xmlns:c16="http://schemas.microsoft.com/office/drawing/2014/chart" uri="{C3380CC4-5D6E-409C-BE32-E72D297353CC}">
              <c16:uniqueId val="{00000000-66FC-4F00-BA90-9D4CB34553ED}"/>
            </c:ext>
          </c:extLst>
        </c:ser>
        <c:ser>
          <c:idx val="1"/>
          <c:order val="1"/>
          <c:tx>
            <c:strRef>
              <c:f>'Datos SERV'!$J$4</c:f>
              <c:strCache>
                <c:ptCount val="1"/>
                <c:pt idx="0">
                  <c:v>Serie de Tendencia-Ciclo</c:v>
                </c:pt>
              </c:strCache>
            </c:strRef>
          </c:tx>
          <c:spPr>
            <a:ln w="12700">
              <a:solidFill>
                <a:srgbClr val="C00000"/>
              </a:solidFill>
            </a:ln>
          </c:spPr>
          <c:marker>
            <c:symbol val="none"/>
          </c:marker>
          <c:cat>
            <c:multiLvlStrRef>
              <c:f>'Datos SERV'!$A$5:$B$76</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 SERV'!$J$5:$J$76</c:f>
              <c:numCache>
                <c:formatCode>0.0_)</c:formatCode>
                <c:ptCount val="63"/>
                <c:pt idx="0">
                  <c:v>52.967103479778203</c:v>
                </c:pt>
                <c:pt idx="1">
                  <c:v>53.799599032458801</c:v>
                </c:pt>
                <c:pt idx="2">
                  <c:v>54.476644255574797</c:v>
                </c:pt>
                <c:pt idx="3">
                  <c:v>55.1315798481304</c:v>
                </c:pt>
                <c:pt idx="4">
                  <c:v>55.812465158295801</c:v>
                </c:pt>
                <c:pt idx="5">
                  <c:v>56.502248898717397</c:v>
                </c:pt>
                <c:pt idx="6">
                  <c:v>57.164033531191002</c:v>
                </c:pt>
                <c:pt idx="7">
                  <c:v>57.734202140737601</c:v>
                </c:pt>
                <c:pt idx="8">
                  <c:v>58.213989843618002</c:v>
                </c:pt>
                <c:pt idx="9">
                  <c:v>58.559385523766899</c:v>
                </c:pt>
                <c:pt idx="10">
                  <c:v>58.7307388454959</c:v>
                </c:pt>
                <c:pt idx="11">
                  <c:v>58.732977657487503</c:v>
                </c:pt>
                <c:pt idx="12">
                  <c:v>58.575585096667503</c:v>
                </c:pt>
                <c:pt idx="13">
                  <c:v>58.286076601923099</c:v>
                </c:pt>
                <c:pt idx="14">
                  <c:v>57.8912438033841</c:v>
                </c:pt>
                <c:pt idx="15">
                  <c:v>57.442402838277303</c:v>
                </c:pt>
                <c:pt idx="16">
                  <c:v>56.981567113399102</c:v>
                </c:pt>
                <c:pt idx="17">
                  <c:v>56.5507262565622</c:v>
                </c:pt>
                <c:pt idx="18">
                  <c:v>56.173588912413798</c:v>
                </c:pt>
                <c:pt idx="19">
                  <c:v>55.841214700179698</c:v>
                </c:pt>
                <c:pt idx="20">
                  <c:v>55.541288666216197</c:v>
                </c:pt>
                <c:pt idx="21">
                  <c:v>55.2552256846528</c:v>
                </c:pt>
                <c:pt idx="22">
                  <c:v>54.949460735842997</c:v>
                </c:pt>
                <c:pt idx="23">
                  <c:v>54.613166995395801</c:v>
                </c:pt>
                <c:pt idx="24">
                  <c:v>54.262471349247598</c:v>
                </c:pt>
                <c:pt idx="25">
                  <c:v>53.906882217594898</c:v>
                </c:pt>
                <c:pt idx="26">
                  <c:v>53.5483377021907</c:v>
                </c:pt>
                <c:pt idx="27">
                  <c:v>53.186977841117503</c:v>
                </c:pt>
                <c:pt idx="28">
                  <c:v>52.840084716740598</c:v>
                </c:pt>
                <c:pt idx="29">
                  <c:v>52.544486227008598</c:v>
                </c:pt>
                <c:pt idx="30">
                  <c:v>52.339205909761397</c:v>
                </c:pt>
                <c:pt idx="31">
                  <c:v>52.259352646717602</c:v>
                </c:pt>
                <c:pt idx="32">
                  <c:v>52.295084908853298</c:v>
                </c:pt>
                <c:pt idx="33">
                  <c:v>52.417250801492301</c:v>
                </c:pt>
                <c:pt idx="34">
                  <c:v>52.600186734640403</c:v>
                </c:pt>
                <c:pt idx="35">
                  <c:v>52.787143639826397</c:v>
                </c:pt>
                <c:pt idx="36">
                  <c:v>52.948043601461599</c:v>
                </c:pt>
                <c:pt idx="37">
                  <c:v>53.079050913404799</c:v>
                </c:pt>
                <c:pt idx="38">
                  <c:v>53.195482567785298</c:v>
                </c:pt>
                <c:pt idx="39">
                  <c:v>53.326082133479197</c:v>
                </c:pt>
                <c:pt idx="40">
                  <c:v>53.4897412366239</c:v>
                </c:pt>
                <c:pt idx="41">
                  <c:v>53.681182273741399</c:v>
                </c:pt>
                <c:pt idx="42">
                  <c:v>53.876855811145901</c:v>
                </c:pt>
                <c:pt idx="43">
                  <c:v>54.056175273172997</c:v>
                </c:pt>
                <c:pt idx="44">
                  <c:v>54.2123148813995</c:v>
                </c:pt>
                <c:pt idx="45">
                  <c:v>54.340785882969698</c:v>
                </c:pt>
                <c:pt idx="46">
                  <c:v>54.427626075374498</c:v>
                </c:pt>
                <c:pt idx="47">
                  <c:v>54.467026802411098</c:v>
                </c:pt>
                <c:pt idx="48">
                  <c:v>54.4226285474208</c:v>
                </c:pt>
                <c:pt idx="49">
                  <c:v>54.268621806278503</c:v>
                </c:pt>
                <c:pt idx="50">
                  <c:v>53.9980664626449</c:v>
                </c:pt>
                <c:pt idx="51">
                  <c:v>53.600901603810897</c:v>
                </c:pt>
                <c:pt idx="52">
                  <c:v>53.092037244104098</c:v>
                </c:pt>
                <c:pt idx="53">
                  <c:v>52.498732285826698</c:v>
                </c:pt>
                <c:pt idx="54">
                  <c:v>51.860898482289102</c:v>
                </c:pt>
                <c:pt idx="55">
                  <c:v>51.221421105230498</c:v>
                </c:pt>
                <c:pt idx="56">
                  <c:v>50.627690737525199</c:v>
                </c:pt>
                <c:pt idx="57">
                  <c:v>50.1335384307325</c:v>
                </c:pt>
                <c:pt idx="58">
                  <c:v>49.784875109258998</c:v>
                </c:pt>
                <c:pt idx="59">
                  <c:v>49.608096577828299</c:v>
                </c:pt>
                <c:pt idx="60">
                  <c:v>49.615081248317999</c:v>
                </c:pt>
                <c:pt idx="61">
                  <c:v>49.7803540170896</c:v>
                </c:pt>
                <c:pt idx="62">
                  <c:v>50.056480098231702</c:v>
                </c:pt>
              </c:numCache>
            </c:numRef>
          </c:val>
          <c:smooth val="0"/>
          <c:extLst>
            <c:ext xmlns:c16="http://schemas.microsoft.com/office/drawing/2014/chart" uri="{C3380CC4-5D6E-409C-BE32-E72D297353CC}">
              <c16:uniqueId val="{00000001-66FC-4F00-BA90-9D4CB34553ED}"/>
            </c:ext>
          </c:extLst>
        </c:ser>
        <c:dLbls>
          <c:showLegendKey val="0"/>
          <c:showVal val="0"/>
          <c:showCatName val="0"/>
          <c:showSerName val="0"/>
          <c:showPercent val="0"/>
          <c:showBubbleSize val="0"/>
        </c:dLbls>
        <c:smooth val="0"/>
        <c:axId val="498025792"/>
        <c:axId val="498021872"/>
      </c:lineChart>
      <c:catAx>
        <c:axId val="49802579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98021872"/>
        <c:crossesAt val="50"/>
        <c:auto val="1"/>
        <c:lblAlgn val="ctr"/>
        <c:lblOffset val="50"/>
        <c:tickLblSkip val="1"/>
        <c:tickMarkSkip val="12"/>
        <c:noMultiLvlLbl val="1"/>
      </c:catAx>
      <c:valAx>
        <c:axId val="498021872"/>
        <c:scaling>
          <c:orientation val="minMax"/>
          <c:max val="66"/>
          <c:min val="3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98025792"/>
        <c:crosses val="autoZero"/>
        <c:crossBetween val="between"/>
        <c:majorUnit val="7"/>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 ocupado total</a:t>
            </a:r>
          </a:p>
        </c:rich>
      </c:tx>
      <c:layout>
        <c:manualLayout>
          <c:xMode val="edge"/>
          <c:yMode val="edge"/>
          <c:x val="0.34984278434348903"/>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SERV'!$K$4</c:f>
              <c:strCache>
                <c:ptCount val="1"/>
                <c:pt idx="0">
                  <c:v>Serie Desestacionalizada</c:v>
                </c:pt>
              </c:strCache>
            </c:strRef>
          </c:tx>
          <c:spPr>
            <a:ln w="15875">
              <a:solidFill>
                <a:srgbClr val="3D6AA1"/>
              </a:solidFill>
            </a:ln>
          </c:spPr>
          <c:marker>
            <c:symbol val="none"/>
          </c:marker>
          <c:cat>
            <c:multiLvlStrRef>
              <c:f>'Datos SERV'!$A$5:$B$76</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 SERV'!$K$5:$K$76</c:f>
              <c:numCache>
                <c:formatCode>0.0_)</c:formatCode>
                <c:ptCount val="63"/>
                <c:pt idx="0">
                  <c:v>50.124758453710299</c:v>
                </c:pt>
                <c:pt idx="1">
                  <c:v>49.484544697249198</c:v>
                </c:pt>
                <c:pt idx="2">
                  <c:v>50.209658248484303</c:v>
                </c:pt>
                <c:pt idx="3">
                  <c:v>50.438927365460898</c:v>
                </c:pt>
                <c:pt idx="4">
                  <c:v>50.367020745504902</c:v>
                </c:pt>
                <c:pt idx="5">
                  <c:v>51.004205205528898</c:v>
                </c:pt>
                <c:pt idx="6">
                  <c:v>50.683528098838501</c:v>
                </c:pt>
                <c:pt idx="7">
                  <c:v>52.502495159650103</c:v>
                </c:pt>
                <c:pt idx="8">
                  <c:v>51.649772060334698</c:v>
                </c:pt>
                <c:pt idx="9">
                  <c:v>50.899479539135001</c:v>
                </c:pt>
                <c:pt idx="10">
                  <c:v>51.682459320409798</c:v>
                </c:pt>
                <c:pt idx="11">
                  <c:v>51.295507360868498</c:v>
                </c:pt>
                <c:pt idx="12">
                  <c:v>51.054022783403298</c:v>
                </c:pt>
                <c:pt idx="13">
                  <c:v>50.557037112838202</c:v>
                </c:pt>
                <c:pt idx="14">
                  <c:v>50.128477686430102</c:v>
                </c:pt>
                <c:pt idx="15">
                  <c:v>50.341438551973098</c:v>
                </c:pt>
                <c:pt idx="16">
                  <c:v>50.781595928978</c:v>
                </c:pt>
                <c:pt idx="17">
                  <c:v>50.064377836545901</c:v>
                </c:pt>
                <c:pt idx="18">
                  <c:v>51.1801916361593</c:v>
                </c:pt>
                <c:pt idx="19">
                  <c:v>50.761769539075203</c:v>
                </c:pt>
                <c:pt idx="20">
                  <c:v>49.988726887094501</c:v>
                </c:pt>
                <c:pt idx="21">
                  <c:v>50.039174986176498</c:v>
                </c:pt>
                <c:pt idx="22">
                  <c:v>50.049584616081503</c:v>
                </c:pt>
                <c:pt idx="23">
                  <c:v>51.963154252314403</c:v>
                </c:pt>
                <c:pt idx="24">
                  <c:v>53.263861216885303</c:v>
                </c:pt>
                <c:pt idx="25">
                  <c:v>52.141300216581598</c:v>
                </c:pt>
                <c:pt idx="26">
                  <c:v>50.034107026230799</c:v>
                </c:pt>
                <c:pt idx="27">
                  <c:v>54.063929120529203</c:v>
                </c:pt>
                <c:pt idx="28">
                  <c:v>50.5537955329998</c:v>
                </c:pt>
                <c:pt idx="29">
                  <c:v>51.1142792835034</c:v>
                </c:pt>
                <c:pt idx="30">
                  <c:v>50.152726589369898</c:v>
                </c:pt>
                <c:pt idx="31">
                  <c:v>50.374379593146898</c:v>
                </c:pt>
                <c:pt idx="32">
                  <c:v>50.879639572984601</c:v>
                </c:pt>
                <c:pt idx="33">
                  <c:v>50.547873900591803</c:v>
                </c:pt>
                <c:pt idx="34">
                  <c:v>49.836819306403903</c:v>
                </c:pt>
                <c:pt idx="35">
                  <c:v>48.715923902564498</c:v>
                </c:pt>
                <c:pt idx="36">
                  <c:v>49.389602887104097</c:v>
                </c:pt>
                <c:pt idx="37">
                  <c:v>49.032906833496497</c:v>
                </c:pt>
                <c:pt idx="38">
                  <c:v>43.167362449807896</c:v>
                </c:pt>
                <c:pt idx="39">
                  <c:v>45.814541399734502</c:v>
                </c:pt>
                <c:pt idx="40">
                  <c:v>43.860005069518799</c:v>
                </c:pt>
                <c:pt idx="41">
                  <c:v>44.981982829804203</c:v>
                </c:pt>
                <c:pt idx="42">
                  <c:v>46.555756984243203</c:v>
                </c:pt>
                <c:pt idx="43">
                  <c:v>46.998666879746999</c:v>
                </c:pt>
                <c:pt idx="44">
                  <c:v>48.140065346572499</c:v>
                </c:pt>
                <c:pt idx="45">
                  <c:v>48.954299967479102</c:v>
                </c:pt>
                <c:pt idx="46">
                  <c:v>49.0013279994469</c:v>
                </c:pt>
                <c:pt idx="47">
                  <c:v>48.0747079667576</c:v>
                </c:pt>
                <c:pt idx="48">
                  <c:v>48.339098187064302</c:v>
                </c:pt>
                <c:pt idx="49">
                  <c:v>48.284468007293199</c:v>
                </c:pt>
                <c:pt idx="50">
                  <c:v>49.828111233728599</c:v>
                </c:pt>
                <c:pt idx="51">
                  <c:v>50.160683501376901</c:v>
                </c:pt>
                <c:pt idx="52">
                  <c:v>52.356906238231304</c:v>
                </c:pt>
                <c:pt idx="53">
                  <c:v>52.1356941341203</c:v>
                </c:pt>
                <c:pt idx="54">
                  <c:v>49.783768153533103</c:v>
                </c:pt>
                <c:pt idx="55">
                  <c:v>47.615124106924803</c:v>
                </c:pt>
                <c:pt idx="56">
                  <c:v>46.935817761159697</c:v>
                </c:pt>
                <c:pt idx="57">
                  <c:v>48.4009239349488</c:v>
                </c:pt>
                <c:pt idx="58">
                  <c:v>48.802671085043897</c:v>
                </c:pt>
                <c:pt idx="59">
                  <c:v>49.907960586778302</c:v>
                </c:pt>
                <c:pt idx="60">
                  <c:v>49.270251216952097</c:v>
                </c:pt>
                <c:pt idx="61">
                  <c:v>49.636319927936903</c:v>
                </c:pt>
                <c:pt idx="62">
                  <c:v>49.9044404544142</c:v>
                </c:pt>
              </c:numCache>
            </c:numRef>
          </c:val>
          <c:smooth val="0"/>
          <c:extLst>
            <c:ext xmlns:c16="http://schemas.microsoft.com/office/drawing/2014/chart" uri="{C3380CC4-5D6E-409C-BE32-E72D297353CC}">
              <c16:uniqueId val="{00000000-4877-4F7D-A7CA-5B220502B5E5}"/>
            </c:ext>
          </c:extLst>
        </c:ser>
        <c:ser>
          <c:idx val="1"/>
          <c:order val="1"/>
          <c:tx>
            <c:strRef>
              <c:f>'Datos SERV'!$L$4</c:f>
              <c:strCache>
                <c:ptCount val="1"/>
                <c:pt idx="0">
                  <c:v>Serie de Tendencia-Ciclo</c:v>
                </c:pt>
              </c:strCache>
            </c:strRef>
          </c:tx>
          <c:spPr>
            <a:ln w="12700">
              <a:solidFill>
                <a:srgbClr val="C00000"/>
              </a:solidFill>
            </a:ln>
          </c:spPr>
          <c:marker>
            <c:symbol val="none"/>
          </c:marker>
          <c:cat>
            <c:multiLvlStrRef>
              <c:f>'Datos SERV'!$A$5:$B$76</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 SERV'!$L$5:$L$76</c:f>
              <c:numCache>
                <c:formatCode>0.0_)</c:formatCode>
                <c:ptCount val="63"/>
                <c:pt idx="0">
                  <c:v>49.8574832791099</c:v>
                </c:pt>
                <c:pt idx="1">
                  <c:v>49.9161920176861</c:v>
                </c:pt>
                <c:pt idx="2">
                  <c:v>50.091539536949398</c:v>
                </c:pt>
                <c:pt idx="3">
                  <c:v>50.317273200187799</c:v>
                </c:pt>
                <c:pt idx="4">
                  <c:v>50.612149333828803</c:v>
                </c:pt>
                <c:pt idx="5">
                  <c:v>50.934781591345597</c:v>
                </c:pt>
                <c:pt idx="6">
                  <c:v>51.234095308664699</c:v>
                </c:pt>
                <c:pt idx="7">
                  <c:v>51.4550513653558</c:v>
                </c:pt>
                <c:pt idx="8">
                  <c:v>51.568266472065098</c:v>
                </c:pt>
                <c:pt idx="9">
                  <c:v>51.559637098307398</c:v>
                </c:pt>
                <c:pt idx="10">
                  <c:v>51.406735893378197</c:v>
                </c:pt>
                <c:pt idx="11">
                  <c:v>51.167111642899002</c:v>
                </c:pt>
                <c:pt idx="12">
                  <c:v>50.893479299646302</c:v>
                </c:pt>
                <c:pt idx="13">
                  <c:v>50.649724928039902</c:v>
                </c:pt>
                <c:pt idx="14">
                  <c:v>50.504976644962497</c:v>
                </c:pt>
                <c:pt idx="15">
                  <c:v>50.450190834271901</c:v>
                </c:pt>
                <c:pt idx="16">
                  <c:v>50.483116935999298</c:v>
                </c:pt>
                <c:pt idx="17">
                  <c:v>50.5123730912375</c:v>
                </c:pt>
                <c:pt idx="18">
                  <c:v>50.481440948844003</c:v>
                </c:pt>
                <c:pt idx="19">
                  <c:v>50.408766674372401</c:v>
                </c:pt>
                <c:pt idx="20">
                  <c:v>50.403620624827496</c:v>
                </c:pt>
                <c:pt idx="21">
                  <c:v>50.539430395055298</c:v>
                </c:pt>
                <c:pt idx="22">
                  <c:v>50.794000313387201</c:v>
                </c:pt>
                <c:pt idx="23">
                  <c:v>51.0538556852431</c:v>
                </c:pt>
                <c:pt idx="24">
                  <c:v>51.229775435033901</c:v>
                </c:pt>
                <c:pt idx="25">
                  <c:v>51.260700525630597</c:v>
                </c:pt>
                <c:pt idx="26">
                  <c:v>51.103394735420302</c:v>
                </c:pt>
                <c:pt idx="27">
                  <c:v>50.848181763973201</c:v>
                </c:pt>
                <c:pt idx="28">
                  <c:v>50.640219774271401</c:v>
                </c:pt>
                <c:pt idx="29">
                  <c:v>50.5727462979808</c:v>
                </c:pt>
                <c:pt idx="30">
                  <c:v>50.591638384157903</c:v>
                </c:pt>
                <c:pt idx="31">
                  <c:v>50.564881737883901</c:v>
                </c:pt>
                <c:pt idx="32">
                  <c:v>50.430791073959902</c:v>
                </c:pt>
                <c:pt idx="33">
                  <c:v>50.178913415926999</c:v>
                </c:pt>
                <c:pt idx="34">
                  <c:v>49.880096489417198</c:v>
                </c:pt>
                <c:pt idx="35">
                  <c:v>49.547126810022299</c:v>
                </c:pt>
                <c:pt idx="36">
                  <c:v>49.147880123959901</c:v>
                </c:pt>
                <c:pt idx="37">
                  <c:v>48.6878117477928</c:v>
                </c:pt>
                <c:pt idx="38">
                  <c:v>48.2207489089486</c:v>
                </c:pt>
                <c:pt idx="39">
                  <c:v>47.796690270835498</c:v>
                </c:pt>
                <c:pt idx="40">
                  <c:v>47.502367982346101</c:v>
                </c:pt>
                <c:pt idx="41">
                  <c:v>47.460847858347996</c:v>
                </c:pt>
                <c:pt idx="42">
                  <c:v>47.706241173981198</c:v>
                </c:pt>
                <c:pt idx="43">
                  <c:v>48.149294538965698</c:v>
                </c:pt>
                <c:pt idx="44">
                  <c:v>48.563924252495397</c:v>
                </c:pt>
                <c:pt idx="45">
                  <c:v>48.802657747934397</c:v>
                </c:pt>
                <c:pt idx="46">
                  <c:v>48.851004182982003</c:v>
                </c:pt>
                <c:pt idx="47">
                  <c:v>48.826905127023501</c:v>
                </c:pt>
                <c:pt idx="48">
                  <c:v>48.892386085970998</c:v>
                </c:pt>
                <c:pt idx="49">
                  <c:v>49.137503038966102</c:v>
                </c:pt>
                <c:pt idx="50">
                  <c:v>49.521869162977602</c:v>
                </c:pt>
                <c:pt idx="51">
                  <c:v>49.926802960751999</c:v>
                </c:pt>
                <c:pt idx="52">
                  <c:v>50.162762849761599</c:v>
                </c:pt>
                <c:pt idx="53">
                  <c:v>50.0929756394669</c:v>
                </c:pt>
                <c:pt idx="54">
                  <c:v>49.772672500265799</c:v>
                </c:pt>
                <c:pt idx="55">
                  <c:v>49.372217073001501</c:v>
                </c:pt>
                <c:pt idx="56">
                  <c:v>49.055019510179001</c:v>
                </c:pt>
                <c:pt idx="57">
                  <c:v>48.919767268919202</c:v>
                </c:pt>
                <c:pt idx="58">
                  <c:v>48.969210938199801</c:v>
                </c:pt>
                <c:pt idx="59">
                  <c:v>49.177647887966401</c:v>
                </c:pt>
                <c:pt idx="60">
                  <c:v>49.489735786090201</c:v>
                </c:pt>
                <c:pt idx="61">
                  <c:v>49.837596187254697</c:v>
                </c:pt>
                <c:pt idx="62">
                  <c:v>50.131154288963799</c:v>
                </c:pt>
              </c:numCache>
            </c:numRef>
          </c:val>
          <c:smooth val="0"/>
          <c:extLst>
            <c:ext xmlns:c16="http://schemas.microsoft.com/office/drawing/2014/chart" uri="{C3380CC4-5D6E-409C-BE32-E72D297353CC}">
              <c16:uniqueId val="{00000001-4877-4F7D-A7CA-5B220502B5E5}"/>
            </c:ext>
          </c:extLst>
        </c:ser>
        <c:dLbls>
          <c:showLegendKey val="0"/>
          <c:showVal val="0"/>
          <c:showCatName val="0"/>
          <c:showSerName val="0"/>
          <c:showPercent val="0"/>
          <c:showBubbleSize val="0"/>
        </c:dLbls>
        <c:smooth val="0"/>
        <c:axId val="498026184"/>
        <c:axId val="498023048"/>
      </c:lineChart>
      <c:catAx>
        <c:axId val="49802618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98023048"/>
        <c:crossesAt val="50"/>
        <c:auto val="1"/>
        <c:lblAlgn val="ctr"/>
        <c:lblOffset val="50"/>
        <c:tickLblSkip val="1"/>
        <c:tickMarkSkip val="12"/>
        <c:noMultiLvlLbl val="1"/>
      </c:catAx>
      <c:valAx>
        <c:axId val="498023048"/>
        <c:scaling>
          <c:orientation val="minMax"/>
          <c:max val="56"/>
          <c:min val="4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98026184"/>
        <c:crosses val="autoZero"/>
        <c:crossBetween val="between"/>
        <c:majorUnit val="4"/>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98544266191325E-2"/>
          <c:y val="4.8581468153716119E-2"/>
          <c:w val="0.91979561190698833"/>
          <c:h val="0.83457809262827409"/>
        </c:manualLayout>
      </c:layout>
      <c:lineChart>
        <c:grouping val="standard"/>
        <c:varyColors val="0"/>
        <c:ser>
          <c:idx val="0"/>
          <c:order val="0"/>
          <c:tx>
            <c:strRef>
              <c:f>'Datos IGOET'!$C$4</c:f>
              <c:strCache>
                <c:ptCount val="1"/>
                <c:pt idx="0">
                  <c:v>Serie original</c:v>
                </c:pt>
              </c:strCache>
            </c:strRef>
          </c:tx>
          <c:spPr>
            <a:ln w="19050">
              <a:solidFill>
                <a:srgbClr val="4A7EBB"/>
              </a:solidFill>
            </a:ln>
          </c:spPr>
          <c:marker>
            <c:symbol val="none"/>
          </c:marker>
          <c:cat>
            <c:multiLvlStrRef>
              <c:f>'Datos IGOET'!$A$5:$B$76</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 IGOET'!$C$5:$C$76</c:f>
              <c:numCache>
                <c:formatCode>0.0_)</c:formatCode>
                <c:ptCount val="63"/>
                <c:pt idx="0">
                  <c:v>50.133000000000003</c:v>
                </c:pt>
                <c:pt idx="1">
                  <c:v>50.86</c:v>
                </c:pt>
                <c:pt idx="2">
                  <c:v>57.097000000000001</c:v>
                </c:pt>
                <c:pt idx="3">
                  <c:v>52.534999999999997</c:v>
                </c:pt>
                <c:pt idx="4">
                  <c:v>55.722999999999999</c:v>
                </c:pt>
                <c:pt idx="5">
                  <c:v>52.923000000000002</c:v>
                </c:pt>
                <c:pt idx="6">
                  <c:v>54.506</c:v>
                </c:pt>
                <c:pt idx="7">
                  <c:v>55.643999999999998</c:v>
                </c:pt>
                <c:pt idx="8">
                  <c:v>53.485999999999997</c:v>
                </c:pt>
                <c:pt idx="9">
                  <c:v>56.18</c:v>
                </c:pt>
                <c:pt idx="10">
                  <c:v>56.555</c:v>
                </c:pt>
                <c:pt idx="11">
                  <c:v>56.67</c:v>
                </c:pt>
                <c:pt idx="12">
                  <c:v>51.91</c:v>
                </c:pt>
                <c:pt idx="13">
                  <c:v>51.359000000000002</c:v>
                </c:pt>
                <c:pt idx="14">
                  <c:v>57.734000000000002</c:v>
                </c:pt>
                <c:pt idx="15">
                  <c:v>52.423000000000002</c:v>
                </c:pt>
                <c:pt idx="16">
                  <c:v>55.822000000000003</c:v>
                </c:pt>
                <c:pt idx="17">
                  <c:v>54.500999999999998</c:v>
                </c:pt>
                <c:pt idx="18">
                  <c:v>54.694000000000003</c:v>
                </c:pt>
                <c:pt idx="19">
                  <c:v>53.844000000000001</c:v>
                </c:pt>
                <c:pt idx="20">
                  <c:v>52.252000000000002</c:v>
                </c:pt>
                <c:pt idx="21">
                  <c:v>55.021000000000001</c:v>
                </c:pt>
                <c:pt idx="22">
                  <c:v>53.768999999999998</c:v>
                </c:pt>
                <c:pt idx="23">
                  <c:v>56.588999999999999</c:v>
                </c:pt>
                <c:pt idx="24">
                  <c:v>51.003</c:v>
                </c:pt>
                <c:pt idx="25">
                  <c:v>50.645000000000003</c:v>
                </c:pt>
                <c:pt idx="26">
                  <c:v>55.213999999999999</c:v>
                </c:pt>
                <c:pt idx="27">
                  <c:v>55.27</c:v>
                </c:pt>
                <c:pt idx="28">
                  <c:v>54.298999999999999</c:v>
                </c:pt>
                <c:pt idx="29">
                  <c:v>51.993000000000002</c:v>
                </c:pt>
                <c:pt idx="30">
                  <c:v>53.731000000000002</c:v>
                </c:pt>
                <c:pt idx="31">
                  <c:v>52.343000000000004</c:v>
                </c:pt>
                <c:pt idx="32">
                  <c:v>50.262999999999998</c:v>
                </c:pt>
                <c:pt idx="33">
                  <c:v>53.607999999999997</c:v>
                </c:pt>
                <c:pt idx="34">
                  <c:v>52.531999999999996</c:v>
                </c:pt>
                <c:pt idx="35">
                  <c:v>52.134</c:v>
                </c:pt>
                <c:pt idx="36">
                  <c:v>48.143999999999998</c:v>
                </c:pt>
                <c:pt idx="37">
                  <c:v>47.622999999999998</c:v>
                </c:pt>
                <c:pt idx="38">
                  <c:v>46.478999999999999</c:v>
                </c:pt>
                <c:pt idx="39">
                  <c:v>37.518999999999998</c:v>
                </c:pt>
                <c:pt idx="40">
                  <c:v>42.094000000000001</c:v>
                </c:pt>
                <c:pt idx="41">
                  <c:v>50.292999999999999</c:v>
                </c:pt>
                <c:pt idx="42">
                  <c:v>51.579000000000001</c:v>
                </c:pt>
                <c:pt idx="43">
                  <c:v>51.551000000000002</c:v>
                </c:pt>
                <c:pt idx="44">
                  <c:v>51.393999999999998</c:v>
                </c:pt>
                <c:pt idx="45">
                  <c:v>54.487000000000002</c:v>
                </c:pt>
                <c:pt idx="46">
                  <c:v>52.564999999999998</c:v>
                </c:pt>
                <c:pt idx="47">
                  <c:v>53.720999999999997</c:v>
                </c:pt>
                <c:pt idx="48">
                  <c:v>44.177</c:v>
                </c:pt>
                <c:pt idx="49">
                  <c:v>49.640999999999998</c:v>
                </c:pt>
                <c:pt idx="50">
                  <c:v>55.435000000000002</c:v>
                </c:pt>
                <c:pt idx="51">
                  <c:v>51.235999999999997</c:v>
                </c:pt>
                <c:pt idx="52">
                  <c:v>54.938000000000002</c:v>
                </c:pt>
                <c:pt idx="53">
                  <c:v>52.893999999999998</c:v>
                </c:pt>
                <c:pt idx="54">
                  <c:v>52.670999999999999</c:v>
                </c:pt>
                <c:pt idx="55">
                  <c:v>51.468000000000004</c:v>
                </c:pt>
                <c:pt idx="56">
                  <c:v>50.542000000000002</c:v>
                </c:pt>
                <c:pt idx="57">
                  <c:v>54.185000000000002</c:v>
                </c:pt>
                <c:pt idx="58">
                  <c:v>52.23</c:v>
                </c:pt>
                <c:pt idx="59">
                  <c:v>53.106000000000002</c:v>
                </c:pt>
                <c:pt idx="60">
                  <c:v>45.896999999999998</c:v>
                </c:pt>
                <c:pt idx="61">
                  <c:v>48.134</c:v>
                </c:pt>
                <c:pt idx="62">
                  <c:v>57.421999999999997</c:v>
                </c:pt>
              </c:numCache>
            </c:numRef>
          </c:val>
          <c:smooth val="0"/>
          <c:extLst>
            <c:ext xmlns:c16="http://schemas.microsoft.com/office/drawing/2014/chart" uri="{C3380CC4-5D6E-409C-BE32-E72D297353CC}">
              <c16:uniqueId val="{00000000-138A-4FFC-8738-2A94A11BA47D}"/>
            </c:ext>
          </c:extLst>
        </c:ser>
        <c:dLbls>
          <c:showLegendKey val="0"/>
          <c:showVal val="0"/>
          <c:showCatName val="0"/>
          <c:showSerName val="0"/>
          <c:showPercent val="0"/>
          <c:showBubbleSize val="0"/>
        </c:dLbls>
        <c:smooth val="0"/>
        <c:axId val="498025008"/>
        <c:axId val="498019128"/>
      </c:lineChart>
      <c:catAx>
        <c:axId val="49802500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498019128"/>
        <c:crossesAt val="50"/>
        <c:auto val="1"/>
        <c:lblAlgn val="ctr"/>
        <c:lblOffset val="50"/>
        <c:tickLblSkip val="1"/>
        <c:tickMarkSkip val="12"/>
        <c:noMultiLvlLbl val="1"/>
      </c:catAx>
      <c:valAx>
        <c:axId val="498019128"/>
        <c:scaling>
          <c:orientation val="minMax"/>
          <c:max val="60"/>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498025008"/>
        <c:crosses val="autoZero"/>
        <c:crossBetween val="between"/>
        <c:majorUnit val="5"/>
      </c:valAx>
      <c:spPr>
        <a:noFill/>
        <a:ln w="0">
          <a:solidFill>
            <a:schemeClr val="bg1">
              <a:lumMod val="50000"/>
            </a:schemeClr>
          </a:solidFill>
        </a:ln>
      </c:spPr>
    </c:plotArea>
    <c:plotVisOnly val="1"/>
    <c:dispBlanksAs val="gap"/>
    <c:showDLblsOverMax val="0"/>
  </c:chart>
  <c:spPr>
    <a:noFill/>
    <a:ln w="6350">
      <a:solidFill>
        <a:srgbClr val="000000">
          <a:alpha val="94902"/>
        </a:srgbClr>
      </a:solidFill>
    </a:ln>
    <a:effectLst>
      <a:outerShdw dist="16510" dir="2700000" algn="tl" rotWithShape="0">
        <a:srgbClr val="000000"/>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700"/>
            </a:pPr>
            <a:r>
              <a:rPr lang="es-MX" sz="700"/>
              <a:t>Capacidad de planta utilizada</a:t>
            </a:r>
          </a:p>
        </c:rich>
      </c:tx>
      <c:layout>
        <c:manualLayout>
          <c:xMode val="edge"/>
          <c:yMode val="edge"/>
          <c:x val="0.28696996027994925"/>
          <c:y val="1.100737407390715E-2"/>
        </c:manualLayout>
      </c:layout>
      <c:overlay val="1"/>
    </c:title>
    <c:autoTitleDeleted val="0"/>
    <c:plotArea>
      <c:layout>
        <c:manualLayout>
          <c:layoutTarget val="inner"/>
          <c:xMode val="edge"/>
          <c:yMode val="edge"/>
          <c:x val="4.4067113294534638E-2"/>
          <c:y val="9.4325395312072055E-2"/>
          <c:w val="0.93134249495672938"/>
          <c:h val="0.68780486959295239"/>
        </c:manualLayout>
      </c:layout>
      <c:lineChart>
        <c:grouping val="standard"/>
        <c:varyColors val="0"/>
        <c:ser>
          <c:idx val="0"/>
          <c:order val="0"/>
          <c:tx>
            <c:strRef>
              <c:f>'Datos MAN'!$G$4</c:f>
              <c:strCache>
                <c:ptCount val="1"/>
                <c:pt idx="0">
                  <c:v>Serie Desestacionalizada</c:v>
                </c:pt>
              </c:strCache>
            </c:strRef>
          </c:tx>
          <c:spPr>
            <a:ln w="15875">
              <a:solidFill>
                <a:srgbClr val="3D6AA1"/>
              </a:solidFill>
            </a:ln>
          </c:spPr>
          <c:marker>
            <c:symbol val="none"/>
          </c:marker>
          <c:cat>
            <c:multiLvlStrRef>
              <c:f>'Datos MAN'!$A$161:$B$232</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 MAN'!$G$161:$G$232</c:f>
              <c:numCache>
                <c:formatCode>0.0_)</c:formatCode>
                <c:ptCount val="63"/>
                <c:pt idx="0">
                  <c:v>51.708010978469098</c:v>
                </c:pt>
                <c:pt idx="1">
                  <c:v>50.642331639385603</c:v>
                </c:pt>
                <c:pt idx="2">
                  <c:v>51.268632064839302</c:v>
                </c:pt>
                <c:pt idx="3">
                  <c:v>51.968885911646701</c:v>
                </c:pt>
                <c:pt idx="4">
                  <c:v>51.755254154922</c:v>
                </c:pt>
                <c:pt idx="5">
                  <c:v>47.861333190021199</c:v>
                </c:pt>
                <c:pt idx="6">
                  <c:v>48.9342600473544</c:v>
                </c:pt>
                <c:pt idx="7">
                  <c:v>51.3112854293976</c:v>
                </c:pt>
                <c:pt idx="8">
                  <c:v>51.231053116431802</c:v>
                </c:pt>
                <c:pt idx="9">
                  <c:v>52.0705148708374</c:v>
                </c:pt>
                <c:pt idx="10">
                  <c:v>51.609616988565897</c:v>
                </c:pt>
                <c:pt idx="11">
                  <c:v>53.322884662440103</c:v>
                </c:pt>
                <c:pt idx="12">
                  <c:v>50.347650909626701</c:v>
                </c:pt>
                <c:pt idx="13">
                  <c:v>53.365945047852399</c:v>
                </c:pt>
                <c:pt idx="14">
                  <c:v>54.403657444339402</c:v>
                </c:pt>
                <c:pt idx="15">
                  <c:v>50.844892958263301</c:v>
                </c:pt>
                <c:pt idx="16">
                  <c:v>51.830361522282402</c:v>
                </c:pt>
                <c:pt idx="17">
                  <c:v>50.439551951343503</c:v>
                </c:pt>
                <c:pt idx="18">
                  <c:v>51.332362977223099</c:v>
                </c:pt>
                <c:pt idx="19">
                  <c:v>51.135727231628799</c:v>
                </c:pt>
                <c:pt idx="20">
                  <c:v>50.346446436347001</c:v>
                </c:pt>
                <c:pt idx="21">
                  <c:v>50.4985561137741</c:v>
                </c:pt>
                <c:pt idx="22">
                  <c:v>51.747360396275901</c:v>
                </c:pt>
                <c:pt idx="23">
                  <c:v>52.837075528931699</c:v>
                </c:pt>
                <c:pt idx="24">
                  <c:v>51.702226150316797</c:v>
                </c:pt>
                <c:pt idx="25">
                  <c:v>50.882939126943</c:v>
                </c:pt>
                <c:pt idx="26">
                  <c:v>50.382811314624298</c:v>
                </c:pt>
                <c:pt idx="27">
                  <c:v>51.955550497767099</c:v>
                </c:pt>
                <c:pt idx="28">
                  <c:v>51.0379157957072</c:v>
                </c:pt>
                <c:pt idx="29">
                  <c:v>51.567657053600399</c:v>
                </c:pt>
                <c:pt idx="30">
                  <c:v>50.375497777230002</c:v>
                </c:pt>
                <c:pt idx="31">
                  <c:v>53.464474188698901</c:v>
                </c:pt>
                <c:pt idx="32">
                  <c:v>52.1410080228043</c:v>
                </c:pt>
                <c:pt idx="33">
                  <c:v>49.342979691229502</c:v>
                </c:pt>
                <c:pt idx="34">
                  <c:v>51.208041798301899</c:v>
                </c:pt>
                <c:pt idx="35">
                  <c:v>50.777513122298203</c:v>
                </c:pt>
                <c:pt idx="36">
                  <c:v>50.594828961711599</c:v>
                </c:pt>
                <c:pt idx="37">
                  <c:v>51.058114075433203</c:v>
                </c:pt>
                <c:pt idx="38">
                  <c:v>44.619095987417097</c:v>
                </c:pt>
                <c:pt idx="39">
                  <c:v>36.961300055907799</c:v>
                </c:pt>
                <c:pt idx="40">
                  <c:v>41.5579209534339</c:v>
                </c:pt>
                <c:pt idx="41">
                  <c:v>50.695151311650797</c:v>
                </c:pt>
                <c:pt idx="42">
                  <c:v>50.293718257595302</c:v>
                </c:pt>
                <c:pt idx="43">
                  <c:v>49.664261225723102</c:v>
                </c:pt>
                <c:pt idx="44">
                  <c:v>51.839460918096499</c:v>
                </c:pt>
                <c:pt idx="45">
                  <c:v>52.485188361104797</c:v>
                </c:pt>
                <c:pt idx="46">
                  <c:v>48.7599964733568</c:v>
                </c:pt>
                <c:pt idx="47">
                  <c:v>48.281466897479</c:v>
                </c:pt>
                <c:pt idx="48">
                  <c:v>49.4955254720619</c:v>
                </c:pt>
                <c:pt idx="49">
                  <c:v>48.231588099381803</c:v>
                </c:pt>
                <c:pt idx="50">
                  <c:v>52.564960747353503</c:v>
                </c:pt>
                <c:pt idx="51">
                  <c:v>48.976121117237398</c:v>
                </c:pt>
                <c:pt idx="52">
                  <c:v>50.282246365601303</c:v>
                </c:pt>
                <c:pt idx="53">
                  <c:v>50.383266169918102</c:v>
                </c:pt>
                <c:pt idx="54">
                  <c:v>51.782720112002799</c:v>
                </c:pt>
                <c:pt idx="55">
                  <c:v>50.243168323349799</c:v>
                </c:pt>
                <c:pt idx="56">
                  <c:v>48.843026747129201</c:v>
                </c:pt>
                <c:pt idx="57">
                  <c:v>50.691810759073697</c:v>
                </c:pt>
                <c:pt idx="58">
                  <c:v>51.405473983842697</c:v>
                </c:pt>
                <c:pt idx="59">
                  <c:v>47.599606597713802</c:v>
                </c:pt>
                <c:pt idx="60">
                  <c:v>52.4111211541424</c:v>
                </c:pt>
                <c:pt idx="61">
                  <c:v>53.5012234427425</c:v>
                </c:pt>
                <c:pt idx="62">
                  <c:v>54.120401848624503</c:v>
                </c:pt>
              </c:numCache>
            </c:numRef>
          </c:val>
          <c:smooth val="0"/>
          <c:extLst>
            <c:ext xmlns:c16="http://schemas.microsoft.com/office/drawing/2014/chart" uri="{C3380CC4-5D6E-409C-BE32-E72D297353CC}">
              <c16:uniqueId val="{00000000-81FC-48D1-A962-D3C8EC309BE9}"/>
            </c:ext>
          </c:extLst>
        </c:ser>
        <c:ser>
          <c:idx val="1"/>
          <c:order val="1"/>
          <c:tx>
            <c:strRef>
              <c:f>'Datos MAN'!$H$4</c:f>
              <c:strCache>
                <c:ptCount val="1"/>
                <c:pt idx="0">
                  <c:v>Serie de Tendencia-Ciclo</c:v>
                </c:pt>
              </c:strCache>
            </c:strRef>
          </c:tx>
          <c:spPr>
            <a:ln w="12700">
              <a:solidFill>
                <a:srgbClr val="C00000"/>
              </a:solidFill>
            </a:ln>
          </c:spPr>
          <c:marker>
            <c:symbol val="none"/>
          </c:marker>
          <c:cat>
            <c:multiLvlStrRef>
              <c:f>'Datos MAN'!$A$161:$B$232</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 MAN'!$H$161:$H$232</c:f>
              <c:numCache>
                <c:formatCode>0.0_)</c:formatCode>
                <c:ptCount val="63"/>
                <c:pt idx="0">
                  <c:v>51.366932033509997</c:v>
                </c:pt>
                <c:pt idx="1">
                  <c:v>51.2587677543222</c:v>
                </c:pt>
                <c:pt idx="2">
                  <c:v>51.1785224043809</c:v>
                </c:pt>
                <c:pt idx="3">
                  <c:v>51.138947673311101</c:v>
                </c:pt>
                <c:pt idx="4">
                  <c:v>51.1534310143753</c:v>
                </c:pt>
                <c:pt idx="5">
                  <c:v>51.218981141108102</c:v>
                </c:pt>
                <c:pt idx="6">
                  <c:v>51.333875605768498</c:v>
                </c:pt>
                <c:pt idx="7">
                  <c:v>51.489702978455703</c:v>
                </c:pt>
                <c:pt idx="8">
                  <c:v>51.670223881069397</c:v>
                </c:pt>
                <c:pt idx="9">
                  <c:v>51.853679547471003</c:v>
                </c:pt>
                <c:pt idx="10">
                  <c:v>52.017648073212897</c:v>
                </c:pt>
                <c:pt idx="11">
                  <c:v>52.1340503392099</c:v>
                </c:pt>
                <c:pt idx="12">
                  <c:v>52.172878764417398</c:v>
                </c:pt>
                <c:pt idx="13">
                  <c:v>52.122437655219997</c:v>
                </c:pt>
                <c:pt idx="14">
                  <c:v>51.994776802558597</c:v>
                </c:pt>
                <c:pt idx="15">
                  <c:v>51.812501305023801</c:v>
                </c:pt>
                <c:pt idx="16">
                  <c:v>51.602411352391698</c:v>
                </c:pt>
                <c:pt idx="17">
                  <c:v>51.4020265412369</c:v>
                </c:pt>
                <c:pt idx="18">
                  <c:v>51.242418307044098</c:v>
                </c:pt>
                <c:pt idx="19">
                  <c:v>51.144939078579696</c:v>
                </c:pt>
                <c:pt idx="20">
                  <c:v>51.104447198043601</c:v>
                </c:pt>
                <c:pt idx="21">
                  <c:v>51.109918375718102</c:v>
                </c:pt>
                <c:pt idx="22">
                  <c:v>51.153273375780103</c:v>
                </c:pt>
                <c:pt idx="23">
                  <c:v>51.218853496867098</c:v>
                </c:pt>
                <c:pt idx="24">
                  <c:v>51.2868688603821</c:v>
                </c:pt>
                <c:pt idx="25">
                  <c:v>51.346343073591498</c:v>
                </c:pt>
                <c:pt idx="26">
                  <c:v>51.381946445458802</c:v>
                </c:pt>
                <c:pt idx="27">
                  <c:v>51.397178355151702</c:v>
                </c:pt>
                <c:pt idx="28">
                  <c:v>51.397394445030102</c:v>
                </c:pt>
                <c:pt idx="29">
                  <c:v>51.381975064863902</c:v>
                </c:pt>
                <c:pt idx="30">
                  <c:v>51.350762291451403</c:v>
                </c:pt>
                <c:pt idx="31">
                  <c:v>51.2993147191196</c:v>
                </c:pt>
                <c:pt idx="32">
                  <c:v>51.231479521628899</c:v>
                </c:pt>
                <c:pt idx="33">
                  <c:v>51.14041682461</c:v>
                </c:pt>
                <c:pt idx="34">
                  <c:v>51.018060427066601</c:v>
                </c:pt>
                <c:pt idx="35">
                  <c:v>50.875292476468701</c:v>
                </c:pt>
                <c:pt idx="36">
                  <c:v>50.737132889931303</c:v>
                </c:pt>
                <c:pt idx="37">
                  <c:v>50.622523201446597</c:v>
                </c:pt>
                <c:pt idx="38">
                  <c:v>50.541763006142503</c:v>
                </c:pt>
                <c:pt idx="39">
                  <c:v>50.484799029783197</c:v>
                </c:pt>
                <c:pt idx="40">
                  <c:v>50.433504257330803</c:v>
                </c:pt>
                <c:pt idx="41">
                  <c:v>50.369033932165102</c:v>
                </c:pt>
                <c:pt idx="42">
                  <c:v>50.271193714981401</c:v>
                </c:pt>
                <c:pt idx="43">
                  <c:v>50.126708765827203</c:v>
                </c:pt>
                <c:pt idx="44">
                  <c:v>49.938868639470101</c:v>
                </c:pt>
                <c:pt idx="45">
                  <c:v>49.741540835932199</c:v>
                </c:pt>
                <c:pt idx="46">
                  <c:v>49.564281602810802</c:v>
                </c:pt>
                <c:pt idx="47">
                  <c:v>49.421576723989503</c:v>
                </c:pt>
                <c:pt idx="48">
                  <c:v>49.330292579749397</c:v>
                </c:pt>
                <c:pt idx="49">
                  <c:v>49.300232263443199</c:v>
                </c:pt>
                <c:pt idx="50">
                  <c:v>49.3341614402432</c:v>
                </c:pt>
                <c:pt idx="51">
                  <c:v>49.433001063962301</c:v>
                </c:pt>
                <c:pt idx="52">
                  <c:v>49.598342246514001</c:v>
                </c:pt>
                <c:pt idx="53">
                  <c:v>49.830617726851102</c:v>
                </c:pt>
                <c:pt idx="54">
                  <c:v>50.123220985685101</c:v>
                </c:pt>
                <c:pt idx="55">
                  <c:v>50.464324126936297</c:v>
                </c:pt>
                <c:pt idx="56">
                  <c:v>50.8344317565073</c:v>
                </c:pt>
                <c:pt idx="57">
                  <c:v>51.211911386108298</c:v>
                </c:pt>
                <c:pt idx="58">
                  <c:v>51.585725820335902</c:v>
                </c:pt>
                <c:pt idx="59">
                  <c:v>51.944496356951298</c:v>
                </c:pt>
                <c:pt idx="60">
                  <c:v>52.2696560051522</c:v>
                </c:pt>
                <c:pt idx="61">
                  <c:v>52.5444639397058</c:v>
                </c:pt>
                <c:pt idx="62">
                  <c:v>52.757505901839899</c:v>
                </c:pt>
              </c:numCache>
            </c:numRef>
          </c:val>
          <c:smooth val="0"/>
          <c:extLst>
            <c:ext xmlns:c16="http://schemas.microsoft.com/office/drawing/2014/chart" uri="{C3380CC4-5D6E-409C-BE32-E72D297353CC}">
              <c16:uniqueId val="{00000001-81FC-48D1-A962-D3C8EC309BE9}"/>
            </c:ext>
          </c:extLst>
        </c:ser>
        <c:dLbls>
          <c:showLegendKey val="0"/>
          <c:showVal val="0"/>
          <c:showCatName val="0"/>
          <c:showSerName val="0"/>
          <c:showPercent val="0"/>
          <c:showBubbleSize val="0"/>
        </c:dLbls>
        <c:smooth val="0"/>
        <c:axId val="728669224"/>
        <c:axId val="728671184"/>
      </c:lineChart>
      <c:catAx>
        <c:axId val="72866922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728671184"/>
        <c:crossesAt val="50"/>
        <c:auto val="1"/>
        <c:lblAlgn val="ctr"/>
        <c:lblOffset val="50"/>
        <c:tickLblSkip val="1"/>
        <c:tickMarkSkip val="12"/>
        <c:noMultiLvlLbl val="1"/>
      </c:catAx>
      <c:valAx>
        <c:axId val="728671184"/>
        <c:scaling>
          <c:orientation val="minMax"/>
          <c:max val="58"/>
          <c:min val="3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728669224"/>
        <c:crosses val="autoZero"/>
        <c:crossBetween val="between"/>
        <c:majorUnit val="4"/>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b="1" i="0" baseline="0">
                <a:effectLst/>
              </a:rPr>
              <a:t>Demanda nacional de sus productos</a:t>
            </a:r>
            <a:endParaRPr lang="es-MX" sz="700">
              <a:effectLst/>
            </a:endParaRPr>
          </a:p>
        </c:rich>
      </c:tx>
      <c:layout>
        <c:manualLayout>
          <c:xMode val="edge"/>
          <c:yMode val="edge"/>
          <c:x val="0.27414594594594599"/>
          <c:y val="0"/>
        </c:manualLayout>
      </c:layout>
      <c:overlay val="1"/>
    </c:title>
    <c:autoTitleDeleted val="0"/>
    <c:plotArea>
      <c:layout>
        <c:manualLayout>
          <c:layoutTarget val="inner"/>
          <c:xMode val="edge"/>
          <c:yMode val="edge"/>
          <c:x val="5.598544266191325E-2"/>
          <c:y val="8.3651675485009819E-2"/>
          <c:w val="0.93080897207368285"/>
          <c:h val="0.69844449313010537"/>
        </c:manualLayout>
      </c:layout>
      <c:lineChart>
        <c:grouping val="standard"/>
        <c:varyColors val="0"/>
        <c:ser>
          <c:idx val="0"/>
          <c:order val="0"/>
          <c:tx>
            <c:strRef>
              <c:f>'Datos MAN'!$I$4</c:f>
              <c:strCache>
                <c:ptCount val="1"/>
                <c:pt idx="0">
                  <c:v>Serie Desestacionalizada</c:v>
                </c:pt>
              </c:strCache>
            </c:strRef>
          </c:tx>
          <c:spPr>
            <a:ln w="15875">
              <a:solidFill>
                <a:srgbClr val="3D6AA1"/>
              </a:solidFill>
            </a:ln>
          </c:spPr>
          <c:marker>
            <c:symbol val="none"/>
          </c:marker>
          <c:cat>
            <c:multiLvlStrRef>
              <c:f>'Datos MAN'!$A$161:$B$232</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 MAN'!$I$161:$I$232</c:f>
              <c:numCache>
                <c:formatCode>0.0_)</c:formatCode>
                <c:ptCount val="63"/>
                <c:pt idx="0">
                  <c:v>54.666618498083203</c:v>
                </c:pt>
                <c:pt idx="1">
                  <c:v>56.183966908700803</c:v>
                </c:pt>
                <c:pt idx="2">
                  <c:v>54.181949166947597</c:v>
                </c:pt>
                <c:pt idx="3">
                  <c:v>55.582273068838099</c:v>
                </c:pt>
                <c:pt idx="4">
                  <c:v>55.5341938564817</c:v>
                </c:pt>
                <c:pt idx="5">
                  <c:v>55.170644563950198</c:v>
                </c:pt>
                <c:pt idx="6">
                  <c:v>54.2244101398514</c:v>
                </c:pt>
                <c:pt idx="7">
                  <c:v>55.7305394560126</c:v>
                </c:pt>
                <c:pt idx="8">
                  <c:v>50.987984611719597</c:v>
                </c:pt>
                <c:pt idx="9">
                  <c:v>55.709283340000901</c:v>
                </c:pt>
                <c:pt idx="10">
                  <c:v>53.839212722184698</c:v>
                </c:pt>
                <c:pt idx="11">
                  <c:v>52.290545422528503</c:v>
                </c:pt>
                <c:pt idx="12">
                  <c:v>52.907384335706297</c:v>
                </c:pt>
                <c:pt idx="13">
                  <c:v>53.129747216721597</c:v>
                </c:pt>
                <c:pt idx="14">
                  <c:v>55.356638932299802</c:v>
                </c:pt>
                <c:pt idx="15">
                  <c:v>55.858674821699601</c:v>
                </c:pt>
                <c:pt idx="16">
                  <c:v>54.0728836996946</c:v>
                </c:pt>
                <c:pt idx="17">
                  <c:v>53.376170513377097</c:v>
                </c:pt>
                <c:pt idx="18">
                  <c:v>50.403348201399297</c:v>
                </c:pt>
                <c:pt idx="19">
                  <c:v>55.670733433609698</c:v>
                </c:pt>
                <c:pt idx="20">
                  <c:v>52.686556713527899</c:v>
                </c:pt>
                <c:pt idx="21">
                  <c:v>55.154831105050398</c:v>
                </c:pt>
                <c:pt idx="22">
                  <c:v>52.404927607363398</c:v>
                </c:pt>
                <c:pt idx="23">
                  <c:v>51.1235383185047</c:v>
                </c:pt>
                <c:pt idx="24">
                  <c:v>54.560075168632402</c:v>
                </c:pt>
                <c:pt idx="25">
                  <c:v>51.914667171042097</c:v>
                </c:pt>
                <c:pt idx="26">
                  <c:v>52.386409730581001</c:v>
                </c:pt>
                <c:pt idx="27">
                  <c:v>51.706753081892003</c:v>
                </c:pt>
                <c:pt idx="28">
                  <c:v>51.371517414478902</c:v>
                </c:pt>
                <c:pt idx="29">
                  <c:v>51.814129204374098</c:v>
                </c:pt>
                <c:pt idx="30">
                  <c:v>51.507783281452397</c:v>
                </c:pt>
                <c:pt idx="31">
                  <c:v>50.024178714176699</c:v>
                </c:pt>
                <c:pt idx="32">
                  <c:v>50.836701855828302</c:v>
                </c:pt>
                <c:pt idx="33">
                  <c:v>48.722713734850402</c:v>
                </c:pt>
                <c:pt idx="34">
                  <c:v>49.607410405151299</c:v>
                </c:pt>
                <c:pt idx="35">
                  <c:v>50.068294664652498</c:v>
                </c:pt>
                <c:pt idx="36">
                  <c:v>50.405423642843601</c:v>
                </c:pt>
                <c:pt idx="37">
                  <c:v>49.887529367317399</c:v>
                </c:pt>
                <c:pt idx="38">
                  <c:v>42.0648701515724</c:v>
                </c:pt>
                <c:pt idx="39">
                  <c:v>36.397774135137098</c:v>
                </c:pt>
                <c:pt idx="40">
                  <c:v>45.303125056688799</c:v>
                </c:pt>
                <c:pt idx="41">
                  <c:v>50.177764961504401</c:v>
                </c:pt>
                <c:pt idx="42">
                  <c:v>50.3284129983114</c:v>
                </c:pt>
                <c:pt idx="43">
                  <c:v>51.249763539066201</c:v>
                </c:pt>
                <c:pt idx="44">
                  <c:v>51.968405277613599</c:v>
                </c:pt>
                <c:pt idx="45">
                  <c:v>51.317620037504902</c:v>
                </c:pt>
                <c:pt idx="46">
                  <c:v>52.464201187938102</c:v>
                </c:pt>
                <c:pt idx="47">
                  <c:v>51.908890102675002</c:v>
                </c:pt>
                <c:pt idx="48">
                  <c:v>51.163883006209097</c:v>
                </c:pt>
                <c:pt idx="49">
                  <c:v>50.269920845485203</c:v>
                </c:pt>
                <c:pt idx="50">
                  <c:v>48.505056068027201</c:v>
                </c:pt>
                <c:pt idx="51">
                  <c:v>49.582750238802298</c:v>
                </c:pt>
                <c:pt idx="52">
                  <c:v>50.406101922397603</c:v>
                </c:pt>
                <c:pt idx="53">
                  <c:v>50.627467721569197</c:v>
                </c:pt>
                <c:pt idx="54">
                  <c:v>50.388140482648197</c:v>
                </c:pt>
                <c:pt idx="55">
                  <c:v>50.081085665404501</c:v>
                </c:pt>
                <c:pt idx="56">
                  <c:v>50.077900902284902</c:v>
                </c:pt>
                <c:pt idx="57">
                  <c:v>50.945649388314898</c:v>
                </c:pt>
                <c:pt idx="58">
                  <c:v>50.0824309517673</c:v>
                </c:pt>
                <c:pt idx="59">
                  <c:v>50.893017508884903</c:v>
                </c:pt>
                <c:pt idx="60">
                  <c:v>50.735118233835998</c:v>
                </c:pt>
                <c:pt idx="61">
                  <c:v>52.630754682252899</c:v>
                </c:pt>
                <c:pt idx="62">
                  <c:v>53.319216966021898</c:v>
                </c:pt>
              </c:numCache>
            </c:numRef>
          </c:val>
          <c:smooth val="0"/>
          <c:extLst>
            <c:ext xmlns:c16="http://schemas.microsoft.com/office/drawing/2014/chart" uri="{C3380CC4-5D6E-409C-BE32-E72D297353CC}">
              <c16:uniqueId val="{00000000-BD8D-4AE9-8203-F75865777C6A}"/>
            </c:ext>
          </c:extLst>
        </c:ser>
        <c:ser>
          <c:idx val="1"/>
          <c:order val="1"/>
          <c:tx>
            <c:strRef>
              <c:f>'Datos MAN'!$J$4</c:f>
              <c:strCache>
                <c:ptCount val="1"/>
                <c:pt idx="0">
                  <c:v>Serie de Tendencia-Ciclo</c:v>
                </c:pt>
              </c:strCache>
            </c:strRef>
          </c:tx>
          <c:spPr>
            <a:ln w="12700">
              <a:solidFill>
                <a:srgbClr val="C00000"/>
              </a:solidFill>
            </a:ln>
          </c:spPr>
          <c:marker>
            <c:symbol val="none"/>
          </c:marker>
          <c:cat>
            <c:multiLvlStrRef>
              <c:f>'Datos MAN'!$A$161:$B$232</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 MAN'!$J$161:$J$232</c:f>
              <c:numCache>
                <c:formatCode>0.0_)</c:formatCode>
                <c:ptCount val="63"/>
                <c:pt idx="0">
                  <c:v>55.6172242748884</c:v>
                </c:pt>
                <c:pt idx="1">
                  <c:v>55.5269514935869</c:v>
                </c:pt>
                <c:pt idx="2">
                  <c:v>55.4263183741757</c:v>
                </c:pt>
                <c:pt idx="3">
                  <c:v>55.307177192777502</c:v>
                </c:pt>
                <c:pt idx="4">
                  <c:v>55.1602105547082</c:v>
                </c:pt>
                <c:pt idx="5">
                  <c:v>54.981133502106601</c:v>
                </c:pt>
                <c:pt idx="6">
                  <c:v>54.776555701393697</c:v>
                </c:pt>
                <c:pt idx="7">
                  <c:v>54.560230642464496</c:v>
                </c:pt>
                <c:pt idx="8">
                  <c:v>54.350424641653198</c:v>
                </c:pt>
                <c:pt idx="9">
                  <c:v>54.162045289056898</c:v>
                </c:pt>
                <c:pt idx="10">
                  <c:v>54.001225127454703</c:v>
                </c:pt>
                <c:pt idx="11">
                  <c:v>53.878141759776803</c:v>
                </c:pt>
                <c:pt idx="12">
                  <c:v>53.803868764525198</c:v>
                </c:pt>
                <c:pt idx="13">
                  <c:v>53.773075650336501</c:v>
                </c:pt>
                <c:pt idx="14">
                  <c:v>53.772577016979298</c:v>
                </c:pt>
                <c:pt idx="15">
                  <c:v>53.787122224600701</c:v>
                </c:pt>
                <c:pt idx="16">
                  <c:v>53.791446489177702</c:v>
                </c:pt>
                <c:pt idx="17">
                  <c:v>53.769610425227299</c:v>
                </c:pt>
                <c:pt idx="18">
                  <c:v>53.706727884347501</c:v>
                </c:pt>
                <c:pt idx="19">
                  <c:v>53.5929360476784</c:v>
                </c:pt>
                <c:pt idx="20">
                  <c:v>53.4310153439556</c:v>
                </c:pt>
                <c:pt idx="21">
                  <c:v>53.234841751185698</c:v>
                </c:pt>
                <c:pt idx="22">
                  <c:v>53.022382063395902</c:v>
                </c:pt>
                <c:pt idx="23">
                  <c:v>52.811019394508598</c:v>
                </c:pt>
                <c:pt idx="24">
                  <c:v>52.6015409614552</c:v>
                </c:pt>
                <c:pt idx="25">
                  <c:v>52.378583837406801</c:v>
                </c:pt>
                <c:pt idx="26">
                  <c:v>52.128667813783302</c:v>
                </c:pt>
                <c:pt idx="27">
                  <c:v>51.8429969919383</c:v>
                </c:pt>
                <c:pt idx="28">
                  <c:v>51.5307006723271</c:v>
                </c:pt>
                <c:pt idx="29">
                  <c:v>51.208169820124702</c:v>
                </c:pt>
                <c:pt idx="30">
                  <c:v>50.897039296080301</c:v>
                </c:pt>
                <c:pt idx="31">
                  <c:v>50.616460385993904</c:v>
                </c:pt>
                <c:pt idx="32">
                  <c:v>50.380715303704797</c:v>
                </c:pt>
                <c:pt idx="33">
                  <c:v>50.197781439608001</c:v>
                </c:pt>
                <c:pt idx="34">
                  <c:v>50.073514231190103</c:v>
                </c:pt>
                <c:pt idx="35">
                  <c:v>50.014519091270202</c:v>
                </c:pt>
                <c:pt idx="36">
                  <c:v>50.017896815043798</c:v>
                </c:pt>
                <c:pt idx="37">
                  <c:v>50.083282779249799</c:v>
                </c:pt>
                <c:pt idx="38">
                  <c:v>50.213950700488397</c:v>
                </c:pt>
                <c:pt idx="39">
                  <c:v>50.400957199009099</c:v>
                </c:pt>
                <c:pt idx="40">
                  <c:v>50.628124064465801</c:v>
                </c:pt>
                <c:pt idx="41">
                  <c:v>50.8640621882559</c:v>
                </c:pt>
                <c:pt idx="42">
                  <c:v>51.074192947217902</c:v>
                </c:pt>
                <c:pt idx="43">
                  <c:v>51.234774630692499</c:v>
                </c:pt>
                <c:pt idx="44">
                  <c:v>51.332429710347697</c:v>
                </c:pt>
                <c:pt idx="45">
                  <c:v>51.358246508187896</c:v>
                </c:pt>
                <c:pt idx="46">
                  <c:v>51.311658728433699</c:v>
                </c:pt>
                <c:pt idx="47">
                  <c:v>51.196513037827302</c:v>
                </c:pt>
                <c:pt idx="48">
                  <c:v>51.024652751356903</c:v>
                </c:pt>
                <c:pt idx="49">
                  <c:v>50.8184572547557</c:v>
                </c:pt>
                <c:pt idx="50">
                  <c:v>50.598447080767301</c:v>
                </c:pt>
                <c:pt idx="51">
                  <c:v>50.389919970458102</c:v>
                </c:pt>
                <c:pt idx="52">
                  <c:v>50.227692624467998</c:v>
                </c:pt>
                <c:pt idx="53">
                  <c:v>50.142458070515197</c:v>
                </c:pt>
                <c:pt idx="54">
                  <c:v>50.149182371078503</c:v>
                </c:pt>
                <c:pt idx="55">
                  <c:v>50.241947777495902</c:v>
                </c:pt>
                <c:pt idx="56">
                  <c:v>50.399265206909099</c:v>
                </c:pt>
                <c:pt idx="57">
                  <c:v>50.594188044744499</c:v>
                </c:pt>
                <c:pt idx="58">
                  <c:v>50.799970654349799</c:v>
                </c:pt>
                <c:pt idx="59">
                  <c:v>50.991208022325203</c:v>
                </c:pt>
                <c:pt idx="60">
                  <c:v>51.157215445946797</c:v>
                </c:pt>
                <c:pt idx="61">
                  <c:v>51.294208091557898</c:v>
                </c:pt>
                <c:pt idx="62">
                  <c:v>51.402166494212402</c:v>
                </c:pt>
              </c:numCache>
            </c:numRef>
          </c:val>
          <c:smooth val="0"/>
          <c:extLst>
            <c:ext xmlns:c16="http://schemas.microsoft.com/office/drawing/2014/chart" uri="{C3380CC4-5D6E-409C-BE32-E72D297353CC}">
              <c16:uniqueId val="{00000001-BD8D-4AE9-8203-F75865777C6A}"/>
            </c:ext>
          </c:extLst>
        </c:ser>
        <c:dLbls>
          <c:showLegendKey val="0"/>
          <c:showVal val="0"/>
          <c:showCatName val="0"/>
          <c:showSerName val="0"/>
          <c:showPercent val="0"/>
          <c:showBubbleSize val="0"/>
        </c:dLbls>
        <c:smooth val="0"/>
        <c:axId val="728665696"/>
        <c:axId val="438907272"/>
      </c:lineChart>
      <c:catAx>
        <c:axId val="72866569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38907272"/>
        <c:crossesAt val="50"/>
        <c:auto val="1"/>
        <c:lblAlgn val="ctr"/>
        <c:lblOffset val="50"/>
        <c:tickLblSkip val="1"/>
        <c:tickMarkSkip val="12"/>
        <c:noMultiLvlLbl val="1"/>
      </c:catAx>
      <c:valAx>
        <c:axId val="438907272"/>
        <c:scaling>
          <c:orientation val="minMax"/>
          <c:max val="62"/>
          <c:min val="3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728665696"/>
        <c:crosses val="autoZero"/>
        <c:crossBetween val="between"/>
        <c:majorUnit val="6"/>
      </c:valAx>
      <c:spPr>
        <a:noFill/>
      </c:spPr>
    </c:plotArea>
    <c:legend>
      <c:legendPos val="b"/>
      <c:layout>
        <c:manualLayout>
          <c:xMode val="edge"/>
          <c:yMode val="edge"/>
          <c:x val="0.15040262173714516"/>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Exportaciones</a:t>
            </a:r>
          </a:p>
        </c:rich>
      </c:tx>
      <c:layout>
        <c:manualLayout>
          <c:xMode val="edge"/>
          <c:yMode val="edge"/>
          <c:x val="0.40004426086599776"/>
          <c:y val="0"/>
        </c:manualLayout>
      </c:layout>
      <c:overlay val="1"/>
    </c:title>
    <c:autoTitleDeleted val="0"/>
    <c:plotArea>
      <c:layout>
        <c:manualLayout>
          <c:layoutTarget val="inner"/>
          <c:xMode val="edge"/>
          <c:yMode val="edge"/>
          <c:x val="5.598544266191325E-2"/>
          <c:y val="8.3651675485009819E-2"/>
          <c:w val="0.93080897207368285"/>
          <c:h val="0.69844449313010548"/>
        </c:manualLayout>
      </c:layout>
      <c:lineChart>
        <c:grouping val="standard"/>
        <c:varyColors val="0"/>
        <c:ser>
          <c:idx val="0"/>
          <c:order val="0"/>
          <c:tx>
            <c:strRef>
              <c:f>'Datos MAN'!$K$4</c:f>
              <c:strCache>
                <c:ptCount val="1"/>
                <c:pt idx="0">
                  <c:v>Serie Desestacionalizada</c:v>
                </c:pt>
              </c:strCache>
            </c:strRef>
          </c:tx>
          <c:spPr>
            <a:ln w="15875">
              <a:solidFill>
                <a:srgbClr val="3D6AA1"/>
              </a:solidFill>
            </a:ln>
          </c:spPr>
          <c:marker>
            <c:symbol val="none"/>
          </c:marker>
          <c:cat>
            <c:multiLvlStrRef>
              <c:f>'Datos MAN'!$A$161:$B$232</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 MAN'!$K$161:$K$232</c:f>
              <c:numCache>
                <c:formatCode>0.0_)</c:formatCode>
                <c:ptCount val="63"/>
                <c:pt idx="0">
                  <c:v>56.2325395857128</c:v>
                </c:pt>
                <c:pt idx="1">
                  <c:v>55.320341674069503</c:v>
                </c:pt>
                <c:pt idx="2">
                  <c:v>55.546605251117903</c:v>
                </c:pt>
                <c:pt idx="3">
                  <c:v>56.2602993244939</c:v>
                </c:pt>
                <c:pt idx="4">
                  <c:v>57.370103690712703</c:v>
                </c:pt>
                <c:pt idx="5">
                  <c:v>56.089578741070397</c:v>
                </c:pt>
                <c:pt idx="6">
                  <c:v>57.857579655700803</c:v>
                </c:pt>
                <c:pt idx="7">
                  <c:v>54.690045462872199</c:v>
                </c:pt>
                <c:pt idx="8">
                  <c:v>52.432487247002904</c:v>
                </c:pt>
                <c:pt idx="9">
                  <c:v>51.960110616534301</c:v>
                </c:pt>
                <c:pt idx="10">
                  <c:v>53.392256923910097</c:v>
                </c:pt>
                <c:pt idx="11">
                  <c:v>49.318103958879497</c:v>
                </c:pt>
                <c:pt idx="12">
                  <c:v>57.360228650493099</c:v>
                </c:pt>
                <c:pt idx="13">
                  <c:v>51.980315518343403</c:v>
                </c:pt>
                <c:pt idx="14">
                  <c:v>55.253642140814399</c:v>
                </c:pt>
                <c:pt idx="15">
                  <c:v>52.1239663281915</c:v>
                </c:pt>
                <c:pt idx="16">
                  <c:v>51.133192540854097</c:v>
                </c:pt>
                <c:pt idx="17">
                  <c:v>53.4144647379783</c:v>
                </c:pt>
                <c:pt idx="18">
                  <c:v>51.425605020255297</c:v>
                </c:pt>
                <c:pt idx="19">
                  <c:v>55.965255348598298</c:v>
                </c:pt>
                <c:pt idx="20">
                  <c:v>53.7044540758639</c:v>
                </c:pt>
                <c:pt idx="21">
                  <c:v>52.423090767881398</c:v>
                </c:pt>
                <c:pt idx="22">
                  <c:v>50.0563278248434</c:v>
                </c:pt>
                <c:pt idx="23">
                  <c:v>46.785525140305701</c:v>
                </c:pt>
                <c:pt idx="24">
                  <c:v>54.682529592689001</c:v>
                </c:pt>
                <c:pt idx="25">
                  <c:v>54.2369923717457</c:v>
                </c:pt>
                <c:pt idx="26">
                  <c:v>53.869678113035199</c:v>
                </c:pt>
                <c:pt idx="27">
                  <c:v>53.770178113002302</c:v>
                </c:pt>
                <c:pt idx="28">
                  <c:v>53.736271587454603</c:v>
                </c:pt>
                <c:pt idx="29">
                  <c:v>52.877953370719702</c:v>
                </c:pt>
                <c:pt idx="30">
                  <c:v>51.005580656661003</c:v>
                </c:pt>
                <c:pt idx="31">
                  <c:v>52.616096836865403</c:v>
                </c:pt>
                <c:pt idx="32">
                  <c:v>50.318478633580497</c:v>
                </c:pt>
                <c:pt idx="33">
                  <c:v>48.814057363493802</c:v>
                </c:pt>
                <c:pt idx="34">
                  <c:v>52.541671697848201</c:v>
                </c:pt>
                <c:pt idx="35">
                  <c:v>49.9189704437185</c:v>
                </c:pt>
                <c:pt idx="36">
                  <c:v>48.945703042476303</c:v>
                </c:pt>
                <c:pt idx="37">
                  <c:v>48.939339252509299</c:v>
                </c:pt>
                <c:pt idx="38">
                  <c:v>45.188565745410301</c:v>
                </c:pt>
                <c:pt idx="39">
                  <c:v>40.3174657967337</c:v>
                </c:pt>
                <c:pt idx="40">
                  <c:v>47.2857051158527</c:v>
                </c:pt>
                <c:pt idx="41">
                  <c:v>48.268460513365703</c:v>
                </c:pt>
                <c:pt idx="42">
                  <c:v>49.232399687490897</c:v>
                </c:pt>
                <c:pt idx="43">
                  <c:v>49.2460661095772</c:v>
                </c:pt>
                <c:pt idx="44">
                  <c:v>49.466513110665602</c:v>
                </c:pt>
                <c:pt idx="45">
                  <c:v>50.374801867167598</c:v>
                </c:pt>
                <c:pt idx="46">
                  <c:v>48.8400595014093</c:v>
                </c:pt>
                <c:pt idx="47">
                  <c:v>51.780244592442003</c:v>
                </c:pt>
                <c:pt idx="48">
                  <c:v>50.608203093925802</c:v>
                </c:pt>
                <c:pt idx="49">
                  <c:v>49.681020800178104</c:v>
                </c:pt>
                <c:pt idx="50">
                  <c:v>52.462973588544799</c:v>
                </c:pt>
                <c:pt idx="51">
                  <c:v>49.851633024388697</c:v>
                </c:pt>
                <c:pt idx="52">
                  <c:v>51.415133205267303</c:v>
                </c:pt>
                <c:pt idx="53">
                  <c:v>51.122680925150803</c:v>
                </c:pt>
                <c:pt idx="54">
                  <c:v>51.543148572249699</c:v>
                </c:pt>
                <c:pt idx="55">
                  <c:v>49.869225699163003</c:v>
                </c:pt>
                <c:pt idx="56">
                  <c:v>51.556682679381296</c:v>
                </c:pt>
                <c:pt idx="57">
                  <c:v>53.475651709390498</c:v>
                </c:pt>
                <c:pt idx="58">
                  <c:v>53.005623613317198</c:v>
                </c:pt>
                <c:pt idx="59">
                  <c:v>50.511194206268797</c:v>
                </c:pt>
                <c:pt idx="60">
                  <c:v>49.570970178756497</c:v>
                </c:pt>
                <c:pt idx="61">
                  <c:v>55.839677284610502</c:v>
                </c:pt>
                <c:pt idx="62">
                  <c:v>47.3085301302361</c:v>
                </c:pt>
              </c:numCache>
            </c:numRef>
          </c:val>
          <c:smooth val="0"/>
          <c:extLst>
            <c:ext xmlns:c16="http://schemas.microsoft.com/office/drawing/2014/chart" uri="{C3380CC4-5D6E-409C-BE32-E72D297353CC}">
              <c16:uniqueId val="{00000000-C89C-48D6-8C56-2227333F5888}"/>
            </c:ext>
          </c:extLst>
        </c:ser>
        <c:ser>
          <c:idx val="1"/>
          <c:order val="1"/>
          <c:tx>
            <c:strRef>
              <c:f>'Datos MAN'!$L$4</c:f>
              <c:strCache>
                <c:ptCount val="1"/>
                <c:pt idx="0">
                  <c:v>Serie de Tendencia-Ciclo</c:v>
                </c:pt>
              </c:strCache>
            </c:strRef>
          </c:tx>
          <c:spPr>
            <a:ln w="12700">
              <a:solidFill>
                <a:srgbClr val="C00000"/>
              </a:solidFill>
            </a:ln>
          </c:spPr>
          <c:marker>
            <c:symbol val="none"/>
          </c:marker>
          <c:cat>
            <c:multiLvlStrRef>
              <c:f>'Datos MAN'!$A$161:$B$232</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 MAN'!$L$161:$L$232</c:f>
              <c:numCache>
                <c:formatCode>0.0_)</c:formatCode>
                <c:ptCount val="63"/>
                <c:pt idx="0">
                  <c:v>56.504530601764102</c:v>
                </c:pt>
                <c:pt idx="1">
                  <c:v>56.3547311179818</c:v>
                </c:pt>
                <c:pt idx="2">
                  <c:v>56.173622171720297</c:v>
                </c:pt>
                <c:pt idx="3">
                  <c:v>55.946661066865197</c:v>
                </c:pt>
                <c:pt idx="4">
                  <c:v>55.662379543345097</c:v>
                </c:pt>
                <c:pt idx="5">
                  <c:v>55.325425215488103</c:v>
                </c:pt>
                <c:pt idx="6">
                  <c:v>54.930128954148699</c:v>
                </c:pt>
                <c:pt idx="7">
                  <c:v>54.486165308095401</c:v>
                </c:pt>
                <c:pt idx="8">
                  <c:v>54.021511447423002</c:v>
                </c:pt>
                <c:pt idx="9">
                  <c:v>53.5574186277384</c:v>
                </c:pt>
                <c:pt idx="10">
                  <c:v>53.130096072800001</c:v>
                </c:pt>
                <c:pt idx="11">
                  <c:v>52.7877802684771</c:v>
                </c:pt>
                <c:pt idx="12">
                  <c:v>52.548065581261397</c:v>
                </c:pt>
                <c:pt idx="13">
                  <c:v>52.398652756610701</c:v>
                </c:pt>
                <c:pt idx="14">
                  <c:v>52.319690883108599</c:v>
                </c:pt>
                <c:pt idx="15">
                  <c:v>52.285388440971502</c:v>
                </c:pt>
                <c:pt idx="16">
                  <c:v>52.275532146722497</c:v>
                </c:pt>
                <c:pt idx="17">
                  <c:v>52.283571732968497</c:v>
                </c:pt>
                <c:pt idx="18">
                  <c:v>52.322354143819098</c:v>
                </c:pt>
                <c:pt idx="19">
                  <c:v>52.413343202304297</c:v>
                </c:pt>
                <c:pt idx="20">
                  <c:v>52.565822481310001</c:v>
                </c:pt>
                <c:pt idx="21">
                  <c:v>52.778179439693403</c:v>
                </c:pt>
                <c:pt idx="22">
                  <c:v>53.0285816188767</c:v>
                </c:pt>
                <c:pt idx="23">
                  <c:v>53.267747112559697</c:v>
                </c:pt>
                <c:pt idx="24">
                  <c:v>53.4520489011555</c:v>
                </c:pt>
                <c:pt idx="25">
                  <c:v>53.544733237570703</c:v>
                </c:pt>
                <c:pt idx="26">
                  <c:v>53.518405870038499</c:v>
                </c:pt>
                <c:pt idx="27">
                  <c:v>53.361819935794898</c:v>
                </c:pt>
                <c:pt idx="28">
                  <c:v>53.079698006648798</c:v>
                </c:pt>
                <c:pt idx="29">
                  <c:v>52.684486119528302</c:v>
                </c:pt>
                <c:pt idx="30">
                  <c:v>52.190810163618202</c:v>
                </c:pt>
                <c:pt idx="31">
                  <c:v>51.627359034249203</c:v>
                </c:pt>
                <c:pt idx="32">
                  <c:v>51.022370305771503</c:v>
                </c:pt>
                <c:pt idx="33">
                  <c:v>50.417135105418602</c:v>
                </c:pt>
                <c:pt idx="34">
                  <c:v>49.8549646102732</c:v>
                </c:pt>
                <c:pt idx="35">
                  <c:v>49.370845036864999</c:v>
                </c:pt>
                <c:pt idx="36">
                  <c:v>48.968103715595099</c:v>
                </c:pt>
                <c:pt idx="37">
                  <c:v>48.656554993948397</c:v>
                </c:pt>
                <c:pt idx="38">
                  <c:v>48.456661025119701</c:v>
                </c:pt>
                <c:pt idx="39">
                  <c:v>48.368040773640097</c:v>
                </c:pt>
                <c:pt idx="40">
                  <c:v>48.393713272174502</c:v>
                </c:pt>
                <c:pt idx="41">
                  <c:v>48.525695835291899</c:v>
                </c:pt>
                <c:pt idx="42">
                  <c:v>48.751067638650902</c:v>
                </c:pt>
                <c:pt idx="43">
                  <c:v>49.045909050034297</c:v>
                </c:pt>
                <c:pt idx="44">
                  <c:v>49.384735017560601</c:v>
                </c:pt>
                <c:pt idx="45">
                  <c:v>49.740973727551101</c:v>
                </c:pt>
                <c:pt idx="46">
                  <c:v>50.068351740750501</c:v>
                </c:pt>
                <c:pt idx="47">
                  <c:v>50.330397184098999</c:v>
                </c:pt>
                <c:pt idx="48">
                  <c:v>50.536134362183503</c:v>
                </c:pt>
                <c:pt idx="49">
                  <c:v>50.709319927688902</c:v>
                </c:pt>
                <c:pt idx="50">
                  <c:v>50.864890094831601</c:v>
                </c:pt>
                <c:pt idx="51">
                  <c:v>51.014449692879197</c:v>
                </c:pt>
                <c:pt idx="52">
                  <c:v>51.154751117540201</c:v>
                </c:pt>
                <c:pt idx="53">
                  <c:v>51.279978456422903</c:v>
                </c:pt>
                <c:pt idx="54">
                  <c:v>51.378599120371298</c:v>
                </c:pt>
                <c:pt idx="55">
                  <c:v>51.441504789305803</c:v>
                </c:pt>
                <c:pt idx="56">
                  <c:v>51.464479318565999</c:v>
                </c:pt>
                <c:pt idx="57">
                  <c:v>51.4454855095127</c:v>
                </c:pt>
                <c:pt idx="58">
                  <c:v>51.386133304678701</c:v>
                </c:pt>
                <c:pt idx="59">
                  <c:v>51.300132006745798</c:v>
                </c:pt>
                <c:pt idx="60">
                  <c:v>51.199711420512998</c:v>
                </c:pt>
                <c:pt idx="61">
                  <c:v>51.115993269197197</c:v>
                </c:pt>
                <c:pt idx="62">
                  <c:v>51.063845450381002</c:v>
                </c:pt>
              </c:numCache>
            </c:numRef>
          </c:val>
          <c:smooth val="0"/>
          <c:extLst>
            <c:ext xmlns:c16="http://schemas.microsoft.com/office/drawing/2014/chart" uri="{C3380CC4-5D6E-409C-BE32-E72D297353CC}">
              <c16:uniqueId val="{00000001-C89C-48D6-8C56-2227333F5888}"/>
            </c:ext>
          </c:extLst>
        </c:ser>
        <c:dLbls>
          <c:showLegendKey val="0"/>
          <c:showVal val="0"/>
          <c:showCatName val="0"/>
          <c:showSerName val="0"/>
          <c:showPercent val="0"/>
          <c:showBubbleSize val="0"/>
        </c:dLbls>
        <c:smooth val="0"/>
        <c:axId val="403649120"/>
        <c:axId val="721528848"/>
      </c:lineChart>
      <c:catAx>
        <c:axId val="40364912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721528848"/>
        <c:crossesAt val="50"/>
        <c:auto val="1"/>
        <c:lblAlgn val="ctr"/>
        <c:lblOffset val="50"/>
        <c:tickLblSkip val="1"/>
        <c:tickMarkSkip val="12"/>
        <c:noMultiLvlLbl val="1"/>
      </c:catAx>
      <c:valAx>
        <c:axId val="721528848"/>
        <c:scaling>
          <c:orientation val="minMax"/>
          <c:max val="62"/>
          <c:min val="38"/>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03649120"/>
        <c:crosses val="autoZero"/>
        <c:crossBetween val="between"/>
        <c:majorUnit val="6"/>
      </c:valAx>
      <c:spPr>
        <a:noFill/>
      </c:spPr>
    </c:plotArea>
    <c:legend>
      <c:legendPos val="b"/>
      <c:layout>
        <c:manualLayout>
          <c:xMode val="edge"/>
          <c:yMode val="edge"/>
          <c:x val="0.14651552380530608"/>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 ocupado total</a:t>
            </a:r>
          </a:p>
        </c:rich>
      </c:tx>
      <c:layout>
        <c:manualLayout>
          <c:xMode val="edge"/>
          <c:yMode val="edge"/>
          <c:x val="0.36916618435540055"/>
          <c:y val="0"/>
        </c:manualLayout>
      </c:layout>
      <c:overlay val="1"/>
    </c:title>
    <c:autoTitleDeleted val="0"/>
    <c:plotArea>
      <c:layout>
        <c:manualLayout>
          <c:layoutTarget val="inner"/>
          <c:xMode val="edge"/>
          <c:yMode val="edge"/>
          <c:x val="5.598544266191325E-2"/>
          <c:y val="8.3668916639715679E-2"/>
          <c:w val="0.93080897207368285"/>
          <c:h val="0.70946918719288909"/>
        </c:manualLayout>
      </c:layout>
      <c:lineChart>
        <c:grouping val="standard"/>
        <c:varyColors val="0"/>
        <c:ser>
          <c:idx val="0"/>
          <c:order val="0"/>
          <c:tx>
            <c:strRef>
              <c:f>'Datos MAN'!$M$4</c:f>
              <c:strCache>
                <c:ptCount val="1"/>
                <c:pt idx="0">
                  <c:v>Serie Desestacionalizada</c:v>
                </c:pt>
              </c:strCache>
            </c:strRef>
          </c:tx>
          <c:spPr>
            <a:ln w="15875">
              <a:solidFill>
                <a:srgbClr val="3D6AA1"/>
              </a:solidFill>
            </a:ln>
          </c:spPr>
          <c:marker>
            <c:symbol val="none"/>
          </c:marker>
          <c:cat>
            <c:multiLvlStrRef>
              <c:f>'Datos MAN'!$A$161:$B$232</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 MAN'!$M$161:$M$232</c:f>
              <c:numCache>
                <c:formatCode>0.0_)</c:formatCode>
                <c:ptCount val="63"/>
                <c:pt idx="0">
                  <c:v>51.3623773800797</c:v>
                </c:pt>
                <c:pt idx="1">
                  <c:v>51.366594361920598</c:v>
                </c:pt>
                <c:pt idx="2">
                  <c:v>51.6916883587201</c:v>
                </c:pt>
                <c:pt idx="3">
                  <c:v>51.328862933138701</c:v>
                </c:pt>
                <c:pt idx="4">
                  <c:v>51.8216315961471</c:v>
                </c:pt>
                <c:pt idx="5">
                  <c:v>52.265613366898201</c:v>
                </c:pt>
                <c:pt idx="6">
                  <c:v>51.225606708660003</c:v>
                </c:pt>
                <c:pt idx="7">
                  <c:v>51.109468863387299</c:v>
                </c:pt>
                <c:pt idx="8">
                  <c:v>50.718290013433602</c:v>
                </c:pt>
                <c:pt idx="9">
                  <c:v>50.702444148623201</c:v>
                </c:pt>
                <c:pt idx="10">
                  <c:v>51.045030706742402</c:v>
                </c:pt>
                <c:pt idx="11">
                  <c:v>50.908659892669299</c:v>
                </c:pt>
                <c:pt idx="12">
                  <c:v>51.077456978397599</c:v>
                </c:pt>
                <c:pt idx="13">
                  <c:v>51.1998274261394</c:v>
                </c:pt>
                <c:pt idx="14">
                  <c:v>51.707622346626302</c:v>
                </c:pt>
                <c:pt idx="15">
                  <c:v>51.227475518860302</c:v>
                </c:pt>
                <c:pt idx="16">
                  <c:v>51.351545010168302</c:v>
                </c:pt>
                <c:pt idx="17">
                  <c:v>50.8446522885612</c:v>
                </c:pt>
                <c:pt idx="18">
                  <c:v>50.982126360573602</c:v>
                </c:pt>
                <c:pt idx="19">
                  <c:v>50.599186001628603</c:v>
                </c:pt>
                <c:pt idx="20">
                  <c:v>50.967463053369102</c:v>
                </c:pt>
                <c:pt idx="21">
                  <c:v>50.117350748627501</c:v>
                </c:pt>
                <c:pt idx="22">
                  <c:v>50.548636926941498</c:v>
                </c:pt>
                <c:pt idx="23">
                  <c:v>51.531653080195902</c:v>
                </c:pt>
                <c:pt idx="24">
                  <c:v>50.662200803079998</c:v>
                </c:pt>
                <c:pt idx="25">
                  <c:v>50.421404046415503</c:v>
                </c:pt>
                <c:pt idx="26">
                  <c:v>49.787382604064298</c:v>
                </c:pt>
                <c:pt idx="27">
                  <c:v>50.244748385242701</c:v>
                </c:pt>
                <c:pt idx="28">
                  <c:v>49.708819204873599</c:v>
                </c:pt>
                <c:pt idx="29">
                  <c:v>49.911360326884903</c:v>
                </c:pt>
                <c:pt idx="30">
                  <c:v>49.992859300588599</c:v>
                </c:pt>
                <c:pt idx="31">
                  <c:v>49.792175958763401</c:v>
                </c:pt>
                <c:pt idx="32">
                  <c:v>49.507175781313002</c:v>
                </c:pt>
                <c:pt idx="33">
                  <c:v>49.903256670421399</c:v>
                </c:pt>
                <c:pt idx="34">
                  <c:v>49.253532375502203</c:v>
                </c:pt>
                <c:pt idx="35">
                  <c:v>49.043287560928597</c:v>
                </c:pt>
                <c:pt idx="36">
                  <c:v>49.375139347493203</c:v>
                </c:pt>
                <c:pt idx="37">
                  <c:v>49.4472216876974</c:v>
                </c:pt>
                <c:pt idx="38">
                  <c:v>48.749165149335397</c:v>
                </c:pt>
                <c:pt idx="39">
                  <c:v>46.193872993831498</c:v>
                </c:pt>
                <c:pt idx="40">
                  <c:v>44.582036638881</c:v>
                </c:pt>
                <c:pt idx="41">
                  <c:v>46.256346114558603</c:v>
                </c:pt>
                <c:pt idx="42">
                  <c:v>48.678606323876799</c:v>
                </c:pt>
                <c:pt idx="43">
                  <c:v>48.917640996592702</c:v>
                </c:pt>
                <c:pt idx="44">
                  <c:v>49.397472111524799</c:v>
                </c:pt>
                <c:pt idx="45">
                  <c:v>49.759302397705497</c:v>
                </c:pt>
                <c:pt idx="46">
                  <c:v>50.296822628627702</c:v>
                </c:pt>
                <c:pt idx="47">
                  <c:v>50.508160135015501</c:v>
                </c:pt>
                <c:pt idx="48">
                  <c:v>50.109534739184497</c:v>
                </c:pt>
                <c:pt idx="49">
                  <c:v>49.911203909126002</c:v>
                </c:pt>
                <c:pt idx="50">
                  <c:v>50.333628780436001</c:v>
                </c:pt>
                <c:pt idx="51">
                  <c:v>50.0747270792628</c:v>
                </c:pt>
                <c:pt idx="52">
                  <c:v>50.403554225549101</c:v>
                </c:pt>
                <c:pt idx="53">
                  <c:v>50.998833610868601</c:v>
                </c:pt>
                <c:pt idx="54">
                  <c:v>51.526348839368701</c:v>
                </c:pt>
                <c:pt idx="55">
                  <c:v>51.221608944495898</c:v>
                </c:pt>
                <c:pt idx="56">
                  <c:v>51.093768148984999</c:v>
                </c:pt>
                <c:pt idx="57">
                  <c:v>49.174254996695304</c:v>
                </c:pt>
                <c:pt idx="58">
                  <c:v>50.503169766767002</c:v>
                </c:pt>
                <c:pt idx="59">
                  <c:v>50.224474869586103</c:v>
                </c:pt>
                <c:pt idx="60">
                  <c:v>50.016588235264898</c:v>
                </c:pt>
                <c:pt idx="61">
                  <c:v>51.5099890000375</c:v>
                </c:pt>
                <c:pt idx="62">
                  <c:v>50.890504943374303</c:v>
                </c:pt>
              </c:numCache>
            </c:numRef>
          </c:val>
          <c:smooth val="0"/>
          <c:extLst>
            <c:ext xmlns:c16="http://schemas.microsoft.com/office/drawing/2014/chart" uri="{C3380CC4-5D6E-409C-BE32-E72D297353CC}">
              <c16:uniqueId val="{00000000-2CA4-4793-AAA9-19ECD1C5B22E}"/>
            </c:ext>
          </c:extLst>
        </c:ser>
        <c:ser>
          <c:idx val="1"/>
          <c:order val="1"/>
          <c:tx>
            <c:strRef>
              <c:f>'Datos MAN'!$N$4</c:f>
              <c:strCache>
                <c:ptCount val="1"/>
                <c:pt idx="0">
                  <c:v>Serie de Tendencia-Ciclo</c:v>
                </c:pt>
              </c:strCache>
            </c:strRef>
          </c:tx>
          <c:spPr>
            <a:ln w="12700">
              <a:solidFill>
                <a:srgbClr val="C00000"/>
              </a:solidFill>
            </a:ln>
          </c:spPr>
          <c:marker>
            <c:symbol val="none"/>
          </c:marker>
          <c:cat>
            <c:multiLvlStrRef>
              <c:f>'Datos MAN'!$A$161:$B$232</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 MAN'!$N$161:$N$232</c:f>
              <c:numCache>
                <c:formatCode>0.0_)</c:formatCode>
                <c:ptCount val="63"/>
                <c:pt idx="0">
                  <c:v>51.351465270521302</c:v>
                </c:pt>
                <c:pt idx="1">
                  <c:v>51.407683172209801</c:v>
                </c:pt>
                <c:pt idx="2">
                  <c:v>51.500424992221298</c:v>
                </c:pt>
                <c:pt idx="3">
                  <c:v>51.555706936037502</c:v>
                </c:pt>
                <c:pt idx="4">
                  <c:v>51.525093078814798</c:v>
                </c:pt>
                <c:pt idx="5">
                  <c:v>51.412582018506399</c:v>
                </c:pt>
                <c:pt idx="6">
                  <c:v>51.241474229138397</c:v>
                </c:pt>
                <c:pt idx="7">
                  <c:v>51.062439605827301</c:v>
                </c:pt>
                <c:pt idx="8">
                  <c:v>50.914760400559302</c:v>
                </c:pt>
                <c:pt idx="9">
                  <c:v>50.847757802540599</c:v>
                </c:pt>
                <c:pt idx="10">
                  <c:v>50.8757796887555</c:v>
                </c:pt>
                <c:pt idx="11">
                  <c:v>50.994040450083403</c:v>
                </c:pt>
                <c:pt idx="12">
                  <c:v>51.141333361057697</c:v>
                </c:pt>
                <c:pt idx="13">
                  <c:v>51.270308771790297</c:v>
                </c:pt>
                <c:pt idx="14">
                  <c:v>51.327392050800697</c:v>
                </c:pt>
                <c:pt idx="15">
                  <c:v>51.298428517026302</c:v>
                </c:pt>
                <c:pt idx="16">
                  <c:v>51.204560774584998</c:v>
                </c:pt>
                <c:pt idx="17">
                  <c:v>51.069371650004904</c:v>
                </c:pt>
                <c:pt idx="18">
                  <c:v>50.923363970482903</c:v>
                </c:pt>
                <c:pt idx="19">
                  <c:v>50.808897003345599</c:v>
                </c:pt>
                <c:pt idx="20">
                  <c:v>50.7485248148081</c:v>
                </c:pt>
                <c:pt idx="21">
                  <c:v>50.713916832204198</c:v>
                </c:pt>
                <c:pt idx="22">
                  <c:v>50.672536024848398</c:v>
                </c:pt>
                <c:pt idx="23">
                  <c:v>50.601658403753</c:v>
                </c:pt>
                <c:pt idx="24">
                  <c:v>50.482512319878197</c:v>
                </c:pt>
                <c:pt idx="25">
                  <c:v>50.334289454771898</c:v>
                </c:pt>
                <c:pt idx="26">
                  <c:v>50.183496564431202</c:v>
                </c:pt>
                <c:pt idx="27">
                  <c:v>50.048761438024201</c:v>
                </c:pt>
                <c:pt idx="28">
                  <c:v>49.945786870641797</c:v>
                </c:pt>
                <c:pt idx="29">
                  <c:v>49.886934889910897</c:v>
                </c:pt>
                <c:pt idx="30">
                  <c:v>49.840160117532001</c:v>
                </c:pt>
                <c:pt idx="31">
                  <c:v>49.764904678809899</c:v>
                </c:pt>
                <c:pt idx="32">
                  <c:v>49.662934768614399</c:v>
                </c:pt>
                <c:pt idx="33">
                  <c:v>49.547155799560301</c:v>
                </c:pt>
                <c:pt idx="34">
                  <c:v>49.431038674827199</c:v>
                </c:pt>
                <c:pt idx="35">
                  <c:v>49.3138420776286</c:v>
                </c:pt>
                <c:pt idx="36">
                  <c:v>49.211181924601703</c:v>
                </c:pt>
                <c:pt idx="37">
                  <c:v>49.110346135691103</c:v>
                </c:pt>
                <c:pt idx="38">
                  <c:v>48.999083089827501</c:v>
                </c:pt>
                <c:pt idx="39">
                  <c:v>48.887331617628497</c:v>
                </c:pt>
                <c:pt idx="40">
                  <c:v>48.7985089373107</c:v>
                </c:pt>
                <c:pt idx="41">
                  <c:v>48.7709928720842</c:v>
                </c:pt>
                <c:pt idx="42">
                  <c:v>48.871411693355498</c:v>
                </c:pt>
                <c:pt idx="43">
                  <c:v>49.112153071354598</c:v>
                </c:pt>
                <c:pt idx="44">
                  <c:v>49.429158582693603</c:v>
                </c:pt>
                <c:pt idx="45">
                  <c:v>49.753830291344002</c:v>
                </c:pt>
                <c:pt idx="46">
                  <c:v>50.021794462946602</c:v>
                </c:pt>
                <c:pt idx="47">
                  <c:v>50.169808805263699</c:v>
                </c:pt>
                <c:pt idx="48">
                  <c:v>50.200697064840199</c:v>
                </c:pt>
                <c:pt idx="49">
                  <c:v>50.184094539678703</c:v>
                </c:pt>
                <c:pt idx="50">
                  <c:v>50.214068961159697</c:v>
                </c:pt>
                <c:pt idx="51">
                  <c:v>50.350388221118401</c:v>
                </c:pt>
                <c:pt idx="52">
                  <c:v>50.583185707169903</c:v>
                </c:pt>
                <c:pt idx="53">
                  <c:v>50.8440660114126</c:v>
                </c:pt>
                <c:pt idx="54">
                  <c:v>51.026978576323003</c:v>
                </c:pt>
                <c:pt idx="55">
                  <c:v>51.065088417252902</c:v>
                </c:pt>
                <c:pt idx="56">
                  <c:v>50.964488107484698</c:v>
                </c:pt>
                <c:pt idx="57">
                  <c:v>50.783145484236101</c:v>
                </c:pt>
                <c:pt idx="58">
                  <c:v>50.603881589430102</c:v>
                </c:pt>
                <c:pt idx="59">
                  <c:v>50.515515725310898</c:v>
                </c:pt>
                <c:pt idx="60">
                  <c:v>50.543523356711802</c:v>
                </c:pt>
                <c:pt idx="61">
                  <c:v>50.656401499999397</c:v>
                </c:pt>
                <c:pt idx="62">
                  <c:v>50.800674892284398</c:v>
                </c:pt>
              </c:numCache>
            </c:numRef>
          </c:val>
          <c:smooth val="0"/>
          <c:extLst>
            <c:ext xmlns:c16="http://schemas.microsoft.com/office/drawing/2014/chart" uri="{C3380CC4-5D6E-409C-BE32-E72D297353CC}">
              <c16:uniqueId val="{00000001-2CA4-4793-AAA9-19ECD1C5B22E}"/>
            </c:ext>
          </c:extLst>
        </c:ser>
        <c:dLbls>
          <c:showLegendKey val="0"/>
          <c:showVal val="0"/>
          <c:showCatName val="0"/>
          <c:showSerName val="0"/>
          <c:showPercent val="0"/>
          <c:showBubbleSize val="0"/>
        </c:dLbls>
        <c:smooth val="0"/>
        <c:axId val="404420736"/>
        <c:axId val="404415640"/>
      </c:lineChart>
      <c:catAx>
        <c:axId val="40442073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04415640"/>
        <c:crossesAt val="50"/>
        <c:auto val="1"/>
        <c:lblAlgn val="ctr"/>
        <c:lblOffset val="50"/>
        <c:tickLblSkip val="1"/>
        <c:tickMarkSkip val="12"/>
        <c:noMultiLvlLbl val="1"/>
      </c:catAx>
      <c:valAx>
        <c:axId val="404415640"/>
        <c:scaling>
          <c:orientation val="minMax"/>
          <c:max val="54"/>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04420736"/>
        <c:crosses val="autoZero"/>
        <c:crossBetween val="between"/>
        <c:majorUnit val="2"/>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98544266191325E-2"/>
          <c:y val="5.3172971784026191E-2"/>
          <c:w val="0.91964332703257068"/>
          <c:h val="0.79524271813933767"/>
        </c:manualLayout>
      </c:layout>
      <c:lineChart>
        <c:grouping val="standard"/>
        <c:varyColors val="0"/>
        <c:ser>
          <c:idx val="0"/>
          <c:order val="0"/>
          <c:tx>
            <c:strRef>
              <c:f>'Datos CONS'!$C$4</c:f>
              <c:strCache>
                <c:ptCount val="1"/>
                <c:pt idx="0">
                  <c:v>Serie Desestacionalizada</c:v>
                </c:pt>
              </c:strCache>
            </c:strRef>
          </c:tx>
          <c:spPr>
            <a:ln w="19050">
              <a:solidFill>
                <a:srgbClr val="4A7EBB"/>
              </a:solidFill>
            </a:ln>
          </c:spPr>
          <c:marker>
            <c:symbol val="none"/>
          </c:marker>
          <c:cat>
            <c:multiLvlStrRef>
              <c:f>'Datos CONS'!$A$77:$B$148</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 CONS'!$C$77:$C$148</c:f>
              <c:numCache>
                <c:formatCode>0.0_)</c:formatCode>
                <c:ptCount val="63"/>
                <c:pt idx="0">
                  <c:v>53.885770075728999</c:v>
                </c:pt>
                <c:pt idx="1">
                  <c:v>54.133357774149601</c:v>
                </c:pt>
                <c:pt idx="2">
                  <c:v>54.068082873792399</c:v>
                </c:pt>
                <c:pt idx="3">
                  <c:v>53.631647036729603</c:v>
                </c:pt>
                <c:pt idx="4">
                  <c:v>53.8950129387744</c:v>
                </c:pt>
                <c:pt idx="5">
                  <c:v>53.535030988813403</c:v>
                </c:pt>
                <c:pt idx="6">
                  <c:v>52.619665305989997</c:v>
                </c:pt>
                <c:pt idx="7">
                  <c:v>53.592361705385201</c:v>
                </c:pt>
                <c:pt idx="8">
                  <c:v>52.343936365832498</c:v>
                </c:pt>
                <c:pt idx="9">
                  <c:v>52.990301668936503</c:v>
                </c:pt>
                <c:pt idx="10">
                  <c:v>52.962901806550697</c:v>
                </c:pt>
                <c:pt idx="11">
                  <c:v>51.820491533529001</c:v>
                </c:pt>
                <c:pt idx="12">
                  <c:v>51.598462806849199</c:v>
                </c:pt>
                <c:pt idx="13">
                  <c:v>51.454225376102798</c:v>
                </c:pt>
                <c:pt idx="14">
                  <c:v>52.451035899029797</c:v>
                </c:pt>
                <c:pt idx="15">
                  <c:v>51.184721125215397</c:v>
                </c:pt>
                <c:pt idx="16">
                  <c:v>52.564515486651203</c:v>
                </c:pt>
                <c:pt idx="17">
                  <c:v>50.001130886478599</c:v>
                </c:pt>
                <c:pt idx="18">
                  <c:v>50.758111033629</c:v>
                </c:pt>
                <c:pt idx="19">
                  <c:v>51.5454737461421</c:v>
                </c:pt>
                <c:pt idx="20">
                  <c:v>52.794000493851598</c:v>
                </c:pt>
                <c:pt idx="21">
                  <c:v>51.377513123266603</c:v>
                </c:pt>
                <c:pt idx="22">
                  <c:v>51.066111932255502</c:v>
                </c:pt>
                <c:pt idx="23">
                  <c:v>49.481024913184903</c:v>
                </c:pt>
                <c:pt idx="24">
                  <c:v>51.260035220398798</c:v>
                </c:pt>
                <c:pt idx="25">
                  <c:v>51.4274189197018</c:v>
                </c:pt>
                <c:pt idx="26">
                  <c:v>51.235971108191997</c:v>
                </c:pt>
                <c:pt idx="27">
                  <c:v>52.183409042224604</c:v>
                </c:pt>
                <c:pt idx="28">
                  <c:v>51.2444674517157</c:v>
                </c:pt>
                <c:pt idx="29">
                  <c:v>51.247819590608898</c:v>
                </c:pt>
                <c:pt idx="30">
                  <c:v>50.696107100561001</c:v>
                </c:pt>
                <c:pt idx="31">
                  <c:v>49.895457783050198</c:v>
                </c:pt>
                <c:pt idx="32">
                  <c:v>50.029724058519001</c:v>
                </c:pt>
                <c:pt idx="33">
                  <c:v>49.597309008269399</c:v>
                </c:pt>
                <c:pt idx="34">
                  <c:v>48.829596008417298</c:v>
                </c:pt>
                <c:pt idx="35">
                  <c:v>48.162998233361897</c:v>
                </c:pt>
                <c:pt idx="36">
                  <c:v>48.2333885739301</c:v>
                </c:pt>
                <c:pt idx="37">
                  <c:v>47.863008989577899</c:v>
                </c:pt>
                <c:pt idx="38">
                  <c:v>46.652726641849497</c:v>
                </c:pt>
                <c:pt idx="39">
                  <c:v>40.758359743804498</c:v>
                </c:pt>
                <c:pt idx="40">
                  <c:v>38.550858201534297</c:v>
                </c:pt>
                <c:pt idx="41">
                  <c:v>45.101253736926999</c:v>
                </c:pt>
                <c:pt idx="42">
                  <c:v>49.093390767722902</c:v>
                </c:pt>
                <c:pt idx="43">
                  <c:v>48.887378699068002</c:v>
                </c:pt>
                <c:pt idx="44">
                  <c:v>49.311578207539398</c:v>
                </c:pt>
                <c:pt idx="45">
                  <c:v>50.173286792273103</c:v>
                </c:pt>
                <c:pt idx="46">
                  <c:v>50.749871246420497</c:v>
                </c:pt>
                <c:pt idx="47">
                  <c:v>51.612149781185799</c:v>
                </c:pt>
                <c:pt idx="48">
                  <c:v>51.949299293497603</c:v>
                </c:pt>
                <c:pt idx="49">
                  <c:v>52.122521813250899</c:v>
                </c:pt>
                <c:pt idx="50">
                  <c:v>53.191159686834503</c:v>
                </c:pt>
                <c:pt idx="51">
                  <c:v>53.270475292099597</c:v>
                </c:pt>
                <c:pt idx="52">
                  <c:v>53.553438543517501</c:v>
                </c:pt>
                <c:pt idx="53">
                  <c:v>53.949449715875602</c:v>
                </c:pt>
                <c:pt idx="54">
                  <c:v>54.068463340638097</c:v>
                </c:pt>
                <c:pt idx="55">
                  <c:v>53.4633859690896</c:v>
                </c:pt>
                <c:pt idx="56">
                  <c:v>53.574297143511103</c:v>
                </c:pt>
                <c:pt idx="57">
                  <c:v>52.796692636393701</c:v>
                </c:pt>
                <c:pt idx="58">
                  <c:v>53.232936229394497</c:v>
                </c:pt>
                <c:pt idx="59">
                  <c:v>53.864970235936703</c:v>
                </c:pt>
                <c:pt idx="60">
                  <c:v>54.031045022981203</c:v>
                </c:pt>
                <c:pt idx="61">
                  <c:v>54.085436682012201</c:v>
                </c:pt>
                <c:pt idx="62">
                  <c:v>54.135752184713297</c:v>
                </c:pt>
              </c:numCache>
            </c:numRef>
          </c:val>
          <c:smooth val="0"/>
          <c:extLst>
            <c:ext xmlns:c16="http://schemas.microsoft.com/office/drawing/2014/chart" uri="{C3380CC4-5D6E-409C-BE32-E72D297353CC}">
              <c16:uniqueId val="{00000000-E38E-47ED-B0C8-F35326A21888}"/>
            </c:ext>
          </c:extLst>
        </c:ser>
        <c:ser>
          <c:idx val="1"/>
          <c:order val="1"/>
          <c:tx>
            <c:strRef>
              <c:f>'Datos CONS'!$D$4</c:f>
              <c:strCache>
                <c:ptCount val="1"/>
                <c:pt idx="0">
                  <c:v>Serie de Tendencia-Ciclo</c:v>
                </c:pt>
              </c:strCache>
            </c:strRef>
          </c:tx>
          <c:spPr>
            <a:ln w="9525">
              <a:solidFill>
                <a:srgbClr val="FF0000"/>
              </a:solidFill>
            </a:ln>
          </c:spPr>
          <c:marker>
            <c:symbol val="none"/>
          </c:marker>
          <c:cat>
            <c:multiLvlStrRef>
              <c:f>'Datos CONS'!$A$77:$B$148</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 CONS'!$D$77:$D$148</c:f>
              <c:numCache>
                <c:formatCode>0.0_)</c:formatCode>
                <c:ptCount val="63"/>
                <c:pt idx="0">
                  <c:v>53.589861604399204</c:v>
                </c:pt>
                <c:pt idx="1">
                  <c:v>53.8035998162864</c:v>
                </c:pt>
                <c:pt idx="2">
                  <c:v>53.910513060642003</c:v>
                </c:pt>
                <c:pt idx="3">
                  <c:v>53.870972902669301</c:v>
                </c:pt>
                <c:pt idx="4">
                  <c:v>53.6832077973541</c:v>
                </c:pt>
                <c:pt idx="5">
                  <c:v>53.448468127476502</c:v>
                </c:pt>
                <c:pt idx="6">
                  <c:v>53.237548830386402</c:v>
                </c:pt>
                <c:pt idx="7">
                  <c:v>53.070931475356602</c:v>
                </c:pt>
                <c:pt idx="8">
                  <c:v>52.880721599871499</c:v>
                </c:pt>
                <c:pt idx="9">
                  <c:v>52.661479685005602</c:v>
                </c:pt>
                <c:pt idx="10">
                  <c:v>52.415376788690303</c:v>
                </c:pt>
                <c:pt idx="11">
                  <c:v>52.165910725019799</c:v>
                </c:pt>
                <c:pt idx="12">
                  <c:v>51.942488403834098</c:v>
                </c:pt>
                <c:pt idx="13">
                  <c:v>51.757041548812701</c:v>
                </c:pt>
                <c:pt idx="14">
                  <c:v>51.618295419101003</c:v>
                </c:pt>
                <c:pt idx="15">
                  <c:v>51.500355097707903</c:v>
                </c:pt>
                <c:pt idx="16">
                  <c:v>51.416758596136901</c:v>
                </c:pt>
                <c:pt idx="17">
                  <c:v>51.337410269287197</c:v>
                </c:pt>
                <c:pt idx="18">
                  <c:v>51.265348851297901</c:v>
                </c:pt>
                <c:pt idx="19">
                  <c:v>51.227138860281599</c:v>
                </c:pt>
                <c:pt idx="20">
                  <c:v>51.2253548199592</c:v>
                </c:pt>
                <c:pt idx="21">
                  <c:v>51.222142383991098</c:v>
                </c:pt>
                <c:pt idx="22">
                  <c:v>51.217462896943303</c:v>
                </c:pt>
                <c:pt idx="23">
                  <c:v>51.250245915328897</c:v>
                </c:pt>
                <c:pt idx="24">
                  <c:v>51.323020491632299</c:v>
                </c:pt>
                <c:pt idx="25">
                  <c:v>51.437936110751501</c:v>
                </c:pt>
                <c:pt idx="26">
                  <c:v>51.536126822539103</c:v>
                </c:pt>
                <c:pt idx="27">
                  <c:v>51.5287203800643</c:v>
                </c:pt>
                <c:pt idx="28">
                  <c:v>51.386505943334598</c:v>
                </c:pt>
                <c:pt idx="29">
                  <c:v>51.115359793158603</c:v>
                </c:pt>
                <c:pt idx="30">
                  <c:v>50.7377493603964</c:v>
                </c:pt>
                <c:pt idx="31">
                  <c:v>50.288377687578397</c:v>
                </c:pt>
                <c:pt idx="32">
                  <c:v>49.829499419274903</c:v>
                </c:pt>
                <c:pt idx="33">
                  <c:v>49.380484027219303</c:v>
                </c:pt>
                <c:pt idx="34">
                  <c:v>48.926628907900302</c:v>
                </c:pt>
                <c:pt idx="35">
                  <c:v>48.435328733642798</c:v>
                </c:pt>
                <c:pt idx="36">
                  <c:v>47.932037153854701</c:v>
                </c:pt>
                <c:pt idx="37">
                  <c:v>47.452527388949598</c:v>
                </c:pt>
                <c:pt idx="38">
                  <c:v>47.088327778185104</c:v>
                </c:pt>
                <c:pt idx="39">
                  <c:v>46.924620195863902</c:v>
                </c:pt>
                <c:pt idx="40">
                  <c:v>47.004525582878401</c:v>
                </c:pt>
                <c:pt idx="41">
                  <c:v>47.338770218945001</c:v>
                </c:pt>
                <c:pt idx="42">
                  <c:v>47.902864373717897</c:v>
                </c:pt>
                <c:pt idx="43">
                  <c:v>48.625030135066197</c:v>
                </c:pt>
                <c:pt idx="44">
                  <c:v>49.383648193798699</c:v>
                </c:pt>
                <c:pt idx="45">
                  <c:v>50.111752536442303</c:v>
                </c:pt>
                <c:pt idx="46">
                  <c:v>50.792483185445903</c:v>
                </c:pt>
                <c:pt idx="47">
                  <c:v>51.405806641491203</c:v>
                </c:pt>
                <c:pt idx="48">
                  <c:v>51.958570956953302</c:v>
                </c:pt>
                <c:pt idx="49">
                  <c:v>52.472966190988203</c:v>
                </c:pt>
                <c:pt idx="50">
                  <c:v>52.9399088288014</c:v>
                </c:pt>
                <c:pt idx="51">
                  <c:v>53.341618499544303</c:v>
                </c:pt>
                <c:pt idx="52">
                  <c:v>53.636193683536298</c:v>
                </c:pt>
                <c:pt idx="53">
                  <c:v>53.766729396398901</c:v>
                </c:pt>
                <c:pt idx="54">
                  <c:v>53.730621875457899</c:v>
                </c:pt>
                <c:pt idx="55">
                  <c:v>53.586713873971298</c:v>
                </c:pt>
                <c:pt idx="56">
                  <c:v>53.440751475533702</c:v>
                </c:pt>
                <c:pt idx="57">
                  <c:v>53.383417852556903</c:v>
                </c:pt>
                <c:pt idx="58">
                  <c:v>53.4393637967679</c:v>
                </c:pt>
                <c:pt idx="59">
                  <c:v>53.614736789582999</c:v>
                </c:pt>
                <c:pt idx="60">
                  <c:v>53.837148261775603</c:v>
                </c:pt>
                <c:pt idx="61">
                  <c:v>54.0283138680511</c:v>
                </c:pt>
                <c:pt idx="62">
                  <c:v>54.1483049084706</c:v>
                </c:pt>
              </c:numCache>
            </c:numRef>
          </c:val>
          <c:smooth val="0"/>
          <c:extLst>
            <c:ext xmlns:c16="http://schemas.microsoft.com/office/drawing/2014/chart" uri="{C3380CC4-5D6E-409C-BE32-E72D297353CC}">
              <c16:uniqueId val="{00000001-E38E-47ED-B0C8-F35326A21888}"/>
            </c:ext>
          </c:extLst>
        </c:ser>
        <c:dLbls>
          <c:showLegendKey val="0"/>
          <c:showVal val="0"/>
          <c:showCatName val="0"/>
          <c:showSerName val="0"/>
          <c:showPercent val="0"/>
          <c:showBubbleSize val="0"/>
        </c:dLbls>
        <c:smooth val="0"/>
        <c:axId val="404419560"/>
        <c:axId val="404419952"/>
      </c:lineChart>
      <c:catAx>
        <c:axId val="40441956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404419952"/>
        <c:crossesAt val="50"/>
        <c:auto val="1"/>
        <c:lblAlgn val="ctr"/>
        <c:lblOffset val="50"/>
        <c:tickLblSkip val="1"/>
        <c:tickMarkSkip val="12"/>
        <c:noMultiLvlLbl val="1"/>
      </c:catAx>
      <c:valAx>
        <c:axId val="404419952"/>
        <c:scaling>
          <c:orientation val="minMax"/>
          <c:max val="60"/>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404419560"/>
        <c:crosses val="autoZero"/>
        <c:crossBetween val="between"/>
        <c:majorUnit val="5"/>
      </c:valAx>
      <c:spPr>
        <a:noFill/>
        <a:ln w="0">
          <a:solidFill>
            <a:schemeClr val="bg1">
              <a:lumMod val="50000"/>
            </a:schemeClr>
          </a:solidFill>
        </a:ln>
      </c:spPr>
    </c:plotArea>
    <c:legend>
      <c:legendPos val="b"/>
      <c:layout>
        <c:manualLayout>
          <c:xMode val="edge"/>
          <c:yMode val="edge"/>
          <c:x val="0.14615359946734513"/>
          <c:y val="0.94066670147971265"/>
          <c:w val="0.6969181929181929"/>
          <c:h val="5.9332902917491499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srgbClr val="000000"/>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Valor</a:t>
            </a:r>
            <a:r>
              <a:rPr lang="es-MX" sz="700" baseline="0">
                <a:effectLst/>
              </a:rPr>
              <a:t> de las o</a:t>
            </a:r>
            <a:r>
              <a:rPr lang="es-MX" sz="700">
                <a:effectLst/>
              </a:rPr>
              <a:t>bras ejecutadas como contratista principal</a:t>
            </a:r>
          </a:p>
        </c:rich>
      </c:tx>
      <c:layout>
        <c:manualLayout>
          <c:xMode val="edge"/>
          <c:yMode val="edge"/>
          <c:x val="0.14170819124876113"/>
          <c:y val="0"/>
        </c:manualLayout>
      </c:layout>
      <c:overlay val="1"/>
    </c:title>
    <c:autoTitleDeleted val="0"/>
    <c:plotArea>
      <c:layout>
        <c:manualLayout>
          <c:layoutTarget val="inner"/>
          <c:xMode val="edge"/>
          <c:yMode val="edge"/>
          <c:x val="5.598544266191325E-2"/>
          <c:y val="8.3318031702658141E-2"/>
          <c:w val="0.93080897207368285"/>
          <c:h val="0.70981929571887936"/>
        </c:manualLayout>
      </c:layout>
      <c:lineChart>
        <c:grouping val="standard"/>
        <c:varyColors val="0"/>
        <c:ser>
          <c:idx val="0"/>
          <c:order val="0"/>
          <c:tx>
            <c:strRef>
              <c:f>'Datos CONS'!$E$4</c:f>
              <c:strCache>
                <c:ptCount val="1"/>
                <c:pt idx="0">
                  <c:v>Serie Desestacionalizada</c:v>
                </c:pt>
              </c:strCache>
            </c:strRef>
          </c:tx>
          <c:spPr>
            <a:ln w="15875">
              <a:solidFill>
                <a:srgbClr val="3D6AA1"/>
              </a:solidFill>
            </a:ln>
          </c:spPr>
          <c:marker>
            <c:symbol val="none"/>
          </c:marker>
          <c:cat>
            <c:multiLvlStrRef>
              <c:f>'Datos CONS'!$A$77:$B$148</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 CONS'!$E$77:$E$148</c:f>
              <c:numCache>
                <c:formatCode>0.0_)</c:formatCode>
                <c:ptCount val="63"/>
                <c:pt idx="0">
                  <c:v>54.424782020659997</c:v>
                </c:pt>
                <c:pt idx="1">
                  <c:v>54.229901491339298</c:v>
                </c:pt>
                <c:pt idx="2">
                  <c:v>54.8877443568269</c:v>
                </c:pt>
                <c:pt idx="3">
                  <c:v>54.183574792262398</c:v>
                </c:pt>
                <c:pt idx="4">
                  <c:v>53.001067670390299</c:v>
                </c:pt>
                <c:pt idx="5">
                  <c:v>53.232380745996799</c:v>
                </c:pt>
                <c:pt idx="6">
                  <c:v>52.611048332394198</c:v>
                </c:pt>
                <c:pt idx="7">
                  <c:v>54.247483748380702</c:v>
                </c:pt>
                <c:pt idx="8">
                  <c:v>52.5573436453749</c:v>
                </c:pt>
                <c:pt idx="9">
                  <c:v>53.538822070035103</c:v>
                </c:pt>
                <c:pt idx="10">
                  <c:v>53.4769008489098</c:v>
                </c:pt>
                <c:pt idx="11">
                  <c:v>52.317705570990498</c:v>
                </c:pt>
                <c:pt idx="12">
                  <c:v>52.288293447241799</c:v>
                </c:pt>
                <c:pt idx="13">
                  <c:v>51.113680257682397</c:v>
                </c:pt>
                <c:pt idx="14">
                  <c:v>54.063097234060102</c:v>
                </c:pt>
                <c:pt idx="15">
                  <c:v>50.7469411011663</c:v>
                </c:pt>
                <c:pt idx="16">
                  <c:v>53.302093647914703</c:v>
                </c:pt>
                <c:pt idx="17">
                  <c:v>52.950633856690601</c:v>
                </c:pt>
                <c:pt idx="18">
                  <c:v>51.980816151799601</c:v>
                </c:pt>
                <c:pt idx="19">
                  <c:v>52.822430443279899</c:v>
                </c:pt>
                <c:pt idx="20">
                  <c:v>53.896640065996799</c:v>
                </c:pt>
                <c:pt idx="21">
                  <c:v>52.486110672463496</c:v>
                </c:pt>
                <c:pt idx="22">
                  <c:v>53.5640822109768</c:v>
                </c:pt>
                <c:pt idx="23">
                  <c:v>50.293386125178301</c:v>
                </c:pt>
                <c:pt idx="24">
                  <c:v>53.387866189207301</c:v>
                </c:pt>
                <c:pt idx="25">
                  <c:v>53.471761246925801</c:v>
                </c:pt>
                <c:pt idx="26">
                  <c:v>53.057199856843603</c:v>
                </c:pt>
                <c:pt idx="27">
                  <c:v>54.275158189310197</c:v>
                </c:pt>
                <c:pt idx="28">
                  <c:v>52.350496836997003</c:v>
                </c:pt>
                <c:pt idx="29">
                  <c:v>53.145696539169201</c:v>
                </c:pt>
                <c:pt idx="30">
                  <c:v>52.380122700746703</c:v>
                </c:pt>
                <c:pt idx="31">
                  <c:v>50.737587102126</c:v>
                </c:pt>
                <c:pt idx="32">
                  <c:v>50.494885250401801</c:v>
                </c:pt>
                <c:pt idx="33">
                  <c:v>50.307721874487797</c:v>
                </c:pt>
                <c:pt idx="34">
                  <c:v>49.334320365708898</c:v>
                </c:pt>
                <c:pt idx="35">
                  <c:v>49.565813228972502</c:v>
                </c:pt>
                <c:pt idx="36">
                  <c:v>48.512412237702598</c:v>
                </c:pt>
                <c:pt idx="37">
                  <c:v>47.9109669330565</c:v>
                </c:pt>
                <c:pt idx="38">
                  <c:v>46.405859176040302</c:v>
                </c:pt>
                <c:pt idx="39">
                  <c:v>37.691447091912003</c:v>
                </c:pt>
                <c:pt idx="40">
                  <c:v>35.783424024972199</c:v>
                </c:pt>
                <c:pt idx="41">
                  <c:v>44.666700621495004</c:v>
                </c:pt>
                <c:pt idx="42">
                  <c:v>50.818482177585402</c:v>
                </c:pt>
                <c:pt idx="43">
                  <c:v>50.277912952982597</c:v>
                </c:pt>
                <c:pt idx="44">
                  <c:v>50.540521981950697</c:v>
                </c:pt>
                <c:pt idx="45">
                  <c:v>51.412336117997199</c:v>
                </c:pt>
                <c:pt idx="46">
                  <c:v>51.663311352920203</c:v>
                </c:pt>
                <c:pt idx="47">
                  <c:v>52.360608778308098</c:v>
                </c:pt>
                <c:pt idx="48">
                  <c:v>53.314604256833597</c:v>
                </c:pt>
                <c:pt idx="49">
                  <c:v>53.762662423435103</c:v>
                </c:pt>
                <c:pt idx="50">
                  <c:v>54.7283386630818</c:v>
                </c:pt>
                <c:pt idx="51">
                  <c:v>54.437589192540997</c:v>
                </c:pt>
                <c:pt idx="52">
                  <c:v>54.8657750200178</c:v>
                </c:pt>
                <c:pt idx="53">
                  <c:v>55.023039440068999</c:v>
                </c:pt>
                <c:pt idx="54">
                  <c:v>55.069499876102903</c:v>
                </c:pt>
                <c:pt idx="55">
                  <c:v>54.7695865505952</c:v>
                </c:pt>
                <c:pt idx="56">
                  <c:v>54.808167298337999</c:v>
                </c:pt>
                <c:pt idx="57">
                  <c:v>54.132580937845098</c:v>
                </c:pt>
                <c:pt idx="58">
                  <c:v>54.182751881791901</c:v>
                </c:pt>
                <c:pt idx="59">
                  <c:v>54.682220393515401</c:v>
                </c:pt>
                <c:pt idx="60">
                  <c:v>55.277667918483097</c:v>
                </c:pt>
                <c:pt idx="61">
                  <c:v>55.3402413512895</c:v>
                </c:pt>
                <c:pt idx="62">
                  <c:v>55.228627357236803</c:v>
                </c:pt>
              </c:numCache>
            </c:numRef>
          </c:val>
          <c:smooth val="0"/>
          <c:extLst>
            <c:ext xmlns:c16="http://schemas.microsoft.com/office/drawing/2014/chart" uri="{C3380CC4-5D6E-409C-BE32-E72D297353CC}">
              <c16:uniqueId val="{00000000-8265-422A-9BD4-BCEC6B605262}"/>
            </c:ext>
          </c:extLst>
        </c:ser>
        <c:ser>
          <c:idx val="1"/>
          <c:order val="1"/>
          <c:tx>
            <c:strRef>
              <c:f>'Datos CONS'!$F$4</c:f>
              <c:strCache>
                <c:ptCount val="1"/>
                <c:pt idx="0">
                  <c:v>Serie de Tendencia-Ciclo</c:v>
                </c:pt>
              </c:strCache>
            </c:strRef>
          </c:tx>
          <c:spPr>
            <a:ln w="12700">
              <a:solidFill>
                <a:srgbClr val="C00000"/>
              </a:solidFill>
            </a:ln>
          </c:spPr>
          <c:marker>
            <c:symbol val="none"/>
          </c:marker>
          <c:cat>
            <c:multiLvlStrRef>
              <c:f>'Datos CONS'!$A$77:$B$148</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 CONS'!$F$77:$F$148</c:f>
              <c:numCache>
                <c:formatCode>0.0_)</c:formatCode>
                <c:ptCount val="63"/>
                <c:pt idx="0">
                  <c:v>53.926715247295</c:v>
                </c:pt>
                <c:pt idx="1">
                  <c:v>54.110255965206299</c:v>
                </c:pt>
                <c:pt idx="2">
                  <c:v>54.122899796858299</c:v>
                </c:pt>
                <c:pt idx="3">
                  <c:v>53.952731620941996</c:v>
                </c:pt>
                <c:pt idx="4">
                  <c:v>53.657720104724703</c:v>
                </c:pt>
                <c:pt idx="5">
                  <c:v>53.367767161471498</c:v>
                </c:pt>
                <c:pt idx="6">
                  <c:v>53.205236379890302</c:v>
                </c:pt>
                <c:pt idx="7">
                  <c:v>53.193391246232103</c:v>
                </c:pt>
                <c:pt idx="8">
                  <c:v>53.202851340728202</c:v>
                </c:pt>
                <c:pt idx="9">
                  <c:v>53.127931032211102</c:v>
                </c:pt>
                <c:pt idx="10">
                  <c:v>52.899928762303603</c:v>
                </c:pt>
                <c:pt idx="11">
                  <c:v>52.5976246450399</c:v>
                </c:pt>
                <c:pt idx="12">
                  <c:v>52.372741739588399</c:v>
                </c:pt>
                <c:pt idx="13">
                  <c:v>52.285595613037302</c:v>
                </c:pt>
                <c:pt idx="14">
                  <c:v>52.319220299397799</c:v>
                </c:pt>
                <c:pt idx="15">
                  <c:v>52.443647184024698</c:v>
                </c:pt>
                <c:pt idx="16">
                  <c:v>52.616662648687502</c:v>
                </c:pt>
                <c:pt idx="17">
                  <c:v>52.760186425761901</c:v>
                </c:pt>
                <c:pt idx="18">
                  <c:v>52.852289943411499</c:v>
                </c:pt>
                <c:pt idx="19">
                  <c:v>52.923737447378599</c:v>
                </c:pt>
                <c:pt idx="20">
                  <c:v>53.009874794261698</c:v>
                </c:pt>
                <c:pt idx="21">
                  <c:v>53.1052464929205</c:v>
                </c:pt>
                <c:pt idx="22">
                  <c:v>53.221193675989902</c:v>
                </c:pt>
                <c:pt idx="23">
                  <c:v>53.323872066981401</c:v>
                </c:pt>
                <c:pt idx="24">
                  <c:v>53.386530094407597</c:v>
                </c:pt>
                <c:pt idx="25">
                  <c:v>53.4436890483219</c:v>
                </c:pt>
                <c:pt idx="26">
                  <c:v>53.473677187902503</c:v>
                </c:pt>
                <c:pt idx="27">
                  <c:v>53.371073432184701</c:v>
                </c:pt>
                <c:pt idx="28">
                  <c:v>53.081090618229901</c:v>
                </c:pt>
                <c:pt idx="29">
                  <c:v>52.613235618074199</c:v>
                </c:pt>
                <c:pt idx="30">
                  <c:v>52.001714052815998</c:v>
                </c:pt>
                <c:pt idx="31">
                  <c:v>51.342017396876798</c:v>
                </c:pt>
                <c:pt idx="32">
                  <c:v>50.714635113298698</c:v>
                </c:pt>
                <c:pt idx="33">
                  <c:v>50.132194394072798</c:v>
                </c:pt>
                <c:pt idx="34">
                  <c:v>49.560234205437197</c:v>
                </c:pt>
                <c:pt idx="35">
                  <c:v>48.965214966173498</c:v>
                </c:pt>
                <c:pt idx="36">
                  <c:v>48.389743761166002</c:v>
                </c:pt>
                <c:pt idx="37">
                  <c:v>47.856460839896101</c:v>
                </c:pt>
                <c:pt idx="38">
                  <c:v>47.495048853062301</c:v>
                </c:pt>
                <c:pt idx="39">
                  <c:v>47.432809912802398</c:v>
                </c:pt>
                <c:pt idx="40">
                  <c:v>47.710287391963597</c:v>
                </c:pt>
                <c:pt idx="41">
                  <c:v>48.279681102844201</c:v>
                </c:pt>
                <c:pt idx="42">
                  <c:v>49.024174664137298</c:v>
                </c:pt>
                <c:pt idx="43">
                  <c:v>49.804686892273502</c:v>
                </c:pt>
                <c:pt idx="44">
                  <c:v>50.543088750104701</c:v>
                </c:pt>
                <c:pt idx="45">
                  <c:v>51.2387372057118</c:v>
                </c:pt>
                <c:pt idx="46">
                  <c:v>51.918014901302897</c:v>
                </c:pt>
                <c:pt idx="47">
                  <c:v>52.576359662902902</c:v>
                </c:pt>
                <c:pt idx="48">
                  <c:v>53.208474814534299</c:v>
                </c:pt>
                <c:pt idx="49">
                  <c:v>53.802527793691198</c:v>
                </c:pt>
                <c:pt idx="50">
                  <c:v>54.305939225558902</c:v>
                </c:pt>
                <c:pt idx="51">
                  <c:v>54.677753363297803</c:v>
                </c:pt>
                <c:pt idx="52">
                  <c:v>54.904346801356397</c:v>
                </c:pt>
                <c:pt idx="53">
                  <c:v>54.971428853089897</c:v>
                </c:pt>
                <c:pt idx="54">
                  <c:v>54.9011179943369</c:v>
                </c:pt>
                <c:pt idx="55">
                  <c:v>54.748919982159897</c:v>
                </c:pt>
                <c:pt idx="56">
                  <c:v>54.596177885919303</c:v>
                </c:pt>
                <c:pt idx="57">
                  <c:v>54.524920067788997</c:v>
                </c:pt>
                <c:pt idx="58">
                  <c:v>54.561248701408701</c:v>
                </c:pt>
                <c:pt idx="59">
                  <c:v>54.722230544697197</c:v>
                </c:pt>
                <c:pt idx="60">
                  <c:v>54.930175113986998</c:v>
                </c:pt>
                <c:pt idx="61">
                  <c:v>55.111324878596697</c:v>
                </c:pt>
                <c:pt idx="62">
                  <c:v>55.218731957536498</c:v>
                </c:pt>
              </c:numCache>
            </c:numRef>
          </c:val>
          <c:smooth val="0"/>
          <c:extLst>
            <c:ext xmlns:c16="http://schemas.microsoft.com/office/drawing/2014/chart" uri="{C3380CC4-5D6E-409C-BE32-E72D297353CC}">
              <c16:uniqueId val="{00000001-8265-422A-9BD4-BCEC6B605262}"/>
            </c:ext>
          </c:extLst>
        </c:ser>
        <c:dLbls>
          <c:showLegendKey val="0"/>
          <c:showVal val="0"/>
          <c:showCatName val="0"/>
          <c:showSerName val="0"/>
          <c:showPercent val="0"/>
          <c:showBubbleSize val="0"/>
        </c:dLbls>
        <c:smooth val="0"/>
        <c:axId val="404417992"/>
        <c:axId val="404420344"/>
      </c:lineChart>
      <c:catAx>
        <c:axId val="40441799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04420344"/>
        <c:crossesAt val="50"/>
        <c:auto val="1"/>
        <c:lblAlgn val="ctr"/>
        <c:lblOffset val="50"/>
        <c:tickLblSkip val="1"/>
        <c:tickMarkSkip val="12"/>
        <c:noMultiLvlLbl val="1"/>
      </c:catAx>
      <c:valAx>
        <c:axId val="404420344"/>
        <c:scaling>
          <c:orientation val="minMax"/>
          <c:max val="60"/>
          <c:min val="35"/>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04417992"/>
        <c:crosses val="autoZero"/>
        <c:crossBetween val="between"/>
        <c:majorUnit val="5"/>
      </c:valAx>
      <c:spPr>
        <a:noFill/>
      </c:spPr>
    </c:plotArea>
    <c:legend>
      <c:legendPos val="b"/>
      <c:layout>
        <c:manualLayout>
          <c:xMode val="edge"/>
          <c:yMode val="edge"/>
          <c:x val="0.14615359946734513"/>
          <c:y val="0.92057017791952933"/>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Valor</a:t>
            </a:r>
            <a:r>
              <a:rPr lang="es-MX" sz="700" baseline="0">
                <a:effectLst/>
              </a:rPr>
              <a:t> de las o</a:t>
            </a:r>
            <a:r>
              <a:rPr lang="es-MX" sz="700">
                <a:effectLst/>
              </a:rPr>
              <a:t>bras ejecutadas como subcontratista</a:t>
            </a:r>
          </a:p>
        </c:rich>
      </c:tx>
      <c:layout>
        <c:manualLayout>
          <c:xMode val="edge"/>
          <c:yMode val="edge"/>
          <c:x val="0.16172428695560548"/>
          <c:y val="0"/>
        </c:manualLayout>
      </c:layout>
      <c:overlay val="1"/>
    </c:title>
    <c:autoTitleDeleted val="0"/>
    <c:plotArea>
      <c:layout>
        <c:manualLayout>
          <c:layoutTarget val="inner"/>
          <c:xMode val="edge"/>
          <c:yMode val="edge"/>
          <c:x val="4.6003968253968255E-2"/>
          <c:y val="8.3668916639715679E-2"/>
          <c:w val="0.93080897207368285"/>
          <c:h val="0.69844449313010537"/>
        </c:manualLayout>
      </c:layout>
      <c:lineChart>
        <c:grouping val="standard"/>
        <c:varyColors val="0"/>
        <c:ser>
          <c:idx val="0"/>
          <c:order val="0"/>
          <c:tx>
            <c:strRef>
              <c:f>'Datos CONS'!$G$4</c:f>
              <c:strCache>
                <c:ptCount val="1"/>
                <c:pt idx="0">
                  <c:v>Serie Desestacionalizada</c:v>
                </c:pt>
              </c:strCache>
            </c:strRef>
          </c:tx>
          <c:spPr>
            <a:ln w="15875">
              <a:solidFill>
                <a:srgbClr val="3D6AA1"/>
              </a:solidFill>
            </a:ln>
          </c:spPr>
          <c:marker>
            <c:symbol val="none"/>
          </c:marker>
          <c:cat>
            <c:multiLvlStrRef>
              <c:f>'Datos CONS'!$A$77:$B$148</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 CONS'!$G$77:$G$148</c:f>
              <c:numCache>
                <c:formatCode>0.0_)</c:formatCode>
                <c:ptCount val="63"/>
                <c:pt idx="0">
                  <c:v>56.743704263065098</c:v>
                </c:pt>
                <c:pt idx="1">
                  <c:v>57.906645396168997</c:v>
                </c:pt>
                <c:pt idx="2">
                  <c:v>57.460803844711201</c:v>
                </c:pt>
                <c:pt idx="3">
                  <c:v>55.499886768029</c:v>
                </c:pt>
                <c:pt idx="4">
                  <c:v>56.613726662007203</c:v>
                </c:pt>
                <c:pt idx="5">
                  <c:v>56.998650370573202</c:v>
                </c:pt>
                <c:pt idx="6">
                  <c:v>53.690348080367201</c:v>
                </c:pt>
                <c:pt idx="7">
                  <c:v>56.032158349879303</c:v>
                </c:pt>
                <c:pt idx="8">
                  <c:v>54.297448293954098</c:v>
                </c:pt>
                <c:pt idx="9">
                  <c:v>55.455070857845499</c:v>
                </c:pt>
                <c:pt idx="10">
                  <c:v>54.432456860015897</c:v>
                </c:pt>
                <c:pt idx="11">
                  <c:v>53.183296042378402</c:v>
                </c:pt>
                <c:pt idx="12">
                  <c:v>51.2312140460674</c:v>
                </c:pt>
                <c:pt idx="13">
                  <c:v>53.6083819439107</c:v>
                </c:pt>
                <c:pt idx="14">
                  <c:v>52.992054883818803</c:v>
                </c:pt>
                <c:pt idx="15">
                  <c:v>54.346136147073203</c:v>
                </c:pt>
                <c:pt idx="16">
                  <c:v>54.324080794185299</c:v>
                </c:pt>
                <c:pt idx="17">
                  <c:v>47.503776673989996</c:v>
                </c:pt>
                <c:pt idx="18">
                  <c:v>48.383062233826301</c:v>
                </c:pt>
                <c:pt idx="19">
                  <c:v>50.828278123246903</c:v>
                </c:pt>
                <c:pt idx="20">
                  <c:v>56.290033458109399</c:v>
                </c:pt>
                <c:pt idx="21">
                  <c:v>51.118685574314</c:v>
                </c:pt>
                <c:pt idx="22">
                  <c:v>51.236300949570897</c:v>
                </c:pt>
                <c:pt idx="23">
                  <c:v>48.443468458248098</c:v>
                </c:pt>
                <c:pt idx="24">
                  <c:v>51.083195102862803</c:v>
                </c:pt>
                <c:pt idx="25">
                  <c:v>51.552848966841097</c:v>
                </c:pt>
                <c:pt idx="26">
                  <c:v>52.725275062673099</c:v>
                </c:pt>
                <c:pt idx="27">
                  <c:v>52.460746642887202</c:v>
                </c:pt>
                <c:pt idx="28">
                  <c:v>52.663756697245098</c:v>
                </c:pt>
                <c:pt idx="29">
                  <c:v>51.731748771885997</c:v>
                </c:pt>
                <c:pt idx="30">
                  <c:v>50.719463848796799</c:v>
                </c:pt>
                <c:pt idx="31">
                  <c:v>50.056815059940099</c:v>
                </c:pt>
                <c:pt idx="32">
                  <c:v>50.420289871734298</c:v>
                </c:pt>
                <c:pt idx="33">
                  <c:v>49.861000780708999</c:v>
                </c:pt>
                <c:pt idx="34">
                  <c:v>48.480725886969701</c:v>
                </c:pt>
                <c:pt idx="35">
                  <c:v>47.809406774060498</c:v>
                </c:pt>
                <c:pt idx="36">
                  <c:v>47.873130904434703</c:v>
                </c:pt>
                <c:pt idx="37">
                  <c:v>46.2522424648662</c:v>
                </c:pt>
                <c:pt idx="38">
                  <c:v>45.329104693669002</c:v>
                </c:pt>
                <c:pt idx="39">
                  <c:v>35.2890130760345</c:v>
                </c:pt>
                <c:pt idx="40">
                  <c:v>32.425400386264499</c:v>
                </c:pt>
                <c:pt idx="41">
                  <c:v>39.919170372521798</c:v>
                </c:pt>
                <c:pt idx="42">
                  <c:v>47.516298246515497</c:v>
                </c:pt>
                <c:pt idx="43">
                  <c:v>46.917314092016603</c:v>
                </c:pt>
                <c:pt idx="44">
                  <c:v>47.516959457802002</c:v>
                </c:pt>
                <c:pt idx="45">
                  <c:v>49.1387331710865</c:v>
                </c:pt>
                <c:pt idx="46">
                  <c:v>50.509110310279603</c:v>
                </c:pt>
                <c:pt idx="47">
                  <c:v>51.7067973279323</c:v>
                </c:pt>
                <c:pt idx="48">
                  <c:v>52.205587299925298</c:v>
                </c:pt>
                <c:pt idx="49">
                  <c:v>52.5533516939756</c:v>
                </c:pt>
                <c:pt idx="50">
                  <c:v>53.418705707396498</c:v>
                </c:pt>
                <c:pt idx="51">
                  <c:v>54.716651553644702</c:v>
                </c:pt>
                <c:pt idx="52">
                  <c:v>55.229907308331597</c:v>
                </c:pt>
                <c:pt idx="53">
                  <c:v>55.729670181981099</c:v>
                </c:pt>
                <c:pt idx="54">
                  <c:v>55.828125708609903</c:v>
                </c:pt>
                <c:pt idx="55">
                  <c:v>54.4436208931861</c:v>
                </c:pt>
                <c:pt idx="56">
                  <c:v>54.371258780760101</c:v>
                </c:pt>
                <c:pt idx="57">
                  <c:v>53.547788426413902</c:v>
                </c:pt>
                <c:pt idx="58">
                  <c:v>54.2129228042715</c:v>
                </c:pt>
                <c:pt idx="59">
                  <c:v>54.596822250338903</c:v>
                </c:pt>
                <c:pt idx="60">
                  <c:v>54.694945750482098</c:v>
                </c:pt>
                <c:pt idx="61">
                  <c:v>54.877328759338901</c:v>
                </c:pt>
                <c:pt idx="62">
                  <c:v>55.105675612867302</c:v>
                </c:pt>
              </c:numCache>
            </c:numRef>
          </c:val>
          <c:smooth val="0"/>
          <c:extLst>
            <c:ext xmlns:c16="http://schemas.microsoft.com/office/drawing/2014/chart" uri="{C3380CC4-5D6E-409C-BE32-E72D297353CC}">
              <c16:uniqueId val="{00000000-0EEB-4EE4-AF4F-1E90A10962D2}"/>
            </c:ext>
          </c:extLst>
        </c:ser>
        <c:ser>
          <c:idx val="1"/>
          <c:order val="1"/>
          <c:tx>
            <c:strRef>
              <c:f>'Datos CONS'!$H$4</c:f>
              <c:strCache>
                <c:ptCount val="1"/>
                <c:pt idx="0">
                  <c:v>Serie de Tendencia-Ciclo</c:v>
                </c:pt>
              </c:strCache>
            </c:strRef>
          </c:tx>
          <c:spPr>
            <a:ln w="12700">
              <a:solidFill>
                <a:srgbClr val="C00000"/>
              </a:solidFill>
            </a:ln>
          </c:spPr>
          <c:marker>
            <c:symbol val="none"/>
          </c:marker>
          <c:cat>
            <c:multiLvlStrRef>
              <c:f>'Datos CONS'!$A$77:$B$148</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 CONS'!$H$77:$H$148</c:f>
              <c:numCache>
                <c:formatCode>0.0_)</c:formatCode>
                <c:ptCount val="63"/>
                <c:pt idx="0">
                  <c:v>56.509419128963899</c:v>
                </c:pt>
                <c:pt idx="1">
                  <c:v>56.805189948241903</c:v>
                </c:pt>
                <c:pt idx="2">
                  <c:v>56.966113738925301</c:v>
                </c:pt>
                <c:pt idx="3">
                  <c:v>56.9286150311451</c:v>
                </c:pt>
                <c:pt idx="4">
                  <c:v>56.692898315121397</c:v>
                </c:pt>
                <c:pt idx="5">
                  <c:v>56.381773481772903</c:v>
                </c:pt>
                <c:pt idx="6">
                  <c:v>56.040009453884799</c:v>
                </c:pt>
                <c:pt idx="7">
                  <c:v>55.664296976387398</c:v>
                </c:pt>
                <c:pt idx="8">
                  <c:v>55.218706185786303</c:v>
                </c:pt>
                <c:pt idx="9">
                  <c:v>54.682030478053299</c:v>
                </c:pt>
                <c:pt idx="10">
                  <c:v>54.148336242025302</c:v>
                </c:pt>
                <c:pt idx="11">
                  <c:v>53.7582868580769</c:v>
                </c:pt>
                <c:pt idx="12">
                  <c:v>53.561094112421301</c:v>
                </c:pt>
                <c:pt idx="13">
                  <c:v>53.519558029580701</c:v>
                </c:pt>
                <c:pt idx="14">
                  <c:v>53.589630863653703</c:v>
                </c:pt>
                <c:pt idx="15">
                  <c:v>53.707933374278497</c:v>
                </c:pt>
                <c:pt idx="16">
                  <c:v>53.812495749456097</c:v>
                </c:pt>
                <c:pt idx="17">
                  <c:v>53.799334993990101</c:v>
                </c:pt>
                <c:pt idx="18">
                  <c:v>53.667529555794502</c:v>
                </c:pt>
                <c:pt idx="19">
                  <c:v>53.435354251209603</c:v>
                </c:pt>
                <c:pt idx="20">
                  <c:v>53.098800483886201</c:v>
                </c:pt>
                <c:pt idx="21">
                  <c:v>52.721445961313101</c:v>
                </c:pt>
                <c:pt idx="22">
                  <c:v>52.390191433410699</c:v>
                </c:pt>
                <c:pt idx="23">
                  <c:v>52.171233545259803</c:v>
                </c:pt>
                <c:pt idx="24">
                  <c:v>52.136022892873399</c:v>
                </c:pt>
                <c:pt idx="25">
                  <c:v>52.275074389860201</c:v>
                </c:pt>
                <c:pt idx="26">
                  <c:v>52.443111456074298</c:v>
                </c:pt>
                <c:pt idx="27">
                  <c:v>52.452438643421303</c:v>
                </c:pt>
                <c:pt idx="28">
                  <c:v>52.241641005770198</c:v>
                </c:pt>
                <c:pt idx="29">
                  <c:v>51.829167571585202</c:v>
                </c:pt>
                <c:pt idx="30">
                  <c:v>51.257998986219697</c:v>
                </c:pt>
                <c:pt idx="31">
                  <c:v>50.632785386617897</c:v>
                </c:pt>
                <c:pt idx="32">
                  <c:v>50.035922112969203</c:v>
                </c:pt>
                <c:pt idx="33">
                  <c:v>49.460052846383</c:v>
                </c:pt>
                <c:pt idx="34">
                  <c:v>48.840231958417199</c:v>
                </c:pt>
                <c:pt idx="35">
                  <c:v>48.093874080993402</c:v>
                </c:pt>
                <c:pt idx="36">
                  <c:v>47.174949654549501</c:v>
                </c:pt>
                <c:pt idx="37">
                  <c:v>46.147612281413501</c:v>
                </c:pt>
                <c:pt idx="38">
                  <c:v>45.192279102617697</c:v>
                </c:pt>
                <c:pt idx="39">
                  <c:v>44.498371399718202</c:v>
                </c:pt>
                <c:pt idx="40">
                  <c:v>44.214131042802101</c:v>
                </c:pt>
                <c:pt idx="41">
                  <c:v>44.446535807959499</c:v>
                </c:pt>
                <c:pt idx="42">
                  <c:v>45.213900917022997</c:v>
                </c:pt>
                <c:pt idx="43">
                  <c:v>46.391679258963499</c:v>
                </c:pt>
                <c:pt idx="44">
                  <c:v>47.756397657004101</c:v>
                </c:pt>
                <c:pt idx="45">
                  <c:v>49.099634456796402</c:v>
                </c:pt>
                <c:pt idx="46">
                  <c:v>50.285714694022502</c:v>
                </c:pt>
                <c:pt idx="47">
                  <c:v>51.294097032213003</c:v>
                </c:pt>
                <c:pt idx="48">
                  <c:v>52.181626144877598</c:v>
                </c:pt>
                <c:pt idx="49">
                  <c:v>53.021366365330003</c:v>
                </c:pt>
                <c:pt idx="50">
                  <c:v>53.825303479565498</c:v>
                </c:pt>
                <c:pt idx="51">
                  <c:v>54.544745825173401</c:v>
                </c:pt>
                <c:pt idx="52">
                  <c:v>55.077573263549503</c:v>
                </c:pt>
                <c:pt idx="53">
                  <c:v>55.304794677586202</c:v>
                </c:pt>
                <c:pt idx="54">
                  <c:v>55.2028975506432</c:v>
                </c:pt>
                <c:pt idx="55">
                  <c:v>54.868496470690303</c:v>
                </c:pt>
                <c:pt idx="56">
                  <c:v>54.485854702655303</c:v>
                </c:pt>
                <c:pt idx="57">
                  <c:v>54.232054392403199</c:v>
                </c:pt>
                <c:pt idx="58">
                  <c:v>54.1887797716862</c:v>
                </c:pt>
                <c:pt idx="59">
                  <c:v>54.349991970638598</c:v>
                </c:pt>
                <c:pt idx="60">
                  <c:v>54.617176609842801</c:v>
                </c:pt>
                <c:pt idx="61">
                  <c:v>54.878669415795798</c:v>
                </c:pt>
                <c:pt idx="62">
                  <c:v>55.075114781039602</c:v>
                </c:pt>
              </c:numCache>
            </c:numRef>
          </c:val>
          <c:smooth val="0"/>
          <c:extLst>
            <c:ext xmlns:c16="http://schemas.microsoft.com/office/drawing/2014/chart" uri="{C3380CC4-5D6E-409C-BE32-E72D297353CC}">
              <c16:uniqueId val="{00000001-0EEB-4EE4-AF4F-1E90A10962D2}"/>
            </c:ext>
          </c:extLst>
        </c:ser>
        <c:dLbls>
          <c:showLegendKey val="0"/>
          <c:showVal val="0"/>
          <c:showCatName val="0"/>
          <c:showSerName val="0"/>
          <c:showPercent val="0"/>
          <c:showBubbleSize val="0"/>
        </c:dLbls>
        <c:smooth val="0"/>
        <c:axId val="404415248"/>
        <c:axId val="404417208"/>
      </c:lineChart>
      <c:catAx>
        <c:axId val="40441524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04417208"/>
        <c:crossesAt val="50"/>
        <c:auto val="1"/>
        <c:lblAlgn val="ctr"/>
        <c:lblOffset val="50"/>
        <c:tickLblSkip val="1"/>
        <c:tickMarkSkip val="12"/>
        <c:noMultiLvlLbl val="1"/>
      </c:catAx>
      <c:valAx>
        <c:axId val="404417208"/>
        <c:scaling>
          <c:orientation val="minMax"/>
          <c:max val="65"/>
          <c:min val="3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04415248"/>
        <c:crosses val="autoZero"/>
        <c:crossBetween val="between"/>
        <c:majorUnit val="10"/>
      </c:valAx>
      <c:spPr>
        <a:noFill/>
      </c:spPr>
    </c:plotArea>
    <c:legend>
      <c:legendPos val="b"/>
      <c:layout>
        <c:manualLayout>
          <c:xMode val="edge"/>
          <c:yMode val="edge"/>
          <c:x val="0.14614713064713067"/>
          <c:y val="0.92057031249999999"/>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BE8FEB9-35F4-4FB1-956A-CC030B8C7EF2}">
  <we:reference id="f12c312d-282a-4734-8843-05915fdfef0b" version="4.3.3.0" store="EXCatalog" storeType="EXCatalog"/>
  <we:alternateReferences>
    <we:reference id="WA104178141" version="4.3.3.0" store="es-MX"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47C2A-AF84-4D9D-BFEC-7B7694DB3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17</Pages>
  <Words>4568</Words>
  <Characters>25126</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Comunicado de Prensa. Indicadores Agregados de Tendencia y Expectativas Empresariales</vt:lpstr>
    </vt:vector>
  </TitlesOfParts>
  <Company>INEGI</Company>
  <LinksUpToDate>false</LinksUpToDate>
  <CharactersWithSpaces>29635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Agregados de Tendencia y Expectativas Empresariales</dc:title>
  <dc:creator>INEGI</dc:creator>
  <cp:keywords>Opinión Empresa Expectativas Indicador Agregado Tendencia Confianza Productor Pedidos</cp:keywords>
  <cp:lastModifiedBy>GUILLEN MEDINA MOISES</cp:lastModifiedBy>
  <cp:revision>27</cp:revision>
  <cp:lastPrinted>2022-03-31T21:45:00Z</cp:lastPrinted>
  <dcterms:created xsi:type="dcterms:W3CDTF">2022-03-31T21:39:00Z</dcterms:created>
  <dcterms:modified xsi:type="dcterms:W3CDTF">2022-04-01T02:40:00Z</dcterms:modified>
  <cp:category>Encuesta Mensual de Opinión Empresarial (EMOE)</cp:category>
  <cp:version>1</cp:version>
</cp:coreProperties>
</file>