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46A42" w14:textId="77777777" w:rsidR="0024074E" w:rsidRPr="00FC3C74" w:rsidRDefault="0024074E" w:rsidP="0024074E">
      <w:pPr>
        <w:pStyle w:val="Ttulo"/>
        <w:ind w:left="709"/>
        <w:jc w:val="right"/>
        <w:rPr>
          <w:b w:val="0"/>
          <w:bCs/>
          <w:caps/>
          <w:sz w:val="16"/>
          <w:szCs w:val="16"/>
          <w:lang w:val="es-MX"/>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19F135BE" wp14:editId="55A770D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8528659" w14:textId="77777777" w:rsidR="0024074E" w:rsidRPr="003D4E37" w:rsidRDefault="0024074E" w:rsidP="0024074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0F8E9F0" w14:textId="77777777" w:rsidR="0024074E" w:rsidRPr="003D4E37" w:rsidRDefault="0024074E" w:rsidP="0024074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135B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8528659" w14:textId="77777777" w:rsidR="0024074E" w:rsidRPr="003D4E37" w:rsidRDefault="0024074E" w:rsidP="0024074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0F8E9F0" w14:textId="77777777" w:rsidR="0024074E" w:rsidRPr="003D4E37" w:rsidRDefault="0024074E" w:rsidP="0024074E">
                      <w:pPr>
                        <w:jc w:val="right"/>
                      </w:pPr>
                    </w:p>
                  </w:txbxContent>
                </v:textbox>
                <w10:wrap type="square"/>
              </v:shape>
            </w:pict>
          </mc:Fallback>
        </mc:AlternateContent>
      </w:r>
      <w:bookmarkStart w:id="1" w:name="_Hlk61875621"/>
    </w:p>
    <w:p w14:paraId="4CAD224B" w14:textId="77777777" w:rsidR="0024074E" w:rsidRDefault="0024074E" w:rsidP="0024074E">
      <w:pPr>
        <w:jc w:val="center"/>
        <w:rPr>
          <w:b/>
          <w:bCs/>
          <w:caps/>
          <w:sz w:val="28"/>
          <w:szCs w:val="28"/>
          <w:lang w:val="es-MX"/>
        </w:rPr>
      </w:pPr>
    </w:p>
    <w:p w14:paraId="2909798E" w14:textId="77777777" w:rsidR="0024074E" w:rsidRPr="002A4D9D" w:rsidRDefault="0024074E" w:rsidP="0024074E">
      <w:pPr>
        <w:pStyle w:val="Profesin"/>
        <w:outlineLvl w:val="0"/>
        <w:rPr>
          <w:spacing w:val="20"/>
          <w:sz w:val="24"/>
          <w:szCs w:val="24"/>
        </w:rPr>
      </w:pPr>
    </w:p>
    <w:p w14:paraId="6B88FC0C" w14:textId="1CAE26DF" w:rsidR="0024074E" w:rsidRPr="001F7E39" w:rsidRDefault="0024074E" w:rsidP="0024074E">
      <w:pPr>
        <w:pStyle w:val="Profesin"/>
        <w:spacing w:before="120"/>
        <w:outlineLvl w:val="0"/>
        <w:rPr>
          <w:b w:val="0"/>
          <w:caps w:val="0"/>
          <w:spacing w:val="20"/>
          <w:sz w:val="24"/>
          <w:szCs w:val="24"/>
        </w:rPr>
      </w:pPr>
      <w:bookmarkStart w:id="2" w:name="_GoBack"/>
      <w:bookmarkEnd w:id="2"/>
      <w:r w:rsidRPr="001F7E39">
        <w:rPr>
          <w:spacing w:val="20"/>
          <w:sz w:val="24"/>
          <w:szCs w:val="24"/>
        </w:rPr>
        <w:t>INDICADORES DE Empresas Comerciales</w:t>
      </w:r>
    </w:p>
    <w:p w14:paraId="013A52CC" w14:textId="77777777" w:rsidR="0024074E" w:rsidRPr="001F7E39" w:rsidRDefault="0024074E" w:rsidP="0024074E">
      <w:pPr>
        <w:spacing w:before="60"/>
        <w:jc w:val="center"/>
        <w:rPr>
          <w:b/>
        </w:rPr>
      </w:pPr>
      <w:r w:rsidRPr="001F7E39">
        <w:rPr>
          <w:b/>
        </w:rPr>
        <w:t>FEBRERO DE 2022</w:t>
      </w:r>
    </w:p>
    <w:p w14:paraId="35870818" w14:textId="77777777" w:rsidR="0024074E" w:rsidRPr="00E8490F" w:rsidRDefault="0024074E" w:rsidP="0024074E">
      <w:pPr>
        <w:spacing w:before="240"/>
        <w:ind w:right="49"/>
        <w:rPr>
          <w:snapToGrid w:val="0"/>
          <w:spacing w:val="6"/>
        </w:rPr>
      </w:pPr>
      <w:r w:rsidRPr="00E8490F">
        <w:rPr>
          <w:snapToGrid w:val="0"/>
          <w:spacing w:val="6"/>
        </w:rPr>
        <w:t>En febrero de 2022, a tasa mensual y con cifras desestacionalizadas</w:t>
      </w:r>
      <w:r w:rsidRPr="00E8490F">
        <w:rPr>
          <w:rStyle w:val="Refdenotaalpie"/>
          <w:snapToGrid w:val="0"/>
          <w:spacing w:val="6"/>
        </w:rPr>
        <w:footnoteReference w:id="1"/>
      </w:r>
      <w:r w:rsidRPr="00E8490F">
        <w:rPr>
          <w:snapToGrid w:val="0"/>
          <w:spacing w:val="6"/>
        </w:rPr>
        <w:t>, los resultados de la Encuesta Mensual sobre Empresas Comerciales (EMEC) indican que, en las empresas comerciales al por mayor, los ingresos</w:t>
      </w:r>
      <w:r w:rsidRPr="00E8490F">
        <w:rPr>
          <w:snapToGrid w:val="0"/>
          <w:vertAlign w:val="superscript"/>
        </w:rPr>
        <w:footnoteReference w:id="2"/>
      </w:r>
      <w:r w:rsidRPr="00E8490F">
        <w:rPr>
          <w:snapToGrid w:val="0"/>
          <w:spacing w:val="6"/>
        </w:rPr>
        <w:t xml:space="preserve"> reales por suministro de bienes y servicios crecieron 0.1%, el personal ocupado total 0.2% y las remuneraciones medias reales pagadas se incrementaron 0.5%.</w:t>
      </w:r>
    </w:p>
    <w:p w14:paraId="184E4C1A" w14:textId="77777777" w:rsidR="0024074E" w:rsidRDefault="0024074E" w:rsidP="0024074E">
      <w:pPr>
        <w:pStyle w:val="p0"/>
        <w:keepLines w:val="0"/>
        <w:spacing w:before="0"/>
        <w:jc w:val="center"/>
        <w:rPr>
          <w:rFonts w:ascii="Arial" w:hAnsi="Arial"/>
          <w:b/>
          <w:smallCaps/>
          <w:snapToGrid/>
          <w:color w:val="auto"/>
          <w:sz w:val="22"/>
        </w:rPr>
      </w:pPr>
    </w:p>
    <w:p w14:paraId="0ECA360C" w14:textId="77777777" w:rsidR="0024074E" w:rsidRDefault="0024074E" w:rsidP="0024074E">
      <w:pPr>
        <w:pStyle w:val="p0"/>
        <w:keepLines w:val="0"/>
        <w:spacing w:before="0"/>
        <w:jc w:val="center"/>
        <w:rPr>
          <w:rFonts w:ascii="Arial" w:hAnsi="Arial"/>
          <w:b/>
          <w:smallCaps/>
          <w:snapToGrid/>
          <w:color w:val="auto"/>
          <w:sz w:val="22"/>
        </w:rPr>
      </w:pPr>
    </w:p>
    <w:p w14:paraId="7E883176" w14:textId="77777777" w:rsidR="0024074E" w:rsidRPr="00F87E34" w:rsidRDefault="0024074E" w:rsidP="0024074E">
      <w:pPr>
        <w:pStyle w:val="p0"/>
        <w:keepLines w:val="0"/>
        <w:spacing w:before="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Pr="00F87E34">
        <w:rPr>
          <w:rFonts w:ascii="Arial" w:hAnsi="Arial"/>
          <w:smallCaps/>
          <w:szCs w:val="22"/>
        </w:rPr>
        <w:br/>
      </w:r>
      <w:r w:rsidRPr="00F87E34">
        <w:rPr>
          <w:rFonts w:ascii="Arial" w:hAnsi="Arial"/>
          <w:smallCaps/>
          <w:color w:val="auto"/>
          <w:sz w:val="18"/>
          <w:szCs w:val="18"/>
        </w:rPr>
        <w:t>(</w:t>
      </w:r>
      <w:r w:rsidRPr="00F87E34">
        <w:rPr>
          <w:rFonts w:ascii="Arial" w:hAnsi="Arial"/>
          <w:color w:val="auto"/>
          <w:sz w:val="18"/>
          <w:szCs w:val="18"/>
        </w:rPr>
        <w:t>Índice base 2013=100)</w:t>
      </w:r>
    </w:p>
    <w:p w14:paraId="49DE8A88" w14:textId="77777777" w:rsidR="0024074E" w:rsidRPr="00F87E34" w:rsidRDefault="0024074E" w:rsidP="0024074E">
      <w:pPr>
        <w:pStyle w:val="p0"/>
        <w:keepLines w:val="0"/>
        <w:spacing w:before="0"/>
        <w:jc w:val="center"/>
        <w:rPr>
          <w:rFonts w:ascii="Arial" w:hAnsi="Arial"/>
          <w:color w:val="auto"/>
          <w:sz w:val="18"/>
          <w:szCs w:val="18"/>
        </w:rPr>
      </w:pPr>
      <w:r>
        <w:rPr>
          <w:noProof/>
        </w:rPr>
        <w:drawing>
          <wp:inline distT="0" distB="0" distL="0" distR="0" wp14:anchorId="13A1F35B" wp14:editId="4701A374">
            <wp:extent cx="4320000" cy="2520000"/>
            <wp:effectExtent l="0" t="0" r="2349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75573F" w14:textId="77777777" w:rsidR="0024074E" w:rsidRPr="00F87E34" w:rsidRDefault="0024074E" w:rsidP="00F43B65">
      <w:pPr>
        <w:pStyle w:val="Textoindependiente"/>
        <w:spacing w:before="0"/>
        <w:ind w:left="1418" w:firstLine="238"/>
        <w:rPr>
          <w:color w:val="auto"/>
          <w:sz w:val="16"/>
          <w:szCs w:val="16"/>
        </w:rPr>
      </w:pPr>
      <w:r w:rsidRPr="00F87E34">
        <w:rPr>
          <w:color w:val="auto"/>
          <w:sz w:val="16"/>
          <w:szCs w:val="16"/>
        </w:rPr>
        <w:t>Fuente: INEGI.</w:t>
      </w:r>
    </w:p>
    <w:p w14:paraId="25A115E8" w14:textId="77777777" w:rsidR="0024074E" w:rsidRDefault="0024074E" w:rsidP="0024074E">
      <w:pPr>
        <w:jc w:val="left"/>
        <w:rPr>
          <w:snapToGrid w:val="0"/>
          <w:sz w:val="20"/>
        </w:rPr>
      </w:pPr>
      <w:r>
        <w:rPr>
          <w:sz w:val="20"/>
        </w:rPr>
        <w:br w:type="page"/>
      </w:r>
    </w:p>
    <w:p w14:paraId="2FD22F3D" w14:textId="77777777" w:rsidR="0024074E" w:rsidRPr="00E8490F" w:rsidRDefault="0024074E" w:rsidP="0024074E">
      <w:pPr>
        <w:spacing w:before="360"/>
        <w:ind w:right="49"/>
        <w:rPr>
          <w:snapToGrid w:val="0"/>
          <w:spacing w:val="6"/>
        </w:rPr>
      </w:pPr>
      <w:r w:rsidRPr="00E8490F">
        <w:rPr>
          <w:snapToGrid w:val="0"/>
          <w:spacing w:val="6"/>
        </w:rPr>
        <w:lastRenderedPageBreak/>
        <w:t>En las empresas comerciales al por menor, los ingresos reales por suministro de bienes y servicios aumentaron 0.8% a tasa mensual, las remuneraciones medias reales descendieron 0.3% y el personal ocupado total se mantuvo sin variación.</w:t>
      </w:r>
    </w:p>
    <w:p w14:paraId="2D6AF55A" w14:textId="77777777" w:rsidR="0024074E" w:rsidRPr="006F2F25" w:rsidRDefault="0024074E" w:rsidP="0024074E">
      <w:pPr>
        <w:pStyle w:val="Textoindependiente"/>
        <w:widowControl w:val="0"/>
        <w:spacing w:before="0"/>
        <w:jc w:val="center"/>
        <w:rPr>
          <w:smallCaps/>
          <w:snapToGrid w:val="0"/>
          <w:color w:val="auto"/>
        </w:rPr>
      </w:pPr>
    </w:p>
    <w:p w14:paraId="7B534E64" w14:textId="77777777" w:rsidR="0024074E" w:rsidRPr="00F87E34" w:rsidRDefault="0024074E" w:rsidP="0024074E">
      <w:pPr>
        <w:pStyle w:val="Textoindependiente"/>
        <w:widowControl w:val="0"/>
        <w:spacing w:before="120"/>
        <w:jc w:val="center"/>
        <w:rPr>
          <w:b/>
          <w:smallCaps/>
          <w:snapToGrid w:val="0"/>
          <w:color w:val="auto"/>
          <w:sz w:val="22"/>
        </w:rPr>
      </w:pPr>
      <w:r w:rsidRPr="00F87E34">
        <w:rPr>
          <w:b/>
          <w:smallCaps/>
          <w:snapToGrid w:val="0"/>
          <w:color w:val="auto"/>
          <w:sz w:val="22"/>
        </w:rPr>
        <w:t>Ingresos reales por suministro de bienes y servicios</w:t>
      </w:r>
    </w:p>
    <w:p w14:paraId="45F34438" w14:textId="77777777" w:rsidR="0024074E" w:rsidRPr="00F87E34" w:rsidRDefault="0024074E" w:rsidP="0024074E">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208CF5C8" w14:textId="77777777" w:rsidR="0024074E" w:rsidRPr="00F87E34" w:rsidRDefault="0024074E" w:rsidP="0024074E">
      <w:pPr>
        <w:pStyle w:val="p0"/>
        <w:keepNext/>
        <w:spacing w:before="0"/>
        <w:jc w:val="center"/>
        <w:rPr>
          <w:rFonts w:ascii="Arial" w:hAnsi="Arial"/>
          <w:color w:val="auto"/>
          <w:sz w:val="18"/>
          <w:szCs w:val="18"/>
        </w:rPr>
      </w:pPr>
      <w:r>
        <w:rPr>
          <w:noProof/>
        </w:rPr>
        <w:drawing>
          <wp:inline distT="0" distB="0" distL="0" distR="0" wp14:anchorId="24E8783A" wp14:editId="05590FCE">
            <wp:extent cx="4320000" cy="2520000"/>
            <wp:effectExtent l="0" t="0" r="23495" b="3302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BDC08A" w14:textId="77777777" w:rsidR="0024074E" w:rsidRPr="00F87E34" w:rsidRDefault="0024074E" w:rsidP="0024074E">
      <w:pPr>
        <w:pStyle w:val="Textoindependiente"/>
        <w:widowControl w:val="0"/>
        <w:spacing w:before="20"/>
        <w:ind w:left="284" w:firstLine="1372"/>
        <w:jc w:val="left"/>
        <w:rPr>
          <w:color w:val="auto"/>
          <w:sz w:val="16"/>
          <w:szCs w:val="16"/>
        </w:rPr>
      </w:pPr>
      <w:r w:rsidRPr="00F87E34">
        <w:rPr>
          <w:color w:val="auto"/>
          <w:sz w:val="16"/>
          <w:szCs w:val="16"/>
        </w:rPr>
        <w:t>Fuente: INEGI.</w:t>
      </w:r>
    </w:p>
    <w:bookmarkEnd w:id="1"/>
    <w:p w14:paraId="3C904187" w14:textId="77777777" w:rsidR="0024074E" w:rsidRPr="00E8490F" w:rsidRDefault="0024074E" w:rsidP="0024074E">
      <w:pPr>
        <w:spacing w:before="720"/>
        <w:ind w:right="49"/>
        <w:rPr>
          <w:snapToGrid w:val="0"/>
          <w:spacing w:val="6"/>
        </w:rPr>
      </w:pPr>
      <w:r w:rsidRPr="00E8490F">
        <w:rPr>
          <w:snapToGrid w:val="0"/>
          <w:spacing w:val="6"/>
        </w:rPr>
        <w:t>En febrero de 2022 y a tasa anual, los datos desestacionalizados del comercio al por mayor tuvieron el siguiente comportamiento: los ingresos reales por suministro de bienes y servicios ascendieron 7.1%, el personal ocupado total subió 2.5% y las remuneraciones medias reales pagadas retrocedieron 0.4%.</w:t>
      </w:r>
    </w:p>
    <w:p w14:paraId="052EB841" w14:textId="77777777" w:rsidR="0024074E" w:rsidRDefault="0024074E" w:rsidP="0024074E">
      <w:pPr>
        <w:pStyle w:val="p01"/>
        <w:keepNext/>
        <w:widowControl w:val="0"/>
        <w:spacing w:before="0"/>
        <w:jc w:val="center"/>
        <w:outlineLvl w:val="0"/>
        <w:rPr>
          <w:rFonts w:ascii="Arial" w:hAnsi="Arial" w:cs="Arial"/>
          <w:b/>
          <w:smallCaps/>
          <w:color w:val="auto"/>
          <w:sz w:val="22"/>
        </w:rPr>
      </w:pPr>
    </w:p>
    <w:p w14:paraId="6C5F51C7" w14:textId="77777777" w:rsidR="0024074E" w:rsidRPr="00F87E34" w:rsidRDefault="0024074E" w:rsidP="0024074E">
      <w:pPr>
        <w:pStyle w:val="p01"/>
        <w:keepNext/>
        <w:widowControl w:val="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Pr>
          <w:rFonts w:ascii="Arial" w:hAnsi="Arial" w:cs="Arial"/>
          <w:b/>
          <w:smallCaps/>
          <w:color w:val="auto"/>
          <w:sz w:val="22"/>
          <w:szCs w:val="22"/>
        </w:rPr>
        <w:t>febrero</w:t>
      </w:r>
      <w:r w:rsidRPr="00F87E34">
        <w:rPr>
          <w:rFonts w:ascii="Arial" w:hAnsi="Arial" w:cs="Arial"/>
          <w:b/>
          <w:smallCaps/>
          <w:color w:val="auto"/>
          <w:sz w:val="22"/>
          <w:szCs w:val="22"/>
        </w:rPr>
        <w:t xml:space="preserve"> de 202</w:t>
      </w:r>
      <w:r>
        <w:rPr>
          <w:rFonts w:ascii="Arial" w:hAnsi="Arial" w:cs="Arial"/>
          <w:b/>
          <w:smallCaps/>
          <w:color w:val="auto"/>
          <w:sz w:val="22"/>
          <w:szCs w:val="22"/>
        </w:rPr>
        <w:t>2</w:t>
      </w:r>
    </w:p>
    <w:p w14:paraId="1FD13A07" w14:textId="77777777" w:rsidR="0024074E" w:rsidRPr="00F87E34" w:rsidRDefault="0024074E" w:rsidP="0024074E">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24074E" w:rsidRPr="00F87E34" w14:paraId="04D074DB" w14:textId="77777777" w:rsidTr="0024074E">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38ABE666" w14:textId="77777777" w:rsidR="0024074E" w:rsidRPr="00F87E34" w:rsidRDefault="0024074E" w:rsidP="0024074E">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35B2B850" w14:textId="77777777" w:rsidR="0024074E" w:rsidRPr="00F87E34" w:rsidRDefault="0024074E" w:rsidP="0024074E">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2455A610" w14:textId="77777777" w:rsidR="0024074E" w:rsidRPr="00F87E34" w:rsidRDefault="0024074E" w:rsidP="0024074E">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24074E" w:rsidRPr="00F87E34" w14:paraId="0D7D8453" w14:textId="77777777" w:rsidTr="0024074E">
        <w:trPr>
          <w:trHeight w:val="227"/>
          <w:jc w:val="center"/>
        </w:trPr>
        <w:tc>
          <w:tcPr>
            <w:tcW w:w="3880" w:type="dxa"/>
            <w:vMerge/>
            <w:tcBorders>
              <w:left w:val="single" w:sz="8" w:space="0" w:color="404040"/>
              <w:bottom w:val="single" w:sz="6" w:space="0" w:color="404040"/>
              <w:right w:val="single" w:sz="6" w:space="0" w:color="404040"/>
            </w:tcBorders>
            <w:shd w:val="clear" w:color="auto" w:fill="D7E4BD"/>
            <w:vAlign w:val="center"/>
          </w:tcPr>
          <w:p w14:paraId="4C1F9C25" w14:textId="77777777" w:rsidR="0024074E" w:rsidRPr="00F87E34" w:rsidRDefault="0024074E" w:rsidP="0024074E">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3B6262F" w14:textId="77777777" w:rsidR="0024074E" w:rsidRPr="00F87E34" w:rsidRDefault="0024074E" w:rsidP="0024074E">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2DE3C4BF" w14:textId="77777777" w:rsidR="0024074E" w:rsidRPr="00F87E34" w:rsidRDefault="0024074E" w:rsidP="0024074E">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5FFADFA" w14:textId="77777777" w:rsidR="0024074E" w:rsidRPr="00F87E34" w:rsidRDefault="0024074E" w:rsidP="0024074E">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CC21A74" w14:textId="77777777" w:rsidR="0024074E" w:rsidRPr="00F87E34" w:rsidRDefault="0024074E" w:rsidP="0024074E">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24074E" w:rsidRPr="00F87E34" w14:paraId="30CA9FE1" w14:textId="77777777" w:rsidTr="0024074E">
        <w:trPr>
          <w:jc w:val="center"/>
        </w:trPr>
        <w:tc>
          <w:tcPr>
            <w:tcW w:w="3880" w:type="dxa"/>
            <w:tcBorders>
              <w:top w:val="single" w:sz="6" w:space="0" w:color="404040"/>
              <w:bottom w:val="nil"/>
              <w:right w:val="single" w:sz="6" w:space="0" w:color="404040"/>
            </w:tcBorders>
            <w:shd w:val="clear" w:color="auto" w:fill="auto"/>
            <w:vAlign w:val="center"/>
            <w:hideMark/>
          </w:tcPr>
          <w:p w14:paraId="234A0FC3" w14:textId="77777777" w:rsidR="0024074E" w:rsidRPr="00F87E34" w:rsidRDefault="0024074E" w:rsidP="0024074E">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6B4B7ABD" w14:textId="77777777" w:rsidR="0024074E" w:rsidRPr="00F87E34" w:rsidRDefault="0024074E" w:rsidP="0024074E">
            <w:pPr>
              <w:tabs>
                <w:tab w:val="decimal" w:pos="359"/>
              </w:tabs>
              <w:jc w:val="left"/>
              <w:rPr>
                <w:color w:val="000000"/>
                <w:sz w:val="18"/>
                <w:szCs w:val="18"/>
              </w:rPr>
            </w:pPr>
            <w:r>
              <w:rPr>
                <w:sz w:val="18"/>
                <w:szCs w:val="18"/>
              </w:rPr>
              <w:t>0.1</w:t>
            </w:r>
          </w:p>
        </w:tc>
        <w:tc>
          <w:tcPr>
            <w:tcW w:w="993" w:type="dxa"/>
            <w:tcBorders>
              <w:top w:val="single" w:sz="6" w:space="0" w:color="404040"/>
              <w:left w:val="nil"/>
              <w:bottom w:val="nil"/>
              <w:right w:val="single" w:sz="6" w:space="0" w:color="404040"/>
            </w:tcBorders>
            <w:shd w:val="clear" w:color="auto" w:fill="auto"/>
            <w:vAlign w:val="center"/>
          </w:tcPr>
          <w:p w14:paraId="49B088C4" w14:textId="77777777" w:rsidR="0024074E" w:rsidRPr="00F87E34" w:rsidRDefault="0024074E" w:rsidP="0024074E">
            <w:pPr>
              <w:tabs>
                <w:tab w:val="decimal" w:pos="379"/>
              </w:tabs>
              <w:jc w:val="left"/>
              <w:rPr>
                <w:color w:val="000000"/>
                <w:sz w:val="18"/>
                <w:szCs w:val="18"/>
              </w:rPr>
            </w:pPr>
            <w:r>
              <w:rPr>
                <w:sz w:val="18"/>
                <w:szCs w:val="18"/>
              </w:rPr>
              <w:t>7.1</w:t>
            </w:r>
          </w:p>
        </w:tc>
        <w:tc>
          <w:tcPr>
            <w:tcW w:w="994" w:type="dxa"/>
            <w:tcBorders>
              <w:top w:val="single" w:sz="6" w:space="0" w:color="404040"/>
              <w:left w:val="single" w:sz="6" w:space="0" w:color="404040"/>
              <w:bottom w:val="nil"/>
              <w:right w:val="nil"/>
            </w:tcBorders>
            <w:shd w:val="clear" w:color="auto" w:fill="auto"/>
            <w:vAlign w:val="center"/>
          </w:tcPr>
          <w:p w14:paraId="147B9475" w14:textId="77777777" w:rsidR="0024074E" w:rsidRPr="00F87E34" w:rsidRDefault="0024074E" w:rsidP="0024074E">
            <w:pPr>
              <w:tabs>
                <w:tab w:val="decimal" w:pos="365"/>
              </w:tabs>
              <w:jc w:val="left"/>
              <w:rPr>
                <w:color w:val="000000"/>
                <w:sz w:val="18"/>
                <w:szCs w:val="18"/>
              </w:rPr>
            </w:pPr>
            <w:r>
              <w:rPr>
                <w:color w:val="000000"/>
                <w:sz w:val="18"/>
                <w:szCs w:val="18"/>
              </w:rPr>
              <w:t>0.8</w:t>
            </w:r>
          </w:p>
        </w:tc>
        <w:tc>
          <w:tcPr>
            <w:tcW w:w="994" w:type="dxa"/>
            <w:tcBorders>
              <w:top w:val="single" w:sz="6" w:space="0" w:color="404040"/>
              <w:left w:val="nil"/>
              <w:bottom w:val="nil"/>
            </w:tcBorders>
            <w:shd w:val="clear" w:color="auto" w:fill="auto"/>
            <w:vAlign w:val="center"/>
          </w:tcPr>
          <w:p w14:paraId="63FB0A65" w14:textId="77777777" w:rsidR="0024074E" w:rsidRPr="00F87E34" w:rsidRDefault="0024074E" w:rsidP="0024074E">
            <w:pPr>
              <w:tabs>
                <w:tab w:val="decimal" w:pos="378"/>
              </w:tabs>
              <w:jc w:val="left"/>
              <w:rPr>
                <w:color w:val="000000"/>
                <w:sz w:val="18"/>
                <w:szCs w:val="18"/>
              </w:rPr>
            </w:pPr>
            <w:r>
              <w:rPr>
                <w:color w:val="000000"/>
                <w:sz w:val="18"/>
                <w:szCs w:val="18"/>
              </w:rPr>
              <w:t>6.3</w:t>
            </w:r>
          </w:p>
        </w:tc>
      </w:tr>
      <w:tr w:rsidR="0024074E" w:rsidRPr="00F87E34" w14:paraId="51155A16" w14:textId="77777777" w:rsidTr="0024074E">
        <w:trPr>
          <w:jc w:val="center"/>
        </w:trPr>
        <w:tc>
          <w:tcPr>
            <w:tcW w:w="3880" w:type="dxa"/>
            <w:tcBorders>
              <w:top w:val="nil"/>
              <w:bottom w:val="nil"/>
              <w:right w:val="single" w:sz="6" w:space="0" w:color="404040"/>
            </w:tcBorders>
            <w:shd w:val="clear" w:color="auto" w:fill="auto"/>
            <w:vAlign w:val="center"/>
            <w:hideMark/>
          </w:tcPr>
          <w:p w14:paraId="686456C0" w14:textId="77777777" w:rsidR="0024074E" w:rsidRPr="00F87E34" w:rsidRDefault="0024074E" w:rsidP="0024074E">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6C60DFAF" w14:textId="77777777" w:rsidR="0024074E" w:rsidRPr="00F87E34" w:rsidRDefault="0024074E" w:rsidP="0024074E">
            <w:pPr>
              <w:tabs>
                <w:tab w:val="decimal" w:pos="359"/>
              </w:tabs>
              <w:jc w:val="left"/>
              <w:rPr>
                <w:color w:val="000000"/>
                <w:sz w:val="18"/>
                <w:szCs w:val="18"/>
              </w:rPr>
            </w:pPr>
            <w:r>
              <w:rPr>
                <w:sz w:val="18"/>
                <w:szCs w:val="18"/>
              </w:rPr>
              <w:t>0.2</w:t>
            </w:r>
          </w:p>
        </w:tc>
        <w:tc>
          <w:tcPr>
            <w:tcW w:w="993" w:type="dxa"/>
            <w:tcBorders>
              <w:top w:val="nil"/>
              <w:left w:val="nil"/>
              <w:bottom w:val="nil"/>
              <w:right w:val="single" w:sz="6" w:space="0" w:color="404040"/>
            </w:tcBorders>
            <w:shd w:val="clear" w:color="auto" w:fill="auto"/>
            <w:vAlign w:val="center"/>
          </w:tcPr>
          <w:p w14:paraId="5B7237E8" w14:textId="77777777" w:rsidR="0024074E" w:rsidRPr="00F87E34" w:rsidRDefault="0024074E" w:rsidP="0024074E">
            <w:pPr>
              <w:tabs>
                <w:tab w:val="decimal" w:pos="379"/>
              </w:tabs>
              <w:jc w:val="left"/>
              <w:rPr>
                <w:color w:val="000000"/>
                <w:sz w:val="18"/>
                <w:szCs w:val="18"/>
              </w:rPr>
            </w:pPr>
            <w:r>
              <w:rPr>
                <w:sz w:val="18"/>
                <w:szCs w:val="18"/>
              </w:rPr>
              <w:t>2.5</w:t>
            </w:r>
          </w:p>
        </w:tc>
        <w:tc>
          <w:tcPr>
            <w:tcW w:w="994" w:type="dxa"/>
            <w:tcBorders>
              <w:top w:val="nil"/>
              <w:left w:val="single" w:sz="6" w:space="0" w:color="404040"/>
              <w:bottom w:val="nil"/>
              <w:right w:val="nil"/>
            </w:tcBorders>
            <w:shd w:val="clear" w:color="auto" w:fill="auto"/>
            <w:vAlign w:val="center"/>
          </w:tcPr>
          <w:p w14:paraId="47D79885" w14:textId="77777777" w:rsidR="0024074E" w:rsidRPr="00F87E34" w:rsidRDefault="0024074E" w:rsidP="0024074E">
            <w:pPr>
              <w:tabs>
                <w:tab w:val="decimal" w:pos="365"/>
              </w:tabs>
              <w:jc w:val="left"/>
              <w:rPr>
                <w:color w:val="000000"/>
                <w:sz w:val="18"/>
                <w:szCs w:val="18"/>
              </w:rPr>
            </w:pPr>
            <w:r>
              <w:rPr>
                <w:color w:val="000000"/>
                <w:sz w:val="18"/>
                <w:szCs w:val="18"/>
              </w:rPr>
              <w:t>0.0</w:t>
            </w:r>
          </w:p>
        </w:tc>
        <w:tc>
          <w:tcPr>
            <w:tcW w:w="994" w:type="dxa"/>
            <w:tcBorders>
              <w:top w:val="nil"/>
              <w:left w:val="nil"/>
              <w:bottom w:val="nil"/>
            </w:tcBorders>
            <w:shd w:val="clear" w:color="auto" w:fill="auto"/>
            <w:vAlign w:val="center"/>
          </w:tcPr>
          <w:p w14:paraId="35030CF8" w14:textId="77777777" w:rsidR="0024074E" w:rsidRPr="00F87E34" w:rsidRDefault="0024074E" w:rsidP="0024074E">
            <w:pPr>
              <w:tabs>
                <w:tab w:val="decimal" w:pos="378"/>
              </w:tabs>
              <w:jc w:val="left"/>
              <w:rPr>
                <w:color w:val="000000"/>
                <w:sz w:val="18"/>
                <w:szCs w:val="18"/>
              </w:rPr>
            </w:pPr>
            <w:r>
              <w:rPr>
                <w:color w:val="000000"/>
                <w:sz w:val="18"/>
                <w:szCs w:val="18"/>
              </w:rPr>
              <w:t>-1.3</w:t>
            </w:r>
          </w:p>
        </w:tc>
      </w:tr>
      <w:tr w:rsidR="0024074E" w:rsidRPr="00F87E34" w14:paraId="1C40DE52" w14:textId="77777777" w:rsidTr="0024074E">
        <w:trPr>
          <w:jc w:val="center"/>
        </w:trPr>
        <w:tc>
          <w:tcPr>
            <w:tcW w:w="3880" w:type="dxa"/>
            <w:tcBorders>
              <w:top w:val="nil"/>
              <w:right w:val="single" w:sz="6" w:space="0" w:color="404040"/>
            </w:tcBorders>
            <w:shd w:val="clear" w:color="auto" w:fill="auto"/>
            <w:vAlign w:val="center"/>
            <w:hideMark/>
          </w:tcPr>
          <w:p w14:paraId="3B2DEF96" w14:textId="77777777" w:rsidR="0024074E" w:rsidRPr="00F87E34" w:rsidRDefault="0024074E" w:rsidP="0024074E">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6C4D0F0D" w14:textId="77777777" w:rsidR="0024074E" w:rsidRPr="00F87E34" w:rsidRDefault="0024074E" w:rsidP="0024074E">
            <w:pPr>
              <w:tabs>
                <w:tab w:val="decimal" w:pos="359"/>
              </w:tabs>
              <w:jc w:val="left"/>
              <w:rPr>
                <w:color w:val="000000"/>
                <w:sz w:val="18"/>
                <w:szCs w:val="18"/>
              </w:rPr>
            </w:pPr>
            <w:r>
              <w:rPr>
                <w:color w:val="000000"/>
                <w:sz w:val="18"/>
                <w:szCs w:val="18"/>
              </w:rPr>
              <w:t>0.5</w:t>
            </w:r>
          </w:p>
        </w:tc>
        <w:tc>
          <w:tcPr>
            <w:tcW w:w="993" w:type="dxa"/>
            <w:tcBorders>
              <w:top w:val="nil"/>
              <w:left w:val="nil"/>
              <w:right w:val="single" w:sz="6" w:space="0" w:color="404040"/>
            </w:tcBorders>
            <w:shd w:val="clear" w:color="auto" w:fill="auto"/>
            <w:vAlign w:val="center"/>
          </w:tcPr>
          <w:p w14:paraId="63476373" w14:textId="77777777" w:rsidR="0024074E" w:rsidRPr="00F87E34" w:rsidRDefault="0024074E" w:rsidP="0024074E">
            <w:pPr>
              <w:tabs>
                <w:tab w:val="decimal" w:pos="379"/>
              </w:tabs>
              <w:jc w:val="left"/>
              <w:rPr>
                <w:color w:val="000000"/>
                <w:sz w:val="18"/>
                <w:szCs w:val="18"/>
              </w:rPr>
            </w:pPr>
            <w:r>
              <w:rPr>
                <w:color w:val="000000"/>
                <w:sz w:val="18"/>
                <w:szCs w:val="18"/>
              </w:rPr>
              <w:t>-0.4</w:t>
            </w:r>
          </w:p>
        </w:tc>
        <w:tc>
          <w:tcPr>
            <w:tcW w:w="994" w:type="dxa"/>
            <w:tcBorders>
              <w:top w:val="nil"/>
              <w:left w:val="single" w:sz="6" w:space="0" w:color="404040"/>
              <w:right w:val="nil"/>
            </w:tcBorders>
            <w:shd w:val="clear" w:color="auto" w:fill="auto"/>
            <w:vAlign w:val="center"/>
          </w:tcPr>
          <w:p w14:paraId="44BF2B30" w14:textId="77777777" w:rsidR="0024074E" w:rsidRPr="00F87E34" w:rsidRDefault="0024074E" w:rsidP="0024074E">
            <w:pPr>
              <w:tabs>
                <w:tab w:val="decimal" w:pos="365"/>
              </w:tabs>
              <w:jc w:val="left"/>
              <w:rPr>
                <w:color w:val="000000"/>
                <w:sz w:val="18"/>
                <w:szCs w:val="18"/>
              </w:rPr>
            </w:pPr>
            <w:r>
              <w:rPr>
                <w:color w:val="000000"/>
                <w:sz w:val="18"/>
                <w:szCs w:val="18"/>
              </w:rPr>
              <w:t>-0.3</w:t>
            </w:r>
          </w:p>
        </w:tc>
        <w:tc>
          <w:tcPr>
            <w:tcW w:w="994" w:type="dxa"/>
            <w:tcBorders>
              <w:top w:val="nil"/>
              <w:left w:val="nil"/>
            </w:tcBorders>
            <w:shd w:val="clear" w:color="auto" w:fill="auto"/>
            <w:vAlign w:val="center"/>
          </w:tcPr>
          <w:p w14:paraId="74E8A64D" w14:textId="77777777" w:rsidR="0024074E" w:rsidRPr="00F87E34" w:rsidRDefault="0024074E" w:rsidP="0024074E">
            <w:pPr>
              <w:tabs>
                <w:tab w:val="decimal" w:pos="378"/>
              </w:tabs>
              <w:jc w:val="left"/>
              <w:rPr>
                <w:color w:val="000000"/>
                <w:sz w:val="18"/>
                <w:szCs w:val="18"/>
              </w:rPr>
            </w:pPr>
            <w:r>
              <w:rPr>
                <w:color w:val="000000"/>
                <w:sz w:val="18"/>
                <w:szCs w:val="18"/>
              </w:rPr>
              <w:t>4.4</w:t>
            </w:r>
          </w:p>
        </w:tc>
      </w:tr>
    </w:tbl>
    <w:p w14:paraId="7F9DBD7C" w14:textId="77777777" w:rsidR="0024074E" w:rsidRPr="00F87E34" w:rsidRDefault="0024074E" w:rsidP="0024074E">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617B4C1C" w14:textId="77777777" w:rsidR="0024074E" w:rsidRPr="00F87E34" w:rsidRDefault="0024074E" w:rsidP="0024074E">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5223B6FF" w14:textId="77777777" w:rsidR="0024074E" w:rsidRDefault="0024074E" w:rsidP="0024074E">
      <w:pPr>
        <w:tabs>
          <w:tab w:val="left" w:pos="8100"/>
        </w:tabs>
        <w:spacing w:before="120"/>
        <w:ind w:left="-142" w:right="-313"/>
        <w:rPr>
          <w:i/>
          <w:color w:val="000000"/>
        </w:rPr>
      </w:pPr>
    </w:p>
    <w:p w14:paraId="3F3032E6" w14:textId="77777777" w:rsidR="0024074E" w:rsidRPr="00B653CD" w:rsidRDefault="0024074E" w:rsidP="0024074E">
      <w:pPr>
        <w:spacing w:before="360"/>
        <w:ind w:right="49"/>
        <w:rPr>
          <w:snapToGrid w:val="0"/>
          <w:spacing w:val="6"/>
        </w:rPr>
      </w:pPr>
      <w:r w:rsidRPr="00B653CD">
        <w:rPr>
          <w:snapToGrid w:val="0"/>
          <w:spacing w:val="6"/>
        </w:rPr>
        <w:lastRenderedPageBreak/>
        <w:t>En las empresas comerciales al por menor, a tasa anual y eliminando el factor estacional, los ingresos reales crecieron 6.3%, las remuneraciones medias reales 4.4% y el personal ocupado total disminuyó 1.3%.</w:t>
      </w:r>
    </w:p>
    <w:p w14:paraId="371D685D" w14:textId="77777777" w:rsidR="0024074E" w:rsidRPr="00F87E34" w:rsidRDefault="0024074E" w:rsidP="0024074E">
      <w:pPr>
        <w:pStyle w:val="Prrafodelista"/>
        <w:tabs>
          <w:tab w:val="left" w:pos="1484"/>
          <w:tab w:val="left" w:pos="7939"/>
        </w:tabs>
        <w:ind w:left="882"/>
        <w:rPr>
          <w:sz w:val="16"/>
          <w:szCs w:val="16"/>
        </w:rPr>
      </w:pPr>
    </w:p>
    <w:p w14:paraId="7E398435" w14:textId="77777777" w:rsidR="0024074E" w:rsidRPr="00B653CD" w:rsidRDefault="0024074E" w:rsidP="0024074E">
      <w:pPr>
        <w:pStyle w:val="p0"/>
        <w:keepNext/>
        <w:spacing w:before="720"/>
        <w:jc w:val="left"/>
        <w:rPr>
          <w:rFonts w:ascii="Arial" w:hAnsi="Arial"/>
          <w:b/>
          <w:i/>
          <w:smallCaps/>
          <w:color w:val="auto"/>
        </w:rPr>
      </w:pPr>
      <w:r w:rsidRPr="00B653CD">
        <w:rPr>
          <w:rFonts w:ascii="Arial" w:hAnsi="Arial"/>
          <w:b/>
          <w:i/>
          <w:smallCaps/>
          <w:color w:val="auto"/>
        </w:rPr>
        <w:t>Nota al usuario</w:t>
      </w:r>
    </w:p>
    <w:p w14:paraId="7F91EFF1" w14:textId="77777777" w:rsidR="0024074E" w:rsidRPr="00F87E34" w:rsidRDefault="0024074E" w:rsidP="0024074E">
      <w:pPr>
        <w:pStyle w:val="p0"/>
        <w:keepNext/>
        <w:rPr>
          <w:rFonts w:ascii="Arial" w:hAnsi="Arial"/>
          <w:color w:val="auto"/>
        </w:rPr>
      </w:pPr>
      <w:r w:rsidRPr="00F87E34">
        <w:rPr>
          <w:rFonts w:ascii="Arial" w:hAnsi="Arial"/>
          <w:color w:val="auto"/>
          <w:lang w:val="es-MX"/>
        </w:rPr>
        <w:t xml:space="preserve">La tasa de no respuesta de la Encuesta Mensual sobre Empresas Comerciales (EMEC), correspondiente a </w:t>
      </w:r>
      <w:r>
        <w:rPr>
          <w:rFonts w:ascii="Arial" w:hAnsi="Arial"/>
          <w:color w:val="auto"/>
          <w:lang w:val="es-MX"/>
        </w:rPr>
        <w:t>febr</w:t>
      </w:r>
      <w:r w:rsidRPr="00F87E34">
        <w:rPr>
          <w:rFonts w:ascii="Arial" w:hAnsi="Arial"/>
          <w:color w:val="auto"/>
          <w:lang w:val="es-MX"/>
        </w:rPr>
        <w:t>e</w:t>
      </w:r>
      <w:r>
        <w:rPr>
          <w:rFonts w:ascii="Arial" w:hAnsi="Arial"/>
          <w:color w:val="auto"/>
          <w:lang w:val="es-MX"/>
        </w:rPr>
        <w:t>ro</w:t>
      </w:r>
      <w:r w:rsidRPr="00F87E34">
        <w:rPr>
          <w:rFonts w:ascii="Arial" w:hAnsi="Arial"/>
          <w:color w:val="auto"/>
          <w:lang w:val="es-MX"/>
        </w:rPr>
        <w:t xml:space="preserve"> de 202</w:t>
      </w:r>
      <w:r>
        <w:rPr>
          <w:rFonts w:ascii="Arial" w:hAnsi="Arial"/>
          <w:color w:val="auto"/>
          <w:lang w:val="es-MX"/>
        </w:rPr>
        <w:t>2</w:t>
      </w:r>
      <w:r w:rsidRPr="00F87E34">
        <w:rPr>
          <w:rFonts w:ascii="Arial" w:hAnsi="Arial"/>
          <w:color w:val="auto"/>
          <w:lang w:val="es-MX"/>
        </w:rPr>
        <w:t>, registró porcentajes apropiados conforme al diseño estadístico de la encuesta, lo que permitió la generación de estadísticas con niveles altos de precisión</w:t>
      </w:r>
      <w:r w:rsidRPr="00F87E34">
        <w:rPr>
          <w:rFonts w:ascii="Arial" w:hAnsi="Arial"/>
          <w:color w:val="auto"/>
        </w:rPr>
        <w:t xml:space="preserve">. </w:t>
      </w:r>
      <w:r w:rsidRPr="00605895">
        <w:rPr>
          <w:rFonts w:ascii="Arial" w:hAnsi="Arial"/>
          <w:color w:val="auto"/>
        </w:rPr>
        <w:t xml:space="preserve">De los 40 dominios de estudio de la encuesta, sólo para </w:t>
      </w:r>
      <w:r>
        <w:rPr>
          <w:rFonts w:ascii="Arial" w:hAnsi="Arial"/>
          <w:color w:val="auto"/>
        </w:rPr>
        <w:t xml:space="preserve">los dominios de </w:t>
      </w:r>
      <w:r w:rsidRPr="00605895">
        <w:rPr>
          <w:rFonts w:ascii="Arial" w:hAnsi="Arial"/>
          <w:color w:val="000000"/>
          <w:lang w:eastAsia="es-MX"/>
        </w:rPr>
        <w:t xml:space="preserve">comercio </w:t>
      </w:r>
      <w:r w:rsidRPr="00C15B1D">
        <w:rPr>
          <w:rFonts w:ascii="Arial" w:hAnsi="Arial"/>
          <w:color w:val="000000"/>
          <w:lang w:eastAsia="es-MX"/>
        </w:rPr>
        <w:t>al por mayor de electrodomésticos menores y aparatos de línea blanca</w:t>
      </w:r>
      <w:r>
        <w:rPr>
          <w:rFonts w:ascii="Arial" w:hAnsi="Arial"/>
          <w:color w:val="000000"/>
          <w:lang w:eastAsia="es-MX"/>
        </w:rPr>
        <w:t>, y</w:t>
      </w:r>
      <w:r w:rsidRPr="00605895">
        <w:rPr>
          <w:rFonts w:ascii="Arial" w:hAnsi="Arial"/>
          <w:color w:val="000000"/>
          <w:lang w:eastAsia="es-MX"/>
        </w:rPr>
        <w:t xml:space="preserve"> </w:t>
      </w:r>
      <w:r>
        <w:rPr>
          <w:rFonts w:ascii="Arial" w:hAnsi="Arial"/>
          <w:color w:val="000000"/>
          <w:lang w:eastAsia="es-MX"/>
        </w:rPr>
        <w:t>de c</w:t>
      </w:r>
      <w:r w:rsidRPr="00C15B1D">
        <w:rPr>
          <w:rFonts w:ascii="Arial" w:hAnsi="Arial"/>
          <w:color w:val="000000"/>
          <w:lang w:eastAsia="es-MX"/>
        </w:rPr>
        <w:t>omercio al por mayor de camiones y de partes y refacciones nuevas para automóviles, camionetas y camiones</w:t>
      </w:r>
      <w:r>
        <w:rPr>
          <w:rFonts w:ascii="Arial" w:eastAsia="Calibri" w:hAnsi="Arial"/>
          <w:snapToGrid/>
          <w:color w:val="auto"/>
          <w:lang w:val="es-MX" w:eastAsia="es-MX"/>
        </w:rPr>
        <w:t>,</w:t>
      </w:r>
      <w:r w:rsidRPr="00605895">
        <w:rPr>
          <w:rFonts w:ascii="Arial" w:hAnsi="Arial"/>
          <w:color w:val="auto"/>
        </w:rPr>
        <w:t xml:space="preserve"> que representa</w:t>
      </w:r>
      <w:r>
        <w:rPr>
          <w:rFonts w:ascii="Arial" w:hAnsi="Arial"/>
          <w:color w:val="auto"/>
        </w:rPr>
        <w:t>n</w:t>
      </w:r>
      <w:r w:rsidRPr="00605895">
        <w:rPr>
          <w:rFonts w:ascii="Arial" w:hAnsi="Arial"/>
          <w:color w:val="auto"/>
        </w:rPr>
        <w:t xml:space="preserve"> 1.</w:t>
      </w:r>
      <w:r>
        <w:rPr>
          <w:rFonts w:ascii="Arial" w:hAnsi="Arial"/>
          <w:color w:val="auto"/>
        </w:rPr>
        <w:t>7</w:t>
      </w:r>
      <w:r w:rsidRPr="00605895">
        <w:rPr>
          <w:rFonts w:ascii="Arial" w:hAnsi="Arial"/>
          <w:color w:val="auto"/>
        </w:rPr>
        <w:t>% con relación a la variable de ingresos del total del comercio, se recomienda el uso con reserva de las estimaciones.</w:t>
      </w:r>
    </w:p>
    <w:p w14:paraId="1CAEF926" w14:textId="77777777" w:rsidR="0024074E" w:rsidRPr="004520A5" w:rsidRDefault="0024074E" w:rsidP="0024074E">
      <w:pPr>
        <w:tabs>
          <w:tab w:val="left" w:pos="8100"/>
        </w:tabs>
        <w:spacing w:before="120"/>
        <w:ind w:left="-142" w:right="49"/>
        <w:rPr>
          <w:i/>
          <w:color w:val="000000"/>
        </w:rPr>
      </w:pPr>
    </w:p>
    <w:p w14:paraId="7F98DF5F" w14:textId="77777777" w:rsidR="0024074E" w:rsidRDefault="0024074E" w:rsidP="0024074E">
      <w:pPr>
        <w:spacing w:before="240"/>
        <w:jc w:val="center"/>
        <w:rPr>
          <w:sz w:val="22"/>
          <w:szCs w:val="22"/>
        </w:rPr>
      </w:pPr>
    </w:p>
    <w:p w14:paraId="26BE4509" w14:textId="77777777" w:rsidR="0024074E" w:rsidRDefault="0024074E" w:rsidP="0024074E">
      <w:pPr>
        <w:spacing w:before="240"/>
        <w:jc w:val="center"/>
        <w:rPr>
          <w:sz w:val="22"/>
          <w:szCs w:val="22"/>
        </w:rPr>
      </w:pPr>
    </w:p>
    <w:p w14:paraId="6C6B381E" w14:textId="77777777" w:rsidR="0024074E" w:rsidRDefault="0024074E" w:rsidP="0024074E">
      <w:pPr>
        <w:spacing w:before="240"/>
        <w:jc w:val="center"/>
        <w:rPr>
          <w:sz w:val="22"/>
          <w:szCs w:val="22"/>
        </w:rPr>
      </w:pPr>
    </w:p>
    <w:p w14:paraId="6854CC89" w14:textId="77777777" w:rsidR="0024074E" w:rsidRDefault="0024074E" w:rsidP="0024074E">
      <w:pPr>
        <w:spacing w:before="240"/>
        <w:jc w:val="center"/>
        <w:rPr>
          <w:sz w:val="22"/>
          <w:szCs w:val="22"/>
        </w:rPr>
      </w:pPr>
    </w:p>
    <w:p w14:paraId="18378481" w14:textId="77777777" w:rsidR="0024074E" w:rsidRDefault="0024074E" w:rsidP="0024074E">
      <w:pPr>
        <w:spacing w:before="240"/>
        <w:jc w:val="center"/>
        <w:rPr>
          <w:sz w:val="22"/>
          <w:szCs w:val="22"/>
        </w:rPr>
      </w:pPr>
    </w:p>
    <w:p w14:paraId="24E30F73" w14:textId="77777777" w:rsidR="0024074E" w:rsidRDefault="0024074E" w:rsidP="0024074E">
      <w:pPr>
        <w:spacing w:before="240"/>
        <w:jc w:val="center"/>
        <w:rPr>
          <w:sz w:val="22"/>
          <w:szCs w:val="22"/>
        </w:rPr>
      </w:pPr>
    </w:p>
    <w:p w14:paraId="35D4664D" w14:textId="77777777" w:rsidR="0024074E" w:rsidRDefault="0024074E" w:rsidP="0024074E">
      <w:pPr>
        <w:spacing w:before="240"/>
        <w:jc w:val="center"/>
        <w:rPr>
          <w:sz w:val="22"/>
          <w:szCs w:val="22"/>
        </w:rPr>
      </w:pPr>
    </w:p>
    <w:p w14:paraId="3065624E" w14:textId="77777777" w:rsidR="0024074E" w:rsidRDefault="0024074E" w:rsidP="0024074E">
      <w:pPr>
        <w:spacing w:before="240"/>
        <w:jc w:val="center"/>
        <w:rPr>
          <w:sz w:val="22"/>
          <w:szCs w:val="22"/>
        </w:rPr>
      </w:pPr>
    </w:p>
    <w:p w14:paraId="3C790501" w14:textId="77777777" w:rsidR="0024074E" w:rsidRPr="00292668" w:rsidRDefault="0024074E" w:rsidP="0024074E">
      <w:pPr>
        <w:spacing w:before="240"/>
        <w:jc w:val="center"/>
        <w:rPr>
          <w:sz w:val="22"/>
          <w:szCs w:val="22"/>
        </w:rPr>
      </w:pPr>
      <w:r w:rsidRPr="00292668">
        <w:rPr>
          <w:sz w:val="22"/>
          <w:szCs w:val="22"/>
        </w:rPr>
        <w:t xml:space="preserve">Para consultas de medios y periodistas, contactar a: </w:t>
      </w:r>
      <w:hyperlink r:id="rId10" w:history="1">
        <w:r w:rsidRPr="00292668">
          <w:rPr>
            <w:rStyle w:val="Hipervnculo"/>
            <w:sz w:val="22"/>
            <w:szCs w:val="22"/>
          </w:rPr>
          <w:t>comunicacionsocial@inegi.org.mx</w:t>
        </w:r>
      </w:hyperlink>
    </w:p>
    <w:p w14:paraId="09C1D9D3" w14:textId="77777777" w:rsidR="0024074E" w:rsidRPr="00292668" w:rsidRDefault="0024074E" w:rsidP="0024074E">
      <w:pPr>
        <w:pStyle w:val="NormalWeb"/>
        <w:spacing w:before="0" w:beforeAutospacing="0" w:after="0" w:afterAutospacing="0"/>
        <w:ind w:left="-426" w:right="-518"/>
        <w:contextualSpacing/>
        <w:jc w:val="center"/>
        <w:rPr>
          <w:rFonts w:ascii="Arial" w:hAnsi="Arial" w:cs="Arial"/>
          <w:sz w:val="22"/>
          <w:szCs w:val="22"/>
        </w:rPr>
      </w:pPr>
      <w:r w:rsidRPr="00292668">
        <w:rPr>
          <w:rFonts w:ascii="Arial" w:hAnsi="Arial" w:cs="Arial"/>
          <w:sz w:val="22"/>
          <w:szCs w:val="22"/>
        </w:rPr>
        <w:t xml:space="preserve">o llamar al teléfono (55) 52-78-10-00, </w:t>
      </w:r>
      <w:proofErr w:type="spellStart"/>
      <w:r w:rsidRPr="00292668">
        <w:rPr>
          <w:rFonts w:ascii="Arial" w:hAnsi="Arial" w:cs="Arial"/>
          <w:sz w:val="22"/>
          <w:szCs w:val="22"/>
        </w:rPr>
        <w:t>exts</w:t>
      </w:r>
      <w:proofErr w:type="spellEnd"/>
      <w:r w:rsidRPr="00292668">
        <w:rPr>
          <w:rFonts w:ascii="Arial" w:hAnsi="Arial" w:cs="Arial"/>
          <w:sz w:val="22"/>
          <w:szCs w:val="22"/>
        </w:rPr>
        <w:t>. 1134, 1260 y 1241.</w:t>
      </w:r>
    </w:p>
    <w:p w14:paraId="6CCE1AB0" w14:textId="77777777" w:rsidR="0024074E" w:rsidRPr="00292668" w:rsidRDefault="0024074E" w:rsidP="0024074E">
      <w:pPr>
        <w:pStyle w:val="NormalWeb"/>
        <w:spacing w:before="0" w:beforeAutospacing="0" w:after="0" w:afterAutospacing="0"/>
        <w:ind w:left="-426" w:right="-518"/>
        <w:contextualSpacing/>
        <w:jc w:val="center"/>
        <w:rPr>
          <w:rFonts w:ascii="Arial" w:hAnsi="Arial" w:cs="Arial"/>
          <w:sz w:val="22"/>
          <w:szCs w:val="22"/>
        </w:rPr>
      </w:pPr>
    </w:p>
    <w:p w14:paraId="39E2C421" w14:textId="77777777" w:rsidR="0024074E" w:rsidRPr="00292668" w:rsidRDefault="0024074E" w:rsidP="0024074E">
      <w:pPr>
        <w:pStyle w:val="NormalWeb"/>
        <w:spacing w:before="0" w:beforeAutospacing="0" w:after="0" w:afterAutospacing="0"/>
        <w:ind w:left="-426" w:right="-518"/>
        <w:contextualSpacing/>
        <w:jc w:val="center"/>
        <w:rPr>
          <w:rFonts w:ascii="Arial" w:hAnsi="Arial" w:cs="Arial"/>
          <w:sz w:val="22"/>
          <w:szCs w:val="22"/>
        </w:rPr>
      </w:pPr>
      <w:r w:rsidRPr="00292668">
        <w:rPr>
          <w:rFonts w:ascii="Arial" w:hAnsi="Arial" w:cs="Arial"/>
          <w:sz w:val="22"/>
          <w:szCs w:val="22"/>
        </w:rPr>
        <w:t>Dirección de Atención a Medios / Dirección General Adjunta de Comunicación</w:t>
      </w:r>
    </w:p>
    <w:p w14:paraId="4B8AF8EF" w14:textId="77777777" w:rsidR="0024074E" w:rsidRPr="002A4D9D" w:rsidRDefault="0024074E" w:rsidP="0024074E">
      <w:pPr>
        <w:pStyle w:val="NormalWeb"/>
        <w:spacing w:before="0" w:beforeAutospacing="0" w:after="0" w:afterAutospacing="0"/>
        <w:ind w:left="-426" w:right="-518"/>
        <w:contextualSpacing/>
        <w:jc w:val="center"/>
        <w:rPr>
          <w:rFonts w:ascii="Arial" w:hAnsi="Arial" w:cs="Arial"/>
          <w:sz w:val="22"/>
          <w:szCs w:val="22"/>
        </w:rPr>
      </w:pPr>
    </w:p>
    <w:p w14:paraId="2D7CC596" w14:textId="77777777" w:rsidR="0024074E" w:rsidRPr="008F0992" w:rsidRDefault="0024074E" w:rsidP="0024074E">
      <w:pPr>
        <w:spacing w:before="120"/>
        <w:ind w:left="-425" w:right="-516"/>
        <w:contextualSpacing/>
        <w:jc w:val="center"/>
        <w:rPr>
          <w:noProof/>
          <w:lang w:eastAsia="es-MX"/>
        </w:rPr>
      </w:pPr>
      <w:r w:rsidRPr="00FF1218">
        <w:rPr>
          <w:noProof/>
          <w:lang w:val="es-MX" w:eastAsia="es-MX"/>
        </w:rPr>
        <w:drawing>
          <wp:inline distT="0" distB="0" distL="0" distR="0" wp14:anchorId="44C0174B" wp14:editId="184A80B3">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380E71" wp14:editId="6A8F06D3">
            <wp:extent cx="365760" cy="365760"/>
            <wp:effectExtent l="0" t="0" r="0" b="0"/>
            <wp:docPr id="6" name="Imagen 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05BD93" wp14:editId="5346599D">
            <wp:extent cx="365760" cy="365760"/>
            <wp:effectExtent l="0" t="0" r="0" b="0"/>
            <wp:docPr id="8" name="Imagen 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E8B221" wp14:editId="16066A84">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F310B38" wp14:editId="67881ED6">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6B4E063" w14:textId="77777777" w:rsidR="0024074E" w:rsidRDefault="0024074E" w:rsidP="0024074E">
      <w:pPr>
        <w:spacing w:before="360"/>
        <w:ind w:left="-284" w:right="-547"/>
        <w:jc w:val="center"/>
        <w:rPr>
          <w:sz w:val="22"/>
          <w:szCs w:val="22"/>
        </w:rPr>
      </w:pPr>
    </w:p>
    <w:p w14:paraId="04110817" w14:textId="77777777" w:rsidR="0024074E" w:rsidRDefault="0024074E" w:rsidP="0024074E">
      <w:pPr>
        <w:ind w:left="-567"/>
        <w:jc w:val="center"/>
        <w:rPr>
          <w:noProof/>
          <w:lang w:eastAsia="es-MX"/>
        </w:rPr>
        <w:sectPr w:rsidR="0024074E" w:rsidSect="0024074E">
          <w:headerReference w:type="default" r:id="rId21"/>
          <w:footerReference w:type="default" r:id="rId22"/>
          <w:pgSz w:w="12240" w:h="15840"/>
          <w:pgMar w:top="1418" w:right="1134" w:bottom="1276" w:left="1134" w:header="709" w:footer="709" w:gutter="0"/>
          <w:cols w:space="708"/>
          <w:docGrid w:linePitch="360"/>
        </w:sectPr>
      </w:pPr>
    </w:p>
    <w:p w14:paraId="1C7010D5" w14:textId="77777777" w:rsidR="0024074E" w:rsidRPr="000B6948" w:rsidRDefault="0024074E" w:rsidP="0024074E">
      <w:pPr>
        <w:pStyle w:val="Profesin"/>
        <w:outlineLvl w:val="0"/>
        <w:rPr>
          <w:sz w:val="24"/>
          <w:szCs w:val="24"/>
          <w:lang w:val="es-MX"/>
        </w:rPr>
      </w:pPr>
      <w:r w:rsidRPr="000B6948">
        <w:rPr>
          <w:sz w:val="24"/>
          <w:szCs w:val="24"/>
          <w:lang w:val="es-MX"/>
        </w:rPr>
        <w:lastRenderedPageBreak/>
        <w:t>ANEXO</w:t>
      </w:r>
    </w:p>
    <w:p w14:paraId="124270E1" w14:textId="77777777" w:rsidR="0024074E" w:rsidRPr="000B6948" w:rsidRDefault="0024074E" w:rsidP="0024074E">
      <w:pPr>
        <w:pStyle w:val="Profesin"/>
        <w:spacing w:before="240"/>
        <w:outlineLvl w:val="0"/>
        <w:rPr>
          <w:sz w:val="24"/>
          <w:szCs w:val="24"/>
          <w:lang w:val="es-MX"/>
        </w:rPr>
      </w:pPr>
      <w:r w:rsidRPr="000B6948">
        <w:rPr>
          <w:sz w:val="24"/>
          <w:szCs w:val="24"/>
          <w:lang w:val="es-MX"/>
        </w:rPr>
        <w:t>Nota técnica</w:t>
      </w:r>
    </w:p>
    <w:p w14:paraId="7EB706EF" w14:textId="77777777" w:rsidR="00774F5B" w:rsidRPr="00F87E34" w:rsidRDefault="00774F5B" w:rsidP="0074155B">
      <w:pPr>
        <w:pStyle w:val="bulnot"/>
        <w:widowControl w:val="0"/>
        <w:tabs>
          <w:tab w:val="clear" w:pos="851"/>
        </w:tabs>
        <w:spacing w:before="600"/>
        <w:ind w:left="0" w:right="0" w:firstLine="0"/>
        <w:jc w:val="left"/>
        <w:rPr>
          <w:rFonts w:cs="Arial"/>
          <w:bCs/>
          <w:i/>
          <w:iCs/>
          <w:color w:val="auto"/>
          <w:spacing w:val="0"/>
          <w:sz w:val="24"/>
          <w:szCs w:val="24"/>
        </w:rPr>
      </w:pPr>
      <w:r w:rsidRPr="00F87E34">
        <w:rPr>
          <w:rFonts w:cs="Arial"/>
          <w:bCs/>
          <w:i/>
          <w:iCs/>
          <w:color w:val="auto"/>
          <w:spacing w:val="0"/>
          <w:sz w:val="24"/>
          <w:szCs w:val="24"/>
        </w:rPr>
        <w:t xml:space="preserve">Cifras desestacionalizadas </w:t>
      </w:r>
    </w:p>
    <w:p w14:paraId="46D4AC28" w14:textId="08DA7975" w:rsidR="00467BD1" w:rsidRPr="00F87E34" w:rsidRDefault="008679CD" w:rsidP="00D805CD">
      <w:pPr>
        <w:pStyle w:val="bulnot"/>
        <w:widowControl w:val="0"/>
        <w:spacing w:before="240"/>
        <w:ind w:left="567" w:right="567" w:firstLine="0"/>
        <w:rPr>
          <w:rFonts w:cs="Arial"/>
          <w:i/>
          <w:color w:val="auto"/>
          <w:spacing w:val="0"/>
          <w:sz w:val="24"/>
          <w:szCs w:val="24"/>
        </w:rPr>
      </w:pPr>
      <w:r w:rsidRPr="00F87E34">
        <w:rPr>
          <w:rFonts w:cs="Arial"/>
          <w:i/>
          <w:color w:val="auto"/>
          <w:spacing w:val="0"/>
          <w:sz w:val="24"/>
          <w:szCs w:val="24"/>
        </w:rPr>
        <w:t>Indicadores de las empresas comerciales al por mayor</w:t>
      </w:r>
    </w:p>
    <w:p w14:paraId="67DD4409" w14:textId="2C529110" w:rsidR="00ED4D0D" w:rsidRPr="00F87E34" w:rsidRDefault="00F820E2" w:rsidP="00D805CD">
      <w:pPr>
        <w:pStyle w:val="Textoindependiente"/>
        <w:spacing w:before="200"/>
        <w:rPr>
          <w:color w:val="auto"/>
        </w:rPr>
      </w:pPr>
      <w:r w:rsidRPr="00F87E34">
        <w:rPr>
          <w:color w:val="auto"/>
        </w:rPr>
        <w:t xml:space="preserve">En </w:t>
      </w:r>
      <w:r w:rsidR="004909D5">
        <w:rPr>
          <w:color w:val="auto"/>
        </w:rPr>
        <w:t>febr</w:t>
      </w:r>
      <w:r w:rsidRPr="00F87E34">
        <w:rPr>
          <w:color w:val="auto"/>
        </w:rPr>
        <w:t>e</w:t>
      </w:r>
      <w:r w:rsidR="00D664F1">
        <w:rPr>
          <w:color w:val="auto"/>
        </w:rPr>
        <w:t>ro</w:t>
      </w:r>
      <w:r w:rsidRPr="00F87E34">
        <w:rPr>
          <w:color w:val="auto"/>
        </w:rPr>
        <w:t xml:space="preserve"> de 202</w:t>
      </w:r>
      <w:r w:rsidR="00D664F1">
        <w:rPr>
          <w:color w:val="auto"/>
        </w:rPr>
        <w:t>2</w:t>
      </w:r>
      <w:r w:rsidR="00B35656">
        <w:rPr>
          <w:color w:val="auto"/>
        </w:rPr>
        <w:t xml:space="preserve"> y a tasa mensual</w:t>
      </w:r>
      <w:r w:rsidRPr="00F87E34">
        <w:rPr>
          <w:color w:val="auto"/>
        </w:rPr>
        <w:t>, l</w:t>
      </w:r>
      <w:r w:rsidR="009E2BC4" w:rsidRPr="00F87E34">
        <w:rPr>
          <w:color w:val="auto"/>
        </w:rPr>
        <w:t xml:space="preserve">os resultados de la Encuesta Mensual sobre Empresas Comerciales (EMEC)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C833BA" w:rsidRPr="00CA22F1">
        <w:rPr>
          <w:color w:val="auto"/>
        </w:rPr>
        <w:t>aumentaron</w:t>
      </w:r>
      <w:r w:rsidR="00C833BA">
        <w:rPr>
          <w:color w:val="auto"/>
        </w:rPr>
        <w:t xml:space="preserve"> </w:t>
      </w:r>
      <w:r w:rsidR="00B95200">
        <w:rPr>
          <w:color w:val="auto"/>
        </w:rPr>
        <w:t>0.</w:t>
      </w:r>
      <w:r w:rsidR="00ED4051">
        <w:rPr>
          <w:color w:val="auto"/>
        </w:rPr>
        <w:t>1</w:t>
      </w:r>
      <w:r w:rsidR="00B95200">
        <w:rPr>
          <w:color w:val="auto"/>
        </w:rPr>
        <w:t>%, el personal ocupado total 0.</w:t>
      </w:r>
      <w:r w:rsidR="00ED4051">
        <w:rPr>
          <w:color w:val="auto"/>
        </w:rPr>
        <w:t>2</w:t>
      </w:r>
      <w:r w:rsidR="00B95200">
        <w:rPr>
          <w:color w:val="auto"/>
        </w:rPr>
        <w:t xml:space="preserve">% y </w:t>
      </w:r>
      <w:r w:rsidR="001D1AC6" w:rsidRPr="00F87E34">
        <w:rPr>
          <w:color w:val="auto"/>
        </w:rPr>
        <w:t xml:space="preserve">las remuneraciones medias reales </w:t>
      </w:r>
      <w:r w:rsidR="00B95200">
        <w:rPr>
          <w:color w:val="auto"/>
        </w:rPr>
        <w:t>crecieron</w:t>
      </w:r>
      <w:r w:rsidR="001D1AC6" w:rsidRPr="00F87E34">
        <w:rPr>
          <w:color w:val="auto"/>
        </w:rPr>
        <w:t xml:space="preserve"> </w:t>
      </w:r>
      <w:r w:rsidR="00ED4051">
        <w:rPr>
          <w:color w:val="auto"/>
        </w:rPr>
        <w:t>0</w:t>
      </w:r>
      <w:r w:rsidR="00B95200">
        <w:rPr>
          <w:color w:val="auto"/>
        </w:rPr>
        <w:t>.5</w:t>
      </w:r>
      <w:r w:rsidR="00774F5B" w:rsidRPr="00F87E34">
        <w:rPr>
          <w:color w:val="auto"/>
        </w:rPr>
        <w:t>%</w:t>
      </w:r>
      <w:r w:rsidR="005C5EAF" w:rsidRPr="00F87E34">
        <w:rPr>
          <w:color w:val="auto"/>
        </w:rPr>
        <w:t>.</w:t>
      </w:r>
    </w:p>
    <w:p w14:paraId="2E87EE61" w14:textId="7578E3D8" w:rsidR="00467BD1" w:rsidRPr="00F87E34" w:rsidRDefault="008B4B23" w:rsidP="00D805CD">
      <w:pPr>
        <w:pStyle w:val="Textoindependiente"/>
        <w:spacing w:before="20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CA22F1" w:rsidRPr="00CA22F1">
        <w:rPr>
          <w:color w:val="auto"/>
        </w:rPr>
        <w:t>se incrementaron</w:t>
      </w:r>
      <w:r w:rsidR="00CA22F1">
        <w:rPr>
          <w:color w:val="auto"/>
        </w:rPr>
        <w:t xml:space="preserve"> </w:t>
      </w:r>
      <w:r w:rsidR="00ED4051">
        <w:rPr>
          <w:color w:val="auto"/>
        </w:rPr>
        <w:t>7</w:t>
      </w:r>
      <w:r w:rsidR="00B95200">
        <w:rPr>
          <w:color w:val="auto"/>
        </w:rPr>
        <w:t>.1</w:t>
      </w:r>
      <w:r w:rsidR="009E2BC4" w:rsidRPr="00F87E34">
        <w:rPr>
          <w:color w:val="auto"/>
        </w:rPr>
        <w:t>%</w:t>
      </w:r>
      <w:r w:rsidR="00101F61">
        <w:rPr>
          <w:color w:val="auto"/>
        </w:rPr>
        <w:t xml:space="preserve">, </w:t>
      </w:r>
      <w:r w:rsidR="006E09A9" w:rsidRPr="00F87E34">
        <w:rPr>
          <w:color w:val="auto"/>
        </w:rPr>
        <w:t xml:space="preserve">el </w:t>
      </w:r>
      <w:r w:rsidR="004C75FC" w:rsidRPr="00F87E34">
        <w:rPr>
          <w:color w:val="auto"/>
        </w:rPr>
        <w:t>p</w:t>
      </w:r>
      <w:r w:rsidR="00B00396" w:rsidRPr="00F87E34">
        <w:rPr>
          <w:color w:val="auto"/>
        </w:rPr>
        <w:t xml:space="preserve">ersonal ocupado total </w:t>
      </w:r>
      <w:r w:rsidR="001D1AC6" w:rsidRPr="00F87E34">
        <w:rPr>
          <w:color w:val="auto"/>
        </w:rPr>
        <w:t>2.</w:t>
      </w:r>
      <w:r w:rsidR="00ED4051">
        <w:rPr>
          <w:color w:val="auto"/>
        </w:rPr>
        <w:t>5</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 xml:space="preserve">emuneraciones medias reales </w:t>
      </w:r>
      <w:r w:rsidR="00066EBE">
        <w:rPr>
          <w:color w:val="auto"/>
        </w:rPr>
        <w:t>descendi</w:t>
      </w:r>
      <w:r w:rsidR="00774F5B" w:rsidRPr="00F87E34">
        <w:rPr>
          <w:color w:val="auto"/>
        </w:rPr>
        <w:t>eron</w:t>
      </w:r>
      <w:r w:rsidR="004000C8" w:rsidRPr="00F87E34">
        <w:rPr>
          <w:color w:val="auto"/>
        </w:rPr>
        <w:t xml:space="preserve"> </w:t>
      </w:r>
      <w:r w:rsidR="00ED4051">
        <w:rPr>
          <w:color w:val="auto"/>
        </w:rPr>
        <w:t>0.4</w:t>
      </w:r>
      <w:r w:rsidR="004000C8" w:rsidRPr="00F87E34">
        <w:rPr>
          <w:color w:val="auto"/>
        </w:rPr>
        <w:t>%</w:t>
      </w:r>
      <w:r w:rsidR="004426A2" w:rsidRPr="00F87E34">
        <w:rPr>
          <w:color w:val="auto"/>
        </w:rPr>
        <w:t xml:space="preserve"> </w:t>
      </w:r>
      <w:r w:rsidR="00C6455A" w:rsidRPr="00F87E34">
        <w:rPr>
          <w:color w:val="auto"/>
        </w:rPr>
        <w:t>en</w:t>
      </w:r>
      <w:r w:rsidR="006212A7" w:rsidRPr="00F87E34">
        <w:rPr>
          <w:color w:val="auto"/>
        </w:rPr>
        <w:t xml:space="preserve"> </w:t>
      </w:r>
      <w:r w:rsidR="004909D5">
        <w:rPr>
          <w:color w:val="auto"/>
        </w:rPr>
        <w:t>febr</w:t>
      </w:r>
      <w:r w:rsidRPr="00F87E34">
        <w:rPr>
          <w:color w:val="auto"/>
        </w:rPr>
        <w:t>e</w:t>
      </w:r>
      <w:r w:rsidR="00D664F1">
        <w:rPr>
          <w:color w:val="auto"/>
        </w:rPr>
        <w:t>ro</w:t>
      </w:r>
      <w:r w:rsidRPr="00F87E34">
        <w:rPr>
          <w:color w:val="auto"/>
        </w:rPr>
        <w:t xml:space="preserve"> </w:t>
      </w:r>
      <w:r w:rsidR="00D664F1">
        <w:rPr>
          <w:color w:val="auto"/>
        </w:rPr>
        <w:t>de 2022</w:t>
      </w:r>
      <w:r w:rsidR="004E0A24" w:rsidRPr="00F87E34">
        <w:rPr>
          <w:color w:val="auto"/>
        </w:rPr>
        <w:t>.</w:t>
      </w:r>
    </w:p>
    <w:p w14:paraId="76BACD40" w14:textId="77777777" w:rsidR="00467BD1" w:rsidRPr="00F87E34" w:rsidRDefault="00467BD1" w:rsidP="00D805CD">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5EAFB3CC" w14:textId="4CAC4012" w:rsidR="00467BD1" w:rsidRPr="00F87E34" w:rsidRDefault="00D805CD" w:rsidP="00774F5B">
      <w:pPr>
        <w:pStyle w:val="p0"/>
        <w:keepLines w:val="0"/>
        <w:spacing w:before="0"/>
        <w:jc w:val="center"/>
        <w:rPr>
          <w:rFonts w:ascii="Arial" w:hAnsi="Arial"/>
          <w:color w:val="auto"/>
          <w:sz w:val="18"/>
          <w:szCs w:val="18"/>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r w:rsidR="008679CD" w:rsidRPr="00F87E34">
        <w:rPr>
          <w:rFonts w:ascii="Arial" w:hAnsi="Arial"/>
          <w:smallCaps/>
          <w:szCs w:val="22"/>
        </w:rPr>
        <w:br/>
      </w:r>
      <w:r w:rsidR="00467BD1" w:rsidRPr="00F87E34">
        <w:rPr>
          <w:rFonts w:ascii="Arial" w:hAnsi="Arial"/>
          <w:smallCaps/>
          <w:color w:val="auto"/>
          <w:sz w:val="18"/>
          <w:szCs w:val="18"/>
        </w:rPr>
        <w:t>(</w:t>
      </w:r>
      <w:r w:rsidR="00467BD1" w:rsidRPr="00F87E34">
        <w:rPr>
          <w:rFonts w:ascii="Arial" w:hAnsi="Arial"/>
          <w:color w:val="auto"/>
          <w:sz w:val="18"/>
          <w:szCs w:val="18"/>
        </w:rPr>
        <w:t>Índice base 20</w:t>
      </w:r>
      <w:r w:rsidR="006D01F3" w:rsidRPr="00F87E34">
        <w:rPr>
          <w:rFonts w:ascii="Arial" w:hAnsi="Arial"/>
          <w:color w:val="auto"/>
          <w:sz w:val="18"/>
          <w:szCs w:val="18"/>
        </w:rPr>
        <w:t>13</w:t>
      </w:r>
      <w:r w:rsidR="00467BD1" w:rsidRPr="00F87E34">
        <w:rPr>
          <w:rFonts w:ascii="Arial" w:hAnsi="Arial"/>
          <w:color w:val="auto"/>
          <w:sz w:val="18"/>
          <w:szCs w:val="18"/>
        </w:rPr>
        <w:t>=100)</w:t>
      </w:r>
    </w:p>
    <w:p w14:paraId="0722D1B4" w14:textId="138E8D08" w:rsidR="00D805CD" w:rsidRPr="00F87E34" w:rsidRDefault="00ED4051" w:rsidP="00774F5B">
      <w:pPr>
        <w:pStyle w:val="p0"/>
        <w:keepLines w:val="0"/>
        <w:spacing w:before="0"/>
        <w:jc w:val="center"/>
        <w:rPr>
          <w:rFonts w:ascii="Arial" w:hAnsi="Arial"/>
          <w:color w:val="auto"/>
          <w:sz w:val="18"/>
          <w:szCs w:val="18"/>
        </w:rPr>
      </w:pPr>
      <w:r>
        <w:rPr>
          <w:noProof/>
        </w:rPr>
        <w:drawing>
          <wp:inline distT="0" distB="0" distL="0" distR="0" wp14:anchorId="5EC53542" wp14:editId="2B990374">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39A74ED0" w14:textId="77777777" w:rsidR="00EB7613" w:rsidRDefault="00EB7613">
      <w:pPr>
        <w:jc w:val="left"/>
        <w:rPr>
          <w:snapToGrid w:val="0"/>
          <w:sz w:val="20"/>
        </w:rPr>
      </w:pPr>
      <w:r>
        <w:rPr>
          <w:sz w:val="20"/>
        </w:rPr>
        <w:br w:type="page"/>
      </w:r>
    </w:p>
    <w:p w14:paraId="174F6A49" w14:textId="294AE7B2"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18286F2A"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3AFA6C32" w:rsidR="00D805CD" w:rsidRPr="00F87E34" w:rsidRDefault="00ED4051" w:rsidP="00D805CD">
      <w:pPr>
        <w:jc w:val="center"/>
      </w:pPr>
      <w:r>
        <w:rPr>
          <w:noProof/>
        </w:rPr>
        <w:drawing>
          <wp:inline distT="0" distB="0" distL="0" distR="0" wp14:anchorId="34159C19" wp14:editId="38F9665E">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77777777"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2148E880"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67740ACD" w:rsidR="00A50405" w:rsidRPr="00F87E34" w:rsidRDefault="00ED4051" w:rsidP="00D805CD">
      <w:pPr>
        <w:jc w:val="center"/>
      </w:pPr>
      <w:r>
        <w:rPr>
          <w:noProof/>
        </w:rPr>
        <w:drawing>
          <wp:inline distT="0" distB="0" distL="0" distR="0" wp14:anchorId="69CF4458" wp14:editId="1CFE3CFA">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77777777"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F87E34" w:rsidRDefault="008679CD" w:rsidP="008679CD">
      <w:pPr>
        <w:pStyle w:val="bulnot"/>
        <w:widowControl w:val="0"/>
        <w:spacing w:before="600"/>
        <w:ind w:left="567" w:right="567" w:firstLine="0"/>
        <w:rPr>
          <w:rFonts w:cs="Arial"/>
          <w:i/>
          <w:color w:val="auto"/>
          <w:spacing w:val="0"/>
          <w:sz w:val="24"/>
          <w:szCs w:val="24"/>
        </w:rPr>
      </w:pPr>
      <w:r w:rsidRPr="00F87E34">
        <w:rPr>
          <w:rFonts w:cs="Arial"/>
          <w:i/>
          <w:color w:val="auto"/>
          <w:spacing w:val="0"/>
          <w:sz w:val="24"/>
          <w:szCs w:val="24"/>
        </w:rPr>
        <w:lastRenderedPageBreak/>
        <w:t xml:space="preserve">Indicadores de las empresas comerciales al por menor </w:t>
      </w:r>
    </w:p>
    <w:p w14:paraId="6BA8E4F0" w14:textId="27EE211B"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4909D5">
        <w:rPr>
          <w:color w:val="auto"/>
        </w:rPr>
        <w:t>febr</w:t>
      </w:r>
      <w:r w:rsidRPr="00F87E34">
        <w:rPr>
          <w:color w:val="auto"/>
        </w:rPr>
        <w:t>e</w:t>
      </w:r>
      <w:r w:rsidR="00D664F1">
        <w:rPr>
          <w:color w:val="auto"/>
        </w:rPr>
        <w:t>ro</w:t>
      </w:r>
      <w:r w:rsidRPr="00F87E34">
        <w:rPr>
          <w:color w:val="auto"/>
        </w:rPr>
        <w:t xml:space="preserve"> de 202</w:t>
      </w:r>
      <w:r w:rsidR="00D664F1">
        <w:rPr>
          <w:color w:val="auto"/>
        </w:rPr>
        <w:t>2</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25092A">
        <w:rPr>
          <w:color w:val="auto"/>
        </w:rPr>
        <w:t>au</w:t>
      </w:r>
      <w:r w:rsidR="00066EBE">
        <w:rPr>
          <w:color w:val="auto"/>
        </w:rPr>
        <w:t>menta</w:t>
      </w:r>
      <w:r w:rsidR="00042A96" w:rsidRPr="00F87E34">
        <w:rPr>
          <w:color w:val="auto"/>
        </w:rPr>
        <w:t>ron</w:t>
      </w:r>
      <w:r w:rsidR="001D1AC6" w:rsidRPr="00F87E34">
        <w:rPr>
          <w:color w:val="auto"/>
        </w:rPr>
        <w:t xml:space="preserve"> 0.</w:t>
      </w:r>
      <w:r w:rsidR="00ED4051">
        <w:rPr>
          <w:color w:val="auto"/>
        </w:rPr>
        <w:t>8</w:t>
      </w:r>
      <w:r w:rsidR="001D1AC6" w:rsidRPr="00F87E34">
        <w:rPr>
          <w:color w:val="auto"/>
        </w:rPr>
        <w:t>%,</w:t>
      </w:r>
      <w:r w:rsidR="004000C8" w:rsidRPr="00F87E34">
        <w:rPr>
          <w:color w:val="auto"/>
        </w:rPr>
        <w:t xml:space="preserve"> las </w:t>
      </w:r>
      <w:r w:rsidR="004C75FC" w:rsidRPr="00F87E34">
        <w:rPr>
          <w:color w:val="auto"/>
        </w:rPr>
        <w:t>r</w:t>
      </w:r>
      <w:r w:rsidR="004000C8" w:rsidRPr="00F87E34">
        <w:rPr>
          <w:color w:val="auto"/>
        </w:rPr>
        <w:t xml:space="preserve">emuneraciones medias reales </w:t>
      </w:r>
      <w:r w:rsidR="00ED4051">
        <w:rPr>
          <w:color w:val="auto"/>
        </w:rPr>
        <w:t>disminuyeron 0.3</w:t>
      </w:r>
      <w:r w:rsidR="004000C8" w:rsidRPr="00F87E34">
        <w:rPr>
          <w:color w:val="auto"/>
        </w:rPr>
        <w:t>%</w:t>
      </w:r>
      <w:r w:rsidR="001D1AC6" w:rsidRPr="00F87E34">
        <w:rPr>
          <w:color w:val="auto"/>
        </w:rPr>
        <w:t xml:space="preserve"> y </w:t>
      </w:r>
      <w:r w:rsidR="004000C8" w:rsidRPr="00F87E34">
        <w:rPr>
          <w:color w:val="auto"/>
        </w:rPr>
        <w:t xml:space="preserve">el </w:t>
      </w:r>
      <w:r w:rsidR="004C75FC" w:rsidRPr="00F87E34">
        <w:rPr>
          <w:color w:val="auto"/>
        </w:rPr>
        <w:t>p</w:t>
      </w:r>
      <w:r w:rsidR="004000C8" w:rsidRPr="00F87E34">
        <w:rPr>
          <w:color w:val="auto"/>
        </w:rPr>
        <w:t>ersonal ocupado total</w:t>
      </w:r>
      <w:r w:rsidR="00066EBE">
        <w:rPr>
          <w:color w:val="auto"/>
        </w:rPr>
        <w:t xml:space="preserve"> </w:t>
      </w:r>
      <w:r w:rsidR="00ED4051">
        <w:rPr>
          <w:color w:val="auto"/>
        </w:rPr>
        <w:t xml:space="preserve">se mantuvo sin </w:t>
      </w:r>
      <w:r w:rsidR="00CA22F1">
        <w:rPr>
          <w:color w:val="auto"/>
        </w:rPr>
        <w:t>variación</w:t>
      </w:r>
      <w:r w:rsidR="008D4520" w:rsidRPr="00F87E34">
        <w:rPr>
          <w:color w:val="auto"/>
        </w:rPr>
        <w:t>.</w:t>
      </w:r>
    </w:p>
    <w:p w14:paraId="4963B463" w14:textId="153FAD70" w:rsidR="00085572" w:rsidRPr="00F87E34" w:rsidRDefault="00EB4DDC" w:rsidP="00134F49">
      <w:pPr>
        <w:pStyle w:val="Textoindependiente"/>
        <w:spacing w:before="360"/>
        <w:outlineLvl w:val="0"/>
        <w:rPr>
          <w:color w:val="auto"/>
        </w:rPr>
      </w:pPr>
      <w:r w:rsidRPr="00F87E34">
        <w:rPr>
          <w:color w:val="auto"/>
        </w:rPr>
        <w:t>En su comparación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CA22F1">
        <w:rPr>
          <w:color w:val="auto"/>
        </w:rPr>
        <w:t>crecieron</w:t>
      </w:r>
      <w:r w:rsidR="008D4520" w:rsidRPr="00F87E34">
        <w:rPr>
          <w:color w:val="auto"/>
        </w:rPr>
        <w:t xml:space="preserve"> </w:t>
      </w:r>
      <w:r w:rsidR="00066EBE">
        <w:rPr>
          <w:color w:val="auto"/>
        </w:rPr>
        <w:t>6.</w:t>
      </w:r>
      <w:r w:rsidR="00ED4051">
        <w:rPr>
          <w:color w:val="auto"/>
        </w:rPr>
        <w:t>3</w:t>
      </w:r>
      <w:r w:rsidR="007B44D3" w:rsidRPr="00F87E34">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 xml:space="preserve">emuneraciones medias reales </w:t>
      </w:r>
      <w:r w:rsidR="00066EBE">
        <w:rPr>
          <w:color w:val="auto"/>
        </w:rPr>
        <w:t>4.</w:t>
      </w:r>
      <w:r w:rsidR="00ED4051">
        <w:rPr>
          <w:color w:val="auto"/>
        </w:rPr>
        <w:t>4</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101F61">
        <w:rPr>
          <w:color w:val="auto"/>
        </w:rPr>
        <w:t>descendi</w:t>
      </w:r>
      <w:r w:rsidR="008B4B23" w:rsidRPr="00F87E34">
        <w:rPr>
          <w:color w:val="auto"/>
        </w:rPr>
        <w:t>ó</w:t>
      </w:r>
      <w:r w:rsidR="00936E7B" w:rsidRPr="00F87E34">
        <w:rPr>
          <w:color w:val="auto"/>
        </w:rPr>
        <w:t xml:space="preserve"> </w:t>
      </w:r>
      <w:r w:rsidR="00066EBE">
        <w:rPr>
          <w:color w:val="auto"/>
        </w:rPr>
        <w:t>1</w:t>
      </w:r>
      <w:r w:rsidR="00B00396" w:rsidRPr="00F87E34">
        <w:rPr>
          <w:color w:val="auto"/>
        </w:rPr>
        <w:t>.</w:t>
      </w:r>
      <w:r w:rsidR="00ED4051">
        <w:rPr>
          <w:color w:val="auto"/>
        </w:rPr>
        <w:t>3</w:t>
      </w:r>
      <w:r w:rsidR="008B4B23" w:rsidRPr="00F87E34">
        <w:rPr>
          <w:color w:val="auto"/>
        </w:rPr>
        <w:t xml:space="preserve">% </w:t>
      </w:r>
      <w:r w:rsidR="000177F8" w:rsidRPr="00F87E34">
        <w:rPr>
          <w:color w:val="auto"/>
        </w:rPr>
        <w:t>en</w:t>
      </w:r>
      <w:r w:rsidR="008B4B23" w:rsidRPr="00F87E34">
        <w:rPr>
          <w:color w:val="auto"/>
        </w:rPr>
        <w:t xml:space="preserve"> </w:t>
      </w:r>
      <w:r w:rsidR="004909D5">
        <w:rPr>
          <w:color w:val="auto"/>
        </w:rPr>
        <w:t>febr</w:t>
      </w:r>
      <w:r w:rsidR="008B4B23" w:rsidRPr="00F87E34">
        <w:rPr>
          <w:color w:val="auto"/>
        </w:rPr>
        <w:t>e</w:t>
      </w:r>
      <w:r w:rsidR="00D664F1">
        <w:rPr>
          <w:color w:val="auto"/>
        </w:rPr>
        <w:t>ro</w:t>
      </w:r>
      <w:r w:rsidR="008B4B23" w:rsidRPr="00F87E34">
        <w:rPr>
          <w:color w:val="auto"/>
        </w:rPr>
        <w:t xml:space="preserve"> </w:t>
      </w:r>
      <w:r w:rsidR="00D664F1">
        <w:rPr>
          <w:color w:val="auto"/>
        </w:rPr>
        <w:t>de este año</w:t>
      </w:r>
      <w:r w:rsidR="00467BD1" w:rsidRPr="00F87E34">
        <w:rPr>
          <w:color w:val="auto"/>
        </w:rPr>
        <w:t xml:space="preserve">. </w:t>
      </w:r>
    </w:p>
    <w:p w14:paraId="178315F5" w14:textId="68058305" w:rsidR="00467BD1" w:rsidRPr="00F87E34" w:rsidRDefault="00467BD1" w:rsidP="00134F49">
      <w:pPr>
        <w:pStyle w:val="p0"/>
        <w:keepNext/>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657A08B9" w:rsidR="00467BD1" w:rsidRPr="00F87E34" w:rsidRDefault="00467BD1" w:rsidP="00467BD1">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3AAD3367" w:rsidR="00D805CD" w:rsidRPr="00F87E34" w:rsidRDefault="00ED4051" w:rsidP="00467BD1">
      <w:pPr>
        <w:pStyle w:val="p0"/>
        <w:keepNext/>
        <w:spacing w:before="0"/>
        <w:jc w:val="center"/>
        <w:rPr>
          <w:rFonts w:ascii="Arial" w:hAnsi="Arial"/>
          <w:color w:val="auto"/>
          <w:sz w:val="18"/>
          <w:szCs w:val="18"/>
        </w:rPr>
      </w:pPr>
      <w:r>
        <w:rPr>
          <w:noProof/>
        </w:rPr>
        <w:drawing>
          <wp:inline distT="0" distB="0" distL="0" distR="0" wp14:anchorId="2199D19C" wp14:editId="45AA9576">
            <wp:extent cx="4320000" cy="2520000"/>
            <wp:effectExtent l="0" t="0" r="23495" b="3302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805CD">
      <w:pPr>
        <w:pStyle w:val="p0"/>
        <w:keepNext/>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805CD">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7777777" w:rsidR="00D805CD" w:rsidRPr="00F87E34" w:rsidRDefault="00D805CD" w:rsidP="00D805CD">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16F2172D" w:rsidR="00D805CD" w:rsidRPr="00F87E34" w:rsidRDefault="00ED4051" w:rsidP="00D805CD">
      <w:pPr>
        <w:jc w:val="center"/>
      </w:pPr>
      <w:r>
        <w:rPr>
          <w:noProof/>
        </w:rPr>
        <w:drawing>
          <wp:inline distT="0" distB="0" distL="0" distR="0" wp14:anchorId="606FD19E" wp14:editId="4B194393">
            <wp:extent cx="4320000" cy="2520000"/>
            <wp:effectExtent l="0" t="0" r="23495" b="1397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77777777" w:rsidR="00D805CD" w:rsidRPr="00F87E34" w:rsidRDefault="00D805CD" w:rsidP="00D805CD">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134F49">
      <w:pPr>
        <w:pStyle w:val="p0"/>
        <w:keepNext/>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134F49">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2117A124" w:rsidR="00134F49" w:rsidRPr="00F87E34" w:rsidRDefault="00134F49" w:rsidP="00134F49">
      <w:pPr>
        <w:pStyle w:val="p0"/>
        <w:keepNext/>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4F153C17" w:rsidR="00D805CD" w:rsidRPr="00F87E34" w:rsidRDefault="00ED4051" w:rsidP="00D805CD">
      <w:pPr>
        <w:jc w:val="center"/>
      </w:pPr>
      <w:r>
        <w:rPr>
          <w:noProof/>
        </w:rPr>
        <w:drawing>
          <wp:inline distT="0" distB="0" distL="0" distR="0" wp14:anchorId="7CAF1C50" wp14:editId="0817DCB5">
            <wp:extent cx="4320000" cy="2520000"/>
            <wp:effectExtent l="0" t="0" r="23495" b="1397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77777777" w:rsidR="00467BD1" w:rsidRPr="00F87E34" w:rsidRDefault="00467BD1" w:rsidP="00085572">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467BD1">
      <w:pPr>
        <w:rPr>
          <w:b/>
          <w:i/>
        </w:rPr>
      </w:pPr>
      <w:r w:rsidRPr="00F87E34">
        <w:rPr>
          <w:b/>
          <w:i/>
        </w:rPr>
        <w:br w:type="page"/>
      </w:r>
    </w:p>
    <w:p w14:paraId="73BD7537" w14:textId="77777777" w:rsidR="00467BD1" w:rsidRPr="00F87E34" w:rsidRDefault="00467BD1" w:rsidP="00046C2C">
      <w:pPr>
        <w:pStyle w:val="bulnot"/>
        <w:widowControl w:val="0"/>
        <w:tabs>
          <w:tab w:val="clear" w:pos="851"/>
        </w:tabs>
        <w:spacing w:before="840"/>
        <w:ind w:left="0" w:right="0" w:firstLine="0"/>
        <w:jc w:val="left"/>
        <w:rPr>
          <w:rFonts w:cs="Arial"/>
          <w:i/>
          <w:color w:val="auto"/>
          <w:spacing w:val="0"/>
          <w:sz w:val="24"/>
          <w:szCs w:val="24"/>
        </w:rPr>
      </w:pPr>
      <w:r w:rsidRPr="00F87E34">
        <w:rPr>
          <w:rFonts w:cs="Arial"/>
          <w:i/>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2562853B"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5B5FCC">
        <w:rPr>
          <w:b/>
          <w:smallCaps/>
          <w:sz w:val="22"/>
          <w:szCs w:val="22"/>
        </w:rPr>
        <w:t>febr</w:t>
      </w:r>
      <w:r w:rsidR="00D664F1">
        <w:rPr>
          <w:b/>
          <w:smallCaps/>
          <w:sz w:val="22"/>
          <w:szCs w:val="22"/>
        </w:rPr>
        <w:t>ero</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w:t>
      </w:r>
      <w:r w:rsidR="00D664F1">
        <w:rPr>
          <w:b/>
          <w:smallCaps/>
          <w:sz w:val="22"/>
          <w:szCs w:val="22"/>
        </w:rPr>
        <w:t>2</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7562DF">
            <w:pPr>
              <w:jc w:val="center"/>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r w:rsidRPr="00F87E34">
              <w:rPr>
                <w:sz w:val="16"/>
                <w:szCs w:val="16"/>
                <w:lang w:val="es-MX" w:eastAsia="es-MX"/>
              </w:rPr>
              <w:t>Remune-raciones medias reales</w:t>
            </w:r>
          </w:p>
        </w:tc>
      </w:tr>
      <w:tr w:rsidR="00B36B9B" w:rsidRPr="00F87E34" w14:paraId="38CD74B5" w14:textId="77777777" w:rsidTr="00D664F1">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r w:rsidRPr="00F87E34">
              <w:rPr>
                <w:sz w:val="16"/>
                <w:szCs w:val="16"/>
                <w:lang w:val="es-MX" w:eastAsia="es-MX"/>
              </w:rPr>
              <w:t>Depen-</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r w:rsidRPr="00F87E34">
              <w:rPr>
                <w:sz w:val="16"/>
                <w:szCs w:val="16"/>
                <w:lang w:val="es-MX" w:eastAsia="es-MX"/>
              </w:rPr>
              <w:t xml:space="preserve">Suminis-trado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F06A19" w:rsidRPr="00F87E34" w14:paraId="4C8E3D86" w14:textId="77777777" w:rsidTr="00F06A19">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F06A19" w:rsidRPr="00F87E34" w:rsidRDefault="00F06A19" w:rsidP="00F06A19">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F06A19" w:rsidRPr="00F87E34" w:rsidRDefault="00F06A19" w:rsidP="00F06A19">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098D7B4E"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7.2</w:t>
            </w:r>
          </w:p>
        </w:tc>
        <w:tc>
          <w:tcPr>
            <w:tcW w:w="882" w:type="dxa"/>
            <w:tcBorders>
              <w:top w:val="single" w:sz="6" w:space="0" w:color="404040"/>
              <w:left w:val="nil"/>
              <w:right w:val="nil"/>
            </w:tcBorders>
            <w:shd w:val="clear" w:color="auto" w:fill="EAF1DD" w:themeFill="accent3" w:themeFillTint="33"/>
            <w:vAlign w:val="center"/>
            <w:hideMark/>
          </w:tcPr>
          <w:p w14:paraId="7EEE1AC4" w14:textId="49DDEFE6" w:rsidR="00F06A19" w:rsidRPr="00F87E34" w:rsidRDefault="00F06A19" w:rsidP="00F06A19">
            <w:pPr>
              <w:tabs>
                <w:tab w:val="decimal" w:pos="392"/>
              </w:tabs>
              <w:jc w:val="left"/>
              <w:rPr>
                <w:b/>
                <w:bCs/>
                <w:color w:val="000000"/>
                <w:sz w:val="16"/>
                <w:szCs w:val="16"/>
                <w:lang w:val="es-MX" w:eastAsia="es-MX"/>
              </w:rPr>
            </w:pPr>
            <w:r>
              <w:rPr>
                <w:b/>
                <w:bCs/>
                <w:color w:val="000000"/>
                <w:sz w:val="16"/>
                <w:szCs w:val="16"/>
              </w:rPr>
              <w:t>2.5</w:t>
            </w:r>
          </w:p>
        </w:tc>
        <w:tc>
          <w:tcPr>
            <w:tcW w:w="910" w:type="dxa"/>
            <w:tcBorders>
              <w:top w:val="single" w:sz="6" w:space="0" w:color="404040"/>
              <w:left w:val="nil"/>
              <w:right w:val="nil"/>
            </w:tcBorders>
            <w:shd w:val="clear" w:color="auto" w:fill="EAF1DD" w:themeFill="accent3" w:themeFillTint="33"/>
            <w:vAlign w:val="center"/>
            <w:hideMark/>
          </w:tcPr>
          <w:p w14:paraId="0F85C3B2" w14:textId="2C171C14"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66.2</w:t>
            </w:r>
          </w:p>
        </w:tc>
        <w:tc>
          <w:tcPr>
            <w:tcW w:w="952" w:type="dxa"/>
            <w:tcBorders>
              <w:top w:val="single" w:sz="6" w:space="0" w:color="404040"/>
              <w:left w:val="nil"/>
              <w:right w:val="nil"/>
            </w:tcBorders>
            <w:shd w:val="clear" w:color="auto" w:fill="EAF1DD" w:themeFill="accent3" w:themeFillTint="33"/>
            <w:vAlign w:val="center"/>
            <w:hideMark/>
          </w:tcPr>
          <w:p w14:paraId="19B14C1F" w14:textId="5A9A9CD6"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-69.4</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5165A69F"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-0.4</w:t>
            </w:r>
          </w:p>
        </w:tc>
      </w:tr>
      <w:tr w:rsidR="00F06A19" w:rsidRPr="00F87E34" w14:paraId="04751D10" w14:textId="77777777" w:rsidTr="00F06A19">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367F6042" w:rsidR="00F06A19" w:rsidRPr="00F87E34" w:rsidRDefault="00F06A19" w:rsidP="00F06A19">
            <w:pPr>
              <w:tabs>
                <w:tab w:val="decimal" w:pos="450"/>
              </w:tabs>
              <w:jc w:val="left"/>
              <w:rPr>
                <w:color w:val="000000"/>
                <w:sz w:val="16"/>
                <w:szCs w:val="16"/>
                <w:lang w:val="es-MX" w:eastAsia="es-MX"/>
              </w:rPr>
            </w:pPr>
            <w:r>
              <w:rPr>
                <w:color w:val="000000"/>
                <w:sz w:val="16"/>
                <w:szCs w:val="16"/>
              </w:rPr>
              <w:t>2.2</w:t>
            </w:r>
          </w:p>
        </w:tc>
        <w:tc>
          <w:tcPr>
            <w:tcW w:w="882" w:type="dxa"/>
            <w:tcBorders>
              <w:left w:val="nil"/>
              <w:bottom w:val="dotted" w:sz="6" w:space="0" w:color="C2D69B" w:themeColor="accent3" w:themeTint="99"/>
              <w:right w:val="nil"/>
            </w:tcBorders>
            <w:shd w:val="clear" w:color="auto" w:fill="auto"/>
            <w:vAlign w:val="center"/>
            <w:hideMark/>
          </w:tcPr>
          <w:p w14:paraId="1F54D629" w14:textId="4465435C" w:rsidR="00F06A19" w:rsidRPr="00F87E34" w:rsidRDefault="00F06A19" w:rsidP="00F06A19">
            <w:pPr>
              <w:tabs>
                <w:tab w:val="decimal" w:pos="392"/>
              </w:tabs>
              <w:jc w:val="left"/>
              <w:rPr>
                <w:color w:val="000000"/>
                <w:sz w:val="16"/>
                <w:szCs w:val="16"/>
                <w:lang w:val="es-MX" w:eastAsia="es-MX"/>
              </w:rPr>
            </w:pPr>
            <w:r>
              <w:rPr>
                <w:color w:val="000000"/>
                <w:sz w:val="16"/>
                <w:szCs w:val="16"/>
              </w:rPr>
              <w:t>2.5</w:t>
            </w:r>
          </w:p>
        </w:tc>
        <w:tc>
          <w:tcPr>
            <w:tcW w:w="910" w:type="dxa"/>
            <w:tcBorders>
              <w:left w:val="nil"/>
              <w:bottom w:val="dotted" w:sz="6" w:space="0" w:color="C2D69B" w:themeColor="accent3" w:themeTint="99"/>
              <w:right w:val="nil"/>
            </w:tcBorders>
            <w:shd w:val="clear" w:color="auto" w:fill="auto"/>
            <w:vAlign w:val="center"/>
            <w:hideMark/>
          </w:tcPr>
          <w:p w14:paraId="14A8B192" w14:textId="5A5374FE" w:rsidR="00F06A19" w:rsidRPr="00F87E34" w:rsidRDefault="00F06A19" w:rsidP="00F06A19">
            <w:pPr>
              <w:tabs>
                <w:tab w:val="decimal" w:pos="450"/>
              </w:tabs>
              <w:jc w:val="left"/>
              <w:rPr>
                <w:color w:val="000000"/>
                <w:sz w:val="16"/>
                <w:szCs w:val="16"/>
                <w:lang w:val="es-MX" w:eastAsia="es-MX"/>
              </w:rPr>
            </w:pPr>
            <w:r>
              <w:rPr>
                <w:color w:val="000000"/>
                <w:sz w:val="16"/>
                <w:szCs w:val="16"/>
              </w:rPr>
              <w:t>86.2</w:t>
            </w:r>
          </w:p>
        </w:tc>
        <w:tc>
          <w:tcPr>
            <w:tcW w:w="952" w:type="dxa"/>
            <w:tcBorders>
              <w:left w:val="nil"/>
              <w:bottom w:val="dotted" w:sz="6" w:space="0" w:color="C2D69B" w:themeColor="accent3" w:themeTint="99"/>
              <w:right w:val="nil"/>
            </w:tcBorders>
            <w:shd w:val="clear" w:color="auto" w:fill="auto"/>
            <w:vAlign w:val="center"/>
            <w:hideMark/>
          </w:tcPr>
          <w:p w14:paraId="26B0FD3D" w14:textId="23FF8BF6" w:rsidR="00F06A19" w:rsidRPr="00F87E34" w:rsidRDefault="00F06A19" w:rsidP="00F06A19">
            <w:pPr>
              <w:tabs>
                <w:tab w:val="decimal" w:pos="450"/>
              </w:tabs>
              <w:jc w:val="left"/>
              <w:rPr>
                <w:color w:val="000000"/>
                <w:sz w:val="16"/>
                <w:szCs w:val="16"/>
                <w:lang w:val="es-MX" w:eastAsia="es-MX"/>
              </w:rPr>
            </w:pPr>
            <w:r>
              <w:rPr>
                <w:color w:val="000000"/>
                <w:sz w:val="16"/>
                <w:szCs w:val="16"/>
              </w:rPr>
              <w:t>-67.7</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7D35BC15" w:rsidR="00F06A19" w:rsidRPr="00F87E34" w:rsidRDefault="00F06A19" w:rsidP="00F06A19">
            <w:pPr>
              <w:tabs>
                <w:tab w:val="decimal" w:pos="450"/>
              </w:tabs>
              <w:jc w:val="left"/>
              <w:rPr>
                <w:color w:val="000000"/>
                <w:sz w:val="16"/>
                <w:szCs w:val="16"/>
                <w:lang w:val="es-MX" w:eastAsia="es-MX"/>
              </w:rPr>
            </w:pPr>
            <w:r>
              <w:rPr>
                <w:color w:val="000000"/>
                <w:sz w:val="16"/>
                <w:szCs w:val="16"/>
              </w:rPr>
              <w:t>2.8</w:t>
            </w:r>
          </w:p>
        </w:tc>
      </w:tr>
      <w:tr w:rsidR="00F06A19" w:rsidRPr="00F87E34" w14:paraId="452CD110" w14:textId="77777777" w:rsidTr="00F06A19">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11E9E822" w:rsidR="00F06A19" w:rsidRPr="00F87E34" w:rsidRDefault="00F06A19" w:rsidP="00F06A19">
            <w:pPr>
              <w:tabs>
                <w:tab w:val="decimal" w:pos="450"/>
              </w:tabs>
              <w:jc w:val="left"/>
              <w:rPr>
                <w:color w:val="000000"/>
                <w:sz w:val="16"/>
                <w:szCs w:val="16"/>
                <w:lang w:val="es-MX" w:eastAsia="es-MX"/>
              </w:rPr>
            </w:pPr>
            <w:r>
              <w:rPr>
                <w:color w:val="000000"/>
                <w:sz w:val="16"/>
                <w:szCs w:val="16"/>
              </w:rPr>
              <w:t>16.0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6E3B979B" w:rsidR="00F06A19" w:rsidRPr="00F87E34" w:rsidRDefault="00F06A19" w:rsidP="00F06A19">
            <w:pPr>
              <w:tabs>
                <w:tab w:val="decimal" w:pos="392"/>
              </w:tabs>
              <w:jc w:val="left"/>
              <w:rPr>
                <w:color w:val="000000"/>
                <w:sz w:val="16"/>
                <w:szCs w:val="16"/>
                <w:lang w:val="es-MX" w:eastAsia="es-MX"/>
              </w:rPr>
            </w:pPr>
            <w:r>
              <w:rPr>
                <w:color w:val="000000"/>
                <w:sz w:val="16"/>
                <w:szCs w:val="16"/>
              </w:rPr>
              <w:t>-7.2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0BD0F846" w:rsidR="00F06A19" w:rsidRPr="00F87E34" w:rsidRDefault="00F06A19" w:rsidP="00F06A19">
            <w:pPr>
              <w:tabs>
                <w:tab w:val="decimal" w:pos="450"/>
              </w:tabs>
              <w:jc w:val="left"/>
              <w:rPr>
                <w:color w:val="000000"/>
                <w:sz w:val="16"/>
                <w:szCs w:val="16"/>
                <w:lang w:val="es-MX" w:eastAsia="es-MX"/>
              </w:rPr>
            </w:pPr>
            <w:r>
              <w:rPr>
                <w:color w:val="000000"/>
                <w:sz w:val="16"/>
                <w:szCs w:val="16"/>
              </w:rPr>
              <w:t>155.6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7BBE28BE" w:rsidR="00F06A19" w:rsidRPr="00F87E34" w:rsidRDefault="00F06A19" w:rsidP="00F06A19">
            <w:pPr>
              <w:tabs>
                <w:tab w:val="decimal" w:pos="450"/>
              </w:tabs>
              <w:jc w:val="left"/>
              <w:rPr>
                <w:color w:val="000000"/>
                <w:sz w:val="16"/>
                <w:szCs w:val="16"/>
                <w:lang w:val="es-MX" w:eastAsia="es-MX"/>
              </w:rPr>
            </w:pPr>
            <w:r>
              <w:rPr>
                <w:color w:val="000000"/>
                <w:sz w:val="16"/>
                <w:szCs w:val="16"/>
              </w:rPr>
              <w:t>-82.6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015A0935" w:rsidR="00F06A19" w:rsidRPr="00F87E34" w:rsidRDefault="00F06A19" w:rsidP="00F06A19">
            <w:pPr>
              <w:tabs>
                <w:tab w:val="decimal" w:pos="450"/>
              </w:tabs>
              <w:jc w:val="left"/>
              <w:rPr>
                <w:color w:val="000000"/>
                <w:sz w:val="16"/>
                <w:szCs w:val="16"/>
                <w:lang w:val="es-MX" w:eastAsia="es-MX"/>
              </w:rPr>
            </w:pPr>
            <w:r>
              <w:rPr>
                <w:color w:val="000000"/>
                <w:sz w:val="16"/>
                <w:szCs w:val="16"/>
              </w:rPr>
              <w:t>6.2</w:t>
            </w:r>
          </w:p>
        </w:tc>
      </w:tr>
      <w:tr w:rsidR="00F06A19" w:rsidRPr="00F87E34" w14:paraId="498900B9" w14:textId="77777777" w:rsidTr="00F06A19">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3EB8BABD" w:rsidR="00F06A19" w:rsidRPr="00F87E34" w:rsidRDefault="00F06A19" w:rsidP="00F06A19">
            <w:pPr>
              <w:tabs>
                <w:tab w:val="decimal" w:pos="450"/>
              </w:tabs>
              <w:jc w:val="left"/>
              <w:rPr>
                <w:color w:val="000000"/>
                <w:sz w:val="16"/>
                <w:szCs w:val="16"/>
                <w:lang w:val="es-MX" w:eastAsia="es-MX"/>
              </w:rPr>
            </w:pPr>
            <w:r>
              <w:rPr>
                <w:color w:val="000000"/>
                <w:sz w:val="16"/>
                <w:szCs w:val="16"/>
              </w:rPr>
              <w:t>5.6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7DD070F5" w:rsidR="00F06A19" w:rsidRPr="00F87E34" w:rsidRDefault="00F06A19" w:rsidP="00F06A19">
            <w:pPr>
              <w:tabs>
                <w:tab w:val="decimal" w:pos="392"/>
              </w:tabs>
              <w:jc w:val="left"/>
              <w:rPr>
                <w:color w:val="000000"/>
                <w:sz w:val="16"/>
                <w:szCs w:val="16"/>
                <w:lang w:val="es-MX" w:eastAsia="es-MX"/>
              </w:rPr>
            </w:pPr>
            <w:r>
              <w:rPr>
                <w:color w:val="000000"/>
                <w:sz w:val="16"/>
                <w:szCs w:val="16"/>
              </w:rPr>
              <w:t>3.2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1AC8556E" w:rsidR="00F06A19" w:rsidRPr="00F87E34" w:rsidRDefault="00F06A19" w:rsidP="00F06A19">
            <w:pPr>
              <w:tabs>
                <w:tab w:val="decimal" w:pos="450"/>
              </w:tabs>
              <w:jc w:val="left"/>
              <w:rPr>
                <w:color w:val="000000"/>
                <w:sz w:val="16"/>
                <w:szCs w:val="16"/>
                <w:lang w:val="es-MX" w:eastAsia="es-MX"/>
              </w:rPr>
            </w:pPr>
            <w:r>
              <w:rPr>
                <w:color w:val="000000"/>
                <w:sz w:val="16"/>
                <w:szCs w:val="16"/>
              </w:rPr>
              <w:t>104.5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271B980E" w:rsidR="00F06A19" w:rsidRPr="00F87E34" w:rsidRDefault="00F06A19" w:rsidP="00F06A19">
            <w:pPr>
              <w:tabs>
                <w:tab w:val="decimal" w:pos="450"/>
              </w:tabs>
              <w:jc w:val="left"/>
              <w:rPr>
                <w:color w:val="000000"/>
                <w:sz w:val="16"/>
                <w:szCs w:val="16"/>
                <w:lang w:val="es-MX" w:eastAsia="es-MX"/>
              </w:rPr>
            </w:pPr>
            <w:r>
              <w:rPr>
                <w:color w:val="000000"/>
                <w:sz w:val="16"/>
                <w:szCs w:val="16"/>
              </w:rPr>
              <w:t>-77.7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1ED4ECAB" w:rsidR="00F06A19" w:rsidRPr="00F87E34" w:rsidRDefault="00F06A19" w:rsidP="00F06A19">
            <w:pPr>
              <w:tabs>
                <w:tab w:val="decimal" w:pos="450"/>
              </w:tabs>
              <w:jc w:val="left"/>
              <w:rPr>
                <w:color w:val="000000"/>
                <w:sz w:val="16"/>
                <w:szCs w:val="16"/>
                <w:lang w:val="es-MX" w:eastAsia="es-MX"/>
              </w:rPr>
            </w:pPr>
            <w:r>
              <w:rPr>
                <w:color w:val="000000"/>
                <w:sz w:val="16"/>
                <w:szCs w:val="16"/>
              </w:rPr>
              <w:t>-9.5</w:t>
            </w:r>
          </w:p>
        </w:tc>
      </w:tr>
      <w:tr w:rsidR="00F06A19" w:rsidRPr="00F87E34" w14:paraId="4F025BDA"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235B174D" w:rsidR="00F06A19" w:rsidRPr="00F87E34" w:rsidRDefault="00F06A19" w:rsidP="00F06A19">
            <w:pPr>
              <w:tabs>
                <w:tab w:val="decimal" w:pos="450"/>
              </w:tabs>
              <w:jc w:val="left"/>
              <w:rPr>
                <w:color w:val="000000"/>
                <w:sz w:val="16"/>
                <w:szCs w:val="16"/>
                <w:lang w:val="es-MX" w:eastAsia="es-MX"/>
              </w:rPr>
            </w:pPr>
            <w:r>
              <w:rPr>
                <w:color w:val="000000"/>
                <w:sz w:val="16"/>
                <w:szCs w:val="16"/>
              </w:rPr>
              <w:t>13.1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387FD9AE" w:rsidR="00F06A19" w:rsidRPr="00F87E34" w:rsidRDefault="00F06A19" w:rsidP="00F06A19">
            <w:pPr>
              <w:tabs>
                <w:tab w:val="decimal" w:pos="392"/>
              </w:tabs>
              <w:jc w:val="left"/>
              <w:rPr>
                <w:color w:val="000000"/>
                <w:sz w:val="16"/>
                <w:szCs w:val="16"/>
                <w:lang w:val="es-MX" w:eastAsia="es-MX"/>
              </w:rPr>
            </w:pPr>
            <w:r>
              <w:rPr>
                <w:color w:val="000000"/>
                <w:sz w:val="16"/>
                <w:szCs w:val="16"/>
              </w:rPr>
              <w:t>2.2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6733702B" w:rsidR="00F06A19" w:rsidRPr="00F87E34" w:rsidRDefault="00F06A19" w:rsidP="00F06A19">
            <w:pPr>
              <w:tabs>
                <w:tab w:val="decimal" w:pos="450"/>
              </w:tabs>
              <w:jc w:val="left"/>
              <w:rPr>
                <w:color w:val="000000"/>
                <w:sz w:val="16"/>
                <w:szCs w:val="16"/>
                <w:lang w:val="es-MX" w:eastAsia="es-MX"/>
              </w:rPr>
            </w:pPr>
            <w:r>
              <w:rPr>
                <w:color w:val="000000"/>
                <w:sz w:val="16"/>
                <w:szCs w:val="16"/>
              </w:rPr>
              <w:t>34.8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6052A428" w:rsidR="00F06A19" w:rsidRPr="00F87E34" w:rsidRDefault="00F06A19" w:rsidP="00F06A19">
            <w:pPr>
              <w:tabs>
                <w:tab w:val="decimal" w:pos="450"/>
              </w:tabs>
              <w:jc w:val="left"/>
              <w:rPr>
                <w:color w:val="000000"/>
                <w:sz w:val="16"/>
                <w:szCs w:val="16"/>
                <w:lang w:val="es-MX" w:eastAsia="es-MX"/>
              </w:rPr>
            </w:pPr>
            <w:r>
              <w:rPr>
                <w:color w:val="000000"/>
                <w:sz w:val="16"/>
                <w:szCs w:val="16"/>
              </w:rPr>
              <w:t>-68.4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400DE6C0" w:rsidR="00F06A19" w:rsidRPr="00F87E34" w:rsidRDefault="00F06A19" w:rsidP="00F06A19">
            <w:pPr>
              <w:tabs>
                <w:tab w:val="decimal" w:pos="450"/>
              </w:tabs>
              <w:jc w:val="left"/>
              <w:rPr>
                <w:color w:val="000000"/>
                <w:sz w:val="16"/>
                <w:szCs w:val="16"/>
                <w:lang w:val="es-MX" w:eastAsia="es-MX"/>
              </w:rPr>
            </w:pPr>
            <w:r>
              <w:rPr>
                <w:color w:val="000000"/>
                <w:sz w:val="16"/>
                <w:szCs w:val="16"/>
              </w:rPr>
              <w:t>-2.5</w:t>
            </w:r>
          </w:p>
        </w:tc>
      </w:tr>
      <w:tr w:rsidR="00F06A19" w:rsidRPr="00F87E34" w14:paraId="072391FF" w14:textId="77777777" w:rsidTr="00F06A19">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4C046903" w:rsidR="00F06A19" w:rsidRPr="00F87E34" w:rsidRDefault="00F06A19" w:rsidP="00F06A19">
            <w:pPr>
              <w:tabs>
                <w:tab w:val="decimal" w:pos="450"/>
              </w:tabs>
              <w:jc w:val="left"/>
              <w:rPr>
                <w:color w:val="000000"/>
                <w:sz w:val="16"/>
                <w:szCs w:val="16"/>
                <w:lang w:val="es-MX" w:eastAsia="es-MX"/>
              </w:rPr>
            </w:pPr>
            <w:r>
              <w:rPr>
                <w:color w:val="000000"/>
                <w:sz w:val="16"/>
                <w:szCs w:val="16"/>
              </w:rPr>
              <w:t>10.0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33116910" w:rsidR="00F06A19" w:rsidRPr="00F87E34" w:rsidRDefault="00F06A19" w:rsidP="00F06A19">
            <w:pPr>
              <w:tabs>
                <w:tab w:val="decimal" w:pos="392"/>
              </w:tabs>
              <w:jc w:val="left"/>
              <w:rPr>
                <w:color w:val="000000"/>
                <w:sz w:val="16"/>
                <w:szCs w:val="16"/>
                <w:lang w:val="es-MX" w:eastAsia="es-MX"/>
              </w:rPr>
            </w:pPr>
            <w:r>
              <w:rPr>
                <w:color w:val="000000"/>
                <w:sz w:val="16"/>
                <w:szCs w:val="16"/>
              </w:rPr>
              <w:t>4.7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797A1788" w:rsidR="00F06A19" w:rsidRPr="00F87E34" w:rsidRDefault="00F06A19" w:rsidP="00F06A19">
            <w:pPr>
              <w:tabs>
                <w:tab w:val="decimal" w:pos="450"/>
              </w:tabs>
              <w:jc w:val="left"/>
              <w:rPr>
                <w:color w:val="000000"/>
                <w:sz w:val="16"/>
                <w:szCs w:val="16"/>
                <w:lang w:val="es-MX" w:eastAsia="es-MX"/>
              </w:rPr>
            </w:pPr>
            <w:r>
              <w:rPr>
                <w:color w:val="000000"/>
                <w:sz w:val="16"/>
                <w:szCs w:val="16"/>
              </w:rPr>
              <w:t>50.0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16BE0737" w:rsidR="00F06A19" w:rsidRPr="00F87E34" w:rsidRDefault="00F06A19" w:rsidP="00F06A19">
            <w:pPr>
              <w:tabs>
                <w:tab w:val="decimal" w:pos="450"/>
              </w:tabs>
              <w:jc w:val="left"/>
              <w:rPr>
                <w:color w:val="000000"/>
                <w:sz w:val="16"/>
                <w:szCs w:val="16"/>
                <w:lang w:val="es-MX" w:eastAsia="es-MX"/>
              </w:rPr>
            </w:pPr>
            <w:r>
              <w:rPr>
                <w:color w:val="000000"/>
                <w:sz w:val="16"/>
                <w:szCs w:val="16"/>
              </w:rPr>
              <w:t>-70.5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6F98E6BF" w:rsidR="00F06A19" w:rsidRPr="00F87E34" w:rsidRDefault="00F06A19" w:rsidP="00F06A19">
            <w:pPr>
              <w:tabs>
                <w:tab w:val="decimal" w:pos="450"/>
              </w:tabs>
              <w:jc w:val="left"/>
              <w:rPr>
                <w:color w:val="000000"/>
                <w:sz w:val="16"/>
                <w:szCs w:val="16"/>
                <w:lang w:val="es-MX" w:eastAsia="es-MX"/>
              </w:rPr>
            </w:pPr>
            <w:r>
              <w:rPr>
                <w:color w:val="000000"/>
                <w:sz w:val="16"/>
                <w:szCs w:val="16"/>
              </w:rPr>
              <w:t>-2.1</w:t>
            </w:r>
          </w:p>
        </w:tc>
      </w:tr>
      <w:tr w:rsidR="00F06A19" w:rsidRPr="00F87E34" w14:paraId="72DBA81D"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410D3328" w:rsidR="00F06A19" w:rsidRPr="00F87E34" w:rsidRDefault="00F06A19" w:rsidP="00F06A19">
            <w:pPr>
              <w:tabs>
                <w:tab w:val="decimal" w:pos="450"/>
              </w:tabs>
              <w:jc w:val="left"/>
              <w:rPr>
                <w:color w:val="000000"/>
                <w:sz w:val="16"/>
                <w:szCs w:val="16"/>
                <w:lang w:val="es-MX" w:eastAsia="es-MX"/>
              </w:rPr>
            </w:pPr>
            <w:r>
              <w:rPr>
                <w:color w:val="000000"/>
                <w:sz w:val="16"/>
                <w:szCs w:val="16"/>
              </w:rPr>
              <w:t>5.4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1DE79B97" w:rsidR="00F06A19" w:rsidRPr="00F87E34" w:rsidRDefault="00F06A19" w:rsidP="00F06A19">
            <w:pPr>
              <w:tabs>
                <w:tab w:val="decimal" w:pos="392"/>
              </w:tabs>
              <w:jc w:val="left"/>
              <w:rPr>
                <w:color w:val="000000"/>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52F6A251" w:rsidR="00F06A19" w:rsidRPr="00F87E34" w:rsidRDefault="00F06A19" w:rsidP="00F06A19">
            <w:pPr>
              <w:tabs>
                <w:tab w:val="decimal" w:pos="450"/>
              </w:tabs>
              <w:jc w:val="left"/>
              <w:rPr>
                <w:color w:val="000000"/>
                <w:sz w:val="16"/>
                <w:szCs w:val="16"/>
                <w:lang w:val="es-MX" w:eastAsia="es-MX"/>
              </w:rPr>
            </w:pPr>
            <w:r>
              <w:rPr>
                <w:color w:val="000000"/>
                <w:sz w:val="16"/>
                <w:szCs w:val="16"/>
              </w:rPr>
              <w:t>36.2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41B5A954" w:rsidR="00F06A19" w:rsidRPr="00F87E34" w:rsidRDefault="00F06A19" w:rsidP="00F06A19">
            <w:pPr>
              <w:tabs>
                <w:tab w:val="decimal" w:pos="450"/>
              </w:tabs>
              <w:jc w:val="left"/>
              <w:rPr>
                <w:color w:val="000000"/>
                <w:sz w:val="16"/>
                <w:szCs w:val="16"/>
                <w:lang w:val="es-MX" w:eastAsia="es-MX"/>
              </w:rPr>
            </w:pPr>
            <w:r>
              <w:rPr>
                <w:color w:val="000000"/>
                <w:sz w:val="16"/>
                <w:szCs w:val="16"/>
              </w:rPr>
              <w:t>-74.4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08501F5C" w:rsidR="00F06A19" w:rsidRPr="00F87E34" w:rsidRDefault="00F06A19" w:rsidP="00F06A19">
            <w:pPr>
              <w:tabs>
                <w:tab w:val="decimal" w:pos="450"/>
              </w:tabs>
              <w:jc w:val="left"/>
              <w:rPr>
                <w:color w:val="000000"/>
                <w:sz w:val="16"/>
                <w:szCs w:val="16"/>
                <w:lang w:val="es-MX" w:eastAsia="es-MX"/>
              </w:rPr>
            </w:pPr>
            <w:r>
              <w:rPr>
                <w:color w:val="000000"/>
                <w:sz w:val="16"/>
                <w:szCs w:val="16"/>
              </w:rPr>
              <w:t>-0.5</w:t>
            </w:r>
          </w:p>
        </w:tc>
      </w:tr>
      <w:tr w:rsidR="00F06A19" w:rsidRPr="00F87E34" w14:paraId="2D6F710B" w14:textId="77777777" w:rsidTr="00F06A19">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33579154" w:rsidR="00F06A19" w:rsidRPr="00F87E34" w:rsidRDefault="00F06A19" w:rsidP="00F06A19">
            <w:pPr>
              <w:tabs>
                <w:tab w:val="decimal" w:pos="450"/>
              </w:tabs>
              <w:jc w:val="left"/>
              <w:rPr>
                <w:color w:val="000000"/>
                <w:sz w:val="16"/>
                <w:szCs w:val="16"/>
                <w:lang w:val="es-MX" w:eastAsia="es-MX"/>
              </w:rPr>
            </w:pPr>
            <w:r>
              <w:rPr>
                <w:color w:val="000000"/>
                <w:sz w:val="16"/>
                <w:szCs w:val="16"/>
              </w:rPr>
              <w:t>-5.3</w:t>
            </w:r>
          </w:p>
        </w:tc>
        <w:tc>
          <w:tcPr>
            <w:tcW w:w="882" w:type="dxa"/>
            <w:tcBorders>
              <w:top w:val="dotted" w:sz="6" w:space="0" w:color="C2D69B" w:themeColor="accent3" w:themeTint="99"/>
              <w:left w:val="nil"/>
              <w:right w:val="nil"/>
            </w:tcBorders>
            <w:shd w:val="clear" w:color="auto" w:fill="auto"/>
            <w:vAlign w:val="center"/>
            <w:hideMark/>
          </w:tcPr>
          <w:p w14:paraId="3394A994" w14:textId="5CBAD544" w:rsidR="00F06A19" w:rsidRPr="00F87E34" w:rsidRDefault="00F06A19" w:rsidP="00F06A19">
            <w:pPr>
              <w:tabs>
                <w:tab w:val="decimal" w:pos="392"/>
              </w:tabs>
              <w:jc w:val="left"/>
              <w:rPr>
                <w:color w:val="000000"/>
                <w:sz w:val="16"/>
                <w:szCs w:val="16"/>
                <w:lang w:val="es-MX" w:eastAsia="es-MX"/>
              </w:rPr>
            </w:pPr>
            <w:r>
              <w:rPr>
                <w:color w:val="000000"/>
                <w:sz w:val="16"/>
                <w:szCs w:val="16"/>
              </w:rPr>
              <w:t>9.1</w:t>
            </w:r>
          </w:p>
        </w:tc>
        <w:tc>
          <w:tcPr>
            <w:tcW w:w="910" w:type="dxa"/>
            <w:tcBorders>
              <w:top w:val="dotted" w:sz="6" w:space="0" w:color="C2D69B" w:themeColor="accent3" w:themeTint="99"/>
              <w:left w:val="nil"/>
              <w:right w:val="nil"/>
            </w:tcBorders>
            <w:shd w:val="clear" w:color="auto" w:fill="auto"/>
            <w:vAlign w:val="center"/>
            <w:hideMark/>
          </w:tcPr>
          <w:p w14:paraId="693A602A" w14:textId="0A07E17A" w:rsidR="00F06A19" w:rsidRPr="00F87E34" w:rsidRDefault="00F06A19" w:rsidP="00F06A19">
            <w:pPr>
              <w:tabs>
                <w:tab w:val="decimal" w:pos="450"/>
              </w:tabs>
              <w:jc w:val="left"/>
              <w:rPr>
                <w:color w:val="000000"/>
                <w:sz w:val="16"/>
                <w:szCs w:val="16"/>
                <w:lang w:val="es-MX" w:eastAsia="es-MX"/>
              </w:rPr>
            </w:pPr>
            <w:r>
              <w:rPr>
                <w:color w:val="000000"/>
                <w:sz w:val="16"/>
                <w:szCs w:val="16"/>
              </w:rPr>
              <w:t>134.1</w:t>
            </w:r>
          </w:p>
        </w:tc>
        <w:tc>
          <w:tcPr>
            <w:tcW w:w="952" w:type="dxa"/>
            <w:tcBorders>
              <w:top w:val="dotted" w:sz="6" w:space="0" w:color="C2D69B" w:themeColor="accent3" w:themeTint="99"/>
              <w:left w:val="nil"/>
              <w:right w:val="nil"/>
            </w:tcBorders>
            <w:shd w:val="clear" w:color="auto" w:fill="auto"/>
            <w:vAlign w:val="center"/>
            <w:hideMark/>
          </w:tcPr>
          <w:p w14:paraId="7F881D72" w14:textId="20EF6548" w:rsidR="00F06A19" w:rsidRPr="00F87E34" w:rsidRDefault="00F06A19" w:rsidP="00F06A19">
            <w:pPr>
              <w:tabs>
                <w:tab w:val="decimal" w:pos="450"/>
              </w:tabs>
              <w:jc w:val="left"/>
              <w:rPr>
                <w:color w:val="000000"/>
                <w:sz w:val="16"/>
                <w:szCs w:val="16"/>
                <w:lang w:val="es-MX" w:eastAsia="es-MX"/>
              </w:rPr>
            </w:pPr>
            <w:r>
              <w:rPr>
                <w:color w:val="000000"/>
                <w:sz w:val="16"/>
                <w:szCs w:val="16"/>
              </w:rPr>
              <w:t>-97.2</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6577BADD" w:rsidR="00F06A19" w:rsidRPr="00F87E34" w:rsidRDefault="00F06A19" w:rsidP="00F06A19">
            <w:pPr>
              <w:tabs>
                <w:tab w:val="decimal" w:pos="450"/>
              </w:tabs>
              <w:jc w:val="left"/>
              <w:rPr>
                <w:color w:val="000000"/>
                <w:sz w:val="16"/>
                <w:szCs w:val="16"/>
                <w:lang w:val="es-MX" w:eastAsia="es-MX"/>
              </w:rPr>
            </w:pPr>
            <w:r>
              <w:rPr>
                <w:color w:val="000000"/>
                <w:sz w:val="16"/>
                <w:szCs w:val="16"/>
              </w:rPr>
              <w:t>-20.1</w:t>
            </w:r>
          </w:p>
        </w:tc>
      </w:tr>
      <w:tr w:rsidR="00F06A19" w:rsidRPr="00F87E34" w14:paraId="6735D5AA" w14:textId="77777777" w:rsidTr="00F06A19">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F06A19" w:rsidRPr="00F87E34" w:rsidRDefault="00F06A19" w:rsidP="00F06A19">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F06A19" w:rsidRPr="00F87E34" w:rsidRDefault="00F06A19" w:rsidP="00F06A19">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26B35396"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6.4</w:t>
            </w:r>
          </w:p>
        </w:tc>
        <w:tc>
          <w:tcPr>
            <w:tcW w:w="882" w:type="dxa"/>
            <w:tcBorders>
              <w:left w:val="nil"/>
              <w:right w:val="nil"/>
            </w:tcBorders>
            <w:shd w:val="clear" w:color="auto" w:fill="EAF1DD" w:themeFill="accent3" w:themeFillTint="33"/>
            <w:vAlign w:val="center"/>
            <w:hideMark/>
          </w:tcPr>
          <w:p w14:paraId="7E35A140" w14:textId="67A2D2C2" w:rsidR="00F06A19" w:rsidRPr="00F87E34" w:rsidRDefault="00F06A19" w:rsidP="00F06A19">
            <w:pPr>
              <w:tabs>
                <w:tab w:val="decimal" w:pos="392"/>
              </w:tabs>
              <w:jc w:val="left"/>
              <w:rPr>
                <w:b/>
                <w:bCs/>
                <w:color w:val="000000"/>
                <w:sz w:val="16"/>
                <w:szCs w:val="16"/>
                <w:lang w:val="es-MX" w:eastAsia="es-MX"/>
              </w:rPr>
            </w:pPr>
            <w:r>
              <w:rPr>
                <w:b/>
                <w:bCs/>
                <w:color w:val="000000"/>
                <w:sz w:val="16"/>
                <w:szCs w:val="16"/>
              </w:rPr>
              <w:t>-1.3</w:t>
            </w:r>
          </w:p>
        </w:tc>
        <w:tc>
          <w:tcPr>
            <w:tcW w:w="910" w:type="dxa"/>
            <w:tcBorders>
              <w:left w:val="nil"/>
              <w:right w:val="nil"/>
            </w:tcBorders>
            <w:shd w:val="clear" w:color="auto" w:fill="EAF1DD" w:themeFill="accent3" w:themeFillTint="33"/>
            <w:vAlign w:val="center"/>
            <w:hideMark/>
          </w:tcPr>
          <w:p w14:paraId="6A781A5F" w14:textId="77B7AB01"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13.9</w:t>
            </w:r>
          </w:p>
        </w:tc>
        <w:tc>
          <w:tcPr>
            <w:tcW w:w="952" w:type="dxa"/>
            <w:tcBorders>
              <w:left w:val="nil"/>
              <w:right w:val="nil"/>
            </w:tcBorders>
            <w:shd w:val="clear" w:color="auto" w:fill="EAF1DD" w:themeFill="accent3" w:themeFillTint="33"/>
            <w:vAlign w:val="center"/>
            <w:hideMark/>
          </w:tcPr>
          <w:p w14:paraId="1C988DC0" w14:textId="0E35B21E"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-67.8</w:t>
            </w:r>
          </w:p>
        </w:tc>
        <w:tc>
          <w:tcPr>
            <w:tcW w:w="987" w:type="dxa"/>
            <w:tcBorders>
              <w:left w:val="nil"/>
              <w:right w:val="single" w:sz="8" w:space="0" w:color="262626"/>
            </w:tcBorders>
            <w:shd w:val="clear" w:color="auto" w:fill="EAF1DD" w:themeFill="accent3" w:themeFillTint="33"/>
            <w:vAlign w:val="center"/>
            <w:hideMark/>
          </w:tcPr>
          <w:p w14:paraId="2382AD0F" w14:textId="1A6728E2" w:rsidR="00F06A19" w:rsidRPr="00F87E34" w:rsidRDefault="00F06A19" w:rsidP="00F06A19">
            <w:pPr>
              <w:tabs>
                <w:tab w:val="decimal" w:pos="450"/>
              </w:tabs>
              <w:jc w:val="left"/>
              <w:rPr>
                <w:b/>
                <w:bCs/>
                <w:color w:val="000000"/>
                <w:sz w:val="16"/>
                <w:szCs w:val="16"/>
                <w:lang w:val="es-MX" w:eastAsia="es-MX"/>
              </w:rPr>
            </w:pPr>
            <w:r>
              <w:rPr>
                <w:b/>
                <w:bCs/>
                <w:color w:val="000000"/>
                <w:sz w:val="16"/>
                <w:szCs w:val="16"/>
              </w:rPr>
              <w:t>4.5</w:t>
            </w:r>
          </w:p>
        </w:tc>
      </w:tr>
      <w:tr w:rsidR="00F06A19" w:rsidRPr="00F87E34" w14:paraId="32848E11" w14:textId="77777777" w:rsidTr="00F06A19">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21FFDE95" w:rsidR="00F06A19" w:rsidRPr="00F87E34" w:rsidRDefault="00F06A19" w:rsidP="00F06A19">
            <w:pPr>
              <w:tabs>
                <w:tab w:val="decimal" w:pos="450"/>
              </w:tabs>
              <w:jc w:val="left"/>
              <w:rPr>
                <w:color w:val="000000"/>
                <w:sz w:val="16"/>
                <w:szCs w:val="16"/>
                <w:lang w:val="es-MX" w:eastAsia="es-MX"/>
              </w:rPr>
            </w:pPr>
            <w:r>
              <w:rPr>
                <w:color w:val="000000"/>
                <w:sz w:val="16"/>
                <w:szCs w:val="16"/>
              </w:rPr>
              <w:t>-3.4</w:t>
            </w:r>
          </w:p>
        </w:tc>
        <w:tc>
          <w:tcPr>
            <w:tcW w:w="882" w:type="dxa"/>
            <w:tcBorders>
              <w:left w:val="nil"/>
              <w:bottom w:val="dotted" w:sz="6" w:space="0" w:color="C2D69B" w:themeColor="accent3" w:themeTint="99"/>
              <w:right w:val="nil"/>
            </w:tcBorders>
            <w:shd w:val="clear" w:color="auto" w:fill="auto"/>
            <w:vAlign w:val="center"/>
            <w:hideMark/>
          </w:tcPr>
          <w:p w14:paraId="12198429" w14:textId="697E64C2" w:rsidR="00F06A19" w:rsidRPr="00F87E34" w:rsidRDefault="00F06A19" w:rsidP="00F06A19">
            <w:pPr>
              <w:tabs>
                <w:tab w:val="decimal" w:pos="392"/>
              </w:tabs>
              <w:jc w:val="left"/>
              <w:rPr>
                <w:color w:val="000000"/>
                <w:sz w:val="16"/>
                <w:szCs w:val="16"/>
                <w:lang w:val="es-MX" w:eastAsia="es-MX"/>
              </w:rPr>
            </w:pPr>
            <w:r>
              <w:rPr>
                <w:color w:val="000000"/>
                <w:sz w:val="16"/>
                <w:szCs w:val="16"/>
              </w:rPr>
              <w:t>-5.0</w:t>
            </w:r>
          </w:p>
        </w:tc>
        <w:tc>
          <w:tcPr>
            <w:tcW w:w="910" w:type="dxa"/>
            <w:tcBorders>
              <w:left w:val="nil"/>
              <w:bottom w:val="dotted" w:sz="6" w:space="0" w:color="C2D69B" w:themeColor="accent3" w:themeTint="99"/>
              <w:right w:val="nil"/>
            </w:tcBorders>
            <w:shd w:val="clear" w:color="auto" w:fill="auto"/>
            <w:vAlign w:val="center"/>
            <w:hideMark/>
          </w:tcPr>
          <w:p w14:paraId="77EFC540" w14:textId="777F7AA4" w:rsidR="00F06A19" w:rsidRPr="00F87E34" w:rsidRDefault="00F06A19" w:rsidP="00F06A19">
            <w:pPr>
              <w:tabs>
                <w:tab w:val="decimal" w:pos="450"/>
              </w:tabs>
              <w:jc w:val="left"/>
              <w:rPr>
                <w:color w:val="000000"/>
                <w:sz w:val="16"/>
                <w:szCs w:val="16"/>
                <w:lang w:val="es-MX" w:eastAsia="es-MX"/>
              </w:rPr>
            </w:pPr>
            <w:r>
              <w:rPr>
                <w:color w:val="000000"/>
                <w:sz w:val="16"/>
                <w:szCs w:val="16"/>
              </w:rPr>
              <w:t>-4.6</w:t>
            </w:r>
          </w:p>
        </w:tc>
        <w:tc>
          <w:tcPr>
            <w:tcW w:w="952" w:type="dxa"/>
            <w:tcBorders>
              <w:left w:val="nil"/>
              <w:bottom w:val="dotted" w:sz="6" w:space="0" w:color="C2D69B" w:themeColor="accent3" w:themeTint="99"/>
              <w:right w:val="nil"/>
            </w:tcBorders>
            <w:shd w:val="clear" w:color="auto" w:fill="auto"/>
            <w:vAlign w:val="center"/>
            <w:hideMark/>
          </w:tcPr>
          <w:p w14:paraId="446F1678" w14:textId="7E8A60E7" w:rsidR="00F06A19" w:rsidRPr="00F87E34" w:rsidRDefault="00F06A19" w:rsidP="00F06A19">
            <w:pPr>
              <w:tabs>
                <w:tab w:val="decimal" w:pos="450"/>
              </w:tabs>
              <w:jc w:val="left"/>
              <w:rPr>
                <w:color w:val="000000"/>
                <w:sz w:val="16"/>
                <w:szCs w:val="16"/>
                <w:lang w:val="es-MX" w:eastAsia="es-MX"/>
              </w:rPr>
            </w:pPr>
            <w:r>
              <w:rPr>
                <w:color w:val="000000"/>
                <w:sz w:val="16"/>
                <w:szCs w:val="16"/>
              </w:rPr>
              <w:t>-51.4</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3234678B" w:rsidR="00F06A19" w:rsidRPr="00F87E34" w:rsidRDefault="00F06A19" w:rsidP="00F06A19">
            <w:pPr>
              <w:tabs>
                <w:tab w:val="decimal" w:pos="450"/>
              </w:tabs>
              <w:jc w:val="left"/>
              <w:rPr>
                <w:color w:val="000000"/>
                <w:sz w:val="16"/>
                <w:szCs w:val="16"/>
                <w:lang w:val="es-MX" w:eastAsia="es-MX"/>
              </w:rPr>
            </w:pPr>
            <w:r>
              <w:rPr>
                <w:color w:val="000000"/>
                <w:sz w:val="16"/>
                <w:szCs w:val="16"/>
              </w:rPr>
              <w:t>-2.4</w:t>
            </w:r>
          </w:p>
        </w:tc>
      </w:tr>
      <w:tr w:rsidR="00F06A19" w:rsidRPr="00F87E34" w14:paraId="5C58B343" w14:textId="77777777" w:rsidTr="00F06A19">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668B55C1" w:rsidR="00F06A19" w:rsidRPr="00F87E34" w:rsidRDefault="00F06A19" w:rsidP="00F06A19">
            <w:pPr>
              <w:tabs>
                <w:tab w:val="decimal" w:pos="450"/>
              </w:tabs>
              <w:jc w:val="left"/>
              <w:rPr>
                <w:color w:val="000000"/>
                <w:sz w:val="16"/>
                <w:szCs w:val="16"/>
                <w:lang w:val="es-MX" w:eastAsia="es-MX"/>
              </w:rPr>
            </w:pPr>
            <w:r>
              <w:rPr>
                <w:color w:val="000000"/>
                <w:sz w:val="16"/>
                <w:szCs w:val="16"/>
              </w:rPr>
              <w:t>7.0</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7B15B58A" w:rsidR="00F06A19" w:rsidRPr="00F87E34" w:rsidRDefault="00F06A19" w:rsidP="00F06A19">
            <w:pPr>
              <w:tabs>
                <w:tab w:val="decimal" w:pos="392"/>
              </w:tabs>
              <w:jc w:val="left"/>
              <w:rPr>
                <w:color w:val="000000"/>
                <w:sz w:val="16"/>
                <w:szCs w:val="16"/>
                <w:lang w:val="es-MX" w:eastAsia="es-MX"/>
              </w:rPr>
            </w:pPr>
            <w:r>
              <w:rPr>
                <w:color w:val="000000"/>
                <w:sz w:val="16"/>
                <w:szCs w:val="16"/>
              </w:rPr>
              <w:t>3.3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2A68F857" w:rsidR="00F06A19" w:rsidRPr="00F87E34" w:rsidRDefault="00F06A19" w:rsidP="00F06A19">
            <w:pPr>
              <w:tabs>
                <w:tab w:val="decimal" w:pos="450"/>
              </w:tabs>
              <w:jc w:val="left"/>
              <w:rPr>
                <w:color w:val="000000"/>
                <w:sz w:val="16"/>
                <w:szCs w:val="16"/>
                <w:lang w:val="es-MX" w:eastAsia="es-MX"/>
              </w:rPr>
            </w:pPr>
            <w:r>
              <w:rPr>
                <w:color w:val="000000"/>
                <w:sz w:val="16"/>
                <w:szCs w:val="16"/>
              </w:rPr>
              <w:t>121.2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1C9ACE88" w:rsidR="00F06A19" w:rsidRPr="00F87E34" w:rsidRDefault="00F06A19" w:rsidP="00F06A19">
            <w:pPr>
              <w:tabs>
                <w:tab w:val="decimal" w:pos="450"/>
              </w:tabs>
              <w:jc w:val="left"/>
              <w:rPr>
                <w:color w:val="000000"/>
                <w:sz w:val="16"/>
                <w:szCs w:val="16"/>
                <w:lang w:val="es-MX" w:eastAsia="es-MX"/>
              </w:rPr>
            </w:pPr>
            <w:r>
              <w:rPr>
                <w:color w:val="000000"/>
                <w:sz w:val="16"/>
                <w:szCs w:val="16"/>
              </w:rPr>
              <w:t>-77.7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5278FE81" w:rsidR="00F06A19" w:rsidRPr="00F87E34" w:rsidRDefault="00F06A19" w:rsidP="00F06A19">
            <w:pPr>
              <w:tabs>
                <w:tab w:val="decimal" w:pos="450"/>
              </w:tabs>
              <w:jc w:val="left"/>
              <w:rPr>
                <w:color w:val="000000"/>
                <w:sz w:val="16"/>
                <w:szCs w:val="16"/>
                <w:lang w:val="es-MX" w:eastAsia="es-MX"/>
              </w:rPr>
            </w:pPr>
            <w:r>
              <w:rPr>
                <w:color w:val="000000"/>
                <w:sz w:val="16"/>
                <w:szCs w:val="16"/>
              </w:rPr>
              <w:t>10.0</w:t>
            </w:r>
          </w:p>
        </w:tc>
      </w:tr>
      <w:tr w:rsidR="00F06A19" w:rsidRPr="00F87E34" w14:paraId="5A744CB7"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531AF019" w:rsidR="00F06A19" w:rsidRPr="00F87E34" w:rsidRDefault="00F06A19" w:rsidP="00F06A19">
            <w:pPr>
              <w:tabs>
                <w:tab w:val="decimal" w:pos="450"/>
              </w:tabs>
              <w:jc w:val="left"/>
              <w:rPr>
                <w:color w:val="000000"/>
                <w:sz w:val="16"/>
                <w:szCs w:val="16"/>
                <w:lang w:val="es-MX" w:eastAsia="es-MX"/>
              </w:rPr>
            </w:pPr>
            <w:r>
              <w:rPr>
                <w:color w:val="000000"/>
                <w:sz w:val="16"/>
                <w:szCs w:val="16"/>
              </w:rPr>
              <w:t>23.8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193DA17F" w:rsidR="00F06A19" w:rsidRPr="00F87E34" w:rsidRDefault="00F06A19" w:rsidP="00F06A19">
            <w:pPr>
              <w:tabs>
                <w:tab w:val="decimal" w:pos="392"/>
              </w:tabs>
              <w:jc w:val="left"/>
              <w:rPr>
                <w:color w:val="000000"/>
                <w:sz w:val="16"/>
                <w:szCs w:val="16"/>
                <w:lang w:val="es-MX" w:eastAsia="es-MX"/>
              </w:rPr>
            </w:pPr>
            <w:r>
              <w:rPr>
                <w:color w:val="000000"/>
                <w:sz w:val="16"/>
                <w:szCs w:val="16"/>
              </w:rPr>
              <w:t>-1.1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1DCA1865" w:rsidR="00F06A19" w:rsidRPr="00F87E34" w:rsidRDefault="00F06A19" w:rsidP="00F06A19">
            <w:pPr>
              <w:tabs>
                <w:tab w:val="decimal" w:pos="450"/>
              </w:tabs>
              <w:jc w:val="left"/>
              <w:rPr>
                <w:color w:val="000000"/>
                <w:sz w:val="16"/>
                <w:szCs w:val="16"/>
                <w:lang w:val="es-MX" w:eastAsia="es-MX"/>
              </w:rPr>
            </w:pPr>
            <w:r>
              <w:rPr>
                <w:color w:val="000000"/>
                <w:sz w:val="16"/>
                <w:szCs w:val="16"/>
              </w:rPr>
              <w:t>5.3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19EDA488" w:rsidR="00F06A19" w:rsidRPr="00F87E34" w:rsidRDefault="00F06A19" w:rsidP="00F06A19">
            <w:pPr>
              <w:tabs>
                <w:tab w:val="decimal" w:pos="450"/>
              </w:tabs>
              <w:jc w:val="left"/>
              <w:rPr>
                <w:color w:val="000000"/>
                <w:sz w:val="16"/>
                <w:szCs w:val="16"/>
                <w:lang w:val="es-MX" w:eastAsia="es-MX"/>
              </w:rPr>
            </w:pPr>
            <w:r>
              <w:rPr>
                <w:color w:val="000000"/>
                <w:sz w:val="16"/>
                <w:szCs w:val="16"/>
              </w:rPr>
              <w:t>-67.8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09C62CEA" w:rsidR="00F06A19" w:rsidRPr="00F87E34" w:rsidRDefault="00F06A19" w:rsidP="00F06A19">
            <w:pPr>
              <w:tabs>
                <w:tab w:val="decimal" w:pos="450"/>
              </w:tabs>
              <w:jc w:val="left"/>
              <w:rPr>
                <w:color w:val="000000"/>
                <w:sz w:val="16"/>
                <w:szCs w:val="16"/>
                <w:lang w:val="es-MX" w:eastAsia="es-MX"/>
              </w:rPr>
            </w:pPr>
            <w:r>
              <w:rPr>
                <w:color w:val="000000"/>
                <w:sz w:val="16"/>
                <w:szCs w:val="16"/>
              </w:rPr>
              <w:t>3.2</w:t>
            </w:r>
          </w:p>
        </w:tc>
      </w:tr>
      <w:tr w:rsidR="00F06A19" w:rsidRPr="00F87E34" w14:paraId="33215329" w14:textId="77777777" w:rsidTr="00F06A19">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6172690B" w:rsidR="00F06A19" w:rsidRPr="00F87E34" w:rsidRDefault="00F06A19" w:rsidP="00F06A19">
            <w:pPr>
              <w:tabs>
                <w:tab w:val="decimal" w:pos="450"/>
              </w:tabs>
              <w:jc w:val="left"/>
              <w:rPr>
                <w:color w:val="000000"/>
                <w:sz w:val="16"/>
                <w:szCs w:val="16"/>
                <w:lang w:val="es-MX" w:eastAsia="es-MX"/>
              </w:rPr>
            </w:pPr>
            <w:r>
              <w:rPr>
                <w:color w:val="000000"/>
                <w:sz w:val="16"/>
                <w:szCs w:val="16"/>
              </w:rPr>
              <w:t>2.6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6CF13A5F" w:rsidR="00F06A19" w:rsidRPr="00F87E34" w:rsidRDefault="00F06A19" w:rsidP="00F06A19">
            <w:pPr>
              <w:tabs>
                <w:tab w:val="decimal" w:pos="392"/>
              </w:tabs>
              <w:jc w:val="left"/>
              <w:rPr>
                <w:color w:val="000000"/>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6217434D" w:rsidR="00F06A19" w:rsidRPr="00F87E34" w:rsidRDefault="00F06A19" w:rsidP="00F06A19">
            <w:pPr>
              <w:tabs>
                <w:tab w:val="decimal" w:pos="450"/>
              </w:tabs>
              <w:jc w:val="left"/>
              <w:rPr>
                <w:color w:val="000000"/>
                <w:sz w:val="16"/>
                <w:szCs w:val="16"/>
                <w:lang w:val="es-MX" w:eastAsia="es-MX"/>
              </w:rPr>
            </w:pPr>
            <w:r>
              <w:rPr>
                <w:color w:val="000000"/>
                <w:sz w:val="16"/>
                <w:szCs w:val="16"/>
              </w:rPr>
              <w:t>4.0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4106FD21" w:rsidR="00F06A19" w:rsidRPr="00F87E34" w:rsidRDefault="00F06A19" w:rsidP="00F06A19">
            <w:pPr>
              <w:tabs>
                <w:tab w:val="decimal" w:pos="450"/>
              </w:tabs>
              <w:jc w:val="left"/>
              <w:rPr>
                <w:color w:val="000000"/>
                <w:sz w:val="16"/>
                <w:szCs w:val="16"/>
                <w:lang w:val="es-MX" w:eastAsia="es-MX"/>
              </w:rPr>
            </w:pPr>
            <w:r>
              <w:rPr>
                <w:color w:val="000000"/>
                <w:sz w:val="16"/>
                <w:szCs w:val="16"/>
              </w:rPr>
              <w:t>-22.7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0EC03E0E" w:rsidR="00F06A19" w:rsidRPr="00F87E34" w:rsidRDefault="00F06A19" w:rsidP="00F06A19">
            <w:pPr>
              <w:tabs>
                <w:tab w:val="decimal" w:pos="450"/>
              </w:tabs>
              <w:jc w:val="left"/>
              <w:rPr>
                <w:color w:val="000000"/>
                <w:sz w:val="16"/>
                <w:szCs w:val="16"/>
                <w:lang w:val="es-MX" w:eastAsia="es-MX"/>
              </w:rPr>
            </w:pPr>
            <w:r>
              <w:rPr>
                <w:color w:val="000000"/>
                <w:sz w:val="16"/>
                <w:szCs w:val="16"/>
              </w:rPr>
              <w:t>2.7</w:t>
            </w:r>
          </w:p>
        </w:tc>
      </w:tr>
      <w:tr w:rsidR="00F06A19" w:rsidRPr="00F87E34" w14:paraId="160D6936"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653F3E78" w:rsidR="00F06A19" w:rsidRPr="00F87E34" w:rsidRDefault="00F06A19" w:rsidP="00F06A19">
            <w:pPr>
              <w:tabs>
                <w:tab w:val="decimal" w:pos="450"/>
              </w:tabs>
              <w:jc w:val="left"/>
              <w:rPr>
                <w:color w:val="000000"/>
                <w:sz w:val="16"/>
                <w:szCs w:val="16"/>
                <w:lang w:val="es-MX" w:eastAsia="es-MX"/>
              </w:rPr>
            </w:pPr>
            <w:r>
              <w:rPr>
                <w:color w:val="000000"/>
                <w:sz w:val="16"/>
                <w:szCs w:val="16"/>
              </w:rPr>
              <w:t>10.9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7A794F56" w:rsidR="00F06A19" w:rsidRPr="00F87E34" w:rsidRDefault="00F06A19" w:rsidP="00F06A19">
            <w:pPr>
              <w:tabs>
                <w:tab w:val="decimal" w:pos="392"/>
              </w:tabs>
              <w:jc w:val="left"/>
              <w:rPr>
                <w:color w:val="000000"/>
                <w:sz w:val="16"/>
                <w:szCs w:val="16"/>
                <w:lang w:val="es-MX" w:eastAsia="es-MX"/>
              </w:rPr>
            </w:pPr>
            <w:r>
              <w:rPr>
                <w:color w:val="000000"/>
                <w:sz w:val="16"/>
                <w:szCs w:val="16"/>
              </w:rPr>
              <w:t>-1.4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74A126F8" w:rsidR="00F06A19" w:rsidRPr="00F87E34" w:rsidRDefault="00F06A19" w:rsidP="00F06A19">
            <w:pPr>
              <w:tabs>
                <w:tab w:val="decimal" w:pos="450"/>
              </w:tabs>
              <w:jc w:val="left"/>
              <w:rPr>
                <w:color w:val="000000"/>
                <w:sz w:val="16"/>
                <w:szCs w:val="16"/>
                <w:lang w:val="es-MX" w:eastAsia="es-MX"/>
              </w:rPr>
            </w:pPr>
            <w:r>
              <w:rPr>
                <w:color w:val="000000"/>
                <w:sz w:val="16"/>
                <w:szCs w:val="16"/>
              </w:rPr>
              <w:t>0.9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524242E1" w:rsidR="00F06A19" w:rsidRPr="00F87E34" w:rsidRDefault="00F06A19" w:rsidP="00F06A19">
            <w:pPr>
              <w:tabs>
                <w:tab w:val="decimal" w:pos="450"/>
              </w:tabs>
              <w:jc w:val="left"/>
              <w:rPr>
                <w:color w:val="000000"/>
                <w:sz w:val="16"/>
                <w:szCs w:val="16"/>
                <w:lang w:val="es-MX" w:eastAsia="es-MX"/>
              </w:rPr>
            </w:pPr>
            <w:r>
              <w:rPr>
                <w:color w:val="000000"/>
                <w:sz w:val="16"/>
                <w:szCs w:val="16"/>
              </w:rPr>
              <w:t>-47.4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22E9233A" w:rsidR="00F06A19" w:rsidRPr="00F87E34" w:rsidRDefault="00F06A19" w:rsidP="00F06A19">
            <w:pPr>
              <w:tabs>
                <w:tab w:val="decimal" w:pos="450"/>
              </w:tabs>
              <w:jc w:val="left"/>
              <w:rPr>
                <w:color w:val="000000"/>
                <w:sz w:val="16"/>
                <w:szCs w:val="16"/>
                <w:lang w:val="es-MX" w:eastAsia="es-MX"/>
              </w:rPr>
            </w:pPr>
            <w:r>
              <w:rPr>
                <w:color w:val="000000"/>
                <w:sz w:val="16"/>
                <w:szCs w:val="16"/>
              </w:rPr>
              <w:t>-1.0</w:t>
            </w:r>
          </w:p>
        </w:tc>
      </w:tr>
      <w:tr w:rsidR="00F06A19" w:rsidRPr="00F87E34" w14:paraId="2AA68ED6"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436BFDFD" w:rsidR="00F06A19" w:rsidRPr="00F87E34" w:rsidRDefault="00F06A19" w:rsidP="00F06A19">
            <w:pPr>
              <w:tabs>
                <w:tab w:val="decimal" w:pos="450"/>
              </w:tabs>
              <w:jc w:val="left"/>
              <w:rPr>
                <w:color w:val="000000"/>
                <w:sz w:val="16"/>
                <w:szCs w:val="16"/>
                <w:lang w:val="es-MX" w:eastAsia="es-MX"/>
              </w:rPr>
            </w:pPr>
            <w:r>
              <w:rPr>
                <w:color w:val="000000"/>
                <w:sz w:val="16"/>
                <w:szCs w:val="16"/>
              </w:rPr>
              <w:t>5.4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724A317B" w:rsidR="00F06A19" w:rsidRPr="00F87E34" w:rsidRDefault="00F06A19" w:rsidP="00F06A19">
            <w:pPr>
              <w:tabs>
                <w:tab w:val="decimal" w:pos="392"/>
              </w:tabs>
              <w:jc w:val="left"/>
              <w:rPr>
                <w:color w:val="000000"/>
                <w:sz w:val="16"/>
                <w:szCs w:val="16"/>
                <w:lang w:val="es-MX" w:eastAsia="es-MX"/>
              </w:rPr>
            </w:pPr>
            <w:r>
              <w:rPr>
                <w:color w:val="000000"/>
                <w:sz w:val="16"/>
                <w:szCs w:val="16"/>
              </w:rPr>
              <w:t>-3.9</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2DC64E65" w:rsidR="00F06A19" w:rsidRPr="00F87E34" w:rsidRDefault="00F06A19" w:rsidP="00F06A19">
            <w:pPr>
              <w:tabs>
                <w:tab w:val="decimal" w:pos="450"/>
              </w:tabs>
              <w:jc w:val="left"/>
              <w:rPr>
                <w:color w:val="000000"/>
                <w:sz w:val="16"/>
                <w:szCs w:val="16"/>
                <w:lang w:val="es-MX" w:eastAsia="es-MX"/>
              </w:rPr>
            </w:pPr>
            <w:r>
              <w:rPr>
                <w:color w:val="000000"/>
                <w:sz w:val="16"/>
                <w:szCs w:val="16"/>
              </w:rPr>
              <w:t>5.5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21B5CE5A" w:rsidR="00F06A19" w:rsidRPr="00F87E34" w:rsidRDefault="00F06A19" w:rsidP="00F06A19">
            <w:pPr>
              <w:tabs>
                <w:tab w:val="decimal" w:pos="450"/>
              </w:tabs>
              <w:jc w:val="left"/>
              <w:rPr>
                <w:color w:val="000000"/>
                <w:sz w:val="16"/>
                <w:szCs w:val="16"/>
                <w:lang w:val="es-MX" w:eastAsia="es-MX"/>
              </w:rPr>
            </w:pPr>
            <w:r>
              <w:rPr>
                <w:color w:val="000000"/>
                <w:sz w:val="16"/>
                <w:szCs w:val="16"/>
              </w:rPr>
              <w:t>-70.3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3ECFBB01" w:rsidR="00F06A19" w:rsidRPr="00F87E34" w:rsidRDefault="00F06A19" w:rsidP="00F06A19">
            <w:pPr>
              <w:tabs>
                <w:tab w:val="decimal" w:pos="450"/>
              </w:tabs>
              <w:jc w:val="left"/>
              <w:rPr>
                <w:color w:val="000000"/>
                <w:sz w:val="16"/>
                <w:szCs w:val="16"/>
                <w:lang w:val="es-MX" w:eastAsia="es-MX"/>
              </w:rPr>
            </w:pPr>
            <w:r>
              <w:rPr>
                <w:color w:val="000000"/>
                <w:sz w:val="16"/>
                <w:szCs w:val="16"/>
              </w:rPr>
              <w:t>2.2</w:t>
            </w:r>
          </w:p>
        </w:tc>
      </w:tr>
      <w:tr w:rsidR="00F06A19" w:rsidRPr="00F87E34" w14:paraId="2C70ACB2" w14:textId="77777777" w:rsidTr="00F06A19">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0DB4A98F" w:rsidR="00F06A19" w:rsidRPr="00F87E34" w:rsidRDefault="00F06A19" w:rsidP="00F06A19">
            <w:pPr>
              <w:tabs>
                <w:tab w:val="decimal" w:pos="450"/>
              </w:tabs>
              <w:jc w:val="left"/>
              <w:rPr>
                <w:color w:val="000000"/>
                <w:sz w:val="16"/>
                <w:szCs w:val="16"/>
                <w:lang w:val="es-MX" w:eastAsia="es-MX"/>
              </w:rPr>
            </w:pPr>
            <w:r>
              <w:rPr>
                <w:color w:val="000000"/>
                <w:sz w:val="16"/>
                <w:szCs w:val="16"/>
              </w:rPr>
              <w:t>4.6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455C8EDC" w:rsidR="00F06A19" w:rsidRPr="00F87E34" w:rsidRDefault="00F06A19" w:rsidP="00F06A19">
            <w:pPr>
              <w:tabs>
                <w:tab w:val="decimal" w:pos="392"/>
              </w:tabs>
              <w:jc w:val="left"/>
              <w:rPr>
                <w:color w:val="000000"/>
                <w:sz w:val="16"/>
                <w:szCs w:val="16"/>
                <w:lang w:val="es-MX" w:eastAsia="es-MX"/>
              </w:rPr>
            </w:pPr>
            <w:r>
              <w:rPr>
                <w:color w:val="000000"/>
                <w:sz w:val="16"/>
                <w:szCs w:val="16"/>
              </w:rPr>
              <w:t>2.1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04D20FF4" w:rsidR="00F06A19" w:rsidRPr="00F87E34" w:rsidRDefault="00F06A19" w:rsidP="00F06A19">
            <w:pPr>
              <w:tabs>
                <w:tab w:val="decimal" w:pos="450"/>
              </w:tabs>
              <w:jc w:val="left"/>
              <w:rPr>
                <w:color w:val="000000"/>
                <w:sz w:val="16"/>
                <w:szCs w:val="16"/>
                <w:lang w:val="es-MX" w:eastAsia="es-MX"/>
              </w:rPr>
            </w:pPr>
            <w:r>
              <w:rPr>
                <w:color w:val="000000"/>
                <w:sz w:val="16"/>
                <w:szCs w:val="16"/>
              </w:rPr>
              <w:t>6.2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5D2F1320" w:rsidR="00F06A19" w:rsidRPr="00F87E34" w:rsidRDefault="00F06A19" w:rsidP="00F06A19">
            <w:pPr>
              <w:tabs>
                <w:tab w:val="decimal" w:pos="450"/>
              </w:tabs>
              <w:jc w:val="left"/>
              <w:rPr>
                <w:color w:val="000000"/>
                <w:sz w:val="16"/>
                <w:szCs w:val="16"/>
                <w:lang w:val="es-MX" w:eastAsia="es-MX"/>
              </w:rPr>
            </w:pPr>
            <w:r>
              <w:rPr>
                <w:color w:val="000000"/>
                <w:sz w:val="16"/>
                <w:szCs w:val="16"/>
              </w:rPr>
              <w:t>-34.9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2AF37583" w:rsidR="00F06A19" w:rsidRPr="00F87E34" w:rsidRDefault="00F06A19" w:rsidP="00F06A19">
            <w:pPr>
              <w:tabs>
                <w:tab w:val="decimal" w:pos="450"/>
              </w:tabs>
              <w:jc w:val="left"/>
              <w:rPr>
                <w:color w:val="000000"/>
                <w:sz w:val="16"/>
                <w:szCs w:val="16"/>
                <w:lang w:val="es-MX" w:eastAsia="es-MX"/>
              </w:rPr>
            </w:pPr>
            <w:r>
              <w:rPr>
                <w:color w:val="000000"/>
                <w:sz w:val="16"/>
                <w:szCs w:val="16"/>
              </w:rPr>
              <w:t>-0.4</w:t>
            </w:r>
          </w:p>
        </w:tc>
      </w:tr>
      <w:tr w:rsidR="00F06A19" w:rsidRPr="00F87E34" w14:paraId="31AC8348" w14:textId="77777777" w:rsidTr="00F06A19">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0597C8F8" w:rsidR="00F06A19" w:rsidRPr="00F87E34" w:rsidRDefault="00F06A19" w:rsidP="00F06A19">
            <w:pPr>
              <w:tabs>
                <w:tab w:val="decimal" w:pos="450"/>
              </w:tabs>
              <w:jc w:val="left"/>
              <w:rPr>
                <w:color w:val="000000"/>
                <w:sz w:val="16"/>
                <w:szCs w:val="16"/>
                <w:lang w:val="es-MX" w:eastAsia="es-MX"/>
              </w:rPr>
            </w:pPr>
            <w:r>
              <w:rPr>
                <w:color w:val="000000"/>
                <w:sz w:val="16"/>
                <w:szCs w:val="16"/>
              </w:rPr>
              <w:t>8.9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0FA26F8A" w:rsidR="00F06A19" w:rsidRPr="00F87E34" w:rsidRDefault="00F06A19" w:rsidP="00F06A19">
            <w:pPr>
              <w:tabs>
                <w:tab w:val="decimal" w:pos="392"/>
              </w:tabs>
              <w:jc w:val="left"/>
              <w:rPr>
                <w:color w:val="000000"/>
                <w:sz w:val="16"/>
                <w:szCs w:val="16"/>
                <w:lang w:val="es-MX" w:eastAsia="es-MX"/>
              </w:rPr>
            </w:pPr>
            <w:r>
              <w:rPr>
                <w:color w:val="000000"/>
                <w:sz w:val="16"/>
                <w:szCs w:val="16"/>
              </w:rPr>
              <w:t>-0.4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6F79C715" w:rsidR="00F06A19" w:rsidRPr="00F87E34" w:rsidRDefault="00F06A19" w:rsidP="00F06A19">
            <w:pPr>
              <w:tabs>
                <w:tab w:val="decimal" w:pos="450"/>
              </w:tabs>
              <w:jc w:val="left"/>
              <w:rPr>
                <w:color w:val="000000"/>
                <w:sz w:val="16"/>
                <w:szCs w:val="16"/>
                <w:lang w:val="es-MX" w:eastAsia="es-MX"/>
              </w:rPr>
            </w:pPr>
            <w:r>
              <w:rPr>
                <w:color w:val="000000"/>
                <w:sz w:val="16"/>
                <w:szCs w:val="16"/>
              </w:rPr>
              <w:t>23.8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391C9AA6" w:rsidR="00F06A19" w:rsidRPr="00F87E34" w:rsidRDefault="00F06A19" w:rsidP="00F06A19">
            <w:pPr>
              <w:tabs>
                <w:tab w:val="decimal" w:pos="450"/>
              </w:tabs>
              <w:jc w:val="left"/>
              <w:rPr>
                <w:color w:val="000000"/>
                <w:sz w:val="16"/>
                <w:szCs w:val="16"/>
                <w:lang w:val="es-MX" w:eastAsia="es-MX"/>
              </w:rPr>
            </w:pPr>
            <w:r>
              <w:rPr>
                <w:color w:val="000000"/>
                <w:sz w:val="16"/>
                <w:szCs w:val="16"/>
              </w:rPr>
              <w:t>-59.4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6C6FFA46" w:rsidR="00F06A19" w:rsidRPr="00F87E34" w:rsidRDefault="00F06A19" w:rsidP="00F06A19">
            <w:pPr>
              <w:tabs>
                <w:tab w:val="decimal" w:pos="450"/>
              </w:tabs>
              <w:jc w:val="left"/>
              <w:rPr>
                <w:color w:val="000000"/>
                <w:sz w:val="16"/>
                <w:szCs w:val="16"/>
                <w:lang w:val="es-MX" w:eastAsia="es-MX"/>
              </w:rPr>
            </w:pPr>
            <w:r>
              <w:rPr>
                <w:color w:val="000000"/>
                <w:sz w:val="16"/>
                <w:szCs w:val="16"/>
              </w:rPr>
              <w:t>-1.0</w:t>
            </w:r>
          </w:p>
        </w:tc>
      </w:tr>
      <w:tr w:rsidR="00F06A19" w:rsidRPr="00F87E34" w14:paraId="16EF790E" w14:textId="77777777" w:rsidTr="00F06A19">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F06A19" w:rsidRPr="00F87E34" w:rsidRDefault="00F06A19" w:rsidP="00F06A19">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7777777" w:rsidR="00F06A19" w:rsidRPr="00F87E34" w:rsidRDefault="00F06A19" w:rsidP="00F06A19">
            <w:pPr>
              <w:jc w:val="left"/>
              <w:rPr>
                <w:color w:val="000000"/>
                <w:sz w:val="16"/>
                <w:szCs w:val="16"/>
                <w:lang w:val="es-MX" w:eastAsia="es-MX"/>
              </w:rPr>
            </w:pPr>
            <w:r w:rsidRPr="00F87E34">
              <w:rPr>
                <w:color w:val="000000"/>
                <w:sz w:val="16"/>
                <w:szCs w:val="16"/>
                <w:lang w:val="es-MX" w:eastAsia="es-MX"/>
              </w:rPr>
              <w:t>Exclusivamente a través de Internet,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4476AE7F" w:rsidR="00F06A19" w:rsidRPr="00F87E34" w:rsidRDefault="00F06A19" w:rsidP="00F06A19">
            <w:pPr>
              <w:tabs>
                <w:tab w:val="decimal" w:pos="450"/>
              </w:tabs>
              <w:jc w:val="left"/>
              <w:rPr>
                <w:color w:val="000000"/>
                <w:sz w:val="16"/>
                <w:szCs w:val="16"/>
                <w:lang w:val="es-MX" w:eastAsia="es-MX"/>
              </w:rPr>
            </w:pPr>
            <w:r>
              <w:rPr>
                <w:color w:val="000000"/>
                <w:sz w:val="16"/>
                <w:szCs w:val="16"/>
              </w:rPr>
              <w:t>4.8</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65752519" w:rsidR="00F06A19" w:rsidRPr="00F87E34" w:rsidRDefault="00F06A19" w:rsidP="00F06A19">
            <w:pPr>
              <w:tabs>
                <w:tab w:val="decimal" w:pos="392"/>
              </w:tabs>
              <w:jc w:val="left"/>
              <w:rPr>
                <w:color w:val="000000"/>
                <w:sz w:val="16"/>
                <w:szCs w:val="16"/>
                <w:lang w:val="es-MX" w:eastAsia="es-MX"/>
              </w:rPr>
            </w:pPr>
            <w:r>
              <w:rPr>
                <w:color w:val="000000"/>
                <w:sz w:val="16"/>
                <w:szCs w:val="16"/>
              </w:rPr>
              <w:t>17.4</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2B59A322" w:rsidR="00F06A19" w:rsidRPr="00F87E34" w:rsidRDefault="00F06A19" w:rsidP="00F06A19">
            <w:pPr>
              <w:tabs>
                <w:tab w:val="decimal" w:pos="450"/>
              </w:tabs>
              <w:jc w:val="left"/>
              <w:rPr>
                <w:color w:val="000000"/>
                <w:sz w:val="16"/>
                <w:szCs w:val="16"/>
                <w:lang w:val="es-MX" w:eastAsia="es-MX"/>
              </w:rPr>
            </w:pPr>
            <w:r>
              <w:rPr>
                <w:color w:val="000000"/>
                <w:sz w:val="16"/>
                <w:szCs w:val="16"/>
              </w:rPr>
              <w:t>173.0</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6E962A76" w:rsidR="00F06A19" w:rsidRPr="00F87E34" w:rsidRDefault="00F06A19" w:rsidP="00F06A19">
            <w:pPr>
              <w:tabs>
                <w:tab w:val="decimal" w:pos="450"/>
              </w:tabs>
              <w:jc w:val="left"/>
              <w:rPr>
                <w:color w:val="000000"/>
                <w:sz w:val="16"/>
                <w:szCs w:val="16"/>
                <w:lang w:val="es-MX" w:eastAsia="es-MX"/>
              </w:rPr>
            </w:pPr>
            <w:r>
              <w:rPr>
                <w:color w:val="000000"/>
                <w:sz w:val="16"/>
                <w:szCs w:val="16"/>
              </w:rPr>
              <w:t>-85.2</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082107D9" w:rsidR="00F06A19" w:rsidRPr="00F87E34" w:rsidRDefault="00F06A19" w:rsidP="00F06A19">
            <w:pPr>
              <w:tabs>
                <w:tab w:val="decimal" w:pos="450"/>
              </w:tabs>
              <w:jc w:val="left"/>
              <w:rPr>
                <w:color w:val="000000"/>
                <w:sz w:val="16"/>
                <w:szCs w:val="16"/>
                <w:lang w:val="es-MX" w:eastAsia="es-MX"/>
              </w:rPr>
            </w:pPr>
            <w:r>
              <w:rPr>
                <w:color w:val="000000"/>
                <w:sz w:val="16"/>
                <w:szCs w:val="16"/>
              </w:rPr>
              <w:t>71.9</w:t>
            </w:r>
          </w:p>
        </w:tc>
      </w:tr>
    </w:tbl>
    <w:p w14:paraId="5F97FDE6" w14:textId="77777777"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4B31880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4824EDE0"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77777777"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40C941DD"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 xml:space="preserve">por entidad federativa según sector de actividad </w:t>
      </w:r>
      <w:r w:rsidR="00467BD1" w:rsidRPr="00F87E34">
        <w:rPr>
          <w:b/>
          <w:smallCaps/>
          <w:sz w:val="22"/>
          <w:szCs w:val="22"/>
        </w:rPr>
        <w:br/>
      </w:r>
      <w:r w:rsidR="00F06A19">
        <w:rPr>
          <w:b/>
          <w:smallCaps/>
          <w:sz w:val="22"/>
          <w:szCs w:val="22"/>
        </w:rPr>
        <w:t>febr</w:t>
      </w:r>
      <w:r w:rsidR="008967B4">
        <w:rPr>
          <w:b/>
          <w:smallCaps/>
          <w:sz w:val="22"/>
          <w:szCs w:val="22"/>
        </w:rPr>
        <w:t>ero</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8967B4">
        <w:rPr>
          <w:b/>
          <w:smallCaps/>
          <w:sz w:val="22"/>
          <w:szCs w:val="22"/>
        </w:rPr>
        <w:t>2</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AA2115">
            <w:pPr>
              <w:spacing w:before="20" w:after="20"/>
              <w:jc w:val="center"/>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D664F1">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r>
      <w:tr w:rsidR="00F06A19" w:rsidRPr="00F87E34" w14:paraId="6191BF9B" w14:textId="77777777" w:rsidTr="00F06A19">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F06A19" w:rsidRPr="00F87E34" w:rsidRDefault="00F06A19" w:rsidP="00F06A19">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5EB0001E" w:rsidR="00F06A19" w:rsidRPr="00F87E34" w:rsidRDefault="00F06A19" w:rsidP="00F06A19">
            <w:pPr>
              <w:tabs>
                <w:tab w:val="decimal" w:pos="508"/>
              </w:tabs>
              <w:jc w:val="left"/>
              <w:rPr>
                <w:b/>
                <w:bCs/>
                <w:color w:val="000000"/>
                <w:sz w:val="16"/>
                <w:szCs w:val="16"/>
              </w:rPr>
            </w:pPr>
            <w:r>
              <w:rPr>
                <w:b/>
                <w:bCs/>
                <w:color w:val="000000"/>
                <w:sz w:val="16"/>
                <w:szCs w:val="16"/>
              </w:rPr>
              <w:t>7.2</w:t>
            </w:r>
          </w:p>
        </w:tc>
        <w:tc>
          <w:tcPr>
            <w:tcW w:w="942" w:type="dxa"/>
            <w:tcBorders>
              <w:top w:val="single" w:sz="6" w:space="0" w:color="404040"/>
              <w:left w:val="nil"/>
              <w:bottom w:val="nil"/>
              <w:right w:val="nil"/>
            </w:tcBorders>
            <w:shd w:val="clear" w:color="auto" w:fill="auto"/>
            <w:noWrap/>
            <w:vAlign w:val="center"/>
          </w:tcPr>
          <w:p w14:paraId="0BF31045" w14:textId="4B2662CC" w:rsidR="00F06A19" w:rsidRPr="00F87E34" w:rsidRDefault="00F06A19" w:rsidP="00F06A19">
            <w:pPr>
              <w:tabs>
                <w:tab w:val="decimal" w:pos="404"/>
              </w:tabs>
              <w:jc w:val="left"/>
              <w:rPr>
                <w:b/>
                <w:bCs/>
                <w:color w:val="000000"/>
                <w:sz w:val="16"/>
                <w:szCs w:val="16"/>
              </w:rPr>
            </w:pPr>
            <w:r>
              <w:rPr>
                <w:b/>
                <w:bCs/>
                <w:color w:val="000000"/>
                <w:sz w:val="16"/>
                <w:szCs w:val="16"/>
              </w:rPr>
              <w:t>2.5</w:t>
            </w:r>
          </w:p>
        </w:tc>
        <w:tc>
          <w:tcPr>
            <w:tcW w:w="1042" w:type="dxa"/>
            <w:tcBorders>
              <w:top w:val="single" w:sz="6" w:space="0" w:color="404040"/>
              <w:left w:val="nil"/>
              <w:bottom w:val="nil"/>
              <w:right w:val="nil"/>
            </w:tcBorders>
            <w:shd w:val="clear" w:color="auto" w:fill="auto"/>
            <w:noWrap/>
            <w:vAlign w:val="center"/>
          </w:tcPr>
          <w:p w14:paraId="06C3DB72" w14:textId="6366F527" w:rsidR="00F06A19" w:rsidRPr="00F87E34" w:rsidRDefault="00F06A19" w:rsidP="00F06A19">
            <w:pPr>
              <w:tabs>
                <w:tab w:val="decimal" w:pos="508"/>
              </w:tabs>
              <w:jc w:val="left"/>
              <w:rPr>
                <w:b/>
                <w:bCs/>
                <w:color w:val="000000"/>
                <w:sz w:val="16"/>
                <w:szCs w:val="16"/>
              </w:rPr>
            </w:pPr>
            <w:r>
              <w:rPr>
                <w:b/>
                <w:bCs/>
                <w:color w:val="000000"/>
                <w:sz w:val="16"/>
                <w:szCs w:val="16"/>
              </w:rPr>
              <w:t>-0.4</w:t>
            </w:r>
          </w:p>
        </w:tc>
        <w:tc>
          <w:tcPr>
            <w:tcW w:w="991" w:type="dxa"/>
            <w:tcBorders>
              <w:top w:val="single" w:sz="6" w:space="0" w:color="404040"/>
              <w:left w:val="nil"/>
              <w:bottom w:val="nil"/>
              <w:right w:val="nil"/>
            </w:tcBorders>
            <w:shd w:val="clear" w:color="auto" w:fill="auto"/>
            <w:noWrap/>
            <w:vAlign w:val="center"/>
          </w:tcPr>
          <w:p w14:paraId="22C6569E" w14:textId="1242D6A9" w:rsidR="00F06A19" w:rsidRPr="00F87E34" w:rsidRDefault="00F06A19" w:rsidP="00F06A19">
            <w:pPr>
              <w:tabs>
                <w:tab w:val="decimal" w:pos="458"/>
              </w:tabs>
              <w:jc w:val="left"/>
              <w:rPr>
                <w:b/>
                <w:sz w:val="16"/>
                <w:szCs w:val="16"/>
              </w:rPr>
            </w:pPr>
            <w:r>
              <w:rPr>
                <w:b/>
                <w:bCs/>
                <w:color w:val="000000"/>
                <w:sz w:val="16"/>
                <w:szCs w:val="16"/>
              </w:rPr>
              <w:t>6.4</w:t>
            </w:r>
          </w:p>
        </w:tc>
        <w:tc>
          <w:tcPr>
            <w:tcW w:w="934" w:type="dxa"/>
            <w:tcBorders>
              <w:top w:val="single" w:sz="6" w:space="0" w:color="404040"/>
              <w:left w:val="nil"/>
              <w:bottom w:val="nil"/>
              <w:right w:val="nil"/>
            </w:tcBorders>
            <w:shd w:val="clear" w:color="auto" w:fill="auto"/>
            <w:noWrap/>
            <w:vAlign w:val="center"/>
          </w:tcPr>
          <w:p w14:paraId="2DF5B9B3" w14:textId="73DF01C0" w:rsidR="00F06A19" w:rsidRPr="00F87E34" w:rsidRDefault="00F06A19" w:rsidP="00F06A19">
            <w:pPr>
              <w:tabs>
                <w:tab w:val="decimal" w:pos="444"/>
              </w:tabs>
              <w:jc w:val="left"/>
              <w:rPr>
                <w:b/>
                <w:bCs/>
                <w:sz w:val="16"/>
                <w:szCs w:val="16"/>
              </w:rPr>
            </w:pPr>
            <w:r>
              <w:rPr>
                <w:b/>
                <w:bCs/>
                <w:color w:val="000000"/>
                <w:sz w:val="16"/>
                <w:szCs w:val="16"/>
              </w:rPr>
              <w:t>-1.3</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0A67F145" w:rsidR="00F06A19" w:rsidRPr="00F87E34" w:rsidRDefault="00F06A19" w:rsidP="00F06A19">
            <w:pPr>
              <w:tabs>
                <w:tab w:val="decimal" w:pos="504"/>
              </w:tabs>
              <w:jc w:val="left"/>
              <w:rPr>
                <w:b/>
                <w:bCs/>
                <w:sz w:val="16"/>
                <w:szCs w:val="16"/>
              </w:rPr>
            </w:pPr>
            <w:r>
              <w:rPr>
                <w:b/>
                <w:bCs/>
                <w:color w:val="000000"/>
                <w:sz w:val="16"/>
                <w:szCs w:val="16"/>
              </w:rPr>
              <w:t>4.5</w:t>
            </w:r>
          </w:p>
        </w:tc>
      </w:tr>
      <w:tr w:rsidR="00F06A19" w:rsidRPr="00F87E34" w14:paraId="22FE8CEA"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F06A19" w:rsidRPr="00F87E34" w:rsidRDefault="00F06A19" w:rsidP="00F06A19">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1520E5B3" w:rsidR="00F06A19" w:rsidRPr="00F87E34" w:rsidRDefault="00F06A19" w:rsidP="00F06A19">
            <w:pPr>
              <w:tabs>
                <w:tab w:val="decimal" w:pos="508"/>
              </w:tabs>
              <w:jc w:val="left"/>
              <w:rPr>
                <w:bCs/>
                <w:color w:val="000000"/>
                <w:sz w:val="16"/>
                <w:szCs w:val="16"/>
              </w:rPr>
            </w:pPr>
            <w:r>
              <w:rPr>
                <w:color w:val="000000"/>
                <w:sz w:val="16"/>
                <w:szCs w:val="16"/>
              </w:rPr>
              <w:t>-5.1</w:t>
            </w:r>
          </w:p>
        </w:tc>
        <w:tc>
          <w:tcPr>
            <w:tcW w:w="942" w:type="dxa"/>
            <w:tcBorders>
              <w:top w:val="nil"/>
              <w:left w:val="nil"/>
              <w:bottom w:val="nil"/>
              <w:right w:val="nil"/>
            </w:tcBorders>
            <w:shd w:val="clear" w:color="auto" w:fill="auto"/>
            <w:noWrap/>
            <w:vAlign w:val="center"/>
          </w:tcPr>
          <w:p w14:paraId="65AE1AE2" w14:textId="0FD1D239" w:rsidR="00F06A19" w:rsidRPr="00F87E34" w:rsidRDefault="00F06A19" w:rsidP="00F06A19">
            <w:pPr>
              <w:tabs>
                <w:tab w:val="decimal" w:pos="404"/>
              </w:tabs>
              <w:jc w:val="left"/>
              <w:rPr>
                <w:bCs/>
                <w:color w:val="000000"/>
                <w:sz w:val="16"/>
                <w:szCs w:val="16"/>
              </w:rPr>
            </w:pPr>
            <w:r>
              <w:rPr>
                <w:color w:val="000000"/>
                <w:sz w:val="16"/>
                <w:szCs w:val="16"/>
              </w:rPr>
              <w:t>4.8</w:t>
            </w:r>
          </w:p>
        </w:tc>
        <w:tc>
          <w:tcPr>
            <w:tcW w:w="1042" w:type="dxa"/>
            <w:tcBorders>
              <w:top w:val="nil"/>
              <w:left w:val="nil"/>
              <w:bottom w:val="nil"/>
              <w:right w:val="nil"/>
            </w:tcBorders>
            <w:shd w:val="clear" w:color="auto" w:fill="auto"/>
            <w:noWrap/>
            <w:vAlign w:val="center"/>
          </w:tcPr>
          <w:p w14:paraId="634A436A" w14:textId="19E42EF7" w:rsidR="00F06A19" w:rsidRPr="00F87E34" w:rsidRDefault="00F06A19" w:rsidP="00F06A19">
            <w:pPr>
              <w:tabs>
                <w:tab w:val="decimal" w:pos="508"/>
              </w:tabs>
              <w:jc w:val="left"/>
              <w:rPr>
                <w:bCs/>
                <w:color w:val="000000"/>
                <w:sz w:val="16"/>
                <w:szCs w:val="16"/>
              </w:rPr>
            </w:pPr>
            <w:r>
              <w:rPr>
                <w:color w:val="000000"/>
                <w:sz w:val="16"/>
                <w:szCs w:val="16"/>
              </w:rPr>
              <w:t>14.9</w:t>
            </w:r>
          </w:p>
        </w:tc>
        <w:tc>
          <w:tcPr>
            <w:tcW w:w="991" w:type="dxa"/>
            <w:tcBorders>
              <w:top w:val="nil"/>
              <w:left w:val="nil"/>
              <w:bottom w:val="nil"/>
              <w:right w:val="nil"/>
            </w:tcBorders>
            <w:shd w:val="clear" w:color="auto" w:fill="auto"/>
            <w:noWrap/>
            <w:vAlign w:val="center"/>
          </w:tcPr>
          <w:p w14:paraId="33092841" w14:textId="7C29BC5E" w:rsidR="00F06A19" w:rsidRPr="00F87E34" w:rsidRDefault="00F06A19" w:rsidP="00F06A19">
            <w:pPr>
              <w:tabs>
                <w:tab w:val="decimal" w:pos="458"/>
              </w:tabs>
              <w:jc w:val="left"/>
              <w:rPr>
                <w:sz w:val="16"/>
                <w:szCs w:val="16"/>
              </w:rPr>
            </w:pPr>
            <w:r>
              <w:rPr>
                <w:color w:val="000000"/>
                <w:sz w:val="16"/>
                <w:szCs w:val="16"/>
              </w:rPr>
              <w:t>1.3</w:t>
            </w:r>
          </w:p>
        </w:tc>
        <w:tc>
          <w:tcPr>
            <w:tcW w:w="934" w:type="dxa"/>
            <w:tcBorders>
              <w:top w:val="nil"/>
              <w:left w:val="nil"/>
              <w:bottom w:val="nil"/>
              <w:right w:val="nil"/>
            </w:tcBorders>
            <w:shd w:val="clear" w:color="auto" w:fill="auto"/>
            <w:noWrap/>
            <w:vAlign w:val="center"/>
          </w:tcPr>
          <w:p w14:paraId="015A0AED" w14:textId="087E3730" w:rsidR="00F06A19" w:rsidRPr="00F87E34" w:rsidRDefault="00F06A19" w:rsidP="00F06A19">
            <w:pPr>
              <w:tabs>
                <w:tab w:val="decimal" w:pos="444"/>
              </w:tabs>
              <w:jc w:val="left"/>
              <w:rPr>
                <w:bCs/>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661DA3F" w14:textId="4A5A2A22" w:rsidR="00F06A19" w:rsidRPr="00F87E34" w:rsidRDefault="00F06A19" w:rsidP="00F06A19">
            <w:pPr>
              <w:tabs>
                <w:tab w:val="decimal" w:pos="504"/>
              </w:tabs>
              <w:jc w:val="left"/>
              <w:rPr>
                <w:bCs/>
                <w:sz w:val="16"/>
                <w:szCs w:val="16"/>
              </w:rPr>
            </w:pPr>
            <w:r>
              <w:rPr>
                <w:color w:val="000000"/>
                <w:sz w:val="16"/>
                <w:szCs w:val="16"/>
              </w:rPr>
              <w:t>6.2</w:t>
            </w:r>
          </w:p>
        </w:tc>
      </w:tr>
      <w:tr w:rsidR="00F06A19" w:rsidRPr="00F87E34" w14:paraId="137E942F"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F06A19" w:rsidRPr="00F87E34" w:rsidRDefault="00F06A19" w:rsidP="00F06A19">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62F3063B" w:rsidR="00F06A19" w:rsidRPr="00F87E34" w:rsidRDefault="00F06A19" w:rsidP="00F06A19">
            <w:pPr>
              <w:tabs>
                <w:tab w:val="decimal" w:pos="508"/>
              </w:tabs>
              <w:jc w:val="left"/>
              <w:rPr>
                <w:bCs/>
                <w:color w:val="000000"/>
                <w:sz w:val="16"/>
                <w:szCs w:val="16"/>
              </w:rPr>
            </w:pPr>
            <w:r>
              <w:rPr>
                <w:color w:val="000000"/>
                <w:sz w:val="16"/>
                <w:szCs w:val="16"/>
              </w:rPr>
              <w:t>14.0</w:t>
            </w:r>
          </w:p>
        </w:tc>
        <w:tc>
          <w:tcPr>
            <w:tcW w:w="942" w:type="dxa"/>
            <w:tcBorders>
              <w:top w:val="nil"/>
              <w:left w:val="nil"/>
              <w:bottom w:val="nil"/>
              <w:right w:val="nil"/>
            </w:tcBorders>
            <w:shd w:val="clear" w:color="auto" w:fill="auto"/>
            <w:noWrap/>
            <w:vAlign w:val="center"/>
          </w:tcPr>
          <w:p w14:paraId="68EAC415" w14:textId="4054218D" w:rsidR="00F06A19" w:rsidRPr="00F87E34" w:rsidRDefault="00F06A19" w:rsidP="00F06A19">
            <w:pPr>
              <w:tabs>
                <w:tab w:val="decimal" w:pos="404"/>
              </w:tabs>
              <w:jc w:val="left"/>
              <w:rPr>
                <w:bCs/>
                <w:color w:val="000000"/>
                <w:sz w:val="16"/>
                <w:szCs w:val="16"/>
              </w:rPr>
            </w:pPr>
            <w:r>
              <w:rPr>
                <w:color w:val="000000"/>
                <w:sz w:val="16"/>
                <w:szCs w:val="16"/>
              </w:rPr>
              <w:t>4.7</w:t>
            </w:r>
          </w:p>
        </w:tc>
        <w:tc>
          <w:tcPr>
            <w:tcW w:w="1042" w:type="dxa"/>
            <w:tcBorders>
              <w:top w:val="nil"/>
              <w:left w:val="nil"/>
              <w:bottom w:val="nil"/>
              <w:right w:val="nil"/>
            </w:tcBorders>
            <w:shd w:val="clear" w:color="auto" w:fill="auto"/>
            <w:noWrap/>
            <w:vAlign w:val="center"/>
          </w:tcPr>
          <w:p w14:paraId="11713FC2" w14:textId="3C7F2D3B" w:rsidR="00F06A19" w:rsidRPr="00F87E34" w:rsidRDefault="00F06A19" w:rsidP="00F06A19">
            <w:pPr>
              <w:tabs>
                <w:tab w:val="decimal" w:pos="508"/>
              </w:tabs>
              <w:jc w:val="left"/>
              <w:rPr>
                <w:bCs/>
                <w:color w:val="000000"/>
                <w:sz w:val="16"/>
                <w:szCs w:val="16"/>
              </w:rPr>
            </w:pPr>
            <w:r>
              <w:rPr>
                <w:color w:val="000000"/>
                <w:sz w:val="16"/>
                <w:szCs w:val="16"/>
              </w:rPr>
              <w:t>1.6</w:t>
            </w:r>
          </w:p>
        </w:tc>
        <w:tc>
          <w:tcPr>
            <w:tcW w:w="991" w:type="dxa"/>
            <w:tcBorders>
              <w:top w:val="nil"/>
              <w:left w:val="nil"/>
              <w:bottom w:val="nil"/>
              <w:right w:val="nil"/>
            </w:tcBorders>
            <w:shd w:val="clear" w:color="auto" w:fill="auto"/>
            <w:noWrap/>
            <w:vAlign w:val="center"/>
          </w:tcPr>
          <w:p w14:paraId="40A7BF0E" w14:textId="1F918547" w:rsidR="00F06A19" w:rsidRPr="00F87E34" w:rsidRDefault="00F06A19" w:rsidP="00F06A19">
            <w:pPr>
              <w:tabs>
                <w:tab w:val="decimal" w:pos="458"/>
              </w:tabs>
              <w:jc w:val="left"/>
              <w:rPr>
                <w:sz w:val="16"/>
                <w:szCs w:val="16"/>
              </w:rPr>
            </w:pPr>
            <w:r>
              <w:rPr>
                <w:color w:val="000000"/>
                <w:sz w:val="16"/>
                <w:szCs w:val="16"/>
              </w:rPr>
              <w:t>2.6</w:t>
            </w:r>
          </w:p>
        </w:tc>
        <w:tc>
          <w:tcPr>
            <w:tcW w:w="934" w:type="dxa"/>
            <w:tcBorders>
              <w:top w:val="nil"/>
              <w:left w:val="nil"/>
              <w:bottom w:val="nil"/>
              <w:right w:val="nil"/>
            </w:tcBorders>
            <w:shd w:val="clear" w:color="auto" w:fill="auto"/>
            <w:noWrap/>
            <w:vAlign w:val="center"/>
          </w:tcPr>
          <w:p w14:paraId="7E596428" w14:textId="613DFF13" w:rsidR="00F06A19" w:rsidRPr="00F87E34" w:rsidRDefault="00F06A19" w:rsidP="00F06A19">
            <w:pPr>
              <w:tabs>
                <w:tab w:val="decimal" w:pos="444"/>
              </w:tabs>
              <w:jc w:val="left"/>
              <w:rPr>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46645E33" w14:textId="2877BAD0" w:rsidR="00F06A19" w:rsidRPr="00F87E34" w:rsidRDefault="00F06A19" w:rsidP="00F06A19">
            <w:pPr>
              <w:tabs>
                <w:tab w:val="decimal" w:pos="504"/>
              </w:tabs>
              <w:jc w:val="left"/>
              <w:rPr>
                <w:sz w:val="16"/>
                <w:szCs w:val="16"/>
              </w:rPr>
            </w:pPr>
            <w:r>
              <w:rPr>
                <w:color w:val="000000"/>
                <w:sz w:val="16"/>
                <w:szCs w:val="16"/>
              </w:rPr>
              <w:t>6.6</w:t>
            </w:r>
          </w:p>
        </w:tc>
      </w:tr>
      <w:tr w:rsidR="00F06A19" w:rsidRPr="00F87E34" w14:paraId="3A583C28"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F06A19" w:rsidRPr="00F87E34" w:rsidRDefault="00F06A19" w:rsidP="00F06A19">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6F9EC4F4" w:rsidR="00F06A19" w:rsidRPr="00F87E34" w:rsidRDefault="00F06A19" w:rsidP="00F06A19">
            <w:pPr>
              <w:tabs>
                <w:tab w:val="decimal" w:pos="508"/>
              </w:tabs>
              <w:jc w:val="left"/>
              <w:rPr>
                <w:bCs/>
                <w:color w:val="000000"/>
                <w:sz w:val="16"/>
                <w:szCs w:val="16"/>
              </w:rPr>
            </w:pPr>
            <w:r>
              <w:rPr>
                <w:color w:val="000000"/>
                <w:sz w:val="16"/>
                <w:szCs w:val="16"/>
              </w:rPr>
              <w:t>34.0</w:t>
            </w:r>
          </w:p>
        </w:tc>
        <w:tc>
          <w:tcPr>
            <w:tcW w:w="942" w:type="dxa"/>
            <w:tcBorders>
              <w:top w:val="nil"/>
              <w:left w:val="nil"/>
              <w:bottom w:val="nil"/>
              <w:right w:val="nil"/>
            </w:tcBorders>
            <w:shd w:val="clear" w:color="auto" w:fill="auto"/>
            <w:noWrap/>
            <w:vAlign w:val="center"/>
          </w:tcPr>
          <w:p w14:paraId="412635B7" w14:textId="6D88A89C" w:rsidR="00F06A19" w:rsidRPr="00F87E34" w:rsidRDefault="00F06A19" w:rsidP="00F06A19">
            <w:pPr>
              <w:tabs>
                <w:tab w:val="decimal" w:pos="404"/>
              </w:tabs>
              <w:jc w:val="left"/>
              <w:rPr>
                <w:bCs/>
                <w:color w:val="000000"/>
                <w:sz w:val="16"/>
                <w:szCs w:val="16"/>
              </w:rPr>
            </w:pPr>
            <w:r>
              <w:rPr>
                <w:color w:val="000000"/>
                <w:sz w:val="16"/>
                <w:szCs w:val="16"/>
              </w:rPr>
              <w:t>2.6</w:t>
            </w:r>
          </w:p>
        </w:tc>
        <w:tc>
          <w:tcPr>
            <w:tcW w:w="1042" w:type="dxa"/>
            <w:tcBorders>
              <w:top w:val="nil"/>
              <w:left w:val="nil"/>
              <w:bottom w:val="nil"/>
              <w:right w:val="nil"/>
            </w:tcBorders>
            <w:shd w:val="clear" w:color="auto" w:fill="auto"/>
            <w:noWrap/>
            <w:vAlign w:val="center"/>
          </w:tcPr>
          <w:p w14:paraId="71E7799B" w14:textId="18F396D1" w:rsidR="00F06A19" w:rsidRPr="00F87E34" w:rsidRDefault="00F06A19" w:rsidP="00F06A19">
            <w:pPr>
              <w:tabs>
                <w:tab w:val="decimal" w:pos="508"/>
              </w:tabs>
              <w:jc w:val="left"/>
              <w:rPr>
                <w:bCs/>
                <w:color w:val="000000"/>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58311E20" w14:textId="5E3AC586" w:rsidR="00F06A19" w:rsidRPr="00F87E34" w:rsidRDefault="00F06A19" w:rsidP="00F06A19">
            <w:pPr>
              <w:tabs>
                <w:tab w:val="decimal" w:pos="458"/>
              </w:tabs>
              <w:jc w:val="left"/>
              <w:rPr>
                <w:sz w:val="16"/>
                <w:szCs w:val="16"/>
              </w:rPr>
            </w:pPr>
            <w:r>
              <w:rPr>
                <w:color w:val="000000"/>
                <w:sz w:val="16"/>
                <w:szCs w:val="16"/>
              </w:rPr>
              <w:t>13.2</w:t>
            </w:r>
          </w:p>
        </w:tc>
        <w:tc>
          <w:tcPr>
            <w:tcW w:w="934" w:type="dxa"/>
            <w:tcBorders>
              <w:top w:val="nil"/>
              <w:left w:val="nil"/>
              <w:bottom w:val="nil"/>
              <w:right w:val="nil"/>
            </w:tcBorders>
            <w:shd w:val="clear" w:color="auto" w:fill="auto"/>
            <w:noWrap/>
            <w:vAlign w:val="center"/>
          </w:tcPr>
          <w:p w14:paraId="6F5DA456" w14:textId="33ECC3E5" w:rsidR="00F06A19" w:rsidRPr="00F87E34" w:rsidRDefault="00F06A19" w:rsidP="00F06A19">
            <w:pPr>
              <w:tabs>
                <w:tab w:val="decimal" w:pos="444"/>
              </w:tabs>
              <w:jc w:val="left"/>
              <w:rPr>
                <w:sz w:val="16"/>
                <w:szCs w:val="16"/>
              </w:rPr>
            </w:pPr>
            <w:r>
              <w:rPr>
                <w:color w:val="000000"/>
                <w:sz w:val="16"/>
                <w:szCs w:val="16"/>
              </w:rPr>
              <w:t>2.1</w:t>
            </w:r>
          </w:p>
        </w:tc>
        <w:tc>
          <w:tcPr>
            <w:tcW w:w="1050" w:type="dxa"/>
            <w:tcBorders>
              <w:top w:val="nil"/>
              <w:left w:val="nil"/>
              <w:bottom w:val="nil"/>
              <w:right w:val="single" w:sz="8" w:space="0" w:color="404040"/>
            </w:tcBorders>
            <w:shd w:val="clear" w:color="auto" w:fill="auto"/>
            <w:noWrap/>
            <w:vAlign w:val="center"/>
          </w:tcPr>
          <w:p w14:paraId="76767AF7" w14:textId="07F06FC8" w:rsidR="00F06A19" w:rsidRPr="00F87E34" w:rsidRDefault="00F06A19" w:rsidP="00F06A19">
            <w:pPr>
              <w:tabs>
                <w:tab w:val="decimal" w:pos="504"/>
              </w:tabs>
              <w:jc w:val="left"/>
              <w:rPr>
                <w:sz w:val="16"/>
                <w:szCs w:val="16"/>
              </w:rPr>
            </w:pPr>
            <w:r>
              <w:rPr>
                <w:color w:val="000000"/>
                <w:sz w:val="16"/>
                <w:szCs w:val="16"/>
              </w:rPr>
              <w:t>-1.4</w:t>
            </w:r>
          </w:p>
        </w:tc>
      </w:tr>
      <w:tr w:rsidR="00F06A19" w:rsidRPr="00F87E34" w14:paraId="0E0D3193"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F06A19" w:rsidRPr="00F87E34" w:rsidRDefault="00F06A19" w:rsidP="00F06A19">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5F69DAC9" w:rsidR="00F06A19" w:rsidRPr="00F87E34" w:rsidRDefault="00F06A19" w:rsidP="00F06A19">
            <w:pPr>
              <w:tabs>
                <w:tab w:val="decimal" w:pos="508"/>
              </w:tabs>
              <w:jc w:val="left"/>
              <w:rPr>
                <w:bCs/>
                <w:color w:val="000000"/>
                <w:sz w:val="16"/>
                <w:szCs w:val="16"/>
              </w:rPr>
            </w:pPr>
            <w:r>
              <w:rPr>
                <w:color w:val="000000"/>
                <w:sz w:val="16"/>
                <w:szCs w:val="16"/>
              </w:rPr>
              <w:t>11.2</w:t>
            </w:r>
          </w:p>
        </w:tc>
        <w:tc>
          <w:tcPr>
            <w:tcW w:w="942" w:type="dxa"/>
            <w:tcBorders>
              <w:top w:val="nil"/>
              <w:left w:val="nil"/>
              <w:bottom w:val="nil"/>
              <w:right w:val="nil"/>
            </w:tcBorders>
            <w:shd w:val="clear" w:color="auto" w:fill="auto"/>
            <w:noWrap/>
            <w:vAlign w:val="center"/>
          </w:tcPr>
          <w:p w14:paraId="04C14569" w14:textId="157EF3DB" w:rsidR="00F06A19" w:rsidRPr="00F87E34" w:rsidRDefault="00F06A19" w:rsidP="00F06A19">
            <w:pPr>
              <w:tabs>
                <w:tab w:val="decimal" w:pos="404"/>
              </w:tabs>
              <w:jc w:val="left"/>
              <w:rPr>
                <w:bCs/>
                <w:color w:val="000000"/>
                <w:sz w:val="16"/>
                <w:szCs w:val="16"/>
              </w:rPr>
            </w:pPr>
            <w:r>
              <w:rPr>
                <w:color w:val="000000"/>
                <w:sz w:val="16"/>
                <w:szCs w:val="16"/>
              </w:rPr>
              <w:t>-2.3</w:t>
            </w:r>
          </w:p>
        </w:tc>
        <w:tc>
          <w:tcPr>
            <w:tcW w:w="1042" w:type="dxa"/>
            <w:tcBorders>
              <w:top w:val="nil"/>
              <w:left w:val="nil"/>
              <w:bottom w:val="nil"/>
              <w:right w:val="nil"/>
            </w:tcBorders>
            <w:shd w:val="clear" w:color="auto" w:fill="auto"/>
            <w:noWrap/>
            <w:vAlign w:val="center"/>
          </w:tcPr>
          <w:p w14:paraId="0590892A" w14:textId="2762D929" w:rsidR="00F06A19" w:rsidRPr="00F87E34" w:rsidRDefault="00F06A19" w:rsidP="00F06A19">
            <w:pPr>
              <w:tabs>
                <w:tab w:val="decimal" w:pos="508"/>
              </w:tabs>
              <w:jc w:val="left"/>
              <w:rPr>
                <w:bCs/>
                <w:color w:val="000000"/>
                <w:sz w:val="16"/>
                <w:szCs w:val="16"/>
              </w:rPr>
            </w:pPr>
            <w:r>
              <w:rPr>
                <w:color w:val="000000"/>
                <w:sz w:val="16"/>
                <w:szCs w:val="16"/>
              </w:rPr>
              <w:t>11.8</w:t>
            </w:r>
          </w:p>
        </w:tc>
        <w:tc>
          <w:tcPr>
            <w:tcW w:w="991" w:type="dxa"/>
            <w:tcBorders>
              <w:top w:val="nil"/>
              <w:left w:val="nil"/>
              <w:bottom w:val="nil"/>
              <w:right w:val="nil"/>
            </w:tcBorders>
            <w:shd w:val="clear" w:color="auto" w:fill="auto"/>
            <w:noWrap/>
            <w:vAlign w:val="center"/>
          </w:tcPr>
          <w:p w14:paraId="14EAD6B2" w14:textId="105B278F" w:rsidR="00F06A19" w:rsidRPr="00F87E34" w:rsidRDefault="00F06A19" w:rsidP="00F06A19">
            <w:pPr>
              <w:tabs>
                <w:tab w:val="decimal" w:pos="458"/>
              </w:tabs>
              <w:jc w:val="left"/>
              <w:rPr>
                <w:sz w:val="16"/>
                <w:szCs w:val="16"/>
              </w:rPr>
            </w:pPr>
            <w:r>
              <w:rPr>
                <w:color w:val="000000"/>
                <w:sz w:val="16"/>
                <w:szCs w:val="16"/>
              </w:rPr>
              <w:t>4.0</w:t>
            </w:r>
          </w:p>
        </w:tc>
        <w:tc>
          <w:tcPr>
            <w:tcW w:w="934" w:type="dxa"/>
            <w:tcBorders>
              <w:top w:val="nil"/>
              <w:left w:val="nil"/>
              <w:bottom w:val="nil"/>
              <w:right w:val="nil"/>
            </w:tcBorders>
            <w:shd w:val="clear" w:color="auto" w:fill="auto"/>
            <w:noWrap/>
            <w:vAlign w:val="center"/>
          </w:tcPr>
          <w:p w14:paraId="103B1441" w14:textId="448EFA37" w:rsidR="00F06A19" w:rsidRPr="00F87E34" w:rsidRDefault="00F06A19" w:rsidP="00F06A19">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4584ADD2" w14:textId="7EC5CFEB" w:rsidR="00F06A19" w:rsidRPr="00F87E34" w:rsidRDefault="00F06A19" w:rsidP="00F06A19">
            <w:pPr>
              <w:tabs>
                <w:tab w:val="decimal" w:pos="504"/>
              </w:tabs>
              <w:jc w:val="left"/>
              <w:rPr>
                <w:sz w:val="16"/>
                <w:szCs w:val="16"/>
              </w:rPr>
            </w:pPr>
            <w:r>
              <w:rPr>
                <w:color w:val="000000"/>
                <w:sz w:val="16"/>
                <w:szCs w:val="16"/>
              </w:rPr>
              <w:t>-1.3</w:t>
            </w:r>
          </w:p>
        </w:tc>
      </w:tr>
      <w:tr w:rsidR="00F06A19" w:rsidRPr="00F87E34" w14:paraId="1AA69D88"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F06A19" w:rsidRPr="00F87E34" w:rsidRDefault="00F06A19" w:rsidP="00F06A19">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29240D71" w:rsidR="00F06A19" w:rsidRPr="00F87E34" w:rsidRDefault="00F06A19" w:rsidP="00F06A19">
            <w:pPr>
              <w:tabs>
                <w:tab w:val="decimal" w:pos="508"/>
              </w:tabs>
              <w:jc w:val="left"/>
              <w:rPr>
                <w:bCs/>
                <w:color w:val="000000"/>
                <w:sz w:val="16"/>
                <w:szCs w:val="16"/>
              </w:rPr>
            </w:pPr>
            <w:r>
              <w:rPr>
                <w:color w:val="000000"/>
                <w:sz w:val="16"/>
                <w:szCs w:val="16"/>
              </w:rPr>
              <w:t>11.2</w:t>
            </w:r>
          </w:p>
        </w:tc>
        <w:tc>
          <w:tcPr>
            <w:tcW w:w="942" w:type="dxa"/>
            <w:tcBorders>
              <w:top w:val="nil"/>
              <w:left w:val="nil"/>
              <w:bottom w:val="nil"/>
              <w:right w:val="nil"/>
            </w:tcBorders>
            <w:shd w:val="clear" w:color="auto" w:fill="auto"/>
            <w:noWrap/>
            <w:vAlign w:val="center"/>
          </w:tcPr>
          <w:p w14:paraId="19F6CCAF" w14:textId="7D58C7DA" w:rsidR="00F06A19" w:rsidRPr="00F87E34" w:rsidRDefault="00F06A19" w:rsidP="00F06A19">
            <w:pPr>
              <w:tabs>
                <w:tab w:val="decimal" w:pos="404"/>
              </w:tabs>
              <w:jc w:val="left"/>
              <w:rPr>
                <w:bCs/>
                <w:color w:val="000000"/>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2C172586" w14:textId="30331EB3" w:rsidR="00F06A19" w:rsidRPr="00F87E34" w:rsidRDefault="00F06A19" w:rsidP="00F06A19">
            <w:pPr>
              <w:tabs>
                <w:tab w:val="decimal" w:pos="508"/>
              </w:tabs>
              <w:jc w:val="left"/>
              <w:rPr>
                <w:bCs/>
                <w:color w:val="000000"/>
                <w:sz w:val="16"/>
                <w:szCs w:val="16"/>
              </w:rPr>
            </w:pPr>
            <w:r>
              <w:rPr>
                <w:color w:val="000000"/>
                <w:sz w:val="16"/>
                <w:szCs w:val="16"/>
              </w:rPr>
              <w:t>4.1</w:t>
            </w:r>
          </w:p>
        </w:tc>
        <w:tc>
          <w:tcPr>
            <w:tcW w:w="991" w:type="dxa"/>
            <w:tcBorders>
              <w:top w:val="nil"/>
              <w:left w:val="nil"/>
              <w:bottom w:val="nil"/>
              <w:right w:val="nil"/>
            </w:tcBorders>
            <w:shd w:val="clear" w:color="auto" w:fill="auto"/>
            <w:noWrap/>
            <w:vAlign w:val="center"/>
          </w:tcPr>
          <w:p w14:paraId="0F075841" w14:textId="4EB97640" w:rsidR="00F06A19" w:rsidRPr="00F87E34" w:rsidRDefault="00F06A19" w:rsidP="00F06A19">
            <w:pPr>
              <w:tabs>
                <w:tab w:val="decimal" w:pos="458"/>
              </w:tabs>
              <w:jc w:val="left"/>
              <w:rPr>
                <w:sz w:val="16"/>
                <w:szCs w:val="16"/>
              </w:rPr>
            </w:pPr>
            <w:r>
              <w:rPr>
                <w:color w:val="000000"/>
                <w:sz w:val="16"/>
                <w:szCs w:val="16"/>
              </w:rPr>
              <w:t>0.7</w:t>
            </w:r>
          </w:p>
        </w:tc>
        <w:tc>
          <w:tcPr>
            <w:tcW w:w="934" w:type="dxa"/>
            <w:tcBorders>
              <w:top w:val="nil"/>
              <w:left w:val="nil"/>
              <w:bottom w:val="nil"/>
              <w:right w:val="nil"/>
            </w:tcBorders>
            <w:shd w:val="clear" w:color="auto" w:fill="auto"/>
            <w:noWrap/>
            <w:vAlign w:val="center"/>
          </w:tcPr>
          <w:p w14:paraId="27D16F89" w14:textId="0B79E563" w:rsidR="00F06A19" w:rsidRPr="00F87E34" w:rsidRDefault="00F06A19" w:rsidP="00F06A19">
            <w:pPr>
              <w:tabs>
                <w:tab w:val="decimal" w:pos="444"/>
              </w:tabs>
              <w:jc w:val="left"/>
              <w:rPr>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28B09DE8" w14:textId="65B8F88A" w:rsidR="00F06A19" w:rsidRPr="00F87E34" w:rsidRDefault="00F06A19" w:rsidP="00F06A19">
            <w:pPr>
              <w:tabs>
                <w:tab w:val="decimal" w:pos="504"/>
              </w:tabs>
              <w:jc w:val="left"/>
              <w:rPr>
                <w:sz w:val="16"/>
                <w:szCs w:val="16"/>
              </w:rPr>
            </w:pPr>
            <w:r>
              <w:rPr>
                <w:color w:val="000000"/>
                <w:sz w:val="16"/>
                <w:szCs w:val="16"/>
              </w:rPr>
              <w:t>0.4</w:t>
            </w:r>
          </w:p>
        </w:tc>
      </w:tr>
      <w:tr w:rsidR="00F06A19" w:rsidRPr="00F87E34" w14:paraId="56BCF494"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F06A19" w:rsidRPr="00F87E34" w:rsidRDefault="00F06A19" w:rsidP="00F06A19">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6A770EAE" w:rsidR="00F06A19" w:rsidRPr="00F87E34" w:rsidRDefault="00F06A19" w:rsidP="00F06A19">
            <w:pPr>
              <w:tabs>
                <w:tab w:val="decimal" w:pos="508"/>
              </w:tabs>
              <w:jc w:val="left"/>
              <w:rPr>
                <w:bCs/>
                <w:color w:val="000000"/>
                <w:sz w:val="16"/>
                <w:szCs w:val="16"/>
              </w:rPr>
            </w:pPr>
            <w:r>
              <w:rPr>
                <w:color w:val="000000"/>
                <w:sz w:val="16"/>
                <w:szCs w:val="16"/>
              </w:rPr>
              <w:t>15.9</w:t>
            </w:r>
          </w:p>
        </w:tc>
        <w:tc>
          <w:tcPr>
            <w:tcW w:w="942" w:type="dxa"/>
            <w:tcBorders>
              <w:top w:val="nil"/>
              <w:left w:val="nil"/>
              <w:bottom w:val="nil"/>
              <w:right w:val="nil"/>
            </w:tcBorders>
            <w:shd w:val="clear" w:color="auto" w:fill="auto"/>
            <w:noWrap/>
            <w:vAlign w:val="center"/>
          </w:tcPr>
          <w:p w14:paraId="1A639D41" w14:textId="3294C8D4" w:rsidR="00F06A19" w:rsidRPr="00F87E34" w:rsidRDefault="00F06A19" w:rsidP="00F06A19">
            <w:pPr>
              <w:tabs>
                <w:tab w:val="decimal" w:pos="404"/>
              </w:tabs>
              <w:jc w:val="left"/>
              <w:rPr>
                <w:bCs/>
                <w:color w:val="000000"/>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7A9488C6" w14:textId="603ED201" w:rsidR="00F06A19" w:rsidRPr="00F87E34" w:rsidRDefault="00F06A19" w:rsidP="00F06A19">
            <w:pPr>
              <w:tabs>
                <w:tab w:val="decimal" w:pos="508"/>
              </w:tabs>
              <w:jc w:val="left"/>
              <w:rPr>
                <w:bCs/>
                <w:color w:val="000000"/>
                <w:sz w:val="16"/>
                <w:szCs w:val="16"/>
              </w:rPr>
            </w:pPr>
            <w:r>
              <w:rPr>
                <w:color w:val="000000"/>
                <w:sz w:val="16"/>
                <w:szCs w:val="16"/>
              </w:rPr>
              <w:t>-1.9</w:t>
            </w:r>
          </w:p>
        </w:tc>
        <w:tc>
          <w:tcPr>
            <w:tcW w:w="991" w:type="dxa"/>
            <w:tcBorders>
              <w:top w:val="nil"/>
              <w:left w:val="nil"/>
              <w:bottom w:val="nil"/>
              <w:right w:val="nil"/>
            </w:tcBorders>
            <w:shd w:val="clear" w:color="auto" w:fill="auto"/>
            <w:noWrap/>
            <w:vAlign w:val="center"/>
          </w:tcPr>
          <w:p w14:paraId="2F4FFCAE" w14:textId="00CDD4AA" w:rsidR="00F06A19" w:rsidRPr="00F87E34" w:rsidRDefault="00F06A19" w:rsidP="00F06A19">
            <w:pPr>
              <w:tabs>
                <w:tab w:val="decimal" w:pos="458"/>
              </w:tabs>
              <w:jc w:val="left"/>
              <w:rPr>
                <w:sz w:val="16"/>
                <w:szCs w:val="16"/>
              </w:rPr>
            </w:pPr>
            <w:r>
              <w:rPr>
                <w:color w:val="000000"/>
                <w:sz w:val="16"/>
                <w:szCs w:val="16"/>
              </w:rPr>
              <w:t>3.7</w:t>
            </w:r>
          </w:p>
        </w:tc>
        <w:tc>
          <w:tcPr>
            <w:tcW w:w="934" w:type="dxa"/>
            <w:tcBorders>
              <w:top w:val="nil"/>
              <w:left w:val="nil"/>
              <w:bottom w:val="nil"/>
              <w:right w:val="nil"/>
            </w:tcBorders>
            <w:shd w:val="clear" w:color="auto" w:fill="auto"/>
            <w:noWrap/>
            <w:vAlign w:val="center"/>
          </w:tcPr>
          <w:p w14:paraId="2A9D76A7" w14:textId="66CFD050" w:rsidR="00F06A19" w:rsidRPr="00F87E34" w:rsidRDefault="00F06A19" w:rsidP="00F06A19">
            <w:pPr>
              <w:tabs>
                <w:tab w:val="decimal" w:pos="444"/>
              </w:tabs>
              <w:jc w:val="left"/>
              <w:rPr>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75DDBD88" w14:textId="79CD30EA" w:rsidR="00F06A19" w:rsidRPr="00F87E34" w:rsidRDefault="00F06A19" w:rsidP="00F06A19">
            <w:pPr>
              <w:tabs>
                <w:tab w:val="decimal" w:pos="504"/>
              </w:tabs>
              <w:jc w:val="left"/>
              <w:rPr>
                <w:sz w:val="16"/>
                <w:szCs w:val="16"/>
              </w:rPr>
            </w:pPr>
            <w:r>
              <w:rPr>
                <w:color w:val="000000"/>
                <w:sz w:val="16"/>
                <w:szCs w:val="16"/>
              </w:rPr>
              <w:t>-1.8</w:t>
            </w:r>
          </w:p>
        </w:tc>
      </w:tr>
      <w:tr w:rsidR="00F06A19" w:rsidRPr="00F87E34" w14:paraId="67167560" w14:textId="77777777" w:rsidTr="00F06A19">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F06A19" w:rsidRPr="00F87E34" w:rsidRDefault="00F06A19" w:rsidP="00F06A19">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09826A10" w:rsidR="00F06A19" w:rsidRPr="00F87E34" w:rsidRDefault="00F06A19" w:rsidP="00F06A19">
            <w:pPr>
              <w:tabs>
                <w:tab w:val="decimal" w:pos="508"/>
              </w:tabs>
              <w:jc w:val="left"/>
              <w:rPr>
                <w:bCs/>
                <w:color w:val="000000"/>
                <w:sz w:val="16"/>
                <w:szCs w:val="16"/>
              </w:rPr>
            </w:pPr>
            <w:r>
              <w:rPr>
                <w:color w:val="000000"/>
                <w:sz w:val="16"/>
                <w:szCs w:val="16"/>
              </w:rPr>
              <w:t>1.9</w:t>
            </w:r>
          </w:p>
        </w:tc>
        <w:tc>
          <w:tcPr>
            <w:tcW w:w="942" w:type="dxa"/>
            <w:tcBorders>
              <w:top w:val="nil"/>
              <w:left w:val="nil"/>
              <w:bottom w:val="nil"/>
              <w:right w:val="nil"/>
            </w:tcBorders>
            <w:shd w:val="clear" w:color="auto" w:fill="auto"/>
            <w:noWrap/>
            <w:vAlign w:val="center"/>
          </w:tcPr>
          <w:p w14:paraId="6B5E9EEC" w14:textId="01E5E396" w:rsidR="00F06A19" w:rsidRPr="00F87E34" w:rsidRDefault="00F06A19" w:rsidP="00F06A19">
            <w:pPr>
              <w:tabs>
                <w:tab w:val="decimal" w:pos="404"/>
              </w:tabs>
              <w:jc w:val="left"/>
              <w:rPr>
                <w:bCs/>
                <w:color w:val="000000"/>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2803B5C7" w14:textId="42A0D110" w:rsidR="00F06A19" w:rsidRPr="00F87E34" w:rsidRDefault="00F06A19" w:rsidP="00F06A19">
            <w:pPr>
              <w:tabs>
                <w:tab w:val="decimal" w:pos="508"/>
              </w:tabs>
              <w:jc w:val="left"/>
              <w:rPr>
                <w:bCs/>
                <w:color w:val="000000"/>
                <w:sz w:val="16"/>
                <w:szCs w:val="16"/>
              </w:rPr>
            </w:pPr>
            <w:r>
              <w:rPr>
                <w:color w:val="000000"/>
                <w:sz w:val="16"/>
                <w:szCs w:val="16"/>
              </w:rPr>
              <w:t>6.5</w:t>
            </w:r>
          </w:p>
        </w:tc>
        <w:tc>
          <w:tcPr>
            <w:tcW w:w="991" w:type="dxa"/>
            <w:tcBorders>
              <w:top w:val="nil"/>
              <w:left w:val="nil"/>
              <w:bottom w:val="nil"/>
              <w:right w:val="nil"/>
            </w:tcBorders>
            <w:shd w:val="clear" w:color="auto" w:fill="auto"/>
            <w:noWrap/>
            <w:vAlign w:val="center"/>
          </w:tcPr>
          <w:p w14:paraId="31615874" w14:textId="2AAC6A96" w:rsidR="00F06A19" w:rsidRPr="00F87E34" w:rsidRDefault="00F06A19" w:rsidP="00F06A19">
            <w:pPr>
              <w:tabs>
                <w:tab w:val="decimal" w:pos="458"/>
              </w:tabs>
              <w:jc w:val="left"/>
              <w:rPr>
                <w:sz w:val="16"/>
                <w:szCs w:val="16"/>
              </w:rPr>
            </w:pPr>
            <w:r>
              <w:rPr>
                <w:color w:val="000000"/>
                <w:sz w:val="16"/>
                <w:szCs w:val="16"/>
              </w:rPr>
              <w:t>4.4</w:t>
            </w:r>
          </w:p>
        </w:tc>
        <w:tc>
          <w:tcPr>
            <w:tcW w:w="934" w:type="dxa"/>
            <w:tcBorders>
              <w:top w:val="nil"/>
              <w:left w:val="nil"/>
              <w:bottom w:val="nil"/>
              <w:right w:val="nil"/>
            </w:tcBorders>
            <w:shd w:val="clear" w:color="auto" w:fill="auto"/>
            <w:noWrap/>
            <w:vAlign w:val="center"/>
          </w:tcPr>
          <w:p w14:paraId="7E8B26B7" w14:textId="13F4AFFD" w:rsidR="00F06A19" w:rsidRPr="00F87E34" w:rsidRDefault="00F06A19" w:rsidP="00F06A19">
            <w:pPr>
              <w:tabs>
                <w:tab w:val="decimal" w:pos="444"/>
              </w:tabs>
              <w:jc w:val="left"/>
              <w:rPr>
                <w:sz w:val="16"/>
                <w:szCs w:val="16"/>
              </w:rPr>
            </w:pPr>
            <w:r>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3B592CBF" w14:textId="6389FBB3" w:rsidR="00F06A19" w:rsidRPr="00F87E34" w:rsidRDefault="00F06A19" w:rsidP="00F06A19">
            <w:pPr>
              <w:tabs>
                <w:tab w:val="decimal" w:pos="504"/>
              </w:tabs>
              <w:jc w:val="left"/>
              <w:rPr>
                <w:bCs/>
                <w:sz w:val="16"/>
                <w:szCs w:val="16"/>
              </w:rPr>
            </w:pPr>
            <w:r>
              <w:rPr>
                <w:color w:val="000000"/>
                <w:sz w:val="16"/>
                <w:szCs w:val="16"/>
              </w:rPr>
              <w:t>-2.2</w:t>
            </w:r>
          </w:p>
        </w:tc>
      </w:tr>
      <w:tr w:rsidR="00F06A19" w:rsidRPr="00F87E34" w14:paraId="2DF7397F"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F06A19" w:rsidRPr="00F87E34" w:rsidRDefault="00F06A19" w:rsidP="00F06A19">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2B483155" w:rsidR="00F06A19" w:rsidRPr="00F87E34" w:rsidRDefault="00F06A19" w:rsidP="00F06A19">
            <w:pPr>
              <w:tabs>
                <w:tab w:val="decimal" w:pos="508"/>
              </w:tabs>
              <w:jc w:val="left"/>
              <w:rPr>
                <w:bCs/>
                <w:color w:val="000000"/>
                <w:sz w:val="16"/>
                <w:szCs w:val="16"/>
              </w:rPr>
            </w:pPr>
            <w:r>
              <w:rPr>
                <w:color w:val="000000"/>
                <w:sz w:val="16"/>
                <w:szCs w:val="16"/>
              </w:rPr>
              <w:t>10.9</w:t>
            </w:r>
          </w:p>
        </w:tc>
        <w:tc>
          <w:tcPr>
            <w:tcW w:w="942" w:type="dxa"/>
            <w:tcBorders>
              <w:top w:val="nil"/>
              <w:left w:val="nil"/>
              <w:bottom w:val="nil"/>
              <w:right w:val="nil"/>
            </w:tcBorders>
            <w:shd w:val="clear" w:color="auto" w:fill="auto"/>
            <w:noWrap/>
            <w:vAlign w:val="center"/>
          </w:tcPr>
          <w:p w14:paraId="42997623" w14:textId="1573E873" w:rsidR="00F06A19" w:rsidRPr="00F87E34" w:rsidRDefault="00F06A19" w:rsidP="00F06A19">
            <w:pPr>
              <w:tabs>
                <w:tab w:val="decimal" w:pos="404"/>
              </w:tabs>
              <w:jc w:val="left"/>
              <w:rPr>
                <w:bCs/>
                <w:color w:val="000000"/>
                <w:sz w:val="16"/>
                <w:szCs w:val="16"/>
              </w:rPr>
            </w:pPr>
            <w:r>
              <w:rPr>
                <w:color w:val="000000"/>
                <w:sz w:val="16"/>
                <w:szCs w:val="16"/>
              </w:rPr>
              <w:t>2.0</w:t>
            </w:r>
          </w:p>
        </w:tc>
        <w:tc>
          <w:tcPr>
            <w:tcW w:w="1042" w:type="dxa"/>
            <w:tcBorders>
              <w:top w:val="nil"/>
              <w:left w:val="nil"/>
              <w:bottom w:val="nil"/>
              <w:right w:val="nil"/>
            </w:tcBorders>
            <w:shd w:val="clear" w:color="auto" w:fill="auto"/>
            <w:noWrap/>
            <w:vAlign w:val="center"/>
          </w:tcPr>
          <w:p w14:paraId="145607CA" w14:textId="6CEC99EA" w:rsidR="00F06A19" w:rsidRPr="00F87E34" w:rsidRDefault="00F06A19" w:rsidP="00F06A19">
            <w:pPr>
              <w:tabs>
                <w:tab w:val="decimal" w:pos="508"/>
              </w:tabs>
              <w:jc w:val="left"/>
              <w:rPr>
                <w:bCs/>
                <w:color w:val="000000"/>
                <w:sz w:val="16"/>
                <w:szCs w:val="16"/>
              </w:rPr>
            </w:pPr>
            <w:r>
              <w:rPr>
                <w:color w:val="000000"/>
                <w:sz w:val="16"/>
                <w:szCs w:val="16"/>
              </w:rPr>
              <w:t>-0.4</w:t>
            </w:r>
          </w:p>
        </w:tc>
        <w:tc>
          <w:tcPr>
            <w:tcW w:w="991" w:type="dxa"/>
            <w:tcBorders>
              <w:top w:val="nil"/>
              <w:left w:val="nil"/>
              <w:bottom w:val="nil"/>
              <w:right w:val="nil"/>
            </w:tcBorders>
            <w:shd w:val="clear" w:color="auto" w:fill="auto"/>
            <w:noWrap/>
            <w:vAlign w:val="center"/>
          </w:tcPr>
          <w:p w14:paraId="43759983" w14:textId="76B643C7" w:rsidR="00F06A19" w:rsidRPr="00F87E34" w:rsidRDefault="00F06A19" w:rsidP="00F06A19">
            <w:pPr>
              <w:tabs>
                <w:tab w:val="decimal" w:pos="458"/>
              </w:tabs>
              <w:jc w:val="left"/>
              <w:rPr>
                <w:sz w:val="16"/>
                <w:szCs w:val="16"/>
              </w:rPr>
            </w:pPr>
            <w:r>
              <w:rPr>
                <w:color w:val="000000"/>
                <w:sz w:val="16"/>
                <w:szCs w:val="16"/>
              </w:rPr>
              <w:t>9.6</w:t>
            </w:r>
          </w:p>
        </w:tc>
        <w:tc>
          <w:tcPr>
            <w:tcW w:w="934" w:type="dxa"/>
            <w:tcBorders>
              <w:top w:val="nil"/>
              <w:left w:val="nil"/>
              <w:bottom w:val="nil"/>
              <w:right w:val="nil"/>
            </w:tcBorders>
            <w:shd w:val="clear" w:color="auto" w:fill="auto"/>
            <w:noWrap/>
            <w:vAlign w:val="center"/>
          </w:tcPr>
          <w:p w14:paraId="118F1B39" w14:textId="1372013C" w:rsidR="00F06A19" w:rsidRPr="00F87E34" w:rsidRDefault="00F06A19" w:rsidP="00F06A19">
            <w:pPr>
              <w:tabs>
                <w:tab w:val="decimal" w:pos="444"/>
              </w:tabs>
              <w:jc w:val="left"/>
              <w:rPr>
                <w:sz w:val="16"/>
                <w:szCs w:val="16"/>
              </w:rPr>
            </w:pPr>
            <w:r>
              <w:rPr>
                <w:color w:val="000000"/>
                <w:sz w:val="16"/>
                <w:szCs w:val="16"/>
              </w:rPr>
              <w:t>4.2</w:t>
            </w:r>
          </w:p>
        </w:tc>
        <w:tc>
          <w:tcPr>
            <w:tcW w:w="1050" w:type="dxa"/>
            <w:tcBorders>
              <w:top w:val="nil"/>
              <w:left w:val="nil"/>
              <w:bottom w:val="nil"/>
              <w:right w:val="single" w:sz="8" w:space="0" w:color="404040"/>
            </w:tcBorders>
            <w:shd w:val="clear" w:color="auto" w:fill="auto"/>
            <w:noWrap/>
            <w:vAlign w:val="center"/>
          </w:tcPr>
          <w:p w14:paraId="3A140B03" w14:textId="57731121" w:rsidR="00F06A19" w:rsidRPr="00F87E34" w:rsidRDefault="00F06A19" w:rsidP="00F06A19">
            <w:pPr>
              <w:tabs>
                <w:tab w:val="decimal" w:pos="504"/>
              </w:tabs>
              <w:jc w:val="left"/>
              <w:rPr>
                <w:sz w:val="16"/>
                <w:szCs w:val="16"/>
              </w:rPr>
            </w:pPr>
            <w:r>
              <w:rPr>
                <w:color w:val="000000"/>
                <w:sz w:val="16"/>
                <w:szCs w:val="16"/>
              </w:rPr>
              <w:t>3.3</w:t>
            </w:r>
          </w:p>
        </w:tc>
      </w:tr>
      <w:tr w:rsidR="00F06A19" w:rsidRPr="00F87E34" w14:paraId="64F59367"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F06A19" w:rsidRPr="00F87E34" w:rsidRDefault="00F06A19" w:rsidP="00F06A19">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608B101C" w:rsidR="00F06A19" w:rsidRPr="00F87E34" w:rsidRDefault="00F06A19" w:rsidP="00F06A19">
            <w:pPr>
              <w:tabs>
                <w:tab w:val="decimal" w:pos="508"/>
              </w:tabs>
              <w:jc w:val="left"/>
              <w:rPr>
                <w:bCs/>
                <w:color w:val="000000"/>
                <w:sz w:val="16"/>
                <w:szCs w:val="16"/>
              </w:rPr>
            </w:pPr>
            <w:r>
              <w:rPr>
                <w:color w:val="000000"/>
                <w:sz w:val="16"/>
                <w:szCs w:val="16"/>
              </w:rPr>
              <w:t>9.6</w:t>
            </w:r>
          </w:p>
        </w:tc>
        <w:tc>
          <w:tcPr>
            <w:tcW w:w="942" w:type="dxa"/>
            <w:tcBorders>
              <w:top w:val="nil"/>
              <w:left w:val="nil"/>
              <w:bottom w:val="nil"/>
              <w:right w:val="nil"/>
            </w:tcBorders>
            <w:shd w:val="clear" w:color="auto" w:fill="auto"/>
            <w:noWrap/>
            <w:vAlign w:val="center"/>
          </w:tcPr>
          <w:p w14:paraId="01289560" w14:textId="61032561" w:rsidR="00F06A19" w:rsidRPr="00F87E34" w:rsidRDefault="00F06A19" w:rsidP="00F06A19">
            <w:pPr>
              <w:tabs>
                <w:tab w:val="decimal" w:pos="404"/>
              </w:tabs>
              <w:jc w:val="left"/>
              <w:rPr>
                <w:bCs/>
                <w:color w:val="000000"/>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0CF7279F" w14:textId="20917181" w:rsidR="00F06A19" w:rsidRPr="00F87E34" w:rsidRDefault="00F06A19" w:rsidP="00F06A19">
            <w:pPr>
              <w:tabs>
                <w:tab w:val="decimal" w:pos="508"/>
              </w:tabs>
              <w:jc w:val="left"/>
              <w:rPr>
                <w:bCs/>
                <w:color w:val="000000"/>
                <w:sz w:val="16"/>
                <w:szCs w:val="16"/>
              </w:rPr>
            </w:pPr>
            <w:r>
              <w:rPr>
                <w:color w:val="000000"/>
                <w:sz w:val="16"/>
                <w:szCs w:val="16"/>
              </w:rPr>
              <w:t>-0.1</w:t>
            </w:r>
          </w:p>
        </w:tc>
        <w:tc>
          <w:tcPr>
            <w:tcW w:w="991" w:type="dxa"/>
            <w:tcBorders>
              <w:top w:val="nil"/>
              <w:left w:val="nil"/>
              <w:bottom w:val="nil"/>
              <w:right w:val="nil"/>
            </w:tcBorders>
            <w:shd w:val="clear" w:color="auto" w:fill="auto"/>
            <w:noWrap/>
            <w:vAlign w:val="center"/>
          </w:tcPr>
          <w:p w14:paraId="00B7A488" w14:textId="7BBBD78C" w:rsidR="00F06A19" w:rsidRPr="00F87E34" w:rsidRDefault="00F06A19" w:rsidP="00F06A19">
            <w:pPr>
              <w:tabs>
                <w:tab w:val="decimal" w:pos="458"/>
              </w:tabs>
              <w:jc w:val="left"/>
              <w:rPr>
                <w:sz w:val="16"/>
                <w:szCs w:val="16"/>
              </w:rPr>
            </w:pPr>
            <w:r>
              <w:rPr>
                <w:color w:val="000000"/>
                <w:sz w:val="16"/>
                <w:szCs w:val="16"/>
              </w:rPr>
              <w:t>14.0</w:t>
            </w:r>
          </w:p>
        </w:tc>
        <w:tc>
          <w:tcPr>
            <w:tcW w:w="934" w:type="dxa"/>
            <w:tcBorders>
              <w:top w:val="nil"/>
              <w:left w:val="nil"/>
              <w:bottom w:val="nil"/>
              <w:right w:val="nil"/>
            </w:tcBorders>
            <w:shd w:val="clear" w:color="auto" w:fill="auto"/>
            <w:noWrap/>
            <w:vAlign w:val="center"/>
          </w:tcPr>
          <w:p w14:paraId="202FA301" w14:textId="3BE397F6" w:rsidR="00F06A19" w:rsidRPr="00F87E34" w:rsidRDefault="00F06A19" w:rsidP="00F06A19">
            <w:pPr>
              <w:tabs>
                <w:tab w:val="decimal" w:pos="444"/>
              </w:tabs>
              <w:jc w:val="left"/>
              <w:rPr>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5E8D11ED" w14:textId="11051DBE" w:rsidR="00F06A19" w:rsidRPr="00F87E34" w:rsidRDefault="00F06A19" w:rsidP="00F06A19">
            <w:pPr>
              <w:tabs>
                <w:tab w:val="decimal" w:pos="504"/>
              </w:tabs>
              <w:jc w:val="left"/>
              <w:rPr>
                <w:sz w:val="16"/>
                <w:szCs w:val="16"/>
              </w:rPr>
            </w:pPr>
            <w:r>
              <w:rPr>
                <w:color w:val="000000"/>
                <w:sz w:val="16"/>
                <w:szCs w:val="16"/>
              </w:rPr>
              <w:t>8.6</w:t>
            </w:r>
          </w:p>
        </w:tc>
      </w:tr>
      <w:tr w:rsidR="00F06A19" w:rsidRPr="00F87E34" w14:paraId="3828D442"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F06A19" w:rsidRPr="00F87E34" w:rsidRDefault="00F06A19" w:rsidP="00F06A19">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BC4C446" w:rsidR="00F06A19" w:rsidRPr="00F87E34" w:rsidRDefault="00F06A19" w:rsidP="00F06A19">
            <w:pPr>
              <w:tabs>
                <w:tab w:val="decimal" w:pos="508"/>
              </w:tabs>
              <w:jc w:val="left"/>
              <w:rPr>
                <w:bCs/>
                <w:color w:val="000000"/>
                <w:sz w:val="16"/>
                <w:szCs w:val="16"/>
              </w:rPr>
            </w:pPr>
            <w:r>
              <w:rPr>
                <w:color w:val="000000"/>
                <w:sz w:val="16"/>
                <w:szCs w:val="16"/>
              </w:rPr>
              <w:t>-1.7</w:t>
            </w:r>
          </w:p>
        </w:tc>
        <w:tc>
          <w:tcPr>
            <w:tcW w:w="942" w:type="dxa"/>
            <w:tcBorders>
              <w:top w:val="nil"/>
              <w:left w:val="nil"/>
              <w:bottom w:val="nil"/>
              <w:right w:val="nil"/>
            </w:tcBorders>
            <w:shd w:val="clear" w:color="auto" w:fill="auto"/>
            <w:noWrap/>
            <w:vAlign w:val="center"/>
          </w:tcPr>
          <w:p w14:paraId="5C03D933" w14:textId="7AEF423B" w:rsidR="00F06A19" w:rsidRPr="00F87E34" w:rsidRDefault="00F06A19" w:rsidP="00F06A19">
            <w:pPr>
              <w:tabs>
                <w:tab w:val="decimal" w:pos="404"/>
              </w:tabs>
              <w:jc w:val="left"/>
              <w:rPr>
                <w:bCs/>
                <w:color w:val="000000"/>
                <w:sz w:val="16"/>
                <w:szCs w:val="16"/>
              </w:rPr>
            </w:pPr>
            <w:r>
              <w:rPr>
                <w:color w:val="000000"/>
                <w:sz w:val="16"/>
                <w:szCs w:val="16"/>
              </w:rPr>
              <w:t>-3.9</w:t>
            </w:r>
          </w:p>
        </w:tc>
        <w:tc>
          <w:tcPr>
            <w:tcW w:w="1042" w:type="dxa"/>
            <w:tcBorders>
              <w:top w:val="nil"/>
              <w:left w:val="nil"/>
              <w:bottom w:val="nil"/>
              <w:right w:val="nil"/>
            </w:tcBorders>
            <w:shd w:val="clear" w:color="auto" w:fill="auto"/>
            <w:noWrap/>
            <w:vAlign w:val="center"/>
          </w:tcPr>
          <w:p w14:paraId="1AB05D56" w14:textId="16A1B6D4" w:rsidR="00F06A19" w:rsidRPr="00F87E34" w:rsidRDefault="00F06A19" w:rsidP="00F06A19">
            <w:pPr>
              <w:tabs>
                <w:tab w:val="decimal" w:pos="508"/>
              </w:tabs>
              <w:jc w:val="left"/>
              <w:rPr>
                <w:bCs/>
                <w:color w:val="000000"/>
                <w:sz w:val="16"/>
                <w:szCs w:val="16"/>
              </w:rPr>
            </w:pPr>
            <w:r>
              <w:rPr>
                <w:color w:val="000000"/>
                <w:sz w:val="16"/>
                <w:szCs w:val="16"/>
              </w:rPr>
              <w:t>-0.9</w:t>
            </w:r>
          </w:p>
        </w:tc>
        <w:tc>
          <w:tcPr>
            <w:tcW w:w="991" w:type="dxa"/>
            <w:tcBorders>
              <w:top w:val="nil"/>
              <w:left w:val="nil"/>
              <w:bottom w:val="nil"/>
              <w:right w:val="nil"/>
            </w:tcBorders>
            <w:shd w:val="clear" w:color="auto" w:fill="auto"/>
            <w:noWrap/>
            <w:vAlign w:val="center"/>
          </w:tcPr>
          <w:p w14:paraId="7AF95D9E" w14:textId="0789C4A5" w:rsidR="00F06A19" w:rsidRPr="00F87E34" w:rsidRDefault="00F06A19" w:rsidP="00F06A19">
            <w:pPr>
              <w:tabs>
                <w:tab w:val="decimal" w:pos="458"/>
              </w:tabs>
              <w:jc w:val="left"/>
              <w:rPr>
                <w:sz w:val="16"/>
                <w:szCs w:val="16"/>
              </w:rPr>
            </w:pPr>
            <w:r>
              <w:rPr>
                <w:color w:val="000000"/>
                <w:sz w:val="16"/>
                <w:szCs w:val="16"/>
              </w:rPr>
              <w:t>2.5</w:t>
            </w:r>
          </w:p>
        </w:tc>
        <w:tc>
          <w:tcPr>
            <w:tcW w:w="934" w:type="dxa"/>
            <w:tcBorders>
              <w:top w:val="nil"/>
              <w:left w:val="nil"/>
              <w:bottom w:val="nil"/>
              <w:right w:val="nil"/>
            </w:tcBorders>
            <w:shd w:val="clear" w:color="auto" w:fill="auto"/>
            <w:noWrap/>
            <w:vAlign w:val="center"/>
          </w:tcPr>
          <w:p w14:paraId="4B896B23" w14:textId="64CAA022" w:rsidR="00F06A19" w:rsidRPr="00F87E34" w:rsidRDefault="00F06A19" w:rsidP="00F06A19">
            <w:pPr>
              <w:tabs>
                <w:tab w:val="decimal" w:pos="444"/>
              </w:tabs>
              <w:jc w:val="left"/>
              <w:rPr>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71DFF78D" w14:textId="38DEAF64" w:rsidR="00F06A19" w:rsidRPr="00F87E34" w:rsidRDefault="00F06A19" w:rsidP="00F06A19">
            <w:pPr>
              <w:tabs>
                <w:tab w:val="decimal" w:pos="504"/>
              </w:tabs>
              <w:jc w:val="left"/>
              <w:rPr>
                <w:sz w:val="16"/>
                <w:szCs w:val="16"/>
              </w:rPr>
            </w:pPr>
            <w:r>
              <w:rPr>
                <w:color w:val="000000"/>
                <w:sz w:val="16"/>
                <w:szCs w:val="16"/>
              </w:rPr>
              <w:t>-5.9</w:t>
            </w:r>
          </w:p>
        </w:tc>
      </w:tr>
      <w:tr w:rsidR="00F06A19" w:rsidRPr="00F87E34" w14:paraId="452FDEDC"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F06A19" w:rsidRPr="00F87E34" w:rsidRDefault="00F06A19" w:rsidP="00F06A19">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35184721" w:rsidR="00F06A19" w:rsidRPr="00F87E34" w:rsidRDefault="00F06A19" w:rsidP="00F06A19">
            <w:pPr>
              <w:tabs>
                <w:tab w:val="decimal" w:pos="508"/>
              </w:tabs>
              <w:jc w:val="left"/>
              <w:rPr>
                <w:bCs/>
                <w:color w:val="000000"/>
                <w:sz w:val="16"/>
                <w:szCs w:val="16"/>
              </w:rPr>
            </w:pPr>
            <w:r>
              <w:rPr>
                <w:color w:val="000000"/>
                <w:sz w:val="16"/>
                <w:szCs w:val="16"/>
              </w:rPr>
              <w:t>10.0</w:t>
            </w:r>
          </w:p>
        </w:tc>
        <w:tc>
          <w:tcPr>
            <w:tcW w:w="942" w:type="dxa"/>
            <w:tcBorders>
              <w:top w:val="nil"/>
              <w:left w:val="nil"/>
              <w:bottom w:val="nil"/>
              <w:right w:val="nil"/>
            </w:tcBorders>
            <w:shd w:val="clear" w:color="auto" w:fill="auto"/>
            <w:noWrap/>
            <w:vAlign w:val="center"/>
          </w:tcPr>
          <w:p w14:paraId="1A145F69" w14:textId="2A5FB344" w:rsidR="00F06A19" w:rsidRPr="00F87E34" w:rsidRDefault="00F06A19" w:rsidP="00F06A19">
            <w:pPr>
              <w:tabs>
                <w:tab w:val="decimal" w:pos="404"/>
              </w:tabs>
              <w:jc w:val="left"/>
              <w:rPr>
                <w:bCs/>
                <w:color w:val="000000"/>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1A9D0BE0" w14:textId="562D1FD7" w:rsidR="00F06A19" w:rsidRPr="00F87E34" w:rsidRDefault="00F06A19" w:rsidP="00F06A19">
            <w:pPr>
              <w:tabs>
                <w:tab w:val="decimal" w:pos="508"/>
              </w:tabs>
              <w:jc w:val="left"/>
              <w:rPr>
                <w:bCs/>
                <w:color w:val="000000"/>
                <w:sz w:val="16"/>
                <w:szCs w:val="16"/>
              </w:rPr>
            </w:pPr>
            <w:r>
              <w:rPr>
                <w:color w:val="000000"/>
                <w:sz w:val="16"/>
                <w:szCs w:val="16"/>
              </w:rPr>
              <w:t>-1.1</w:t>
            </w:r>
          </w:p>
        </w:tc>
        <w:tc>
          <w:tcPr>
            <w:tcW w:w="991" w:type="dxa"/>
            <w:tcBorders>
              <w:top w:val="nil"/>
              <w:left w:val="nil"/>
              <w:bottom w:val="nil"/>
              <w:right w:val="nil"/>
            </w:tcBorders>
            <w:shd w:val="clear" w:color="auto" w:fill="auto"/>
            <w:noWrap/>
            <w:vAlign w:val="center"/>
          </w:tcPr>
          <w:p w14:paraId="15DD43DB" w14:textId="485D7772" w:rsidR="00F06A19" w:rsidRPr="00F87E34" w:rsidRDefault="00F06A19" w:rsidP="00F06A19">
            <w:pPr>
              <w:tabs>
                <w:tab w:val="decimal" w:pos="458"/>
              </w:tabs>
              <w:jc w:val="left"/>
              <w:rPr>
                <w:sz w:val="16"/>
                <w:szCs w:val="16"/>
              </w:rPr>
            </w:pPr>
            <w:r>
              <w:rPr>
                <w:color w:val="000000"/>
                <w:sz w:val="16"/>
                <w:szCs w:val="16"/>
              </w:rPr>
              <w:t>7.1</w:t>
            </w:r>
          </w:p>
        </w:tc>
        <w:tc>
          <w:tcPr>
            <w:tcW w:w="934" w:type="dxa"/>
            <w:tcBorders>
              <w:top w:val="nil"/>
              <w:left w:val="nil"/>
              <w:bottom w:val="nil"/>
              <w:right w:val="nil"/>
            </w:tcBorders>
            <w:shd w:val="clear" w:color="auto" w:fill="auto"/>
            <w:noWrap/>
            <w:vAlign w:val="center"/>
          </w:tcPr>
          <w:p w14:paraId="6480D3DE" w14:textId="7F8BA9DA" w:rsidR="00F06A19" w:rsidRPr="00F87E34" w:rsidRDefault="00F06A19" w:rsidP="00F06A19">
            <w:pPr>
              <w:tabs>
                <w:tab w:val="decimal" w:pos="444"/>
              </w:tabs>
              <w:jc w:val="left"/>
              <w:rPr>
                <w:sz w:val="16"/>
                <w:szCs w:val="16"/>
              </w:rPr>
            </w:pPr>
            <w:r>
              <w:rPr>
                <w:color w:val="000000"/>
                <w:sz w:val="16"/>
                <w:szCs w:val="16"/>
              </w:rPr>
              <w:t>-0.6</w:t>
            </w:r>
          </w:p>
        </w:tc>
        <w:tc>
          <w:tcPr>
            <w:tcW w:w="1050" w:type="dxa"/>
            <w:tcBorders>
              <w:top w:val="nil"/>
              <w:left w:val="nil"/>
              <w:bottom w:val="nil"/>
              <w:right w:val="single" w:sz="8" w:space="0" w:color="404040"/>
            </w:tcBorders>
            <w:shd w:val="clear" w:color="auto" w:fill="auto"/>
            <w:noWrap/>
            <w:vAlign w:val="center"/>
          </w:tcPr>
          <w:p w14:paraId="3D4CC50A" w14:textId="1BCC506C" w:rsidR="00F06A19" w:rsidRPr="00F87E34" w:rsidRDefault="00F06A19" w:rsidP="00F06A19">
            <w:pPr>
              <w:tabs>
                <w:tab w:val="decimal" w:pos="504"/>
              </w:tabs>
              <w:jc w:val="left"/>
              <w:rPr>
                <w:sz w:val="16"/>
                <w:szCs w:val="16"/>
              </w:rPr>
            </w:pPr>
            <w:r>
              <w:rPr>
                <w:color w:val="000000"/>
                <w:sz w:val="16"/>
                <w:szCs w:val="16"/>
              </w:rPr>
              <w:t>-2.3</w:t>
            </w:r>
          </w:p>
        </w:tc>
      </w:tr>
      <w:tr w:rsidR="00F06A19" w:rsidRPr="00F87E34" w14:paraId="49D52FDC"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F06A19" w:rsidRPr="00F87E34" w:rsidRDefault="00F06A19" w:rsidP="00F06A19">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1A2590DA" w:rsidR="00F06A19" w:rsidRPr="00F87E34" w:rsidRDefault="00F06A19" w:rsidP="00F06A19">
            <w:pPr>
              <w:tabs>
                <w:tab w:val="decimal" w:pos="508"/>
              </w:tabs>
              <w:jc w:val="left"/>
              <w:rPr>
                <w:bCs/>
                <w:color w:val="000000"/>
                <w:sz w:val="16"/>
                <w:szCs w:val="16"/>
              </w:rPr>
            </w:pPr>
            <w:r>
              <w:rPr>
                <w:color w:val="000000"/>
                <w:sz w:val="16"/>
                <w:szCs w:val="16"/>
              </w:rPr>
              <w:t>4.3</w:t>
            </w:r>
          </w:p>
        </w:tc>
        <w:tc>
          <w:tcPr>
            <w:tcW w:w="942" w:type="dxa"/>
            <w:tcBorders>
              <w:top w:val="nil"/>
              <w:left w:val="nil"/>
              <w:bottom w:val="nil"/>
              <w:right w:val="nil"/>
            </w:tcBorders>
            <w:shd w:val="clear" w:color="auto" w:fill="auto"/>
            <w:noWrap/>
            <w:vAlign w:val="center"/>
          </w:tcPr>
          <w:p w14:paraId="0DD1C88A" w14:textId="68E833B7" w:rsidR="00F06A19" w:rsidRPr="00F87E34" w:rsidRDefault="00F06A19" w:rsidP="00F06A19">
            <w:pPr>
              <w:tabs>
                <w:tab w:val="decimal" w:pos="404"/>
              </w:tabs>
              <w:jc w:val="left"/>
              <w:rPr>
                <w:bCs/>
                <w:color w:val="000000"/>
                <w:sz w:val="16"/>
                <w:szCs w:val="16"/>
              </w:rPr>
            </w:pPr>
            <w:r>
              <w:rPr>
                <w:color w:val="000000"/>
                <w:sz w:val="16"/>
                <w:szCs w:val="16"/>
              </w:rPr>
              <w:t>4.1</w:t>
            </w:r>
          </w:p>
        </w:tc>
        <w:tc>
          <w:tcPr>
            <w:tcW w:w="1042" w:type="dxa"/>
            <w:tcBorders>
              <w:top w:val="nil"/>
              <w:left w:val="nil"/>
              <w:bottom w:val="nil"/>
              <w:right w:val="nil"/>
            </w:tcBorders>
            <w:shd w:val="clear" w:color="auto" w:fill="auto"/>
            <w:noWrap/>
            <w:vAlign w:val="center"/>
          </w:tcPr>
          <w:p w14:paraId="4407044A" w14:textId="4F938C3D" w:rsidR="00F06A19" w:rsidRPr="00F87E34" w:rsidRDefault="00F06A19" w:rsidP="00F06A19">
            <w:pPr>
              <w:tabs>
                <w:tab w:val="decimal" w:pos="508"/>
              </w:tabs>
              <w:jc w:val="left"/>
              <w:rPr>
                <w:bCs/>
                <w:color w:val="000000"/>
                <w:sz w:val="16"/>
                <w:szCs w:val="16"/>
              </w:rPr>
            </w:pPr>
            <w:r>
              <w:rPr>
                <w:color w:val="000000"/>
                <w:sz w:val="16"/>
                <w:szCs w:val="16"/>
              </w:rPr>
              <w:t>-3.6</w:t>
            </w:r>
          </w:p>
        </w:tc>
        <w:tc>
          <w:tcPr>
            <w:tcW w:w="991" w:type="dxa"/>
            <w:tcBorders>
              <w:top w:val="nil"/>
              <w:left w:val="nil"/>
              <w:bottom w:val="nil"/>
              <w:right w:val="nil"/>
            </w:tcBorders>
            <w:shd w:val="clear" w:color="auto" w:fill="auto"/>
            <w:noWrap/>
            <w:vAlign w:val="center"/>
          </w:tcPr>
          <w:p w14:paraId="5C3C6086" w14:textId="1648BD44" w:rsidR="00F06A19" w:rsidRPr="00F87E34" w:rsidRDefault="00F06A19" w:rsidP="00F06A19">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134FE620" w14:textId="0E5D89D3" w:rsidR="00F06A19" w:rsidRPr="00F87E34" w:rsidRDefault="00F06A19" w:rsidP="00F06A19">
            <w:pPr>
              <w:tabs>
                <w:tab w:val="decimal" w:pos="444"/>
              </w:tabs>
              <w:jc w:val="left"/>
              <w:rPr>
                <w:sz w:val="16"/>
                <w:szCs w:val="16"/>
              </w:rPr>
            </w:pPr>
            <w:r>
              <w:rPr>
                <w:color w:val="000000"/>
                <w:sz w:val="16"/>
                <w:szCs w:val="16"/>
              </w:rPr>
              <w:t>-0.9</w:t>
            </w:r>
          </w:p>
        </w:tc>
        <w:tc>
          <w:tcPr>
            <w:tcW w:w="1050" w:type="dxa"/>
            <w:tcBorders>
              <w:top w:val="nil"/>
              <w:left w:val="nil"/>
              <w:bottom w:val="nil"/>
              <w:right w:val="single" w:sz="8" w:space="0" w:color="404040"/>
            </w:tcBorders>
            <w:shd w:val="clear" w:color="auto" w:fill="auto"/>
            <w:noWrap/>
            <w:vAlign w:val="center"/>
          </w:tcPr>
          <w:p w14:paraId="7B3C0D3F" w14:textId="1D0F4617" w:rsidR="00F06A19" w:rsidRPr="00F87E34" w:rsidRDefault="00F06A19" w:rsidP="00F06A19">
            <w:pPr>
              <w:tabs>
                <w:tab w:val="decimal" w:pos="504"/>
              </w:tabs>
              <w:jc w:val="left"/>
              <w:rPr>
                <w:sz w:val="16"/>
                <w:szCs w:val="16"/>
              </w:rPr>
            </w:pPr>
            <w:r>
              <w:rPr>
                <w:color w:val="000000"/>
                <w:sz w:val="16"/>
                <w:szCs w:val="16"/>
              </w:rPr>
              <w:t>3.0</w:t>
            </w:r>
          </w:p>
        </w:tc>
      </w:tr>
      <w:tr w:rsidR="00F06A19" w:rsidRPr="00F87E34" w14:paraId="7793830F"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F06A19" w:rsidRPr="00F87E34" w:rsidRDefault="00F06A19" w:rsidP="00F06A19">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2A86FDC6" w:rsidR="00F06A19" w:rsidRPr="00F87E34" w:rsidRDefault="00F06A19" w:rsidP="00F06A19">
            <w:pPr>
              <w:tabs>
                <w:tab w:val="decimal" w:pos="508"/>
              </w:tabs>
              <w:jc w:val="left"/>
              <w:rPr>
                <w:bCs/>
                <w:color w:val="000000"/>
                <w:sz w:val="16"/>
                <w:szCs w:val="16"/>
              </w:rPr>
            </w:pPr>
            <w:r>
              <w:rPr>
                <w:color w:val="000000"/>
                <w:sz w:val="16"/>
                <w:szCs w:val="16"/>
              </w:rPr>
              <w:t>10.3</w:t>
            </w:r>
          </w:p>
        </w:tc>
        <w:tc>
          <w:tcPr>
            <w:tcW w:w="942" w:type="dxa"/>
            <w:tcBorders>
              <w:top w:val="nil"/>
              <w:left w:val="nil"/>
              <w:bottom w:val="nil"/>
              <w:right w:val="nil"/>
            </w:tcBorders>
            <w:shd w:val="clear" w:color="auto" w:fill="auto"/>
            <w:noWrap/>
            <w:vAlign w:val="center"/>
          </w:tcPr>
          <w:p w14:paraId="132225AA" w14:textId="14800286" w:rsidR="00F06A19" w:rsidRPr="00F87E34" w:rsidRDefault="00F06A19" w:rsidP="00F06A19">
            <w:pPr>
              <w:tabs>
                <w:tab w:val="decimal" w:pos="404"/>
              </w:tabs>
              <w:jc w:val="left"/>
              <w:rPr>
                <w:bCs/>
                <w:color w:val="000000"/>
                <w:sz w:val="16"/>
                <w:szCs w:val="16"/>
              </w:rPr>
            </w:pPr>
            <w:r>
              <w:rPr>
                <w:color w:val="000000"/>
                <w:sz w:val="16"/>
                <w:szCs w:val="16"/>
              </w:rPr>
              <w:t>20.0</w:t>
            </w:r>
          </w:p>
        </w:tc>
        <w:tc>
          <w:tcPr>
            <w:tcW w:w="1042" w:type="dxa"/>
            <w:tcBorders>
              <w:top w:val="nil"/>
              <w:left w:val="nil"/>
              <w:bottom w:val="nil"/>
              <w:right w:val="nil"/>
            </w:tcBorders>
            <w:shd w:val="clear" w:color="auto" w:fill="auto"/>
            <w:noWrap/>
            <w:vAlign w:val="center"/>
          </w:tcPr>
          <w:p w14:paraId="200BB3E4" w14:textId="6D1139E8" w:rsidR="00F06A19" w:rsidRPr="00F87E34" w:rsidRDefault="00F06A19" w:rsidP="00F06A19">
            <w:pPr>
              <w:tabs>
                <w:tab w:val="decimal" w:pos="508"/>
              </w:tabs>
              <w:jc w:val="left"/>
              <w:rPr>
                <w:bCs/>
                <w:color w:val="000000"/>
                <w:sz w:val="16"/>
                <w:szCs w:val="16"/>
              </w:rPr>
            </w:pPr>
            <w:r>
              <w:rPr>
                <w:color w:val="000000"/>
                <w:sz w:val="16"/>
                <w:szCs w:val="16"/>
              </w:rPr>
              <w:t>-9.7</w:t>
            </w:r>
          </w:p>
        </w:tc>
        <w:tc>
          <w:tcPr>
            <w:tcW w:w="991" w:type="dxa"/>
            <w:tcBorders>
              <w:top w:val="nil"/>
              <w:left w:val="nil"/>
              <w:bottom w:val="nil"/>
              <w:right w:val="nil"/>
            </w:tcBorders>
            <w:shd w:val="clear" w:color="auto" w:fill="auto"/>
            <w:noWrap/>
            <w:vAlign w:val="center"/>
          </w:tcPr>
          <w:p w14:paraId="7C00F017" w14:textId="70078001" w:rsidR="00F06A19" w:rsidRPr="00F87E34" w:rsidRDefault="00F06A19" w:rsidP="00F06A19">
            <w:pPr>
              <w:tabs>
                <w:tab w:val="decimal" w:pos="458"/>
              </w:tabs>
              <w:jc w:val="left"/>
              <w:rPr>
                <w:sz w:val="16"/>
                <w:szCs w:val="16"/>
              </w:rPr>
            </w:pPr>
            <w:r>
              <w:rPr>
                <w:color w:val="000000"/>
                <w:sz w:val="16"/>
                <w:szCs w:val="16"/>
              </w:rPr>
              <w:t>20.0</w:t>
            </w:r>
          </w:p>
        </w:tc>
        <w:tc>
          <w:tcPr>
            <w:tcW w:w="934" w:type="dxa"/>
            <w:tcBorders>
              <w:top w:val="nil"/>
              <w:left w:val="nil"/>
              <w:bottom w:val="nil"/>
              <w:right w:val="nil"/>
            </w:tcBorders>
            <w:shd w:val="clear" w:color="auto" w:fill="auto"/>
            <w:noWrap/>
            <w:vAlign w:val="center"/>
          </w:tcPr>
          <w:p w14:paraId="4B07A062" w14:textId="5D9E2C49" w:rsidR="00F06A19" w:rsidRPr="00F87E34" w:rsidRDefault="00F06A19" w:rsidP="00F06A19">
            <w:pPr>
              <w:tabs>
                <w:tab w:val="decimal" w:pos="444"/>
              </w:tabs>
              <w:jc w:val="left"/>
              <w:rPr>
                <w:sz w:val="16"/>
                <w:szCs w:val="16"/>
              </w:rPr>
            </w:pPr>
            <w:r>
              <w:rPr>
                <w:color w:val="000000"/>
                <w:sz w:val="16"/>
                <w:szCs w:val="16"/>
              </w:rPr>
              <w:t>4.7</w:t>
            </w:r>
          </w:p>
        </w:tc>
        <w:tc>
          <w:tcPr>
            <w:tcW w:w="1050" w:type="dxa"/>
            <w:tcBorders>
              <w:top w:val="nil"/>
              <w:left w:val="nil"/>
              <w:bottom w:val="nil"/>
              <w:right w:val="single" w:sz="8" w:space="0" w:color="404040"/>
            </w:tcBorders>
            <w:shd w:val="clear" w:color="auto" w:fill="auto"/>
            <w:noWrap/>
            <w:vAlign w:val="center"/>
          </w:tcPr>
          <w:p w14:paraId="7EA0BD85" w14:textId="1A7DDA06" w:rsidR="00F06A19" w:rsidRPr="00F87E34" w:rsidRDefault="00F06A19" w:rsidP="00F06A19">
            <w:pPr>
              <w:tabs>
                <w:tab w:val="decimal" w:pos="504"/>
              </w:tabs>
              <w:jc w:val="left"/>
              <w:rPr>
                <w:sz w:val="16"/>
                <w:szCs w:val="16"/>
              </w:rPr>
            </w:pPr>
            <w:r>
              <w:rPr>
                <w:color w:val="000000"/>
                <w:sz w:val="16"/>
                <w:szCs w:val="16"/>
              </w:rPr>
              <w:t>0.3</w:t>
            </w:r>
          </w:p>
        </w:tc>
      </w:tr>
      <w:tr w:rsidR="00F06A19" w:rsidRPr="00F87E34" w14:paraId="5719F551"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F06A19" w:rsidRPr="00F87E34" w:rsidRDefault="00F06A19" w:rsidP="00F06A19">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4FE80534" w:rsidR="00F06A19" w:rsidRPr="00F87E34" w:rsidRDefault="00F06A19" w:rsidP="00F06A19">
            <w:pPr>
              <w:tabs>
                <w:tab w:val="decimal" w:pos="508"/>
              </w:tabs>
              <w:jc w:val="left"/>
              <w:rPr>
                <w:bCs/>
                <w:color w:val="000000"/>
                <w:sz w:val="16"/>
                <w:szCs w:val="16"/>
              </w:rPr>
            </w:pPr>
            <w:r>
              <w:rPr>
                <w:color w:val="000000"/>
                <w:sz w:val="16"/>
                <w:szCs w:val="16"/>
              </w:rPr>
              <w:t>6.2</w:t>
            </w:r>
          </w:p>
        </w:tc>
        <w:tc>
          <w:tcPr>
            <w:tcW w:w="942" w:type="dxa"/>
            <w:tcBorders>
              <w:top w:val="nil"/>
              <w:left w:val="nil"/>
              <w:bottom w:val="nil"/>
              <w:right w:val="nil"/>
            </w:tcBorders>
            <w:shd w:val="clear" w:color="auto" w:fill="auto"/>
            <w:noWrap/>
            <w:vAlign w:val="center"/>
          </w:tcPr>
          <w:p w14:paraId="713C4591" w14:textId="471F4A1F" w:rsidR="00F06A19" w:rsidRPr="00F87E34" w:rsidRDefault="00F06A19" w:rsidP="00F06A19">
            <w:pPr>
              <w:tabs>
                <w:tab w:val="decimal" w:pos="404"/>
              </w:tabs>
              <w:jc w:val="left"/>
              <w:rPr>
                <w:bCs/>
                <w:color w:val="000000"/>
                <w:sz w:val="16"/>
                <w:szCs w:val="16"/>
              </w:rPr>
            </w:pPr>
            <w:r>
              <w:rPr>
                <w:color w:val="000000"/>
                <w:sz w:val="16"/>
                <w:szCs w:val="16"/>
              </w:rPr>
              <w:t>7.3</w:t>
            </w:r>
          </w:p>
        </w:tc>
        <w:tc>
          <w:tcPr>
            <w:tcW w:w="1042" w:type="dxa"/>
            <w:tcBorders>
              <w:top w:val="nil"/>
              <w:left w:val="nil"/>
              <w:bottom w:val="nil"/>
              <w:right w:val="nil"/>
            </w:tcBorders>
            <w:shd w:val="clear" w:color="auto" w:fill="auto"/>
            <w:noWrap/>
            <w:vAlign w:val="center"/>
          </w:tcPr>
          <w:p w14:paraId="3045C3B6" w14:textId="3039B6F7" w:rsidR="00F06A19" w:rsidRPr="00F87E34" w:rsidRDefault="00F06A19" w:rsidP="00F06A19">
            <w:pPr>
              <w:tabs>
                <w:tab w:val="decimal" w:pos="508"/>
              </w:tabs>
              <w:jc w:val="left"/>
              <w:rPr>
                <w:bCs/>
                <w:color w:val="000000"/>
                <w:sz w:val="16"/>
                <w:szCs w:val="16"/>
              </w:rPr>
            </w:pPr>
            <w:r>
              <w:rPr>
                <w:color w:val="000000"/>
                <w:sz w:val="16"/>
                <w:szCs w:val="16"/>
              </w:rPr>
              <w:t>-3.1</w:t>
            </w:r>
          </w:p>
        </w:tc>
        <w:tc>
          <w:tcPr>
            <w:tcW w:w="991" w:type="dxa"/>
            <w:tcBorders>
              <w:top w:val="nil"/>
              <w:left w:val="nil"/>
              <w:bottom w:val="nil"/>
              <w:right w:val="nil"/>
            </w:tcBorders>
            <w:shd w:val="clear" w:color="auto" w:fill="auto"/>
            <w:noWrap/>
            <w:vAlign w:val="center"/>
          </w:tcPr>
          <w:p w14:paraId="7F71F6A7" w14:textId="22018CA6" w:rsidR="00F06A19" w:rsidRPr="00F87E34" w:rsidRDefault="00F06A19" w:rsidP="00F06A19">
            <w:pPr>
              <w:tabs>
                <w:tab w:val="decimal" w:pos="458"/>
              </w:tabs>
              <w:jc w:val="left"/>
              <w:rPr>
                <w:sz w:val="16"/>
                <w:szCs w:val="16"/>
              </w:rPr>
            </w:pPr>
            <w:r>
              <w:rPr>
                <w:color w:val="000000"/>
                <w:sz w:val="16"/>
                <w:szCs w:val="16"/>
              </w:rPr>
              <w:t>7.0</w:t>
            </w:r>
          </w:p>
        </w:tc>
        <w:tc>
          <w:tcPr>
            <w:tcW w:w="934" w:type="dxa"/>
            <w:tcBorders>
              <w:top w:val="nil"/>
              <w:left w:val="nil"/>
              <w:bottom w:val="nil"/>
              <w:right w:val="nil"/>
            </w:tcBorders>
            <w:shd w:val="clear" w:color="auto" w:fill="auto"/>
            <w:noWrap/>
            <w:vAlign w:val="center"/>
          </w:tcPr>
          <w:p w14:paraId="52106731" w14:textId="5AF63222" w:rsidR="00F06A19" w:rsidRPr="00F87E34" w:rsidRDefault="00F06A19" w:rsidP="00F06A19">
            <w:pPr>
              <w:tabs>
                <w:tab w:val="decimal" w:pos="444"/>
              </w:tabs>
              <w:jc w:val="left"/>
              <w:rPr>
                <w:sz w:val="16"/>
                <w:szCs w:val="16"/>
              </w:rPr>
            </w:pPr>
            <w:r>
              <w:rPr>
                <w:color w:val="000000"/>
                <w:sz w:val="16"/>
                <w:szCs w:val="16"/>
              </w:rPr>
              <w:t>2.7</w:t>
            </w:r>
          </w:p>
        </w:tc>
        <w:tc>
          <w:tcPr>
            <w:tcW w:w="1050" w:type="dxa"/>
            <w:tcBorders>
              <w:top w:val="nil"/>
              <w:left w:val="nil"/>
              <w:bottom w:val="nil"/>
              <w:right w:val="single" w:sz="8" w:space="0" w:color="404040"/>
            </w:tcBorders>
            <w:shd w:val="clear" w:color="auto" w:fill="auto"/>
            <w:noWrap/>
            <w:vAlign w:val="center"/>
          </w:tcPr>
          <w:p w14:paraId="5A53ACD3" w14:textId="175D4E3C" w:rsidR="00F06A19" w:rsidRPr="00F87E34" w:rsidRDefault="00F06A19" w:rsidP="00F06A19">
            <w:pPr>
              <w:tabs>
                <w:tab w:val="decimal" w:pos="504"/>
              </w:tabs>
              <w:jc w:val="left"/>
              <w:rPr>
                <w:sz w:val="16"/>
                <w:szCs w:val="16"/>
              </w:rPr>
            </w:pPr>
            <w:r>
              <w:rPr>
                <w:color w:val="000000"/>
                <w:sz w:val="16"/>
                <w:szCs w:val="16"/>
              </w:rPr>
              <w:t>-3.1</w:t>
            </w:r>
          </w:p>
        </w:tc>
      </w:tr>
      <w:tr w:rsidR="00F06A19" w:rsidRPr="00F87E34" w14:paraId="70148ECF"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F06A19" w:rsidRPr="00F87E34" w:rsidRDefault="00F06A19" w:rsidP="00F06A19">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16EE9BEA" w:rsidR="00F06A19" w:rsidRPr="00F87E34" w:rsidRDefault="00F06A19" w:rsidP="00F06A19">
            <w:pPr>
              <w:tabs>
                <w:tab w:val="decimal" w:pos="508"/>
              </w:tabs>
              <w:jc w:val="left"/>
              <w:rPr>
                <w:bCs/>
                <w:color w:val="000000"/>
                <w:sz w:val="16"/>
                <w:szCs w:val="16"/>
              </w:rPr>
            </w:pPr>
            <w:r>
              <w:rPr>
                <w:color w:val="000000"/>
                <w:sz w:val="16"/>
                <w:szCs w:val="16"/>
              </w:rPr>
              <w:t>3.1</w:t>
            </w:r>
          </w:p>
        </w:tc>
        <w:tc>
          <w:tcPr>
            <w:tcW w:w="942" w:type="dxa"/>
            <w:tcBorders>
              <w:top w:val="nil"/>
              <w:left w:val="nil"/>
              <w:bottom w:val="nil"/>
              <w:right w:val="nil"/>
            </w:tcBorders>
            <w:shd w:val="clear" w:color="auto" w:fill="auto"/>
            <w:noWrap/>
            <w:vAlign w:val="center"/>
          </w:tcPr>
          <w:p w14:paraId="60D2E44A" w14:textId="642CAD20" w:rsidR="00F06A19" w:rsidRPr="00F87E34" w:rsidRDefault="00F06A19" w:rsidP="00F06A19">
            <w:pPr>
              <w:tabs>
                <w:tab w:val="decimal" w:pos="404"/>
              </w:tabs>
              <w:jc w:val="left"/>
              <w:rPr>
                <w:bCs/>
                <w:color w:val="000000"/>
                <w:sz w:val="16"/>
                <w:szCs w:val="16"/>
              </w:rPr>
            </w:pPr>
            <w:r>
              <w:rPr>
                <w:color w:val="000000"/>
                <w:sz w:val="16"/>
                <w:szCs w:val="16"/>
              </w:rPr>
              <w:t>1.8</w:t>
            </w:r>
          </w:p>
        </w:tc>
        <w:tc>
          <w:tcPr>
            <w:tcW w:w="1042" w:type="dxa"/>
            <w:tcBorders>
              <w:top w:val="nil"/>
              <w:left w:val="nil"/>
              <w:bottom w:val="nil"/>
              <w:right w:val="nil"/>
            </w:tcBorders>
            <w:shd w:val="clear" w:color="auto" w:fill="auto"/>
            <w:noWrap/>
            <w:vAlign w:val="center"/>
          </w:tcPr>
          <w:p w14:paraId="158CDCB4" w14:textId="4A19701E" w:rsidR="00F06A19" w:rsidRPr="00F87E34" w:rsidRDefault="00F06A19" w:rsidP="00F06A19">
            <w:pPr>
              <w:tabs>
                <w:tab w:val="decimal" w:pos="508"/>
              </w:tabs>
              <w:jc w:val="left"/>
              <w:rPr>
                <w:bCs/>
                <w:color w:val="000000"/>
                <w:sz w:val="16"/>
                <w:szCs w:val="16"/>
              </w:rPr>
            </w:pPr>
            <w:r>
              <w:rPr>
                <w:color w:val="000000"/>
                <w:sz w:val="16"/>
                <w:szCs w:val="16"/>
              </w:rPr>
              <w:t>-9.8</w:t>
            </w:r>
          </w:p>
        </w:tc>
        <w:tc>
          <w:tcPr>
            <w:tcW w:w="991" w:type="dxa"/>
            <w:tcBorders>
              <w:top w:val="nil"/>
              <w:left w:val="nil"/>
              <w:bottom w:val="nil"/>
              <w:right w:val="nil"/>
            </w:tcBorders>
            <w:shd w:val="clear" w:color="auto" w:fill="auto"/>
            <w:noWrap/>
            <w:vAlign w:val="center"/>
          </w:tcPr>
          <w:p w14:paraId="57FB957E" w14:textId="0C0EEB3A" w:rsidR="00F06A19" w:rsidRPr="00F87E34" w:rsidRDefault="00F06A19" w:rsidP="00F06A19">
            <w:pPr>
              <w:tabs>
                <w:tab w:val="decimal" w:pos="458"/>
              </w:tabs>
              <w:jc w:val="left"/>
              <w:rPr>
                <w:sz w:val="16"/>
                <w:szCs w:val="16"/>
              </w:rPr>
            </w:pPr>
            <w:r>
              <w:rPr>
                <w:color w:val="000000"/>
                <w:sz w:val="16"/>
                <w:szCs w:val="16"/>
              </w:rPr>
              <w:t>-1.0</w:t>
            </w:r>
          </w:p>
        </w:tc>
        <w:tc>
          <w:tcPr>
            <w:tcW w:w="934" w:type="dxa"/>
            <w:tcBorders>
              <w:top w:val="nil"/>
              <w:left w:val="nil"/>
              <w:bottom w:val="nil"/>
              <w:right w:val="nil"/>
            </w:tcBorders>
            <w:shd w:val="clear" w:color="auto" w:fill="auto"/>
            <w:noWrap/>
            <w:vAlign w:val="center"/>
          </w:tcPr>
          <w:p w14:paraId="69A2F423" w14:textId="71C34332" w:rsidR="00F06A19" w:rsidRPr="00F87E34" w:rsidRDefault="00F06A19" w:rsidP="00F06A19">
            <w:pPr>
              <w:tabs>
                <w:tab w:val="decimal" w:pos="444"/>
              </w:tabs>
              <w:jc w:val="left"/>
              <w:rPr>
                <w:sz w:val="16"/>
                <w:szCs w:val="16"/>
              </w:rPr>
            </w:pPr>
            <w:r>
              <w:rPr>
                <w:color w:val="000000"/>
                <w:sz w:val="16"/>
                <w:szCs w:val="16"/>
              </w:rPr>
              <w:t>5.2</w:t>
            </w:r>
          </w:p>
        </w:tc>
        <w:tc>
          <w:tcPr>
            <w:tcW w:w="1050" w:type="dxa"/>
            <w:tcBorders>
              <w:top w:val="nil"/>
              <w:left w:val="nil"/>
              <w:bottom w:val="nil"/>
              <w:right w:val="single" w:sz="8" w:space="0" w:color="404040"/>
            </w:tcBorders>
            <w:shd w:val="clear" w:color="auto" w:fill="auto"/>
            <w:noWrap/>
            <w:vAlign w:val="center"/>
          </w:tcPr>
          <w:p w14:paraId="2B7CDC1A" w14:textId="74CAC019" w:rsidR="00F06A19" w:rsidRPr="00F87E34" w:rsidRDefault="00F06A19" w:rsidP="00F06A19">
            <w:pPr>
              <w:tabs>
                <w:tab w:val="decimal" w:pos="504"/>
              </w:tabs>
              <w:jc w:val="left"/>
              <w:rPr>
                <w:sz w:val="16"/>
                <w:szCs w:val="16"/>
              </w:rPr>
            </w:pPr>
            <w:r>
              <w:rPr>
                <w:color w:val="000000"/>
                <w:sz w:val="16"/>
                <w:szCs w:val="16"/>
              </w:rPr>
              <w:t>-2.5</w:t>
            </w:r>
          </w:p>
        </w:tc>
      </w:tr>
      <w:tr w:rsidR="00F06A19" w:rsidRPr="00F87E34" w14:paraId="0B357A9F"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F06A19" w:rsidRPr="00F87E34" w:rsidRDefault="00F06A19" w:rsidP="00F06A19">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0EB46E10" w:rsidR="00F06A19" w:rsidRPr="00F87E34" w:rsidRDefault="00F06A19" w:rsidP="00F06A19">
            <w:pPr>
              <w:tabs>
                <w:tab w:val="decimal" w:pos="508"/>
              </w:tabs>
              <w:jc w:val="left"/>
              <w:rPr>
                <w:bCs/>
                <w:color w:val="000000"/>
                <w:sz w:val="16"/>
                <w:szCs w:val="16"/>
              </w:rPr>
            </w:pPr>
            <w:r>
              <w:rPr>
                <w:color w:val="000000"/>
                <w:sz w:val="16"/>
                <w:szCs w:val="16"/>
              </w:rPr>
              <w:t>-0.4</w:t>
            </w:r>
          </w:p>
        </w:tc>
        <w:tc>
          <w:tcPr>
            <w:tcW w:w="942" w:type="dxa"/>
            <w:tcBorders>
              <w:top w:val="nil"/>
              <w:left w:val="nil"/>
              <w:bottom w:val="nil"/>
              <w:right w:val="nil"/>
            </w:tcBorders>
            <w:shd w:val="clear" w:color="auto" w:fill="auto"/>
            <w:noWrap/>
            <w:vAlign w:val="center"/>
          </w:tcPr>
          <w:p w14:paraId="604F4EB7" w14:textId="02E4DC22" w:rsidR="00F06A19" w:rsidRPr="00F87E34" w:rsidRDefault="00F06A19" w:rsidP="00F06A19">
            <w:pPr>
              <w:tabs>
                <w:tab w:val="decimal" w:pos="404"/>
              </w:tabs>
              <w:jc w:val="left"/>
              <w:rPr>
                <w:bCs/>
                <w:color w:val="000000"/>
                <w:sz w:val="16"/>
                <w:szCs w:val="16"/>
              </w:rPr>
            </w:pPr>
            <w:r>
              <w:rPr>
                <w:color w:val="000000"/>
                <w:sz w:val="16"/>
                <w:szCs w:val="16"/>
              </w:rPr>
              <w:t>1.5</w:t>
            </w:r>
          </w:p>
        </w:tc>
        <w:tc>
          <w:tcPr>
            <w:tcW w:w="1042" w:type="dxa"/>
            <w:tcBorders>
              <w:top w:val="nil"/>
              <w:left w:val="nil"/>
              <w:bottom w:val="nil"/>
              <w:right w:val="nil"/>
            </w:tcBorders>
            <w:shd w:val="clear" w:color="auto" w:fill="auto"/>
            <w:noWrap/>
            <w:vAlign w:val="center"/>
          </w:tcPr>
          <w:p w14:paraId="5D8BA7DB" w14:textId="74387951" w:rsidR="00F06A19" w:rsidRPr="00F87E34" w:rsidRDefault="00F06A19" w:rsidP="00F06A19">
            <w:pPr>
              <w:tabs>
                <w:tab w:val="decimal" w:pos="508"/>
              </w:tabs>
              <w:jc w:val="left"/>
              <w:rPr>
                <w:bCs/>
                <w:color w:val="000000"/>
                <w:sz w:val="16"/>
                <w:szCs w:val="16"/>
              </w:rPr>
            </w:pPr>
            <w:r>
              <w:rPr>
                <w:color w:val="000000"/>
                <w:sz w:val="16"/>
                <w:szCs w:val="16"/>
              </w:rPr>
              <w:t>3.0</w:t>
            </w:r>
          </w:p>
        </w:tc>
        <w:tc>
          <w:tcPr>
            <w:tcW w:w="991" w:type="dxa"/>
            <w:tcBorders>
              <w:top w:val="nil"/>
              <w:left w:val="nil"/>
              <w:bottom w:val="nil"/>
              <w:right w:val="nil"/>
            </w:tcBorders>
            <w:shd w:val="clear" w:color="auto" w:fill="auto"/>
            <w:noWrap/>
            <w:vAlign w:val="center"/>
          </w:tcPr>
          <w:p w14:paraId="51B3738B" w14:textId="66B76F26" w:rsidR="00F06A19" w:rsidRPr="00F87E34" w:rsidRDefault="00F06A19" w:rsidP="00F06A19">
            <w:pPr>
              <w:tabs>
                <w:tab w:val="decimal" w:pos="458"/>
              </w:tabs>
              <w:jc w:val="left"/>
              <w:rPr>
                <w:sz w:val="16"/>
                <w:szCs w:val="16"/>
              </w:rPr>
            </w:pPr>
            <w:r>
              <w:rPr>
                <w:color w:val="000000"/>
                <w:sz w:val="16"/>
                <w:szCs w:val="16"/>
              </w:rPr>
              <w:t>6.4</w:t>
            </w:r>
          </w:p>
        </w:tc>
        <w:tc>
          <w:tcPr>
            <w:tcW w:w="934" w:type="dxa"/>
            <w:tcBorders>
              <w:top w:val="nil"/>
              <w:left w:val="nil"/>
              <w:bottom w:val="nil"/>
              <w:right w:val="nil"/>
            </w:tcBorders>
            <w:shd w:val="clear" w:color="auto" w:fill="auto"/>
            <w:noWrap/>
            <w:vAlign w:val="center"/>
          </w:tcPr>
          <w:p w14:paraId="6C64866B" w14:textId="16F000EF" w:rsidR="00F06A19" w:rsidRPr="00F87E34" w:rsidRDefault="00F06A19" w:rsidP="00F06A19">
            <w:pPr>
              <w:tabs>
                <w:tab w:val="decimal" w:pos="444"/>
              </w:tabs>
              <w:jc w:val="left"/>
              <w:rPr>
                <w:sz w:val="16"/>
                <w:szCs w:val="16"/>
              </w:rPr>
            </w:pPr>
            <w:r>
              <w:rPr>
                <w:color w:val="000000"/>
                <w:sz w:val="16"/>
                <w:szCs w:val="16"/>
              </w:rPr>
              <w:t>-4.5</w:t>
            </w:r>
          </w:p>
        </w:tc>
        <w:tc>
          <w:tcPr>
            <w:tcW w:w="1050" w:type="dxa"/>
            <w:tcBorders>
              <w:top w:val="nil"/>
              <w:left w:val="nil"/>
              <w:bottom w:val="nil"/>
              <w:right w:val="single" w:sz="8" w:space="0" w:color="404040"/>
            </w:tcBorders>
            <w:shd w:val="clear" w:color="auto" w:fill="auto"/>
            <w:noWrap/>
            <w:vAlign w:val="center"/>
          </w:tcPr>
          <w:p w14:paraId="6785986D" w14:textId="6280E6FA" w:rsidR="00F06A19" w:rsidRPr="00F87E34" w:rsidRDefault="00F06A19" w:rsidP="00F06A19">
            <w:pPr>
              <w:tabs>
                <w:tab w:val="decimal" w:pos="504"/>
              </w:tabs>
              <w:jc w:val="left"/>
              <w:rPr>
                <w:sz w:val="16"/>
                <w:szCs w:val="16"/>
              </w:rPr>
            </w:pPr>
            <w:r>
              <w:rPr>
                <w:color w:val="000000"/>
                <w:sz w:val="16"/>
                <w:szCs w:val="16"/>
              </w:rPr>
              <w:t>-7.0</w:t>
            </w:r>
          </w:p>
        </w:tc>
      </w:tr>
      <w:tr w:rsidR="00F06A19" w:rsidRPr="00F87E34" w14:paraId="6CBD1E1B"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F06A19" w:rsidRPr="00F87E34" w:rsidRDefault="00F06A19" w:rsidP="00F06A19">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3DBF6B1" w:rsidR="00F06A19" w:rsidRPr="00F87E34" w:rsidRDefault="00F06A19" w:rsidP="00F06A19">
            <w:pPr>
              <w:tabs>
                <w:tab w:val="decimal" w:pos="508"/>
              </w:tabs>
              <w:jc w:val="left"/>
              <w:rPr>
                <w:bCs/>
                <w:color w:val="000000"/>
                <w:sz w:val="16"/>
                <w:szCs w:val="16"/>
              </w:rPr>
            </w:pPr>
            <w:r>
              <w:rPr>
                <w:color w:val="000000"/>
                <w:sz w:val="16"/>
                <w:szCs w:val="16"/>
              </w:rPr>
              <w:t>-1.8</w:t>
            </w:r>
          </w:p>
        </w:tc>
        <w:tc>
          <w:tcPr>
            <w:tcW w:w="942" w:type="dxa"/>
            <w:tcBorders>
              <w:top w:val="nil"/>
              <w:left w:val="nil"/>
              <w:bottom w:val="nil"/>
              <w:right w:val="nil"/>
            </w:tcBorders>
            <w:shd w:val="clear" w:color="auto" w:fill="auto"/>
            <w:noWrap/>
            <w:vAlign w:val="center"/>
          </w:tcPr>
          <w:p w14:paraId="14A7F4B3" w14:textId="53F87F05" w:rsidR="00F06A19" w:rsidRPr="00F87E34" w:rsidRDefault="00F06A19" w:rsidP="00F06A19">
            <w:pPr>
              <w:tabs>
                <w:tab w:val="decimal" w:pos="404"/>
              </w:tabs>
              <w:jc w:val="left"/>
              <w:rPr>
                <w:bCs/>
                <w:color w:val="000000"/>
                <w:sz w:val="16"/>
                <w:szCs w:val="16"/>
              </w:rPr>
            </w:pPr>
            <w:r>
              <w:rPr>
                <w:color w:val="000000"/>
                <w:sz w:val="16"/>
                <w:szCs w:val="16"/>
              </w:rPr>
              <w:t>3.8</w:t>
            </w:r>
          </w:p>
        </w:tc>
        <w:tc>
          <w:tcPr>
            <w:tcW w:w="1042" w:type="dxa"/>
            <w:tcBorders>
              <w:top w:val="nil"/>
              <w:left w:val="nil"/>
              <w:bottom w:val="nil"/>
              <w:right w:val="nil"/>
            </w:tcBorders>
            <w:shd w:val="clear" w:color="auto" w:fill="auto"/>
            <w:noWrap/>
            <w:vAlign w:val="center"/>
          </w:tcPr>
          <w:p w14:paraId="0A632F9A" w14:textId="1B4BEC72" w:rsidR="00F06A19" w:rsidRPr="00F87E34" w:rsidRDefault="00F06A19" w:rsidP="00F06A19">
            <w:pPr>
              <w:tabs>
                <w:tab w:val="decimal" w:pos="508"/>
              </w:tabs>
              <w:jc w:val="left"/>
              <w:rPr>
                <w:bCs/>
                <w:color w:val="000000"/>
                <w:sz w:val="16"/>
                <w:szCs w:val="16"/>
              </w:rPr>
            </w:pPr>
            <w:r>
              <w:rPr>
                <w:color w:val="000000"/>
                <w:sz w:val="16"/>
                <w:szCs w:val="16"/>
              </w:rPr>
              <w:t>-1.8</w:t>
            </w:r>
          </w:p>
        </w:tc>
        <w:tc>
          <w:tcPr>
            <w:tcW w:w="991" w:type="dxa"/>
            <w:tcBorders>
              <w:top w:val="nil"/>
              <w:left w:val="nil"/>
              <w:bottom w:val="nil"/>
              <w:right w:val="nil"/>
            </w:tcBorders>
            <w:shd w:val="clear" w:color="auto" w:fill="auto"/>
            <w:noWrap/>
            <w:vAlign w:val="center"/>
          </w:tcPr>
          <w:p w14:paraId="1A25DFBE" w14:textId="6FAE7A53" w:rsidR="00F06A19" w:rsidRPr="00F87E34" w:rsidRDefault="00F06A19" w:rsidP="00F06A19">
            <w:pPr>
              <w:tabs>
                <w:tab w:val="decimal" w:pos="458"/>
              </w:tabs>
              <w:jc w:val="left"/>
              <w:rPr>
                <w:sz w:val="16"/>
                <w:szCs w:val="16"/>
              </w:rPr>
            </w:pPr>
            <w:r>
              <w:rPr>
                <w:color w:val="000000"/>
                <w:sz w:val="16"/>
                <w:szCs w:val="16"/>
              </w:rPr>
              <w:t>2.6</w:t>
            </w:r>
          </w:p>
        </w:tc>
        <w:tc>
          <w:tcPr>
            <w:tcW w:w="934" w:type="dxa"/>
            <w:tcBorders>
              <w:top w:val="nil"/>
              <w:left w:val="nil"/>
              <w:bottom w:val="nil"/>
              <w:right w:val="nil"/>
            </w:tcBorders>
            <w:shd w:val="clear" w:color="auto" w:fill="auto"/>
            <w:noWrap/>
            <w:vAlign w:val="center"/>
          </w:tcPr>
          <w:p w14:paraId="3A0549BA" w14:textId="40E824B8" w:rsidR="00F06A19" w:rsidRPr="00F87E34" w:rsidRDefault="00F06A19" w:rsidP="00F06A19">
            <w:pPr>
              <w:tabs>
                <w:tab w:val="decimal" w:pos="444"/>
              </w:tabs>
              <w:jc w:val="left"/>
              <w:rPr>
                <w:sz w:val="16"/>
                <w:szCs w:val="16"/>
              </w:rPr>
            </w:pPr>
            <w:r>
              <w:rPr>
                <w:color w:val="000000"/>
                <w:sz w:val="16"/>
                <w:szCs w:val="16"/>
              </w:rPr>
              <w:t>3.8</w:t>
            </w:r>
          </w:p>
        </w:tc>
        <w:tc>
          <w:tcPr>
            <w:tcW w:w="1050" w:type="dxa"/>
            <w:tcBorders>
              <w:top w:val="nil"/>
              <w:left w:val="nil"/>
              <w:bottom w:val="nil"/>
              <w:right w:val="single" w:sz="8" w:space="0" w:color="404040"/>
            </w:tcBorders>
            <w:shd w:val="clear" w:color="auto" w:fill="auto"/>
            <w:noWrap/>
            <w:vAlign w:val="center"/>
          </w:tcPr>
          <w:p w14:paraId="77EA25E8" w14:textId="2C82F916" w:rsidR="00F06A19" w:rsidRPr="00F87E34" w:rsidRDefault="00F06A19" w:rsidP="00F06A19">
            <w:pPr>
              <w:tabs>
                <w:tab w:val="decimal" w:pos="504"/>
              </w:tabs>
              <w:jc w:val="left"/>
              <w:rPr>
                <w:sz w:val="16"/>
                <w:szCs w:val="16"/>
              </w:rPr>
            </w:pPr>
            <w:r>
              <w:rPr>
                <w:color w:val="000000"/>
                <w:sz w:val="16"/>
                <w:szCs w:val="16"/>
              </w:rPr>
              <w:t>-4.2</w:t>
            </w:r>
          </w:p>
        </w:tc>
      </w:tr>
      <w:tr w:rsidR="00F06A19" w:rsidRPr="00F87E34" w14:paraId="273263B7"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F06A19" w:rsidRPr="00F87E34" w:rsidRDefault="00F06A19" w:rsidP="00F06A19">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3E38F153" w:rsidR="00F06A19" w:rsidRPr="00F87E34" w:rsidRDefault="00F06A19" w:rsidP="00F06A19">
            <w:pPr>
              <w:tabs>
                <w:tab w:val="decimal" w:pos="508"/>
              </w:tabs>
              <w:jc w:val="left"/>
              <w:rPr>
                <w:bCs/>
                <w:color w:val="000000"/>
                <w:sz w:val="16"/>
                <w:szCs w:val="16"/>
              </w:rPr>
            </w:pPr>
            <w:r>
              <w:rPr>
                <w:color w:val="000000"/>
                <w:sz w:val="16"/>
                <w:szCs w:val="16"/>
              </w:rPr>
              <w:t>0.7</w:t>
            </w:r>
          </w:p>
        </w:tc>
        <w:tc>
          <w:tcPr>
            <w:tcW w:w="942" w:type="dxa"/>
            <w:tcBorders>
              <w:top w:val="nil"/>
              <w:left w:val="nil"/>
              <w:bottom w:val="nil"/>
              <w:right w:val="nil"/>
            </w:tcBorders>
            <w:shd w:val="clear" w:color="auto" w:fill="auto"/>
            <w:noWrap/>
            <w:vAlign w:val="center"/>
          </w:tcPr>
          <w:p w14:paraId="1623B186" w14:textId="64B8A406" w:rsidR="00F06A19" w:rsidRPr="00F87E34" w:rsidRDefault="00F06A19" w:rsidP="00F06A19">
            <w:pPr>
              <w:tabs>
                <w:tab w:val="decimal" w:pos="404"/>
              </w:tabs>
              <w:jc w:val="left"/>
              <w:rPr>
                <w:bCs/>
                <w:color w:val="000000"/>
                <w:sz w:val="16"/>
                <w:szCs w:val="16"/>
              </w:rPr>
            </w:pPr>
            <w:r>
              <w:rPr>
                <w:color w:val="000000"/>
                <w:sz w:val="16"/>
                <w:szCs w:val="16"/>
              </w:rPr>
              <w:t>2.1</w:t>
            </w:r>
          </w:p>
        </w:tc>
        <w:tc>
          <w:tcPr>
            <w:tcW w:w="1042" w:type="dxa"/>
            <w:tcBorders>
              <w:top w:val="nil"/>
              <w:left w:val="nil"/>
              <w:bottom w:val="nil"/>
              <w:right w:val="nil"/>
            </w:tcBorders>
            <w:shd w:val="clear" w:color="auto" w:fill="auto"/>
            <w:noWrap/>
            <w:vAlign w:val="center"/>
          </w:tcPr>
          <w:p w14:paraId="725E1BE5" w14:textId="411C75FD" w:rsidR="00F06A19" w:rsidRPr="00F87E34" w:rsidRDefault="00F06A19" w:rsidP="00F06A19">
            <w:pPr>
              <w:tabs>
                <w:tab w:val="decimal" w:pos="508"/>
              </w:tabs>
              <w:jc w:val="left"/>
              <w:rPr>
                <w:bCs/>
                <w:color w:val="000000"/>
                <w:sz w:val="16"/>
                <w:szCs w:val="16"/>
              </w:rPr>
            </w:pPr>
            <w:r>
              <w:rPr>
                <w:color w:val="000000"/>
                <w:sz w:val="16"/>
                <w:szCs w:val="16"/>
              </w:rPr>
              <w:t>5.4</w:t>
            </w:r>
          </w:p>
        </w:tc>
        <w:tc>
          <w:tcPr>
            <w:tcW w:w="991" w:type="dxa"/>
            <w:tcBorders>
              <w:top w:val="nil"/>
              <w:left w:val="nil"/>
              <w:bottom w:val="nil"/>
              <w:right w:val="nil"/>
            </w:tcBorders>
            <w:shd w:val="clear" w:color="auto" w:fill="auto"/>
            <w:noWrap/>
            <w:vAlign w:val="center"/>
          </w:tcPr>
          <w:p w14:paraId="1F612591" w14:textId="73AC9B41" w:rsidR="00F06A19" w:rsidRPr="00F87E34" w:rsidRDefault="00F06A19" w:rsidP="00F06A19">
            <w:pPr>
              <w:tabs>
                <w:tab w:val="decimal" w:pos="458"/>
              </w:tabs>
              <w:jc w:val="left"/>
              <w:rPr>
                <w:sz w:val="16"/>
                <w:szCs w:val="16"/>
              </w:rPr>
            </w:pPr>
            <w:r>
              <w:rPr>
                <w:color w:val="000000"/>
                <w:sz w:val="16"/>
                <w:szCs w:val="16"/>
              </w:rPr>
              <w:t>7.4</w:t>
            </w:r>
          </w:p>
        </w:tc>
        <w:tc>
          <w:tcPr>
            <w:tcW w:w="934" w:type="dxa"/>
            <w:tcBorders>
              <w:top w:val="nil"/>
              <w:left w:val="nil"/>
              <w:bottom w:val="nil"/>
              <w:right w:val="nil"/>
            </w:tcBorders>
            <w:shd w:val="clear" w:color="auto" w:fill="auto"/>
            <w:noWrap/>
            <w:vAlign w:val="center"/>
          </w:tcPr>
          <w:p w14:paraId="6CEAEB70" w14:textId="35ED9CA4" w:rsidR="00F06A19" w:rsidRPr="00F87E34" w:rsidRDefault="00F06A19" w:rsidP="00F06A19">
            <w:pPr>
              <w:tabs>
                <w:tab w:val="decimal" w:pos="444"/>
              </w:tabs>
              <w:jc w:val="left"/>
              <w:rPr>
                <w:sz w:val="16"/>
                <w:szCs w:val="16"/>
              </w:rPr>
            </w:pPr>
            <w:r>
              <w:rPr>
                <w:color w:val="000000"/>
                <w:sz w:val="16"/>
                <w:szCs w:val="16"/>
              </w:rPr>
              <w:t>2.6</w:t>
            </w:r>
          </w:p>
        </w:tc>
        <w:tc>
          <w:tcPr>
            <w:tcW w:w="1050" w:type="dxa"/>
            <w:tcBorders>
              <w:top w:val="nil"/>
              <w:left w:val="nil"/>
              <w:bottom w:val="nil"/>
              <w:right w:val="single" w:sz="8" w:space="0" w:color="404040"/>
            </w:tcBorders>
            <w:shd w:val="clear" w:color="auto" w:fill="auto"/>
            <w:noWrap/>
            <w:vAlign w:val="center"/>
          </w:tcPr>
          <w:p w14:paraId="0B5717A2" w14:textId="2EF50028" w:rsidR="00F06A19" w:rsidRPr="00F87E34" w:rsidRDefault="00F06A19" w:rsidP="00F06A19">
            <w:pPr>
              <w:tabs>
                <w:tab w:val="decimal" w:pos="504"/>
              </w:tabs>
              <w:jc w:val="left"/>
              <w:rPr>
                <w:sz w:val="16"/>
                <w:szCs w:val="16"/>
              </w:rPr>
            </w:pPr>
            <w:r>
              <w:rPr>
                <w:color w:val="000000"/>
                <w:sz w:val="16"/>
                <w:szCs w:val="16"/>
              </w:rPr>
              <w:t>-3.7</w:t>
            </w:r>
          </w:p>
        </w:tc>
      </w:tr>
      <w:tr w:rsidR="00F06A19" w:rsidRPr="00F87E34" w14:paraId="2891A770"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F06A19" w:rsidRPr="00F87E34" w:rsidRDefault="00F06A19" w:rsidP="00F06A19">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77D17AB0" w:rsidR="00F06A19" w:rsidRPr="00F87E34" w:rsidRDefault="00F06A19" w:rsidP="00F06A19">
            <w:pPr>
              <w:tabs>
                <w:tab w:val="decimal" w:pos="508"/>
              </w:tabs>
              <w:jc w:val="left"/>
              <w:rPr>
                <w:bCs/>
                <w:color w:val="000000"/>
                <w:sz w:val="16"/>
                <w:szCs w:val="16"/>
              </w:rPr>
            </w:pPr>
            <w:r>
              <w:rPr>
                <w:color w:val="000000"/>
                <w:sz w:val="16"/>
                <w:szCs w:val="16"/>
              </w:rPr>
              <w:t>9.9</w:t>
            </w:r>
          </w:p>
        </w:tc>
        <w:tc>
          <w:tcPr>
            <w:tcW w:w="942" w:type="dxa"/>
            <w:tcBorders>
              <w:top w:val="nil"/>
              <w:left w:val="nil"/>
              <w:bottom w:val="nil"/>
              <w:right w:val="nil"/>
            </w:tcBorders>
            <w:shd w:val="clear" w:color="auto" w:fill="auto"/>
            <w:noWrap/>
            <w:vAlign w:val="center"/>
          </w:tcPr>
          <w:p w14:paraId="2A4AAD2C" w14:textId="0EE07B36" w:rsidR="00F06A19" w:rsidRPr="00F87E34" w:rsidRDefault="00F06A19" w:rsidP="00F06A19">
            <w:pPr>
              <w:tabs>
                <w:tab w:val="decimal" w:pos="404"/>
              </w:tabs>
              <w:jc w:val="left"/>
              <w:rPr>
                <w:bCs/>
                <w:color w:val="000000"/>
                <w:sz w:val="16"/>
                <w:szCs w:val="16"/>
              </w:rPr>
            </w:pPr>
            <w:r>
              <w:rPr>
                <w:color w:val="000000"/>
                <w:sz w:val="16"/>
                <w:szCs w:val="16"/>
              </w:rPr>
              <w:t>3.2</w:t>
            </w:r>
          </w:p>
        </w:tc>
        <w:tc>
          <w:tcPr>
            <w:tcW w:w="1042" w:type="dxa"/>
            <w:tcBorders>
              <w:top w:val="nil"/>
              <w:left w:val="nil"/>
              <w:bottom w:val="nil"/>
              <w:right w:val="nil"/>
            </w:tcBorders>
            <w:shd w:val="clear" w:color="auto" w:fill="auto"/>
            <w:noWrap/>
            <w:vAlign w:val="center"/>
          </w:tcPr>
          <w:p w14:paraId="0DE24B20" w14:textId="364B56D5" w:rsidR="00F06A19" w:rsidRPr="00F87E34" w:rsidRDefault="00F06A19" w:rsidP="00F06A19">
            <w:pPr>
              <w:tabs>
                <w:tab w:val="decimal" w:pos="508"/>
              </w:tabs>
              <w:jc w:val="left"/>
              <w:rPr>
                <w:bCs/>
                <w:color w:val="000000"/>
                <w:sz w:val="16"/>
                <w:szCs w:val="16"/>
              </w:rPr>
            </w:pPr>
            <w:r>
              <w:rPr>
                <w:color w:val="000000"/>
                <w:sz w:val="16"/>
                <w:szCs w:val="16"/>
              </w:rPr>
              <w:t>-0.6</w:t>
            </w:r>
          </w:p>
        </w:tc>
        <w:tc>
          <w:tcPr>
            <w:tcW w:w="991" w:type="dxa"/>
            <w:tcBorders>
              <w:top w:val="nil"/>
              <w:left w:val="nil"/>
              <w:bottom w:val="nil"/>
              <w:right w:val="nil"/>
            </w:tcBorders>
            <w:shd w:val="clear" w:color="auto" w:fill="auto"/>
            <w:noWrap/>
            <w:vAlign w:val="center"/>
          </w:tcPr>
          <w:p w14:paraId="3D68D1CF" w14:textId="059AD6CB" w:rsidR="00F06A19" w:rsidRPr="00F87E34" w:rsidRDefault="00F06A19" w:rsidP="00F06A19">
            <w:pPr>
              <w:tabs>
                <w:tab w:val="decimal" w:pos="458"/>
              </w:tabs>
              <w:jc w:val="left"/>
              <w:rPr>
                <w:sz w:val="16"/>
                <w:szCs w:val="16"/>
              </w:rPr>
            </w:pPr>
            <w:r>
              <w:rPr>
                <w:color w:val="000000"/>
                <w:sz w:val="16"/>
                <w:szCs w:val="16"/>
              </w:rPr>
              <w:t>11.2</w:t>
            </w:r>
          </w:p>
        </w:tc>
        <w:tc>
          <w:tcPr>
            <w:tcW w:w="934" w:type="dxa"/>
            <w:tcBorders>
              <w:top w:val="nil"/>
              <w:left w:val="nil"/>
              <w:bottom w:val="nil"/>
              <w:right w:val="nil"/>
            </w:tcBorders>
            <w:shd w:val="clear" w:color="auto" w:fill="auto"/>
            <w:noWrap/>
            <w:vAlign w:val="center"/>
          </w:tcPr>
          <w:p w14:paraId="7945BB1A" w14:textId="3F1AF132" w:rsidR="00F06A19" w:rsidRPr="00F87E34" w:rsidRDefault="00F06A19" w:rsidP="00F06A19">
            <w:pPr>
              <w:tabs>
                <w:tab w:val="decimal" w:pos="444"/>
              </w:tabs>
              <w:jc w:val="left"/>
              <w:rPr>
                <w:sz w:val="16"/>
                <w:szCs w:val="16"/>
              </w:rPr>
            </w:pPr>
            <w:r>
              <w:rPr>
                <w:color w:val="000000"/>
                <w:sz w:val="16"/>
                <w:szCs w:val="16"/>
              </w:rPr>
              <w:t>4.2</w:t>
            </w:r>
          </w:p>
        </w:tc>
        <w:tc>
          <w:tcPr>
            <w:tcW w:w="1050" w:type="dxa"/>
            <w:tcBorders>
              <w:top w:val="nil"/>
              <w:left w:val="nil"/>
              <w:bottom w:val="nil"/>
              <w:right w:val="single" w:sz="8" w:space="0" w:color="404040"/>
            </w:tcBorders>
            <w:shd w:val="clear" w:color="auto" w:fill="auto"/>
            <w:noWrap/>
            <w:vAlign w:val="center"/>
          </w:tcPr>
          <w:p w14:paraId="0327CA89" w14:textId="33913036" w:rsidR="00F06A19" w:rsidRPr="00F87E34" w:rsidRDefault="00F06A19" w:rsidP="00F06A19">
            <w:pPr>
              <w:tabs>
                <w:tab w:val="decimal" w:pos="504"/>
              </w:tabs>
              <w:jc w:val="left"/>
              <w:rPr>
                <w:sz w:val="16"/>
                <w:szCs w:val="16"/>
              </w:rPr>
            </w:pPr>
            <w:r>
              <w:rPr>
                <w:color w:val="000000"/>
                <w:sz w:val="16"/>
                <w:szCs w:val="16"/>
              </w:rPr>
              <w:t>1.2</w:t>
            </w:r>
          </w:p>
        </w:tc>
      </w:tr>
      <w:tr w:rsidR="00F06A19" w:rsidRPr="00F87E34" w14:paraId="256F54F8"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F06A19" w:rsidRPr="00F87E34" w:rsidRDefault="00F06A19" w:rsidP="00F06A19">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0BF70B48" w:rsidR="00F06A19" w:rsidRPr="00F87E34" w:rsidRDefault="00F06A19" w:rsidP="00F06A19">
            <w:pPr>
              <w:tabs>
                <w:tab w:val="decimal" w:pos="508"/>
              </w:tabs>
              <w:jc w:val="left"/>
              <w:rPr>
                <w:bCs/>
                <w:color w:val="000000"/>
                <w:sz w:val="16"/>
                <w:szCs w:val="16"/>
              </w:rPr>
            </w:pPr>
            <w:r>
              <w:rPr>
                <w:color w:val="000000"/>
                <w:sz w:val="16"/>
                <w:szCs w:val="16"/>
              </w:rPr>
              <w:t>2.8</w:t>
            </w:r>
          </w:p>
        </w:tc>
        <w:tc>
          <w:tcPr>
            <w:tcW w:w="942" w:type="dxa"/>
            <w:tcBorders>
              <w:top w:val="nil"/>
              <w:left w:val="nil"/>
              <w:bottom w:val="nil"/>
              <w:right w:val="nil"/>
            </w:tcBorders>
            <w:shd w:val="clear" w:color="auto" w:fill="auto"/>
            <w:noWrap/>
            <w:vAlign w:val="center"/>
          </w:tcPr>
          <w:p w14:paraId="36C899B4" w14:textId="6CED5D8A" w:rsidR="00F06A19" w:rsidRPr="00F87E34" w:rsidRDefault="00F06A19" w:rsidP="00F06A19">
            <w:pPr>
              <w:tabs>
                <w:tab w:val="decimal" w:pos="404"/>
              </w:tabs>
              <w:jc w:val="left"/>
              <w:rPr>
                <w:bCs/>
                <w:color w:val="000000"/>
                <w:sz w:val="16"/>
                <w:szCs w:val="16"/>
              </w:rPr>
            </w:pPr>
            <w:r>
              <w:rPr>
                <w:color w:val="000000"/>
                <w:sz w:val="16"/>
                <w:szCs w:val="16"/>
              </w:rPr>
              <w:t>-0.3</w:t>
            </w:r>
          </w:p>
        </w:tc>
        <w:tc>
          <w:tcPr>
            <w:tcW w:w="1042" w:type="dxa"/>
            <w:tcBorders>
              <w:top w:val="nil"/>
              <w:left w:val="nil"/>
              <w:bottom w:val="nil"/>
              <w:right w:val="nil"/>
            </w:tcBorders>
            <w:shd w:val="clear" w:color="auto" w:fill="auto"/>
            <w:noWrap/>
            <w:vAlign w:val="center"/>
          </w:tcPr>
          <w:p w14:paraId="48BD6EC0" w14:textId="188525CB" w:rsidR="00F06A19" w:rsidRPr="00F87E34" w:rsidRDefault="00F06A19" w:rsidP="00F06A19">
            <w:pPr>
              <w:tabs>
                <w:tab w:val="decimal" w:pos="508"/>
              </w:tabs>
              <w:jc w:val="left"/>
              <w:rPr>
                <w:bCs/>
                <w:color w:val="000000"/>
                <w:sz w:val="16"/>
                <w:szCs w:val="16"/>
              </w:rPr>
            </w:pPr>
            <w:r>
              <w:rPr>
                <w:color w:val="000000"/>
                <w:sz w:val="16"/>
                <w:szCs w:val="16"/>
              </w:rPr>
              <w:t>-0.5</w:t>
            </w:r>
          </w:p>
        </w:tc>
        <w:tc>
          <w:tcPr>
            <w:tcW w:w="991" w:type="dxa"/>
            <w:tcBorders>
              <w:top w:val="nil"/>
              <w:left w:val="nil"/>
              <w:bottom w:val="nil"/>
              <w:right w:val="nil"/>
            </w:tcBorders>
            <w:shd w:val="clear" w:color="auto" w:fill="auto"/>
            <w:noWrap/>
            <w:vAlign w:val="center"/>
          </w:tcPr>
          <w:p w14:paraId="264E85DB" w14:textId="0762D5D3" w:rsidR="00F06A19" w:rsidRPr="00F87E34" w:rsidRDefault="00F06A19" w:rsidP="00F06A19">
            <w:pPr>
              <w:tabs>
                <w:tab w:val="decimal" w:pos="458"/>
              </w:tabs>
              <w:jc w:val="left"/>
              <w:rPr>
                <w:sz w:val="16"/>
                <w:szCs w:val="16"/>
              </w:rPr>
            </w:pPr>
            <w:r>
              <w:rPr>
                <w:color w:val="000000"/>
                <w:sz w:val="16"/>
                <w:szCs w:val="16"/>
              </w:rPr>
              <w:t>0.7</w:t>
            </w:r>
          </w:p>
        </w:tc>
        <w:tc>
          <w:tcPr>
            <w:tcW w:w="934" w:type="dxa"/>
            <w:tcBorders>
              <w:top w:val="nil"/>
              <w:left w:val="nil"/>
              <w:bottom w:val="nil"/>
              <w:right w:val="nil"/>
            </w:tcBorders>
            <w:shd w:val="clear" w:color="auto" w:fill="auto"/>
            <w:noWrap/>
            <w:vAlign w:val="center"/>
          </w:tcPr>
          <w:p w14:paraId="2D71EEB0" w14:textId="3C37B5E9" w:rsidR="00F06A19" w:rsidRPr="00F87E34" w:rsidRDefault="00F06A19" w:rsidP="00F06A19">
            <w:pPr>
              <w:tabs>
                <w:tab w:val="decimal" w:pos="444"/>
              </w:tabs>
              <w:jc w:val="left"/>
              <w:rPr>
                <w:sz w:val="16"/>
                <w:szCs w:val="16"/>
              </w:rPr>
            </w:pPr>
            <w:r>
              <w:rPr>
                <w:color w:val="000000"/>
                <w:sz w:val="16"/>
                <w:szCs w:val="16"/>
              </w:rPr>
              <w:t>-4.0</w:t>
            </w:r>
          </w:p>
        </w:tc>
        <w:tc>
          <w:tcPr>
            <w:tcW w:w="1050" w:type="dxa"/>
            <w:tcBorders>
              <w:top w:val="nil"/>
              <w:left w:val="nil"/>
              <w:bottom w:val="nil"/>
              <w:right w:val="single" w:sz="8" w:space="0" w:color="404040"/>
            </w:tcBorders>
            <w:shd w:val="clear" w:color="auto" w:fill="auto"/>
            <w:noWrap/>
            <w:vAlign w:val="center"/>
          </w:tcPr>
          <w:p w14:paraId="06DE9E66" w14:textId="07DE217A" w:rsidR="00F06A19" w:rsidRPr="00F87E34" w:rsidRDefault="00F06A19" w:rsidP="00F06A19">
            <w:pPr>
              <w:tabs>
                <w:tab w:val="decimal" w:pos="504"/>
              </w:tabs>
              <w:jc w:val="left"/>
              <w:rPr>
                <w:sz w:val="16"/>
                <w:szCs w:val="16"/>
              </w:rPr>
            </w:pPr>
            <w:r>
              <w:rPr>
                <w:color w:val="000000"/>
                <w:sz w:val="16"/>
                <w:szCs w:val="16"/>
              </w:rPr>
              <w:t>2.1</w:t>
            </w:r>
          </w:p>
        </w:tc>
      </w:tr>
      <w:tr w:rsidR="00F06A19" w:rsidRPr="00F87E34" w14:paraId="73D4028C"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F06A19" w:rsidRPr="00F87E34" w:rsidRDefault="00F06A19" w:rsidP="00F06A19">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5C6499E5" w:rsidR="00F06A19" w:rsidRPr="00F87E34" w:rsidRDefault="00F06A19" w:rsidP="00F06A19">
            <w:pPr>
              <w:tabs>
                <w:tab w:val="decimal" w:pos="508"/>
              </w:tabs>
              <w:jc w:val="left"/>
              <w:rPr>
                <w:bCs/>
                <w:color w:val="000000"/>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5777B38E" w14:textId="775D8CB5" w:rsidR="00F06A19" w:rsidRPr="00F87E34" w:rsidRDefault="00F06A19" w:rsidP="00F06A19">
            <w:pPr>
              <w:tabs>
                <w:tab w:val="decimal" w:pos="404"/>
              </w:tabs>
              <w:jc w:val="left"/>
              <w:rPr>
                <w:bCs/>
                <w:color w:val="000000"/>
                <w:sz w:val="16"/>
                <w:szCs w:val="16"/>
              </w:rPr>
            </w:pPr>
            <w:r>
              <w:rPr>
                <w:color w:val="000000"/>
                <w:sz w:val="16"/>
                <w:szCs w:val="16"/>
              </w:rPr>
              <w:t>1.4</w:t>
            </w:r>
          </w:p>
        </w:tc>
        <w:tc>
          <w:tcPr>
            <w:tcW w:w="1042" w:type="dxa"/>
            <w:tcBorders>
              <w:top w:val="nil"/>
              <w:left w:val="nil"/>
              <w:bottom w:val="nil"/>
              <w:right w:val="nil"/>
            </w:tcBorders>
            <w:shd w:val="clear" w:color="auto" w:fill="auto"/>
            <w:noWrap/>
            <w:vAlign w:val="center"/>
          </w:tcPr>
          <w:p w14:paraId="263031F1" w14:textId="27C6936E" w:rsidR="00F06A19" w:rsidRPr="00F87E34" w:rsidRDefault="00F06A19" w:rsidP="00F06A19">
            <w:pPr>
              <w:tabs>
                <w:tab w:val="decimal" w:pos="508"/>
              </w:tabs>
              <w:jc w:val="left"/>
              <w:rPr>
                <w:bCs/>
                <w:color w:val="000000"/>
                <w:sz w:val="16"/>
                <w:szCs w:val="16"/>
              </w:rPr>
            </w:pPr>
            <w:r>
              <w:rPr>
                <w:color w:val="000000"/>
                <w:sz w:val="16"/>
                <w:szCs w:val="16"/>
              </w:rPr>
              <w:t>0.4</w:t>
            </w:r>
          </w:p>
        </w:tc>
        <w:tc>
          <w:tcPr>
            <w:tcW w:w="991" w:type="dxa"/>
            <w:tcBorders>
              <w:top w:val="nil"/>
              <w:left w:val="nil"/>
              <w:bottom w:val="nil"/>
              <w:right w:val="nil"/>
            </w:tcBorders>
            <w:shd w:val="clear" w:color="auto" w:fill="auto"/>
            <w:noWrap/>
            <w:vAlign w:val="center"/>
          </w:tcPr>
          <w:p w14:paraId="21F8BED9" w14:textId="4D0AEDE2" w:rsidR="00F06A19" w:rsidRPr="00F87E34" w:rsidRDefault="00F06A19" w:rsidP="00F06A19">
            <w:pPr>
              <w:tabs>
                <w:tab w:val="decimal" w:pos="458"/>
              </w:tabs>
              <w:jc w:val="left"/>
              <w:rPr>
                <w:sz w:val="16"/>
                <w:szCs w:val="16"/>
              </w:rPr>
            </w:pPr>
            <w:r>
              <w:rPr>
                <w:color w:val="000000"/>
                <w:sz w:val="16"/>
                <w:szCs w:val="16"/>
              </w:rPr>
              <w:t>4.6</w:t>
            </w:r>
          </w:p>
        </w:tc>
        <w:tc>
          <w:tcPr>
            <w:tcW w:w="934" w:type="dxa"/>
            <w:tcBorders>
              <w:top w:val="nil"/>
              <w:left w:val="nil"/>
              <w:bottom w:val="nil"/>
              <w:right w:val="nil"/>
            </w:tcBorders>
            <w:shd w:val="clear" w:color="auto" w:fill="auto"/>
            <w:noWrap/>
            <w:vAlign w:val="center"/>
          </w:tcPr>
          <w:p w14:paraId="5EBE4B92" w14:textId="4D870C36" w:rsidR="00F06A19" w:rsidRPr="00F87E34" w:rsidRDefault="00F06A19" w:rsidP="00F06A19">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4565F77B" w14:textId="1586A61E" w:rsidR="00F06A19" w:rsidRPr="00F87E34" w:rsidRDefault="00F06A19" w:rsidP="00F06A19">
            <w:pPr>
              <w:tabs>
                <w:tab w:val="decimal" w:pos="504"/>
              </w:tabs>
              <w:jc w:val="left"/>
              <w:rPr>
                <w:sz w:val="16"/>
                <w:szCs w:val="16"/>
              </w:rPr>
            </w:pPr>
            <w:r>
              <w:rPr>
                <w:color w:val="000000"/>
                <w:sz w:val="16"/>
                <w:szCs w:val="16"/>
              </w:rPr>
              <w:t>1.7</w:t>
            </w:r>
          </w:p>
        </w:tc>
      </w:tr>
      <w:tr w:rsidR="00F06A19" w:rsidRPr="00F87E34" w14:paraId="5B4D207B"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F06A19" w:rsidRPr="00F87E34" w:rsidRDefault="00F06A19" w:rsidP="00F06A19">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27D8CB5E" w:rsidR="00F06A19" w:rsidRPr="00F87E34" w:rsidRDefault="00F06A19" w:rsidP="00F06A19">
            <w:pPr>
              <w:tabs>
                <w:tab w:val="decimal" w:pos="508"/>
              </w:tabs>
              <w:jc w:val="left"/>
              <w:rPr>
                <w:bCs/>
                <w:color w:val="000000"/>
                <w:sz w:val="16"/>
                <w:szCs w:val="16"/>
              </w:rPr>
            </w:pPr>
            <w:r>
              <w:rPr>
                <w:color w:val="000000"/>
                <w:sz w:val="16"/>
                <w:szCs w:val="16"/>
              </w:rPr>
              <w:t>6.8</w:t>
            </w:r>
          </w:p>
        </w:tc>
        <w:tc>
          <w:tcPr>
            <w:tcW w:w="942" w:type="dxa"/>
            <w:tcBorders>
              <w:top w:val="nil"/>
              <w:left w:val="nil"/>
              <w:bottom w:val="nil"/>
              <w:right w:val="nil"/>
            </w:tcBorders>
            <w:shd w:val="clear" w:color="auto" w:fill="auto"/>
            <w:noWrap/>
            <w:vAlign w:val="center"/>
          </w:tcPr>
          <w:p w14:paraId="40A6CA74" w14:textId="3BDFFBDF" w:rsidR="00F06A19" w:rsidRPr="00F87E34" w:rsidRDefault="00F06A19" w:rsidP="00F06A19">
            <w:pPr>
              <w:tabs>
                <w:tab w:val="decimal" w:pos="404"/>
              </w:tabs>
              <w:jc w:val="left"/>
              <w:rPr>
                <w:bCs/>
                <w:color w:val="000000"/>
                <w:sz w:val="16"/>
                <w:szCs w:val="16"/>
              </w:rPr>
            </w:pPr>
            <w:r>
              <w:rPr>
                <w:color w:val="000000"/>
                <w:sz w:val="16"/>
                <w:szCs w:val="16"/>
              </w:rPr>
              <w:t>1.5</w:t>
            </w:r>
          </w:p>
        </w:tc>
        <w:tc>
          <w:tcPr>
            <w:tcW w:w="1042" w:type="dxa"/>
            <w:tcBorders>
              <w:top w:val="nil"/>
              <w:left w:val="nil"/>
              <w:bottom w:val="nil"/>
              <w:right w:val="nil"/>
            </w:tcBorders>
            <w:shd w:val="clear" w:color="auto" w:fill="auto"/>
            <w:noWrap/>
            <w:vAlign w:val="center"/>
          </w:tcPr>
          <w:p w14:paraId="59B19330" w14:textId="7DE8DC3C" w:rsidR="00F06A19" w:rsidRPr="00F87E34" w:rsidRDefault="00F06A19" w:rsidP="00F06A19">
            <w:pPr>
              <w:tabs>
                <w:tab w:val="decimal" w:pos="508"/>
              </w:tabs>
              <w:jc w:val="left"/>
              <w:rPr>
                <w:bCs/>
                <w:color w:val="000000"/>
                <w:sz w:val="16"/>
                <w:szCs w:val="16"/>
              </w:rPr>
            </w:pPr>
            <w:r>
              <w:rPr>
                <w:color w:val="000000"/>
                <w:sz w:val="16"/>
                <w:szCs w:val="16"/>
              </w:rPr>
              <w:t>0.5</w:t>
            </w:r>
          </w:p>
        </w:tc>
        <w:tc>
          <w:tcPr>
            <w:tcW w:w="991" w:type="dxa"/>
            <w:tcBorders>
              <w:top w:val="nil"/>
              <w:left w:val="nil"/>
              <w:bottom w:val="nil"/>
              <w:right w:val="nil"/>
            </w:tcBorders>
            <w:shd w:val="clear" w:color="auto" w:fill="auto"/>
            <w:noWrap/>
            <w:vAlign w:val="center"/>
          </w:tcPr>
          <w:p w14:paraId="0C688A7B" w14:textId="1DFC4AD3" w:rsidR="00F06A19" w:rsidRPr="00F87E34" w:rsidRDefault="00F06A19" w:rsidP="00F06A19">
            <w:pPr>
              <w:tabs>
                <w:tab w:val="decimal" w:pos="458"/>
              </w:tabs>
              <w:jc w:val="left"/>
              <w:rPr>
                <w:sz w:val="16"/>
                <w:szCs w:val="16"/>
              </w:rPr>
            </w:pPr>
            <w:r>
              <w:rPr>
                <w:color w:val="000000"/>
                <w:sz w:val="16"/>
                <w:szCs w:val="16"/>
              </w:rPr>
              <w:t>8.5</w:t>
            </w:r>
          </w:p>
        </w:tc>
        <w:tc>
          <w:tcPr>
            <w:tcW w:w="934" w:type="dxa"/>
            <w:tcBorders>
              <w:top w:val="nil"/>
              <w:left w:val="nil"/>
              <w:bottom w:val="nil"/>
              <w:right w:val="nil"/>
            </w:tcBorders>
            <w:shd w:val="clear" w:color="auto" w:fill="auto"/>
            <w:noWrap/>
            <w:vAlign w:val="center"/>
          </w:tcPr>
          <w:p w14:paraId="219555B2" w14:textId="134EB94F" w:rsidR="00F06A19" w:rsidRPr="00F87E34" w:rsidRDefault="00F06A19" w:rsidP="00F06A19">
            <w:pPr>
              <w:tabs>
                <w:tab w:val="decimal" w:pos="444"/>
              </w:tabs>
              <w:jc w:val="left"/>
              <w:rPr>
                <w:sz w:val="16"/>
                <w:szCs w:val="16"/>
              </w:rPr>
            </w:pPr>
            <w:r>
              <w:rPr>
                <w:color w:val="000000"/>
                <w:sz w:val="16"/>
                <w:szCs w:val="16"/>
              </w:rPr>
              <w:t>-2.1</w:t>
            </w:r>
          </w:p>
        </w:tc>
        <w:tc>
          <w:tcPr>
            <w:tcW w:w="1050" w:type="dxa"/>
            <w:tcBorders>
              <w:top w:val="nil"/>
              <w:left w:val="nil"/>
              <w:bottom w:val="nil"/>
              <w:right w:val="single" w:sz="8" w:space="0" w:color="404040"/>
            </w:tcBorders>
            <w:shd w:val="clear" w:color="auto" w:fill="auto"/>
            <w:noWrap/>
            <w:vAlign w:val="center"/>
          </w:tcPr>
          <w:p w14:paraId="79054C4D" w14:textId="663FAE9F" w:rsidR="00F06A19" w:rsidRPr="00F87E34" w:rsidRDefault="00F06A19" w:rsidP="00F06A19">
            <w:pPr>
              <w:tabs>
                <w:tab w:val="decimal" w:pos="504"/>
              </w:tabs>
              <w:jc w:val="left"/>
              <w:rPr>
                <w:sz w:val="16"/>
                <w:szCs w:val="16"/>
              </w:rPr>
            </w:pPr>
            <w:r>
              <w:rPr>
                <w:color w:val="000000"/>
                <w:sz w:val="16"/>
                <w:szCs w:val="16"/>
              </w:rPr>
              <w:t>1.2</w:t>
            </w:r>
          </w:p>
        </w:tc>
      </w:tr>
      <w:tr w:rsidR="00F06A19" w:rsidRPr="00F87E34" w14:paraId="39EBF2C1"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F06A19" w:rsidRPr="00F87E34" w:rsidRDefault="00F06A19" w:rsidP="00F06A19">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0888C660" w:rsidR="00F06A19" w:rsidRPr="00F87E34" w:rsidRDefault="00F06A19" w:rsidP="00F06A19">
            <w:pPr>
              <w:tabs>
                <w:tab w:val="decimal" w:pos="508"/>
              </w:tabs>
              <w:jc w:val="left"/>
              <w:rPr>
                <w:bCs/>
                <w:color w:val="000000"/>
                <w:sz w:val="16"/>
                <w:szCs w:val="16"/>
              </w:rPr>
            </w:pPr>
            <w:r>
              <w:rPr>
                <w:color w:val="000000"/>
                <w:sz w:val="16"/>
                <w:szCs w:val="16"/>
              </w:rPr>
              <w:t>34.7</w:t>
            </w:r>
          </w:p>
        </w:tc>
        <w:tc>
          <w:tcPr>
            <w:tcW w:w="942" w:type="dxa"/>
            <w:tcBorders>
              <w:top w:val="nil"/>
              <w:left w:val="nil"/>
              <w:bottom w:val="nil"/>
              <w:right w:val="nil"/>
            </w:tcBorders>
            <w:shd w:val="clear" w:color="auto" w:fill="auto"/>
            <w:noWrap/>
            <w:vAlign w:val="center"/>
          </w:tcPr>
          <w:p w14:paraId="6B37BCF5" w14:textId="63B7E07B" w:rsidR="00F06A19" w:rsidRPr="00F87E34" w:rsidRDefault="00F06A19" w:rsidP="00F06A19">
            <w:pPr>
              <w:tabs>
                <w:tab w:val="decimal" w:pos="404"/>
              </w:tabs>
              <w:jc w:val="left"/>
              <w:rPr>
                <w:bCs/>
                <w:color w:val="000000"/>
                <w:sz w:val="16"/>
                <w:szCs w:val="16"/>
              </w:rPr>
            </w:pPr>
            <w:r>
              <w:rPr>
                <w:color w:val="000000"/>
                <w:sz w:val="16"/>
                <w:szCs w:val="16"/>
              </w:rPr>
              <w:t>3.6</w:t>
            </w:r>
          </w:p>
        </w:tc>
        <w:tc>
          <w:tcPr>
            <w:tcW w:w="1042" w:type="dxa"/>
            <w:tcBorders>
              <w:top w:val="nil"/>
              <w:left w:val="nil"/>
              <w:bottom w:val="nil"/>
              <w:right w:val="nil"/>
            </w:tcBorders>
            <w:shd w:val="clear" w:color="auto" w:fill="auto"/>
            <w:noWrap/>
            <w:vAlign w:val="center"/>
          </w:tcPr>
          <w:p w14:paraId="5458F498" w14:textId="4AC6CD7C" w:rsidR="00F06A19" w:rsidRPr="00F87E34" w:rsidRDefault="00F06A19" w:rsidP="00F06A19">
            <w:pPr>
              <w:tabs>
                <w:tab w:val="decimal" w:pos="508"/>
              </w:tabs>
              <w:jc w:val="left"/>
              <w:rPr>
                <w:bCs/>
                <w:color w:val="000000"/>
                <w:sz w:val="16"/>
                <w:szCs w:val="16"/>
              </w:rPr>
            </w:pPr>
            <w:r>
              <w:rPr>
                <w:color w:val="000000"/>
                <w:sz w:val="16"/>
                <w:szCs w:val="16"/>
              </w:rPr>
              <w:t>5.5</w:t>
            </w:r>
          </w:p>
        </w:tc>
        <w:tc>
          <w:tcPr>
            <w:tcW w:w="991" w:type="dxa"/>
            <w:tcBorders>
              <w:top w:val="nil"/>
              <w:left w:val="nil"/>
              <w:bottom w:val="nil"/>
              <w:right w:val="nil"/>
            </w:tcBorders>
            <w:shd w:val="clear" w:color="auto" w:fill="auto"/>
            <w:noWrap/>
            <w:vAlign w:val="center"/>
          </w:tcPr>
          <w:p w14:paraId="73AC5324" w14:textId="105A8A40" w:rsidR="00F06A19" w:rsidRPr="00F87E34" w:rsidRDefault="00F06A19" w:rsidP="00F06A19">
            <w:pPr>
              <w:tabs>
                <w:tab w:val="decimal" w:pos="458"/>
              </w:tabs>
              <w:jc w:val="left"/>
              <w:rPr>
                <w:sz w:val="16"/>
                <w:szCs w:val="16"/>
              </w:rPr>
            </w:pPr>
            <w:r>
              <w:rPr>
                <w:color w:val="000000"/>
                <w:sz w:val="16"/>
                <w:szCs w:val="16"/>
              </w:rPr>
              <w:t>13.7</w:t>
            </w:r>
          </w:p>
        </w:tc>
        <w:tc>
          <w:tcPr>
            <w:tcW w:w="934" w:type="dxa"/>
            <w:tcBorders>
              <w:top w:val="nil"/>
              <w:left w:val="nil"/>
              <w:bottom w:val="nil"/>
              <w:right w:val="nil"/>
            </w:tcBorders>
            <w:shd w:val="clear" w:color="auto" w:fill="auto"/>
            <w:noWrap/>
            <w:vAlign w:val="center"/>
          </w:tcPr>
          <w:p w14:paraId="34FE89CF" w14:textId="66108EEC" w:rsidR="00F06A19" w:rsidRPr="00F87E34" w:rsidRDefault="00F06A19" w:rsidP="00F06A19">
            <w:pPr>
              <w:tabs>
                <w:tab w:val="decimal" w:pos="444"/>
              </w:tabs>
              <w:jc w:val="left"/>
              <w:rPr>
                <w:sz w:val="16"/>
                <w:szCs w:val="16"/>
              </w:rPr>
            </w:pPr>
            <w:r>
              <w:rPr>
                <w:color w:val="000000"/>
                <w:sz w:val="16"/>
                <w:szCs w:val="16"/>
              </w:rPr>
              <w:t>5.2</w:t>
            </w:r>
          </w:p>
        </w:tc>
        <w:tc>
          <w:tcPr>
            <w:tcW w:w="1050" w:type="dxa"/>
            <w:tcBorders>
              <w:top w:val="nil"/>
              <w:left w:val="nil"/>
              <w:bottom w:val="nil"/>
              <w:right w:val="single" w:sz="8" w:space="0" w:color="404040"/>
            </w:tcBorders>
            <w:shd w:val="clear" w:color="auto" w:fill="auto"/>
            <w:noWrap/>
            <w:vAlign w:val="center"/>
          </w:tcPr>
          <w:p w14:paraId="23F99C3F" w14:textId="73DF7877" w:rsidR="00F06A19" w:rsidRPr="00F87E34" w:rsidRDefault="00F06A19" w:rsidP="00F06A19">
            <w:pPr>
              <w:tabs>
                <w:tab w:val="decimal" w:pos="504"/>
              </w:tabs>
              <w:jc w:val="left"/>
              <w:rPr>
                <w:sz w:val="16"/>
                <w:szCs w:val="16"/>
              </w:rPr>
            </w:pPr>
            <w:r>
              <w:rPr>
                <w:color w:val="000000"/>
                <w:sz w:val="16"/>
                <w:szCs w:val="16"/>
              </w:rPr>
              <w:t>2.0</w:t>
            </w:r>
          </w:p>
        </w:tc>
      </w:tr>
      <w:tr w:rsidR="00F06A19" w:rsidRPr="00F87E34" w14:paraId="350C4C31"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F06A19" w:rsidRPr="00F87E34" w:rsidRDefault="00F06A19" w:rsidP="00F06A19">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055E1FB3" w:rsidR="00F06A19" w:rsidRPr="00F87E34" w:rsidRDefault="00F06A19" w:rsidP="00F06A19">
            <w:pPr>
              <w:tabs>
                <w:tab w:val="decimal" w:pos="508"/>
              </w:tabs>
              <w:jc w:val="left"/>
              <w:rPr>
                <w:bCs/>
                <w:color w:val="000000"/>
                <w:sz w:val="16"/>
                <w:szCs w:val="16"/>
              </w:rPr>
            </w:pPr>
            <w:r>
              <w:rPr>
                <w:color w:val="000000"/>
                <w:sz w:val="16"/>
                <w:szCs w:val="16"/>
              </w:rPr>
              <w:t>6.9</w:t>
            </w:r>
          </w:p>
        </w:tc>
        <w:tc>
          <w:tcPr>
            <w:tcW w:w="942" w:type="dxa"/>
            <w:tcBorders>
              <w:top w:val="nil"/>
              <w:left w:val="nil"/>
              <w:bottom w:val="nil"/>
              <w:right w:val="nil"/>
            </w:tcBorders>
            <w:shd w:val="clear" w:color="auto" w:fill="auto"/>
            <w:noWrap/>
            <w:vAlign w:val="center"/>
          </w:tcPr>
          <w:p w14:paraId="350BC27D" w14:textId="29156376" w:rsidR="00F06A19" w:rsidRPr="00F87E34" w:rsidRDefault="00F06A19" w:rsidP="00F06A19">
            <w:pPr>
              <w:tabs>
                <w:tab w:val="decimal" w:pos="404"/>
              </w:tabs>
              <w:jc w:val="left"/>
              <w:rPr>
                <w:bCs/>
                <w:color w:val="000000"/>
                <w:sz w:val="16"/>
                <w:szCs w:val="16"/>
              </w:rPr>
            </w:pPr>
            <w:r>
              <w:rPr>
                <w:color w:val="000000"/>
                <w:sz w:val="16"/>
                <w:szCs w:val="16"/>
              </w:rPr>
              <w:t>1.0</w:t>
            </w:r>
          </w:p>
        </w:tc>
        <w:tc>
          <w:tcPr>
            <w:tcW w:w="1042" w:type="dxa"/>
            <w:tcBorders>
              <w:top w:val="nil"/>
              <w:left w:val="nil"/>
              <w:bottom w:val="nil"/>
              <w:right w:val="nil"/>
            </w:tcBorders>
            <w:shd w:val="clear" w:color="auto" w:fill="auto"/>
            <w:noWrap/>
            <w:vAlign w:val="center"/>
          </w:tcPr>
          <w:p w14:paraId="1F30FBFF" w14:textId="6584FD9B" w:rsidR="00F06A19" w:rsidRPr="00F87E34" w:rsidRDefault="00F06A19" w:rsidP="00F06A19">
            <w:pPr>
              <w:tabs>
                <w:tab w:val="decimal" w:pos="508"/>
              </w:tabs>
              <w:jc w:val="left"/>
              <w:rPr>
                <w:bCs/>
                <w:color w:val="000000"/>
                <w:sz w:val="16"/>
                <w:szCs w:val="16"/>
              </w:rPr>
            </w:pPr>
            <w:r>
              <w:rPr>
                <w:color w:val="000000"/>
                <w:sz w:val="16"/>
                <w:szCs w:val="16"/>
              </w:rPr>
              <w:t>2.6</w:t>
            </w:r>
          </w:p>
        </w:tc>
        <w:tc>
          <w:tcPr>
            <w:tcW w:w="991" w:type="dxa"/>
            <w:tcBorders>
              <w:top w:val="nil"/>
              <w:left w:val="nil"/>
              <w:bottom w:val="nil"/>
              <w:right w:val="nil"/>
            </w:tcBorders>
            <w:shd w:val="clear" w:color="auto" w:fill="auto"/>
            <w:noWrap/>
            <w:vAlign w:val="center"/>
          </w:tcPr>
          <w:p w14:paraId="35401D29" w14:textId="7CE2E3BC" w:rsidR="00F06A19" w:rsidRPr="00F87E34" w:rsidRDefault="00F06A19" w:rsidP="00F06A19">
            <w:pPr>
              <w:tabs>
                <w:tab w:val="decimal" w:pos="458"/>
              </w:tabs>
              <w:jc w:val="left"/>
              <w:rPr>
                <w:sz w:val="16"/>
                <w:szCs w:val="16"/>
              </w:rPr>
            </w:pPr>
            <w:r>
              <w:rPr>
                <w:color w:val="000000"/>
                <w:sz w:val="16"/>
                <w:szCs w:val="16"/>
              </w:rPr>
              <w:t>7.8</w:t>
            </w:r>
          </w:p>
        </w:tc>
        <w:tc>
          <w:tcPr>
            <w:tcW w:w="934" w:type="dxa"/>
            <w:tcBorders>
              <w:top w:val="nil"/>
              <w:left w:val="nil"/>
              <w:bottom w:val="nil"/>
              <w:right w:val="nil"/>
            </w:tcBorders>
            <w:shd w:val="clear" w:color="auto" w:fill="auto"/>
            <w:noWrap/>
            <w:vAlign w:val="center"/>
          </w:tcPr>
          <w:p w14:paraId="77AB7838" w14:textId="03358D38" w:rsidR="00F06A19" w:rsidRPr="00F87E34" w:rsidRDefault="00F06A19" w:rsidP="00F06A19">
            <w:pPr>
              <w:tabs>
                <w:tab w:val="decimal" w:pos="444"/>
              </w:tabs>
              <w:jc w:val="left"/>
              <w:rPr>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083003BE" w14:textId="52C38CB7" w:rsidR="00F06A19" w:rsidRPr="00F87E34" w:rsidRDefault="00F06A19" w:rsidP="00F06A19">
            <w:pPr>
              <w:tabs>
                <w:tab w:val="decimal" w:pos="504"/>
              </w:tabs>
              <w:jc w:val="left"/>
              <w:rPr>
                <w:sz w:val="16"/>
                <w:szCs w:val="16"/>
              </w:rPr>
            </w:pPr>
            <w:r>
              <w:rPr>
                <w:color w:val="000000"/>
                <w:sz w:val="16"/>
                <w:szCs w:val="16"/>
              </w:rPr>
              <w:t>1.2</w:t>
            </w:r>
          </w:p>
        </w:tc>
      </w:tr>
      <w:tr w:rsidR="00F06A19" w:rsidRPr="00F87E34" w14:paraId="254D5879"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F06A19" w:rsidRPr="00F87E34" w:rsidRDefault="00F06A19" w:rsidP="00F06A19">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41F4EA99" w:rsidR="00F06A19" w:rsidRPr="00F87E34" w:rsidRDefault="00F06A19" w:rsidP="00F06A19">
            <w:pPr>
              <w:tabs>
                <w:tab w:val="decimal" w:pos="508"/>
              </w:tabs>
              <w:jc w:val="left"/>
              <w:rPr>
                <w:bCs/>
                <w:color w:val="000000"/>
                <w:sz w:val="16"/>
                <w:szCs w:val="16"/>
              </w:rPr>
            </w:pPr>
            <w:r>
              <w:rPr>
                <w:color w:val="000000"/>
                <w:sz w:val="16"/>
                <w:szCs w:val="16"/>
              </w:rPr>
              <w:t>11.7</w:t>
            </w:r>
          </w:p>
        </w:tc>
        <w:tc>
          <w:tcPr>
            <w:tcW w:w="942" w:type="dxa"/>
            <w:tcBorders>
              <w:top w:val="nil"/>
              <w:left w:val="nil"/>
              <w:bottom w:val="nil"/>
              <w:right w:val="nil"/>
            </w:tcBorders>
            <w:shd w:val="clear" w:color="auto" w:fill="auto"/>
            <w:noWrap/>
            <w:vAlign w:val="center"/>
          </w:tcPr>
          <w:p w14:paraId="153AE4A0" w14:textId="7680483B" w:rsidR="00F06A19" w:rsidRPr="00F87E34" w:rsidRDefault="00F06A19" w:rsidP="00F06A19">
            <w:pPr>
              <w:tabs>
                <w:tab w:val="decimal" w:pos="404"/>
              </w:tabs>
              <w:jc w:val="left"/>
              <w:rPr>
                <w:bCs/>
                <w:color w:val="000000"/>
                <w:sz w:val="16"/>
                <w:szCs w:val="16"/>
              </w:rPr>
            </w:pPr>
            <w:r>
              <w:rPr>
                <w:color w:val="000000"/>
                <w:sz w:val="16"/>
                <w:szCs w:val="16"/>
              </w:rPr>
              <w:t>-2.3</w:t>
            </w:r>
          </w:p>
        </w:tc>
        <w:tc>
          <w:tcPr>
            <w:tcW w:w="1042" w:type="dxa"/>
            <w:tcBorders>
              <w:top w:val="nil"/>
              <w:left w:val="nil"/>
              <w:bottom w:val="nil"/>
              <w:right w:val="nil"/>
            </w:tcBorders>
            <w:shd w:val="clear" w:color="auto" w:fill="auto"/>
            <w:noWrap/>
            <w:vAlign w:val="center"/>
          </w:tcPr>
          <w:p w14:paraId="0F618101" w14:textId="276BE723" w:rsidR="00F06A19" w:rsidRPr="00F87E34" w:rsidRDefault="00F06A19" w:rsidP="00F06A19">
            <w:pPr>
              <w:tabs>
                <w:tab w:val="decimal" w:pos="508"/>
              </w:tabs>
              <w:jc w:val="left"/>
              <w:rPr>
                <w:bCs/>
                <w:color w:val="000000"/>
                <w:sz w:val="16"/>
                <w:szCs w:val="16"/>
              </w:rPr>
            </w:pPr>
            <w:r>
              <w:rPr>
                <w:color w:val="000000"/>
                <w:sz w:val="16"/>
                <w:szCs w:val="16"/>
              </w:rPr>
              <w:t>2.1</w:t>
            </w:r>
          </w:p>
        </w:tc>
        <w:tc>
          <w:tcPr>
            <w:tcW w:w="991" w:type="dxa"/>
            <w:tcBorders>
              <w:top w:val="nil"/>
              <w:left w:val="nil"/>
              <w:bottom w:val="nil"/>
              <w:right w:val="nil"/>
            </w:tcBorders>
            <w:shd w:val="clear" w:color="auto" w:fill="auto"/>
            <w:noWrap/>
            <w:vAlign w:val="center"/>
          </w:tcPr>
          <w:p w14:paraId="2A9EC3A7" w14:textId="13777391" w:rsidR="00F06A19" w:rsidRPr="00F87E34" w:rsidRDefault="00F06A19" w:rsidP="00F06A19">
            <w:pPr>
              <w:tabs>
                <w:tab w:val="decimal" w:pos="458"/>
              </w:tabs>
              <w:jc w:val="left"/>
              <w:rPr>
                <w:sz w:val="16"/>
                <w:szCs w:val="16"/>
              </w:rPr>
            </w:pPr>
            <w:r>
              <w:rPr>
                <w:color w:val="000000"/>
                <w:sz w:val="16"/>
                <w:szCs w:val="16"/>
              </w:rPr>
              <w:t>3.1</w:t>
            </w:r>
          </w:p>
        </w:tc>
        <w:tc>
          <w:tcPr>
            <w:tcW w:w="934" w:type="dxa"/>
            <w:tcBorders>
              <w:top w:val="nil"/>
              <w:left w:val="nil"/>
              <w:bottom w:val="nil"/>
              <w:right w:val="nil"/>
            </w:tcBorders>
            <w:shd w:val="clear" w:color="auto" w:fill="auto"/>
            <w:noWrap/>
            <w:vAlign w:val="center"/>
          </w:tcPr>
          <w:p w14:paraId="27C4B1AA" w14:textId="5A6A95E3" w:rsidR="00F06A19" w:rsidRPr="00F87E34" w:rsidRDefault="00F06A19" w:rsidP="00F06A19">
            <w:pPr>
              <w:tabs>
                <w:tab w:val="decimal" w:pos="444"/>
              </w:tabs>
              <w:jc w:val="left"/>
              <w:rPr>
                <w:sz w:val="16"/>
                <w:szCs w:val="16"/>
              </w:rPr>
            </w:pPr>
            <w:r>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14:paraId="3FE091FC" w14:textId="4C217E36" w:rsidR="00F06A19" w:rsidRPr="00F87E34" w:rsidRDefault="00F06A19" w:rsidP="00F06A19">
            <w:pPr>
              <w:tabs>
                <w:tab w:val="decimal" w:pos="504"/>
              </w:tabs>
              <w:jc w:val="left"/>
              <w:rPr>
                <w:sz w:val="16"/>
                <w:szCs w:val="16"/>
              </w:rPr>
            </w:pPr>
            <w:r>
              <w:rPr>
                <w:color w:val="000000"/>
                <w:sz w:val="16"/>
                <w:szCs w:val="16"/>
              </w:rPr>
              <w:t>-8.6</w:t>
            </w:r>
          </w:p>
        </w:tc>
      </w:tr>
      <w:tr w:rsidR="00F06A19" w:rsidRPr="00F87E34" w14:paraId="580DD6AD"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F06A19" w:rsidRPr="00F87E34" w:rsidRDefault="00F06A19" w:rsidP="00F06A19">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0E7324F5" w:rsidR="00F06A19" w:rsidRPr="00F87E34" w:rsidRDefault="00F06A19" w:rsidP="00F06A19">
            <w:pPr>
              <w:tabs>
                <w:tab w:val="decimal" w:pos="508"/>
              </w:tabs>
              <w:jc w:val="left"/>
              <w:rPr>
                <w:bCs/>
                <w:color w:val="000000"/>
                <w:sz w:val="16"/>
                <w:szCs w:val="16"/>
              </w:rPr>
            </w:pPr>
            <w:r>
              <w:rPr>
                <w:color w:val="000000"/>
                <w:sz w:val="16"/>
                <w:szCs w:val="16"/>
              </w:rPr>
              <w:t>4.8</w:t>
            </w:r>
          </w:p>
        </w:tc>
        <w:tc>
          <w:tcPr>
            <w:tcW w:w="942" w:type="dxa"/>
            <w:tcBorders>
              <w:top w:val="nil"/>
              <w:left w:val="nil"/>
              <w:bottom w:val="nil"/>
              <w:right w:val="nil"/>
            </w:tcBorders>
            <w:shd w:val="clear" w:color="auto" w:fill="auto"/>
            <w:noWrap/>
            <w:vAlign w:val="center"/>
          </w:tcPr>
          <w:p w14:paraId="5270EDA7" w14:textId="08540027" w:rsidR="00F06A19" w:rsidRPr="00F87E34" w:rsidRDefault="00F06A19" w:rsidP="00F06A19">
            <w:pPr>
              <w:tabs>
                <w:tab w:val="decimal" w:pos="404"/>
              </w:tabs>
              <w:jc w:val="left"/>
              <w:rPr>
                <w:bCs/>
                <w:color w:val="000000"/>
                <w:sz w:val="16"/>
                <w:szCs w:val="16"/>
              </w:rPr>
            </w:pPr>
            <w:r>
              <w:rPr>
                <w:color w:val="000000"/>
                <w:sz w:val="16"/>
                <w:szCs w:val="16"/>
              </w:rPr>
              <w:t>4.4</w:t>
            </w:r>
          </w:p>
        </w:tc>
        <w:tc>
          <w:tcPr>
            <w:tcW w:w="1042" w:type="dxa"/>
            <w:tcBorders>
              <w:top w:val="nil"/>
              <w:left w:val="nil"/>
              <w:bottom w:val="nil"/>
              <w:right w:val="nil"/>
            </w:tcBorders>
            <w:shd w:val="clear" w:color="auto" w:fill="auto"/>
            <w:noWrap/>
            <w:vAlign w:val="center"/>
          </w:tcPr>
          <w:p w14:paraId="515A07E4" w14:textId="3E86957A" w:rsidR="00F06A19" w:rsidRPr="00F87E34" w:rsidRDefault="00F06A19" w:rsidP="00F06A19">
            <w:pPr>
              <w:tabs>
                <w:tab w:val="decimal" w:pos="508"/>
              </w:tabs>
              <w:jc w:val="left"/>
              <w:rPr>
                <w:bCs/>
                <w:color w:val="000000"/>
                <w:sz w:val="16"/>
                <w:szCs w:val="16"/>
              </w:rPr>
            </w:pPr>
            <w:r>
              <w:rPr>
                <w:color w:val="000000"/>
                <w:sz w:val="16"/>
                <w:szCs w:val="16"/>
              </w:rPr>
              <w:t>8.8</w:t>
            </w:r>
          </w:p>
        </w:tc>
        <w:tc>
          <w:tcPr>
            <w:tcW w:w="991" w:type="dxa"/>
            <w:tcBorders>
              <w:top w:val="nil"/>
              <w:left w:val="nil"/>
              <w:bottom w:val="nil"/>
              <w:right w:val="nil"/>
            </w:tcBorders>
            <w:shd w:val="clear" w:color="auto" w:fill="auto"/>
            <w:noWrap/>
            <w:vAlign w:val="center"/>
          </w:tcPr>
          <w:p w14:paraId="05EDA912" w14:textId="332B8CCB" w:rsidR="00F06A19" w:rsidRPr="00F87E34" w:rsidRDefault="00F06A19" w:rsidP="00F06A19">
            <w:pPr>
              <w:tabs>
                <w:tab w:val="decimal" w:pos="458"/>
              </w:tabs>
              <w:jc w:val="left"/>
              <w:rPr>
                <w:sz w:val="16"/>
                <w:szCs w:val="16"/>
              </w:rPr>
            </w:pPr>
            <w:r>
              <w:rPr>
                <w:color w:val="000000"/>
                <w:sz w:val="16"/>
                <w:szCs w:val="16"/>
              </w:rPr>
              <w:t>3.5</w:t>
            </w:r>
          </w:p>
        </w:tc>
        <w:tc>
          <w:tcPr>
            <w:tcW w:w="934" w:type="dxa"/>
            <w:tcBorders>
              <w:top w:val="nil"/>
              <w:left w:val="nil"/>
              <w:bottom w:val="nil"/>
              <w:right w:val="nil"/>
            </w:tcBorders>
            <w:shd w:val="clear" w:color="auto" w:fill="auto"/>
            <w:noWrap/>
            <w:vAlign w:val="center"/>
          </w:tcPr>
          <w:p w14:paraId="097BD8F5" w14:textId="29E0749F" w:rsidR="00F06A19" w:rsidRPr="00F87E34" w:rsidRDefault="00F06A19" w:rsidP="00F06A19">
            <w:pPr>
              <w:tabs>
                <w:tab w:val="decimal" w:pos="444"/>
              </w:tabs>
              <w:jc w:val="left"/>
              <w:rPr>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6F3ED211" w14:textId="06BCCF67" w:rsidR="00F06A19" w:rsidRPr="00F87E34" w:rsidRDefault="00F06A19" w:rsidP="00F06A19">
            <w:pPr>
              <w:tabs>
                <w:tab w:val="decimal" w:pos="504"/>
              </w:tabs>
              <w:jc w:val="left"/>
              <w:rPr>
                <w:sz w:val="16"/>
                <w:szCs w:val="16"/>
              </w:rPr>
            </w:pPr>
            <w:r>
              <w:rPr>
                <w:color w:val="000000"/>
                <w:sz w:val="16"/>
                <w:szCs w:val="16"/>
              </w:rPr>
              <w:t>3.4</w:t>
            </w:r>
          </w:p>
        </w:tc>
      </w:tr>
      <w:tr w:rsidR="00F06A19" w:rsidRPr="00F87E34" w14:paraId="6EDCB38A"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F06A19" w:rsidRPr="00F87E34" w:rsidRDefault="00F06A19" w:rsidP="00F06A19">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4442644F" w:rsidR="00F06A19" w:rsidRPr="00F87E34" w:rsidRDefault="00F06A19" w:rsidP="00F06A19">
            <w:pPr>
              <w:tabs>
                <w:tab w:val="decimal" w:pos="508"/>
              </w:tabs>
              <w:jc w:val="left"/>
              <w:rPr>
                <w:bCs/>
                <w:color w:val="000000"/>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1758DE33" w14:textId="53E6428C" w:rsidR="00F06A19" w:rsidRPr="00F87E34" w:rsidRDefault="00F06A19" w:rsidP="00F06A19">
            <w:pPr>
              <w:tabs>
                <w:tab w:val="decimal" w:pos="404"/>
              </w:tabs>
              <w:jc w:val="left"/>
              <w:rPr>
                <w:bCs/>
                <w:color w:val="000000"/>
                <w:sz w:val="16"/>
                <w:szCs w:val="16"/>
              </w:rPr>
            </w:pPr>
            <w:r>
              <w:rPr>
                <w:color w:val="000000"/>
                <w:sz w:val="16"/>
                <w:szCs w:val="16"/>
              </w:rPr>
              <w:t>-5.2</w:t>
            </w:r>
          </w:p>
        </w:tc>
        <w:tc>
          <w:tcPr>
            <w:tcW w:w="1042" w:type="dxa"/>
            <w:tcBorders>
              <w:top w:val="nil"/>
              <w:left w:val="nil"/>
              <w:bottom w:val="nil"/>
              <w:right w:val="nil"/>
            </w:tcBorders>
            <w:shd w:val="clear" w:color="auto" w:fill="auto"/>
            <w:noWrap/>
            <w:vAlign w:val="center"/>
          </w:tcPr>
          <w:p w14:paraId="47510891" w14:textId="19C66B2F" w:rsidR="00F06A19" w:rsidRPr="00F87E34" w:rsidRDefault="00F06A19" w:rsidP="00F06A19">
            <w:pPr>
              <w:tabs>
                <w:tab w:val="decimal" w:pos="508"/>
              </w:tabs>
              <w:jc w:val="left"/>
              <w:rPr>
                <w:bCs/>
                <w:color w:val="000000"/>
                <w:sz w:val="16"/>
                <w:szCs w:val="16"/>
              </w:rPr>
            </w:pPr>
            <w:r>
              <w:rPr>
                <w:color w:val="000000"/>
                <w:sz w:val="16"/>
                <w:szCs w:val="16"/>
              </w:rPr>
              <w:t>8.0</w:t>
            </w:r>
          </w:p>
        </w:tc>
        <w:tc>
          <w:tcPr>
            <w:tcW w:w="991" w:type="dxa"/>
            <w:tcBorders>
              <w:top w:val="nil"/>
              <w:left w:val="nil"/>
              <w:bottom w:val="nil"/>
              <w:right w:val="nil"/>
            </w:tcBorders>
            <w:shd w:val="clear" w:color="auto" w:fill="auto"/>
            <w:noWrap/>
            <w:vAlign w:val="center"/>
          </w:tcPr>
          <w:p w14:paraId="0AC28BCE" w14:textId="6EDAB56D" w:rsidR="00F06A19" w:rsidRPr="00F87E34" w:rsidRDefault="00F06A19" w:rsidP="00F06A19">
            <w:pPr>
              <w:tabs>
                <w:tab w:val="decimal" w:pos="458"/>
              </w:tabs>
              <w:jc w:val="left"/>
              <w:rPr>
                <w:sz w:val="16"/>
                <w:szCs w:val="16"/>
              </w:rPr>
            </w:pPr>
            <w:r>
              <w:rPr>
                <w:color w:val="000000"/>
                <w:sz w:val="16"/>
                <w:szCs w:val="16"/>
              </w:rPr>
              <w:t>2.3</w:t>
            </w:r>
          </w:p>
        </w:tc>
        <w:tc>
          <w:tcPr>
            <w:tcW w:w="934" w:type="dxa"/>
            <w:tcBorders>
              <w:top w:val="nil"/>
              <w:left w:val="nil"/>
              <w:bottom w:val="nil"/>
              <w:right w:val="nil"/>
            </w:tcBorders>
            <w:shd w:val="clear" w:color="auto" w:fill="auto"/>
            <w:noWrap/>
            <w:vAlign w:val="center"/>
          </w:tcPr>
          <w:p w14:paraId="647A0B3E" w14:textId="59972191" w:rsidR="00F06A19" w:rsidRPr="00F87E34" w:rsidRDefault="00F06A19" w:rsidP="00F06A19">
            <w:pPr>
              <w:tabs>
                <w:tab w:val="decimal" w:pos="444"/>
              </w:tabs>
              <w:jc w:val="left"/>
              <w:rPr>
                <w:sz w:val="16"/>
                <w:szCs w:val="16"/>
              </w:rPr>
            </w:pPr>
            <w:r>
              <w:rPr>
                <w:color w:val="000000"/>
                <w:sz w:val="16"/>
                <w:szCs w:val="16"/>
              </w:rPr>
              <w:t>3.6</w:t>
            </w:r>
          </w:p>
        </w:tc>
        <w:tc>
          <w:tcPr>
            <w:tcW w:w="1050" w:type="dxa"/>
            <w:tcBorders>
              <w:top w:val="nil"/>
              <w:left w:val="nil"/>
              <w:bottom w:val="nil"/>
              <w:right w:val="single" w:sz="8" w:space="0" w:color="404040"/>
            </w:tcBorders>
            <w:shd w:val="clear" w:color="auto" w:fill="auto"/>
            <w:noWrap/>
            <w:vAlign w:val="center"/>
          </w:tcPr>
          <w:p w14:paraId="390E2636" w14:textId="23F8D7C1" w:rsidR="00F06A19" w:rsidRPr="00F87E34" w:rsidRDefault="00F06A19" w:rsidP="00F06A19">
            <w:pPr>
              <w:tabs>
                <w:tab w:val="decimal" w:pos="504"/>
              </w:tabs>
              <w:jc w:val="left"/>
              <w:rPr>
                <w:sz w:val="16"/>
                <w:szCs w:val="16"/>
              </w:rPr>
            </w:pPr>
            <w:r>
              <w:rPr>
                <w:color w:val="000000"/>
                <w:sz w:val="16"/>
                <w:szCs w:val="16"/>
              </w:rPr>
              <w:t>-2.6</w:t>
            </w:r>
          </w:p>
        </w:tc>
      </w:tr>
      <w:tr w:rsidR="00F06A19" w:rsidRPr="00F87E34" w14:paraId="09BD79EB"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F06A19" w:rsidRPr="00F87E34" w:rsidRDefault="00F06A19" w:rsidP="00F06A19">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089E3A80" w:rsidR="00F06A19" w:rsidRPr="00F87E34" w:rsidRDefault="00F06A19" w:rsidP="00F06A19">
            <w:pPr>
              <w:tabs>
                <w:tab w:val="decimal" w:pos="508"/>
              </w:tabs>
              <w:jc w:val="left"/>
              <w:rPr>
                <w:bCs/>
                <w:color w:val="000000"/>
                <w:sz w:val="16"/>
                <w:szCs w:val="16"/>
              </w:rPr>
            </w:pPr>
            <w:r>
              <w:rPr>
                <w:color w:val="000000"/>
                <w:sz w:val="16"/>
                <w:szCs w:val="16"/>
              </w:rPr>
              <w:t>4.4</w:t>
            </w:r>
          </w:p>
        </w:tc>
        <w:tc>
          <w:tcPr>
            <w:tcW w:w="942" w:type="dxa"/>
            <w:tcBorders>
              <w:top w:val="nil"/>
              <w:left w:val="nil"/>
              <w:bottom w:val="nil"/>
              <w:right w:val="nil"/>
            </w:tcBorders>
            <w:shd w:val="clear" w:color="auto" w:fill="auto"/>
            <w:noWrap/>
            <w:vAlign w:val="center"/>
          </w:tcPr>
          <w:p w14:paraId="331C7084" w14:textId="0CAAAA74" w:rsidR="00F06A19" w:rsidRPr="00F87E34" w:rsidRDefault="00F06A19" w:rsidP="00F06A19">
            <w:pPr>
              <w:tabs>
                <w:tab w:val="decimal" w:pos="404"/>
              </w:tabs>
              <w:jc w:val="left"/>
              <w:rPr>
                <w:bCs/>
                <w:color w:val="000000"/>
                <w:sz w:val="16"/>
                <w:szCs w:val="16"/>
              </w:rPr>
            </w:pPr>
            <w:r>
              <w:rPr>
                <w:color w:val="000000"/>
                <w:sz w:val="16"/>
                <w:szCs w:val="16"/>
              </w:rPr>
              <w:t>-0.4</w:t>
            </w:r>
          </w:p>
        </w:tc>
        <w:tc>
          <w:tcPr>
            <w:tcW w:w="1042" w:type="dxa"/>
            <w:tcBorders>
              <w:top w:val="nil"/>
              <w:left w:val="nil"/>
              <w:bottom w:val="nil"/>
              <w:right w:val="nil"/>
            </w:tcBorders>
            <w:shd w:val="clear" w:color="auto" w:fill="auto"/>
            <w:noWrap/>
            <w:vAlign w:val="center"/>
          </w:tcPr>
          <w:p w14:paraId="65155696" w14:textId="32898764" w:rsidR="00F06A19" w:rsidRPr="00F87E34" w:rsidRDefault="00F06A19" w:rsidP="00F06A19">
            <w:pPr>
              <w:tabs>
                <w:tab w:val="decimal" w:pos="508"/>
              </w:tabs>
              <w:jc w:val="left"/>
              <w:rPr>
                <w:bCs/>
                <w:color w:val="000000"/>
                <w:sz w:val="16"/>
                <w:szCs w:val="16"/>
              </w:rPr>
            </w:pPr>
            <w:r>
              <w:rPr>
                <w:color w:val="000000"/>
                <w:sz w:val="16"/>
                <w:szCs w:val="16"/>
              </w:rPr>
              <w:t>7.2</w:t>
            </w:r>
          </w:p>
        </w:tc>
        <w:tc>
          <w:tcPr>
            <w:tcW w:w="991" w:type="dxa"/>
            <w:tcBorders>
              <w:top w:val="nil"/>
              <w:left w:val="nil"/>
              <w:bottom w:val="nil"/>
              <w:right w:val="nil"/>
            </w:tcBorders>
            <w:shd w:val="clear" w:color="auto" w:fill="auto"/>
            <w:noWrap/>
            <w:vAlign w:val="center"/>
          </w:tcPr>
          <w:p w14:paraId="7EA7A223" w14:textId="05E79CCE" w:rsidR="00F06A19" w:rsidRPr="00F87E34" w:rsidRDefault="00F06A19" w:rsidP="00F06A19">
            <w:pPr>
              <w:tabs>
                <w:tab w:val="decimal" w:pos="458"/>
              </w:tabs>
              <w:jc w:val="left"/>
              <w:rPr>
                <w:sz w:val="16"/>
                <w:szCs w:val="16"/>
              </w:rPr>
            </w:pPr>
            <w:r>
              <w:rPr>
                <w:color w:val="000000"/>
                <w:sz w:val="16"/>
                <w:szCs w:val="16"/>
              </w:rPr>
              <w:t>4.3</w:t>
            </w:r>
          </w:p>
        </w:tc>
        <w:tc>
          <w:tcPr>
            <w:tcW w:w="934" w:type="dxa"/>
            <w:tcBorders>
              <w:top w:val="nil"/>
              <w:left w:val="nil"/>
              <w:bottom w:val="nil"/>
              <w:right w:val="nil"/>
            </w:tcBorders>
            <w:shd w:val="clear" w:color="auto" w:fill="auto"/>
            <w:noWrap/>
            <w:vAlign w:val="center"/>
          </w:tcPr>
          <w:p w14:paraId="00041D44" w14:textId="771FAEE9" w:rsidR="00F06A19" w:rsidRPr="00F87E34" w:rsidRDefault="00F06A19" w:rsidP="00F06A19">
            <w:pPr>
              <w:tabs>
                <w:tab w:val="decimal" w:pos="444"/>
              </w:tabs>
              <w:jc w:val="left"/>
              <w:rPr>
                <w:sz w:val="16"/>
                <w:szCs w:val="16"/>
              </w:rPr>
            </w:pPr>
            <w:r>
              <w:rPr>
                <w:color w:val="000000"/>
                <w:sz w:val="16"/>
                <w:szCs w:val="16"/>
              </w:rPr>
              <w:t>-0.3</w:t>
            </w:r>
          </w:p>
        </w:tc>
        <w:tc>
          <w:tcPr>
            <w:tcW w:w="1050" w:type="dxa"/>
            <w:tcBorders>
              <w:top w:val="nil"/>
              <w:left w:val="nil"/>
              <w:bottom w:val="nil"/>
              <w:right w:val="single" w:sz="8" w:space="0" w:color="404040"/>
            </w:tcBorders>
            <w:shd w:val="clear" w:color="auto" w:fill="auto"/>
            <w:noWrap/>
            <w:vAlign w:val="center"/>
          </w:tcPr>
          <w:p w14:paraId="38E3799E" w14:textId="568A0C70" w:rsidR="00F06A19" w:rsidRPr="00F87E34" w:rsidRDefault="00F06A19" w:rsidP="00F06A19">
            <w:pPr>
              <w:tabs>
                <w:tab w:val="decimal" w:pos="504"/>
              </w:tabs>
              <w:jc w:val="left"/>
              <w:rPr>
                <w:sz w:val="16"/>
                <w:szCs w:val="16"/>
              </w:rPr>
            </w:pPr>
            <w:r>
              <w:rPr>
                <w:color w:val="000000"/>
                <w:sz w:val="16"/>
                <w:szCs w:val="16"/>
              </w:rPr>
              <w:t>3.4</w:t>
            </w:r>
          </w:p>
        </w:tc>
      </w:tr>
      <w:tr w:rsidR="00F06A19" w:rsidRPr="00F87E34" w14:paraId="4E5561B3"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F06A19" w:rsidRPr="00F87E34" w:rsidRDefault="00F06A19" w:rsidP="00F06A19">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2B69FBA4" w:rsidR="00F06A19" w:rsidRPr="00F87E34" w:rsidRDefault="00F06A19" w:rsidP="00F06A19">
            <w:pPr>
              <w:tabs>
                <w:tab w:val="decimal" w:pos="508"/>
              </w:tabs>
              <w:jc w:val="left"/>
              <w:rPr>
                <w:bCs/>
                <w:color w:val="000000"/>
                <w:sz w:val="16"/>
                <w:szCs w:val="16"/>
              </w:rPr>
            </w:pPr>
            <w:r>
              <w:rPr>
                <w:color w:val="000000"/>
                <w:sz w:val="16"/>
                <w:szCs w:val="16"/>
              </w:rPr>
              <w:t>9.1</w:t>
            </w:r>
          </w:p>
        </w:tc>
        <w:tc>
          <w:tcPr>
            <w:tcW w:w="942" w:type="dxa"/>
            <w:tcBorders>
              <w:top w:val="nil"/>
              <w:left w:val="nil"/>
              <w:bottom w:val="nil"/>
              <w:right w:val="nil"/>
            </w:tcBorders>
            <w:shd w:val="clear" w:color="auto" w:fill="auto"/>
            <w:noWrap/>
            <w:vAlign w:val="center"/>
          </w:tcPr>
          <w:p w14:paraId="1CDC2048" w14:textId="1BF60E40" w:rsidR="00F06A19" w:rsidRPr="00F87E34" w:rsidRDefault="00F06A19" w:rsidP="00F06A19">
            <w:pPr>
              <w:tabs>
                <w:tab w:val="decimal" w:pos="404"/>
              </w:tabs>
              <w:jc w:val="left"/>
              <w:rPr>
                <w:bCs/>
                <w:color w:val="000000"/>
                <w:sz w:val="16"/>
                <w:szCs w:val="16"/>
              </w:rPr>
            </w:pPr>
            <w:r>
              <w:rPr>
                <w:color w:val="000000"/>
                <w:sz w:val="16"/>
                <w:szCs w:val="16"/>
              </w:rPr>
              <w:t>0.8</w:t>
            </w:r>
          </w:p>
        </w:tc>
        <w:tc>
          <w:tcPr>
            <w:tcW w:w="1042" w:type="dxa"/>
            <w:tcBorders>
              <w:top w:val="nil"/>
              <w:left w:val="nil"/>
              <w:bottom w:val="nil"/>
              <w:right w:val="nil"/>
            </w:tcBorders>
            <w:shd w:val="clear" w:color="auto" w:fill="auto"/>
            <w:noWrap/>
            <w:vAlign w:val="center"/>
          </w:tcPr>
          <w:p w14:paraId="43CF2892" w14:textId="4F93B371" w:rsidR="00F06A19" w:rsidRPr="00F87E34" w:rsidRDefault="00F06A19" w:rsidP="00F06A19">
            <w:pPr>
              <w:tabs>
                <w:tab w:val="decimal" w:pos="508"/>
              </w:tabs>
              <w:jc w:val="left"/>
              <w:rPr>
                <w:bCs/>
                <w:color w:val="000000"/>
                <w:sz w:val="16"/>
                <w:szCs w:val="16"/>
              </w:rPr>
            </w:pPr>
            <w:r>
              <w:rPr>
                <w:color w:val="000000"/>
                <w:sz w:val="16"/>
                <w:szCs w:val="16"/>
              </w:rPr>
              <w:t>8.6</w:t>
            </w:r>
          </w:p>
        </w:tc>
        <w:tc>
          <w:tcPr>
            <w:tcW w:w="991" w:type="dxa"/>
            <w:tcBorders>
              <w:top w:val="nil"/>
              <w:left w:val="nil"/>
              <w:bottom w:val="nil"/>
              <w:right w:val="nil"/>
            </w:tcBorders>
            <w:shd w:val="clear" w:color="auto" w:fill="auto"/>
            <w:noWrap/>
            <w:vAlign w:val="center"/>
          </w:tcPr>
          <w:p w14:paraId="7D544EA3" w14:textId="72BE1BC8" w:rsidR="00F06A19" w:rsidRPr="00F87E34" w:rsidRDefault="00F06A19" w:rsidP="00F06A19">
            <w:pPr>
              <w:tabs>
                <w:tab w:val="decimal" w:pos="458"/>
              </w:tabs>
              <w:jc w:val="left"/>
              <w:rPr>
                <w:sz w:val="16"/>
                <w:szCs w:val="16"/>
              </w:rPr>
            </w:pPr>
            <w:r>
              <w:rPr>
                <w:color w:val="000000"/>
                <w:sz w:val="16"/>
                <w:szCs w:val="16"/>
              </w:rPr>
              <w:t>-0.3</w:t>
            </w:r>
          </w:p>
        </w:tc>
        <w:tc>
          <w:tcPr>
            <w:tcW w:w="934" w:type="dxa"/>
            <w:tcBorders>
              <w:top w:val="nil"/>
              <w:left w:val="nil"/>
              <w:bottom w:val="nil"/>
              <w:right w:val="nil"/>
            </w:tcBorders>
            <w:shd w:val="clear" w:color="auto" w:fill="auto"/>
            <w:noWrap/>
            <w:vAlign w:val="center"/>
          </w:tcPr>
          <w:p w14:paraId="2659CF1C" w14:textId="71EB87BC" w:rsidR="00F06A19" w:rsidRPr="00F87E34" w:rsidRDefault="00F06A19" w:rsidP="00F06A19">
            <w:pPr>
              <w:tabs>
                <w:tab w:val="decimal" w:pos="444"/>
              </w:tabs>
              <w:jc w:val="left"/>
              <w:rPr>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14:paraId="5E6B1D71" w14:textId="1FEAD825" w:rsidR="00F06A19" w:rsidRPr="00F87E34" w:rsidRDefault="00F06A19" w:rsidP="00F06A19">
            <w:pPr>
              <w:tabs>
                <w:tab w:val="decimal" w:pos="504"/>
              </w:tabs>
              <w:jc w:val="left"/>
              <w:rPr>
                <w:sz w:val="16"/>
                <w:szCs w:val="16"/>
              </w:rPr>
            </w:pPr>
            <w:r>
              <w:rPr>
                <w:color w:val="000000"/>
                <w:sz w:val="16"/>
                <w:szCs w:val="16"/>
              </w:rPr>
              <w:t>-6.3</w:t>
            </w:r>
          </w:p>
        </w:tc>
      </w:tr>
      <w:tr w:rsidR="00F06A19" w:rsidRPr="00F87E34" w14:paraId="4C801674"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F06A19" w:rsidRPr="00F87E34" w:rsidRDefault="00F06A19" w:rsidP="00F06A19">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413BCBE2" w:rsidR="00F06A19" w:rsidRPr="00F87E34" w:rsidRDefault="00F06A19" w:rsidP="00F06A19">
            <w:pPr>
              <w:tabs>
                <w:tab w:val="decimal" w:pos="508"/>
              </w:tabs>
              <w:jc w:val="left"/>
              <w:rPr>
                <w:bCs/>
                <w:color w:val="000000"/>
                <w:sz w:val="16"/>
                <w:szCs w:val="16"/>
              </w:rPr>
            </w:pPr>
            <w:r>
              <w:rPr>
                <w:color w:val="000000"/>
                <w:sz w:val="16"/>
                <w:szCs w:val="16"/>
              </w:rPr>
              <w:t>-0.5</w:t>
            </w:r>
          </w:p>
        </w:tc>
        <w:tc>
          <w:tcPr>
            <w:tcW w:w="942" w:type="dxa"/>
            <w:tcBorders>
              <w:top w:val="nil"/>
              <w:left w:val="nil"/>
              <w:bottom w:val="nil"/>
              <w:right w:val="nil"/>
            </w:tcBorders>
            <w:shd w:val="clear" w:color="auto" w:fill="auto"/>
            <w:noWrap/>
            <w:vAlign w:val="center"/>
          </w:tcPr>
          <w:p w14:paraId="6CA40FD6" w14:textId="3E9D30C5" w:rsidR="00F06A19" w:rsidRPr="00F87E34" w:rsidRDefault="00F06A19" w:rsidP="00F06A19">
            <w:pPr>
              <w:tabs>
                <w:tab w:val="decimal" w:pos="404"/>
              </w:tabs>
              <w:jc w:val="left"/>
              <w:rPr>
                <w:bCs/>
                <w:color w:val="000000"/>
                <w:sz w:val="16"/>
                <w:szCs w:val="16"/>
              </w:rPr>
            </w:pPr>
            <w:r>
              <w:rPr>
                <w:color w:val="000000"/>
                <w:sz w:val="16"/>
                <w:szCs w:val="16"/>
              </w:rPr>
              <w:t>4.1</w:t>
            </w:r>
          </w:p>
        </w:tc>
        <w:tc>
          <w:tcPr>
            <w:tcW w:w="1042" w:type="dxa"/>
            <w:tcBorders>
              <w:top w:val="nil"/>
              <w:left w:val="nil"/>
              <w:bottom w:val="nil"/>
              <w:right w:val="nil"/>
            </w:tcBorders>
            <w:shd w:val="clear" w:color="auto" w:fill="auto"/>
            <w:noWrap/>
            <w:vAlign w:val="center"/>
          </w:tcPr>
          <w:p w14:paraId="6D0068B2" w14:textId="4B80C2EA" w:rsidR="00F06A19" w:rsidRPr="00F87E34" w:rsidRDefault="00F06A19" w:rsidP="00F06A19">
            <w:pPr>
              <w:tabs>
                <w:tab w:val="decimal" w:pos="508"/>
              </w:tabs>
              <w:jc w:val="left"/>
              <w:rPr>
                <w:bCs/>
                <w:color w:val="000000"/>
                <w:sz w:val="16"/>
                <w:szCs w:val="16"/>
              </w:rPr>
            </w:pPr>
            <w:r>
              <w:rPr>
                <w:color w:val="000000"/>
                <w:sz w:val="16"/>
                <w:szCs w:val="16"/>
              </w:rPr>
              <w:t>-1.3</w:t>
            </w:r>
          </w:p>
        </w:tc>
        <w:tc>
          <w:tcPr>
            <w:tcW w:w="991" w:type="dxa"/>
            <w:tcBorders>
              <w:top w:val="nil"/>
              <w:left w:val="nil"/>
              <w:bottom w:val="nil"/>
              <w:right w:val="nil"/>
            </w:tcBorders>
            <w:shd w:val="clear" w:color="auto" w:fill="auto"/>
            <w:noWrap/>
            <w:vAlign w:val="center"/>
          </w:tcPr>
          <w:p w14:paraId="43BD5A7E" w14:textId="30278D89" w:rsidR="00F06A19" w:rsidRPr="00F87E34" w:rsidRDefault="00F06A19" w:rsidP="00F06A19">
            <w:pPr>
              <w:tabs>
                <w:tab w:val="decimal" w:pos="458"/>
              </w:tabs>
              <w:jc w:val="left"/>
              <w:rPr>
                <w:sz w:val="16"/>
                <w:szCs w:val="16"/>
              </w:rPr>
            </w:pPr>
            <w:r>
              <w:rPr>
                <w:color w:val="000000"/>
                <w:sz w:val="16"/>
                <w:szCs w:val="16"/>
              </w:rPr>
              <w:t>4.2</w:t>
            </w:r>
          </w:p>
        </w:tc>
        <w:tc>
          <w:tcPr>
            <w:tcW w:w="934" w:type="dxa"/>
            <w:tcBorders>
              <w:top w:val="nil"/>
              <w:left w:val="nil"/>
              <w:bottom w:val="nil"/>
              <w:right w:val="nil"/>
            </w:tcBorders>
            <w:shd w:val="clear" w:color="auto" w:fill="auto"/>
            <w:noWrap/>
            <w:vAlign w:val="center"/>
          </w:tcPr>
          <w:p w14:paraId="524567EB" w14:textId="1F63E943" w:rsidR="00F06A19" w:rsidRPr="00F87E34" w:rsidRDefault="00F06A19" w:rsidP="00F06A19">
            <w:pPr>
              <w:tabs>
                <w:tab w:val="decimal" w:pos="444"/>
              </w:tabs>
              <w:jc w:val="left"/>
              <w:rPr>
                <w:sz w:val="16"/>
                <w:szCs w:val="16"/>
              </w:rPr>
            </w:pPr>
            <w:r>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4BB07B89" w14:textId="125B38F2" w:rsidR="00F06A19" w:rsidRPr="00F87E34" w:rsidRDefault="00F06A19" w:rsidP="00F06A19">
            <w:pPr>
              <w:tabs>
                <w:tab w:val="decimal" w:pos="504"/>
              </w:tabs>
              <w:jc w:val="left"/>
              <w:rPr>
                <w:sz w:val="16"/>
                <w:szCs w:val="16"/>
              </w:rPr>
            </w:pPr>
            <w:r>
              <w:rPr>
                <w:color w:val="000000"/>
                <w:sz w:val="16"/>
                <w:szCs w:val="16"/>
              </w:rPr>
              <w:t>2.9</w:t>
            </w:r>
          </w:p>
        </w:tc>
      </w:tr>
      <w:tr w:rsidR="00F06A19" w:rsidRPr="00F87E34" w14:paraId="3C648981" w14:textId="77777777" w:rsidTr="00F06A19">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F06A19" w:rsidRPr="00F87E34" w:rsidRDefault="00F06A19" w:rsidP="00F06A19">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4B38B8FB" w:rsidR="00F06A19" w:rsidRPr="00F87E34" w:rsidRDefault="00F06A19" w:rsidP="00F06A19">
            <w:pPr>
              <w:tabs>
                <w:tab w:val="decimal" w:pos="508"/>
              </w:tabs>
              <w:jc w:val="left"/>
              <w:rPr>
                <w:bCs/>
                <w:color w:val="000000"/>
                <w:sz w:val="16"/>
                <w:szCs w:val="16"/>
              </w:rPr>
            </w:pPr>
            <w:r>
              <w:rPr>
                <w:color w:val="000000"/>
                <w:sz w:val="16"/>
                <w:szCs w:val="16"/>
              </w:rPr>
              <w:t>12.5</w:t>
            </w:r>
          </w:p>
        </w:tc>
        <w:tc>
          <w:tcPr>
            <w:tcW w:w="942" w:type="dxa"/>
            <w:tcBorders>
              <w:top w:val="nil"/>
              <w:left w:val="nil"/>
              <w:bottom w:val="nil"/>
              <w:right w:val="nil"/>
            </w:tcBorders>
            <w:shd w:val="clear" w:color="auto" w:fill="auto"/>
            <w:noWrap/>
            <w:vAlign w:val="center"/>
          </w:tcPr>
          <w:p w14:paraId="637BDE76" w14:textId="33505520" w:rsidR="00F06A19" w:rsidRPr="00F87E34" w:rsidRDefault="00F06A19" w:rsidP="00F06A19">
            <w:pPr>
              <w:tabs>
                <w:tab w:val="decimal" w:pos="404"/>
              </w:tabs>
              <w:jc w:val="left"/>
              <w:rPr>
                <w:bCs/>
                <w:color w:val="000000"/>
                <w:sz w:val="16"/>
                <w:szCs w:val="16"/>
              </w:rPr>
            </w:pPr>
            <w:r>
              <w:rPr>
                <w:color w:val="000000"/>
                <w:sz w:val="16"/>
                <w:szCs w:val="16"/>
              </w:rPr>
              <w:t>-0.6</w:t>
            </w:r>
          </w:p>
        </w:tc>
        <w:tc>
          <w:tcPr>
            <w:tcW w:w="1042" w:type="dxa"/>
            <w:tcBorders>
              <w:top w:val="nil"/>
              <w:left w:val="nil"/>
              <w:bottom w:val="nil"/>
              <w:right w:val="nil"/>
            </w:tcBorders>
            <w:shd w:val="clear" w:color="auto" w:fill="auto"/>
            <w:noWrap/>
            <w:vAlign w:val="center"/>
          </w:tcPr>
          <w:p w14:paraId="221240FE" w14:textId="128318C9" w:rsidR="00F06A19" w:rsidRPr="00F87E34" w:rsidRDefault="00F06A19" w:rsidP="00F06A19">
            <w:pPr>
              <w:tabs>
                <w:tab w:val="decimal" w:pos="508"/>
              </w:tabs>
              <w:jc w:val="left"/>
              <w:rPr>
                <w:bCs/>
                <w:color w:val="000000"/>
                <w:sz w:val="16"/>
                <w:szCs w:val="16"/>
              </w:rPr>
            </w:pPr>
            <w:r>
              <w:rPr>
                <w:color w:val="000000"/>
                <w:sz w:val="16"/>
                <w:szCs w:val="16"/>
              </w:rPr>
              <w:t>13.6</w:t>
            </w:r>
          </w:p>
        </w:tc>
        <w:tc>
          <w:tcPr>
            <w:tcW w:w="991" w:type="dxa"/>
            <w:tcBorders>
              <w:top w:val="nil"/>
              <w:left w:val="nil"/>
              <w:bottom w:val="nil"/>
              <w:right w:val="nil"/>
            </w:tcBorders>
            <w:shd w:val="clear" w:color="auto" w:fill="auto"/>
            <w:noWrap/>
            <w:vAlign w:val="center"/>
          </w:tcPr>
          <w:p w14:paraId="315407DF" w14:textId="0FB66DD8" w:rsidR="00F06A19" w:rsidRPr="00F87E34" w:rsidRDefault="00F06A19" w:rsidP="00F06A19">
            <w:pPr>
              <w:tabs>
                <w:tab w:val="decimal" w:pos="458"/>
              </w:tabs>
              <w:jc w:val="left"/>
              <w:rPr>
                <w:sz w:val="16"/>
                <w:szCs w:val="16"/>
              </w:rPr>
            </w:pPr>
            <w:r>
              <w:rPr>
                <w:color w:val="000000"/>
                <w:sz w:val="16"/>
                <w:szCs w:val="16"/>
              </w:rPr>
              <w:t>8.0</w:t>
            </w:r>
          </w:p>
        </w:tc>
        <w:tc>
          <w:tcPr>
            <w:tcW w:w="934" w:type="dxa"/>
            <w:tcBorders>
              <w:top w:val="nil"/>
              <w:left w:val="nil"/>
              <w:bottom w:val="nil"/>
              <w:right w:val="nil"/>
            </w:tcBorders>
            <w:shd w:val="clear" w:color="auto" w:fill="auto"/>
            <w:noWrap/>
            <w:vAlign w:val="center"/>
          </w:tcPr>
          <w:p w14:paraId="7FBEC74E" w14:textId="0503FDFC" w:rsidR="00F06A19" w:rsidRPr="00F87E34" w:rsidRDefault="00F06A19" w:rsidP="00F06A19">
            <w:pPr>
              <w:tabs>
                <w:tab w:val="decimal" w:pos="444"/>
              </w:tabs>
              <w:jc w:val="left"/>
              <w:rPr>
                <w:sz w:val="16"/>
                <w:szCs w:val="16"/>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54F0FE9C" w14:textId="1D59AA7A" w:rsidR="00F06A19" w:rsidRPr="00F87E34" w:rsidRDefault="00F06A19" w:rsidP="00F06A19">
            <w:pPr>
              <w:tabs>
                <w:tab w:val="decimal" w:pos="504"/>
              </w:tabs>
              <w:jc w:val="left"/>
              <w:rPr>
                <w:sz w:val="16"/>
                <w:szCs w:val="16"/>
              </w:rPr>
            </w:pPr>
            <w:r>
              <w:rPr>
                <w:color w:val="000000"/>
                <w:sz w:val="16"/>
                <w:szCs w:val="16"/>
              </w:rPr>
              <w:t>1.8</w:t>
            </w:r>
          </w:p>
        </w:tc>
      </w:tr>
      <w:tr w:rsidR="00F06A19" w:rsidRPr="00F87E34" w14:paraId="742B1974" w14:textId="77777777" w:rsidTr="00F06A19">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F06A19" w:rsidRPr="00F87E34" w:rsidRDefault="00F06A19" w:rsidP="00F06A19">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2537AE85" w:rsidR="00F06A19" w:rsidRPr="00F87E34" w:rsidRDefault="00F06A19" w:rsidP="00F06A19">
            <w:pPr>
              <w:tabs>
                <w:tab w:val="decimal" w:pos="508"/>
              </w:tabs>
              <w:jc w:val="left"/>
              <w:rPr>
                <w:bCs/>
                <w:color w:val="000000"/>
                <w:sz w:val="16"/>
                <w:szCs w:val="16"/>
              </w:rPr>
            </w:pPr>
            <w:r>
              <w:rPr>
                <w:color w:val="000000"/>
                <w:sz w:val="16"/>
                <w:szCs w:val="16"/>
              </w:rPr>
              <w:t>-0.1</w:t>
            </w:r>
          </w:p>
        </w:tc>
        <w:tc>
          <w:tcPr>
            <w:tcW w:w="942" w:type="dxa"/>
            <w:tcBorders>
              <w:top w:val="nil"/>
              <w:left w:val="nil"/>
              <w:bottom w:val="single" w:sz="8" w:space="0" w:color="404040"/>
              <w:right w:val="nil"/>
            </w:tcBorders>
            <w:shd w:val="clear" w:color="auto" w:fill="auto"/>
            <w:noWrap/>
            <w:vAlign w:val="center"/>
          </w:tcPr>
          <w:p w14:paraId="2448AE91" w14:textId="78FEA007" w:rsidR="00F06A19" w:rsidRPr="00F87E34" w:rsidRDefault="00F06A19" w:rsidP="00F06A19">
            <w:pPr>
              <w:tabs>
                <w:tab w:val="decimal" w:pos="404"/>
              </w:tabs>
              <w:jc w:val="left"/>
              <w:rPr>
                <w:bCs/>
                <w:color w:val="000000"/>
                <w:sz w:val="16"/>
                <w:szCs w:val="16"/>
              </w:rPr>
            </w:pPr>
            <w:r>
              <w:rPr>
                <w:color w:val="000000"/>
                <w:sz w:val="16"/>
                <w:szCs w:val="16"/>
              </w:rPr>
              <w:t>5.4</w:t>
            </w:r>
          </w:p>
        </w:tc>
        <w:tc>
          <w:tcPr>
            <w:tcW w:w="1042" w:type="dxa"/>
            <w:tcBorders>
              <w:top w:val="nil"/>
              <w:left w:val="nil"/>
              <w:bottom w:val="single" w:sz="8" w:space="0" w:color="404040"/>
              <w:right w:val="nil"/>
            </w:tcBorders>
            <w:shd w:val="clear" w:color="auto" w:fill="auto"/>
            <w:noWrap/>
            <w:vAlign w:val="center"/>
          </w:tcPr>
          <w:p w14:paraId="135DC2CD" w14:textId="61F7A30B" w:rsidR="00F06A19" w:rsidRPr="00F87E34" w:rsidRDefault="00F06A19" w:rsidP="00F06A19">
            <w:pPr>
              <w:tabs>
                <w:tab w:val="decimal" w:pos="508"/>
              </w:tabs>
              <w:jc w:val="left"/>
              <w:rPr>
                <w:bCs/>
                <w:color w:val="000000"/>
                <w:sz w:val="16"/>
                <w:szCs w:val="16"/>
              </w:rPr>
            </w:pPr>
            <w:r>
              <w:rPr>
                <w:color w:val="000000"/>
                <w:sz w:val="16"/>
                <w:szCs w:val="16"/>
              </w:rPr>
              <w:t>-4.7</w:t>
            </w:r>
          </w:p>
        </w:tc>
        <w:tc>
          <w:tcPr>
            <w:tcW w:w="991" w:type="dxa"/>
            <w:tcBorders>
              <w:top w:val="nil"/>
              <w:left w:val="nil"/>
              <w:bottom w:val="single" w:sz="8" w:space="0" w:color="404040"/>
              <w:right w:val="nil"/>
            </w:tcBorders>
            <w:shd w:val="clear" w:color="auto" w:fill="auto"/>
            <w:noWrap/>
            <w:vAlign w:val="center"/>
          </w:tcPr>
          <w:p w14:paraId="0F06E8F3" w14:textId="769D2D09" w:rsidR="00F06A19" w:rsidRPr="00F87E34" w:rsidRDefault="00F06A19" w:rsidP="00F06A19">
            <w:pPr>
              <w:tabs>
                <w:tab w:val="decimal" w:pos="458"/>
              </w:tabs>
              <w:jc w:val="left"/>
              <w:rPr>
                <w:sz w:val="16"/>
                <w:szCs w:val="16"/>
              </w:rPr>
            </w:pPr>
            <w:r>
              <w:rPr>
                <w:color w:val="000000"/>
                <w:sz w:val="16"/>
                <w:szCs w:val="16"/>
              </w:rPr>
              <w:t>6.6</w:t>
            </w:r>
          </w:p>
        </w:tc>
        <w:tc>
          <w:tcPr>
            <w:tcW w:w="934" w:type="dxa"/>
            <w:tcBorders>
              <w:top w:val="nil"/>
              <w:left w:val="nil"/>
              <w:bottom w:val="single" w:sz="8" w:space="0" w:color="404040"/>
              <w:right w:val="nil"/>
            </w:tcBorders>
            <w:shd w:val="clear" w:color="auto" w:fill="auto"/>
            <w:noWrap/>
            <w:vAlign w:val="center"/>
          </w:tcPr>
          <w:p w14:paraId="172367C7" w14:textId="4C35BFD8" w:rsidR="00F06A19" w:rsidRPr="00F87E34" w:rsidRDefault="00F06A19" w:rsidP="00F06A19">
            <w:pPr>
              <w:tabs>
                <w:tab w:val="decimal" w:pos="444"/>
              </w:tabs>
              <w:jc w:val="left"/>
              <w:rPr>
                <w:sz w:val="16"/>
                <w:szCs w:val="16"/>
              </w:rPr>
            </w:pPr>
            <w:r>
              <w:rPr>
                <w:color w:val="000000"/>
                <w:sz w:val="16"/>
                <w:szCs w:val="16"/>
              </w:rPr>
              <w:t>1.4</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3916F453" w:rsidR="00F06A19" w:rsidRPr="00F87E34" w:rsidRDefault="00F06A19" w:rsidP="00F06A19">
            <w:pPr>
              <w:tabs>
                <w:tab w:val="decimal" w:pos="504"/>
              </w:tabs>
              <w:jc w:val="left"/>
              <w:rPr>
                <w:sz w:val="16"/>
                <w:szCs w:val="16"/>
              </w:rPr>
            </w:pPr>
            <w:r>
              <w:rPr>
                <w:color w:val="000000"/>
                <w:sz w:val="16"/>
                <w:szCs w:val="16"/>
              </w:rPr>
              <w:t>0.0</w:t>
            </w:r>
          </w:p>
        </w:tc>
      </w:tr>
    </w:tbl>
    <w:p w14:paraId="347C75D8" w14:textId="77777777"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6BB2414D"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r w:rsidR="00A2246F" w:rsidRPr="00F87E34">
        <w:rPr>
          <w:color w:val="auto"/>
          <w:sz w:val="16"/>
          <w:szCs w:val="16"/>
        </w:rPr>
        <w:t>.</w:t>
      </w:r>
    </w:p>
    <w:p w14:paraId="5EE5EFD1" w14:textId="6DE7DE0F"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F87E34" w:rsidRDefault="00901366" w:rsidP="003D3889">
      <w:pPr>
        <w:pStyle w:val="p0"/>
        <w:keepNext/>
        <w:spacing w:before="600"/>
        <w:jc w:val="left"/>
        <w:rPr>
          <w:rFonts w:ascii="Arial" w:hAnsi="Arial"/>
          <w:b/>
          <w:i/>
          <w:color w:val="auto"/>
        </w:rPr>
      </w:pPr>
      <w:r w:rsidRPr="00F87E34">
        <w:rPr>
          <w:rFonts w:ascii="Arial" w:hAnsi="Arial"/>
          <w:b/>
          <w:i/>
          <w:color w:val="auto"/>
        </w:rPr>
        <w:lastRenderedPageBreak/>
        <w:t>Nota al usuario</w:t>
      </w:r>
    </w:p>
    <w:p w14:paraId="43601560" w14:textId="26EF9637" w:rsidR="0093485F" w:rsidRPr="00F87E34" w:rsidRDefault="006C5B70" w:rsidP="00BB52B4">
      <w:pPr>
        <w:pStyle w:val="p0"/>
        <w:keepNext/>
        <w:rPr>
          <w:rFonts w:ascii="Arial" w:hAnsi="Arial"/>
          <w:color w:val="auto"/>
        </w:rPr>
      </w:pPr>
      <w:r w:rsidRPr="00F87E34">
        <w:rPr>
          <w:rFonts w:ascii="Arial" w:hAnsi="Arial"/>
          <w:color w:val="auto"/>
          <w:lang w:val="es-MX"/>
        </w:rPr>
        <w:t xml:space="preserve">La </w:t>
      </w:r>
      <w:r w:rsidR="004905E4" w:rsidRPr="00F87E34">
        <w:rPr>
          <w:rFonts w:ascii="Arial" w:hAnsi="Arial"/>
          <w:color w:val="auto"/>
          <w:lang w:val="es-MX"/>
        </w:rPr>
        <w:t>t</w:t>
      </w:r>
      <w:r w:rsidRPr="00F87E34">
        <w:rPr>
          <w:rFonts w:ascii="Arial" w:hAnsi="Arial"/>
          <w:color w:val="auto"/>
          <w:lang w:val="es-MX"/>
        </w:rPr>
        <w:t xml:space="preserve">asa de </w:t>
      </w:r>
      <w:r w:rsidR="004905E4" w:rsidRPr="00F87E34">
        <w:rPr>
          <w:rFonts w:ascii="Arial" w:hAnsi="Arial"/>
          <w:color w:val="auto"/>
          <w:lang w:val="es-MX"/>
        </w:rPr>
        <w:t>n</w:t>
      </w:r>
      <w:r w:rsidRPr="00F87E34">
        <w:rPr>
          <w:rFonts w:ascii="Arial" w:hAnsi="Arial"/>
          <w:color w:val="auto"/>
          <w:lang w:val="es-MX"/>
        </w:rPr>
        <w:t xml:space="preserve">o </w:t>
      </w:r>
      <w:r w:rsidR="004905E4" w:rsidRPr="00F87E34">
        <w:rPr>
          <w:rFonts w:ascii="Arial" w:hAnsi="Arial"/>
          <w:color w:val="auto"/>
          <w:lang w:val="es-MX"/>
        </w:rPr>
        <w:t>r</w:t>
      </w:r>
      <w:r w:rsidRPr="00F87E34">
        <w:rPr>
          <w:rFonts w:ascii="Arial" w:hAnsi="Arial"/>
          <w:color w:val="auto"/>
          <w:lang w:val="es-MX"/>
        </w:rPr>
        <w:t>espuesta de la Encuesta Mensual sobre Empresas Comerciales</w:t>
      </w:r>
      <w:r w:rsidR="001E01B3" w:rsidRPr="00F87E34">
        <w:rPr>
          <w:rFonts w:ascii="Arial" w:hAnsi="Arial"/>
          <w:color w:val="auto"/>
          <w:lang w:val="es-MX"/>
        </w:rPr>
        <w:t xml:space="preserve"> (EMEC)</w:t>
      </w:r>
      <w:r w:rsidRPr="00F87E34">
        <w:rPr>
          <w:rFonts w:ascii="Arial" w:hAnsi="Arial"/>
          <w:color w:val="auto"/>
          <w:lang w:val="es-MX"/>
        </w:rPr>
        <w:t>, correspondiente a</w:t>
      </w:r>
      <w:r w:rsidR="00B5620F" w:rsidRPr="00F87E34">
        <w:rPr>
          <w:rFonts w:ascii="Arial" w:hAnsi="Arial"/>
          <w:color w:val="auto"/>
          <w:lang w:val="es-MX"/>
        </w:rPr>
        <w:t xml:space="preserve"> </w:t>
      </w:r>
      <w:r w:rsidR="00ED4051">
        <w:rPr>
          <w:rFonts w:ascii="Arial" w:hAnsi="Arial"/>
          <w:color w:val="auto"/>
          <w:lang w:val="es-MX"/>
        </w:rPr>
        <w:t>febr</w:t>
      </w:r>
      <w:r w:rsidR="00BB52B4" w:rsidRPr="00F87E34">
        <w:rPr>
          <w:rFonts w:ascii="Arial" w:hAnsi="Arial"/>
          <w:color w:val="auto"/>
          <w:lang w:val="es-MX"/>
        </w:rPr>
        <w:t>e</w:t>
      </w:r>
      <w:r w:rsidR="008967B4">
        <w:rPr>
          <w:rFonts w:ascii="Arial" w:hAnsi="Arial"/>
          <w:color w:val="auto"/>
          <w:lang w:val="es-MX"/>
        </w:rPr>
        <w:t>ro</w:t>
      </w:r>
      <w:r w:rsidRPr="00F87E34">
        <w:rPr>
          <w:rFonts w:ascii="Arial" w:hAnsi="Arial"/>
          <w:color w:val="auto"/>
          <w:lang w:val="es-MX"/>
        </w:rPr>
        <w:t xml:space="preserve"> de 202</w:t>
      </w:r>
      <w:r w:rsidR="008967B4">
        <w:rPr>
          <w:rFonts w:ascii="Arial" w:hAnsi="Arial"/>
          <w:color w:val="auto"/>
          <w:lang w:val="es-MX"/>
        </w:rPr>
        <w:t>2</w:t>
      </w:r>
      <w:r w:rsidR="00A3404D" w:rsidRPr="00F87E34">
        <w:rPr>
          <w:rFonts w:ascii="Arial" w:hAnsi="Arial"/>
          <w:color w:val="auto"/>
          <w:lang w:val="es-MX"/>
        </w:rPr>
        <w:t>,</w:t>
      </w:r>
      <w:r w:rsidR="0093485F" w:rsidRPr="00F87E34">
        <w:rPr>
          <w:rFonts w:ascii="Arial" w:hAnsi="Arial"/>
          <w:color w:val="auto"/>
          <w:lang w:val="es-MX"/>
        </w:rPr>
        <w:t xml:space="preserve"> </w:t>
      </w:r>
      <w:r w:rsidRPr="00F87E34">
        <w:rPr>
          <w:rFonts w:ascii="Arial" w:hAnsi="Arial"/>
          <w:color w:val="auto"/>
          <w:lang w:val="es-MX"/>
        </w:rPr>
        <w:t xml:space="preserve">registró porcentajes apropiados conforme al diseño estadístico de la </w:t>
      </w:r>
      <w:r w:rsidR="002042DC" w:rsidRPr="00F87E34">
        <w:rPr>
          <w:rFonts w:ascii="Arial" w:hAnsi="Arial"/>
          <w:color w:val="auto"/>
          <w:lang w:val="es-MX"/>
        </w:rPr>
        <w:t>e</w:t>
      </w:r>
      <w:r w:rsidRPr="00F87E34">
        <w:rPr>
          <w:rFonts w:ascii="Arial" w:hAnsi="Arial"/>
          <w:color w:val="auto"/>
          <w:lang w:val="es-MX"/>
        </w:rPr>
        <w:t>ncuesta, lo que permitió la generación de estadísticas con niveles altos de precisión</w:t>
      </w:r>
      <w:r w:rsidR="0026680B" w:rsidRPr="00F87E34">
        <w:rPr>
          <w:rFonts w:ascii="Arial" w:hAnsi="Arial"/>
          <w:color w:val="auto"/>
        </w:rPr>
        <w:t>.</w:t>
      </w:r>
      <w:r w:rsidR="0093485F" w:rsidRPr="00F87E34">
        <w:rPr>
          <w:rFonts w:ascii="Arial" w:hAnsi="Arial"/>
          <w:color w:val="auto"/>
        </w:rPr>
        <w:t xml:space="preserve"> </w:t>
      </w:r>
      <w:r w:rsidR="002E6BE2" w:rsidRPr="00605895">
        <w:rPr>
          <w:rFonts w:ascii="Arial" w:hAnsi="Arial"/>
          <w:color w:val="auto"/>
        </w:rPr>
        <w:t>D</w:t>
      </w:r>
      <w:r w:rsidR="0093485F" w:rsidRPr="00605895">
        <w:rPr>
          <w:rFonts w:ascii="Arial" w:hAnsi="Arial"/>
          <w:color w:val="auto"/>
        </w:rPr>
        <w:t xml:space="preserve">e los 40 dominios de estudio de la encuesta, </w:t>
      </w:r>
      <w:r w:rsidR="002E6BE2" w:rsidRPr="00605895">
        <w:rPr>
          <w:rFonts w:ascii="Arial" w:hAnsi="Arial"/>
          <w:color w:val="auto"/>
        </w:rPr>
        <w:t xml:space="preserve">sólo </w:t>
      </w:r>
      <w:r w:rsidR="00022F65" w:rsidRPr="00605895">
        <w:rPr>
          <w:rFonts w:ascii="Arial" w:hAnsi="Arial"/>
          <w:color w:val="auto"/>
        </w:rPr>
        <w:t>para</w:t>
      </w:r>
      <w:r w:rsidR="00952224" w:rsidRPr="00605895">
        <w:rPr>
          <w:rFonts w:ascii="Arial" w:hAnsi="Arial"/>
          <w:color w:val="auto"/>
        </w:rPr>
        <w:t xml:space="preserve"> </w:t>
      </w:r>
      <w:r w:rsidR="001A3714">
        <w:rPr>
          <w:rFonts w:ascii="Arial" w:hAnsi="Arial"/>
          <w:color w:val="auto"/>
        </w:rPr>
        <w:t xml:space="preserve">los dominios </w:t>
      </w:r>
      <w:r w:rsidR="00EB11EB">
        <w:rPr>
          <w:rFonts w:ascii="Arial" w:hAnsi="Arial"/>
          <w:color w:val="auto"/>
        </w:rPr>
        <w:t xml:space="preserve">de </w:t>
      </w:r>
      <w:r w:rsidR="00952224" w:rsidRPr="00605895">
        <w:rPr>
          <w:rFonts w:ascii="Arial" w:hAnsi="Arial"/>
          <w:color w:val="000000"/>
          <w:lang w:eastAsia="es-MX"/>
        </w:rPr>
        <w:t>c</w:t>
      </w:r>
      <w:r w:rsidR="006A5163" w:rsidRPr="00605895">
        <w:rPr>
          <w:rFonts w:ascii="Arial" w:hAnsi="Arial"/>
          <w:color w:val="000000"/>
          <w:lang w:eastAsia="es-MX"/>
        </w:rPr>
        <w:t xml:space="preserve">omercio </w:t>
      </w:r>
      <w:r w:rsidR="001A3714" w:rsidRPr="00C15B1D">
        <w:rPr>
          <w:rFonts w:ascii="Arial" w:hAnsi="Arial"/>
          <w:color w:val="000000"/>
          <w:lang w:eastAsia="es-MX"/>
        </w:rPr>
        <w:t>al por mayor de electrodomésticos menores y aparatos de línea blanca</w:t>
      </w:r>
      <w:r w:rsidR="001A3714">
        <w:rPr>
          <w:rFonts w:ascii="Arial" w:hAnsi="Arial"/>
          <w:color w:val="000000"/>
          <w:lang w:eastAsia="es-MX"/>
        </w:rPr>
        <w:t>, y</w:t>
      </w:r>
      <w:r w:rsidR="001A3714" w:rsidRPr="00605895">
        <w:rPr>
          <w:rFonts w:ascii="Arial" w:hAnsi="Arial"/>
          <w:color w:val="000000"/>
          <w:lang w:eastAsia="es-MX"/>
        </w:rPr>
        <w:t xml:space="preserve"> </w:t>
      </w:r>
      <w:r w:rsidR="00EB11EB">
        <w:rPr>
          <w:rFonts w:ascii="Arial" w:hAnsi="Arial"/>
          <w:color w:val="000000"/>
          <w:lang w:eastAsia="es-MX"/>
        </w:rPr>
        <w:t xml:space="preserve">de </w:t>
      </w:r>
      <w:r w:rsidR="001A3714">
        <w:rPr>
          <w:rFonts w:ascii="Arial" w:hAnsi="Arial"/>
          <w:color w:val="000000"/>
          <w:lang w:eastAsia="es-MX"/>
        </w:rPr>
        <w:t>c</w:t>
      </w:r>
      <w:r w:rsidR="001A3714" w:rsidRPr="00C15B1D">
        <w:rPr>
          <w:rFonts w:ascii="Arial" w:hAnsi="Arial"/>
          <w:color w:val="000000"/>
          <w:lang w:eastAsia="es-MX"/>
        </w:rPr>
        <w:t>omercio al por mayor de camiones y de partes y refacciones nuevas para automóviles, camionetas y camiones</w:t>
      </w:r>
      <w:r w:rsidR="00E1101B">
        <w:rPr>
          <w:rFonts w:ascii="Arial" w:eastAsia="Calibri" w:hAnsi="Arial"/>
          <w:snapToGrid/>
          <w:color w:val="auto"/>
          <w:lang w:val="es-MX" w:eastAsia="es-MX"/>
        </w:rPr>
        <w:t>,</w:t>
      </w:r>
      <w:r w:rsidR="006A5163" w:rsidRPr="00605895">
        <w:rPr>
          <w:rFonts w:ascii="Arial" w:hAnsi="Arial"/>
          <w:color w:val="auto"/>
        </w:rPr>
        <w:t xml:space="preserve"> </w:t>
      </w:r>
      <w:r w:rsidR="003163FB" w:rsidRPr="00605895">
        <w:rPr>
          <w:rFonts w:ascii="Arial" w:hAnsi="Arial"/>
          <w:color w:val="auto"/>
        </w:rPr>
        <w:t>que</w:t>
      </w:r>
      <w:r w:rsidR="001F5C4E" w:rsidRPr="00605895">
        <w:rPr>
          <w:rFonts w:ascii="Arial" w:hAnsi="Arial"/>
          <w:color w:val="auto"/>
        </w:rPr>
        <w:t xml:space="preserve"> </w:t>
      </w:r>
      <w:r w:rsidR="006A5163" w:rsidRPr="00605895">
        <w:rPr>
          <w:rFonts w:ascii="Arial" w:hAnsi="Arial"/>
          <w:color w:val="auto"/>
        </w:rPr>
        <w:t>representa</w:t>
      </w:r>
      <w:r w:rsidR="009D321F">
        <w:rPr>
          <w:rFonts w:ascii="Arial" w:hAnsi="Arial"/>
          <w:color w:val="auto"/>
        </w:rPr>
        <w:t>n</w:t>
      </w:r>
      <w:r w:rsidR="00605895" w:rsidRPr="00605895">
        <w:rPr>
          <w:rFonts w:ascii="Arial" w:hAnsi="Arial"/>
          <w:color w:val="auto"/>
        </w:rPr>
        <w:t xml:space="preserve"> </w:t>
      </w:r>
      <w:r w:rsidR="004905E4" w:rsidRPr="00605895">
        <w:rPr>
          <w:rFonts w:ascii="Arial" w:hAnsi="Arial"/>
          <w:color w:val="auto"/>
        </w:rPr>
        <w:t>1.</w:t>
      </w:r>
      <w:r w:rsidR="001A3714">
        <w:rPr>
          <w:rFonts w:ascii="Arial" w:hAnsi="Arial"/>
          <w:color w:val="auto"/>
        </w:rPr>
        <w:t>7</w:t>
      </w:r>
      <w:r w:rsidR="006A5163" w:rsidRPr="00605895">
        <w:rPr>
          <w:rFonts w:ascii="Arial" w:hAnsi="Arial"/>
          <w:color w:val="auto"/>
        </w:rPr>
        <w:t>% con relación a la variable de ingresos del total del comercio</w:t>
      </w:r>
      <w:r w:rsidR="00822E2D" w:rsidRPr="00605895">
        <w:rPr>
          <w:rFonts w:ascii="Arial" w:hAnsi="Arial"/>
          <w:color w:val="auto"/>
        </w:rPr>
        <w:t>,</w:t>
      </w:r>
      <w:r w:rsidR="0093485F" w:rsidRPr="00605895">
        <w:rPr>
          <w:rFonts w:ascii="Arial" w:hAnsi="Arial"/>
          <w:color w:val="auto"/>
        </w:rPr>
        <w:t xml:space="preserve"> </w:t>
      </w:r>
      <w:r w:rsidR="002E6BE2" w:rsidRPr="00605895">
        <w:rPr>
          <w:rFonts w:ascii="Arial" w:hAnsi="Arial"/>
          <w:color w:val="auto"/>
        </w:rPr>
        <w:t>se recomienda el uso con reserva de las estimaciones</w:t>
      </w:r>
      <w:r w:rsidR="0093485F" w:rsidRPr="00605895">
        <w:rPr>
          <w:rFonts w:ascii="Arial" w:hAnsi="Arial"/>
          <w:color w:val="auto"/>
        </w:rPr>
        <w:t>.</w:t>
      </w:r>
    </w:p>
    <w:p w14:paraId="5FFF3AFA" w14:textId="613135FC" w:rsidR="00A45043" w:rsidRPr="00F87E34" w:rsidRDefault="0026680B" w:rsidP="0026680B">
      <w:pPr>
        <w:pStyle w:val="p0"/>
        <w:keepLines w:val="0"/>
        <w:widowControl/>
        <w:rPr>
          <w:rFonts w:ascii="Arial" w:hAnsi="Arial"/>
          <w:b/>
          <w:i/>
          <w:color w:val="auto"/>
        </w:rPr>
      </w:pPr>
      <w:r w:rsidRPr="00F87E34">
        <w:rPr>
          <w:rFonts w:ascii="Arial" w:hAnsi="Arial"/>
          <w:color w:val="auto"/>
          <w:lang w:val="es-MX"/>
        </w:rPr>
        <w:t>Por otra parte, se informa que las cifras desestacionalizadas y de tendencia-ciclo pueden estar sujetas a revisiones debido al impacto de la emergencia sanitaria de</w:t>
      </w:r>
      <w:r w:rsidR="00822E2D" w:rsidRPr="00F87E34">
        <w:rPr>
          <w:rFonts w:ascii="Arial" w:hAnsi="Arial"/>
          <w:color w:val="auto"/>
          <w:lang w:val="es-MX"/>
        </w:rPr>
        <w:t xml:space="preserve"> la </w:t>
      </w:r>
      <w:r w:rsidRPr="00F87E34">
        <w:rPr>
          <w:rFonts w:ascii="Arial" w:hAnsi="Arial"/>
          <w:color w:val="auto"/>
          <w:lang w:val="es-MX"/>
        </w:rPr>
        <w:t>COVID-19. La estrategia seguida por el INEGI ha sido revisar cada serie de tiempo y analizar la necesidad de incluir algún tratamiento especial</w:t>
      </w:r>
      <w:r w:rsidR="00822E2D" w:rsidRPr="00F87E34">
        <w:rPr>
          <w:rFonts w:ascii="Arial" w:hAnsi="Arial"/>
          <w:color w:val="auto"/>
          <w:lang w:val="es-MX"/>
        </w:rPr>
        <w:t xml:space="preserve">, como el de </w:t>
      </w:r>
      <w:proofErr w:type="spellStart"/>
      <w:r w:rsidR="00822E2D" w:rsidRPr="00F87E34">
        <w:rPr>
          <w:rFonts w:ascii="Arial" w:hAnsi="Arial"/>
          <w:i/>
          <w:color w:val="auto"/>
          <w:lang w:val="es-MX"/>
        </w:rPr>
        <w:t>O</w:t>
      </w:r>
      <w:r w:rsidRPr="00F87E34">
        <w:rPr>
          <w:rFonts w:ascii="Arial" w:hAnsi="Arial"/>
          <w:i/>
          <w:color w:val="auto"/>
          <w:lang w:val="es-MX"/>
        </w:rPr>
        <w:t>utliers</w:t>
      </w:r>
      <w:proofErr w:type="spellEnd"/>
      <w:r w:rsidR="00822E2D" w:rsidRPr="00F87E34">
        <w:rPr>
          <w:rFonts w:ascii="Arial" w:hAnsi="Arial"/>
          <w:i/>
          <w:color w:val="auto"/>
          <w:lang w:val="es-MX"/>
        </w:rPr>
        <w:t>,</w:t>
      </w:r>
      <w:r w:rsidRPr="00F87E34">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r w:rsidR="00A45043" w:rsidRPr="00F87E34">
        <w:rPr>
          <w:rFonts w:ascii="Arial" w:hAnsi="Arial"/>
          <w:color w:val="auto"/>
          <w:lang w:val="es-MX"/>
        </w:rPr>
        <w:t>.</w:t>
      </w:r>
    </w:p>
    <w:p w14:paraId="6B4487FE" w14:textId="54F95215" w:rsidR="008A48D7" w:rsidRPr="00F87E34" w:rsidRDefault="00467BD1" w:rsidP="00EA274B">
      <w:pPr>
        <w:pStyle w:val="p0"/>
        <w:keepLines w:val="0"/>
        <w:widowControl/>
        <w:spacing w:before="360"/>
        <w:rPr>
          <w:rFonts w:ascii="Arial" w:hAnsi="Arial"/>
          <w:b/>
          <w:i/>
          <w:color w:val="auto"/>
        </w:rPr>
      </w:pPr>
      <w:r w:rsidRPr="00F87E34">
        <w:rPr>
          <w:rFonts w:ascii="Arial" w:hAnsi="Arial"/>
          <w:b/>
          <w:i/>
          <w:color w:val="auto"/>
        </w:rPr>
        <w:t>Nota metodológica</w:t>
      </w:r>
    </w:p>
    <w:p w14:paraId="0A629C88" w14:textId="4C86E7DF" w:rsidR="0026680B" w:rsidRPr="00F87E34" w:rsidRDefault="0026680B" w:rsidP="0026680B">
      <w:pPr>
        <w:pStyle w:val="p0"/>
        <w:spacing w:before="280"/>
        <w:rPr>
          <w:rFonts w:ascii="Arial" w:hAnsi="Arial"/>
          <w:color w:val="auto"/>
        </w:rPr>
      </w:pPr>
      <w:r w:rsidRPr="00F87E34">
        <w:rPr>
          <w:rFonts w:ascii="Arial" w:hAnsi="Arial"/>
          <w:color w:val="auto"/>
        </w:rPr>
        <w:t xml:space="preserve">Con las variables captadas por la Encuesta Mensual sobre Empresas Comerciales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cada uno de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66DF5380" w:rsidR="0026680B" w:rsidRPr="00F87E34" w:rsidRDefault="0026680B" w:rsidP="0026680B">
      <w:pPr>
        <w:pStyle w:val="p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remuneraciones, la EMEC utiliza los índices de precios publicados por el INEGI, de acuerdo con las características de las variables</w:t>
      </w:r>
      <w:r w:rsidR="00C93D17" w:rsidRPr="00F87E34">
        <w:rPr>
          <w:rFonts w:ascii="Arial" w:hAnsi="Arial"/>
          <w:color w:val="auto"/>
        </w:rPr>
        <w:t>,</w:t>
      </w:r>
      <w:r w:rsidRPr="00F87E34">
        <w:rPr>
          <w:rFonts w:ascii="Arial" w:hAnsi="Arial"/>
          <w:color w:val="auto"/>
        </w:rPr>
        <w:t xml:space="preserve"> y</w:t>
      </w:r>
      <w:r w:rsidR="008A1558" w:rsidRPr="00F87E34">
        <w:rPr>
          <w:rFonts w:ascii="Arial" w:hAnsi="Arial"/>
          <w:color w:val="auto"/>
        </w:rPr>
        <w:t xml:space="preserve"> </w:t>
      </w:r>
      <w:r w:rsidRPr="00F87E34">
        <w:rPr>
          <w:rFonts w:ascii="Arial" w:hAnsi="Arial"/>
          <w:color w:val="auto"/>
        </w:rPr>
        <w:t>los deflactores disponibles según el área geográfica correspondiente.</w:t>
      </w:r>
    </w:p>
    <w:p w14:paraId="2B3A25F7" w14:textId="2EF6B148" w:rsidR="0026680B" w:rsidRPr="00F87E34" w:rsidRDefault="0026680B" w:rsidP="00366947">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F83806B" w:rsidR="00770BFA" w:rsidRPr="00F87E34" w:rsidRDefault="0026680B" w:rsidP="006954B8">
      <w:pPr>
        <w:pStyle w:val="p0"/>
        <w:rPr>
          <w:rFonts w:ascii="Arial" w:hAnsi="Arial"/>
          <w:color w:val="auto"/>
        </w:rPr>
      </w:pPr>
      <w:r w:rsidRPr="00F87E34">
        <w:rPr>
          <w:rFonts w:ascii="Arial" w:hAnsi="Arial"/>
          <w:color w:val="auto"/>
        </w:rPr>
        <w:lastRenderedPageBreak/>
        <w:t>El diseño estadístico de la EMEC define un esquema de muestreo mixto</w:t>
      </w:r>
      <w:r w:rsidR="00452EA0" w:rsidRPr="00F87E34">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Pr="00F87E34">
        <w:rPr>
          <w:rFonts w:ascii="Arial" w:hAnsi="Arial"/>
          <w:color w:val="auto"/>
        </w:rPr>
        <w:t xml:space="preserve">, </w:t>
      </w:r>
      <w:r w:rsidR="00452EA0" w:rsidRPr="00F87E34">
        <w:rPr>
          <w:rFonts w:ascii="Arial" w:hAnsi="Arial"/>
          <w:color w:val="auto"/>
        </w:rPr>
        <w:t xml:space="preserve">para </w:t>
      </w:r>
      <w:r w:rsidRPr="00F87E34">
        <w:rPr>
          <w:rFonts w:ascii="Arial" w:hAnsi="Arial"/>
          <w:color w:val="auto"/>
        </w:rPr>
        <w:t>obten</w:t>
      </w:r>
      <w:r w:rsidR="00452EA0" w:rsidRPr="00F87E34">
        <w:rPr>
          <w:rFonts w:ascii="Arial" w:hAnsi="Arial"/>
          <w:color w:val="auto"/>
        </w:rPr>
        <w:t>er</w:t>
      </w:r>
      <w:r w:rsidRPr="00F87E34">
        <w:rPr>
          <w:rFonts w:ascii="Arial" w:hAnsi="Arial"/>
          <w:color w:val="auto"/>
        </w:rPr>
        <w:t xml:space="preserve"> una cobertura de 74%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 xml:space="preserve">de 100%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77777777"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421FE8A5"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7777777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77777777"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Comercio al por menor exclusivamente a través de Internet, y catálogos impresos, televisión y similares.</w:t>
            </w:r>
          </w:p>
        </w:tc>
      </w:tr>
    </w:tbl>
    <w:p w14:paraId="4BFEF9DB" w14:textId="29D42F9E" w:rsidR="0026680B" w:rsidRPr="00F87E34" w:rsidRDefault="0026680B" w:rsidP="006954B8">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p>
    <w:p w14:paraId="0FC4201A" w14:textId="4187D246" w:rsidR="0026680B" w:rsidRPr="00F87E34" w:rsidRDefault="003866DC" w:rsidP="006954B8">
      <w:pPr>
        <w:pStyle w:val="p0"/>
        <w:rPr>
          <w:rFonts w:ascii="Arial" w:hAnsi="Arial"/>
          <w:color w:val="auto"/>
        </w:rPr>
      </w:pPr>
      <w:r w:rsidRPr="00F87E34">
        <w:rPr>
          <w:rFonts w:ascii="Arial" w:hAnsi="Arial"/>
          <w:color w:val="auto"/>
        </w:rPr>
        <w:t>La</w:t>
      </w:r>
      <w:r w:rsidR="0026680B" w:rsidRPr="00F87E34">
        <w:rPr>
          <w:rFonts w:ascii="Arial" w:hAnsi="Arial"/>
          <w:color w:val="auto"/>
        </w:rPr>
        <w:t xml:space="preserve"> información por entidad federativa deberá considerarse con reserva al tratarse de datos muestrales. Esto implica que los resultados por entidad federativa no son aditivos en el caso del </w:t>
      </w:r>
      <w:r w:rsidR="00BB3BBC">
        <w:rPr>
          <w:rFonts w:ascii="Arial" w:hAnsi="Arial"/>
          <w:color w:val="auto"/>
        </w:rPr>
        <w:t>c</w:t>
      </w:r>
      <w:r w:rsidR="0026680B" w:rsidRPr="00F87E34">
        <w:rPr>
          <w:rFonts w:ascii="Arial" w:hAnsi="Arial"/>
          <w:color w:val="auto"/>
        </w:rPr>
        <w:t xml:space="preserve">omercio al por </w:t>
      </w:r>
      <w:r w:rsidR="00BB3BBC">
        <w:rPr>
          <w:rFonts w:ascii="Arial" w:hAnsi="Arial"/>
          <w:color w:val="auto"/>
        </w:rPr>
        <w:t>m</w:t>
      </w:r>
      <w:r w:rsidR="0026680B" w:rsidRPr="00F87E34">
        <w:rPr>
          <w:rFonts w:ascii="Arial" w:hAnsi="Arial"/>
          <w:color w:val="auto"/>
        </w:rPr>
        <w:t xml:space="preserve">enor. </w:t>
      </w:r>
    </w:p>
    <w:p w14:paraId="72103B3E" w14:textId="1F5693B4" w:rsidR="0026680B" w:rsidRPr="00F87E34" w:rsidRDefault="0026680B" w:rsidP="006954B8">
      <w:pPr>
        <w:pStyle w:val="p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7AB87A41" w:rsidR="0026680B" w:rsidRPr="00F87E34" w:rsidRDefault="00822A29" w:rsidP="006954B8">
      <w:pPr>
        <w:pStyle w:val="p0"/>
        <w:rPr>
          <w:rFonts w:ascii="Arial" w:hAnsi="Arial"/>
          <w:color w:val="auto"/>
        </w:rPr>
      </w:pPr>
      <w:r w:rsidRPr="00F87E34">
        <w:rPr>
          <w:rFonts w:ascii="Arial" w:hAnsi="Arial"/>
          <w:color w:val="auto"/>
        </w:rPr>
        <w:lastRenderedPageBreak/>
        <w:t>L</w:t>
      </w:r>
      <w:r w:rsidR="0026680B" w:rsidRPr="00F87E34">
        <w:rPr>
          <w:rFonts w:ascii="Arial" w:hAnsi="Arial"/>
          <w:color w:val="auto"/>
        </w:rPr>
        <w:t>os resultados</w:t>
      </w:r>
      <w:r w:rsidR="003866DC" w:rsidRPr="00F87E34">
        <w:rPr>
          <w:rFonts w:ascii="Arial" w:hAnsi="Arial"/>
          <w:color w:val="auto"/>
        </w:rPr>
        <w:t xml:space="preserve"> que se </w:t>
      </w:r>
      <w:r w:rsidR="0026680B" w:rsidRPr="00F87E34">
        <w:rPr>
          <w:rFonts w:ascii="Arial" w:hAnsi="Arial"/>
          <w:color w:val="auto"/>
        </w:rPr>
        <w:t>presenta</w:t>
      </w:r>
      <w:r w:rsidR="003866DC" w:rsidRPr="00F87E34">
        <w:rPr>
          <w:rFonts w:ascii="Arial" w:hAnsi="Arial"/>
          <w:color w:val="auto"/>
        </w:rPr>
        <w:t>n</w:t>
      </w:r>
      <w:r w:rsidR="0026680B" w:rsidRPr="00F87E34">
        <w:rPr>
          <w:rFonts w:ascii="Arial" w:hAnsi="Arial"/>
          <w:color w:val="auto"/>
        </w:rPr>
        <w:t xml:space="preserve"> en las series se deberán considerar como preliminares y </w:t>
      </w:r>
      <w:r w:rsidR="003866DC" w:rsidRPr="00F87E34">
        <w:rPr>
          <w:rFonts w:ascii="Arial" w:hAnsi="Arial"/>
          <w:color w:val="auto"/>
        </w:rPr>
        <w:t xml:space="preserve">se revisan </w:t>
      </w:r>
      <w:r w:rsidR="0026680B" w:rsidRPr="00F87E34">
        <w:rPr>
          <w:rFonts w:ascii="Arial" w:hAnsi="Arial"/>
          <w:color w:val="auto"/>
        </w:rPr>
        <w:t>y actualiza</w:t>
      </w:r>
      <w:r w:rsidR="003866DC" w:rsidRPr="00F87E34">
        <w:rPr>
          <w:rFonts w:ascii="Arial" w:hAnsi="Arial"/>
          <w:color w:val="auto"/>
        </w:rPr>
        <w:t>n de manera continua</w:t>
      </w:r>
      <w:r w:rsidR="0026680B" w:rsidRPr="00F87E34">
        <w:rPr>
          <w:rFonts w:ascii="Arial" w:hAnsi="Arial"/>
          <w:color w:val="auto"/>
        </w:rPr>
        <w:t xml:space="preserve">, </w:t>
      </w:r>
      <w:r w:rsidR="003866DC" w:rsidRPr="00F87E34">
        <w:rPr>
          <w:rFonts w:ascii="Arial" w:hAnsi="Arial"/>
          <w:color w:val="auto"/>
        </w:rPr>
        <w:t xml:space="preserve">con base en </w:t>
      </w:r>
      <w:r w:rsidR="0026680B" w:rsidRPr="00F87E34">
        <w:rPr>
          <w:rFonts w:ascii="Arial" w:hAnsi="Arial"/>
          <w:color w:val="auto"/>
        </w:rPr>
        <w:t>la investigación constante de las categorías que componen las actividades en estudio.</w:t>
      </w:r>
    </w:p>
    <w:p w14:paraId="5CFB0E8A" w14:textId="458A442F" w:rsidR="00822E2D" w:rsidRPr="00F87E34" w:rsidRDefault="00822E2D" w:rsidP="00822E2D">
      <w:pPr>
        <w:pStyle w:val="p0"/>
        <w:keepLines w:val="0"/>
        <w:widowControl/>
        <w:spacing w:before="200"/>
        <w:rPr>
          <w:rFonts w:ascii="Arial" w:hAnsi="Arial"/>
          <w:color w:val="auto"/>
        </w:rPr>
      </w:pPr>
      <w:r w:rsidRPr="00F87E34">
        <w:rPr>
          <w:rFonts w:ascii="Arial" w:hAnsi="Arial"/>
          <w:color w:val="auto"/>
        </w:rPr>
        <w:t xml:space="preserve">Es importante destacar que la mayoría de las series económicas se ven afectadas por factores estacionales. </w:t>
      </w:r>
      <w:r w:rsidR="0069132A" w:rsidRPr="00F87E34">
        <w:rPr>
          <w:rFonts w:ascii="Arial" w:hAnsi="Arial"/>
          <w:color w:val="auto"/>
        </w:rPr>
        <w:t>Es decir,</w:t>
      </w:r>
      <w:r w:rsidRPr="00F87E34">
        <w:rPr>
          <w:rFonts w:ascii="Arial" w:hAnsi="Arial"/>
          <w:color w:val="auto"/>
        </w:rPr>
        <w:t xml:space="preserve"> efectos periódicos que se repiten cada año y cuyas causas pueden considerarse ajenas a la naturaleza económica de las series</w:t>
      </w:r>
      <w:r w:rsidR="0069132A" w:rsidRPr="00F87E34">
        <w:rPr>
          <w:rFonts w:ascii="Arial" w:hAnsi="Arial"/>
          <w:color w:val="auto"/>
        </w:rPr>
        <w:t xml:space="preserve">. </w:t>
      </w:r>
      <w:r w:rsidR="000177F8" w:rsidRPr="00F87E34">
        <w:rPr>
          <w:rFonts w:ascii="Arial" w:hAnsi="Arial"/>
          <w:color w:val="auto"/>
        </w:rPr>
        <w:t>É</w:t>
      </w:r>
      <w:r w:rsidR="0069132A" w:rsidRPr="00F87E34">
        <w:rPr>
          <w:rFonts w:ascii="Arial" w:hAnsi="Arial"/>
          <w:color w:val="auto"/>
        </w:rPr>
        <w:t>stas</w:t>
      </w:r>
      <w:r w:rsidRPr="00F87E34">
        <w:rPr>
          <w:rFonts w:ascii="Arial" w:hAnsi="Arial"/>
          <w:color w:val="auto"/>
        </w:rPr>
        <w:t xml:space="preserve"> </w:t>
      </w:r>
      <w:r w:rsidR="0069132A" w:rsidRPr="00F87E34">
        <w:rPr>
          <w:rFonts w:ascii="Arial" w:hAnsi="Arial"/>
          <w:color w:val="auto"/>
        </w:rPr>
        <w:t>pueden ser:</w:t>
      </w:r>
      <w:r w:rsidRPr="00F87E34">
        <w:rPr>
          <w:rFonts w:ascii="Arial" w:hAnsi="Arial"/>
          <w:color w:val="auto"/>
        </w:rPr>
        <w:t xml:space="preserve"> las festividades, el hecho de que algunos meses tienen más días que otros, los periodos de vacaciones escolares, el efecto del clima en las estaciones del año y otras fluctuaciones estacionales</w:t>
      </w:r>
      <w:r w:rsidR="0069132A" w:rsidRPr="00F87E34">
        <w:rPr>
          <w:rFonts w:ascii="Arial" w:hAnsi="Arial"/>
          <w:color w:val="auto"/>
        </w:rPr>
        <w:t xml:space="preserve"> como </w:t>
      </w:r>
      <w:r w:rsidRPr="00F87E34">
        <w:rPr>
          <w:rFonts w:ascii="Arial" w:hAnsi="Arial"/>
          <w:color w:val="auto"/>
        </w:rPr>
        <w:t>la elevada adquisición de juguetes en los meses previos a la Navidad provocada por la expectativa de mayores ventas en diciembre.</w:t>
      </w:r>
    </w:p>
    <w:p w14:paraId="26699A61" w14:textId="218A40DB" w:rsidR="00822E2D" w:rsidRPr="00F87E34" w:rsidRDefault="00822E2D" w:rsidP="00822E2D">
      <w:pPr>
        <w:pStyle w:val="p0"/>
        <w:spacing w:before="200"/>
        <w:rPr>
          <w:rFonts w:ascii="Arial" w:hAnsi="Arial"/>
          <w:color w:val="auto"/>
        </w:rPr>
      </w:pPr>
      <w:r w:rsidRPr="00F87E34">
        <w:rPr>
          <w:rFonts w:ascii="Arial" w:hAnsi="Arial"/>
          <w:color w:val="auto"/>
        </w:rPr>
        <w:t xml:space="preserve">En este sentido, la desestacionalización o ajuste estacional de series económicas consiste en remover estas influencias </w:t>
      </w:r>
      <w:proofErr w:type="spellStart"/>
      <w:r w:rsidRPr="00F87E34">
        <w:rPr>
          <w:rFonts w:ascii="Arial" w:hAnsi="Arial"/>
          <w:color w:val="auto"/>
        </w:rPr>
        <w:t>intra-anuales</w:t>
      </w:r>
      <w:proofErr w:type="spellEnd"/>
      <w:r w:rsidRPr="00F87E34">
        <w:rPr>
          <w:rFonts w:ascii="Arial" w:hAnsi="Arial"/>
          <w:color w:val="auto"/>
        </w:rPr>
        <w:t xml:space="preserve"> periódicas, </w:t>
      </w:r>
      <w:r w:rsidR="0069132A" w:rsidRPr="00F87E34">
        <w:rPr>
          <w:rFonts w:ascii="Arial" w:hAnsi="Arial"/>
          <w:color w:val="auto"/>
        </w:rPr>
        <w:t>pues</w:t>
      </w:r>
      <w:r w:rsidRPr="00F87E34">
        <w:rPr>
          <w:rFonts w:ascii="Arial" w:hAnsi="Arial"/>
          <w:color w:val="auto"/>
        </w:rPr>
        <w:t xml:space="preserve"> su presencia dificulta diagnosticar o describir el comportamiento de una serie económica al no poder comparar</w:t>
      </w:r>
      <w:r w:rsidR="0069132A" w:rsidRPr="00F87E34">
        <w:rPr>
          <w:rFonts w:ascii="Arial" w:hAnsi="Arial"/>
          <w:color w:val="auto"/>
        </w:rPr>
        <w:t>,</w:t>
      </w:r>
      <w:r w:rsidRPr="00F87E34">
        <w:rPr>
          <w:rFonts w:ascii="Arial" w:hAnsi="Arial"/>
          <w:color w:val="auto"/>
        </w:rPr>
        <w:t xml:space="preserve"> adecuadamente</w:t>
      </w:r>
      <w:r w:rsidR="0069132A" w:rsidRPr="00F87E34">
        <w:rPr>
          <w:rFonts w:ascii="Arial" w:hAnsi="Arial"/>
          <w:color w:val="auto"/>
        </w:rPr>
        <w:t>,</w:t>
      </w:r>
      <w:r w:rsidRPr="00F87E34">
        <w:rPr>
          <w:rFonts w:ascii="Arial" w:hAnsi="Arial"/>
          <w:color w:val="auto"/>
        </w:rPr>
        <w:t xml:space="preserve"> un determinado mes con el inmediato anterior. </w:t>
      </w:r>
    </w:p>
    <w:p w14:paraId="3C543156" w14:textId="77777777" w:rsidR="00822E2D" w:rsidRPr="00F87E34" w:rsidRDefault="00822E2D" w:rsidP="00822E2D">
      <w:pPr>
        <w:pStyle w:val="p0"/>
        <w:keepLines w:val="0"/>
        <w:spacing w:before="200"/>
        <w:rPr>
          <w:rFonts w:ascii="Arial" w:hAnsi="Arial"/>
          <w:color w:val="auto"/>
        </w:rPr>
      </w:pPr>
      <w:r w:rsidRPr="00F87E34">
        <w:rPr>
          <w:rFonts w:ascii="Arial" w:hAnsi="Arial"/>
          <w:color w:val="auto"/>
        </w:rPr>
        <w:t xml:space="preserve">Analizar la serie desestacionalizada ayuda a realizar un mejor diagnóstico y pronóstico de su evolución ya que permite identificar de la posible dirección de los movimientos que pudiera tener la variable en cuestión, en el corto plazo. </w:t>
      </w:r>
    </w:p>
    <w:p w14:paraId="04F58FA1" w14:textId="77777777" w:rsidR="00822E2D" w:rsidRPr="00F87E34" w:rsidRDefault="00822E2D" w:rsidP="00822E2D">
      <w:pPr>
        <w:pStyle w:val="p0"/>
        <w:keepLines w:val="0"/>
        <w:rPr>
          <w:rFonts w:ascii="Arial" w:hAnsi="Arial"/>
          <w:color w:val="auto"/>
        </w:rPr>
      </w:pPr>
      <w:r w:rsidRPr="00F87E34">
        <w:rPr>
          <w:rFonts w:ascii="Arial" w:hAnsi="Arial"/>
          <w:color w:val="auto"/>
        </w:rPr>
        <w:t>Cabe señalar que, al agregarse la información de noviembre de los últimos años, el efecto del “Buen Fin” se ha incorporado de forma gradual en el ajuste estacional de las ventas al por menor</w:t>
      </w:r>
      <w:r w:rsidRPr="00F87E34">
        <w:rPr>
          <w:rFonts w:ascii="Arial" w:hAnsi="Arial"/>
          <w:color w:val="000000" w:themeColor="text1"/>
        </w:rPr>
        <w:t>.</w:t>
      </w:r>
    </w:p>
    <w:p w14:paraId="5B93CFBB" w14:textId="77777777" w:rsidR="00822E2D" w:rsidRPr="00F87E34" w:rsidRDefault="00822E2D" w:rsidP="00822E2D">
      <w:pPr>
        <w:widowControl w:val="0"/>
        <w:spacing w:before="240"/>
        <w:rPr>
          <w:szCs w:val="20"/>
        </w:rPr>
      </w:pPr>
      <w:r w:rsidRPr="00F87E34">
        <w:rPr>
          <w:szCs w:val="20"/>
        </w:rPr>
        <w:t>Las series originales se ajustan de manera estacional mediante el paquete estadístico X</w:t>
      </w:r>
      <w:r w:rsidRPr="00F87E34">
        <w:rPr>
          <w:szCs w:val="20"/>
        </w:rPr>
        <w:noBreakHyphen/>
        <w:t>13ARIMA</w:t>
      </w:r>
      <w:r w:rsidRPr="00F87E34">
        <w:rPr>
          <w:szCs w:val="20"/>
        </w:rPr>
        <w:noBreakHyphen/>
        <w:t>SEATS. Para conocer la metodología se sugiere consultar la siguiente liga:</w:t>
      </w:r>
    </w:p>
    <w:p w14:paraId="50951445" w14:textId="77777777" w:rsidR="00822E2D" w:rsidRPr="00F87E34" w:rsidRDefault="00AB0BEA" w:rsidP="00822E2D">
      <w:pPr>
        <w:pStyle w:val="parrafo1"/>
        <w:widowControl w:val="0"/>
        <w:spacing w:before="120"/>
        <w:ind w:left="0" w:right="0"/>
        <w:rPr>
          <w:rStyle w:val="Hipervnculo"/>
          <w:rFonts w:cs="Arial"/>
          <w:lang w:eastAsia="en-US"/>
        </w:rPr>
      </w:pPr>
      <w:hyperlink r:id="rId29" w:history="1">
        <w:r w:rsidR="00822E2D" w:rsidRPr="00F87E34">
          <w:rPr>
            <w:rStyle w:val="Hipervnculo"/>
            <w:rFonts w:cs="Arial"/>
            <w:lang w:eastAsia="en-US"/>
          </w:rPr>
          <w:t>https://www.inegi.org.mx/app/biblioteca/ficha.html?upc=702825099060</w:t>
        </w:r>
      </w:hyperlink>
    </w:p>
    <w:p w14:paraId="02378505" w14:textId="77777777" w:rsidR="00822E2D" w:rsidRPr="00F87E34" w:rsidRDefault="00822E2D" w:rsidP="00822E2D">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62E98D86">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87E34">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F87E34">
        <w:rPr>
          <w:rFonts w:ascii="Arial" w:hAnsi="Arial"/>
          <w:color w:val="auto"/>
        </w:rPr>
        <w:noBreakHyphen/>
        <w:t>ciclo” de las Empresas Comerciales.</w:t>
      </w:r>
    </w:p>
    <w:p w14:paraId="3BD1CEF6" w14:textId="5F02CA77" w:rsidR="00770BFA" w:rsidRPr="00F87E34" w:rsidRDefault="0026680B" w:rsidP="006954B8">
      <w:pPr>
        <w:pStyle w:val="p0"/>
        <w:rPr>
          <w:rFonts w:ascii="Arial" w:hAnsi="Arial"/>
          <w:color w:val="auto"/>
        </w:rPr>
      </w:pPr>
      <w:r w:rsidRPr="00F87E34">
        <w:rPr>
          <w:rFonts w:ascii="Arial" w:hAnsi="Arial"/>
          <w:color w:val="auto"/>
        </w:rPr>
        <w:t xml:space="preserve">La información contenida en este documento es generada por el INEGI </w:t>
      </w:r>
      <w:r w:rsidR="0069132A" w:rsidRPr="00F87E34">
        <w:rPr>
          <w:rFonts w:ascii="Arial" w:hAnsi="Arial"/>
          <w:color w:val="auto"/>
        </w:rPr>
        <w:t xml:space="preserve">mediante </w:t>
      </w:r>
      <w:r w:rsidRPr="00F87E34">
        <w:rPr>
          <w:rFonts w:ascii="Arial" w:hAnsi="Arial"/>
          <w:color w:val="auto"/>
        </w:rPr>
        <w:t xml:space="preserve">la </w:t>
      </w:r>
      <w:r w:rsidR="003866DC" w:rsidRPr="00F87E34">
        <w:rPr>
          <w:rFonts w:ascii="Arial" w:hAnsi="Arial"/>
          <w:color w:val="auto"/>
        </w:rPr>
        <w:t>EMEC</w:t>
      </w:r>
      <w:r w:rsidRPr="00F87E34">
        <w:rPr>
          <w:rFonts w:ascii="Arial" w:hAnsi="Arial"/>
          <w:color w:val="auto"/>
        </w:rPr>
        <w:t xml:space="preserve"> y se da a conocer en la fecha establecida en el Calendario de </w:t>
      </w:r>
      <w:r w:rsidR="00A41C2D" w:rsidRPr="00F87E34">
        <w:rPr>
          <w:rFonts w:ascii="Arial" w:hAnsi="Arial"/>
          <w:color w:val="auto"/>
        </w:rPr>
        <w:t>D</w:t>
      </w:r>
      <w:r w:rsidRPr="00F87E34">
        <w:rPr>
          <w:rFonts w:ascii="Arial" w:hAnsi="Arial"/>
          <w:color w:val="auto"/>
        </w:rPr>
        <w:t xml:space="preserve">ifusión de </w:t>
      </w:r>
      <w:r w:rsidR="00A41C2D" w:rsidRPr="00F87E34">
        <w:rPr>
          <w:rFonts w:ascii="Arial" w:hAnsi="Arial"/>
          <w:color w:val="auto"/>
        </w:rPr>
        <w:t>I</w:t>
      </w:r>
      <w:r w:rsidRPr="00F87E34">
        <w:rPr>
          <w:rFonts w:ascii="Arial" w:hAnsi="Arial"/>
          <w:color w:val="auto"/>
        </w:rPr>
        <w:t xml:space="preserve">nformación </w:t>
      </w:r>
      <w:r w:rsidR="00A41C2D" w:rsidRPr="00F87E34">
        <w:rPr>
          <w:rFonts w:ascii="Arial" w:hAnsi="Arial"/>
          <w:color w:val="auto"/>
        </w:rPr>
        <w:t>E</w:t>
      </w:r>
      <w:r w:rsidRPr="00F87E34">
        <w:rPr>
          <w:rFonts w:ascii="Arial" w:hAnsi="Arial"/>
          <w:color w:val="auto"/>
        </w:rPr>
        <w:t xml:space="preserve">stadística y </w:t>
      </w:r>
      <w:r w:rsidR="00A41C2D" w:rsidRPr="00F87E34">
        <w:rPr>
          <w:rFonts w:ascii="Arial" w:hAnsi="Arial"/>
          <w:color w:val="auto"/>
        </w:rPr>
        <w:t>G</w:t>
      </w:r>
      <w:r w:rsidRPr="00F87E34">
        <w:rPr>
          <w:rFonts w:ascii="Arial" w:hAnsi="Arial"/>
          <w:color w:val="auto"/>
        </w:rPr>
        <w:t>eográfica y de Interés Nacional</w:t>
      </w:r>
      <w:r w:rsidR="00770BFA" w:rsidRPr="00F87E34">
        <w:rPr>
          <w:rFonts w:ascii="Arial" w:hAnsi="Arial"/>
          <w:color w:val="auto"/>
        </w:rPr>
        <w:t>.</w:t>
      </w:r>
    </w:p>
    <w:p w14:paraId="28551BEB" w14:textId="2FFE43F2" w:rsidR="0026680B" w:rsidRPr="00F87E34" w:rsidRDefault="0026680B" w:rsidP="00B15975">
      <w:pPr>
        <w:pStyle w:val="p0"/>
        <w:keepLines w:val="0"/>
        <w:spacing w:before="200"/>
        <w:rPr>
          <w:rFonts w:ascii="Arial" w:hAnsi="Arial"/>
          <w:color w:val="auto"/>
        </w:rPr>
      </w:pPr>
      <w:r w:rsidRPr="00F87E34">
        <w:rPr>
          <w:rFonts w:ascii="Arial" w:hAnsi="Arial"/>
          <w:color w:val="auto"/>
        </w:rPr>
        <w:t>Las cifras aquí mencionadas podrán ser consultadas en la página de</w:t>
      </w:r>
      <w:r w:rsidR="00A074BD" w:rsidRPr="00F87E34">
        <w:rPr>
          <w:rFonts w:ascii="Arial" w:hAnsi="Arial"/>
          <w:color w:val="auto"/>
        </w:rPr>
        <w:t xml:space="preserve"> internet de</w:t>
      </w:r>
      <w:r w:rsidRPr="00F87E34">
        <w:rPr>
          <w:rFonts w:ascii="Arial" w:hAnsi="Arial"/>
          <w:color w:val="auto"/>
        </w:rPr>
        <w:t>l INEGI.</w:t>
      </w:r>
    </w:p>
    <w:p w14:paraId="641CC083" w14:textId="77777777" w:rsidR="0026680B" w:rsidRPr="00F87E34" w:rsidRDefault="0026680B" w:rsidP="00B15975">
      <w:pPr>
        <w:pStyle w:val="Textocomentario"/>
        <w:spacing w:before="200"/>
        <w:rPr>
          <w:rFonts w:ascii="Arial" w:hAnsi="Arial" w:cs="Arial"/>
          <w:sz w:val="24"/>
          <w:szCs w:val="24"/>
        </w:rPr>
      </w:pPr>
      <w:r w:rsidRPr="00F87E34">
        <w:rPr>
          <w:rFonts w:ascii="Arial" w:hAnsi="Arial" w:cs="Arial"/>
          <w:sz w:val="24"/>
          <w:szCs w:val="24"/>
        </w:rPr>
        <w:t xml:space="preserve">Tema: </w:t>
      </w:r>
      <w:hyperlink r:id="rId31" w:history="1">
        <w:r w:rsidRPr="00F87E34">
          <w:rPr>
            <w:rStyle w:val="Hipervnculo"/>
            <w:rFonts w:ascii="Arial" w:hAnsi="Arial" w:cs="Arial"/>
            <w:sz w:val="24"/>
            <w:szCs w:val="24"/>
          </w:rPr>
          <w:t>https://www.inegi.org.mx/temas/comercioemp/</w:t>
        </w:r>
      </w:hyperlink>
    </w:p>
    <w:p w14:paraId="3E125FFF" w14:textId="77777777" w:rsidR="0026680B" w:rsidRPr="00F87E34" w:rsidRDefault="0026680B" w:rsidP="0026680B">
      <w:pPr>
        <w:pStyle w:val="Textocomentario"/>
        <w:rPr>
          <w:rFonts w:ascii="Arial" w:hAnsi="Arial" w:cs="Arial"/>
          <w:sz w:val="24"/>
          <w:szCs w:val="24"/>
        </w:rPr>
      </w:pPr>
      <w:r w:rsidRPr="00F87E34">
        <w:rPr>
          <w:rFonts w:ascii="Arial" w:hAnsi="Arial" w:cs="Arial"/>
          <w:sz w:val="24"/>
          <w:szCs w:val="24"/>
        </w:rPr>
        <w:t xml:space="preserve">Programa: </w:t>
      </w:r>
      <w:hyperlink r:id="rId32" w:history="1">
        <w:r w:rsidRPr="00F87E34">
          <w:rPr>
            <w:rStyle w:val="Hipervnculo"/>
            <w:rFonts w:ascii="Arial" w:hAnsi="Arial" w:cs="Arial"/>
            <w:sz w:val="24"/>
            <w:szCs w:val="24"/>
          </w:rPr>
          <w:t>https://www.inegi.org.mx/programas/emec/2013/</w:t>
        </w:r>
      </w:hyperlink>
    </w:p>
    <w:p w14:paraId="61F97D85" w14:textId="77777777" w:rsidR="0026680B" w:rsidRPr="00F87E34" w:rsidRDefault="0026680B" w:rsidP="0026680B">
      <w:pPr>
        <w:pStyle w:val="Textocomentario"/>
        <w:rPr>
          <w:rFonts w:ascii="Arial" w:hAnsi="Arial" w:cs="Arial"/>
          <w:snapToGrid w:val="0"/>
          <w:sz w:val="24"/>
          <w:szCs w:val="24"/>
        </w:rPr>
      </w:pPr>
      <w:r w:rsidRPr="00F87E34">
        <w:rPr>
          <w:rFonts w:ascii="Arial" w:hAnsi="Arial" w:cs="Arial"/>
          <w:sz w:val="24"/>
          <w:szCs w:val="24"/>
        </w:rPr>
        <w:t xml:space="preserve">Banco de Información Económica: </w:t>
      </w:r>
      <w:hyperlink r:id="rId33" w:history="1">
        <w:r w:rsidRPr="00F87E34">
          <w:rPr>
            <w:rStyle w:val="Hipervnculo"/>
            <w:rFonts w:ascii="Arial" w:hAnsi="Arial" w:cs="Arial"/>
            <w:sz w:val="24"/>
            <w:szCs w:val="24"/>
          </w:rPr>
          <w:t>https://www.inegi.org.mx/sistemas/bie/</w:t>
        </w:r>
      </w:hyperlink>
    </w:p>
    <w:sectPr w:rsidR="0026680B" w:rsidRPr="00F87E34" w:rsidSect="00521278">
      <w:headerReference w:type="default" r:id="rId34"/>
      <w:footerReference w:type="default" r:id="rId35"/>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280D" w14:textId="77777777" w:rsidR="00AB0BEA" w:rsidRDefault="00AB0BEA">
      <w:r>
        <w:separator/>
      </w:r>
    </w:p>
  </w:endnote>
  <w:endnote w:type="continuationSeparator" w:id="0">
    <w:p w14:paraId="5A9904FF" w14:textId="77777777" w:rsidR="00AB0BEA" w:rsidRDefault="00AB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6A6C" w14:textId="77777777" w:rsidR="0024074E" w:rsidRPr="00975B1E" w:rsidRDefault="0024074E" w:rsidP="0024074E">
    <w:pPr>
      <w:pStyle w:val="Piedepgina"/>
      <w:jc w:val="center"/>
      <w:rPr>
        <w:b/>
        <w:bCs/>
        <w:color w:val="002060"/>
        <w:sz w:val="20"/>
        <w:szCs w:val="20"/>
      </w:rPr>
    </w:pPr>
    <w:r w:rsidRPr="00975B1E">
      <w:rPr>
        <w:b/>
        <w:bCs/>
        <w:color w:val="002060"/>
        <w:sz w:val="20"/>
        <w:szCs w:val="20"/>
      </w:rPr>
      <w:t>COMUNICACIÓN SOCIAL</w:t>
    </w:r>
  </w:p>
  <w:p w14:paraId="21A99A5C" w14:textId="77777777" w:rsidR="0024074E" w:rsidRPr="007B4B63" w:rsidRDefault="0024074E" w:rsidP="0024074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24074E" w:rsidRDefault="0024074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A16A" w14:textId="77777777" w:rsidR="00AB0BEA" w:rsidRDefault="00AB0BEA">
      <w:r>
        <w:separator/>
      </w:r>
    </w:p>
  </w:footnote>
  <w:footnote w:type="continuationSeparator" w:id="0">
    <w:p w14:paraId="60DB84F3" w14:textId="77777777" w:rsidR="00AB0BEA" w:rsidRDefault="00AB0BEA">
      <w:r>
        <w:continuationSeparator/>
      </w:r>
    </w:p>
  </w:footnote>
  <w:footnote w:id="1">
    <w:p w14:paraId="6C13DA1F" w14:textId="77777777" w:rsidR="0024074E" w:rsidRDefault="0024074E" w:rsidP="0024074E">
      <w:pPr>
        <w:pStyle w:val="Textonotapie"/>
        <w:ind w:left="168" w:right="49" w:hanging="168"/>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 cuyo análisis ayuda a realizar un mejor diagnóstico de la evolución de las variables.</w:t>
      </w:r>
    </w:p>
  </w:footnote>
  <w:footnote w:id="2">
    <w:p w14:paraId="50A3C40F" w14:textId="77777777" w:rsidR="0024074E" w:rsidRDefault="0024074E" w:rsidP="0024074E">
      <w:pPr>
        <w:pStyle w:val="Textonotapie"/>
        <w:ind w:left="168" w:right="49"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p w14:paraId="35A54366" w14:textId="77777777" w:rsidR="0024074E" w:rsidRDefault="0024074E" w:rsidP="0024074E">
      <w:pPr>
        <w:pStyle w:val="Textonotapie"/>
        <w:ind w:left="168" w:hanging="168"/>
        <w:rPr>
          <w:lang w:val="es-ES"/>
        </w:rPr>
      </w:pPr>
    </w:p>
    <w:p w14:paraId="201772A1" w14:textId="77777777" w:rsidR="0024074E" w:rsidRPr="00914A0F" w:rsidRDefault="0024074E" w:rsidP="0024074E">
      <w:pPr>
        <w:pStyle w:val="Textonotapie"/>
        <w:ind w:left="168" w:hanging="168"/>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4469" w14:textId="3B300D33" w:rsidR="0024074E" w:rsidRPr="00306ECD" w:rsidRDefault="0024074E" w:rsidP="0024074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1E9277C" wp14:editId="189CB457">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30E91">
      <w:rPr>
        <w:b/>
        <w:color w:val="002060"/>
      </w:rPr>
      <w:t>198</w:t>
    </w:r>
    <w:r w:rsidRPr="00306ECD">
      <w:rPr>
        <w:b/>
        <w:color w:val="002060"/>
      </w:rPr>
      <w:t>/2</w:t>
    </w:r>
    <w:r>
      <w:rPr>
        <w:b/>
        <w:color w:val="002060"/>
      </w:rPr>
      <w:t>2</w:t>
    </w:r>
  </w:p>
  <w:p w14:paraId="7F6E3347" w14:textId="77777777" w:rsidR="0024074E" w:rsidRPr="00306ECD" w:rsidRDefault="0024074E" w:rsidP="0024074E">
    <w:pPr>
      <w:pStyle w:val="Encabezado"/>
      <w:ind w:left="-567" w:right="49"/>
      <w:jc w:val="right"/>
      <w:rPr>
        <w:b/>
        <w:color w:val="002060"/>
        <w:lang w:val="pt-BR"/>
      </w:rPr>
    </w:pPr>
    <w:r>
      <w:rPr>
        <w:b/>
        <w:color w:val="002060"/>
        <w:lang w:val="pt-BR"/>
      </w:rPr>
      <w:t>26</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41B22168" w14:textId="77777777" w:rsidR="0024074E" w:rsidRPr="00306ECD" w:rsidRDefault="0024074E" w:rsidP="0024074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69B85AEF" w14:textId="77777777" w:rsidR="0024074E" w:rsidRDefault="0024074E" w:rsidP="0024074E">
    <w:pPr>
      <w:pStyle w:val="Encabezado"/>
      <w:ind w:right="49"/>
      <w:jc w:val="center"/>
    </w:pPr>
  </w:p>
  <w:p w14:paraId="60857FF4" w14:textId="77777777" w:rsidR="0024074E" w:rsidRDefault="0024074E"/>
  <w:p w14:paraId="7C8A9A84" w14:textId="77777777" w:rsidR="0024074E" w:rsidRDefault="002407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6DB848DB" w:rsidR="0024074E" w:rsidRDefault="0024074E" w:rsidP="004962C3">
    <w:pPr>
      <w:pStyle w:val="Encabezado"/>
      <w:tabs>
        <w:tab w:val="clear" w:pos="4320"/>
        <w:tab w:val="clear" w:pos="8640"/>
      </w:tabs>
      <w:jc w:val="center"/>
    </w:pPr>
    <w:r>
      <w:rPr>
        <w:noProof/>
        <w:lang w:val="es-MX" w:eastAsia="es-MX"/>
      </w:rPr>
      <w:drawing>
        <wp:inline distT="0" distB="0" distL="0" distR="0" wp14:anchorId="536F8885" wp14:editId="156ADE8A">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EAB"/>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5C4E"/>
    <w:rsid w:val="001F65A4"/>
    <w:rsid w:val="001F65E0"/>
    <w:rsid w:val="001F6EE3"/>
    <w:rsid w:val="001F702F"/>
    <w:rsid w:val="001F7362"/>
    <w:rsid w:val="001F7AE9"/>
    <w:rsid w:val="001F7CFD"/>
    <w:rsid w:val="001F7E39"/>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74E"/>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99"/>
    <w:rsid w:val="002526B9"/>
    <w:rsid w:val="00252DD3"/>
    <w:rsid w:val="0025369E"/>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6FF8"/>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2A1F"/>
    <w:rsid w:val="00312DDE"/>
    <w:rsid w:val="00313367"/>
    <w:rsid w:val="0031354F"/>
    <w:rsid w:val="00313893"/>
    <w:rsid w:val="00314614"/>
    <w:rsid w:val="00314739"/>
    <w:rsid w:val="00314773"/>
    <w:rsid w:val="00314F8A"/>
    <w:rsid w:val="003151F3"/>
    <w:rsid w:val="003152FA"/>
    <w:rsid w:val="003154DB"/>
    <w:rsid w:val="003156DB"/>
    <w:rsid w:val="003163F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F73"/>
    <w:rsid w:val="003C40A2"/>
    <w:rsid w:val="003C5519"/>
    <w:rsid w:val="003C5A97"/>
    <w:rsid w:val="003C60AF"/>
    <w:rsid w:val="003C616B"/>
    <w:rsid w:val="003C681D"/>
    <w:rsid w:val="003C6BED"/>
    <w:rsid w:val="003C7965"/>
    <w:rsid w:val="003C7D06"/>
    <w:rsid w:val="003C7EF7"/>
    <w:rsid w:val="003D0152"/>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E91"/>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751"/>
    <w:rsid w:val="00486F54"/>
    <w:rsid w:val="004871B4"/>
    <w:rsid w:val="004876DD"/>
    <w:rsid w:val="004905E4"/>
    <w:rsid w:val="004909D5"/>
    <w:rsid w:val="0049178A"/>
    <w:rsid w:val="00491C1D"/>
    <w:rsid w:val="00491DF1"/>
    <w:rsid w:val="0049231D"/>
    <w:rsid w:val="00492535"/>
    <w:rsid w:val="00493435"/>
    <w:rsid w:val="00494826"/>
    <w:rsid w:val="00494B28"/>
    <w:rsid w:val="004950F7"/>
    <w:rsid w:val="004953E1"/>
    <w:rsid w:val="00495FFF"/>
    <w:rsid w:val="004962C3"/>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C75FC"/>
    <w:rsid w:val="004D0836"/>
    <w:rsid w:val="004D1000"/>
    <w:rsid w:val="004D1417"/>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4D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C40"/>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428"/>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C95"/>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400"/>
    <w:rsid w:val="00726B7D"/>
    <w:rsid w:val="00727285"/>
    <w:rsid w:val="00727380"/>
    <w:rsid w:val="00727D91"/>
    <w:rsid w:val="00727E44"/>
    <w:rsid w:val="00730152"/>
    <w:rsid w:val="007301B7"/>
    <w:rsid w:val="007305F2"/>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1355"/>
    <w:rsid w:val="0074155B"/>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6FB"/>
    <w:rsid w:val="00752DE0"/>
    <w:rsid w:val="00752E14"/>
    <w:rsid w:val="00753DA5"/>
    <w:rsid w:val="00754E53"/>
    <w:rsid w:val="0075502B"/>
    <w:rsid w:val="00755633"/>
    <w:rsid w:val="00755B6F"/>
    <w:rsid w:val="007562D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417"/>
    <w:rsid w:val="008262BC"/>
    <w:rsid w:val="00826427"/>
    <w:rsid w:val="00826565"/>
    <w:rsid w:val="008266A2"/>
    <w:rsid w:val="008267AE"/>
    <w:rsid w:val="008277F4"/>
    <w:rsid w:val="00827A74"/>
    <w:rsid w:val="00830B33"/>
    <w:rsid w:val="0083118A"/>
    <w:rsid w:val="00831284"/>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5DD"/>
    <w:rsid w:val="00864768"/>
    <w:rsid w:val="00864CDF"/>
    <w:rsid w:val="008658AB"/>
    <w:rsid w:val="00865B18"/>
    <w:rsid w:val="0086672E"/>
    <w:rsid w:val="00866CF2"/>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2B7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011"/>
    <w:rsid w:val="00AA1128"/>
    <w:rsid w:val="00AA1A7C"/>
    <w:rsid w:val="00AA1ADA"/>
    <w:rsid w:val="00AA1D1C"/>
    <w:rsid w:val="00AA20B3"/>
    <w:rsid w:val="00AA2115"/>
    <w:rsid w:val="00AA2A7D"/>
    <w:rsid w:val="00AA2A95"/>
    <w:rsid w:val="00AA2E63"/>
    <w:rsid w:val="00AA2E95"/>
    <w:rsid w:val="00AA2ECC"/>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BEA"/>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656"/>
    <w:rsid w:val="00B3578C"/>
    <w:rsid w:val="00B36B9B"/>
    <w:rsid w:val="00B36D9E"/>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6E44"/>
    <w:rsid w:val="00BE716B"/>
    <w:rsid w:val="00BE770F"/>
    <w:rsid w:val="00BE778C"/>
    <w:rsid w:val="00BE7F74"/>
    <w:rsid w:val="00BF01D4"/>
    <w:rsid w:val="00BF0597"/>
    <w:rsid w:val="00BF1F70"/>
    <w:rsid w:val="00BF20FB"/>
    <w:rsid w:val="00BF2576"/>
    <w:rsid w:val="00BF2997"/>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29D1"/>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2C7A"/>
    <w:rsid w:val="00C833BA"/>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405"/>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43D6"/>
    <w:rsid w:val="00D85237"/>
    <w:rsid w:val="00D85475"/>
    <w:rsid w:val="00D85487"/>
    <w:rsid w:val="00D8550C"/>
    <w:rsid w:val="00D85A2F"/>
    <w:rsid w:val="00D86605"/>
    <w:rsid w:val="00D86C22"/>
    <w:rsid w:val="00D87433"/>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5EB"/>
    <w:rsid w:val="00EB7605"/>
    <w:rsid w:val="00EB7613"/>
    <w:rsid w:val="00EB76CB"/>
    <w:rsid w:val="00EC0005"/>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404D"/>
    <w:rsid w:val="00EC4F34"/>
    <w:rsid w:val="00EC5503"/>
    <w:rsid w:val="00EC552D"/>
    <w:rsid w:val="00EC5B93"/>
    <w:rsid w:val="00EC774B"/>
    <w:rsid w:val="00ED1308"/>
    <w:rsid w:val="00ED13EB"/>
    <w:rsid w:val="00ED1462"/>
    <w:rsid w:val="00ED14A1"/>
    <w:rsid w:val="00ED17FA"/>
    <w:rsid w:val="00ED1856"/>
    <w:rsid w:val="00ED24B6"/>
    <w:rsid w:val="00ED25D2"/>
    <w:rsid w:val="00ED35C0"/>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3B65"/>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66B5"/>
    <w:rsid w:val="00F67275"/>
    <w:rsid w:val="00F6784B"/>
    <w:rsid w:val="00F67EF9"/>
    <w:rsid w:val="00F70C14"/>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PiedepginaCar">
    <w:name w:val="Pie de página Car"/>
    <w:basedOn w:val="Fuentedeprrafopredeter"/>
    <w:link w:val="Piedepgina"/>
    <w:uiPriority w:val="99"/>
    <w:rsid w:val="0024074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'[Comercio_Gráficas Desest y Tendencia-Ciclo.xlsx]Datos'!$C$5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Tendencia-Ciclo.xlsx]Datos'!$C$114:$C$185</c:f>
              <c:numCache>
                <c:formatCode>0.0_)</c:formatCode>
                <c:ptCount val="62"/>
                <c:pt idx="0">
                  <c:v>107.838982811316</c:v>
                </c:pt>
                <c:pt idx="1">
                  <c:v>107.50150599190501</c:v>
                </c:pt>
                <c:pt idx="2">
                  <c:v>106.933900777364</c:v>
                </c:pt>
                <c:pt idx="3">
                  <c:v>107.227247610794</c:v>
                </c:pt>
                <c:pt idx="4">
                  <c:v>106.278800645659</c:v>
                </c:pt>
                <c:pt idx="5">
                  <c:v>106.81904723348001</c:v>
                </c:pt>
                <c:pt idx="6">
                  <c:v>107.598826029988</c:v>
                </c:pt>
                <c:pt idx="7">
                  <c:v>108.275969031652</c:v>
                </c:pt>
                <c:pt idx="8">
                  <c:v>107.390462239984</c:v>
                </c:pt>
                <c:pt idx="9">
                  <c:v>107.582066144596</c:v>
                </c:pt>
                <c:pt idx="10">
                  <c:v>107.80129380345601</c:v>
                </c:pt>
                <c:pt idx="11">
                  <c:v>108.761170759552</c:v>
                </c:pt>
                <c:pt idx="12">
                  <c:v>108.096579906534</c:v>
                </c:pt>
                <c:pt idx="13">
                  <c:v>109.13397969593299</c:v>
                </c:pt>
                <c:pt idx="14">
                  <c:v>111.185184173495</c:v>
                </c:pt>
                <c:pt idx="15">
                  <c:v>110.497514850808</c:v>
                </c:pt>
                <c:pt idx="16">
                  <c:v>111.377236334389</c:v>
                </c:pt>
                <c:pt idx="17">
                  <c:v>111.508697007227</c:v>
                </c:pt>
                <c:pt idx="18">
                  <c:v>110.045869856048</c:v>
                </c:pt>
                <c:pt idx="19">
                  <c:v>110.44853837819799</c:v>
                </c:pt>
                <c:pt idx="20">
                  <c:v>110.795979115767</c:v>
                </c:pt>
                <c:pt idx="21">
                  <c:v>112.61321424515</c:v>
                </c:pt>
                <c:pt idx="22">
                  <c:v>109.33503194247901</c:v>
                </c:pt>
                <c:pt idx="23">
                  <c:v>106.66959990405</c:v>
                </c:pt>
                <c:pt idx="24">
                  <c:v>108.218220020815</c:v>
                </c:pt>
                <c:pt idx="25">
                  <c:v>108.28012692540599</c:v>
                </c:pt>
                <c:pt idx="26">
                  <c:v>108.131268671868</c:v>
                </c:pt>
                <c:pt idx="27">
                  <c:v>108.018350459262</c:v>
                </c:pt>
                <c:pt idx="28">
                  <c:v>107.342397195019</c:v>
                </c:pt>
                <c:pt idx="29">
                  <c:v>108.24240939023601</c:v>
                </c:pt>
                <c:pt idx="30">
                  <c:v>107.812411299891</c:v>
                </c:pt>
                <c:pt idx="31">
                  <c:v>107.801041921622</c:v>
                </c:pt>
                <c:pt idx="32">
                  <c:v>107.22097531238001</c:v>
                </c:pt>
                <c:pt idx="33">
                  <c:v>106.030951978449</c:v>
                </c:pt>
                <c:pt idx="34">
                  <c:v>105.703970284645</c:v>
                </c:pt>
                <c:pt idx="35">
                  <c:v>105.511310353867</c:v>
                </c:pt>
                <c:pt idx="36">
                  <c:v>105.91285406716599</c:v>
                </c:pt>
                <c:pt idx="37">
                  <c:v>105.583811620573</c:v>
                </c:pt>
                <c:pt idx="38">
                  <c:v>104.851483425056</c:v>
                </c:pt>
                <c:pt idx="39">
                  <c:v>85.842289759941096</c:v>
                </c:pt>
                <c:pt idx="40">
                  <c:v>81.756503772128795</c:v>
                </c:pt>
                <c:pt idx="41">
                  <c:v>91.002764485941398</c:v>
                </c:pt>
                <c:pt idx="42">
                  <c:v>96.014508829933106</c:v>
                </c:pt>
                <c:pt idx="43">
                  <c:v>97.466567168359305</c:v>
                </c:pt>
                <c:pt idx="44">
                  <c:v>98.890021663713497</c:v>
                </c:pt>
                <c:pt idx="45">
                  <c:v>100.62886872907799</c:v>
                </c:pt>
                <c:pt idx="46">
                  <c:v>102.02308608864099</c:v>
                </c:pt>
                <c:pt idx="47">
                  <c:v>103.568551695279</c:v>
                </c:pt>
                <c:pt idx="48">
                  <c:v>104.065713085139</c:v>
                </c:pt>
                <c:pt idx="49">
                  <c:v>106.11401566324599</c:v>
                </c:pt>
                <c:pt idx="50">
                  <c:v>108.794533802372</c:v>
                </c:pt>
                <c:pt idx="51">
                  <c:v>108.809153050997</c:v>
                </c:pt>
                <c:pt idx="52">
                  <c:v>109.746383562494</c:v>
                </c:pt>
                <c:pt idx="53">
                  <c:v>110.117465560534</c:v>
                </c:pt>
                <c:pt idx="54">
                  <c:v>111.399601987258</c:v>
                </c:pt>
                <c:pt idx="55">
                  <c:v>111.078701192316</c:v>
                </c:pt>
                <c:pt idx="56">
                  <c:v>111.57077691140501</c:v>
                </c:pt>
                <c:pt idx="57">
                  <c:v>112.250591772818</c:v>
                </c:pt>
                <c:pt idx="58">
                  <c:v>112.80142391568999</c:v>
                </c:pt>
                <c:pt idx="59">
                  <c:v>112.658341698643</c:v>
                </c:pt>
                <c:pt idx="60">
                  <c:v>113.543457713599</c:v>
                </c:pt>
                <c:pt idx="61">
                  <c:v>113.676322606943</c:v>
                </c:pt>
              </c:numCache>
            </c:numRef>
          </c:val>
          <c:extLst>
            <c:ext xmlns:c16="http://schemas.microsoft.com/office/drawing/2014/chart" uri="{C3380CC4-5D6E-409C-BE32-E72D297353CC}">
              <c16:uniqueId val="{00000000-EFF7-4251-BAB3-B1A7C8080E29}"/>
            </c:ext>
          </c:extLst>
        </c:ser>
        <c:dLbls>
          <c:showLegendKey val="0"/>
          <c:showVal val="0"/>
          <c:showCatName val="0"/>
          <c:showSerName val="0"/>
          <c:showPercent val="0"/>
          <c:showBubbleSize val="0"/>
        </c:dLbls>
        <c:gapWidth val="55"/>
        <c:axId val="477492480"/>
        <c:axId val="477490912"/>
      </c:barChart>
      <c:lineChart>
        <c:grouping val="standard"/>
        <c:varyColors val="0"/>
        <c:ser>
          <c:idx val="1"/>
          <c:order val="1"/>
          <c:tx>
            <c:strRef>
              <c:f>'[Comercio_Gráficas Desest y Tendencia-Ciclo.xlsx]Datos'!$D$5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Tendencia-Ciclo.xlsx]Datos'!$D$114:$D$185</c:f>
              <c:numCache>
                <c:formatCode>0.0_)</c:formatCode>
                <c:ptCount val="62"/>
                <c:pt idx="0">
                  <c:v>107.367385209731</c:v>
                </c:pt>
                <c:pt idx="1">
                  <c:v>107.309544196499</c:v>
                </c:pt>
                <c:pt idx="2">
                  <c:v>107.16799124073501</c:v>
                </c:pt>
                <c:pt idx="3">
                  <c:v>107.029327178546</c:v>
                </c:pt>
                <c:pt idx="4">
                  <c:v>106.968004677636</c:v>
                </c:pt>
                <c:pt idx="5">
                  <c:v>107.021989992081</c:v>
                </c:pt>
                <c:pt idx="6">
                  <c:v>107.168080352386</c:v>
                </c:pt>
                <c:pt idx="7">
                  <c:v>107.36682098373601</c:v>
                </c:pt>
                <c:pt idx="8">
                  <c:v>107.558419949648</c:v>
                </c:pt>
                <c:pt idx="9">
                  <c:v>107.770617462324</c:v>
                </c:pt>
                <c:pt idx="10">
                  <c:v>108.048959609755</c:v>
                </c:pt>
                <c:pt idx="11">
                  <c:v>108.43821560766099</c:v>
                </c:pt>
                <c:pt idx="12">
                  <c:v>108.990534294433</c:v>
                </c:pt>
                <c:pt idx="13">
                  <c:v>109.639742501111</c:v>
                </c:pt>
                <c:pt idx="14">
                  <c:v>110.24828534339601</c:v>
                </c:pt>
                <c:pt idx="15">
                  <c:v>110.71992610494399</c:v>
                </c:pt>
                <c:pt idx="16">
                  <c:v>111.013329625423</c:v>
                </c:pt>
                <c:pt idx="17">
                  <c:v>111.103835822702</c:v>
                </c:pt>
                <c:pt idx="18">
                  <c:v>111.006733865865</c:v>
                </c:pt>
                <c:pt idx="19">
                  <c:v>110.743249603894</c:v>
                </c:pt>
                <c:pt idx="20">
                  <c:v>110.368874934606</c:v>
                </c:pt>
                <c:pt idx="21">
                  <c:v>109.92793496753499</c:v>
                </c:pt>
                <c:pt idx="22">
                  <c:v>109.459567808402</c:v>
                </c:pt>
                <c:pt idx="23">
                  <c:v>108.998177475915</c:v>
                </c:pt>
                <c:pt idx="24">
                  <c:v>108.57077033949101</c:v>
                </c:pt>
                <c:pt idx="25">
                  <c:v>108.228653483364</c:v>
                </c:pt>
                <c:pt idx="26">
                  <c:v>108.025008889418</c:v>
                </c:pt>
                <c:pt idx="27">
                  <c:v>107.95341722867499</c:v>
                </c:pt>
                <c:pt idx="28">
                  <c:v>107.939075606862</c:v>
                </c:pt>
                <c:pt idx="29">
                  <c:v>107.893614272519</c:v>
                </c:pt>
                <c:pt idx="30">
                  <c:v>107.722532447955</c:v>
                </c:pt>
                <c:pt idx="31">
                  <c:v>107.39301839592601</c:v>
                </c:pt>
                <c:pt idx="32">
                  <c:v>106.960412024002</c:v>
                </c:pt>
                <c:pt idx="33">
                  <c:v>106.48762882184801</c:v>
                </c:pt>
                <c:pt idx="34">
                  <c:v>106.032833943996</c:v>
                </c:pt>
                <c:pt idx="35">
                  <c:v>105.66523147091</c:v>
                </c:pt>
                <c:pt idx="36">
                  <c:v>105.431490919495</c:v>
                </c:pt>
                <c:pt idx="37">
                  <c:v>105.287483122452</c:v>
                </c:pt>
                <c:pt idx="38">
                  <c:v>105.203185679171</c:v>
                </c:pt>
                <c:pt idx="39">
                  <c:v>95.491828975410996</c:v>
                </c:pt>
                <c:pt idx="40">
                  <c:v>95.605756919184799</c:v>
                </c:pt>
                <c:pt idx="41">
                  <c:v>95.9669579626093</c:v>
                </c:pt>
                <c:pt idx="42">
                  <c:v>96.649371129423798</c:v>
                </c:pt>
                <c:pt idx="43">
                  <c:v>97.658057837278903</c:v>
                </c:pt>
                <c:pt idx="44">
                  <c:v>98.924426442322499</c:v>
                </c:pt>
                <c:pt idx="45">
                  <c:v>100.370273875278</c:v>
                </c:pt>
                <c:pt idx="46">
                  <c:v>101.910136755086</c:v>
                </c:pt>
                <c:pt idx="47">
                  <c:v>103.453586775557</c:v>
                </c:pt>
                <c:pt idx="48">
                  <c:v>104.912427792573</c:v>
                </c:pt>
                <c:pt idx="49">
                  <c:v>106.282079409038</c:v>
                </c:pt>
                <c:pt idx="50">
                  <c:v>107.55429380589401</c:v>
                </c:pt>
                <c:pt idx="51">
                  <c:v>108.678571610432</c:v>
                </c:pt>
                <c:pt idx="52">
                  <c:v>109.611144439719</c:v>
                </c:pt>
                <c:pt idx="53">
                  <c:v>110.35162060742999</c:v>
                </c:pt>
                <c:pt idx="54">
                  <c:v>110.92306442637801</c:v>
                </c:pt>
                <c:pt idx="55">
                  <c:v>111.380454366615</c:v>
                </c:pt>
                <c:pt idx="56">
                  <c:v>111.77970157007</c:v>
                </c:pt>
                <c:pt idx="57">
                  <c:v>112.16128492323099</c:v>
                </c:pt>
                <c:pt idx="58">
                  <c:v>112.5439669714</c:v>
                </c:pt>
                <c:pt idx="59">
                  <c:v>112.955995519076</c:v>
                </c:pt>
                <c:pt idx="60">
                  <c:v>113.403729389087</c:v>
                </c:pt>
                <c:pt idx="61">
                  <c:v>113.884025953934</c:v>
                </c:pt>
              </c:numCache>
            </c:numRef>
          </c:val>
          <c:smooth val="0"/>
          <c:extLst>
            <c:ext xmlns:c16="http://schemas.microsoft.com/office/drawing/2014/chart" uri="{C3380CC4-5D6E-409C-BE32-E72D297353CC}">
              <c16:uniqueId val="{00000001-EFF7-4251-BAB3-B1A7C8080E29}"/>
            </c:ext>
          </c:extLst>
        </c:ser>
        <c:dLbls>
          <c:showLegendKey val="0"/>
          <c:showVal val="0"/>
          <c:showCatName val="0"/>
          <c:showSerName val="0"/>
          <c:showPercent val="0"/>
          <c:showBubbleSize val="0"/>
        </c:dLbls>
        <c:marker val="1"/>
        <c:smooth val="0"/>
        <c:axId val="477492480"/>
        <c:axId val="477490912"/>
      </c:lineChart>
      <c:catAx>
        <c:axId val="4774924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77490912"/>
        <c:crosses val="autoZero"/>
        <c:auto val="1"/>
        <c:lblAlgn val="ctr"/>
        <c:lblOffset val="100"/>
        <c:tickLblSkip val="1"/>
        <c:tickMarkSkip val="12"/>
        <c:noMultiLvlLbl val="1"/>
      </c:catAx>
      <c:valAx>
        <c:axId val="477490912"/>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7749248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'[Comercio_Gráficas Desest y Tendencia-Ciclo.xlsx]Datos'!$E$5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Tendencia-Ciclo.xlsx]Datos'!$E$114:$E$185</c:f>
              <c:numCache>
                <c:formatCode>0.0_)</c:formatCode>
                <c:ptCount val="62"/>
                <c:pt idx="0">
                  <c:v>112.470423643644</c:v>
                </c:pt>
                <c:pt idx="1">
                  <c:v>112.211618472666</c:v>
                </c:pt>
                <c:pt idx="2">
                  <c:v>111.314847016266</c:v>
                </c:pt>
                <c:pt idx="3">
                  <c:v>111.7472307899</c:v>
                </c:pt>
                <c:pt idx="4">
                  <c:v>111.535019184314</c:v>
                </c:pt>
                <c:pt idx="5">
                  <c:v>111.40920037465099</c:v>
                </c:pt>
                <c:pt idx="6">
                  <c:v>111.470646058822</c:v>
                </c:pt>
                <c:pt idx="7">
                  <c:v>111.132220693861</c:v>
                </c:pt>
                <c:pt idx="8">
                  <c:v>110.30997373551401</c:v>
                </c:pt>
                <c:pt idx="9">
                  <c:v>111.663065569518</c:v>
                </c:pt>
                <c:pt idx="10">
                  <c:v>111.01146699455801</c:v>
                </c:pt>
                <c:pt idx="11">
                  <c:v>112.10305625539399</c:v>
                </c:pt>
                <c:pt idx="12">
                  <c:v>112.022728825885</c:v>
                </c:pt>
                <c:pt idx="13">
                  <c:v>112.07881279028</c:v>
                </c:pt>
                <c:pt idx="14">
                  <c:v>113.467288891021</c:v>
                </c:pt>
                <c:pt idx="15">
                  <c:v>112.853029328692</c:v>
                </c:pt>
                <c:pt idx="16">
                  <c:v>113.179085398762</c:v>
                </c:pt>
                <c:pt idx="17">
                  <c:v>113.93021739643299</c:v>
                </c:pt>
                <c:pt idx="18">
                  <c:v>114.03265238835201</c:v>
                </c:pt>
                <c:pt idx="19">
                  <c:v>113.631450789486</c:v>
                </c:pt>
                <c:pt idx="20">
                  <c:v>113.885831260402</c:v>
                </c:pt>
                <c:pt idx="21">
                  <c:v>114.337760485272</c:v>
                </c:pt>
                <c:pt idx="22">
                  <c:v>114.225456182599</c:v>
                </c:pt>
                <c:pt idx="23">
                  <c:v>111.833742026696</c:v>
                </c:pt>
                <c:pt idx="24">
                  <c:v>114.706353164649</c:v>
                </c:pt>
                <c:pt idx="25">
                  <c:v>115.410847618733</c:v>
                </c:pt>
                <c:pt idx="26">
                  <c:v>114.770417878145</c:v>
                </c:pt>
                <c:pt idx="27">
                  <c:v>115.081721449258</c:v>
                </c:pt>
                <c:pt idx="28">
                  <c:v>115.783844160955</c:v>
                </c:pt>
                <c:pt idx="29">
                  <c:v>116.06938839714999</c:v>
                </c:pt>
                <c:pt idx="30">
                  <c:v>116.291758204156</c:v>
                </c:pt>
                <c:pt idx="31">
                  <c:v>116.510596617557</c:v>
                </c:pt>
                <c:pt idx="32">
                  <c:v>116.34085548144699</c:v>
                </c:pt>
                <c:pt idx="33">
                  <c:v>115.389331242795</c:v>
                </c:pt>
                <c:pt idx="34">
                  <c:v>115.97217206429001</c:v>
                </c:pt>
                <c:pt idx="35">
                  <c:v>115.68932780086701</c:v>
                </c:pt>
                <c:pt idx="36">
                  <c:v>116.40982605241</c:v>
                </c:pt>
                <c:pt idx="37">
                  <c:v>113.86610639860299</c:v>
                </c:pt>
                <c:pt idx="38">
                  <c:v>112.151995092356</c:v>
                </c:pt>
                <c:pt idx="39">
                  <c:v>87.410103595276695</c:v>
                </c:pt>
                <c:pt idx="40">
                  <c:v>88.379118199912597</c:v>
                </c:pt>
                <c:pt idx="41">
                  <c:v>96.587398461072695</c:v>
                </c:pt>
                <c:pt idx="42">
                  <c:v>102.83968507067701</c:v>
                </c:pt>
                <c:pt idx="43">
                  <c:v>105.444016743887</c:v>
                </c:pt>
                <c:pt idx="44">
                  <c:v>107.42301170631799</c:v>
                </c:pt>
                <c:pt idx="45">
                  <c:v>107.408168452574</c:v>
                </c:pt>
                <c:pt idx="46">
                  <c:v>110.242248796022</c:v>
                </c:pt>
                <c:pt idx="47">
                  <c:v>109.073366782245</c:v>
                </c:pt>
                <c:pt idx="48">
                  <c:v>108.35056518003501</c:v>
                </c:pt>
                <c:pt idx="49">
                  <c:v>109.770507892335</c:v>
                </c:pt>
                <c:pt idx="50">
                  <c:v>114.18577698023</c:v>
                </c:pt>
                <c:pt idx="51">
                  <c:v>113.628866950793</c:v>
                </c:pt>
                <c:pt idx="52">
                  <c:v>113.863502215946</c:v>
                </c:pt>
                <c:pt idx="53">
                  <c:v>113.3680573394</c:v>
                </c:pt>
                <c:pt idx="54">
                  <c:v>113.29484995082601</c:v>
                </c:pt>
                <c:pt idx="55">
                  <c:v>113.331251516485</c:v>
                </c:pt>
                <c:pt idx="56">
                  <c:v>113.64787667048201</c:v>
                </c:pt>
                <c:pt idx="57">
                  <c:v>114.11321263884</c:v>
                </c:pt>
                <c:pt idx="58">
                  <c:v>114.75317722662</c:v>
                </c:pt>
                <c:pt idx="59">
                  <c:v>114.797949932329</c:v>
                </c:pt>
                <c:pt idx="60">
                  <c:v>115.74359558878901</c:v>
                </c:pt>
                <c:pt idx="61">
                  <c:v>116.652878080365</c:v>
                </c:pt>
              </c:numCache>
            </c:numRef>
          </c:val>
          <c:extLst>
            <c:ext xmlns:c16="http://schemas.microsoft.com/office/drawing/2014/chart" uri="{C3380CC4-5D6E-409C-BE32-E72D297353CC}">
              <c16:uniqueId val="{00000000-014E-4290-9AFB-32A56B090404}"/>
            </c:ext>
          </c:extLst>
        </c:ser>
        <c:dLbls>
          <c:showLegendKey val="0"/>
          <c:showVal val="0"/>
          <c:showCatName val="0"/>
          <c:showSerName val="0"/>
          <c:showPercent val="0"/>
          <c:showBubbleSize val="0"/>
        </c:dLbls>
        <c:gapWidth val="55"/>
        <c:axId val="717096784"/>
        <c:axId val="717099528"/>
      </c:barChart>
      <c:lineChart>
        <c:grouping val="standard"/>
        <c:varyColors val="0"/>
        <c:ser>
          <c:idx val="1"/>
          <c:order val="1"/>
          <c:tx>
            <c:strRef>
              <c:f>'[Comercio_Gráficas Desest y Tendencia-Ciclo.xlsx]Datos'!$F$5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Tendencia-Ciclo.xlsx]Datos'!$F$114:$F$185</c:f>
              <c:numCache>
                <c:formatCode>0.0_)</c:formatCode>
                <c:ptCount val="62"/>
                <c:pt idx="0">
                  <c:v>112.680150561064</c:v>
                </c:pt>
                <c:pt idx="1">
                  <c:v>112.253516906172</c:v>
                </c:pt>
                <c:pt idx="2">
                  <c:v>111.890015720379</c:v>
                </c:pt>
                <c:pt idx="3">
                  <c:v>111.623237016296</c:v>
                </c:pt>
                <c:pt idx="4">
                  <c:v>111.456538393494</c:v>
                </c:pt>
                <c:pt idx="5">
                  <c:v>111.33308936499699</c:v>
                </c:pt>
                <c:pt idx="6">
                  <c:v>111.230685470672</c:v>
                </c:pt>
                <c:pt idx="7">
                  <c:v>111.160714325231</c:v>
                </c:pt>
                <c:pt idx="8">
                  <c:v>111.142255657036</c:v>
                </c:pt>
                <c:pt idx="9">
                  <c:v>111.22486325970701</c:v>
                </c:pt>
                <c:pt idx="10">
                  <c:v>111.438957664687</c:v>
                </c:pt>
                <c:pt idx="11">
                  <c:v>111.741030864607</c:v>
                </c:pt>
                <c:pt idx="12">
                  <c:v>112.090093080117</c:v>
                </c:pt>
                <c:pt idx="13">
                  <c:v>112.45884127056399</c:v>
                </c:pt>
                <c:pt idx="14">
                  <c:v>112.816467719721</c:v>
                </c:pt>
                <c:pt idx="15">
                  <c:v>113.13892752400299</c:v>
                </c:pt>
                <c:pt idx="16">
                  <c:v>113.415402647966</c:v>
                </c:pt>
                <c:pt idx="17">
                  <c:v>113.63121849141601</c:v>
                </c:pt>
                <c:pt idx="18">
                  <c:v>113.797038325608</c:v>
                </c:pt>
                <c:pt idx="19">
                  <c:v>113.89958249586</c:v>
                </c:pt>
                <c:pt idx="20">
                  <c:v>113.99734397197101</c:v>
                </c:pt>
                <c:pt idx="21">
                  <c:v>114.12383181781701</c:v>
                </c:pt>
                <c:pt idx="22">
                  <c:v>114.26741100165501</c:v>
                </c:pt>
                <c:pt idx="23">
                  <c:v>114.447124966269</c:v>
                </c:pt>
                <c:pt idx="24">
                  <c:v>114.651504675395</c:v>
                </c:pt>
                <c:pt idx="25">
                  <c:v>114.866214331132</c:v>
                </c:pt>
                <c:pt idx="26">
                  <c:v>115.10905472828701</c:v>
                </c:pt>
                <c:pt idx="27">
                  <c:v>115.41140820426099</c:v>
                </c:pt>
                <c:pt idx="28">
                  <c:v>115.726255518548</c:v>
                </c:pt>
                <c:pt idx="29">
                  <c:v>115.99320824684</c:v>
                </c:pt>
                <c:pt idx="30">
                  <c:v>116.186145026375</c:v>
                </c:pt>
                <c:pt idx="31">
                  <c:v>116.283141174492</c:v>
                </c:pt>
                <c:pt idx="32">
                  <c:v>116.238365455159</c:v>
                </c:pt>
                <c:pt idx="33">
                  <c:v>116.03480928016501</c:v>
                </c:pt>
                <c:pt idx="34">
                  <c:v>115.692659675453</c:v>
                </c:pt>
                <c:pt idx="35">
                  <c:v>115.22669457600099</c:v>
                </c:pt>
                <c:pt idx="36">
                  <c:v>114.668311766166</c:v>
                </c:pt>
                <c:pt idx="37">
                  <c:v>114.098195439938</c:v>
                </c:pt>
                <c:pt idx="38">
                  <c:v>113.61833491090501</c:v>
                </c:pt>
                <c:pt idx="39">
                  <c:v>103.175699642878</c:v>
                </c:pt>
                <c:pt idx="40">
                  <c:v>103.29921091963899</c:v>
                </c:pt>
                <c:pt idx="41">
                  <c:v>103.79682064928799</c:v>
                </c:pt>
                <c:pt idx="42">
                  <c:v>104.574629008031</c:v>
                </c:pt>
                <c:pt idx="43">
                  <c:v>105.51502017541</c:v>
                </c:pt>
                <c:pt idx="44">
                  <c:v>106.50984165614599</c:v>
                </c:pt>
                <c:pt idx="45">
                  <c:v>107.47271254171299</c:v>
                </c:pt>
                <c:pt idx="46">
                  <c:v>108.39144203921001</c:v>
                </c:pt>
                <c:pt idx="47">
                  <c:v>109.327593132545</c:v>
                </c:pt>
                <c:pt idx="48">
                  <c:v>110.316665228085</c:v>
                </c:pt>
                <c:pt idx="49">
                  <c:v>111.32689543316</c:v>
                </c:pt>
                <c:pt idx="50">
                  <c:v>112.24952881015101</c:v>
                </c:pt>
                <c:pt idx="51">
                  <c:v>112.955806232702</c:v>
                </c:pt>
                <c:pt idx="52">
                  <c:v>113.364971165295</c:v>
                </c:pt>
                <c:pt idx="53">
                  <c:v>113.53244981604</c:v>
                </c:pt>
                <c:pt idx="54">
                  <c:v>113.561150975102</c:v>
                </c:pt>
                <c:pt idx="55">
                  <c:v>113.585641512791</c:v>
                </c:pt>
                <c:pt idx="56">
                  <c:v>113.70831865349599</c:v>
                </c:pt>
                <c:pt idx="57">
                  <c:v>114.013617504641</c:v>
                </c:pt>
                <c:pt idx="58">
                  <c:v>114.524445928539</c:v>
                </c:pt>
                <c:pt idx="59">
                  <c:v>115.19340208695</c:v>
                </c:pt>
                <c:pt idx="60">
                  <c:v>115.96510643130399</c:v>
                </c:pt>
                <c:pt idx="61">
                  <c:v>116.754570465829</c:v>
                </c:pt>
              </c:numCache>
            </c:numRef>
          </c:val>
          <c:smooth val="0"/>
          <c:extLst>
            <c:ext xmlns:c16="http://schemas.microsoft.com/office/drawing/2014/chart" uri="{C3380CC4-5D6E-409C-BE32-E72D297353CC}">
              <c16:uniqueId val="{00000001-014E-4290-9AFB-32A56B090404}"/>
            </c:ext>
          </c:extLst>
        </c:ser>
        <c:dLbls>
          <c:showLegendKey val="0"/>
          <c:showVal val="0"/>
          <c:showCatName val="0"/>
          <c:showSerName val="0"/>
          <c:showPercent val="0"/>
          <c:showBubbleSize val="0"/>
        </c:dLbls>
        <c:marker val="1"/>
        <c:smooth val="0"/>
        <c:axId val="717096784"/>
        <c:axId val="717099528"/>
      </c:lineChart>
      <c:catAx>
        <c:axId val="717096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717099528"/>
        <c:crosses val="autoZero"/>
        <c:auto val="1"/>
        <c:lblAlgn val="ctr"/>
        <c:lblOffset val="100"/>
        <c:tickLblSkip val="1"/>
        <c:tickMarkSkip val="12"/>
        <c:noMultiLvlLbl val="1"/>
      </c:catAx>
      <c:valAx>
        <c:axId val="71709952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71709678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'[Comercio_Gráficas Desest y Tendencia-Ciclo.xlsx]Datos'!$C$5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Tendencia-Ciclo.xlsx]Datos'!$C$114:$C$185</c:f>
              <c:numCache>
                <c:formatCode>0.0_)</c:formatCode>
                <c:ptCount val="62"/>
                <c:pt idx="0">
                  <c:v>107.838982811316</c:v>
                </c:pt>
                <c:pt idx="1">
                  <c:v>107.50150599190501</c:v>
                </c:pt>
                <c:pt idx="2">
                  <c:v>106.933900777364</c:v>
                </c:pt>
                <c:pt idx="3">
                  <c:v>107.227247610794</c:v>
                </c:pt>
                <c:pt idx="4">
                  <c:v>106.278800645659</c:v>
                </c:pt>
                <c:pt idx="5">
                  <c:v>106.81904723348001</c:v>
                </c:pt>
                <c:pt idx="6">
                  <c:v>107.598826029988</c:v>
                </c:pt>
                <c:pt idx="7">
                  <c:v>108.275969031652</c:v>
                </c:pt>
                <c:pt idx="8">
                  <c:v>107.390462239984</c:v>
                </c:pt>
                <c:pt idx="9">
                  <c:v>107.582066144596</c:v>
                </c:pt>
                <c:pt idx="10">
                  <c:v>107.80129380345601</c:v>
                </c:pt>
                <c:pt idx="11">
                  <c:v>108.761170759552</c:v>
                </c:pt>
                <c:pt idx="12">
                  <c:v>108.096579906534</c:v>
                </c:pt>
                <c:pt idx="13">
                  <c:v>109.13397969593299</c:v>
                </c:pt>
                <c:pt idx="14">
                  <c:v>111.185184173495</c:v>
                </c:pt>
                <c:pt idx="15">
                  <c:v>110.497514850808</c:v>
                </c:pt>
                <c:pt idx="16">
                  <c:v>111.377236334389</c:v>
                </c:pt>
                <c:pt idx="17">
                  <c:v>111.508697007227</c:v>
                </c:pt>
                <c:pt idx="18">
                  <c:v>110.045869856048</c:v>
                </c:pt>
                <c:pt idx="19">
                  <c:v>110.44853837819799</c:v>
                </c:pt>
                <c:pt idx="20">
                  <c:v>110.795979115767</c:v>
                </c:pt>
                <c:pt idx="21">
                  <c:v>112.61321424515</c:v>
                </c:pt>
                <c:pt idx="22">
                  <c:v>109.33503194247901</c:v>
                </c:pt>
                <c:pt idx="23">
                  <c:v>106.66959990405</c:v>
                </c:pt>
                <c:pt idx="24">
                  <c:v>108.218220020815</c:v>
                </c:pt>
                <c:pt idx="25">
                  <c:v>108.28012692540599</c:v>
                </c:pt>
                <c:pt idx="26">
                  <c:v>108.131268671868</c:v>
                </c:pt>
                <c:pt idx="27">
                  <c:v>108.018350459262</c:v>
                </c:pt>
                <c:pt idx="28">
                  <c:v>107.342397195019</c:v>
                </c:pt>
                <c:pt idx="29">
                  <c:v>108.24240939023601</c:v>
                </c:pt>
                <c:pt idx="30">
                  <c:v>107.812411299891</c:v>
                </c:pt>
                <c:pt idx="31">
                  <c:v>107.801041921622</c:v>
                </c:pt>
                <c:pt idx="32">
                  <c:v>107.22097531238001</c:v>
                </c:pt>
                <c:pt idx="33">
                  <c:v>106.030951978449</c:v>
                </c:pt>
                <c:pt idx="34">
                  <c:v>105.703970284645</c:v>
                </c:pt>
                <c:pt idx="35">
                  <c:v>105.511310353867</c:v>
                </c:pt>
                <c:pt idx="36">
                  <c:v>105.91285406716599</c:v>
                </c:pt>
                <c:pt idx="37">
                  <c:v>105.583811620573</c:v>
                </c:pt>
                <c:pt idx="38">
                  <c:v>104.851483425056</c:v>
                </c:pt>
                <c:pt idx="39">
                  <c:v>85.842289759941096</c:v>
                </c:pt>
                <c:pt idx="40">
                  <c:v>81.756503772128795</c:v>
                </c:pt>
                <c:pt idx="41">
                  <c:v>91.002764485941398</c:v>
                </c:pt>
                <c:pt idx="42">
                  <c:v>96.014508829933106</c:v>
                </c:pt>
                <c:pt idx="43">
                  <c:v>97.466567168359305</c:v>
                </c:pt>
                <c:pt idx="44">
                  <c:v>98.890021663713497</c:v>
                </c:pt>
                <c:pt idx="45">
                  <c:v>100.62886872907799</c:v>
                </c:pt>
                <c:pt idx="46">
                  <c:v>102.02308608864099</c:v>
                </c:pt>
                <c:pt idx="47">
                  <c:v>103.568551695279</c:v>
                </c:pt>
                <c:pt idx="48">
                  <c:v>104.065713085139</c:v>
                </c:pt>
                <c:pt idx="49">
                  <c:v>106.11401566324599</c:v>
                </c:pt>
                <c:pt idx="50">
                  <c:v>108.794533802372</c:v>
                </c:pt>
                <c:pt idx="51">
                  <c:v>108.809153050997</c:v>
                </c:pt>
                <c:pt idx="52">
                  <c:v>109.746383562494</c:v>
                </c:pt>
                <c:pt idx="53">
                  <c:v>110.117465560534</c:v>
                </c:pt>
                <c:pt idx="54">
                  <c:v>111.399601987258</c:v>
                </c:pt>
                <c:pt idx="55">
                  <c:v>111.078701192316</c:v>
                </c:pt>
                <c:pt idx="56">
                  <c:v>111.57077691140501</c:v>
                </c:pt>
                <c:pt idx="57">
                  <c:v>112.250591772818</c:v>
                </c:pt>
                <c:pt idx="58">
                  <c:v>112.80142391568999</c:v>
                </c:pt>
                <c:pt idx="59">
                  <c:v>112.658341698643</c:v>
                </c:pt>
                <c:pt idx="60">
                  <c:v>113.543457713599</c:v>
                </c:pt>
                <c:pt idx="61">
                  <c:v>113.676322606943</c:v>
                </c:pt>
              </c:numCache>
            </c:numRef>
          </c:val>
          <c:extLst>
            <c:ext xmlns:c16="http://schemas.microsoft.com/office/drawing/2014/chart" uri="{C3380CC4-5D6E-409C-BE32-E72D297353CC}">
              <c16:uniqueId val="{00000000-4C1D-4A8B-AD8F-AFB1422CA211}"/>
            </c:ext>
          </c:extLst>
        </c:ser>
        <c:dLbls>
          <c:showLegendKey val="0"/>
          <c:showVal val="0"/>
          <c:showCatName val="0"/>
          <c:showSerName val="0"/>
          <c:showPercent val="0"/>
          <c:showBubbleSize val="0"/>
        </c:dLbls>
        <c:gapWidth val="55"/>
        <c:axId val="477492480"/>
        <c:axId val="477490912"/>
      </c:barChart>
      <c:lineChart>
        <c:grouping val="standard"/>
        <c:varyColors val="0"/>
        <c:ser>
          <c:idx val="1"/>
          <c:order val="1"/>
          <c:tx>
            <c:strRef>
              <c:f>'[Comercio_Gráficas Desest y Tendencia-Ciclo.xlsx]Datos'!$D$5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Tendencia-Ciclo.xlsx]Datos'!$D$114:$D$185</c:f>
              <c:numCache>
                <c:formatCode>0.0_)</c:formatCode>
                <c:ptCount val="62"/>
                <c:pt idx="0">
                  <c:v>107.367385209731</c:v>
                </c:pt>
                <c:pt idx="1">
                  <c:v>107.309544196499</c:v>
                </c:pt>
                <c:pt idx="2">
                  <c:v>107.16799124073501</c:v>
                </c:pt>
                <c:pt idx="3">
                  <c:v>107.029327178546</c:v>
                </c:pt>
                <c:pt idx="4">
                  <c:v>106.968004677636</c:v>
                </c:pt>
                <c:pt idx="5">
                  <c:v>107.021989992081</c:v>
                </c:pt>
                <c:pt idx="6">
                  <c:v>107.168080352386</c:v>
                </c:pt>
                <c:pt idx="7">
                  <c:v>107.36682098373601</c:v>
                </c:pt>
                <c:pt idx="8">
                  <c:v>107.558419949648</c:v>
                </c:pt>
                <c:pt idx="9">
                  <c:v>107.770617462324</c:v>
                </c:pt>
                <c:pt idx="10">
                  <c:v>108.048959609755</c:v>
                </c:pt>
                <c:pt idx="11">
                  <c:v>108.43821560766099</c:v>
                </c:pt>
                <c:pt idx="12">
                  <c:v>108.990534294433</c:v>
                </c:pt>
                <c:pt idx="13">
                  <c:v>109.639742501111</c:v>
                </c:pt>
                <c:pt idx="14">
                  <c:v>110.24828534339601</c:v>
                </c:pt>
                <c:pt idx="15">
                  <c:v>110.71992610494399</c:v>
                </c:pt>
                <c:pt idx="16">
                  <c:v>111.013329625423</c:v>
                </c:pt>
                <c:pt idx="17">
                  <c:v>111.103835822702</c:v>
                </c:pt>
                <c:pt idx="18">
                  <c:v>111.006733865865</c:v>
                </c:pt>
                <c:pt idx="19">
                  <c:v>110.743249603894</c:v>
                </c:pt>
                <c:pt idx="20">
                  <c:v>110.368874934606</c:v>
                </c:pt>
                <c:pt idx="21">
                  <c:v>109.92793496753499</c:v>
                </c:pt>
                <c:pt idx="22">
                  <c:v>109.459567808402</c:v>
                </c:pt>
                <c:pt idx="23">
                  <c:v>108.998177475915</c:v>
                </c:pt>
                <c:pt idx="24">
                  <c:v>108.57077033949101</c:v>
                </c:pt>
                <c:pt idx="25">
                  <c:v>108.228653483364</c:v>
                </c:pt>
                <c:pt idx="26">
                  <c:v>108.025008889418</c:v>
                </c:pt>
                <c:pt idx="27">
                  <c:v>107.95341722867499</c:v>
                </c:pt>
                <c:pt idx="28">
                  <c:v>107.939075606862</c:v>
                </c:pt>
                <c:pt idx="29">
                  <c:v>107.893614272519</c:v>
                </c:pt>
                <c:pt idx="30">
                  <c:v>107.722532447955</c:v>
                </c:pt>
                <c:pt idx="31">
                  <c:v>107.39301839592601</c:v>
                </c:pt>
                <c:pt idx="32">
                  <c:v>106.960412024002</c:v>
                </c:pt>
                <c:pt idx="33">
                  <c:v>106.48762882184801</c:v>
                </c:pt>
                <c:pt idx="34">
                  <c:v>106.032833943996</c:v>
                </c:pt>
                <c:pt idx="35">
                  <c:v>105.66523147091</c:v>
                </c:pt>
                <c:pt idx="36">
                  <c:v>105.431490919495</c:v>
                </c:pt>
                <c:pt idx="37">
                  <c:v>105.287483122452</c:v>
                </c:pt>
                <c:pt idx="38">
                  <c:v>105.203185679171</c:v>
                </c:pt>
                <c:pt idx="39">
                  <c:v>95.491828975410996</c:v>
                </c:pt>
                <c:pt idx="40">
                  <c:v>95.605756919184799</c:v>
                </c:pt>
                <c:pt idx="41">
                  <c:v>95.9669579626093</c:v>
                </c:pt>
                <c:pt idx="42">
                  <c:v>96.649371129423798</c:v>
                </c:pt>
                <c:pt idx="43">
                  <c:v>97.658057837278903</c:v>
                </c:pt>
                <c:pt idx="44">
                  <c:v>98.924426442322499</c:v>
                </c:pt>
                <c:pt idx="45">
                  <c:v>100.370273875278</c:v>
                </c:pt>
                <c:pt idx="46">
                  <c:v>101.910136755086</c:v>
                </c:pt>
                <c:pt idx="47">
                  <c:v>103.453586775557</c:v>
                </c:pt>
                <c:pt idx="48">
                  <c:v>104.912427792573</c:v>
                </c:pt>
                <c:pt idx="49">
                  <c:v>106.282079409038</c:v>
                </c:pt>
                <c:pt idx="50">
                  <c:v>107.55429380589401</c:v>
                </c:pt>
                <c:pt idx="51">
                  <c:v>108.678571610432</c:v>
                </c:pt>
                <c:pt idx="52">
                  <c:v>109.611144439719</c:v>
                </c:pt>
                <c:pt idx="53">
                  <c:v>110.35162060742999</c:v>
                </c:pt>
                <c:pt idx="54">
                  <c:v>110.92306442637801</c:v>
                </c:pt>
                <c:pt idx="55">
                  <c:v>111.380454366615</c:v>
                </c:pt>
                <c:pt idx="56">
                  <c:v>111.77970157007</c:v>
                </c:pt>
                <c:pt idx="57">
                  <c:v>112.16128492323099</c:v>
                </c:pt>
                <c:pt idx="58">
                  <c:v>112.5439669714</c:v>
                </c:pt>
                <c:pt idx="59">
                  <c:v>112.955995519076</c:v>
                </c:pt>
                <c:pt idx="60">
                  <c:v>113.403729389087</c:v>
                </c:pt>
                <c:pt idx="61">
                  <c:v>113.884025953934</c:v>
                </c:pt>
              </c:numCache>
            </c:numRef>
          </c:val>
          <c:smooth val="0"/>
          <c:extLst>
            <c:ext xmlns:c16="http://schemas.microsoft.com/office/drawing/2014/chart" uri="{C3380CC4-5D6E-409C-BE32-E72D297353CC}">
              <c16:uniqueId val="{00000001-4C1D-4A8B-AD8F-AFB1422CA211}"/>
            </c:ext>
          </c:extLst>
        </c:ser>
        <c:dLbls>
          <c:showLegendKey val="0"/>
          <c:showVal val="0"/>
          <c:showCatName val="0"/>
          <c:showSerName val="0"/>
          <c:showPercent val="0"/>
          <c:showBubbleSize val="0"/>
        </c:dLbls>
        <c:marker val="1"/>
        <c:smooth val="0"/>
        <c:axId val="477492480"/>
        <c:axId val="477490912"/>
      </c:lineChart>
      <c:catAx>
        <c:axId val="4774924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77490912"/>
        <c:crosses val="autoZero"/>
        <c:auto val="1"/>
        <c:lblAlgn val="ctr"/>
        <c:lblOffset val="100"/>
        <c:tickLblSkip val="1"/>
        <c:tickMarkSkip val="12"/>
        <c:noMultiLvlLbl val="1"/>
      </c:catAx>
      <c:valAx>
        <c:axId val="477490912"/>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7749248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'[Comercio_Gráficas Desest y Tendencia-Ciclo.xlsx]Datos'!$G$5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Tendencia-Ciclo.xlsx]Datos'!$G$114:$G$185</c:f>
              <c:numCache>
                <c:formatCode>0.0_)</c:formatCode>
                <c:ptCount val="62"/>
                <c:pt idx="0">
                  <c:v>108.946376325892</c:v>
                </c:pt>
                <c:pt idx="1">
                  <c:v>107.85437040005</c:v>
                </c:pt>
                <c:pt idx="2">
                  <c:v>108.03785176804899</c:v>
                </c:pt>
                <c:pt idx="3">
                  <c:v>108.012250478935</c:v>
                </c:pt>
                <c:pt idx="4">
                  <c:v>108.42955963697101</c:v>
                </c:pt>
                <c:pt idx="5">
                  <c:v>108.779003344945</c:v>
                </c:pt>
                <c:pt idx="6">
                  <c:v>110.96877362246801</c:v>
                </c:pt>
                <c:pt idx="7">
                  <c:v>111.17265048880699</c:v>
                </c:pt>
                <c:pt idx="8">
                  <c:v>111.547016954412</c:v>
                </c:pt>
                <c:pt idx="9">
                  <c:v>111.556188658457</c:v>
                </c:pt>
                <c:pt idx="10">
                  <c:v>111.84834220803199</c:v>
                </c:pt>
                <c:pt idx="11">
                  <c:v>112.026618131323</c:v>
                </c:pt>
                <c:pt idx="12">
                  <c:v>112.40314835533</c:v>
                </c:pt>
                <c:pt idx="13">
                  <c:v>112.91327537215599</c:v>
                </c:pt>
                <c:pt idx="14">
                  <c:v>113.16368454244601</c:v>
                </c:pt>
                <c:pt idx="15">
                  <c:v>113.66859872782599</c:v>
                </c:pt>
                <c:pt idx="16">
                  <c:v>114.650519098865</c:v>
                </c:pt>
                <c:pt idx="17">
                  <c:v>114.318897345678</c:v>
                </c:pt>
                <c:pt idx="18">
                  <c:v>114.81932740451001</c:v>
                </c:pt>
                <c:pt idx="19">
                  <c:v>114.910200498851</c:v>
                </c:pt>
                <c:pt idx="20">
                  <c:v>114.77743034524801</c:v>
                </c:pt>
                <c:pt idx="21">
                  <c:v>115.266326137109</c:v>
                </c:pt>
                <c:pt idx="22">
                  <c:v>115.4675587975</c:v>
                </c:pt>
                <c:pt idx="23">
                  <c:v>115.860216974621</c:v>
                </c:pt>
                <c:pt idx="24">
                  <c:v>116.003636898998</c:v>
                </c:pt>
                <c:pt idx="25">
                  <c:v>116.151215510304</c:v>
                </c:pt>
                <c:pt idx="26">
                  <c:v>116.56252026358899</c:v>
                </c:pt>
                <c:pt idx="27">
                  <c:v>116.803580322602</c:v>
                </c:pt>
                <c:pt idx="28">
                  <c:v>117.238784347772</c:v>
                </c:pt>
                <c:pt idx="29">
                  <c:v>117.566333711939</c:v>
                </c:pt>
                <c:pt idx="30">
                  <c:v>117.48419233139801</c:v>
                </c:pt>
                <c:pt idx="31">
                  <c:v>117.089830093918</c:v>
                </c:pt>
                <c:pt idx="32">
                  <c:v>117.118293553604</c:v>
                </c:pt>
                <c:pt idx="33">
                  <c:v>117.18011833085301</c:v>
                </c:pt>
                <c:pt idx="34">
                  <c:v>117.27760170042001</c:v>
                </c:pt>
                <c:pt idx="35">
                  <c:v>117.42850654729</c:v>
                </c:pt>
                <c:pt idx="36">
                  <c:v>117.577382726561</c:v>
                </c:pt>
                <c:pt idx="37">
                  <c:v>117.467403459541</c:v>
                </c:pt>
                <c:pt idx="38">
                  <c:v>117.254385864095</c:v>
                </c:pt>
                <c:pt idx="39">
                  <c:v>115.331057042366</c:v>
                </c:pt>
                <c:pt idx="40">
                  <c:v>114.60244079190301</c:v>
                </c:pt>
                <c:pt idx="41">
                  <c:v>114.306305570937</c:v>
                </c:pt>
                <c:pt idx="42">
                  <c:v>114.264526137019</c:v>
                </c:pt>
                <c:pt idx="43">
                  <c:v>114.23983700227799</c:v>
                </c:pt>
                <c:pt idx="44">
                  <c:v>114.465229725814</c:v>
                </c:pt>
                <c:pt idx="45">
                  <c:v>114.628447507581</c:v>
                </c:pt>
                <c:pt idx="46">
                  <c:v>114.35384778829901</c:v>
                </c:pt>
                <c:pt idx="47">
                  <c:v>114.63952439909799</c:v>
                </c:pt>
                <c:pt idx="48">
                  <c:v>114.776880033566</c:v>
                </c:pt>
                <c:pt idx="49">
                  <c:v>114.975369276534</c:v>
                </c:pt>
                <c:pt idx="50">
                  <c:v>115.81192036262701</c:v>
                </c:pt>
                <c:pt idx="51">
                  <c:v>115.63734041403499</c:v>
                </c:pt>
                <c:pt idx="52">
                  <c:v>116.09969746046799</c:v>
                </c:pt>
                <c:pt idx="53">
                  <c:v>116.44324366725399</c:v>
                </c:pt>
                <c:pt idx="54">
                  <c:v>116.42196043902899</c:v>
                </c:pt>
                <c:pt idx="55">
                  <c:v>117.24930578459301</c:v>
                </c:pt>
                <c:pt idx="56">
                  <c:v>117.314728103565</c:v>
                </c:pt>
                <c:pt idx="57">
                  <c:v>117.532680055013</c:v>
                </c:pt>
                <c:pt idx="58">
                  <c:v>117.795771420375</c:v>
                </c:pt>
                <c:pt idx="59">
                  <c:v>117.458560169626</c:v>
                </c:pt>
                <c:pt idx="60">
                  <c:v>117.59638234037899</c:v>
                </c:pt>
                <c:pt idx="61">
                  <c:v>117.82462854169999</c:v>
                </c:pt>
              </c:numCache>
            </c:numRef>
          </c:val>
          <c:extLst>
            <c:ext xmlns:c16="http://schemas.microsoft.com/office/drawing/2014/chart" uri="{C3380CC4-5D6E-409C-BE32-E72D297353CC}">
              <c16:uniqueId val="{00000000-F115-4C56-830F-16AB6E096EF6}"/>
            </c:ext>
          </c:extLst>
        </c:ser>
        <c:dLbls>
          <c:showLegendKey val="0"/>
          <c:showVal val="0"/>
          <c:showCatName val="0"/>
          <c:showSerName val="0"/>
          <c:showPercent val="0"/>
          <c:showBubbleSize val="0"/>
        </c:dLbls>
        <c:gapWidth val="60"/>
        <c:axId val="717098352"/>
        <c:axId val="717097176"/>
      </c:barChart>
      <c:lineChart>
        <c:grouping val="standard"/>
        <c:varyColors val="0"/>
        <c:ser>
          <c:idx val="1"/>
          <c:order val="1"/>
          <c:tx>
            <c:strRef>
              <c:f>'[Comercio_Gráficas Desest y Tendencia-Ciclo.xlsx]Datos'!$H$5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Tendencia-Ciclo.xlsx]Datos'!$H$114:$H$185</c:f>
              <c:numCache>
                <c:formatCode>0.0_)</c:formatCode>
                <c:ptCount val="62"/>
                <c:pt idx="0">
                  <c:v>108.27397943104801</c:v>
                </c:pt>
                <c:pt idx="1">
                  <c:v>108.144257634158</c:v>
                </c:pt>
                <c:pt idx="2">
                  <c:v>108.03876882162299</c:v>
                </c:pt>
                <c:pt idx="3">
                  <c:v>108.146952338283</c:v>
                </c:pt>
                <c:pt idx="4">
                  <c:v>108.585812894692</c:v>
                </c:pt>
                <c:pt idx="5">
                  <c:v>109.350109623592</c:v>
                </c:pt>
                <c:pt idx="6">
                  <c:v>110.226921477061</c:v>
                </c:pt>
                <c:pt idx="7">
                  <c:v>110.968187063908</c:v>
                </c:pt>
                <c:pt idx="8">
                  <c:v>111.438599195268</c:v>
                </c:pt>
                <c:pt idx="9">
                  <c:v>111.679742865253</c:v>
                </c:pt>
                <c:pt idx="10">
                  <c:v>111.855558137058</c:v>
                </c:pt>
                <c:pt idx="11">
                  <c:v>112.090635339663</c:v>
                </c:pt>
                <c:pt idx="12">
                  <c:v>112.421612197548</c:v>
                </c:pt>
                <c:pt idx="13">
                  <c:v>112.824543841953</c:v>
                </c:pt>
                <c:pt idx="14">
                  <c:v>113.247478413734</c:v>
                </c:pt>
                <c:pt idx="15">
                  <c:v>113.67462399648601</c:v>
                </c:pt>
                <c:pt idx="16">
                  <c:v>114.088503669503</c:v>
                </c:pt>
                <c:pt idx="17">
                  <c:v>114.43311537963601</c:v>
                </c:pt>
                <c:pt idx="18">
                  <c:v>114.677115221303</c:v>
                </c:pt>
                <c:pt idx="19">
                  <c:v>114.83633220081801</c:v>
                </c:pt>
                <c:pt idx="20">
                  <c:v>114.99820025712999</c:v>
                </c:pt>
                <c:pt idx="21">
                  <c:v>115.217496265408</c:v>
                </c:pt>
                <c:pt idx="22">
                  <c:v>115.480894788716</c:v>
                </c:pt>
                <c:pt idx="23">
                  <c:v>115.76192445677501</c:v>
                </c:pt>
                <c:pt idx="24">
                  <c:v>116.00646471159</c:v>
                </c:pt>
                <c:pt idx="25">
                  <c:v>116.238743886552</c:v>
                </c:pt>
                <c:pt idx="26">
                  <c:v>116.53512680079901</c:v>
                </c:pt>
                <c:pt idx="27">
                  <c:v>116.89634683774101</c:v>
                </c:pt>
                <c:pt idx="28">
                  <c:v>117.226459363384</c:v>
                </c:pt>
                <c:pt idx="29">
                  <c:v>117.398004172885</c:v>
                </c:pt>
                <c:pt idx="30">
                  <c:v>117.38421495946</c:v>
                </c:pt>
                <c:pt idx="31">
                  <c:v>117.264225587056</c:v>
                </c:pt>
                <c:pt idx="32">
                  <c:v>117.158318743104</c:v>
                </c:pt>
                <c:pt idx="33">
                  <c:v>117.174001872581</c:v>
                </c:pt>
                <c:pt idx="34">
                  <c:v>117.30099556229</c:v>
                </c:pt>
                <c:pt idx="35">
                  <c:v>117.441736612677</c:v>
                </c:pt>
                <c:pt idx="36">
                  <c:v>117.51970610865401</c:v>
                </c:pt>
                <c:pt idx="37">
                  <c:v>117.462510433162</c:v>
                </c:pt>
                <c:pt idx="38">
                  <c:v>117.207405554595</c:v>
                </c:pt>
                <c:pt idx="39">
                  <c:v>115.189836273751</c:v>
                </c:pt>
                <c:pt idx="40">
                  <c:v>114.74250791151201</c:v>
                </c:pt>
                <c:pt idx="41">
                  <c:v>114.396703794801</c:v>
                </c:pt>
                <c:pt idx="42">
                  <c:v>114.25768223681401</c:v>
                </c:pt>
                <c:pt idx="43">
                  <c:v>114.29468238913</c:v>
                </c:pt>
                <c:pt idx="44">
                  <c:v>114.396945476203</c:v>
                </c:pt>
                <c:pt idx="45">
                  <c:v>114.476444915345</c:v>
                </c:pt>
                <c:pt idx="46">
                  <c:v>114.535378067941</c:v>
                </c:pt>
                <c:pt idx="47">
                  <c:v>114.617239793328</c:v>
                </c:pt>
                <c:pt idx="48">
                  <c:v>114.765012379037</c:v>
                </c:pt>
                <c:pt idx="49">
                  <c:v>115.006821319834</c:v>
                </c:pt>
                <c:pt idx="50">
                  <c:v>115.32000378693699</c:v>
                </c:pt>
                <c:pt idx="51">
                  <c:v>115.669805471553</c:v>
                </c:pt>
                <c:pt idx="52">
                  <c:v>116.065246170854</c:v>
                </c:pt>
                <c:pt idx="53">
                  <c:v>116.46531156971901</c:v>
                </c:pt>
                <c:pt idx="54">
                  <c:v>116.830169130455</c:v>
                </c:pt>
                <c:pt idx="55">
                  <c:v>117.14972977289</c:v>
                </c:pt>
                <c:pt idx="56">
                  <c:v>117.38750425085099</c:v>
                </c:pt>
                <c:pt idx="57">
                  <c:v>117.52016090263599</c:v>
                </c:pt>
                <c:pt idx="58">
                  <c:v>117.566621329209</c:v>
                </c:pt>
                <c:pt idx="59">
                  <c:v>117.598525693002</c:v>
                </c:pt>
                <c:pt idx="60">
                  <c:v>117.671151248749</c:v>
                </c:pt>
                <c:pt idx="61">
                  <c:v>117.792566175826</c:v>
                </c:pt>
              </c:numCache>
            </c:numRef>
          </c:val>
          <c:smooth val="0"/>
          <c:extLst>
            <c:ext xmlns:c16="http://schemas.microsoft.com/office/drawing/2014/chart" uri="{C3380CC4-5D6E-409C-BE32-E72D297353CC}">
              <c16:uniqueId val="{00000001-F115-4C56-830F-16AB6E096EF6}"/>
            </c:ext>
          </c:extLst>
        </c:ser>
        <c:dLbls>
          <c:showLegendKey val="0"/>
          <c:showVal val="0"/>
          <c:showCatName val="0"/>
          <c:showSerName val="0"/>
          <c:showPercent val="0"/>
          <c:showBubbleSize val="0"/>
        </c:dLbls>
        <c:marker val="1"/>
        <c:smooth val="0"/>
        <c:axId val="717098352"/>
        <c:axId val="717097176"/>
      </c:lineChart>
      <c:catAx>
        <c:axId val="7170983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717097176"/>
        <c:crosses val="autoZero"/>
        <c:auto val="1"/>
        <c:lblAlgn val="ctr"/>
        <c:lblOffset val="100"/>
        <c:tickLblSkip val="1"/>
        <c:tickMarkSkip val="12"/>
        <c:noMultiLvlLbl val="1"/>
      </c:catAx>
      <c:valAx>
        <c:axId val="717097176"/>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717098352"/>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'[Comercio_Gráficas Desest y Tendencia-Ciclo.xlsx]Datos'!$K$5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Tendencia-Ciclo.xlsx]Datos'!$K$114:$K$185</c:f>
              <c:numCache>
                <c:formatCode>0.0</c:formatCode>
                <c:ptCount val="62"/>
                <c:pt idx="0">
                  <c:v>105.46388244811401</c:v>
                </c:pt>
                <c:pt idx="1">
                  <c:v>105.529139743212</c:v>
                </c:pt>
                <c:pt idx="2">
                  <c:v>105.75554201864099</c:v>
                </c:pt>
                <c:pt idx="3">
                  <c:v>107.44138619995</c:v>
                </c:pt>
                <c:pt idx="4">
                  <c:v>105.99072316436801</c:v>
                </c:pt>
                <c:pt idx="5">
                  <c:v>106.338907955103</c:v>
                </c:pt>
                <c:pt idx="6">
                  <c:v>106.37519610129701</c:v>
                </c:pt>
                <c:pt idx="7">
                  <c:v>104.06069843493</c:v>
                </c:pt>
                <c:pt idx="8">
                  <c:v>105.53325330091801</c:v>
                </c:pt>
                <c:pt idx="9">
                  <c:v>104.78502105083599</c:v>
                </c:pt>
                <c:pt idx="10">
                  <c:v>104.364479660539</c:v>
                </c:pt>
                <c:pt idx="11">
                  <c:v>106.592224898108</c:v>
                </c:pt>
                <c:pt idx="12">
                  <c:v>105.540072305911</c:v>
                </c:pt>
                <c:pt idx="13">
                  <c:v>104.378873354833</c:v>
                </c:pt>
                <c:pt idx="14">
                  <c:v>106.044220441747</c:v>
                </c:pt>
                <c:pt idx="15">
                  <c:v>106.450230240346</c:v>
                </c:pt>
                <c:pt idx="16">
                  <c:v>106.554124944035</c:v>
                </c:pt>
                <c:pt idx="17">
                  <c:v>107.330264766852</c:v>
                </c:pt>
                <c:pt idx="18">
                  <c:v>107.240759969705</c:v>
                </c:pt>
                <c:pt idx="19">
                  <c:v>107.096119973801</c:v>
                </c:pt>
                <c:pt idx="20">
                  <c:v>107.328892622365</c:v>
                </c:pt>
                <c:pt idx="21">
                  <c:v>106.380293016967</c:v>
                </c:pt>
                <c:pt idx="22">
                  <c:v>111.025709000587</c:v>
                </c:pt>
                <c:pt idx="23">
                  <c:v>106.921598643786</c:v>
                </c:pt>
                <c:pt idx="24">
                  <c:v>105.941412432205</c:v>
                </c:pt>
                <c:pt idx="25">
                  <c:v>105.869910363063</c:v>
                </c:pt>
                <c:pt idx="26">
                  <c:v>103.586005338468</c:v>
                </c:pt>
                <c:pt idx="27">
                  <c:v>103.265545020055</c:v>
                </c:pt>
                <c:pt idx="28">
                  <c:v>104.542380600172</c:v>
                </c:pt>
                <c:pt idx="29">
                  <c:v>102.555472757928</c:v>
                </c:pt>
                <c:pt idx="30">
                  <c:v>103.971585571753</c:v>
                </c:pt>
                <c:pt idx="31">
                  <c:v>105.61547690632899</c:v>
                </c:pt>
                <c:pt idx="32">
                  <c:v>104.189310192698</c:v>
                </c:pt>
                <c:pt idx="33">
                  <c:v>105.860434613395</c:v>
                </c:pt>
                <c:pt idx="34">
                  <c:v>105.533448102977</c:v>
                </c:pt>
                <c:pt idx="35">
                  <c:v>103.76929241639399</c:v>
                </c:pt>
                <c:pt idx="36">
                  <c:v>102.76556477432101</c:v>
                </c:pt>
                <c:pt idx="37">
                  <c:v>102.79827687412801</c:v>
                </c:pt>
                <c:pt idx="38">
                  <c:v>102.850975159912</c:v>
                </c:pt>
                <c:pt idx="39">
                  <c:v>104.762472249635</c:v>
                </c:pt>
                <c:pt idx="40">
                  <c:v>100.246752222232</c:v>
                </c:pt>
                <c:pt idx="41">
                  <c:v>101.200543442635</c:v>
                </c:pt>
                <c:pt idx="42">
                  <c:v>101.726752995845</c:v>
                </c:pt>
                <c:pt idx="43">
                  <c:v>102.701004193202</c:v>
                </c:pt>
                <c:pt idx="44">
                  <c:v>104.993788500937</c:v>
                </c:pt>
                <c:pt idx="45">
                  <c:v>102.775481896523</c:v>
                </c:pt>
                <c:pt idx="46">
                  <c:v>105.74013172781601</c:v>
                </c:pt>
                <c:pt idx="47">
                  <c:v>106.157876011429</c:v>
                </c:pt>
                <c:pt idx="48">
                  <c:v>105.663456113832</c:v>
                </c:pt>
                <c:pt idx="49">
                  <c:v>105.228976786575</c:v>
                </c:pt>
                <c:pt idx="50">
                  <c:v>106.05183107188699</c:v>
                </c:pt>
                <c:pt idx="51">
                  <c:v>106.708664404787</c:v>
                </c:pt>
                <c:pt idx="52">
                  <c:v>107.17445381975099</c:v>
                </c:pt>
                <c:pt idx="53">
                  <c:v>110.310267264041</c:v>
                </c:pt>
                <c:pt idx="54">
                  <c:v>106.125918010693</c:v>
                </c:pt>
                <c:pt idx="55">
                  <c:v>105.275781355202</c:v>
                </c:pt>
                <c:pt idx="56">
                  <c:v>104.47128652809801</c:v>
                </c:pt>
                <c:pt idx="57">
                  <c:v>104.30962271979899</c:v>
                </c:pt>
                <c:pt idx="58">
                  <c:v>103.474837117644</c:v>
                </c:pt>
                <c:pt idx="59">
                  <c:v>102.736191068502</c:v>
                </c:pt>
                <c:pt idx="60">
                  <c:v>104.283452598179</c:v>
                </c:pt>
                <c:pt idx="61">
                  <c:v>104.784859715322</c:v>
                </c:pt>
              </c:numCache>
            </c:numRef>
          </c:val>
          <c:extLst>
            <c:ext xmlns:c16="http://schemas.microsoft.com/office/drawing/2014/chart" uri="{C3380CC4-5D6E-409C-BE32-E72D297353CC}">
              <c16:uniqueId val="{00000000-5FC3-426A-A328-42851061E10B}"/>
            </c:ext>
          </c:extLst>
        </c:ser>
        <c:dLbls>
          <c:showLegendKey val="0"/>
          <c:showVal val="0"/>
          <c:showCatName val="0"/>
          <c:showSerName val="0"/>
          <c:showPercent val="0"/>
          <c:showBubbleSize val="0"/>
        </c:dLbls>
        <c:gapWidth val="60"/>
        <c:axId val="717096392"/>
        <c:axId val="717098744"/>
      </c:barChart>
      <c:lineChart>
        <c:grouping val="standard"/>
        <c:varyColors val="0"/>
        <c:ser>
          <c:idx val="1"/>
          <c:order val="1"/>
          <c:tx>
            <c:strRef>
              <c:f>'[Comercio_Gráficas Desest y Tendencia-Ciclo.xlsx]Datos'!$L$5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Tendencia-Ciclo.xlsx]Datos'!$L$114:$L$185</c:f>
              <c:numCache>
                <c:formatCode>0.0</c:formatCode>
                <c:ptCount val="62"/>
                <c:pt idx="0">
                  <c:v>105.442003357692</c:v>
                </c:pt>
                <c:pt idx="1">
                  <c:v>105.752985362199</c:v>
                </c:pt>
                <c:pt idx="2">
                  <c:v>106.066235474135</c:v>
                </c:pt>
                <c:pt idx="3">
                  <c:v>106.27546570653701</c:v>
                </c:pt>
                <c:pt idx="4">
                  <c:v>106.32916582350499</c:v>
                </c:pt>
                <c:pt idx="5">
                  <c:v>106.172594450803</c:v>
                </c:pt>
                <c:pt idx="6">
                  <c:v>105.836860146438</c:v>
                </c:pt>
                <c:pt idx="7">
                  <c:v>105.457831875745</c:v>
                </c:pt>
                <c:pt idx="8">
                  <c:v>105.125118984548</c:v>
                </c:pt>
                <c:pt idx="9">
                  <c:v>104.907779449922</c:v>
                </c:pt>
                <c:pt idx="10">
                  <c:v>104.837658693284</c:v>
                </c:pt>
                <c:pt idx="11">
                  <c:v>104.895642982669</c:v>
                </c:pt>
                <c:pt idx="12">
                  <c:v>105.10008664744301</c:v>
                </c:pt>
                <c:pt idx="13">
                  <c:v>105.42032594894999</c:v>
                </c:pt>
                <c:pt idx="14">
                  <c:v>105.818821173277</c:v>
                </c:pt>
                <c:pt idx="15">
                  <c:v>106.28018035287199</c:v>
                </c:pt>
                <c:pt idx="16">
                  <c:v>106.69424484098499</c:v>
                </c:pt>
                <c:pt idx="17">
                  <c:v>107.000970318765</c:v>
                </c:pt>
                <c:pt idx="18">
                  <c:v>107.17725156137</c:v>
                </c:pt>
                <c:pt idx="19">
                  <c:v>107.203128900039</c:v>
                </c:pt>
                <c:pt idx="20">
                  <c:v>107.15574400640899</c:v>
                </c:pt>
                <c:pt idx="21">
                  <c:v>107.069491113483</c:v>
                </c:pt>
                <c:pt idx="22">
                  <c:v>106.835418049163</c:v>
                </c:pt>
                <c:pt idx="23">
                  <c:v>106.42445452459501</c:v>
                </c:pt>
                <c:pt idx="24">
                  <c:v>105.851206141901</c:v>
                </c:pt>
                <c:pt idx="25">
                  <c:v>105.149946105643</c:v>
                </c:pt>
                <c:pt idx="26">
                  <c:v>104.493586589101</c:v>
                </c:pt>
                <c:pt idx="27">
                  <c:v>104.01629385979901</c:v>
                </c:pt>
                <c:pt idx="28">
                  <c:v>103.821422361873</c:v>
                </c:pt>
                <c:pt idx="29">
                  <c:v>103.972535181395</c:v>
                </c:pt>
                <c:pt idx="30">
                  <c:v>104.368923834415</c:v>
                </c:pt>
                <c:pt idx="31">
                  <c:v>104.80164761939101</c:v>
                </c:pt>
                <c:pt idx="32">
                  <c:v>105.052990609956</c:v>
                </c:pt>
                <c:pt idx="33">
                  <c:v>105.00594832306901</c:v>
                </c:pt>
                <c:pt idx="34">
                  <c:v>104.69644943223901</c:v>
                </c:pt>
                <c:pt idx="35">
                  <c:v>104.178531430977</c:v>
                </c:pt>
                <c:pt idx="36">
                  <c:v>103.52531782305201</c:v>
                </c:pt>
                <c:pt idx="37">
                  <c:v>102.86261658297001</c:v>
                </c:pt>
                <c:pt idx="38">
                  <c:v>102.27256219559</c:v>
                </c:pt>
                <c:pt idx="39">
                  <c:v>101.832207751978</c:v>
                </c:pt>
                <c:pt idx="40">
                  <c:v>101.624887728288</c:v>
                </c:pt>
                <c:pt idx="41">
                  <c:v>101.66443685002299</c:v>
                </c:pt>
                <c:pt idx="42">
                  <c:v>102.020882072059</c:v>
                </c:pt>
                <c:pt idx="43">
                  <c:v>102.722305344405</c:v>
                </c:pt>
                <c:pt idx="44">
                  <c:v>103.62748660286201</c:v>
                </c:pt>
                <c:pt idx="45">
                  <c:v>104.499905124752</c:v>
                </c:pt>
                <c:pt idx="46">
                  <c:v>105.15833861586501</c:v>
                </c:pt>
                <c:pt idx="47">
                  <c:v>105.576031009643</c:v>
                </c:pt>
                <c:pt idx="48">
                  <c:v>105.84414586906701</c:v>
                </c:pt>
                <c:pt idx="49">
                  <c:v>106.07822642331099</c:v>
                </c:pt>
                <c:pt idx="50">
                  <c:v>106.331105296578</c:v>
                </c:pt>
                <c:pt idx="51">
                  <c:v>106.554420661488</c:v>
                </c:pt>
                <c:pt idx="52">
                  <c:v>106.65504309911999</c:v>
                </c:pt>
                <c:pt idx="53">
                  <c:v>106.53864444313</c:v>
                </c:pt>
                <c:pt idx="54">
                  <c:v>106.10584133109001</c:v>
                </c:pt>
                <c:pt idx="55">
                  <c:v>105.40773947618401</c:v>
                </c:pt>
                <c:pt idx="56">
                  <c:v>104.65215966559001</c:v>
                </c:pt>
                <c:pt idx="57">
                  <c:v>104.05085270951299</c:v>
                </c:pt>
                <c:pt idx="58">
                  <c:v>103.742019023194</c:v>
                </c:pt>
                <c:pt idx="59">
                  <c:v>103.721584060197</c:v>
                </c:pt>
                <c:pt idx="60">
                  <c:v>103.936238706507</c:v>
                </c:pt>
                <c:pt idx="61">
                  <c:v>104.29093921273</c:v>
                </c:pt>
              </c:numCache>
            </c:numRef>
          </c:val>
          <c:smooth val="0"/>
          <c:extLst>
            <c:ext xmlns:c16="http://schemas.microsoft.com/office/drawing/2014/chart" uri="{C3380CC4-5D6E-409C-BE32-E72D297353CC}">
              <c16:uniqueId val="{00000001-5FC3-426A-A328-42851061E10B}"/>
            </c:ext>
          </c:extLst>
        </c:ser>
        <c:dLbls>
          <c:showLegendKey val="0"/>
          <c:showVal val="0"/>
          <c:showCatName val="0"/>
          <c:showSerName val="0"/>
          <c:showPercent val="0"/>
          <c:showBubbleSize val="0"/>
        </c:dLbls>
        <c:marker val="1"/>
        <c:smooth val="0"/>
        <c:axId val="717096392"/>
        <c:axId val="717098744"/>
      </c:lineChart>
      <c:catAx>
        <c:axId val="71709639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717098744"/>
        <c:crosses val="autoZero"/>
        <c:auto val="1"/>
        <c:lblAlgn val="ctr"/>
        <c:lblOffset val="100"/>
        <c:tickLblSkip val="1"/>
        <c:tickMarkSkip val="12"/>
        <c:noMultiLvlLbl val="1"/>
      </c:catAx>
      <c:valAx>
        <c:axId val="717098744"/>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717096392"/>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'[Comercio_Gráficas Desest y Tendencia-Ciclo.xlsx]Datos'!$E$5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Tendencia-Ciclo.xlsx]Datos'!$E$114:$E$185</c:f>
              <c:numCache>
                <c:formatCode>0.0_)</c:formatCode>
                <c:ptCount val="62"/>
                <c:pt idx="0">
                  <c:v>112.470423643644</c:v>
                </c:pt>
                <c:pt idx="1">
                  <c:v>112.211618472666</c:v>
                </c:pt>
                <c:pt idx="2">
                  <c:v>111.314847016266</c:v>
                </c:pt>
                <c:pt idx="3">
                  <c:v>111.7472307899</c:v>
                </c:pt>
                <c:pt idx="4">
                  <c:v>111.535019184314</c:v>
                </c:pt>
                <c:pt idx="5">
                  <c:v>111.40920037465099</c:v>
                </c:pt>
                <c:pt idx="6">
                  <c:v>111.470646058822</c:v>
                </c:pt>
                <c:pt idx="7">
                  <c:v>111.132220693861</c:v>
                </c:pt>
                <c:pt idx="8">
                  <c:v>110.30997373551401</c:v>
                </c:pt>
                <c:pt idx="9">
                  <c:v>111.663065569518</c:v>
                </c:pt>
                <c:pt idx="10">
                  <c:v>111.01146699455801</c:v>
                </c:pt>
                <c:pt idx="11">
                  <c:v>112.10305625539399</c:v>
                </c:pt>
                <c:pt idx="12">
                  <c:v>112.022728825885</c:v>
                </c:pt>
                <c:pt idx="13">
                  <c:v>112.07881279028</c:v>
                </c:pt>
                <c:pt idx="14">
                  <c:v>113.467288891021</c:v>
                </c:pt>
                <c:pt idx="15">
                  <c:v>112.853029328692</c:v>
                </c:pt>
                <c:pt idx="16">
                  <c:v>113.179085398762</c:v>
                </c:pt>
                <c:pt idx="17">
                  <c:v>113.93021739643299</c:v>
                </c:pt>
                <c:pt idx="18">
                  <c:v>114.03265238835201</c:v>
                </c:pt>
                <c:pt idx="19">
                  <c:v>113.631450789486</c:v>
                </c:pt>
                <c:pt idx="20">
                  <c:v>113.885831260402</c:v>
                </c:pt>
                <c:pt idx="21">
                  <c:v>114.337760485272</c:v>
                </c:pt>
                <c:pt idx="22">
                  <c:v>114.225456182599</c:v>
                </c:pt>
                <c:pt idx="23">
                  <c:v>111.833742026696</c:v>
                </c:pt>
                <c:pt idx="24">
                  <c:v>114.706353164649</c:v>
                </c:pt>
                <c:pt idx="25">
                  <c:v>115.410847618733</c:v>
                </c:pt>
                <c:pt idx="26">
                  <c:v>114.770417878145</c:v>
                </c:pt>
                <c:pt idx="27">
                  <c:v>115.081721449258</c:v>
                </c:pt>
                <c:pt idx="28">
                  <c:v>115.783844160955</c:v>
                </c:pt>
                <c:pt idx="29">
                  <c:v>116.06938839714999</c:v>
                </c:pt>
                <c:pt idx="30">
                  <c:v>116.291758204156</c:v>
                </c:pt>
                <c:pt idx="31">
                  <c:v>116.510596617557</c:v>
                </c:pt>
                <c:pt idx="32">
                  <c:v>116.34085548144699</c:v>
                </c:pt>
                <c:pt idx="33">
                  <c:v>115.389331242795</c:v>
                </c:pt>
                <c:pt idx="34">
                  <c:v>115.97217206429001</c:v>
                </c:pt>
                <c:pt idx="35">
                  <c:v>115.68932780086701</c:v>
                </c:pt>
                <c:pt idx="36">
                  <c:v>116.40982605241</c:v>
                </c:pt>
                <c:pt idx="37">
                  <c:v>113.86610639860299</c:v>
                </c:pt>
                <c:pt idx="38">
                  <c:v>112.151995092356</c:v>
                </c:pt>
                <c:pt idx="39">
                  <c:v>87.410103595276695</c:v>
                </c:pt>
                <c:pt idx="40">
                  <c:v>88.379118199912597</c:v>
                </c:pt>
                <c:pt idx="41">
                  <c:v>96.587398461072695</c:v>
                </c:pt>
                <c:pt idx="42">
                  <c:v>102.83968507067701</c:v>
                </c:pt>
                <c:pt idx="43">
                  <c:v>105.444016743887</c:v>
                </c:pt>
                <c:pt idx="44">
                  <c:v>107.42301170631799</c:v>
                </c:pt>
                <c:pt idx="45">
                  <c:v>107.408168452574</c:v>
                </c:pt>
                <c:pt idx="46">
                  <c:v>110.242248796022</c:v>
                </c:pt>
                <c:pt idx="47">
                  <c:v>109.073366782245</c:v>
                </c:pt>
                <c:pt idx="48">
                  <c:v>108.35056518003501</c:v>
                </c:pt>
                <c:pt idx="49">
                  <c:v>109.770507892335</c:v>
                </c:pt>
                <c:pt idx="50">
                  <c:v>114.18577698023</c:v>
                </c:pt>
                <c:pt idx="51">
                  <c:v>113.628866950793</c:v>
                </c:pt>
                <c:pt idx="52">
                  <c:v>113.863502215946</c:v>
                </c:pt>
                <c:pt idx="53">
                  <c:v>113.3680573394</c:v>
                </c:pt>
                <c:pt idx="54">
                  <c:v>113.29484995082601</c:v>
                </c:pt>
                <c:pt idx="55">
                  <c:v>113.331251516485</c:v>
                </c:pt>
                <c:pt idx="56">
                  <c:v>113.64787667048201</c:v>
                </c:pt>
                <c:pt idx="57">
                  <c:v>114.11321263884</c:v>
                </c:pt>
                <c:pt idx="58">
                  <c:v>114.75317722662</c:v>
                </c:pt>
                <c:pt idx="59">
                  <c:v>114.797949932329</c:v>
                </c:pt>
                <c:pt idx="60">
                  <c:v>115.74359558878901</c:v>
                </c:pt>
                <c:pt idx="61">
                  <c:v>116.652878080365</c:v>
                </c:pt>
              </c:numCache>
            </c:numRef>
          </c:val>
          <c:extLst>
            <c:ext xmlns:c16="http://schemas.microsoft.com/office/drawing/2014/chart" uri="{C3380CC4-5D6E-409C-BE32-E72D297353CC}">
              <c16:uniqueId val="{00000000-32B1-449F-B72B-217796BE3FF8}"/>
            </c:ext>
          </c:extLst>
        </c:ser>
        <c:dLbls>
          <c:showLegendKey val="0"/>
          <c:showVal val="0"/>
          <c:showCatName val="0"/>
          <c:showSerName val="0"/>
          <c:showPercent val="0"/>
          <c:showBubbleSize val="0"/>
        </c:dLbls>
        <c:gapWidth val="55"/>
        <c:axId val="717096784"/>
        <c:axId val="717099528"/>
      </c:barChart>
      <c:lineChart>
        <c:grouping val="standard"/>
        <c:varyColors val="0"/>
        <c:ser>
          <c:idx val="1"/>
          <c:order val="1"/>
          <c:tx>
            <c:strRef>
              <c:f>'[Comercio_Gráficas Desest y Tendencia-Ciclo.xlsx]Datos'!$F$5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Tendencia-Ciclo.xlsx]Datos'!$F$114:$F$185</c:f>
              <c:numCache>
                <c:formatCode>0.0_)</c:formatCode>
                <c:ptCount val="62"/>
                <c:pt idx="0">
                  <c:v>112.680150561064</c:v>
                </c:pt>
                <c:pt idx="1">
                  <c:v>112.253516906172</c:v>
                </c:pt>
                <c:pt idx="2">
                  <c:v>111.890015720379</c:v>
                </c:pt>
                <c:pt idx="3">
                  <c:v>111.623237016296</c:v>
                </c:pt>
                <c:pt idx="4">
                  <c:v>111.456538393494</c:v>
                </c:pt>
                <c:pt idx="5">
                  <c:v>111.33308936499699</c:v>
                </c:pt>
                <c:pt idx="6">
                  <c:v>111.230685470672</c:v>
                </c:pt>
                <c:pt idx="7">
                  <c:v>111.160714325231</c:v>
                </c:pt>
                <c:pt idx="8">
                  <c:v>111.142255657036</c:v>
                </c:pt>
                <c:pt idx="9">
                  <c:v>111.22486325970701</c:v>
                </c:pt>
                <c:pt idx="10">
                  <c:v>111.438957664687</c:v>
                </c:pt>
                <c:pt idx="11">
                  <c:v>111.741030864607</c:v>
                </c:pt>
                <c:pt idx="12">
                  <c:v>112.090093080117</c:v>
                </c:pt>
                <c:pt idx="13">
                  <c:v>112.45884127056399</c:v>
                </c:pt>
                <c:pt idx="14">
                  <c:v>112.816467719721</c:v>
                </c:pt>
                <c:pt idx="15">
                  <c:v>113.13892752400299</c:v>
                </c:pt>
                <c:pt idx="16">
                  <c:v>113.415402647966</c:v>
                </c:pt>
                <c:pt idx="17">
                  <c:v>113.63121849141601</c:v>
                </c:pt>
                <c:pt idx="18">
                  <c:v>113.797038325608</c:v>
                </c:pt>
                <c:pt idx="19">
                  <c:v>113.89958249586</c:v>
                </c:pt>
                <c:pt idx="20">
                  <c:v>113.99734397197101</c:v>
                </c:pt>
                <c:pt idx="21">
                  <c:v>114.12383181781701</c:v>
                </c:pt>
                <c:pt idx="22">
                  <c:v>114.26741100165501</c:v>
                </c:pt>
                <c:pt idx="23">
                  <c:v>114.447124966269</c:v>
                </c:pt>
                <c:pt idx="24">
                  <c:v>114.651504675395</c:v>
                </c:pt>
                <c:pt idx="25">
                  <c:v>114.866214331132</c:v>
                </c:pt>
                <c:pt idx="26">
                  <c:v>115.10905472828701</c:v>
                </c:pt>
                <c:pt idx="27">
                  <c:v>115.41140820426099</c:v>
                </c:pt>
                <c:pt idx="28">
                  <c:v>115.726255518548</c:v>
                </c:pt>
                <c:pt idx="29">
                  <c:v>115.99320824684</c:v>
                </c:pt>
                <c:pt idx="30">
                  <c:v>116.186145026375</c:v>
                </c:pt>
                <c:pt idx="31">
                  <c:v>116.283141174492</c:v>
                </c:pt>
                <c:pt idx="32">
                  <c:v>116.238365455159</c:v>
                </c:pt>
                <c:pt idx="33">
                  <c:v>116.03480928016501</c:v>
                </c:pt>
                <c:pt idx="34">
                  <c:v>115.692659675453</c:v>
                </c:pt>
                <c:pt idx="35">
                  <c:v>115.22669457600099</c:v>
                </c:pt>
                <c:pt idx="36">
                  <c:v>114.668311766166</c:v>
                </c:pt>
                <c:pt idx="37">
                  <c:v>114.098195439938</c:v>
                </c:pt>
                <c:pt idx="38">
                  <c:v>113.61833491090501</c:v>
                </c:pt>
                <c:pt idx="39">
                  <c:v>103.175699642878</c:v>
                </c:pt>
                <c:pt idx="40">
                  <c:v>103.29921091963899</c:v>
                </c:pt>
                <c:pt idx="41">
                  <c:v>103.79682064928799</c:v>
                </c:pt>
                <c:pt idx="42">
                  <c:v>104.574629008031</c:v>
                </c:pt>
                <c:pt idx="43">
                  <c:v>105.51502017541</c:v>
                </c:pt>
                <c:pt idx="44">
                  <c:v>106.50984165614599</c:v>
                </c:pt>
                <c:pt idx="45">
                  <c:v>107.47271254171299</c:v>
                </c:pt>
                <c:pt idx="46">
                  <c:v>108.39144203921001</c:v>
                </c:pt>
                <c:pt idx="47">
                  <c:v>109.327593132545</c:v>
                </c:pt>
                <c:pt idx="48">
                  <c:v>110.316665228085</c:v>
                </c:pt>
                <c:pt idx="49">
                  <c:v>111.32689543316</c:v>
                </c:pt>
                <c:pt idx="50">
                  <c:v>112.24952881015101</c:v>
                </c:pt>
                <c:pt idx="51">
                  <c:v>112.955806232702</c:v>
                </c:pt>
                <c:pt idx="52">
                  <c:v>113.364971165295</c:v>
                </c:pt>
                <c:pt idx="53">
                  <c:v>113.53244981604</c:v>
                </c:pt>
                <c:pt idx="54">
                  <c:v>113.561150975102</c:v>
                </c:pt>
                <c:pt idx="55">
                  <c:v>113.585641512791</c:v>
                </c:pt>
                <c:pt idx="56">
                  <c:v>113.70831865349599</c:v>
                </c:pt>
                <c:pt idx="57">
                  <c:v>114.013617504641</c:v>
                </c:pt>
                <c:pt idx="58">
                  <c:v>114.524445928539</c:v>
                </c:pt>
                <c:pt idx="59">
                  <c:v>115.19340208695</c:v>
                </c:pt>
                <c:pt idx="60">
                  <c:v>115.96510643130399</c:v>
                </c:pt>
                <c:pt idx="61">
                  <c:v>116.754570465829</c:v>
                </c:pt>
              </c:numCache>
            </c:numRef>
          </c:val>
          <c:smooth val="0"/>
          <c:extLst>
            <c:ext xmlns:c16="http://schemas.microsoft.com/office/drawing/2014/chart" uri="{C3380CC4-5D6E-409C-BE32-E72D297353CC}">
              <c16:uniqueId val="{00000001-32B1-449F-B72B-217796BE3FF8}"/>
            </c:ext>
          </c:extLst>
        </c:ser>
        <c:dLbls>
          <c:showLegendKey val="0"/>
          <c:showVal val="0"/>
          <c:showCatName val="0"/>
          <c:showSerName val="0"/>
          <c:showPercent val="0"/>
          <c:showBubbleSize val="0"/>
        </c:dLbls>
        <c:marker val="1"/>
        <c:smooth val="0"/>
        <c:axId val="717096784"/>
        <c:axId val="717099528"/>
      </c:lineChart>
      <c:catAx>
        <c:axId val="717096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717099528"/>
        <c:crosses val="autoZero"/>
        <c:auto val="1"/>
        <c:lblAlgn val="ctr"/>
        <c:lblOffset val="100"/>
        <c:tickLblSkip val="1"/>
        <c:tickMarkSkip val="12"/>
        <c:noMultiLvlLbl val="1"/>
      </c:catAx>
      <c:valAx>
        <c:axId val="71709952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717096784"/>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'[Comercio_Gráficas Desest y Tendencia-Ciclo.xlsx]Datos'!$I$5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Tendencia-Ciclo.xlsx]Datos'!$I$114:$I$185</c:f>
              <c:numCache>
                <c:formatCode>0.0_)</c:formatCode>
                <c:ptCount val="62"/>
                <c:pt idx="0">
                  <c:v>103.011565625618</c:v>
                </c:pt>
                <c:pt idx="1">
                  <c:v>102.829686207047</c:v>
                </c:pt>
                <c:pt idx="2">
                  <c:v>102.801702248279</c:v>
                </c:pt>
                <c:pt idx="3">
                  <c:v>102.90349120127701</c:v>
                </c:pt>
                <c:pt idx="4">
                  <c:v>103.071229482495</c:v>
                </c:pt>
                <c:pt idx="5">
                  <c:v>103.46200571577501</c:v>
                </c:pt>
                <c:pt idx="6">
                  <c:v>103.64514813681301</c:v>
                </c:pt>
                <c:pt idx="7">
                  <c:v>103.85366593444699</c:v>
                </c:pt>
                <c:pt idx="8">
                  <c:v>104.25776816793601</c:v>
                </c:pt>
                <c:pt idx="9">
                  <c:v>104.303489804997</c:v>
                </c:pt>
                <c:pt idx="10">
                  <c:v>104.331613443037</c:v>
                </c:pt>
                <c:pt idx="11">
                  <c:v>103.603953808594</c:v>
                </c:pt>
                <c:pt idx="12">
                  <c:v>104.4337757741</c:v>
                </c:pt>
                <c:pt idx="13">
                  <c:v>104.187873994142</c:v>
                </c:pt>
                <c:pt idx="14">
                  <c:v>105.715391338272</c:v>
                </c:pt>
                <c:pt idx="15">
                  <c:v>105.698071072022</c:v>
                </c:pt>
                <c:pt idx="16">
                  <c:v>105.2186794934</c:v>
                </c:pt>
                <c:pt idx="17">
                  <c:v>105.106772343926</c:v>
                </c:pt>
                <c:pt idx="18">
                  <c:v>105.008539576872</c:v>
                </c:pt>
                <c:pt idx="19">
                  <c:v>105.06276004758401</c:v>
                </c:pt>
                <c:pt idx="20">
                  <c:v>104.43745460848</c:v>
                </c:pt>
                <c:pt idx="21">
                  <c:v>104.188767937123</c:v>
                </c:pt>
                <c:pt idx="22">
                  <c:v>104.832895949983</c:v>
                </c:pt>
                <c:pt idx="23">
                  <c:v>104.881354884353</c:v>
                </c:pt>
                <c:pt idx="24">
                  <c:v>104.368519934189</c:v>
                </c:pt>
                <c:pt idx="25">
                  <c:v>104.482554707774</c:v>
                </c:pt>
                <c:pt idx="26">
                  <c:v>104.19156107905999</c:v>
                </c:pt>
                <c:pt idx="27">
                  <c:v>104.56993479053899</c:v>
                </c:pt>
                <c:pt idx="28">
                  <c:v>104.9414173397</c:v>
                </c:pt>
                <c:pt idx="29">
                  <c:v>105.039001851189</c:v>
                </c:pt>
                <c:pt idx="30">
                  <c:v>104.915121587732</c:v>
                </c:pt>
                <c:pt idx="31">
                  <c:v>105.119626248244</c:v>
                </c:pt>
                <c:pt idx="32">
                  <c:v>105.139909459371</c:v>
                </c:pt>
                <c:pt idx="33">
                  <c:v>104.39967469745901</c:v>
                </c:pt>
                <c:pt idx="34">
                  <c:v>104.67192530544401</c:v>
                </c:pt>
                <c:pt idx="35">
                  <c:v>104.94947730668601</c:v>
                </c:pt>
                <c:pt idx="36">
                  <c:v>104.620661234685</c:v>
                </c:pt>
                <c:pt idx="37">
                  <c:v>104.44648706283699</c:v>
                </c:pt>
                <c:pt idx="38">
                  <c:v>104.16693499838399</c:v>
                </c:pt>
                <c:pt idx="39">
                  <c:v>95.082695501001098</c:v>
                </c:pt>
                <c:pt idx="40">
                  <c:v>96.017844215554106</c:v>
                </c:pt>
                <c:pt idx="41">
                  <c:v>96.442296620321102</c:v>
                </c:pt>
                <c:pt idx="42">
                  <c:v>97.465232632370999</c:v>
                </c:pt>
                <c:pt idx="43">
                  <c:v>98.137525307132904</c:v>
                </c:pt>
                <c:pt idx="44">
                  <c:v>99.747911359064901</c:v>
                </c:pt>
                <c:pt idx="45">
                  <c:v>99.714393819234402</c:v>
                </c:pt>
                <c:pt idx="46">
                  <c:v>99.766818625797299</c:v>
                </c:pt>
                <c:pt idx="47">
                  <c:v>99.268626794883502</c:v>
                </c:pt>
                <c:pt idx="48">
                  <c:v>100.158470122446</c:v>
                </c:pt>
                <c:pt idx="49">
                  <c:v>100.203760427521</c:v>
                </c:pt>
                <c:pt idx="50">
                  <c:v>100.153083366378</c:v>
                </c:pt>
                <c:pt idx="51">
                  <c:v>99.829684416832194</c:v>
                </c:pt>
                <c:pt idx="52">
                  <c:v>99.751827362958593</c:v>
                </c:pt>
                <c:pt idx="53">
                  <c:v>99.653014754172901</c:v>
                </c:pt>
                <c:pt idx="54">
                  <c:v>99.751175051397695</c:v>
                </c:pt>
                <c:pt idx="55">
                  <c:v>99.517276408004705</c:v>
                </c:pt>
                <c:pt idx="56">
                  <c:v>99.611628766457201</c:v>
                </c:pt>
                <c:pt idx="57">
                  <c:v>99.574109336139003</c:v>
                </c:pt>
                <c:pt idx="58">
                  <c:v>99.255876833025496</c:v>
                </c:pt>
                <c:pt idx="59">
                  <c:v>99.024602807727007</c:v>
                </c:pt>
                <c:pt idx="60">
                  <c:v>98.921436303453703</c:v>
                </c:pt>
                <c:pt idx="61">
                  <c:v>98.894229556037601</c:v>
                </c:pt>
              </c:numCache>
            </c:numRef>
          </c:val>
          <c:extLst>
            <c:ext xmlns:c16="http://schemas.microsoft.com/office/drawing/2014/chart" uri="{C3380CC4-5D6E-409C-BE32-E72D297353CC}">
              <c16:uniqueId val="{00000000-869C-4E84-854E-CDC3C05DD933}"/>
            </c:ext>
          </c:extLst>
        </c:ser>
        <c:dLbls>
          <c:showLegendKey val="0"/>
          <c:showVal val="0"/>
          <c:showCatName val="0"/>
          <c:showSerName val="0"/>
          <c:showPercent val="0"/>
          <c:showBubbleSize val="0"/>
        </c:dLbls>
        <c:gapWidth val="60"/>
        <c:axId val="481612568"/>
        <c:axId val="481614136"/>
      </c:barChart>
      <c:lineChart>
        <c:grouping val="standard"/>
        <c:varyColors val="0"/>
        <c:ser>
          <c:idx val="1"/>
          <c:order val="1"/>
          <c:tx>
            <c:strRef>
              <c:f>'[Comercio_Gráficas Desest y Tendencia-Ciclo.xlsx]Datos'!$J$5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Tendencia-Ciclo.xlsx]Datos'!$J$114:$J$185</c:f>
              <c:numCache>
                <c:formatCode>0.0_)</c:formatCode>
                <c:ptCount val="62"/>
                <c:pt idx="0">
                  <c:v>102.820494841005</c:v>
                </c:pt>
                <c:pt idx="1">
                  <c:v>102.84797605459801</c:v>
                </c:pt>
                <c:pt idx="2">
                  <c:v>102.890708571126</c:v>
                </c:pt>
                <c:pt idx="3">
                  <c:v>102.988098978118</c:v>
                </c:pt>
                <c:pt idx="4">
                  <c:v>103.157912702769</c:v>
                </c:pt>
                <c:pt idx="5">
                  <c:v>103.384013919867</c:v>
                </c:pt>
                <c:pt idx="6">
                  <c:v>103.64742731137299</c:v>
                </c:pt>
                <c:pt idx="7">
                  <c:v>103.89457623571801</c:v>
                </c:pt>
                <c:pt idx="8">
                  <c:v>104.090290266061</c:v>
                </c:pt>
                <c:pt idx="9">
                  <c:v>104.23734599414099</c:v>
                </c:pt>
                <c:pt idx="10">
                  <c:v>104.371761320815</c:v>
                </c:pt>
                <c:pt idx="11">
                  <c:v>104.529751124521</c:v>
                </c:pt>
                <c:pt idx="12">
                  <c:v>104.722622717851</c:v>
                </c:pt>
                <c:pt idx="13">
                  <c:v>104.92637296833</c:v>
                </c:pt>
                <c:pt idx="14">
                  <c:v>105.11514600183</c:v>
                </c:pt>
                <c:pt idx="15">
                  <c:v>105.24093575499801</c:v>
                </c:pt>
                <c:pt idx="16">
                  <c:v>105.256936229839</c:v>
                </c:pt>
                <c:pt idx="17">
                  <c:v>105.169843623823</c:v>
                </c:pt>
                <c:pt idx="18">
                  <c:v>105.02525190847</c:v>
                </c:pt>
                <c:pt idx="19">
                  <c:v>104.87215826616099</c:v>
                </c:pt>
                <c:pt idx="20">
                  <c:v>104.748187037422</c:v>
                </c:pt>
                <c:pt idx="21">
                  <c:v>104.653659921873</c:v>
                </c:pt>
                <c:pt idx="22">
                  <c:v>104.575610724474</c:v>
                </c:pt>
                <c:pt idx="23">
                  <c:v>104.50881197129</c:v>
                </c:pt>
                <c:pt idx="24">
                  <c:v>104.474655585975</c:v>
                </c:pt>
                <c:pt idx="25">
                  <c:v>104.483822988819</c:v>
                </c:pt>
                <c:pt idx="26">
                  <c:v>104.540143186544</c:v>
                </c:pt>
                <c:pt idx="27">
                  <c:v>104.645475665333</c:v>
                </c:pt>
                <c:pt idx="28">
                  <c:v>104.79576606461799</c:v>
                </c:pt>
                <c:pt idx="29">
                  <c:v>104.938146454033</c:v>
                </c:pt>
                <c:pt idx="30">
                  <c:v>105.029532790443</c:v>
                </c:pt>
                <c:pt idx="31">
                  <c:v>105.059621629435</c:v>
                </c:pt>
                <c:pt idx="32">
                  <c:v>105.03639652067299</c:v>
                </c:pt>
                <c:pt idx="33">
                  <c:v>104.9663771478</c:v>
                </c:pt>
                <c:pt idx="34">
                  <c:v>104.862539564778</c:v>
                </c:pt>
                <c:pt idx="35">
                  <c:v>104.731800389919</c:v>
                </c:pt>
                <c:pt idx="36">
                  <c:v>104.58290423400901</c:v>
                </c:pt>
                <c:pt idx="37">
                  <c:v>104.436752264784</c:v>
                </c:pt>
                <c:pt idx="38">
                  <c:v>104.313379697893</c:v>
                </c:pt>
                <c:pt idx="39">
                  <c:v>99.8461835071449</c:v>
                </c:pt>
                <c:pt idx="40">
                  <c:v>99.787990345098194</c:v>
                </c:pt>
                <c:pt idx="41">
                  <c:v>99.7590665660518</c:v>
                </c:pt>
                <c:pt idx="42">
                  <c:v>99.744877020331998</c:v>
                </c:pt>
                <c:pt idx="43">
                  <c:v>99.732843115110398</c:v>
                </c:pt>
                <c:pt idx="44">
                  <c:v>99.736804596629</c:v>
                </c:pt>
                <c:pt idx="45">
                  <c:v>99.778317471180003</c:v>
                </c:pt>
                <c:pt idx="46">
                  <c:v>99.861581637004505</c:v>
                </c:pt>
                <c:pt idx="47">
                  <c:v>99.962207134828404</c:v>
                </c:pt>
                <c:pt idx="48">
                  <c:v>100.041329566985</c:v>
                </c:pt>
                <c:pt idx="49">
                  <c:v>100.070435997462</c:v>
                </c:pt>
                <c:pt idx="50">
                  <c:v>100.034352279855</c:v>
                </c:pt>
                <c:pt idx="51">
                  <c:v>99.942796948983698</c:v>
                </c:pt>
                <c:pt idx="52">
                  <c:v>99.831105786674996</c:v>
                </c:pt>
                <c:pt idx="53">
                  <c:v>99.735925424708299</c:v>
                </c:pt>
                <c:pt idx="54">
                  <c:v>99.668889584254202</c:v>
                </c:pt>
                <c:pt idx="55">
                  <c:v>99.611909800566806</c:v>
                </c:pt>
                <c:pt idx="56">
                  <c:v>99.531092700290102</c:v>
                </c:pt>
                <c:pt idx="57">
                  <c:v>99.411735686532595</c:v>
                </c:pt>
                <c:pt idx="58">
                  <c:v>99.266703064848599</c:v>
                </c:pt>
                <c:pt idx="59">
                  <c:v>99.126532053857503</c:v>
                </c:pt>
                <c:pt idx="60">
                  <c:v>99.014873462570193</c:v>
                </c:pt>
                <c:pt idx="61">
                  <c:v>98.943241894691198</c:v>
                </c:pt>
              </c:numCache>
            </c:numRef>
          </c:val>
          <c:smooth val="0"/>
          <c:extLst>
            <c:ext xmlns:c16="http://schemas.microsoft.com/office/drawing/2014/chart" uri="{C3380CC4-5D6E-409C-BE32-E72D297353CC}">
              <c16:uniqueId val="{00000001-869C-4E84-854E-CDC3C05DD933}"/>
            </c:ext>
          </c:extLst>
        </c:ser>
        <c:dLbls>
          <c:showLegendKey val="0"/>
          <c:showVal val="0"/>
          <c:showCatName val="0"/>
          <c:showSerName val="0"/>
          <c:showPercent val="0"/>
          <c:showBubbleSize val="0"/>
        </c:dLbls>
        <c:marker val="1"/>
        <c:smooth val="0"/>
        <c:axId val="481612568"/>
        <c:axId val="481614136"/>
      </c:lineChart>
      <c:catAx>
        <c:axId val="481612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1614136"/>
        <c:crosses val="autoZero"/>
        <c:auto val="1"/>
        <c:lblAlgn val="ctr"/>
        <c:lblOffset val="100"/>
        <c:tickLblSkip val="1"/>
        <c:tickMarkSkip val="12"/>
        <c:noMultiLvlLbl val="1"/>
      </c:catAx>
      <c:valAx>
        <c:axId val="481614136"/>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81612568"/>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'[Comercio_Gráficas Desest y Tendencia-Ciclo.xlsx]Datos'!$M$5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Tendencia-Ciclo.xlsx]Datos'!$M$114:$M$185</c:f>
              <c:numCache>
                <c:formatCode>0.0</c:formatCode>
                <c:ptCount val="62"/>
                <c:pt idx="0">
                  <c:v>108.042682515539</c:v>
                </c:pt>
                <c:pt idx="1">
                  <c:v>107.169747947421</c:v>
                </c:pt>
                <c:pt idx="2">
                  <c:v>109.45453759995399</c:v>
                </c:pt>
                <c:pt idx="3">
                  <c:v>107.947498896393</c:v>
                </c:pt>
                <c:pt idx="4">
                  <c:v>108.249354790385</c:v>
                </c:pt>
                <c:pt idx="5">
                  <c:v>108.70579668246801</c:v>
                </c:pt>
                <c:pt idx="6">
                  <c:v>107.881219764528</c:v>
                </c:pt>
                <c:pt idx="7">
                  <c:v>108.60263756611</c:v>
                </c:pt>
                <c:pt idx="8">
                  <c:v>107.909807677288</c:v>
                </c:pt>
                <c:pt idx="9">
                  <c:v>108.39835999835999</c:v>
                </c:pt>
                <c:pt idx="10">
                  <c:v>108.112822779545</c:v>
                </c:pt>
                <c:pt idx="11">
                  <c:v>110.176831490621</c:v>
                </c:pt>
                <c:pt idx="12">
                  <c:v>108.64151284019</c:v>
                </c:pt>
                <c:pt idx="13">
                  <c:v>109.29876319402599</c:v>
                </c:pt>
                <c:pt idx="14">
                  <c:v>109.328418122595</c:v>
                </c:pt>
                <c:pt idx="15">
                  <c:v>109.814730985816</c:v>
                </c:pt>
                <c:pt idx="16">
                  <c:v>109.09490310876799</c:v>
                </c:pt>
                <c:pt idx="17">
                  <c:v>109.680688935139</c:v>
                </c:pt>
                <c:pt idx="18">
                  <c:v>109.384267823106</c:v>
                </c:pt>
                <c:pt idx="19">
                  <c:v>109.33984030029799</c:v>
                </c:pt>
                <c:pt idx="20">
                  <c:v>110.509802876131</c:v>
                </c:pt>
                <c:pt idx="21">
                  <c:v>109.836543595679</c:v>
                </c:pt>
                <c:pt idx="22">
                  <c:v>110.32320772869799</c:v>
                </c:pt>
                <c:pt idx="23">
                  <c:v>110.627428980863</c:v>
                </c:pt>
                <c:pt idx="24">
                  <c:v>111.704822761112</c:v>
                </c:pt>
                <c:pt idx="25">
                  <c:v>113.10376659261</c:v>
                </c:pt>
                <c:pt idx="26">
                  <c:v>113.127528334366</c:v>
                </c:pt>
                <c:pt idx="27">
                  <c:v>113.381210356015</c:v>
                </c:pt>
                <c:pt idx="28">
                  <c:v>113.683051391521</c:v>
                </c:pt>
                <c:pt idx="29">
                  <c:v>113.67779874111299</c:v>
                </c:pt>
                <c:pt idx="30">
                  <c:v>113.06439828755001</c:v>
                </c:pt>
                <c:pt idx="31">
                  <c:v>114.175216131973</c:v>
                </c:pt>
                <c:pt idx="32">
                  <c:v>115.09369851257399</c:v>
                </c:pt>
                <c:pt idx="33">
                  <c:v>115.029736525408</c:v>
                </c:pt>
                <c:pt idx="34">
                  <c:v>115.895762434131</c:v>
                </c:pt>
                <c:pt idx="35">
                  <c:v>115.32286664896699</c:v>
                </c:pt>
                <c:pt idx="36">
                  <c:v>115.59921568787</c:v>
                </c:pt>
                <c:pt idx="37">
                  <c:v>115.515661025776</c:v>
                </c:pt>
                <c:pt idx="38">
                  <c:v>115.20374228052199</c:v>
                </c:pt>
                <c:pt idx="39">
                  <c:v>114.456980089165</c:v>
                </c:pt>
                <c:pt idx="40">
                  <c:v>113.96465168678201</c:v>
                </c:pt>
                <c:pt idx="41">
                  <c:v>113.160379653237</c:v>
                </c:pt>
                <c:pt idx="42">
                  <c:v>113.088924595771</c:v>
                </c:pt>
                <c:pt idx="43">
                  <c:v>113.499860068888</c:v>
                </c:pt>
                <c:pt idx="44">
                  <c:v>113.10117947353601</c:v>
                </c:pt>
                <c:pt idx="45">
                  <c:v>113.715233428318</c:v>
                </c:pt>
                <c:pt idx="46">
                  <c:v>115.168455750814</c:v>
                </c:pt>
                <c:pt idx="47">
                  <c:v>117.183707126824</c:v>
                </c:pt>
                <c:pt idx="48">
                  <c:v>112.65044932647299</c:v>
                </c:pt>
                <c:pt idx="49">
                  <c:v>112.549651840995</c:v>
                </c:pt>
                <c:pt idx="50">
                  <c:v>113.130664546017</c:v>
                </c:pt>
                <c:pt idx="51">
                  <c:v>113.662373197051</c:v>
                </c:pt>
                <c:pt idx="52">
                  <c:v>123.380736138258</c:v>
                </c:pt>
                <c:pt idx="53">
                  <c:v>114.854849873001</c:v>
                </c:pt>
                <c:pt idx="54">
                  <c:v>117.237711576807</c:v>
                </c:pt>
                <c:pt idx="55">
                  <c:v>115.350705962731</c:v>
                </c:pt>
                <c:pt idx="56">
                  <c:v>115.517903190642</c:v>
                </c:pt>
                <c:pt idx="57">
                  <c:v>116.30455134828</c:v>
                </c:pt>
                <c:pt idx="58">
                  <c:v>118.547727759498</c:v>
                </c:pt>
                <c:pt idx="59">
                  <c:v>115.857941559434</c:v>
                </c:pt>
                <c:pt idx="60">
                  <c:v>117.898122010497</c:v>
                </c:pt>
                <c:pt idx="61">
                  <c:v>117.550069932649</c:v>
                </c:pt>
              </c:numCache>
            </c:numRef>
          </c:val>
          <c:extLst>
            <c:ext xmlns:c16="http://schemas.microsoft.com/office/drawing/2014/chart" uri="{C3380CC4-5D6E-409C-BE32-E72D297353CC}">
              <c16:uniqueId val="{00000000-4AAC-4102-8B9A-CB386DF31BA5}"/>
            </c:ext>
          </c:extLst>
        </c:ser>
        <c:dLbls>
          <c:showLegendKey val="0"/>
          <c:showVal val="0"/>
          <c:showCatName val="0"/>
          <c:showSerName val="0"/>
          <c:showPercent val="0"/>
          <c:showBubbleSize val="0"/>
        </c:dLbls>
        <c:gapWidth val="60"/>
        <c:axId val="481612176"/>
        <c:axId val="483190616"/>
      </c:barChart>
      <c:lineChart>
        <c:grouping val="standard"/>
        <c:varyColors val="0"/>
        <c:ser>
          <c:idx val="1"/>
          <c:order val="1"/>
          <c:tx>
            <c:strRef>
              <c:f>'[Comercio_Gráficas Desest y Tendencia-Ciclo.xlsx]Datos'!$N$5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Tendencia-Ciclo.xlsx]Datos'!$A$114:$B$185</c:f>
              <c:multiLvlStrCache>
                <c:ptCount val="62"/>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'[Comercio_Gráficas Desest y Tendencia-Ciclo.xlsx]Datos'!$N$114:$N$185</c:f>
              <c:numCache>
                <c:formatCode>0.0</c:formatCode>
                <c:ptCount val="62"/>
                <c:pt idx="0">
                  <c:v>108.605340560069</c:v>
                </c:pt>
                <c:pt idx="1">
                  <c:v>108.421634287844</c:v>
                </c:pt>
                <c:pt idx="2">
                  <c:v>108.297767868047</c:v>
                </c:pt>
                <c:pt idx="3">
                  <c:v>108.237704349507</c:v>
                </c:pt>
                <c:pt idx="4">
                  <c:v>108.23606629116099</c:v>
                </c:pt>
                <c:pt idx="5">
                  <c:v>108.251338023538</c:v>
                </c:pt>
                <c:pt idx="6">
                  <c:v>108.248564750737</c:v>
                </c:pt>
                <c:pt idx="7">
                  <c:v>108.22348245817599</c:v>
                </c:pt>
                <c:pt idx="8">
                  <c:v>108.22474106422401</c:v>
                </c:pt>
                <c:pt idx="9">
                  <c:v>108.267780656844</c:v>
                </c:pt>
                <c:pt idx="10">
                  <c:v>108.39991897033001</c:v>
                </c:pt>
                <c:pt idx="11">
                  <c:v>108.61876001447899</c:v>
                </c:pt>
                <c:pt idx="12">
                  <c:v>108.879506522415</c:v>
                </c:pt>
                <c:pt idx="13">
                  <c:v>109.129195346431</c:v>
                </c:pt>
                <c:pt idx="14">
                  <c:v>109.313796293441</c:v>
                </c:pt>
                <c:pt idx="15">
                  <c:v>109.414046114017</c:v>
                </c:pt>
                <c:pt idx="16">
                  <c:v>109.463134601753</c:v>
                </c:pt>
                <c:pt idx="17">
                  <c:v>109.493065977648</c:v>
                </c:pt>
                <c:pt idx="18">
                  <c:v>109.53744006033099</c:v>
                </c:pt>
                <c:pt idx="19">
                  <c:v>109.61085322736</c:v>
                </c:pt>
                <c:pt idx="20">
                  <c:v>109.76920943435999</c:v>
                </c:pt>
                <c:pt idx="21">
                  <c:v>110.054290746568</c:v>
                </c:pt>
                <c:pt idx="22">
                  <c:v>110.49066533688701</c:v>
                </c:pt>
                <c:pt idx="23">
                  <c:v>111.065014577757</c:v>
                </c:pt>
                <c:pt idx="24">
                  <c:v>111.73264163448199</c:v>
                </c:pt>
                <c:pt idx="25">
                  <c:v>112.39288240441201</c:v>
                </c:pt>
                <c:pt idx="26">
                  <c:v>112.95117582698499</c:v>
                </c:pt>
                <c:pt idx="27">
                  <c:v>113.360448057233</c:v>
                </c:pt>
                <c:pt idx="28">
                  <c:v>113.618129280358</c:v>
                </c:pt>
                <c:pt idx="29">
                  <c:v>113.835060793409</c:v>
                </c:pt>
                <c:pt idx="30">
                  <c:v>114.09573422951</c:v>
                </c:pt>
                <c:pt idx="31">
                  <c:v>114.436643298032</c:v>
                </c:pt>
                <c:pt idx="32">
                  <c:v>114.820846351871</c:v>
                </c:pt>
                <c:pt idx="33">
                  <c:v>115.185875166062</c:v>
                </c:pt>
                <c:pt idx="34">
                  <c:v>115.469959102689</c:v>
                </c:pt>
                <c:pt idx="35">
                  <c:v>115.618220944154</c:v>
                </c:pt>
                <c:pt idx="36">
                  <c:v>115.584313012324</c:v>
                </c:pt>
                <c:pt idx="37">
                  <c:v>115.34993467325801</c:v>
                </c:pt>
                <c:pt idx="38">
                  <c:v>114.955343714094</c:v>
                </c:pt>
                <c:pt idx="39">
                  <c:v>114.462624014445</c:v>
                </c:pt>
                <c:pt idx="40">
                  <c:v>113.968429648287</c:v>
                </c:pt>
                <c:pt idx="41">
                  <c:v>113.574318841736</c:v>
                </c:pt>
                <c:pt idx="42">
                  <c:v>113.340585934914</c:v>
                </c:pt>
                <c:pt idx="43">
                  <c:v>113.27636936768501</c:v>
                </c:pt>
                <c:pt idx="44">
                  <c:v>113.287710954568</c:v>
                </c:pt>
                <c:pt idx="45">
                  <c:v>113.26984125815601</c:v>
                </c:pt>
                <c:pt idx="46">
                  <c:v>113.168140149815</c:v>
                </c:pt>
                <c:pt idx="47">
                  <c:v>113.01731546359601</c:v>
                </c:pt>
                <c:pt idx="48">
                  <c:v>112.91299507333299</c:v>
                </c:pt>
                <c:pt idx="49">
                  <c:v>112.968908162049</c:v>
                </c:pt>
                <c:pt idx="50">
                  <c:v>113.232542828783</c:v>
                </c:pt>
                <c:pt idx="51">
                  <c:v>113.66069266018501</c:v>
                </c:pt>
                <c:pt idx="52">
                  <c:v>114.171247768166</c:v>
                </c:pt>
                <c:pt idx="53">
                  <c:v>114.665459011453</c:v>
                </c:pt>
                <c:pt idx="54">
                  <c:v>115.091160652765</c:v>
                </c:pt>
                <c:pt idx="55">
                  <c:v>115.466418389819</c:v>
                </c:pt>
                <c:pt idx="56">
                  <c:v>115.85011262814599</c:v>
                </c:pt>
                <c:pt idx="57">
                  <c:v>116.268605482854</c:v>
                </c:pt>
                <c:pt idx="58">
                  <c:v>116.702129763713</c:v>
                </c:pt>
                <c:pt idx="59">
                  <c:v>117.107146857798</c:v>
                </c:pt>
                <c:pt idx="60">
                  <c:v>117.428175327183</c:v>
                </c:pt>
                <c:pt idx="61">
                  <c:v>117.67602648951301</c:v>
                </c:pt>
              </c:numCache>
            </c:numRef>
          </c:val>
          <c:smooth val="0"/>
          <c:extLst>
            <c:ext xmlns:c16="http://schemas.microsoft.com/office/drawing/2014/chart" uri="{C3380CC4-5D6E-409C-BE32-E72D297353CC}">
              <c16:uniqueId val="{00000001-4AAC-4102-8B9A-CB386DF31BA5}"/>
            </c:ext>
          </c:extLst>
        </c:ser>
        <c:dLbls>
          <c:showLegendKey val="0"/>
          <c:showVal val="0"/>
          <c:showCatName val="0"/>
          <c:showSerName val="0"/>
          <c:showPercent val="0"/>
          <c:showBubbleSize val="0"/>
        </c:dLbls>
        <c:marker val="1"/>
        <c:smooth val="0"/>
        <c:axId val="481612176"/>
        <c:axId val="483190616"/>
      </c:lineChart>
      <c:catAx>
        <c:axId val="48161217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83190616"/>
        <c:crosses val="autoZero"/>
        <c:auto val="1"/>
        <c:lblAlgn val="ctr"/>
        <c:lblOffset val="100"/>
        <c:tickLblSkip val="1"/>
        <c:tickMarkSkip val="12"/>
        <c:noMultiLvlLbl val="1"/>
      </c:catAx>
      <c:valAx>
        <c:axId val="483190616"/>
        <c:scaling>
          <c:orientation val="minMax"/>
          <c:max val="126"/>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81612176"/>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6112-5394-4411-A926-4AC77E9C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116</TotalTime>
  <Pages>12</Pages>
  <Words>2541</Words>
  <Characters>13980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22</cp:revision>
  <cp:lastPrinted>2022-02-24T00:21:00Z</cp:lastPrinted>
  <dcterms:created xsi:type="dcterms:W3CDTF">2022-04-19T21:49:00Z</dcterms:created>
  <dcterms:modified xsi:type="dcterms:W3CDTF">2022-04-26T00:34:00Z</dcterms:modified>
  <cp:category>Encuesta Nacional de Ocupación y Empleo</cp:category>
  <cp:version>1</cp:version>
</cp:coreProperties>
</file>