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5E201" w14:textId="77777777" w:rsidR="00B30942" w:rsidRPr="00FC3C74" w:rsidRDefault="00B30942" w:rsidP="00B30942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bookmarkStart w:id="0" w:name="_Hlk96532470"/>
      <w:bookmarkEnd w:id="0"/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B71F27" wp14:editId="6E32F275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E72A" w14:textId="77777777" w:rsidR="0074235B" w:rsidRPr="003D4E37" w:rsidRDefault="0074235B" w:rsidP="00B3094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21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octubre</w:t>
                            </w:r>
                            <w:proofErr w:type="spellEnd"/>
                          </w:p>
                          <w:p w14:paraId="0F7E127F" w14:textId="77777777" w:rsidR="0074235B" w:rsidRPr="003D4E37" w:rsidRDefault="0074235B" w:rsidP="00B309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71F27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4231E72A" w14:textId="77777777" w:rsidR="0074235B" w:rsidRPr="003D4E37" w:rsidRDefault="0074235B" w:rsidP="00B30942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21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octubre</w:t>
                      </w:r>
                      <w:proofErr w:type="spellEnd"/>
                    </w:p>
                    <w:p w14:paraId="0F7E127F" w14:textId="77777777" w:rsidR="0074235B" w:rsidRPr="003D4E37" w:rsidRDefault="0074235B" w:rsidP="00B30942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61875621"/>
    </w:p>
    <w:p w14:paraId="7A5C1AA6" w14:textId="77777777" w:rsidR="00B30942" w:rsidRDefault="00B30942" w:rsidP="00B30942">
      <w:pPr>
        <w:jc w:val="center"/>
        <w:rPr>
          <w:b/>
          <w:bCs/>
          <w:caps/>
          <w:sz w:val="28"/>
          <w:szCs w:val="28"/>
          <w:lang w:val="es-MX"/>
        </w:rPr>
      </w:pPr>
    </w:p>
    <w:p w14:paraId="3A774DCA" w14:textId="77777777" w:rsidR="00B30942" w:rsidRPr="002A4D9D" w:rsidRDefault="00B30942" w:rsidP="00B30942">
      <w:pPr>
        <w:pStyle w:val="Profesin"/>
        <w:outlineLvl w:val="0"/>
        <w:rPr>
          <w:spacing w:val="20"/>
          <w:sz w:val="24"/>
          <w:szCs w:val="24"/>
        </w:rPr>
      </w:pPr>
    </w:p>
    <w:p w14:paraId="0DEFFF0D" w14:textId="77777777" w:rsidR="00B30942" w:rsidRPr="00AD2890" w:rsidRDefault="00B30942" w:rsidP="00B30942">
      <w:pPr>
        <w:pStyle w:val="Profesin"/>
        <w:outlineLvl w:val="0"/>
        <w:rPr>
          <w:spacing w:val="20"/>
          <w:sz w:val="16"/>
          <w:szCs w:val="16"/>
        </w:rPr>
      </w:pPr>
    </w:p>
    <w:p w14:paraId="4B183FD5" w14:textId="01C5AF99" w:rsidR="00B30942" w:rsidRPr="0074235B" w:rsidRDefault="00B30942" w:rsidP="00B30942">
      <w:pPr>
        <w:pStyle w:val="Profesin"/>
        <w:outlineLvl w:val="0"/>
        <w:rPr>
          <w:b w:val="0"/>
          <w:caps w:val="0"/>
          <w:spacing w:val="20"/>
          <w:sz w:val="24"/>
          <w:szCs w:val="24"/>
        </w:rPr>
      </w:pPr>
      <w:bookmarkStart w:id="2" w:name="_GoBack"/>
      <w:bookmarkEnd w:id="2"/>
      <w:r w:rsidRPr="0074235B">
        <w:rPr>
          <w:spacing w:val="20"/>
          <w:sz w:val="24"/>
          <w:szCs w:val="24"/>
        </w:rPr>
        <w:t>INDICADORES DE Empresas Comerciales</w:t>
      </w:r>
    </w:p>
    <w:p w14:paraId="7C55AB5D" w14:textId="77777777" w:rsidR="00B30942" w:rsidRPr="0074235B" w:rsidRDefault="00B30942" w:rsidP="00B30942">
      <w:pPr>
        <w:spacing w:before="60"/>
        <w:jc w:val="center"/>
        <w:rPr>
          <w:b/>
        </w:rPr>
      </w:pPr>
      <w:r w:rsidRPr="0074235B">
        <w:rPr>
          <w:b/>
        </w:rPr>
        <w:t>JULIO DE 2022</w:t>
      </w:r>
    </w:p>
    <w:p w14:paraId="7D9BF895" w14:textId="77777777" w:rsidR="00B30942" w:rsidRPr="006C48F9" w:rsidRDefault="00B30942" w:rsidP="00A05029">
      <w:pPr>
        <w:spacing w:before="240"/>
        <w:ind w:right="49"/>
        <w:rPr>
          <w:snapToGrid w:val="0"/>
          <w:spacing w:val="6"/>
        </w:rPr>
      </w:pPr>
      <w:r w:rsidRPr="006C48F9">
        <w:rPr>
          <w:snapToGrid w:val="0"/>
          <w:spacing w:val="6"/>
        </w:rPr>
        <w:t>En julio de 2022, a tasa mensual y con cifras desestacionalizadas,</w:t>
      </w:r>
      <w:r w:rsidRPr="006C48F9">
        <w:rPr>
          <w:rStyle w:val="Refdenotaalpie"/>
          <w:snapToGrid w:val="0"/>
          <w:spacing w:val="6"/>
        </w:rPr>
        <w:footnoteReference w:id="1"/>
      </w:r>
      <w:r w:rsidRPr="006C48F9">
        <w:rPr>
          <w:snapToGrid w:val="0"/>
          <w:spacing w:val="6"/>
        </w:rPr>
        <w:t xml:space="preserve"> los resultados de la Encuesta Mensual sobre Empresas Comerciales (EMEC) indican que, en las empresas comerciales al por mayor, los ingresos reales por suministro de bienes y servicios</w:t>
      </w:r>
      <w:r w:rsidRPr="006C48F9">
        <w:rPr>
          <w:snapToGrid w:val="0"/>
          <w:vertAlign w:val="superscript"/>
        </w:rPr>
        <w:footnoteReference w:id="2"/>
      </w:r>
      <w:r w:rsidRPr="006C48F9">
        <w:rPr>
          <w:snapToGrid w:val="0"/>
          <w:spacing w:val="6"/>
        </w:rPr>
        <w:t xml:space="preserve"> no registraron variación, las remuneraciones medias reales pagadas aumentaron 0.5 % y el personal ocupado total, 0.1 por ciento.</w:t>
      </w:r>
    </w:p>
    <w:p w14:paraId="639C5840" w14:textId="77777777" w:rsidR="00B30942" w:rsidRPr="00E65C37" w:rsidRDefault="00B30942" w:rsidP="00B30942">
      <w:pPr>
        <w:pStyle w:val="p0"/>
        <w:keepLines w:val="0"/>
        <w:spacing w:before="0"/>
        <w:ind w:right="49"/>
        <w:jc w:val="center"/>
        <w:rPr>
          <w:rFonts w:ascii="Arial" w:hAnsi="Arial"/>
          <w:b/>
          <w:smallCaps/>
          <w:snapToGrid/>
          <w:color w:val="auto"/>
        </w:rPr>
      </w:pPr>
    </w:p>
    <w:p w14:paraId="7FF26D48" w14:textId="77777777" w:rsidR="00B30942" w:rsidRPr="00F87E34" w:rsidRDefault="00B30942" w:rsidP="00B30942">
      <w:pPr>
        <w:pStyle w:val="p0"/>
        <w:keepLines w:val="0"/>
        <w:spacing w:before="12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b/>
          <w:smallCaps/>
          <w:snapToGrid/>
          <w:color w:val="auto"/>
          <w:sz w:val="22"/>
        </w:rPr>
        <w:t>Ingresos reales por suministro de bienes y servicios</w:t>
      </w:r>
      <w:r w:rsidRPr="00F87E34">
        <w:rPr>
          <w:rFonts w:ascii="Arial" w:hAnsi="Arial"/>
          <w:b/>
          <w:smallCaps/>
          <w:color w:val="auto"/>
          <w:sz w:val="22"/>
        </w:rPr>
        <w:t xml:space="preserve"> </w:t>
      </w:r>
      <w:r w:rsidRPr="00F87E34">
        <w:rPr>
          <w:rFonts w:ascii="Arial" w:hAnsi="Arial"/>
          <w:smallCaps/>
          <w:szCs w:val="22"/>
        </w:rPr>
        <w:br/>
      </w: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125761CA" w14:textId="77777777" w:rsidR="00B30942" w:rsidRPr="00F87E34" w:rsidRDefault="00B30942" w:rsidP="00B30942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338C63CC" wp14:editId="2BDD552A">
            <wp:extent cx="4320000" cy="2520000"/>
            <wp:effectExtent l="0" t="0" r="23495" b="1397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4F34F6" w14:textId="77777777" w:rsidR="00B30942" w:rsidRPr="00F87E34" w:rsidRDefault="00B30942" w:rsidP="00B30942">
      <w:pPr>
        <w:pStyle w:val="Textoindependiente"/>
        <w:spacing w:before="0"/>
        <w:ind w:left="1418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22AF8C26" w14:textId="77777777" w:rsidR="00B30942" w:rsidRPr="001613A7" w:rsidRDefault="00B30942" w:rsidP="00B30942">
      <w:pPr>
        <w:spacing w:before="360"/>
        <w:ind w:right="49"/>
        <w:rPr>
          <w:b/>
          <w:snapToGrid w:val="0"/>
          <w:spacing w:val="6"/>
        </w:rPr>
      </w:pPr>
    </w:p>
    <w:p w14:paraId="43A04BEC" w14:textId="77777777" w:rsidR="00B30942" w:rsidRDefault="00B30942" w:rsidP="00B30942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778D6676" w14:textId="77777777" w:rsidR="00B30942" w:rsidRDefault="00B30942" w:rsidP="00B30942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06A0B2E2" w14:textId="77777777" w:rsidR="00B30942" w:rsidRDefault="00B30942" w:rsidP="00B30942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5DFB3EDF" w14:textId="77777777" w:rsidR="00B30942" w:rsidRDefault="00B30942" w:rsidP="00B30942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0AA7E8C0" w14:textId="77777777" w:rsidR="00B30942" w:rsidRDefault="00B30942" w:rsidP="00B30942">
      <w:pPr>
        <w:pStyle w:val="p0"/>
        <w:keepLines w:val="0"/>
        <w:spacing w:before="0"/>
        <w:jc w:val="center"/>
        <w:rPr>
          <w:rFonts w:ascii="Arial" w:hAnsi="Arial"/>
          <w:b/>
          <w:smallCaps/>
          <w:snapToGrid/>
          <w:color w:val="auto"/>
          <w:sz w:val="22"/>
        </w:rPr>
      </w:pPr>
    </w:p>
    <w:p w14:paraId="6698CB44" w14:textId="77777777" w:rsidR="00B30942" w:rsidRPr="00027D55" w:rsidRDefault="00B30942" w:rsidP="00B30942">
      <w:pPr>
        <w:spacing w:before="280"/>
        <w:ind w:right="49"/>
        <w:rPr>
          <w:snapToGrid w:val="0"/>
          <w:spacing w:val="6"/>
        </w:rPr>
      </w:pPr>
      <w:r w:rsidRPr="00027D55">
        <w:rPr>
          <w:snapToGrid w:val="0"/>
          <w:spacing w:val="6"/>
        </w:rPr>
        <w:lastRenderedPageBreak/>
        <w:t>En las empresas comerciales al por menor, los ingresos reales por suministro de bienes y servicios crecieron 0.9 % a tasa mensual, las remuneraciones medias reales, 1.7 % y el personal ocupado total descendió 0.1 por ciento.</w:t>
      </w:r>
    </w:p>
    <w:p w14:paraId="0EBACE6A" w14:textId="77777777" w:rsidR="00B30942" w:rsidRPr="006F2F25" w:rsidRDefault="00B30942" w:rsidP="00B30942">
      <w:pPr>
        <w:pStyle w:val="Textoindependiente"/>
        <w:widowControl w:val="0"/>
        <w:spacing w:before="0"/>
        <w:jc w:val="center"/>
        <w:rPr>
          <w:smallCaps/>
          <w:snapToGrid w:val="0"/>
          <w:color w:val="auto"/>
        </w:rPr>
      </w:pPr>
    </w:p>
    <w:p w14:paraId="2F8D82C3" w14:textId="77777777" w:rsidR="00B30942" w:rsidRPr="00F87E34" w:rsidRDefault="00B30942" w:rsidP="00B30942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Ingresos reales por suministro de bienes y servicios</w:t>
      </w:r>
    </w:p>
    <w:p w14:paraId="62DE4CE7" w14:textId="77777777" w:rsidR="00B30942" w:rsidRPr="00F87E34" w:rsidRDefault="00B30942" w:rsidP="00B30942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05392080" w14:textId="77777777" w:rsidR="00B30942" w:rsidRPr="00F87E34" w:rsidRDefault="00B30942" w:rsidP="00B30942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6518EDBE" wp14:editId="086588CA">
            <wp:extent cx="4320000" cy="2520000"/>
            <wp:effectExtent l="0" t="0" r="23495" b="1397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BA07529" w14:textId="77777777" w:rsidR="00B30942" w:rsidRPr="00F87E34" w:rsidRDefault="00B30942" w:rsidP="00B30942">
      <w:pPr>
        <w:pStyle w:val="Textoindependiente"/>
        <w:widowControl w:val="0"/>
        <w:spacing w:before="20"/>
        <w:ind w:left="284"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bookmarkEnd w:id="1"/>
    <w:p w14:paraId="55BB9B9B" w14:textId="77777777" w:rsidR="00B30942" w:rsidRPr="007E2478" w:rsidRDefault="00B30942" w:rsidP="00D24CE7">
      <w:pPr>
        <w:spacing w:before="480"/>
        <w:ind w:right="49"/>
        <w:rPr>
          <w:snapToGrid w:val="0"/>
          <w:spacing w:val="6"/>
        </w:rPr>
      </w:pPr>
      <w:r w:rsidRPr="007E2478">
        <w:rPr>
          <w:snapToGrid w:val="0"/>
          <w:spacing w:val="6"/>
        </w:rPr>
        <w:t>En julio de 2022 y a tasa anual, los datos desestacionalizados del comercio al por mayor se comportaron de la siguiente manera: los ingresos reales por suministro de bienes y servicios incrementaron 3.5 %, el personal ocupado total, 1.5 % y las remuneraciones medias reales pagadas disminuyeron 2.6 por ciento.</w:t>
      </w:r>
    </w:p>
    <w:p w14:paraId="194D70F0" w14:textId="77777777" w:rsidR="00B30942" w:rsidRPr="00E211BA" w:rsidRDefault="00B30942" w:rsidP="00B30942">
      <w:pPr>
        <w:pStyle w:val="p01"/>
        <w:keepNext/>
        <w:widowControl w:val="0"/>
        <w:spacing w:before="0"/>
        <w:jc w:val="center"/>
        <w:outlineLvl w:val="0"/>
        <w:rPr>
          <w:rFonts w:ascii="Arial" w:hAnsi="Arial" w:cs="Arial"/>
          <w:smallCaps/>
          <w:color w:val="auto"/>
          <w:szCs w:val="24"/>
        </w:rPr>
      </w:pPr>
    </w:p>
    <w:p w14:paraId="4AF262AE" w14:textId="77777777" w:rsidR="00B30942" w:rsidRPr="00F87E34" w:rsidRDefault="00B30942" w:rsidP="00B30942">
      <w:pPr>
        <w:pStyle w:val="p01"/>
        <w:keepNext/>
        <w:widowControl w:val="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87E34">
        <w:rPr>
          <w:rFonts w:ascii="Arial" w:hAnsi="Arial" w:cs="Arial"/>
          <w:b/>
          <w:smallCaps/>
          <w:color w:val="auto"/>
          <w:sz w:val="22"/>
        </w:rPr>
        <w:t xml:space="preserve">Principales indicadores del </w:t>
      </w:r>
      <w:r w:rsidRPr="00F87E34">
        <w:rPr>
          <w:rFonts w:ascii="Arial" w:hAnsi="Arial" w:cs="Arial"/>
          <w:b/>
          <w:smallCaps/>
          <w:color w:val="auto"/>
          <w:sz w:val="22"/>
          <w:lang w:val="es-MX"/>
        </w:rPr>
        <w:t>comercio interior</w:t>
      </w:r>
      <w:r w:rsidRPr="00F87E34">
        <w:rPr>
          <w:rFonts w:ascii="Arial" w:hAnsi="Arial" w:cs="Arial"/>
          <w:szCs w:val="22"/>
        </w:rPr>
        <w:br/>
      </w:r>
      <w:r>
        <w:rPr>
          <w:rFonts w:ascii="Arial" w:hAnsi="Arial" w:cs="Arial"/>
          <w:b/>
          <w:smallCaps/>
          <w:color w:val="auto"/>
          <w:sz w:val="22"/>
          <w:szCs w:val="22"/>
        </w:rPr>
        <w:t>julio</w:t>
      </w:r>
      <w:r w:rsidRPr="00F87E34">
        <w:rPr>
          <w:rFonts w:ascii="Arial" w:hAnsi="Arial" w:cs="Arial"/>
          <w:b/>
          <w:smallCaps/>
          <w:color w:val="auto"/>
          <w:sz w:val="22"/>
          <w:szCs w:val="22"/>
        </w:rPr>
        <w:t xml:space="preserve"> de 202</w:t>
      </w:r>
      <w:r>
        <w:rPr>
          <w:rFonts w:ascii="Arial" w:hAnsi="Arial" w:cs="Arial"/>
          <w:b/>
          <w:smallCaps/>
          <w:color w:val="auto"/>
          <w:sz w:val="22"/>
          <w:szCs w:val="22"/>
        </w:rPr>
        <w:t>2</w:t>
      </w:r>
    </w:p>
    <w:p w14:paraId="4FC08F97" w14:textId="77777777" w:rsidR="00B30942" w:rsidRPr="00F87E34" w:rsidRDefault="00B30942" w:rsidP="00B30942">
      <w:pPr>
        <w:pStyle w:val="p01"/>
        <w:keepNext/>
        <w:widowControl w:val="0"/>
        <w:spacing w:before="0"/>
        <w:jc w:val="center"/>
        <w:outlineLvl w:val="0"/>
        <w:rPr>
          <w:rFonts w:ascii="Arial" w:hAnsi="Arial" w:cs="Arial"/>
          <w:b/>
          <w:smallCaps/>
          <w:color w:val="auto"/>
          <w:sz w:val="22"/>
          <w:szCs w:val="22"/>
        </w:rPr>
      </w:pPr>
      <w:r w:rsidRPr="00F87E34">
        <w:rPr>
          <w:rFonts w:ascii="Arial" w:hAnsi="Arial" w:cs="Arial"/>
          <w:b/>
          <w:smallCaps/>
          <w:color w:val="auto"/>
          <w:sz w:val="22"/>
          <w:szCs w:val="22"/>
        </w:rPr>
        <w:t>cifras desestacionalizadas</w:t>
      </w:r>
    </w:p>
    <w:tbl>
      <w:tblPr>
        <w:tblStyle w:val="Tablaconcuadrcula"/>
        <w:tblW w:w="4183" w:type="pct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051"/>
        <w:gridCol w:w="1053"/>
        <w:gridCol w:w="1054"/>
        <w:gridCol w:w="1054"/>
      </w:tblGrid>
      <w:tr w:rsidR="00B30942" w:rsidRPr="00F87E34" w14:paraId="4698B360" w14:textId="77777777" w:rsidTr="0074235B">
        <w:trPr>
          <w:jc w:val="center"/>
        </w:trPr>
        <w:tc>
          <w:tcPr>
            <w:tcW w:w="3880" w:type="dxa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7E4BD"/>
            <w:vAlign w:val="center"/>
            <w:hideMark/>
          </w:tcPr>
          <w:p w14:paraId="295180A7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ind w:left="47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984" w:type="dxa"/>
            <w:gridSpan w:val="2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36C1569E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ind w:left="-105" w:right="-105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F87E34">
              <w:rPr>
                <w:rFonts w:ascii="Arial" w:hAnsi="Arial"/>
                <w:color w:val="auto"/>
                <w:sz w:val="18"/>
                <w:szCs w:val="18"/>
              </w:rPr>
              <w:t xml:space="preserve">Empresas comerciales </w:t>
            </w:r>
            <w:r w:rsidRPr="00F87E34">
              <w:rPr>
                <w:rFonts w:ascii="Arial" w:hAnsi="Arial"/>
                <w:color w:val="auto"/>
                <w:sz w:val="18"/>
                <w:szCs w:val="18"/>
              </w:rPr>
              <w:br/>
              <w:t>al por mayor</w:t>
            </w:r>
          </w:p>
        </w:tc>
        <w:tc>
          <w:tcPr>
            <w:tcW w:w="1988" w:type="dxa"/>
            <w:gridSpan w:val="2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</w:tcPr>
          <w:p w14:paraId="3224BDF8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ind w:left="-110" w:right="-90"/>
              <w:jc w:val="center"/>
              <w:rPr>
                <w:rFonts w:ascii="Arial" w:hAnsi="Arial"/>
                <w:color w:val="auto"/>
                <w:sz w:val="18"/>
                <w:szCs w:val="18"/>
              </w:rPr>
            </w:pPr>
            <w:r w:rsidRPr="00F87E34">
              <w:rPr>
                <w:rFonts w:ascii="Arial" w:hAnsi="Arial"/>
                <w:color w:val="auto"/>
                <w:sz w:val="18"/>
                <w:szCs w:val="18"/>
              </w:rPr>
              <w:t xml:space="preserve">Empresas comerciales </w:t>
            </w:r>
            <w:r w:rsidRPr="00F87E34">
              <w:rPr>
                <w:rFonts w:ascii="Arial" w:hAnsi="Arial"/>
                <w:color w:val="auto"/>
                <w:sz w:val="18"/>
                <w:szCs w:val="18"/>
              </w:rPr>
              <w:br/>
              <w:t>al por menor</w:t>
            </w:r>
          </w:p>
        </w:tc>
      </w:tr>
      <w:tr w:rsidR="00B30942" w:rsidRPr="00F87E34" w14:paraId="45ADF912" w14:textId="77777777" w:rsidTr="0074235B">
        <w:trPr>
          <w:trHeight w:val="227"/>
          <w:jc w:val="center"/>
        </w:trPr>
        <w:tc>
          <w:tcPr>
            <w:tcW w:w="3880" w:type="dxa"/>
            <w:vMerge/>
            <w:tcBorders>
              <w:left w:val="single" w:sz="8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6B26535F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jc w:val="center"/>
              <w:rPr>
                <w:rFonts w:ascii="Arial" w:hAnsi="Arial"/>
                <w:color w:val="000000" w:themeColor="text1"/>
                <w:sz w:val="20"/>
              </w:rPr>
            </w:pP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38595A20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mensual</w:t>
            </w:r>
          </w:p>
        </w:tc>
        <w:tc>
          <w:tcPr>
            <w:tcW w:w="993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6E345C8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anual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67F8E06C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mensual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  <w:vAlign w:val="center"/>
          </w:tcPr>
          <w:p w14:paraId="51C6761C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ind w:left="-105" w:right="-77"/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F87E34">
              <w:rPr>
                <w:rFonts w:ascii="Arial" w:hAnsi="Arial"/>
                <w:color w:val="000000" w:themeColor="text1"/>
                <w:sz w:val="16"/>
                <w:szCs w:val="16"/>
              </w:rPr>
              <w:t>Variación % anual</w:t>
            </w:r>
          </w:p>
        </w:tc>
      </w:tr>
      <w:tr w:rsidR="00B30942" w:rsidRPr="00F87E34" w14:paraId="62CB3195" w14:textId="77777777" w:rsidTr="0074235B">
        <w:trPr>
          <w:jc w:val="center"/>
        </w:trPr>
        <w:tc>
          <w:tcPr>
            <w:tcW w:w="3880" w:type="dxa"/>
            <w:tcBorders>
              <w:top w:val="single" w:sz="6" w:space="0" w:color="404040"/>
              <w:bottom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E390CC5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Ingresos por suministro de bienes y servicios*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2DABA441" w14:textId="77777777" w:rsidR="00B30942" w:rsidRPr="00F87E34" w:rsidRDefault="00B30942" w:rsidP="0074235B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3" w:type="dxa"/>
            <w:tcBorders>
              <w:top w:val="single" w:sz="6" w:space="0" w:color="404040"/>
              <w:left w:val="nil"/>
              <w:bottom w:val="nil"/>
              <w:right w:val="single" w:sz="6" w:space="0" w:color="404040"/>
            </w:tcBorders>
            <w:shd w:val="clear" w:color="auto" w:fill="auto"/>
            <w:vAlign w:val="center"/>
          </w:tcPr>
          <w:p w14:paraId="2CC91E6B" w14:textId="77777777" w:rsidR="00B30942" w:rsidRPr="00F87E34" w:rsidRDefault="00B30942" w:rsidP="0074235B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994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3AA0A951" w14:textId="77777777" w:rsidR="00B30942" w:rsidRPr="00F87E34" w:rsidRDefault="00B30942" w:rsidP="0074235B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994" w:type="dxa"/>
            <w:tcBorders>
              <w:top w:val="single" w:sz="6" w:space="0" w:color="404040"/>
              <w:left w:val="nil"/>
              <w:bottom w:val="nil"/>
            </w:tcBorders>
            <w:shd w:val="clear" w:color="auto" w:fill="auto"/>
            <w:vAlign w:val="center"/>
          </w:tcPr>
          <w:p w14:paraId="408C55FA" w14:textId="77777777" w:rsidR="00B30942" w:rsidRPr="00F87E34" w:rsidRDefault="00B30942" w:rsidP="0074235B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</w:tr>
      <w:tr w:rsidR="00B30942" w:rsidRPr="00F87E34" w14:paraId="67BC7198" w14:textId="77777777" w:rsidTr="0074235B">
        <w:trPr>
          <w:jc w:val="center"/>
        </w:trPr>
        <w:tc>
          <w:tcPr>
            <w:tcW w:w="3880" w:type="dxa"/>
            <w:tcBorders>
              <w:top w:val="nil"/>
              <w:bottom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83A1233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Personal ocupado total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56D8E5AC" w14:textId="77777777" w:rsidR="00B30942" w:rsidRPr="00F87E34" w:rsidRDefault="00B30942" w:rsidP="0074235B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6" w:space="0" w:color="404040"/>
            </w:tcBorders>
            <w:shd w:val="clear" w:color="auto" w:fill="auto"/>
            <w:vAlign w:val="center"/>
          </w:tcPr>
          <w:p w14:paraId="59EFEBB2" w14:textId="77777777" w:rsidR="00B30942" w:rsidRPr="00F87E34" w:rsidRDefault="00B30942" w:rsidP="0074235B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4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vAlign w:val="center"/>
          </w:tcPr>
          <w:p w14:paraId="6432014D" w14:textId="77777777" w:rsidR="00B30942" w:rsidRPr="00F87E34" w:rsidRDefault="00B30942" w:rsidP="0074235B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68C78E" w14:textId="77777777" w:rsidR="00B30942" w:rsidRPr="00F87E34" w:rsidRDefault="00B30942" w:rsidP="0074235B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</w:t>
            </w:r>
          </w:p>
        </w:tc>
      </w:tr>
      <w:tr w:rsidR="00B30942" w:rsidRPr="00F87E34" w14:paraId="428AF98C" w14:textId="77777777" w:rsidTr="0074235B">
        <w:trPr>
          <w:jc w:val="center"/>
        </w:trPr>
        <w:tc>
          <w:tcPr>
            <w:tcW w:w="3880" w:type="dxa"/>
            <w:tcBorders>
              <w:top w:val="nil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435EBA59" w14:textId="77777777" w:rsidR="00B30942" w:rsidRPr="00F87E34" w:rsidRDefault="00B30942" w:rsidP="0074235B">
            <w:pPr>
              <w:pStyle w:val="p0"/>
              <w:keepLines w:val="0"/>
              <w:widowControl/>
              <w:spacing w:before="40" w:after="40"/>
              <w:jc w:val="lef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87E34">
              <w:rPr>
                <w:rFonts w:ascii="Arial" w:hAnsi="Arial"/>
                <w:color w:val="000000" w:themeColor="text1"/>
                <w:sz w:val="18"/>
                <w:szCs w:val="18"/>
              </w:rPr>
              <w:t>Remuneraciones medias reales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right w:val="nil"/>
            </w:tcBorders>
            <w:shd w:val="clear" w:color="auto" w:fill="auto"/>
            <w:vAlign w:val="center"/>
          </w:tcPr>
          <w:p w14:paraId="241FB1EA" w14:textId="77777777" w:rsidR="00B30942" w:rsidRPr="00F87E34" w:rsidRDefault="00B30942" w:rsidP="0074235B">
            <w:pPr>
              <w:tabs>
                <w:tab w:val="decimal" w:pos="359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right w:val="single" w:sz="6" w:space="0" w:color="404040"/>
            </w:tcBorders>
            <w:shd w:val="clear" w:color="auto" w:fill="auto"/>
            <w:vAlign w:val="center"/>
          </w:tcPr>
          <w:p w14:paraId="6EF91FB8" w14:textId="77777777" w:rsidR="00B30942" w:rsidRPr="00F87E34" w:rsidRDefault="00B30942" w:rsidP="0074235B">
            <w:pPr>
              <w:tabs>
                <w:tab w:val="decimal" w:pos="317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  <w:tc>
          <w:tcPr>
            <w:tcW w:w="994" w:type="dxa"/>
            <w:tcBorders>
              <w:top w:val="nil"/>
              <w:left w:val="single" w:sz="6" w:space="0" w:color="404040"/>
              <w:right w:val="nil"/>
            </w:tcBorders>
            <w:shd w:val="clear" w:color="auto" w:fill="auto"/>
            <w:vAlign w:val="center"/>
          </w:tcPr>
          <w:p w14:paraId="6642BB25" w14:textId="77777777" w:rsidR="00B30942" w:rsidRPr="00F87E34" w:rsidRDefault="00B30942" w:rsidP="0074235B">
            <w:pPr>
              <w:tabs>
                <w:tab w:val="decimal" w:pos="365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99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9126A76" w14:textId="77777777" w:rsidR="00B30942" w:rsidRPr="00F87E34" w:rsidRDefault="00B30942" w:rsidP="0074235B">
            <w:pPr>
              <w:tabs>
                <w:tab w:val="decimal" w:pos="331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</w:tr>
    </w:tbl>
    <w:p w14:paraId="6894510A" w14:textId="77777777" w:rsidR="00B30942" w:rsidRPr="00F87E34" w:rsidRDefault="00B30942" w:rsidP="00B30942">
      <w:pPr>
        <w:pStyle w:val="Prrafodelista"/>
        <w:tabs>
          <w:tab w:val="left" w:pos="1050"/>
          <w:tab w:val="left" w:pos="7939"/>
        </w:tabs>
        <w:ind w:left="882"/>
        <w:rPr>
          <w:sz w:val="16"/>
          <w:szCs w:val="16"/>
        </w:rPr>
      </w:pPr>
      <w:r w:rsidRPr="00F87E34">
        <w:rPr>
          <w:sz w:val="16"/>
          <w:szCs w:val="16"/>
        </w:rPr>
        <w:t>*</w:t>
      </w:r>
      <w:r w:rsidRPr="00F87E34">
        <w:rPr>
          <w:sz w:val="16"/>
          <w:szCs w:val="16"/>
        </w:rPr>
        <w:tab/>
        <w:t>En términos reales</w:t>
      </w:r>
    </w:p>
    <w:p w14:paraId="1CF5DD07" w14:textId="77777777" w:rsidR="00B30942" w:rsidRPr="00F87E34" w:rsidRDefault="00B30942" w:rsidP="00B30942">
      <w:pPr>
        <w:pStyle w:val="Prrafodelista"/>
        <w:tabs>
          <w:tab w:val="left" w:pos="1484"/>
          <w:tab w:val="left" w:pos="7939"/>
        </w:tabs>
        <w:ind w:left="882"/>
        <w:rPr>
          <w:sz w:val="16"/>
          <w:szCs w:val="16"/>
        </w:rPr>
      </w:pPr>
      <w:r w:rsidRPr="00F87E34">
        <w:rPr>
          <w:sz w:val="16"/>
          <w:szCs w:val="16"/>
        </w:rPr>
        <w:t>Fuente:</w:t>
      </w:r>
      <w:r w:rsidRPr="00F87E34">
        <w:rPr>
          <w:sz w:val="16"/>
          <w:szCs w:val="16"/>
        </w:rPr>
        <w:tab/>
        <w:t>INEGI</w:t>
      </w:r>
    </w:p>
    <w:p w14:paraId="1F2D1AB4" w14:textId="77777777" w:rsidR="00B30942" w:rsidRDefault="00B30942" w:rsidP="00B30942">
      <w:pPr>
        <w:spacing w:before="240"/>
        <w:ind w:right="49"/>
        <w:rPr>
          <w:snapToGrid w:val="0"/>
          <w:spacing w:val="6"/>
        </w:rPr>
      </w:pPr>
    </w:p>
    <w:p w14:paraId="206637F8" w14:textId="77777777" w:rsidR="00B30942" w:rsidRDefault="00B30942" w:rsidP="00B30942">
      <w:pPr>
        <w:spacing w:before="240"/>
        <w:ind w:right="49"/>
        <w:rPr>
          <w:snapToGrid w:val="0"/>
          <w:spacing w:val="6"/>
        </w:rPr>
      </w:pPr>
    </w:p>
    <w:p w14:paraId="0C7DF100" w14:textId="77777777" w:rsidR="00B30942" w:rsidRPr="00CD3329" w:rsidRDefault="00B30942" w:rsidP="00B30942">
      <w:pPr>
        <w:spacing w:before="280"/>
        <w:ind w:right="49"/>
        <w:rPr>
          <w:snapToGrid w:val="0"/>
          <w:spacing w:val="6"/>
        </w:rPr>
      </w:pPr>
      <w:r w:rsidRPr="00CD3329">
        <w:rPr>
          <w:snapToGrid w:val="0"/>
          <w:spacing w:val="6"/>
        </w:rPr>
        <w:lastRenderedPageBreak/>
        <w:t>En las empresas comerciales al por menor, a tasa anual y sin el factor estacional, los ingresos reales subieron 5.9 %, las remuneraciones medias reales, 4.7 % y el personal ocupado total cayó 1.3 por ciento.</w:t>
      </w:r>
    </w:p>
    <w:p w14:paraId="5693408D" w14:textId="77777777" w:rsidR="00B30942" w:rsidRPr="001F6FB3" w:rsidRDefault="00B30942" w:rsidP="00B30942">
      <w:pPr>
        <w:pStyle w:val="p0"/>
        <w:keepNext/>
        <w:spacing w:before="840"/>
        <w:jc w:val="left"/>
        <w:rPr>
          <w:rFonts w:ascii="Arial Negrita" w:hAnsi="Arial Negrita"/>
          <w:b/>
          <w:i/>
          <w:smallCaps/>
          <w:color w:val="auto"/>
        </w:rPr>
      </w:pPr>
      <w:r w:rsidRPr="001F6FB3">
        <w:rPr>
          <w:rFonts w:ascii="Arial Negrita" w:hAnsi="Arial Negrita"/>
          <w:b/>
          <w:i/>
          <w:smallCaps/>
          <w:color w:val="auto"/>
        </w:rPr>
        <w:t>Nota al usuario</w:t>
      </w:r>
    </w:p>
    <w:p w14:paraId="6A2039DC" w14:textId="77777777" w:rsidR="00B30942" w:rsidRPr="00F87E34" w:rsidRDefault="00B30942" w:rsidP="00B30942">
      <w:pPr>
        <w:pStyle w:val="p0"/>
        <w:keepNext/>
        <w:rPr>
          <w:rFonts w:ascii="Arial" w:hAnsi="Arial"/>
          <w:color w:val="auto"/>
        </w:rPr>
      </w:pPr>
      <w:r w:rsidRPr="002D476C">
        <w:rPr>
          <w:rFonts w:ascii="Arial" w:hAnsi="Arial"/>
          <w:color w:val="auto"/>
          <w:lang w:val="es-MX"/>
        </w:rPr>
        <w:t>La tasa de no respuesta de la EMEC, correspondiente a</w:t>
      </w:r>
      <w:r>
        <w:rPr>
          <w:rFonts w:ascii="Arial" w:hAnsi="Arial"/>
          <w:color w:val="auto"/>
          <w:lang w:val="es-MX"/>
        </w:rPr>
        <w:t xml:space="preserve"> julio</w:t>
      </w:r>
      <w:r w:rsidRPr="002D476C">
        <w:rPr>
          <w:rFonts w:ascii="Arial" w:hAnsi="Arial"/>
          <w:color w:val="auto"/>
          <w:lang w:val="es-MX"/>
        </w:rPr>
        <w:t xml:space="preserve"> de 2022, registró porcentajes apropiados conforme al diseño estadístico de la encuesta. Esto permitió generar estadísticas con niveles altos de precisión</w:t>
      </w:r>
      <w:r>
        <w:rPr>
          <w:rFonts w:ascii="Arial" w:hAnsi="Arial"/>
          <w:color w:val="auto"/>
          <w:lang w:val="es-MX"/>
        </w:rPr>
        <w:t>.</w:t>
      </w:r>
    </w:p>
    <w:p w14:paraId="7158A88D" w14:textId="77777777" w:rsidR="00B30942" w:rsidRPr="00DA449A" w:rsidRDefault="00B30942" w:rsidP="00B30942">
      <w:pPr>
        <w:pStyle w:val="xmsonormal"/>
        <w:shd w:val="clear" w:color="auto" w:fill="FFFFFF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C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on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base en 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los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«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Lineamientos de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c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ambios a la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i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nformación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d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ivulgada en las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p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ublicaciones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e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stadísticas y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g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eográficas del </w:t>
      </w:r>
      <w:r w:rsidRPr="00B36FC2">
        <w:rPr>
          <w:rFonts w:ascii="Arial" w:hAnsi="Arial"/>
          <w:sz w:val="24"/>
        </w:rPr>
        <w:t>Instituto Nacional de Estadística y Geografía</w:t>
      </w:r>
      <w:r>
        <w:rPr>
          <w:rFonts w:ascii="Arial" w:hAnsi="Arial"/>
          <w:sz w:val="24"/>
        </w:rPr>
        <w:t>»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>, l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>as series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 de la </w:t>
      </w:r>
      <w:r w:rsidRPr="00DA449A">
        <w:rPr>
          <w:rFonts w:ascii="Arial" w:hAnsi="Arial" w:cs="Arial"/>
          <w:color w:val="000000"/>
          <w:sz w:val="24"/>
          <w:szCs w:val="24"/>
        </w:rPr>
        <w:t>EMEC</w:t>
      </w:r>
      <w:r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 de 2021 fueron revisadas y actualizadas. De acuerdo con lo anterior, las cifras del periodo 2013-2021 tienen carácter definitivo y 2022 mantienen su carácter de preliminar.</w:t>
      </w:r>
    </w:p>
    <w:p w14:paraId="71471E2F" w14:textId="77777777" w:rsidR="00B30942" w:rsidRPr="00DA449A" w:rsidRDefault="00B30942" w:rsidP="00B30942">
      <w:pPr>
        <w:pStyle w:val="p0"/>
        <w:keepLines w:val="0"/>
        <w:widowControl/>
        <w:rPr>
          <w:rFonts w:ascii="Arial" w:hAnsi="Arial"/>
          <w:color w:val="auto"/>
          <w:lang w:val="es-MX"/>
        </w:rPr>
      </w:pPr>
      <w:r w:rsidRPr="00DA449A">
        <w:rPr>
          <w:rFonts w:ascii="Arial" w:hAnsi="Arial"/>
          <w:color w:val="000000"/>
        </w:rPr>
        <w:t>Los resultados definitivos del año 2021 mantienen niveles adecuados de cobertura y precisión para todos los dominios de estudio durante los 12 meses del año</w:t>
      </w:r>
      <w:r>
        <w:rPr>
          <w:rFonts w:ascii="Arial" w:hAnsi="Arial"/>
          <w:color w:val="000000"/>
        </w:rPr>
        <w:t>.</w:t>
      </w:r>
    </w:p>
    <w:p w14:paraId="505DDFBE" w14:textId="77777777" w:rsidR="00B30942" w:rsidRDefault="00B30942" w:rsidP="00B30942">
      <w:pPr>
        <w:spacing w:before="240"/>
        <w:jc w:val="center"/>
        <w:rPr>
          <w:sz w:val="22"/>
          <w:szCs w:val="22"/>
        </w:rPr>
      </w:pPr>
    </w:p>
    <w:p w14:paraId="3C5D60CD" w14:textId="77777777" w:rsidR="00B30942" w:rsidRDefault="00B30942" w:rsidP="00B30942">
      <w:pPr>
        <w:spacing w:before="240"/>
        <w:jc w:val="center"/>
        <w:rPr>
          <w:sz w:val="22"/>
          <w:szCs w:val="22"/>
        </w:rPr>
      </w:pPr>
    </w:p>
    <w:p w14:paraId="65577E13" w14:textId="77777777" w:rsidR="00B30942" w:rsidRDefault="00B30942" w:rsidP="00B30942">
      <w:pPr>
        <w:spacing w:before="240"/>
        <w:jc w:val="center"/>
        <w:rPr>
          <w:sz w:val="22"/>
          <w:szCs w:val="22"/>
        </w:rPr>
      </w:pPr>
    </w:p>
    <w:p w14:paraId="688C846E" w14:textId="77777777" w:rsidR="00B30942" w:rsidRDefault="00B30942" w:rsidP="00B30942">
      <w:pPr>
        <w:spacing w:before="240"/>
        <w:jc w:val="center"/>
        <w:rPr>
          <w:sz w:val="22"/>
          <w:szCs w:val="22"/>
        </w:rPr>
      </w:pPr>
    </w:p>
    <w:p w14:paraId="71C14E85" w14:textId="77777777" w:rsidR="00B30942" w:rsidRDefault="00B30942" w:rsidP="00B30942">
      <w:pPr>
        <w:spacing w:before="240"/>
        <w:jc w:val="center"/>
        <w:rPr>
          <w:sz w:val="22"/>
          <w:szCs w:val="22"/>
        </w:rPr>
      </w:pPr>
    </w:p>
    <w:p w14:paraId="1FEE2700" w14:textId="77777777" w:rsidR="00B30942" w:rsidRDefault="00B30942" w:rsidP="00B30942">
      <w:pPr>
        <w:spacing w:before="240"/>
        <w:jc w:val="center"/>
        <w:rPr>
          <w:sz w:val="22"/>
          <w:szCs w:val="22"/>
        </w:rPr>
      </w:pPr>
    </w:p>
    <w:p w14:paraId="0E5AE705" w14:textId="77777777" w:rsidR="00B30942" w:rsidRDefault="00B30942" w:rsidP="00B30942">
      <w:pPr>
        <w:spacing w:before="240"/>
        <w:jc w:val="center"/>
        <w:rPr>
          <w:sz w:val="22"/>
          <w:szCs w:val="22"/>
        </w:rPr>
      </w:pPr>
    </w:p>
    <w:p w14:paraId="505D7140" w14:textId="77777777" w:rsidR="00B30942" w:rsidRPr="00AF738B" w:rsidRDefault="00B30942" w:rsidP="00B30942">
      <w:pPr>
        <w:spacing w:before="240"/>
        <w:jc w:val="center"/>
        <w:rPr>
          <w:sz w:val="22"/>
          <w:szCs w:val="22"/>
        </w:rPr>
      </w:pPr>
      <w:r w:rsidRPr="00AF738B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 xml:space="preserve">escribir </w:t>
      </w:r>
      <w:r w:rsidRPr="00AF738B">
        <w:rPr>
          <w:sz w:val="22"/>
          <w:szCs w:val="22"/>
        </w:rPr>
        <w:t xml:space="preserve">a: </w:t>
      </w:r>
      <w:hyperlink r:id="rId10" w:history="1">
        <w:r w:rsidRPr="00AF738B">
          <w:rPr>
            <w:rStyle w:val="Hipervnculo"/>
            <w:sz w:val="22"/>
            <w:szCs w:val="22"/>
          </w:rPr>
          <w:t>comunicacionsocial@inegi.org.mx</w:t>
        </w:r>
      </w:hyperlink>
    </w:p>
    <w:p w14:paraId="2BCE7433" w14:textId="77777777" w:rsidR="00B30942" w:rsidRPr="00AF738B" w:rsidRDefault="00B30942" w:rsidP="00B3094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738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F738B">
        <w:rPr>
          <w:rFonts w:ascii="Arial" w:hAnsi="Arial" w:cs="Arial"/>
          <w:sz w:val="22"/>
          <w:szCs w:val="22"/>
        </w:rPr>
        <w:t>exts</w:t>
      </w:r>
      <w:proofErr w:type="spellEnd"/>
      <w:r w:rsidRPr="00AF738B">
        <w:rPr>
          <w:rFonts w:ascii="Arial" w:hAnsi="Arial" w:cs="Arial"/>
          <w:sz w:val="22"/>
          <w:szCs w:val="22"/>
        </w:rPr>
        <w:t>. 1134, 1260 y 1241.</w:t>
      </w:r>
    </w:p>
    <w:p w14:paraId="2A4C9B1A" w14:textId="77777777" w:rsidR="00B30942" w:rsidRPr="00AF738B" w:rsidRDefault="00B30942" w:rsidP="00B3094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7E6EE5D" w14:textId="77777777" w:rsidR="00B30942" w:rsidRPr="00AF738B" w:rsidRDefault="00B30942" w:rsidP="00B3094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F738B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51534F49" w14:textId="77777777" w:rsidR="00B30942" w:rsidRPr="002A4D9D" w:rsidRDefault="00B30942" w:rsidP="00B3094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41573C6" w14:textId="77777777" w:rsidR="00B30942" w:rsidRPr="008F0992" w:rsidRDefault="00B30942" w:rsidP="00B30942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3A3D5D0A" wp14:editId="5F271030">
            <wp:extent cx="274320" cy="365760"/>
            <wp:effectExtent l="0" t="0" r="0" b="0"/>
            <wp:docPr id="4" name="Imagen 4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8A4ED2E" wp14:editId="6A2C058E">
            <wp:extent cx="365760" cy="365760"/>
            <wp:effectExtent l="0" t="0" r="0" b="0"/>
            <wp:docPr id="5" name="Imagen 5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5DDFE90" wp14:editId="207BBC52">
            <wp:extent cx="365760" cy="365760"/>
            <wp:effectExtent l="0" t="0" r="0" b="0"/>
            <wp:docPr id="7" name="Imagen 7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5F45FBE" wp14:editId="4B09E094">
            <wp:extent cx="365760" cy="365760"/>
            <wp:effectExtent l="0" t="0" r="0" b="0"/>
            <wp:docPr id="15" name="Imagen 1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54F95E76" wp14:editId="7DA9C6C1">
            <wp:extent cx="2286000" cy="274320"/>
            <wp:effectExtent l="0" t="0" r="0" b="0"/>
            <wp:docPr id="33" name="Imagen 3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714A6" w14:textId="77777777" w:rsidR="00B30942" w:rsidRDefault="00B30942" w:rsidP="00B30942">
      <w:pPr>
        <w:spacing w:before="360"/>
        <w:ind w:left="-284" w:right="-547"/>
        <w:jc w:val="center"/>
        <w:rPr>
          <w:sz w:val="22"/>
          <w:szCs w:val="22"/>
        </w:rPr>
      </w:pPr>
    </w:p>
    <w:p w14:paraId="18AFF41B" w14:textId="77777777" w:rsidR="00B30942" w:rsidRDefault="00B30942" w:rsidP="00B30942">
      <w:pPr>
        <w:ind w:left="-567"/>
        <w:jc w:val="center"/>
        <w:rPr>
          <w:noProof/>
          <w:lang w:eastAsia="es-MX"/>
        </w:rPr>
        <w:sectPr w:rsidR="00B30942" w:rsidSect="0074235B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31347472" w14:textId="77777777" w:rsidR="00B30942" w:rsidRPr="00AE3EAB" w:rsidRDefault="00B30942" w:rsidP="00B30942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AE3EAB">
        <w:rPr>
          <w:sz w:val="24"/>
          <w:szCs w:val="24"/>
          <w:lang w:val="es-MX"/>
        </w:rPr>
        <w:lastRenderedPageBreak/>
        <w:t>ANEXO</w:t>
      </w:r>
    </w:p>
    <w:p w14:paraId="4463FB93" w14:textId="77777777" w:rsidR="00B30942" w:rsidRPr="00AE3EAB" w:rsidRDefault="00B30942" w:rsidP="00B30942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AE3EAB">
        <w:rPr>
          <w:sz w:val="24"/>
          <w:szCs w:val="24"/>
          <w:lang w:val="es-MX"/>
        </w:rPr>
        <w:t>Nota técnica</w:t>
      </w:r>
    </w:p>
    <w:p w14:paraId="7EB706EF" w14:textId="77777777" w:rsidR="00774F5B" w:rsidRPr="00F87E34" w:rsidRDefault="00774F5B" w:rsidP="00881D36">
      <w:pPr>
        <w:pStyle w:val="bulnot"/>
        <w:widowControl w:val="0"/>
        <w:tabs>
          <w:tab w:val="clear" w:pos="851"/>
        </w:tabs>
        <w:spacing w:before="840"/>
        <w:ind w:left="0" w:right="0" w:firstLine="0"/>
        <w:jc w:val="left"/>
        <w:rPr>
          <w:rFonts w:cs="Arial"/>
          <w:bCs/>
          <w:i/>
          <w:iCs/>
          <w:color w:val="auto"/>
          <w:spacing w:val="0"/>
          <w:sz w:val="24"/>
          <w:szCs w:val="24"/>
        </w:rPr>
      </w:pPr>
      <w:r w:rsidRPr="00F87E34">
        <w:rPr>
          <w:rFonts w:cs="Arial"/>
          <w:bCs/>
          <w:i/>
          <w:iCs/>
          <w:color w:val="auto"/>
          <w:spacing w:val="0"/>
          <w:sz w:val="24"/>
          <w:szCs w:val="24"/>
        </w:rPr>
        <w:t xml:space="preserve">Cifras desestacionalizadas </w:t>
      </w:r>
    </w:p>
    <w:p w14:paraId="46D4AC28" w14:textId="08DA7975" w:rsidR="00467BD1" w:rsidRPr="00F87E34" w:rsidRDefault="008679CD" w:rsidP="00D805CD">
      <w:pPr>
        <w:pStyle w:val="bulnot"/>
        <w:widowControl w:val="0"/>
        <w:spacing w:before="240"/>
        <w:ind w:left="567" w:right="567" w:firstLine="0"/>
        <w:rPr>
          <w:rFonts w:cs="Arial"/>
          <w:i/>
          <w:color w:val="auto"/>
          <w:spacing w:val="0"/>
          <w:sz w:val="24"/>
          <w:szCs w:val="24"/>
        </w:rPr>
      </w:pPr>
      <w:r w:rsidRPr="00F87E34">
        <w:rPr>
          <w:rFonts w:cs="Arial"/>
          <w:i/>
          <w:color w:val="auto"/>
          <w:spacing w:val="0"/>
          <w:sz w:val="24"/>
          <w:szCs w:val="24"/>
        </w:rPr>
        <w:t>Indicadores de las empresas comerciales al por mayor</w:t>
      </w:r>
    </w:p>
    <w:p w14:paraId="67DD4409" w14:textId="457D1117" w:rsidR="00ED4D0D" w:rsidRPr="00F87E34" w:rsidRDefault="00F820E2" w:rsidP="00D805CD">
      <w:pPr>
        <w:pStyle w:val="Textoindependiente"/>
        <w:spacing w:before="200"/>
        <w:rPr>
          <w:color w:val="auto"/>
        </w:rPr>
      </w:pPr>
      <w:r w:rsidRPr="00F87E34">
        <w:rPr>
          <w:color w:val="auto"/>
        </w:rPr>
        <w:t xml:space="preserve">En </w:t>
      </w:r>
      <w:r w:rsidR="0093724D">
        <w:rPr>
          <w:color w:val="auto"/>
        </w:rPr>
        <w:t>ju</w:t>
      </w:r>
      <w:r w:rsidR="00611B77">
        <w:rPr>
          <w:color w:val="auto"/>
        </w:rPr>
        <w:t>l</w:t>
      </w:r>
      <w:r w:rsidR="0093724D">
        <w:rPr>
          <w:color w:val="auto"/>
        </w:rPr>
        <w:t>i</w:t>
      </w:r>
      <w:r w:rsidR="009006EA">
        <w:rPr>
          <w:color w:val="auto"/>
        </w:rPr>
        <w:t>o</w:t>
      </w:r>
      <w:r w:rsidRPr="00F87E34">
        <w:rPr>
          <w:color w:val="auto"/>
        </w:rPr>
        <w:t xml:space="preserve"> de 202</w:t>
      </w:r>
      <w:r w:rsidR="00D664F1">
        <w:rPr>
          <w:color w:val="auto"/>
        </w:rPr>
        <w:t>2</w:t>
      </w:r>
      <w:r w:rsidR="00B35656">
        <w:rPr>
          <w:color w:val="auto"/>
        </w:rPr>
        <w:t xml:space="preserve"> y a tasa mensual</w:t>
      </w:r>
      <w:r w:rsidRPr="00F87E34">
        <w:rPr>
          <w:color w:val="auto"/>
        </w:rPr>
        <w:t>, l</w:t>
      </w:r>
      <w:r w:rsidR="009E2BC4" w:rsidRPr="00F87E34">
        <w:rPr>
          <w:color w:val="auto"/>
        </w:rPr>
        <w:t>os resultados de la Encuesta Mensual sobre Empresas Comerciales</w:t>
      </w:r>
      <w:r w:rsidR="008E3F30">
        <w:rPr>
          <w:color w:val="auto"/>
        </w:rPr>
        <w:t xml:space="preserve"> (EMEC)</w:t>
      </w:r>
      <w:r w:rsidR="009E2BC4" w:rsidRPr="00F87E34">
        <w:rPr>
          <w:color w:val="auto"/>
        </w:rPr>
        <w:t xml:space="preserve"> </w:t>
      </w:r>
      <w:r w:rsidR="009E2BC4" w:rsidRPr="00F87E34">
        <w:rPr>
          <w:color w:val="auto"/>
          <w:shd w:val="clear" w:color="auto" w:fill="FFFFFF" w:themeFill="background1"/>
        </w:rPr>
        <w:t>muestran</w:t>
      </w:r>
      <w:r w:rsidR="009E2BC4" w:rsidRPr="00F87E34">
        <w:rPr>
          <w:color w:val="auto"/>
        </w:rPr>
        <w:t xml:space="preserve"> que</w:t>
      </w:r>
      <w:r w:rsidR="001D1AC6" w:rsidRPr="00F87E34">
        <w:rPr>
          <w:color w:val="auto"/>
        </w:rPr>
        <w:t xml:space="preserve"> </w:t>
      </w:r>
      <w:r w:rsidR="009E2BC4" w:rsidRPr="00F87E34">
        <w:rPr>
          <w:color w:val="auto"/>
        </w:rPr>
        <w:t xml:space="preserve">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de las </w:t>
      </w:r>
      <w:r w:rsidR="00F819B9" w:rsidRPr="00F87E34">
        <w:rPr>
          <w:color w:val="auto"/>
        </w:rPr>
        <w:t>e</w:t>
      </w:r>
      <w:r w:rsidR="009E2BC4" w:rsidRPr="00F87E34">
        <w:rPr>
          <w:color w:val="auto"/>
        </w:rPr>
        <w:t xml:space="preserve">mpresas </w:t>
      </w:r>
      <w:r w:rsidR="00F819B9" w:rsidRPr="00F87E34">
        <w:rPr>
          <w:color w:val="auto"/>
        </w:rPr>
        <w:t>c</w:t>
      </w:r>
      <w:r w:rsidR="009E2BC4" w:rsidRPr="00F87E34">
        <w:rPr>
          <w:color w:val="auto"/>
        </w:rPr>
        <w:t xml:space="preserve">omerciales al </w:t>
      </w:r>
      <w:r w:rsidR="00664719" w:rsidRPr="00F87E34">
        <w:rPr>
          <w:color w:val="auto"/>
        </w:rPr>
        <w:t xml:space="preserve">por </w:t>
      </w:r>
      <w:r w:rsidR="00F819B9" w:rsidRPr="00F87E34">
        <w:rPr>
          <w:color w:val="auto"/>
        </w:rPr>
        <w:t>m</w:t>
      </w:r>
      <w:r w:rsidR="009E2BC4" w:rsidRPr="00F87E34">
        <w:rPr>
          <w:color w:val="auto"/>
        </w:rPr>
        <w:t xml:space="preserve">ayor </w:t>
      </w:r>
      <w:r w:rsidR="00611B77">
        <w:rPr>
          <w:color w:val="auto"/>
        </w:rPr>
        <w:t>no registraron variación</w:t>
      </w:r>
      <w:r w:rsidR="00AD7BC1">
        <w:rPr>
          <w:color w:val="auto"/>
        </w:rPr>
        <w:t>,</w:t>
      </w:r>
      <w:r w:rsidR="00C555EB">
        <w:rPr>
          <w:color w:val="auto"/>
        </w:rPr>
        <w:t xml:space="preserve"> </w:t>
      </w:r>
      <w:r w:rsidR="00CC7785" w:rsidRPr="00F87E34">
        <w:rPr>
          <w:color w:val="auto"/>
        </w:rPr>
        <w:t>las remuneraciones medias reales</w:t>
      </w:r>
      <w:r w:rsidR="00611B77">
        <w:rPr>
          <w:color w:val="auto"/>
        </w:rPr>
        <w:t xml:space="preserve"> aumentaron</w:t>
      </w:r>
      <w:r w:rsidR="00CC7785" w:rsidRPr="00F87E34">
        <w:rPr>
          <w:color w:val="auto"/>
        </w:rPr>
        <w:t xml:space="preserve"> </w:t>
      </w:r>
      <w:r w:rsidR="00611B77">
        <w:rPr>
          <w:color w:val="auto"/>
        </w:rPr>
        <w:t>0.5</w:t>
      </w:r>
      <w:r w:rsidR="009D1D1E">
        <w:rPr>
          <w:color w:val="auto"/>
        </w:rPr>
        <w:t> </w:t>
      </w:r>
      <w:r w:rsidR="00CC7785" w:rsidRPr="00F87E34">
        <w:rPr>
          <w:color w:val="auto"/>
        </w:rPr>
        <w:t>%</w:t>
      </w:r>
      <w:r w:rsidR="00CC7785">
        <w:rPr>
          <w:color w:val="auto"/>
        </w:rPr>
        <w:t xml:space="preserve"> y </w:t>
      </w:r>
      <w:r w:rsidR="00B95200">
        <w:rPr>
          <w:color w:val="auto"/>
        </w:rPr>
        <w:t>el personal ocupado total</w:t>
      </w:r>
      <w:r w:rsidR="00611B77">
        <w:rPr>
          <w:color w:val="auto"/>
        </w:rPr>
        <w:t>, 0.1</w:t>
      </w:r>
      <w:r w:rsidR="00DF65C0">
        <w:rPr>
          <w:color w:val="auto"/>
        </w:rPr>
        <w:t> </w:t>
      </w:r>
      <w:r w:rsidR="00CC7785">
        <w:rPr>
          <w:color w:val="auto"/>
        </w:rPr>
        <w:t>por</w:t>
      </w:r>
      <w:r w:rsidR="00DF65C0">
        <w:rPr>
          <w:color w:val="auto"/>
        </w:rPr>
        <w:t> </w:t>
      </w:r>
      <w:r w:rsidR="00CC7785">
        <w:rPr>
          <w:color w:val="auto"/>
        </w:rPr>
        <w:t>ciento</w:t>
      </w:r>
      <w:r w:rsidR="005C5EAF" w:rsidRPr="00F87E34">
        <w:rPr>
          <w:color w:val="auto"/>
        </w:rPr>
        <w:t>.</w:t>
      </w:r>
    </w:p>
    <w:p w14:paraId="2E87EE61" w14:textId="27092A5B" w:rsidR="00467BD1" w:rsidRPr="00F87E34" w:rsidRDefault="008B4B23" w:rsidP="00D805CD">
      <w:pPr>
        <w:pStyle w:val="Textoindependiente"/>
        <w:spacing w:before="200"/>
        <w:rPr>
          <w:color w:val="auto"/>
        </w:rPr>
      </w:pPr>
      <w:r w:rsidRPr="00F87E34">
        <w:rPr>
          <w:color w:val="auto"/>
        </w:rPr>
        <w:t>E</w:t>
      </w:r>
      <w:r w:rsidR="00651B06">
        <w:rPr>
          <w:color w:val="auto"/>
        </w:rPr>
        <w:t xml:space="preserve">n </w:t>
      </w:r>
      <w:r w:rsidR="0093724D">
        <w:rPr>
          <w:color w:val="auto"/>
        </w:rPr>
        <w:t>ju</w:t>
      </w:r>
      <w:r w:rsidR="00611B77">
        <w:rPr>
          <w:color w:val="auto"/>
        </w:rPr>
        <w:t>l</w:t>
      </w:r>
      <w:r w:rsidR="0093724D">
        <w:rPr>
          <w:color w:val="auto"/>
        </w:rPr>
        <w:t>i</w:t>
      </w:r>
      <w:r w:rsidR="009006EA">
        <w:rPr>
          <w:color w:val="auto"/>
        </w:rPr>
        <w:t>o</w:t>
      </w:r>
      <w:r w:rsidR="00651B06">
        <w:rPr>
          <w:color w:val="auto"/>
        </w:rPr>
        <w:t xml:space="preserve"> de 2022 y a tasa</w:t>
      </w:r>
      <w:r w:rsidRPr="00F87E34">
        <w:rPr>
          <w:color w:val="auto"/>
        </w:rPr>
        <w:t xml:space="preserve"> anual</w:t>
      </w:r>
      <w:r w:rsidR="009E2BC4" w:rsidRPr="00F87E34">
        <w:rPr>
          <w:color w:val="auto"/>
        </w:rPr>
        <w:t xml:space="preserve">,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</w:t>
      </w:r>
      <w:r w:rsidR="00CA22F1" w:rsidRPr="00CA22F1">
        <w:rPr>
          <w:color w:val="auto"/>
        </w:rPr>
        <w:t>incrementaron</w:t>
      </w:r>
      <w:r w:rsidR="00CA22F1">
        <w:rPr>
          <w:color w:val="auto"/>
        </w:rPr>
        <w:t xml:space="preserve"> </w:t>
      </w:r>
      <w:r w:rsidR="00611B77">
        <w:rPr>
          <w:color w:val="auto"/>
        </w:rPr>
        <w:t>3.</w:t>
      </w:r>
      <w:r w:rsidR="00982628">
        <w:rPr>
          <w:color w:val="auto"/>
        </w:rPr>
        <w:t>5 </w:t>
      </w:r>
      <w:r w:rsidR="009E2BC4" w:rsidRPr="00F87E34">
        <w:rPr>
          <w:color w:val="auto"/>
        </w:rPr>
        <w:t>%</w:t>
      </w:r>
      <w:r w:rsidR="00101F61">
        <w:rPr>
          <w:color w:val="auto"/>
        </w:rPr>
        <w:t xml:space="preserve">, </w:t>
      </w:r>
      <w:r w:rsidR="006E09A9" w:rsidRPr="00F87E34">
        <w:rPr>
          <w:color w:val="auto"/>
        </w:rPr>
        <w:t xml:space="preserve">el </w:t>
      </w:r>
      <w:r w:rsidR="004C75FC" w:rsidRPr="00F87E34">
        <w:rPr>
          <w:color w:val="auto"/>
        </w:rPr>
        <w:t>p</w:t>
      </w:r>
      <w:r w:rsidR="00B00396" w:rsidRPr="00F87E34">
        <w:rPr>
          <w:color w:val="auto"/>
        </w:rPr>
        <w:t>ersonal ocupado total</w:t>
      </w:r>
      <w:r w:rsidR="00D03A5B">
        <w:rPr>
          <w:color w:val="auto"/>
        </w:rPr>
        <w:t>,</w:t>
      </w:r>
      <w:r w:rsidR="00B00396" w:rsidRPr="00F87E34">
        <w:rPr>
          <w:color w:val="auto"/>
        </w:rPr>
        <w:t xml:space="preserve"> </w:t>
      </w:r>
      <w:r w:rsidR="00470C10">
        <w:rPr>
          <w:color w:val="auto"/>
        </w:rPr>
        <w:t>1.</w:t>
      </w:r>
      <w:r w:rsidR="00982628">
        <w:rPr>
          <w:color w:val="auto"/>
        </w:rPr>
        <w:t>5 </w:t>
      </w:r>
      <w:r w:rsidR="00B00396" w:rsidRPr="00F87E34">
        <w:rPr>
          <w:color w:val="auto"/>
        </w:rPr>
        <w:t>%</w:t>
      </w:r>
      <w:r w:rsidR="00101F61">
        <w:rPr>
          <w:color w:val="auto"/>
        </w:rPr>
        <w:t xml:space="preserve"> y l</w:t>
      </w:r>
      <w:r w:rsidR="005C5EAF" w:rsidRPr="00F87E34">
        <w:rPr>
          <w:color w:val="auto"/>
        </w:rPr>
        <w:t xml:space="preserve">as </w:t>
      </w:r>
      <w:r w:rsidR="004C75FC" w:rsidRPr="00F87E34">
        <w:rPr>
          <w:color w:val="auto"/>
        </w:rPr>
        <w:t>r</w:t>
      </w:r>
      <w:r w:rsidR="005C5EAF" w:rsidRPr="00F87E34">
        <w:rPr>
          <w:color w:val="auto"/>
        </w:rPr>
        <w:t>emuneraciones medias reales</w:t>
      </w:r>
      <w:r w:rsidR="004000C8" w:rsidRPr="00F87E34">
        <w:rPr>
          <w:color w:val="auto"/>
        </w:rPr>
        <w:t xml:space="preserve"> </w:t>
      </w:r>
      <w:r w:rsidR="00470C10">
        <w:rPr>
          <w:color w:val="auto"/>
        </w:rPr>
        <w:t>d</w:t>
      </w:r>
      <w:r w:rsidR="00611B77">
        <w:rPr>
          <w:color w:val="auto"/>
        </w:rPr>
        <w:t>isminuye</w:t>
      </w:r>
      <w:r w:rsidR="00470C10">
        <w:rPr>
          <w:color w:val="auto"/>
        </w:rPr>
        <w:t xml:space="preserve">ron </w:t>
      </w:r>
      <w:r w:rsidR="00611B77">
        <w:rPr>
          <w:color w:val="auto"/>
        </w:rPr>
        <w:t>2</w:t>
      </w:r>
      <w:r w:rsidR="00982628">
        <w:rPr>
          <w:color w:val="auto"/>
        </w:rPr>
        <w:t>.6</w:t>
      </w:r>
      <w:r w:rsidR="00CC7785">
        <w:rPr>
          <w:color w:val="auto"/>
        </w:rPr>
        <w:t xml:space="preserve"> por ciento</w:t>
      </w:r>
      <w:r w:rsidR="004E0A24" w:rsidRPr="00F87E34">
        <w:rPr>
          <w:color w:val="auto"/>
        </w:rPr>
        <w:t>.</w:t>
      </w:r>
    </w:p>
    <w:p w14:paraId="76BACD40" w14:textId="77777777" w:rsidR="00467BD1" w:rsidRPr="00F87E34" w:rsidRDefault="00467BD1" w:rsidP="00D805CD">
      <w:pPr>
        <w:pStyle w:val="p0"/>
        <w:keepNext/>
        <w:keepLines w:val="0"/>
        <w:widowControl/>
        <w:spacing w:before="20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1</w:t>
      </w:r>
    </w:p>
    <w:p w14:paraId="5EAFB3CC" w14:textId="01D01499" w:rsidR="00467BD1" w:rsidRPr="00F87E34" w:rsidRDefault="00D805CD" w:rsidP="00774F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b/>
          <w:smallCaps/>
          <w:snapToGrid/>
          <w:color w:val="auto"/>
          <w:sz w:val="22"/>
        </w:rPr>
        <w:t>Ingresos reales por suministro de bienes y servicios</w:t>
      </w:r>
      <w:r w:rsidRPr="00F87E34">
        <w:rPr>
          <w:rFonts w:ascii="Arial" w:hAnsi="Arial"/>
          <w:b/>
          <w:smallCaps/>
          <w:color w:val="auto"/>
          <w:sz w:val="22"/>
        </w:rPr>
        <w:t xml:space="preserve"> </w:t>
      </w:r>
      <w:r w:rsidR="008679CD" w:rsidRPr="00F87E34">
        <w:rPr>
          <w:rFonts w:ascii="Arial" w:hAnsi="Arial"/>
          <w:smallCaps/>
          <w:szCs w:val="22"/>
        </w:rPr>
        <w:br/>
      </w:r>
      <w:r w:rsidR="00467BD1"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="00467BD1" w:rsidRPr="00F87E34">
        <w:rPr>
          <w:rFonts w:ascii="Arial" w:hAnsi="Arial"/>
          <w:color w:val="auto"/>
          <w:sz w:val="18"/>
          <w:szCs w:val="18"/>
        </w:rPr>
        <w:t>Índice base 20</w:t>
      </w:r>
      <w:r w:rsidR="006D01F3" w:rsidRPr="00F87E34">
        <w:rPr>
          <w:rFonts w:ascii="Arial" w:hAnsi="Arial"/>
          <w:color w:val="auto"/>
          <w:sz w:val="18"/>
          <w:szCs w:val="18"/>
        </w:rPr>
        <w:t>13</w:t>
      </w:r>
      <w:r w:rsidR="00467BD1" w:rsidRPr="00F87E34">
        <w:rPr>
          <w:rFonts w:ascii="Arial" w:hAnsi="Arial"/>
          <w:color w:val="auto"/>
          <w:sz w:val="18"/>
          <w:szCs w:val="18"/>
        </w:rPr>
        <w:t>=100)</w:t>
      </w:r>
    </w:p>
    <w:p w14:paraId="0722D1B4" w14:textId="0C57213A" w:rsidR="00D805CD" w:rsidRPr="00F87E34" w:rsidRDefault="00611B77" w:rsidP="00774F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05A25FC0" wp14:editId="07911524">
            <wp:extent cx="4320000" cy="2520000"/>
            <wp:effectExtent l="0" t="0" r="23495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EE9A48B" w14:textId="6CAEE6A3" w:rsidR="00D805CD" w:rsidRPr="00F87E34" w:rsidRDefault="00D805CD" w:rsidP="00D805CD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174F6A49" w14:textId="03ABBFCE" w:rsidR="00D805CD" w:rsidRPr="00F87E34" w:rsidRDefault="00D805CD" w:rsidP="007A5EE4">
      <w:pPr>
        <w:pStyle w:val="p0"/>
        <w:keepNext/>
        <w:widowControl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lastRenderedPageBreak/>
        <w:t>Gráfica 2</w:t>
      </w:r>
    </w:p>
    <w:p w14:paraId="760E282E" w14:textId="77777777" w:rsidR="00D805CD" w:rsidRPr="00F87E34" w:rsidRDefault="00D805CD" w:rsidP="007A5EE4">
      <w:pPr>
        <w:keepNext/>
        <w:keepLines/>
        <w:jc w:val="center"/>
        <w:rPr>
          <w:b/>
          <w:smallCaps/>
          <w:sz w:val="22"/>
        </w:rPr>
      </w:pPr>
      <w:r w:rsidRPr="00F87E34">
        <w:rPr>
          <w:b/>
          <w:smallCaps/>
          <w:sz w:val="22"/>
        </w:rPr>
        <w:t>Personal ocupado total</w:t>
      </w:r>
    </w:p>
    <w:p w14:paraId="5CAD35F4" w14:textId="35E53AD3" w:rsidR="00D805CD" w:rsidRPr="00F87E34" w:rsidRDefault="00D805CD" w:rsidP="007A5EE4">
      <w:pPr>
        <w:pStyle w:val="p0"/>
        <w:keepNext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706A6D46" w14:textId="6EEB8AB9" w:rsidR="00D805CD" w:rsidRPr="00F87E34" w:rsidRDefault="00611B77" w:rsidP="007A5EE4">
      <w:pPr>
        <w:keepNext/>
        <w:keepLines/>
        <w:jc w:val="center"/>
      </w:pPr>
      <w:r>
        <w:rPr>
          <w:noProof/>
        </w:rPr>
        <w:drawing>
          <wp:inline distT="0" distB="0" distL="0" distR="0" wp14:anchorId="5D35BB57" wp14:editId="4C9DAC6F">
            <wp:extent cx="4320000" cy="2520000"/>
            <wp:effectExtent l="0" t="0" r="23495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1D2498A" w14:textId="0CD2E026" w:rsidR="00D805CD" w:rsidRPr="00F87E34" w:rsidRDefault="00D805CD" w:rsidP="00D805CD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1B41EEDB" w14:textId="7EBB7212" w:rsidR="00D805CD" w:rsidRPr="00F87E34" w:rsidRDefault="00D805CD" w:rsidP="00D805CD">
      <w:pPr>
        <w:pStyle w:val="p0"/>
        <w:keepNext/>
        <w:keepLines w:val="0"/>
        <w:widowControl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3</w:t>
      </w:r>
    </w:p>
    <w:p w14:paraId="15FE2724" w14:textId="77777777" w:rsidR="00D805CD" w:rsidRPr="00F87E34" w:rsidRDefault="00D805CD" w:rsidP="00D805CD">
      <w:pPr>
        <w:jc w:val="center"/>
        <w:rPr>
          <w:b/>
          <w:smallCaps/>
          <w:sz w:val="22"/>
        </w:rPr>
      </w:pPr>
      <w:r w:rsidRPr="00F87E34">
        <w:rPr>
          <w:b/>
          <w:smallCaps/>
          <w:sz w:val="22"/>
        </w:rPr>
        <w:t>Remuneraciones medias reales</w:t>
      </w:r>
    </w:p>
    <w:p w14:paraId="6236D549" w14:textId="677F0E76" w:rsidR="00D805CD" w:rsidRPr="00F87E34" w:rsidRDefault="00D805CD" w:rsidP="00D805CD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51E565DB" w14:textId="55124593" w:rsidR="00A50405" w:rsidRPr="00F87E34" w:rsidRDefault="00611B77" w:rsidP="00D805CD">
      <w:pPr>
        <w:jc w:val="center"/>
      </w:pPr>
      <w:r>
        <w:rPr>
          <w:noProof/>
        </w:rPr>
        <w:drawing>
          <wp:inline distT="0" distB="0" distL="0" distR="0" wp14:anchorId="390405CC" wp14:editId="3BBF98A0">
            <wp:extent cx="4320000" cy="2520000"/>
            <wp:effectExtent l="0" t="0" r="23495" b="1397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02B4DD5" w14:textId="10EDB8B2" w:rsidR="00467BD1" w:rsidRPr="00F87E34" w:rsidRDefault="00467BD1" w:rsidP="00085572">
      <w:pPr>
        <w:pStyle w:val="Textoindependiente"/>
        <w:spacing w:before="0"/>
        <w:ind w:left="1134" w:firstLine="238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005A4C59" w14:textId="77777777" w:rsidR="00D805CD" w:rsidRPr="00F87E34" w:rsidRDefault="00D805CD">
      <w:pPr>
        <w:jc w:val="left"/>
        <w:rPr>
          <w:b/>
          <w:i/>
          <w:lang w:val="es-MX"/>
        </w:rPr>
      </w:pPr>
      <w:r w:rsidRPr="00F87E34">
        <w:rPr>
          <w:i/>
        </w:rPr>
        <w:br w:type="page"/>
      </w:r>
    </w:p>
    <w:p w14:paraId="5855B90C" w14:textId="345A1EBF" w:rsidR="00467BD1" w:rsidRPr="00F87E34" w:rsidRDefault="008679CD" w:rsidP="008679CD">
      <w:pPr>
        <w:pStyle w:val="bulnot"/>
        <w:widowControl w:val="0"/>
        <w:spacing w:before="600"/>
        <w:ind w:left="567" w:right="567" w:firstLine="0"/>
        <w:rPr>
          <w:rFonts w:cs="Arial"/>
          <w:i/>
          <w:color w:val="auto"/>
          <w:spacing w:val="0"/>
          <w:sz w:val="24"/>
          <w:szCs w:val="24"/>
        </w:rPr>
      </w:pPr>
      <w:r w:rsidRPr="00F87E34">
        <w:rPr>
          <w:rFonts w:cs="Arial"/>
          <w:i/>
          <w:color w:val="auto"/>
          <w:spacing w:val="0"/>
          <w:sz w:val="24"/>
          <w:szCs w:val="24"/>
        </w:rPr>
        <w:lastRenderedPageBreak/>
        <w:t xml:space="preserve">Indicadores de las empresas comerciales al por menor </w:t>
      </w:r>
    </w:p>
    <w:p w14:paraId="6BA8E4F0" w14:textId="5FD9A485" w:rsidR="003012FA" w:rsidRPr="00F87E34" w:rsidRDefault="00FC717F" w:rsidP="00134F49">
      <w:pPr>
        <w:pStyle w:val="Textoindependiente"/>
        <w:keepNext/>
        <w:keepLines/>
        <w:spacing w:before="360"/>
        <w:outlineLvl w:val="0"/>
        <w:rPr>
          <w:color w:val="auto"/>
        </w:rPr>
      </w:pPr>
      <w:r w:rsidRPr="00F87E34">
        <w:rPr>
          <w:color w:val="auto"/>
        </w:rPr>
        <w:t xml:space="preserve">En </w:t>
      </w:r>
      <w:r w:rsidR="0093724D">
        <w:rPr>
          <w:color w:val="auto"/>
        </w:rPr>
        <w:t>ju</w:t>
      </w:r>
      <w:r w:rsidR="004E3065">
        <w:rPr>
          <w:color w:val="auto"/>
        </w:rPr>
        <w:t>l</w:t>
      </w:r>
      <w:r w:rsidR="0093724D">
        <w:rPr>
          <w:color w:val="auto"/>
        </w:rPr>
        <w:t>i</w:t>
      </w:r>
      <w:r w:rsidR="009006EA">
        <w:rPr>
          <w:color w:val="auto"/>
        </w:rPr>
        <w:t>o</w:t>
      </w:r>
      <w:r w:rsidRPr="00F87E34">
        <w:rPr>
          <w:color w:val="auto"/>
        </w:rPr>
        <w:t xml:space="preserve"> de 202</w:t>
      </w:r>
      <w:r w:rsidR="00D664F1">
        <w:rPr>
          <w:color w:val="auto"/>
        </w:rPr>
        <w:t>2</w:t>
      </w:r>
      <w:r w:rsidR="00C25FB1" w:rsidRPr="00F87E34">
        <w:rPr>
          <w:color w:val="auto"/>
        </w:rPr>
        <w:t xml:space="preserve"> y</w:t>
      </w:r>
      <w:r w:rsidRPr="00F87E34">
        <w:rPr>
          <w:color w:val="auto"/>
        </w:rPr>
        <w:t xml:space="preserve"> a tasa</w:t>
      </w:r>
      <w:r w:rsidR="009E2BC4" w:rsidRPr="00F87E34">
        <w:rPr>
          <w:color w:val="auto"/>
        </w:rPr>
        <w:t xml:space="preserve"> mensual</w:t>
      </w:r>
      <w:r w:rsidR="008B4B23" w:rsidRPr="00F87E34">
        <w:rPr>
          <w:color w:val="auto"/>
        </w:rPr>
        <w:t>,</w:t>
      </w:r>
      <w:r w:rsidR="009E2BC4" w:rsidRPr="00F87E34">
        <w:rPr>
          <w:color w:val="auto"/>
        </w:rPr>
        <w:t xml:space="preserve">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 xml:space="preserve">ngresos reales por suministro de bienes y servicios </w:t>
      </w:r>
      <w:r w:rsidR="000032AE" w:rsidRPr="00F87E34">
        <w:rPr>
          <w:color w:val="auto"/>
        </w:rPr>
        <w:t xml:space="preserve">de las </w:t>
      </w:r>
      <w:r w:rsidR="00D824C0" w:rsidRPr="00F87E34">
        <w:rPr>
          <w:color w:val="auto"/>
        </w:rPr>
        <w:t>e</w:t>
      </w:r>
      <w:r w:rsidR="000032AE" w:rsidRPr="00F87E34">
        <w:rPr>
          <w:color w:val="auto"/>
        </w:rPr>
        <w:t xml:space="preserve">mpresas </w:t>
      </w:r>
      <w:r w:rsidR="00D824C0" w:rsidRPr="00F87E34">
        <w:rPr>
          <w:color w:val="auto"/>
        </w:rPr>
        <w:t>c</w:t>
      </w:r>
      <w:r w:rsidR="000032AE" w:rsidRPr="00F87E34">
        <w:rPr>
          <w:color w:val="auto"/>
        </w:rPr>
        <w:t>omerciales</w:t>
      </w:r>
      <w:r w:rsidR="000032AE" w:rsidRPr="00F87E34">
        <w:rPr>
          <w:snapToGrid w:val="0"/>
          <w:color w:val="auto"/>
          <w:sz w:val="22"/>
          <w:szCs w:val="22"/>
        </w:rPr>
        <w:t xml:space="preserve"> </w:t>
      </w:r>
      <w:r w:rsidR="000032AE" w:rsidRPr="00F87E34">
        <w:rPr>
          <w:color w:val="auto"/>
        </w:rPr>
        <w:t xml:space="preserve">al por </w:t>
      </w:r>
      <w:r w:rsidR="00D824C0" w:rsidRPr="00F87E34">
        <w:rPr>
          <w:color w:val="auto"/>
        </w:rPr>
        <w:t>m</w:t>
      </w:r>
      <w:r w:rsidR="000032AE" w:rsidRPr="00F87E34">
        <w:rPr>
          <w:color w:val="auto"/>
        </w:rPr>
        <w:t xml:space="preserve">enor </w:t>
      </w:r>
      <w:r w:rsidR="004E3065">
        <w:rPr>
          <w:color w:val="auto"/>
        </w:rPr>
        <w:t>creci</w:t>
      </w:r>
      <w:r w:rsidR="00982628">
        <w:rPr>
          <w:color w:val="auto"/>
        </w:rPr>
        <w:t>e</w:t>
      </w:r>
      <w:r w:rsidR="00042A96" w:rsidRPr="00F87E34">
        <w:rPr>
          <w:color w:val="auto"/>
        </w:rPr>
        <w:t>ron</w:t>
      </w:r>
      <w:r w:rsidR="001D1AC6" w:rsidRPr="00F87E34">
        <w:rPr>
          <w:color w:val="auto"/>
        </w:rPr>
        <w:t xml:space="preserve"> 0.</w:t>
      </w:r>
      <w:r w:rsidR="004E3065">
        <w:rPr>
          <w:color w:val="auto"/>
        </w:rPr>
        <w:t>9</w:t>
      </w:r>
      <w:r w:rsidR="00982628">
        <w:rPr>
          <w:color w:val="auto"/>
        </w:rPr>
        <w:t> </w:t>
      </w:r>
      <w:r w:rsidR="001D1AC6" w:rsidRPr="00F87E34">
        <w:rPr>
          <w:color w:val="auto"/>
        </w:rPr>
        <w:t>%,</w:t>
      </w:r>
      <w:r w:rsidR="004000C8" w:rsidRPr="00F87E34">
        <w:rPr>
          <w:color w:val="auto"/>
        </w:rPr>
        <w:t xml:space="preserve"> las </w:t>
      </w:r>
      <w:r w:rsidR="004C75FC" w:rsidRPr="00F87E34">
        <w:rPr>
          <w:color w:val="auto"/>
        </w:rPr>
        <w:t>r</w:t>
      </w:r>
      <w:r w:rsidR="004000C8" w:rsidRPr="00F87E34">
        <w:rPr>
          <w:color w:val="auto"/>
        </w:rPr>
        <w:t>emuneraciones medias reales</w:t>
      </w:r>
      <w:r w:rsidR="00D03A5B">
        <w:rPr>
          <w:color w:val="auto"/>
        </w:rPr>
        <w:t>,</w:t>
      </w:r>
      <w:r w:rsidR="004000C8" w:rsidRPr="00F87E34">
        <w:rPr>
          <w:color w:val="auto"/>
        </w:rPr>
        <w:t xml:space="preserve"> </w:t>
      </w:r>
      <w:r w:rsidR="004E3065">
        <w:rPr>
          <w:color w:val="auto"/>
        </w:rPr>
        <w:t>1.7</w:t>
      </w:r>
      <w:r w:rsidR="00982628">
        <w:rPr>
          <w:color w:val="auto"/>
        </w:rPr>
        <w:t> </w:t>
      </w:r>
      <w:r w:rsidR="004000C8" w:rsidRPr="00F87E34">
        <w:rPr>
          <w:color w:val="auto"/>
        </w:rPr>
        <w:t>%</w:t>
      </w:r>
      <w:r w:rsidR="001D1AC6" w:rsidRPr="00F87E34">
        <w:rPr>
          <w:color w:val="auto"/>
        </w:rPr>
        <w:t xml:space="preserve"> y </w:t>
      </w:r>
      <w:r w:rsidR="004000C8" w:rsidRPr="00F87E34">
        <w:rPr>
          <w:color w:val="auto"/>
        </w:rPr>
        <w:t xml:space="preserve">el </w:t>
      </w:r>
      <w:r w:rsidR="004C75FC" w:rsidRPr="00F87E34">
        <w:rPr>
          <w:color w:val="auto"/>
        </w:rPr>
        <w:t>p</w:t>
      </w:r>
      <w:r w:rsidR="004000C8" w:rsidRPr="00F87E34">
        <w:rPr>
          <w:color w:val="auto"/>
        </w:rPr>
        <w:t>ersonal ocupado total</w:t>
      </w:r>
      <w:r w:rsidR="00066EBE">
        <w:rPr>
          <w:color w:val="auto"/>
        </w:rPr>
        <w:t xml:space="preserve"> </w:t>
      </w:r>
      <w:r w:rsidR="004E3065">
        <w:rPr>
          <w:color w:val="auto"/>
        </w:rPr>
        <w:t>retrocedió 0.1 por ciento</w:t>
      </w:r>
      <w:r w:rsidR="008D4520" w:rsidRPr="00F87E34">
        <w:rPr>
          <w:color w:val="auto"/>
        </w:rPr>
        <w:t>.</w:t>
      </w:r>
    </w:p>
    <w:p w14:paraId="4963B463" w14:textId="4E453290" w:rsidR="00085572" w:rsidRPr="00F87E34" w:rsidRDefault="00EB4DDC" w:rsidP="00134F49">
      <w:pPr>
        <w:pStyle w:val="Textoindependiente"/>
        <w:spacing w:before="360"/>
        <w:outlineLvl w:val="0"/>
        <w:rPr>
          <w:color w:val="auto"/>
        </w:rPr>
      </w:pPr>
      <w:r w:rsidRPr="00F87E34">
        <w:rPr>
          <w:color w:val="auto"/>
        </w:rPr>
        <w:t xml:space="preserve">En </w:t>
      </w:r>
      <w:r w:rsidR="00616A94">
        <w:rPr>
          <w:color w:val="auto"/>
        </w:rPr>
        <w:t xml:space="preserve">el </w:t>
      </w:r>
      <w:r w:rsidR="0093724D">
        <w:rPr>
          <w:color w:val="auto"/>
        </w:rPr>
        <w:t>s</w:t>
      </w:r>
      <w:r w:rsidR="004E3065">
        <w:rPr>
          <w:color w:val="auto"/>
        </w:rPr>
        <w:t>éptim</w:t>
      </w:r>
      <w:r w:rsidR="00184034">
        <w:rPr>
          <w:color w:val="auto"/>
        </w:rPr>
        <w:t>o</w:t>
      </w:r>
      <w:r w:rsidR="00616A94">
        <w:rPr>
          <w:color w:val="auto"/>
        </w:rPr>
        <w:t xml:space="preserve"> mes de este año </w:t>
      </w:r>
      <w:r w:rsidR="00EC7C27">
        <w:rPr>
          <w:color w:val="auto"/>
        </w:rPr>
        <w:t xml:space="preserve">y en </w:t>
      </w:r>
      <w:r w:rsidRPr="00F87E34">
        <w:rPr>
          <w:color w:val="auto"/>
        </w:rPr>
        <w:t>comparación anual</w:t>
      </w:r>
      <w:r w:rsidR="009E2BC4" w:rsidRPr="00F87E34">
        <w:rPr>
          <w:color w:val="auto"/>
        </w:rPr>
        <w:t xml:space="preserve">, los </w:t>
      </w:r>
      <w:r w:rsidR="004C75FC" w:rsidRPr="00F87E34">
        <w:rPr>
          <w:color w:val="auto"/>
        </w:rPr>
        <w:t>i</w:t>
      </w:r>
      <w:r w:rsidR="009E2BC4" w:rsidRPr="00F87E34">
        <w:rPr>
          <w:color w:val="auto"/>
        </w:rPr>
        <w:t>ngresos reales por suministro de bienes y servici</w:t>
      </w:r>
      <w:r w:rsidR="009740EA" w:rsidRPr="00F87E34">
        <w:rPr>
          <w:color w:val="auto"/>
        </w:rPr>
        <w:t>o</w:t>
      </w:r>
      <w:r w:rsidR="00615CB8" w:rsidRPr="00F87E34">
        <w:rPr>
          <w:color w:val="auto"/>
        </w:rPr>
        <w:t xml:space="preserve">s </w:t>
      </w:r>
      <w:r w:rsidR="004E3065">
        <w:rPr>
          <w:color w:val="auto"/>
        </w:rPr>
        <w:t>aumenta</w:t>
      </w:r>
      <w:r w:rsidR="00CA22F1">
        <w:rPr>
          <w:color w:val="auto"/>
        </w:rPr>
        <w:t>ron</w:t>
      </w:r>
      <w:r w:rsidR="008D4520" w:rsidRPr="00F87E34">
        <w:rPr>
          <w:color w:val="auto"/>
        </w:rPr>
        <w:t xml:space="preserve"> </w:t>
      </w:r>
      <w:r w:rsidR="004E3065">
        <w:rPr>
          <w:color w:val="auto"/>
        </w:rPr>
        <w:t>5.9</w:t>
      </w:r>
      <w:r w:rsidR="00D6059E">
        <w:rPr>
          <w:color w:val="auto"/>
        </w:rPr>
        <w:t> </w:t>
      </w:r>
      <w:r w:rsidR="007B44D3" w:rsidRPr="00F87E34">
        <w:rPr>
          <w:color w:val="auto"/>
        </w:rPr>
        <w:t>%</w:t>
      </w:r>
      <w:r w:rsidR="001D1AC6" w:rsidRPr="00F87E34">
        <w:rPr>
          <w:color w:val="auto"/>
        </w:rPr>
        <w:t xml:space="preserve">, </w:t>
      </w:r>
      <w:r w:rsidR="00675880" w:rsidRPr="00F87E34">
        <w:rPr>
          <w:color w:val="auto"/>
        </w:rPr>
        <w:t xml:space="preserve">las </w:t>
      </w:r>
      <w:r w:rsidR="004C75FC" w:rsidRPr="00F87E34">
        <w:rPr>
          <w:color w:val="auto"/>
        </w:rPr>
        <w:t>r</w:t>
      </w:r>
      <w:r w:rsidR="00675880" w:rsidRPr="00F87E34">
        <w:rPr>
          <w:color w:val="auto"/>
        </w:rPr>
        <w:t>emuneraciones medias reales</w:t>
      </w:r>
      <w:r w:rsidR="00D03A5B">
        <w:rPr>
          <w:color w:val="auto"/>
        </w:rPr>
        <w:t>,</w:t>
      </w:r>
      <w:r w:rsidR="00675880" w:rsidRPr="00F87E34">
        <w:rPr>
          <w:color w:val="auto"/>
        </w:rPr>
        <w:t xml:space="preserve"> </w:t>
      </w:r>
      <w:r w:rsidR="00D6059E">
        <w:rPr>
          <w:color w:val="auto"/>
        </w:rPr>
        <w:t>4</w:t>
      </w:r>
      <w:r w:rsidR="00470C10">
        <w:rPr>
          <w:color w:val="auto"/>
        </w:rPr>
        <w:t>.</w:t>
      </w:r>
      <w:r w:rsidR="004E3065">
        <w:rPr>
          <w:color w:val="auto"/>
        </w:rPr>
        <w:t>7</w:t>
      </w:r>
      <w:r w:rsidR="00D6059E">
        <w:rPr>
          <w:color w:val="auto"/>
        </w:rPr>
        <w:t> </w:t>
      </w:r>
      <w:r w:rsidR="00675880" w:rsidRPr="00F87E34">
        <w:rPr>
          <w:color w:val="auto"/>
        </w:rPr>
        <w:t>%</w:t>
      </w:r>
      <w:r w:rsidR="008B4B23" w:rsidRPr="00F87E34">
        <w:rPr>
          <w:color w:val="auto"/>
        </w:rPr>
        <w:t xml:space="preserve"> y </w:t>
      </w:r>
      <w:r w:rsidR="00B00396" w:rsidRPr="00F87E34">
        <w:rPr>
          <w:color w:val="auto"/>
        </w:rPr>
        <w:t>e</w:t>
      </w:r>
      <w:r w:rsidR="00936E7B" w:rsidRPr="00F87E34">
        <w:rPr>
          <w:color w:val="auto"/>
        </w:rPr>
        <w:t xml:space="preserve">l </w:t>
      </w:r>
      <w:r w:rsidR="004C75FC" w:rsidRPr="00F87E34">
        <w:rPr>
          <w:color w:val="auto"/>
        </w:rPr>
        <w:t>p</w:t>
      </w:r>
      <w:r w:rsidR="00936E7B" w:rsidRPr="00F87E34">
        <w:rPr>
          <w:color w:val="auto"/>
        </w:rPr>
        <w:t xml:space="preserve">ersonal ocupado total </w:t>
      </w:r>
      <w:r w:rsidR="00101F61">
        <w:rPr>
          <w:color w:val="auto"/>
        </w:rPr>
        <w:t>descendi</w:t>
      </w:r>
      <w:r w:rsidR="008B4B23" w:rsidRPr="00F87E34">
        <w:rPr>
          <w:color w:val="auto"/>
        </w:rPr>
        <w:t>ó</w:t>
      </w:r>
      <w:r w:rsidR="00936E7B" w:rsidRPr="00F87E34">
        <w:rPr>
          <w:color w:val="auto"/>
        </w:rPr>
        <w:t xml:space="preserve"> </w:t>
      </w:r>
      <w:r w:rsidR="004E3065">
        <w:rPr>
          <w:color w:val="auto"/>
        </w:rPr>
        <w:t>1.3</w:t>
      </w:r>
      <w:r w:rsidR="00184034">
        <w:rPr>
          <w:color w:val="auto"/>
        </w:rPr>
        <w:t xml:space="preserve"> por ciento</w:t>
      </w:r>
      <w:r w:rsidR="00467BD1" w:rsidRPr="00F87E34">
        <w:rPr>
          <w:color w:val="auto"/>
        </w:rPr>
        <w:t xml:space="preserve">. </w:t>
      </w:r>
    </w:p>
    <w:p w14:paraId="178315F5" w14:textId="68058305" w:rsidR="00467BD1" w:rsidRPr="00F87E34" w:rsidRDefault="00467BD1" w:rsidP="00D03A5B">
      <w:pPr>
        <w:pStyle w:val="p0"/>
        <w:keepLines w:val="0"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 xml:space="preserve">Gráfica </w:t>
      </w:r>
      <w:r w:rsidR="00D805CD" w:rsidRPr="00F87E34">
        <w:rPr>
          <w:rFonts w:ascii="Arial" w:hAnsi="Arial"/>
          <w:color w:val="auto"/>
          <w:sz w:val="20"/>
        </w:rPr>
        <w:t>4</w:t>
      </w:r>
    </w:p>
    <w:p w14:paraId="59B2E5FD" w14:textId="77777777" w:rsidR="00D805CD" w:rsidRPr="00F87E34" w:rsidRDefault="00D805CD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Ingresos reales por suministro de bienes y servicios</w:t>
      </w:r>
    </w:p>
    <w:p w14:paraId="6772744E" w14:textId="009B4B04" w:rsidR="00467BD1" w:rsidRPr="00F87E34" w:rsidRDefault="00467BD1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</w:t>
      </w:r>
      <w:r w:rsidR="0073065B" w:rsidRPr="00F87E34">
        <w:rPr>
          <w:rFonts w:ascii="Arial" w:hAnsi="Arial"/>
          <w:color w:val="auto"/>
          <w:sz w:val="18"/>
          <w:szCs w:val="18"/>
        </w:rPr>
        <w:t>13</w:t>
      </w:r>
      <w:r w:rsidRPr="00F87E34">
        <w:rPr>
          <w:rFonts w:ascii="Arial" w:hAnsi="Arial"/>
          <w:color w:val="auto"/>
          <w:sz w:val="18"/>
          <w:szCs w:val="18"/>
        </w:rPr>
        <w:t>=100)</w:t>
      </w:r>
    </w:p>
    <w:p w14:paraId="15AD9CC4" w14:textId="46B36C4B" w:rsidR="00D805CD" w:rsidRPr="00F87E34" w:rsidRDefault="004E3065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>
        <w:rPr>
          <w:noProof/>
        </w:rPr>
        <w:drawing>
          <wp:inline distT="0" distB="0" distL="0" distR="0" wp14:anchorId="6C4E534F" wp14:editId="229611E3">
            <wp:extent cx="4320000" cy="2520000"/>
            <wp:effectExtent l="0" t="0" r="23495" b="1397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2C5C2A8" w14:textId="0AD3428F" w:rsidR="00D805CD" w:rsidRPr="00F87E34" w:rsidRDefault="00D805CD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3D8A8007" w14:textId="77777777" w:rsidR="00D805CD" w:rsidRPr="00F87E34" w:rsidRDefault="00D805CD">
      <w:pPr>
        <w:jc w:val="left"/>
        <w:rPr>
          <w:snapToGrid w:val="0"/>
          <w:sz w:val="20"/>
        </w:rPr>
      </w:pPr>
      <w:r w:rsidRPr="00F87E34">
        <w:rPr>
          <w:sz w:val="20"/>
        </w:rPr>
        <w:br w:type="page"/>
      </w:r>
    </w:p>
    <w:p w14:paraId="43AF69F5" w14:textId="62DDCC16" w:rsidR="00D805CD" w:rsidRPr="00F87E34" w:rsidRDefault="00D805CD" w:rsidP="00D03A5B">
      <w:pPr>
        <w:pStyle w:val="p0"/>
        <w:keepLines w:val="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lastRenderedPageBreak/>
        <w:t xml:space="preserve">Gráfica </w:t>
      </w:r>
      <w:r w:rsidR="00134F49" w:rsidRPr="00F87E34">
        <w:rPr>
          <w:rFonts w:ascii="Arial" w:hAnsi="Arial"/>
          <w:color w:val="auto"/>
          <w:sz w:val="20"/>
        </w:rPr>
        <w:t>5</w:t>
      </w:r>
    </w:p>
    <w:p w14:paraId="3CE569D9" w14:textId="77777777" w:rsidR="00D805CD" w:rsidRPr="00F87E34" w:rsidRDefault="00D805CD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Personal ocupado total</w:t>
      </w:r>
    </w:p>
    <w:p w14:paraId="561756C2" w14:textId="7BBCD099" w:rsidR="00D805CD" w:rsidRPr="00F87E34" w:rsidRDefault="00D805CD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5F43CFE1" w14:textId="72B87AED" w:rsidR="00D805CD" w:rsidRPr="00F87E34" w:rsidRDefault="004E3065" w:rsidP="00D03A5B">
      <w:pPr>
        <w:widowControl w:val="0"/>
        <w:jc w:val="center"/>
      </w:pPr>
      <w:r>
        <w:rPr>
          <w:noProof/>
        </w:rPr>
        <w:drawing>
          <wp:inline distT="0" distB="0" distL="0" distR="0" wp14:anchorId="2A50B961" wp14:editId="5F73D254">
            <wp:extent cx="4320000" cy="2520000"/>
            <wp:effectExtent l="0" t="0" r="23495" b="1397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58F2178E" w14:textId="65AD1CC6" w:rsidR="00D805CD" w:rsidRPr="00F87E34" w:rsidRDefault="00D805CD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79DD01F5" w14:textId="0845F409" w:rsidR="00134F49" w:rsidRPr="00F87E34" w:rsidRDefault="00134F49" w:rsidP="00D03A5B">
      <w:pPr>
        <w:pStyle w:val="p0"/>
        <w:keepLines w:val="0"/>
        <w:spacing w:before="360"/>
        <w:jc w:val="center"/>
        <w:rPr>
          <w:rFonts w:ascii="Arial" w:hAnsi="Arial"/>
          <w:b/>
          <w:smallCaps/>
          <w:color w:val="auto"/>
          <w:sz w:val="22"/>
        </w:rPr>
      </w:pPr>
      <w:r w:rsidRPr="00F87E34">
        <w:rPr>
          <w:rFonts w:ascii="Arial" w:hAnsi="Arial"/>
          <w:color w:val="auto"/>
          <w:sz w:val="20"/>
        </w:rPr>
        <w:t>Gráfica 6</w:t>
      </w:r>
    </w:p>
    <w:p w14:paraId="02E883FB" w14:textId="77777777" w:rsidR="00134F49" w:rsidRPr="00F87E34" w:rsidRDefault="00134F49" w:rsidP="00D03A5B">
      <w:pPr>
        <w:pStyle w:val="Textoindependiente"/>
        <w:widowControl w:val="0"/>
        <w:spacing w:before="0"/>
        <w:jc w:val="center"/>
        <w:rPr>
          <w:b/>
          <w:smallCaps/>
          <w:snapToGrid w:val="0"/>
          <w:color w:val="auto"/>
          <w:sz w:val="22"/>
        </w:rPr>
      </w:pPr>
      <w:r w:rsidRPr="00F87E34">
        <w:rPr>
          <w:b/>
          <w:smallCaps/>
          <w:snapToGrid w:val="0"/>
          <w:color w:val="auto"/>
          <w:sz w:val="22"/>
        </w:rPr>
        <w:t>Remuneraciones medias reales</w:t>
      </w:r>
    </w:p>
    <w:p w14:paraId="733536B9" w14:textId="09E4B1CE" w:rsidR="00134F49" w:rsidRPr="00F87E34" w:rsidRDefault="00134F49" w:rsidP="00D03A5B">
      <w:pPr>
        <w:pStyle w:val="p0"/>
        <w:keepLines w:val="0"/>
        <w:spacing w:before="0"/>
        <w:jc w:val="center"/>
        <w:rPr>
          <w:rFonts w:ascii="Arial" w:hAnsi="Arial"/>
          <w:color w:val="auto"/>
          <w:sz w:val="18"/>
          <w:szCs w:val="18"/>
        </w:rPr>
      </w:pPr>
      <w:r w:rsidRPr="00F87E34">
        <w:rPr>
          <w:rFonts w:ascii="Arial" w:hAnsi="Arial"/>
          <w:smallCaps/>
          <w:color w:val="auto"/>
          <w:sz w:val="18"/>
          <w:szCs w:val="18"/>
        </w:rPr>
        <w:t>(</w:t>
      </w:r>
      <w:r w:rsidRPr="00F87E34">
        <w:rPr>
          <w:rFonts w:ascii="Arial" w:hAnsi="Arial"/>
          <w:color w:val="auto"/>
          <w:sz w:val="18"/>
          <w:szCs w:val="18"/>
        </w:rPr>
        <w:t>Índice base 2013=100)</w:t>
      </w:r>
    </w:p>
    <w:p w14:paraId="67CD084B" w14:textId="70D4AB24" w:rsidR="00D805CD" w:rsidRPr="00F87E34" w:rsidRDefault="004E3065" w:rsidP="00D03A5B">
      <w:pPr>
        <w:widowControl w:val="0"/>
        <w:jc w:val="center"/>
      </w:pPr>
      <w:r>
        <w:rPr>
          <w:noProof/>
        </w:rPr>
        <w:drawing>
          <wp:inline distT="0" distB="0" distL="0" distR="0" wp14:anchorId="29B685DB" wp14:editId="15C0F04E">
            <wp:extent cx="4320000" cy="2520000"/>
            <wp:effectExtent l="0" t="0" r="23495" b="1397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21796A0" w14:textId="3D35B3F1" w:rsidR="00467BD1" w:rsidRPr="00F87E34" w:rsidRDefault="00467BD1" w:rsidP="00D03A5B">
      <w:pPr>
        <w:pStyle w:val="Textoindependiente"/>
        <w:widowControl w:val="0"/>
        <w:spacing w:before="20"/>
        <w:ind w:firstLine="1372"/>
        <w:jc w:val="left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 INEGI</w:t>
      </w:r>
    </w:p>
    <w:p w14:paraId="2DFA3B30" w14:textId="77777777" w:rsidR="00467BD1" w:rsidRPr="00F87E34" w:rsidRDefault="00467BD1" w:rsidP="00D03A5B">
      <w:pPr>
        <w:widowControl w:val="0"/>
        <w:rPr>
          <w:b/>
          <w:i/>
        </w:rPr>
      </w:pPr>
      <w:r w:rsidRPr="00F87E34">
        <w:rPr>
          <w:b/>
          <w:i/>
        </w:rPr>
        <w:br w:type="page"/>
      </w:r>
    </w:p>
    <w:p w14:paraId="73BD7537" w14:textId="77777777" w:rsidR="00467BD1" w:rsidRPr="00F87E34" w:rsidRDefault="00467BD1" w:rsidP="00046C2C">
      <w:pPr>
        <w:pStyle w:val="bulnot"/>
        <w:widowControl w:val="0"/>
        <w:tabs>
          <w:tab w:val="clear" w:pos="851"/>
        </w:tabs>
        <w:spacing w:before="840"/>
        <w:ind w:left="0" w:right="0" w:firstLine="0"/>
        <w:jc w:val="left"/>
        <w:rPr>
          <w:rFonts w:cs="Arial"/>
          <w:i/>
          <w:color w:val="auto"/>
          <w:spacing w:val="0"/>
          <w:sz w:val="24"/>
          <w:szCs w:val="24"/>
        </w:rPr>
      </w:pPr>
      <w:r w:rsidRPr="00F87E34">
        <w:rPr>
          <w:rFonts w:cs="Arial"/>
          <w:i/>
          <w:color w:val="auto"/>
          <w:spacing w:val="0"/>
          <w:sz w:val="24"/>
          <w:szCs w:val="24"/>
        </w:rPr>
        <w:lastRenderedPageBreak/>
        <w:t>Cifras originales</w:t>
      </w:r>
    </w:p>
    <w:p w14:paraId="1238ACB9" w14:textId="64F90A4B" w:rsidR="00B04C48" w:rsidRPr="00F87E34" w:rsidRDefault="00B04C48" w:rsidP="00B04C48">
      <w:pPr>
        <w:widowControl w:val="0"/>
        <w:spacing w:before="360"/>
        <w:jc w:val="center"/>
        <w:rPr>
          <w:sz w:val="20"/>
          <w:szCs w:val="20"/>
        </w:rPr>
      </w:pPr>
      <w:r w:rsidRPr="00F87E34">
        <w:rPr>
          <w:sz w:val="20"/>
          <w:szCs w:val="20"/>
        </w:rPr>
        <w:t>Cuadro 2</w:t>
      </w:r>
    </w:p>
    <w:p w14:paraId="2346EA09" w14:textId="2A82A06A" w:rsidR="00B04C48" w:rsidRPr="00F87E34" w:rsidRDefault="008679CD" w:rsidP="00B04C48">
      <w:pPr>
        <w:widowControl w:val="0"/>
        <w:jc w:val="center"/>
        <w:rPr>
          <w:b/>
          <w:smallCaps/>
          <w:sz w:val="22"/>
          <w:szCs w:val="22"/>
        </w:rPr>
      </w:pPr>
      <w:r w:rsidRPr="00F87E34">
        <w:rPr>
          <w:b/>
          <w:smallCaps/>
          <w:sz w:val="22"/>
          <w:szCs w:val="22"/>
        </w:rPr>
        <w:t xml:space="preserve">Indicadores de las empresas comerciales </w:t>
      </w:r>
      <w:r w:rsidR="008B4B23" w:rsidRPr="00F87E34">
        <w:rPr>
          <w:b/>
          <w:smallCaps/>
          <w:sz w:val="22"/>
          <w:szCs w:val="22"/>
        </w:rPr>
        <w:br/>
      </w:r>
      <w:r w:rsidR="00B04C48" w:rsidRPr="00F87E34">
        <w:rPr>
          <w:b/>
          <w:smallCaps/>
          <w:sz w:val="22"/>
          <w:szCs w:val="22"/>
        </w:rPr>
        <w:t>por sector y s</w:t>
      </w:r>
      <w:r w:rsidR="00E24EF0" w:rsidRPr="00F87E34">
        <w:rPr>
          <w:b/>
          <w:smallCaps/>
          <w:sz w:val="22"/>
          <w:szCs w:val="22"/>
        </w:rPr>
        <w:t>ubs</w:t>
      </w:r>
      <w:r w:rsidR="00B04C48" w:rsidRPr="00F87E34">
        <w:rPr>
          <w:b/>
          <w:smallCaps/>
          <w:sz w:val="22"/>
          <w:szCs w:val="22"/>
        </w:rPr>
        <w:t>ector de actividad</w:t>
      </w:r>
      <w:r w:rsidR="00B04C48" w:rsidRPr="00F87E34">
        <w:rPr>
          <w:b/>
          <w:smallCaps/>
          <w:sz w:val="22"/>
          <w:szCs w:val="22"/>
        </w:rPr>
        <w:br/>
      </w:r>
      <w:r w:rsidR="0093724D">
        <w:rPr>
          <w:b/>
          <w:smallCaps/>
          <w:sz w:val="22"/>
          <w:szCs w:val="22"/>
        </w:rPr>
        <w:t>ju</w:t>
      </w:r>
      <w:r w:rsidR="004E3065">
        <w:rPr>
          <w:b/>
          <w:smallCaps/>
          <w:sz w:val="22"/>
          <w:szCs w:val="22"/>
        </w:rPr>
        <w:t>l</w:t>
      </w:r>
      <w:r w:rsidR="0093724D">
        <w:rPr>
          <w:b/>
          <w:smallCaps/>
          <w:sz w:val="22"/>
          <w:szCs w:val="22"/>
        </w:rPr>
        <w:t>i</w:t>
      </w:r>
      <w:r w:rsidR="009006EA">
        <w:rPr>
          <w:b/>
          <w:smallCaps/>
          <w:sz w:val="22"/>
          <w:szCs w:val="22"/>
        </w:rPr>
        <w:t>o</w:t>
      </w:r>
      <w:r w:rsidR="00764A06" w:rsidRPr="00F87E34">
        <w:rPr>
          <w:b/>
          <w:smallCaps/>
          <w:sz w:val="10"/>
          <w:szCs w:val="22"/>
        </w:rPr>
        <w:t xml:space="preserve"> </w:t>
      </w:r>
      <w:r w:rsidR="00B04C48" w:rsidRPr="00F87E34">
        <w:rPr>
          <w:b/>
          <w:sz w:val="22"/>
          <w:szCs w:val="22"/>
          <w:vertAlign w:val="superscript"/>
        </w:rPr>
        <w:t>p</w:t>
      </w:r>
      <w:r w:rsidR="00B04C48" w:rsidRPr="00F87E34">
        <w:rPr>
          <w:b/>
          <w:smallCaps/>
          <w:sz w:val="22"/>
          <w:szCs w:val="22"/>
          <w:vertAlign w:val="superscript"/>
        </w:rPr>
        <w:t>/</w:t>
      </w:r>
      <w:r w:rsidR="00B04C48" w:rsidRPr="00F87E34">
        <w:rPr>
          <w:b/>
          <w:smallCaps/>
          <w:sz w:val="22"/>
          <w:szCs w:val="22"/>
        </w:rPr>
        <w:t xml:space="preserve"> de 202</w:t>
      </w:r>
      <w:r w:rsidR="00D664F1">
        <w:rPr>
          <w:b/>
          <w:smallCaps/>
          <w:sz w:val="22"/>
          <w:szCs w:val="22"/>
        </w:rPr>
        <w:t>2</w:t>
      </w:r>
    </w:p>
    <w:p w14:paraId="77063F05" w14:textId="77777777" w:rsidR="00B36B9B" w:rsidRPr="00F87E34" w:rsidRDefault="00B36B9B" w:rsidP="00B36B9B">
      <w:pPr>
        <w:widowControl w:val="0"/>
        <w:jc w:val="center"/>
        <w:rPr>
          <w:smallCaps/>
          <w:sz w:val="18"/>
          <w:szCs w:val="18"/>
        </w:rPr>
      </w:pPr>
      <w:r w:rsidRPr="00F87E34">
        <w:rPr>
          <w:smallCaps/>
          <w:sz w:val="18"/>
          <w:szCs w:val="18"/>
        </w:rPr>
        <w:t>(</w:t>
      </w:r>
      <w:r w:rsidRPr="00F87E34">
        <w:rPr>
          <w:bCs/>
          <w:sz w:val="18"/>
          <w:szCs w:val="18"/>
        </w:rPr>
        <w:t>Variación porcentual anual)</w:t>
      </w:r>
    </w:p>
    <w:tbl>
      <w:tblPr>
        <w:tblW w:w="50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208"/>
        <w:gridCol w:w="1035"/>
        <w:gridCol w:w="882"/>
        <w:gridCol w:w="910"/>
        <w:gridCol w:w="952"/>
        <w:gridCol w:w="987"/>
      </w:tblGrid>
      <w:tr w:rsidR="00B36B9B" w:rsidRPr="00F87E34" w14:paraId="344B0139" w14:textId="77777777" w:rsidTr="00B36B9B">
        <w:trPr>
          <w:trHeight w:val="397"/>
        </w:trPr>
        <w:tc>
          <w:tcPr>
            <w:tcW w:w="4624" w:type="dxa"/>
            <w:gridSpan w:val="2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28D10EA" w14:textId="2420AE42" w:rsidR="00B36B9B" w:rsidRPr="00F87E34" w:rsidRDefault="00B36B9B" w:rsidP="00060F31">
            <w:pPr>
              <w:ind w:firstLine="345"/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Sector y Subsector de actividad</w:t>
            </w:r>
          </w:p>
        </w:tc>
        <w:tc>
          <w:tcPr>
            <w:tcW w:w="1035" w:type="dxa"/>
            <w:vMerge w:val="restart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28CEE34F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 xml:space="preserve">Ingresos por suministro de bienes y servicios </w:t>
            </w:r>
            <w:r w:rsidRPr="00F87E34">
              <w:rPr>
                <w:position w:val="-2"/>
                <w:sz w:val="18"/>
                <w:szCs w:val="16"/>
                <w:vertAlign w:val="superscript"/>
                <w:lang w:val="es-MX" w:eastAsia="es-MX"/>
              </w:rPr>
              <w:t>1/</w:t>
            </w:r>
          </w:p>
        </w:tc>
        <w:tc>
          <w:tcPr>
            <w:tcW w:w="2744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23F322BF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Personal ocupado</w:t>
            </w:r>
          </w:p>
        </w:tc>
        <w:tc>
          <w:tcPr>
            <w:tcW w:w="987" w:type="dxa"/>
            <w:vMerge w:val="restart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4188B315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Remune-raciones medias reales</w:t>
            </w:r>
          </w:p>
        </w:tc>
      </w:tr>
      <w:tr w:rsidR="00B36B9B" w:rsidRPr="00F87E34" w14:paraId="38CD74B5" w14:textId="77777777" w:rsidTr="00184034">
        <w:trPr>
          <w:trHeight w:val="397"/>
        </w:trPr>
        <w:tc>
          <w:tcPr>
            <w:tcW w:w="4624" w:type="dxa"/>
            <w:gridSpan w:val="2"/>
            <w:vMerge/>
            <w:tcBorders>
              <w:left w:val="single" w:sz="8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3C7AC452" w14:textId="0F6F7BEB" w:rsidR="00B36B9B" w:rsidRPr="00F87E34" w:rsidRDefault="00B36B9B" w:rsidP="007562DF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35" w:type="dxa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4CCA44BF" w14:textId="77777777" w:rsidR="00B36B9B" w:rsidRPr="00F87E34" w:rsidRDefault="00B36B9B" w:rsidP="007562DF">
            <w:pPr>
              <w:jc w:val="lef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88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06BC2DC1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91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C33FAD5" w14:textId="77777777" w:rsidR="00B36B9B" w:rsidRPr="00F87E34" w:rsidRDefault="00B36B9B" w:rsidP="007562DF">
            <w:pPr>
              <w:ind w:left="-83" w:right="-83"/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>Depen-</w:t>
            </w:r>
            <w:r w:rsidRPr="00F87E34">
              <w:rPr>
                <w:sz w:val="16"/>
                <w:szCs w:val="16"/>
                <w:lang w:val="es-MX" w:eastAsia="es-MX"/>
              </w:rPr>
              <w:br/>
              <w:t xml:space="preserve">diente </w:t>
            </w:r>
          </w:p>
        </w:tc>
        <w:tc>
          <w:tcPr>
            <w:tcW w:w="95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712AC6A5" w14:textId="77777777" w:rsidR="00B36B9B" w:rsidRPr="00F87E34" w:rsidRDefault="00B36B9B" w:rsidP="007562DF">
            <w:pPr>
              <w:jc w:val="center"/>
              <w:rPr>
                <w:sz w:val="16"/>
                <w:szCs w:val="16"/>
                <w:lang w:val="es-MX" w:eastAsia="es-MX"/>
              </w:rPr>
            </w:pPr>
            <w:r w:rsidRPr="00F87E34">
              <w:rPr>
                <w:sz w:val="16"/>
                <w:szCs w:val="16"/>
                <w:lang w:val="es-MX" w:eastAsia="es-MX"/>
              </w:rPr>
              <w:t xml:space="preserve">Suminis-trado </w:t>
            </w:r>
            <w:r w:rsidRPr="00F87E34">
              <w:rPr>
                <w:position w:val="-2"/>
                <w:sz w:val="18"/>
                <w:szCs w:val="16"/>
                <w:vertAlign w:val="superscript"/>
                <w:lang w:val="es-MX" w:eastAsia="es-MX"/>
              </w:rPr>
              <w:t>2/</w:t>
            </w:r>
          </w:p>
        </w:tc>
        <w:tc>
          <w:tcPr>
            <w:tcW w:w="987" w:type="dxa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6E3BC" w:themeFill="accent3" w:themeFillTint="66"/>
            <w:vAlign w:val="center"/>
            <w:hideMark/>
          </w:tcPr>
          <w:p w14:paraId="11139F28" w14:textId="77777777" w:rsidR="00B36B9B" w:rsidRPr="00F87E34" w:rsidRDefault="00B36B9B" w:rsidP="007562DF">
            <w:pPr>
              <w:jc w:val="left"/>
              <w:rPr>
                <w:sz w:val="16"/>
                <w:szCs w:val="16"/>
                <w:lang w:val="es-MX" w:eastAsia="es-MX"/>
              </w:rPr>
            </w:pPr>
          </w:p>
        </w:tc>
      </w:tr>
      <w:tr w:rsidR="004E3065" w:rsidRPr="00F87E34" w14:paraId="4C8E3D86" w14:textId="77777777" w:rsidTr="004F23B6">
        <w:trPr>
          <w:trHeight w:val="283"/>
        </w:trPr>
        <w:tc>
          <w:tcPr>
            <w:tcW w:w="416" w:type="dxa"/>
            <w:tcBorders>
              <w:top w:val="single" w:sz="6" w:space="0" w:color="404040"/>
              <w:left w:val="single" w:sz="8" w:space="0" w:color="262626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60E145DA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43</w:t>
            </w:r>
          </w:p>
        </w:tc>
        <w:tc>
          <w:tcPr>
            <w:tcW w:w="4208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3D41B44E" w14:textId="787CBD1F" w:rsidR="004E3065" w:rsidRPr="00F87E34" w:rsidRDefault="004E3065" w:rsidP="004E306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Comercio al por mayor de:</w:t>
            </w:r>
          </w:p>
        </w:tc>
        <w:tc>
          <w:tcPr>
            <w:tcW w:w="1035" w:type="dxa"/>
            <w:tcBorders>
              <w:top w:val="single" w:sz="6" w:space="0" w:color="404040"/>
              <w:left w:val="single" w:sz="6" w:space="0" w:color="40404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CAEF4B2" w14:textId="73E788DF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882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EEE1AC4" w14:textId="47CEEDAD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910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F85C3B2" w14:textId="310FABC3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26.2</w:t>
            </w:r>
          </w:p>
        </w:tc>
        <w:tc>
          <w:tcPr>
            <w:tcW w:w="952" w:type="dxa"/>
            <w:tcBorders>
              <w:top w:val="single" w:sz="6" w:space="0" w:color="404040"/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9B14C1F" w14:textId="5F2705BE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-49.2</w:t>
            </w:r>
          </w:p>
        </w:tc>
        <w:tc>
          <w:tcPr>
            <w:tcW w:w="987" w:type="dxa"/>
            <w:tcBorders>
              <w:top w:val="single" w:sz="6" w:space="0" w:color="404040"/>
              <w:left w:val="nil"/>
              <w:right w:val="single" w:sz="8" w:space="0" w:color="262626"/>
            </w:tcBorders>
            <w:shd w:val="clear" w:color="auto" w:fill="EAF1DD" w:themeFill="accent3" w:themeFillTint="33"/>
            <w:vAlign w:val="center"/>
            <w:hideMark/>
          </w:tcPr>
          <w:p w14:paraId="41C20D8A" w14:textId="5B0F82B0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-3.9</w:t>
            </w:r>
          </w:p>
        </w:tc>
      </w:tr>
      <w:tr w:rsidR="004E3065" w:rsidRPr="00F87E34" w14:paraId="04751D10" w14:textId="77777777" w:rsidTr="004F23B6">
        <w:trPr>
          <w:trHeight w:val="283"/>
        </w:trPr>
        <w:tc>
          <w:tcPr>
            <w:tcW w:w="416" w:type="dxa"/>
            <w:tcBorders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7DB2815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431</w:t>
            </w:r>
          </w:p>
        </w:tc>
        <w:tc>
          <w:tcPr>
            <w:tcW w:w="4208" w:type="dxa"/>
            <w:tcBorders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D9D5E67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Abarrotes, alimentos, bebidas, hielo y tabaco</w:t>
            </w:r>
          </w:p>
        </w:tc>
        <w:tc>
          <w:tcPr>
            <w:tcW w:w="1035" w:type="dxa"/>
            <w:tcBorders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93B9F24" w14:textId="3D96CD7B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4E3065">
              <w:rPr>
                <w:sz w:val="16"/>
                <w:szCs w:val="16"/>
              </w:rPr>
              <w:t>-2.5</w:t>
            </w:r>
          </w:p>
        </w:tc>
        <w:tc>
          <w:tcPr>
            <w:tcW w:w="88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F54D629" w14:textId="3B0E2476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0.9</w:t>
            </w:r>
          </w:p>
        </w:tc>
        <w:tc>
          <w:tcPr>
            <w:tcW w:w="910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4A8B192" w14:textId="252C7F50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12.3</w:t>
            </w:r>
          </w:p>
        </w:tc>
        <w:tc>
          <w:tcPr>
            <w:tcW w:w="95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6B0FD3D" w14:textId="68AF9E02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-28.6</w:t>
            </w:r>
          </w:p>
        </w:tc>
        <w:tc>
          <w:tcPr>
            <w:tcW w:w="987" w:type="dxa"/>
            <w:tcBorders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6EEFE6C6" w14:textId="22047B16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-5.4</w:t>
            </w:r>
          </w:p>
        </w:tc>
      </w:tr>
      <w:tr w:rsidR="004E3065" w:rsidRPr="00F87E34" w14:paraId="452CD110" w14:textId="77777777" w:rsidTr="004F23B6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BE8AE47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432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4872ADDD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textiles y calzado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284C97B" w14:textId="1B5AE967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4E3065">
              <w:rPr>
                <w:sz w:val="16"/>
                <w:szCs w:val="16"/>
              </w:rPr>
              <w:t>4.6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B32577C" w14:textId="13BF0C80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-12.8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5532E28" w14:textId="339BDF63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125.4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31E5C9E" w14:textId="09EE9DE0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-84.0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1ED3FA0F" w14:textId="71148459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1.1</w:t>
            </w:r>
          </w:p>
        </w:tc>
      </w:tr>
      <w:tr w:rsidR="004E3065" w:rsidRPr="00F87E34" w14:paraId="498900B9" w14:textId="77777777" w:rsidTr="004F23B6">
        <w:trPr>
          <w:trHeight w:val="624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35D34D1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433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9C0263F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farmacéuticos, de perfumería, artículos para el esparcimiento, electrodomésticos menores y aparatos de línea blanca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B87FD14" w14:textId="4722FA39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4E3065">
              <w:rPr>
                <w:sz w:val="16"/>
                <w:szCs w:val="16"/>
              </w:rPr>
              <w:t>2.8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B04B8F7" w14:textId="52544432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4.1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F38A743" w14:textId="0B490646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60.5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B756C69" w14:textId="24461308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-82.8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42CCE564" w14:textId="66A7F41F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-8.1</w:t>
            </w:r>
          </w:p>
        </w:tc>
      </w:tr>
      <w:tr w:rsidR="004E3065" w:rsidRPr="00F87E34" w14:paraId="4F025BDA" w14:textId="77777777" w:rsidTr="004F23B6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7ED996B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434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1235A09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Materias primas agropecuarias y forestales, para la industria, y materiales de desecho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4420601" w14:textId="30003A55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4E3065">
              <w:rPr>
                <w:sz w:val="16"/>
                <w:szCs w:val="16"/>
              </w:rPr>
              <w:t>2.1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3ED1C13" w14:textId="5E252A21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1.3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A5AB1DD" w14:textId="495688C3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21.8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4661E29" w14:textId="25776DC7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-62.7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6C9FF18B" w14:textId="329B1D1C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-3.5</w:t>
            </w:r>
          </w:p>
        </w:tc>
      </w:tr>
      <w:tr w:rsidR="004E3065" w:rsidRPr="00F87E34" w14:paraId="072391FF" w14:textId="77777777" w:rsidTr="004F23B6">
        <w:trPr>
          <w:trHeight w:val="624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88AABDD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435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AF005D0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Maquinaria, equipo y mobiliario para actividades agropecuarias, industriales, de servicios y comerciales, y de otra maquinaria y equipo de uso general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51BF62D" w14:textId="5A8CED85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4E3065">
              <w:rPr>
                <w:sz w:val="16"/>
                <w:szCs w:val="16"/>
              </w:rPr>
              <w:t>10.4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CBFC854" w14:textId="4CC8B07E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4.7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4753043" w14:textId="6FBE6E65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31.4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EC9239F" w14:textId="02E3CC58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-62.1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35688E30" w14:textId="72DF3C60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0.3</w:t>
            </w:r>
          </w:p>
        </w:tc>
      </w:tr>
      <w:tr w:rsidR="004E3065" w:rsidRPr="00F87E34" w14:paraId="72DBA81D" w14:textId="77777777" w:rsidTr="004F23B6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AA48CD8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436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5BC36ED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Camiones y de partes y refacciones nuevas para automóviles, camionetas y camiones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093F0B2" w14:textId="4A71D690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4E3065">
              <w:rPr>
                <w:sz w:val="16"/>
                <w:szCs w:val="16"/>
              </w:rPr>
              <w:t>11.0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685CB41" w14:textId="3B47A5D7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1.9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5D380B7" w14:textId="3616905D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19.4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DFDA8F3" w14:textId="7BA0791B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-64.6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7473C29" w14:textId="4A68D5AE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-5.1</w:t>
            </w:r>
          </w:p>
        </w:tc>
      </w:tr>
      <w:tr w:rsidR="004E3065" w:rsidRPr="00F87E34" w14:paraId="2D6F710B" w14:textId="77777777" w:rsidTr="004F23B6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FCD5BB7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437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4446CFF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Intermediación de comercio al por mayor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right w:val="nil"/>
            </w:tcBorders>
            <w:shd w:val="clear" w:color="auto" w:fill="auto"/>
            <w:vAlign w:val="center"/>
            <w:hideMark/>
          </w:tcPr>
          <w:p w14:paraId="401653AB" w14:textId="06EA8874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</w:rPr>
            </w:pPr>
            <w:r w:rsidRPr="004E3065">
              <w:rPr>
                <w:sz w:val="16"/>
                <w:szCs w:val="16"/>
              </w:rPr>
              <w:t>-12.7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94A994" w14:textId="4C298181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9.8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93A602A" w14:textId="6FF2425B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26.0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881D72" w14:textId="65F7244F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-89.3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3DE97BA" w14:textId="00DDF105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-20.5</w:t>
            </w:r>
          </w:p>
        </w:tc>
      </w:tr>
      <w:tr w:rsidR="004E3065" w:rsidRPr="00F87E34" w14:paraId="6735D5AA" w14:textId="77777777" w:rsidTr="004F23B6">
        <w:trPr>
          <w:trHeight w:val="283"/>
        </w:trPr>
        <w:tc>
          <w:tcPr>
            <w:tcW w:w="416" w:type="dxa"/>
            <w:tcBorders>
              <w:left w:val="single" w:sz="8" w:space="0" w:color="262626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27508EDC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46</w:t>
            </w:r>
          </w:p>
        </w:tc>
        <w:tc>
          <w:tcPr>
            <w:tcW w:w="4208" w:type="dxa"/>
            <w:tcBorders>
              <w:left w:val="single" w:sz="6" w:space="0" w:color="404040"/>
              <w:right w:val="single" w:sz="6" w:space="0" w:color="404040"/>
            </w:tcBorders>
            <w:shd w:val="clear" w:color="auto" w:fill="EAF1DD" w:themeFill="accent3" w:themeFillTint="33"/>
            <w:vAlign w:val="center"/>
            <w:hideMark/>
          </w:tcPr>
          <w:p w14:paraId="58855BEC" w14:textId="647050A3" w:rsidR="004E3065" w:rsidRPr="00F87E34" w:rsidRDefault="004E3065" w:rsidP="004E3065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Comercio al por menor de:</w:t>
            </w:r>
          </w:p>
        </w:tc>
        <w:tc>
          <w:tcPr>
            <w:tcW w:w="1035" w:type="dxa"/>
            <w:tcBorders>
              <w:left w:val="single" w:sz="6" w:space="0" w:color="40404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0F2449F3" w14:textId="46C328D7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5.0</w:t>
            </w:r>
          </w:p>
        </w:tc>
        <w:tc>
          <w:tcPr>
            <w:tcW w:w="882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E35A140" w14:textId="28375ACF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-1.2</w:t>
            </w:r>
          </w:p>
        </w:tc>
        <w:tc>
          <w:tcPr>
            <w:tcW w:w="910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A781A5F" w14:textId="13538611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952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1C988DC0" w14:textId="060FD460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-58.1</w:t>
            </w:r>
          </w:p>
        </w:tc>
        <w:tc>
          <w:tcPr>
            <w:tcW w:w="987" w:type="dxa"/>
            <w:tcBorders>
              <w:left w:val="nil"/>
              <w:right w:val="single" w:sz="8" w:space="0" w:color="262626"/>
            </w:tcBorders>
            <w:shd w:val="clear" w:color="auto" w:fill="EAF1DD" w:themeFill="accent3" w:themeFillTint="33"/>
            <w:vAlign w:val="center"/>
            <w:hideMark/>
          </w:tcPr>
          <w:p w14:paraId="2382AD0F" w14:textId="16B98549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b/>
                <w:bCs/>
                <w:sz w:val="16"/>
                <w:szCs w:val="16"/>
                <w:lang w:val="es-MX" w:eastAsia="es-MX"/>
              </w:rPr>
            </w:pPr>
            <w:r w:rsidRPr="004E3065">
              <w:rPr>
                <w:b/>
                <w:bCs/>
                <w:sz w:val="16"/>
                <w:szCs w:val="16"/>
              </w:rPr>
              <w:t>4.1</w:t>
            </w:r>
          </w:p>
        </w:tc>
      </w:tr>
      <w:tr w:rsidR="004E3065" w:rsidRPr="00F87E34" w14:paraId="32848E11" w14:textId="77777777" w:rsidTr="004F23B6">
        <w:trPr>
          <w:trHeight w:val="283"/>
        </w:trPr>
        <w:tc>
          <w:tcPr>
            <w:tcW w:w="416" w:type="dxa"/>
            <w:tcBorders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752C3F6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461</w:t>
            </w:r>
          </w:p>
        </w:tc>
        <w:tc>
          <w:tcPr>
            <w:tcW w:w="4208" w:type="dxa"/>
            <w:tcBorders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D3468BE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Abarrotes, alimentos, bebidas, hielo y tabaco</w:t>
            </w:r>
          </w:p>
        </w:tc>
        <w:tc>
          <w:tcPr>
            <w:tcW w:w="1035" w:type="dxa"/>
            <w:tcBorders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EA31997" w14:textId="7F3D27A6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-4.9</w:t>
            </w:r>
          </w:p>
        </w:tc>
        <w:tc>
          <w:tcPr>
            <w:tcW w:w="88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2198429" w14:textId="3DA383F5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-4.4</w:t>
            </w:r>
          </w:p>
        </w:tc>
        <w:tc>
          <w:tcPr>
            <w:tcW w:w="910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7EFC540" w14:textId="2ED5DB9A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-4.5</w:t>
            </w:r>
          </w:p>
        </w:tc>
        <w:tc>
          <w:tcPr>
            <w:tcW w:w="952" w:type="dxa"/>
            <w:tcBorders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46F1678" w14:textId="59B61FEC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-41.2</w:t>
            </w:r>
          </w:p>
        </w:tc>
        <w:tc>
          <w:tcPr>
            <w:tcW w:w="987" w:type="dxa"/>
            <w:tcBorders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4BDDAEC" w14:textId="2D91DE75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4.0</w:t>
            </w:r>
          </w:p>
        </w:tc>
      </w:tr>
      <w:tr w:rsidR="004E3065" w:rsidRPr="00F87E34" w14:paraId="5C58B343" w14:textId="77777777" w:rsidTr="004F23B6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24ADF3F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462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D6328CA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Tiendas de autoservicio y departamentales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0208A00" w14:textId="11B28E6E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7.5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B5AF9D2" w14:textId="73828DD0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3.7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C2E9C45" w14:textId="4F5CA316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31.2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32DD8A2" w14:textId="251FBA20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-62.0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0DCA952" w14:textId="627818FE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7.8</w:t>
            </w:r>
          </w:p>
        </w:tc>
      </w:tr>
      <w:tr w:rsidR="004E3065" w:rsidRPr="00F87E34" w14:paraId="5A744CB7" w14:textId="77777777" w:rsidTr="004F23B6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1E1F093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463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3D70C12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Productos textiles, bisutería, accesorios de vestir y calzado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BF6F21E" w14:textId="719ED28B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14.7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BB35219" w14:textId="1F255C1B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-1.8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96163D3" w14:textId="1D09FBB0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2.7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83F47DA" w14:textId="3A13F6D4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-67.4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EB46ADC" w14:textId="7A326E74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-1.4</w:t>
            </w:r>
          </w:p>
        </w:tc>
      </w:tr>
      <w:tr w:rsidR="004E3065" w:rsidRPr="00F87E34" w14:paraId="33215329" w14:textId="77777777" w:rsidTr="004F23B6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AAFFDAB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464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CA36643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para el cuidado de la salud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396C359" w14:textId="32B8252C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6.5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9D11135" w14:textId="30AFBAF4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-1.0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48E2366" w14:textId="0A87B57C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2.4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BF0F7B7" w14:textId="1B36A186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-56.6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65C0465" w14:textId="2A29EAA1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7.3</w:t>
            </w:r>
          </w:p>
        </w:tc>
      </w:tr>
      <w:tr w:rsidR="004E3065" w:rsidRPr="00F87E34" w14:paraId="160D6936" w14:textId="77777777" w:rsidTr="004F23B6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208015C7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465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6CD02A83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de papelería, para el esparcimiento y otros artículos de uso personal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8FBDEC7" w14:textId="15550AF4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10.1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19E1D15" w14:textId="499AA58E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-1.5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69CE8F95" w14:textId="176F3F3D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2.1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46748FB" w14:textId="3C3DE9D5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-79.2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796796B4" w14:textId="759CD604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1.6</w:t>
            </w:r>
          </w:p>
        </w:tc>
      </w:tr>
      <w:tr w:rsidR="004E3065" w:rsidRPr="00F87E34" w14:paraId="2AA68ED6" w14:textId="77777777" w:rsidTr="004F23B6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B89ECCC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466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154E2015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Enseres domésticos, computadoras, artículos para la decoración de interiores y artículos usados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1319487" w14:textId="3F6A5FBA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6.5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61BE326" w14:textId="38A93272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-2.5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6E5F60E" w14:textId="1A6F2D15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5.8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7F1D5B56" w14:textId="343B3415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-72.0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445F3CC" w14:textId="52F04C8B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2.3</w:t>
            </w:r>
          </w:p>
        </w:tc>
      </w:tr>
      <w:tr w:rsidR="004E3065" w:rsidRPr="00F87E34" w14:paraId="2C70ACB2" w14:textId="77777777" w:rsidTr="004F23B6">
        <w:trPr>
          <w:trHeight w:val="283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52C26449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467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68E155F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Artículos de ferretería, tlapalería y vidrios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13D6909E" w14:textId="30285FF8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-3.7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976AC3B" w14:textId="64CEF116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1.6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8BA1B11" w14:textId="1346A32D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3.8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26AD2788" w14:textId="387687D8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-17.9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5BD24367" w14:textId="3FDEC764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-1.4</w:t>
            </w:r>
          </w:p>
        </w:tc>
      </w:tr>
      <w:tr w:rsidR="004E3065" w:rsidRPr="00F87E34" w14:paraId="31AC8348" w14:textId="77777777" w:rsidTr="004F23B6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799E002D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468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3D79C48B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Vehículos de motor, refacciones, combustibles y lubricantes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0375EEA1" w14:textId="2BC3D793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4.2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5E5039B4" w14:textId="7BC414F0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-1.3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46C29677" w14:textId="1D2D32BB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14.9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nil"/>
            </w:tcBorders>
            <w:shd w:val="clear" w:color="auto" w:fill="auto"/>
            <w:vAlign w:val="center"/>
            <w:hideMark/>
          </w:tcPr>
          <w:p w14:paraId="32133889" w14:textId="1C13FEAB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-57.3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dotted" w:sz="6" w:space="0" w:color="C2D69B" w:themeColor="accent3" w:themeTint="99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266CA96D" w14:textId="7A522077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-1.2</w:t>
            </w:r>
          </w:p>
        </w:tc>
      </w:tr>
      <w:tr w:rsidR="004E3065" w:rsidRPr="00F87E34" w14:paraId="16EF790E" w14:textId="77777777" w:rsidTr="004F23B6">
        <w:trPr>
          <w:trHeight w:val="397"/>
        </w:trPr>
        <w:tc>
          <w:tcPr>
            <w:tcW w:w="416" w:type="dxa"/>
            <w:tcBorders>
              <w:top w:val="dotted" w:sz="6" w:space="0" w:color="C2D69B" w:themeColor="accent3" w:themeTint="99"/>
              <w:left w:val="single" w:sz="8" w:space="0" w:color="262626"/>
              <w:bottom w:val="single" w:sz="8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42351BFA" w14:textId="77777777" w:rsidR="004E3065" w:rsidRPr="00F87E34" w:rsidRDefault="004E3065" w:rsidP="004E3065">
            <w:pPr>
              <w:ind w:leftChars="-12" w:right="-74" w:hangingChars="18" w:hanging="29"/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469</w:t>
            </w:r>
          </w:p>
        </w:tc>
        <w:tc>
          <w:tcPr>
            <w:tcW w:w="4208" w:type="dxa"/>
            <w:tcBorders>
              <w:top w:val="dotted" w:sz="6" w:space="0" w:color="C2D69B" w:themeColor="accent3" w:themeTint="99"/>
              <w:left w:val="single" w:sz="6" w:space="0" w:color="404040"/>
              <w:bottom w:val="single" w:sz="8" w:space="0" w:color="404040"/>
              <w:right w:val="single" w:sz="6" w:space="0" w:color="404040"/>
            </w:tcBorders>
            <w:shd w:val="clear" w:color="auto" w:fill="auto"/>
            <w:vAlign w:val="center"/>
            <w:hideMark/>
          </w:tcPr>
          <w:p w14:paraId="0A7F0FDA" w14:textId="77777777" w:rsidR="004E3065" w:rsidRPr="00F87E34" w:rsidRDefault="004E3065" w:rsidP="004E3065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F87E34">
              <w:rPr>
                <w:color w:val="000000"/>
                <w:sz w:val="16"/>
                <w:szCs w:val="16"/>
                <w:lang w:val="es-MX" w:eastAsia="es-MX"/>
              </w:rPr>
              <w:t>Exclusivamente a través de Internet, y catálogos impresos, televisión y similares</w:t>
            </w:r>
          </w:p>
        </w:tc>
        <w:tc>
          <w:tcPr>
            <w:tcW w:w="1035" w:type="dxa"/>
            <w:tcBorders>
              <w:top w:val="dotted" w:sz="6" w:space="0" w:color="C2D69B" w:themeColor="accent3" w:themeTint="99"/>
              <w:left w:val="single" w:sz="6" w:space="0" w:color="404040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478FE35B" w14:textId="1277B2C4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33.7</w:t>
            </w:r>
          </w:p>
        </w:tc>
        <w:tc>
          <w:tcPr>
            <w:tcW w:w="882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7611E6A2" w14:textId="6438541D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51.7</w:t>
            </w:r>
          </w:p>
        </w:tc>
        <w:tc>
          <w:tcPr>
            <w:tcW w:w="910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27C9C71E" w14:textId="73E405ED" w:rsidR="004E3065" w:rsidRPr="004E3065" w:rsidRDefault="004E3065" w:rsidP="004F23B6">
            <w:pPr>
              <w:tabs>
                <w:tab w:val="decimal" w:pos="450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71.1</w:t>
            </w:r>
          </w:p>
        </w:tc>
        <w:tc>
          <w:tcPr>
            <w:tcW w:w="952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nil"/>
            </w:tcBorders>
            <w:shd w:val="clear" w:color="auto" w:fill="auto"/>
            <w:vAlign w:val="center"/>
            <w:hideMark/>
          </w:tcPr>
          <w:p w14:paraId="02E8A3E4" w14:textId="3F9EE194" w:rsidR="004E3065" w:rsidRPr="004E3065" w:rsidRDefault="004E3065" w:rsidP="004F23B6">
            <w:pPr>
              <w:tabs>
                <w:tab w:val="decimal" w:pos="406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-25.0</w:t>
            </w:r>
          </w:p>
        </w:tc>
        <w:tc>
          <w:tcPr>
            <w:tcW w:w="987" w:type="dxa"/>
            <w:tcBorders>
              <w:top w:val="dotted" w:sz="6" w:space="0" w:color="C2D69B" w:themeColor="accent3" w:themeTint="99"/>
              <w:left w:val="nil"/>
              <w:bottom w:val="single" w:sz="8" w:space="0" w:color="404040"/>
              <w:right w:val="single" w:sz="8" w:space="0" w:color="262626"/>
            </w:tcBorders>
            <w:shd w:val="clear" w:color="auto" w:fill="auto"/>
            <w:vAlign w:val="center"/>
            <w:hideMark/>
          </w:tcPr>
          <w:p w14:paraId="31E41B13" w14:textId="4AA34A62" w:rsidR="004E3065" w:rsidRPr="004E3065" w:rsidRDefault="004E3065" w:rsidP="004F23B6">
            <w:pPr>
              <w:tabs>
                <w:tab w:val="decimal" w:pos="392"/>
              </w:tabs>
              <w:jc w:val="left"/>
              <w:rPr>
                <w:sz w:val="16"/>
                <w:szCs w:val="16"/>
                <w:lang w:val="es-MX" w:eastAsia="es-MX"/>
              </w:rPr>
            </w:pPr>
            <w:r w:rsidRPr="004E3065">
              <w:rPr>
                <w:sz w:val="16"/>
                <w:szCs w:val="16"/>
              </w:rPr>
              <w:t>-23.5</w:t>
            </w:r>
          </w:p>
        </w:tc>
      </w:tr>
    </w:tbl>
    <w:p w14:paraId="5F97FDE6" w14:textId="5045007D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sz w:val="18"/>
          <w:szCs w:val="18"/>
          <w:vertAlign w:val="superscript"/>
        </w:rPr>
        <w:t>p/</w:t>
      </w:r>
      <w:r w:rsidRPr="00F87E34">
        <w:rPr>
          <w:color w:val="auto"/>
          <w:sz w:val="18"/>
          <w:szCs w:val="18"/>
          <w:vertAlign w:val="superscript"/>
        </w:rPr>
        <w:tab/>
      </w:r>
      <w:r w:rsidRPr="00F87E34">
        <w:rPr>
          <w:color w:val="auto"/>
          <w:sz w:val="16"/>
          <w:szCs w:val="16"/>
        </w:rPr>
        <w:t>Cifras preliminares</w:t>
      </w:r>
    </w:p>
    <w:p w14:paraId="64F45C1C" w14:textId="02309062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1/</w:t>
      </w:r>
      <w:r w:rsidRPr="00F87E34">
        <w:rPr>
          <w:color w:val="auto"/>
          <w:sz w:val="16"/>
          <w:szCs w:val="16"/>
        </w:rPr>
        <w:tab/>
        <w:t>En términos reales</w:t>
      </w:r>
    </w:p>
    <w:p w14:paraId="463B45BC" w14:textId="62EC0721" w:rsidR="00B04C48" w:rsidRPr="00F87E34" w:rsidRDefault="00B04C48" w:rsidP="0049231D">
      <w:pPr>
        <w:pStyle w:val="Textoindependiente"/>
        <w:widowControl w:val="0"/>
        <w:spacing w:before="0"/>
        <w:ind w:left="364" w:hanging="224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2/</w:t>
      </w:r>
      <w:r w:rsidRPr="00F87E34">
        <w:rPr>
          <w:color w:val="auto"/>
          <w:sz w:val="16"/>
          <w:szCs w:val="16"/>
        </w:rPr>
        <w:tab/>
        <w:t>Personal ocupado suministrado por otra razón social</w:t>
      </w:r>
    </w:p>
    <w:p w14:paraId="0D7E8C2C" w14:textId="0709193D" w:rsidR="00B04C48" w:rsidRPr="00F87E34" w:rsidRDefault="00B04C48" w:rsidP="00B04C48">
      <w:pPr>
        <w:pStyle w:val="Textoindependiente"/>
        <w:widowControl w:val="0"/>
        <w:tabs>
          <w:tab w:val="left" w:pos="1232"/>
        </w:tabs>
        <w:spacing w:before="0"/>
        <w:ind w:left="700" w:hanging="560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</w:t>
      </w:r>
      <w:r w:rsidRPr="00F87E34">
        <w:rPr>
          <w:color w:val="auto"/>
          <w:sz w:val="16"/>
          <w:szCs w:val="16"/>
        </w:rPr>
        <w:tab/>
        <w:t>INEGI</w:t>
      </w:r>
    </w:p>
    <w:p w14:paraId="38F72E09" w14:textId="77777777" w:rsidR="00B04C48" w:rsidRPr="00F87E34" w:rsidRDefault="00B04C48">
      <w:pPr>
        <w:jc w:val="left"/>
        <w:rPr>
          <w:sz w:val="20"/>
          <w:szCs w:val="20"/>
        </w:rPr>
      </w:pPr>
      <w:r w:rsidRPr="00F87E34">
        <w:rPr>
          <w:sz w:val="20"/>
          <w:szCs w:val="20"/>
        </w:rPr>
        <w:br w:type="page"/>
      </w:r>
    </w:p>
    <w:p w14:paraId="4646C032" w14:textId="7C03CDB2" w:rsidR="00467BD1" w:rsidRPr="00F87E34" w:rsidRDefault="00467BD1" w:rsidP="00CA2057">
      <w:pPr>
        <w:widowControl w:val="0"/>
        <w:spacing w:before="360"/>
        <w:jc w:val="center"/>
        <w:rPr>
          <w:sz w:val="20"/>
          <w:szCs w:val="20"/>
        </w:rPr>
      </w:pPr>
      <w:r w:rsidRPr="00F87E34">
        <w:rPr>
          <w:sz w:val="20"/>
          <w:szCs w:val="20"/>
        </w:rPr>
        <w:lastRenderedPageBreak/>
        <w:t xml:space="preserve">Cuadro </w:t>
      </w:r>
      <w:r w:rsidR="00B04C48" w:rsidRPr="00F87E34">
        <w:rPr>
          <w:sz w:val="20"/>
          <w:szCs w:val="20"/>
        </w:rPr>
        <w:t>3</w:t>
      </w:r>
    </w:p>
    <w:p w14:paraId="23480E1D" w14:textId="09116862" w:rsidR="00467BD1" w:rsidRPr="00F87E34" w:rsidRDefault="008679CD" w:rsidP="00CA2057">
      <w:pPr>
        <w:widowControl w:val="0"/>
        <w:jc w:val="center"/>
        <w:rPr>
          <w:b/>
          <w:smallCaps/>
          <w:sz w:val="22"/>
          <w:szCs w:val="22"/>
        </w:rPr>
      </w:pPr>
      <w:r w:rsidRPr="00F87E34">
        <w:rPr>
          <w:b/>
          <w:smallCaps/>
          <w:sz w:val="22"/>
          <w:szCs w:val="22"/>
        </w:rPr>
        <w:t xml:space="preserve">Indicadores de las empresas comerciales </w:t>
      </w:r>
      <w:r w:rsidR="00467BD1" w:rsidRPr="00F87E34">
        <w:rPr>
          <w:b/>
          <w:smallCaps/>
          <w:sz w:val="22"/>
          <w:szCs w:val="22"/>
        </w:rPr>
        <w:br/>
        <w:t xml:space="preserve">por entidad federativa según sector de actividad </w:t>
      </w:r>
      <w:r w:rsidR="00467BD1" w:rsidRPr="00F87E34">
        <w:rPr>
          <w:b/>
          <w:smallCaps/>
          <w:sz w:val="22"/>
          <w:szCs w:val="22"/>
        </w:rPr>
        <w:br/>
      </w:r>
      <w:r w:rsidR="0093724D">
        <w:rPr>
          <w:b/>
          <w:smallCaps/>
          <w:sz w:val="22"/>
          <w:szCs w:val="22"/>
        </w:rPr>
        <w:t>ju</w:t>
      </w:r>
      <w:r w:rsidR="001D05A9">
        <w:rPr>
          <w:b/>
          <w:smallCaps/>
          <w:sz w:val="22"/>
          <w:szCs w:val="22"/>
        </w:rPr>
        <w:t>l</w:t>
      </w:r>
      <w:r w:rsidR="0093724D">
        <w:rPr>
          <w:b/>
          <w:smallCaps/>
          <w:sz w:val="22"/>
          <w:szCs w:val="22"/>
        </w:rPr>
        <w:t>i</w:t>
      </w:r>
      <w:r w:rsidR="00C57913">
        <w:rPr>
          <w:b/>
          <w:smallCaps/>
          <w:sz w:val="22"/>
          <w:szCs w:val="22"/>
        </w:rPr>
        <w:t>o</w:t>
      </w:r>
      <w:r w:rsidR="00B04C48" w:rsidRPr="00F87E34">
        <w:rPr>
          <w:b/>
          <w:smallCaps/>
          <w:sz w:val="10"/>
          <w:szCs w:val="22"/>
          <w:vertAlign w:val="superscript"/>
        </w:rPr>
        <w:t xml:space="preserve"> </w:t>
      </w:r>
      <w:r w:rsidR="00467BD1" w:rsidRPr="00F87E34">
        <w:rPr>
          <w:b/>
          <w:sz w:val="22"/>
          <w:szCs w:val="22"/>
          <w:vertAlign w:val="superscript"/>
        </w:rPr>
        <w:t>p</w:t>
      </w:r>
      <w:r w:rsidR="00467BD1" w:rsidRPr="00F87E34">
        <w:rPr>
          <w:b/>
          <w:smallCaps/>
          <w:sz w:val="22"/>
          <w:szCs w:val="22"/>
          <w:vertAlign w:val="superscript"/>
        </w:rPr>
        <w:t>/</w:t>
      </w:r>
      <w:r w:rsidR="00467BD1" w:rsidRPr="00F87E34">
        <w:rPr>
          <w:b/>
          <w:smallCaps/>
          <w:sz w:val="22"/>
          <w:szCs w:val="22"/>
        </w:rPr>
        <w:t xml:space="preserve"> de </w:t>
      </w:r>
      <w:r w:rsidR="00DF5A6D" w:rsidRPr="00F87E34">
        <w:rPr>
          <w:b/>
          <w:smallCaps/>
          <w:sz w:val="22"/>
          <w:szCs w:val="22"/>
        </w:rPr>
        <w:t>202</w:t>
      </w:r>
      <w:r w:rsidR="008967B4">
        <w:rPr>
          <w:b/>
          <w:smallCaps/>
          <w:sz w:val="22"/>
          <w:szCs w:val="22"/>
        </w:rPr>
        <w:t>2</w:t>
      </w:r>
    </w:p>
    <w:p w14:paraId="3B286955" w14:textId="1C4E837B" w:rsidR="00B36B9B" w:rsidRPr="00F87E34" w:rsidRDefault="00B36B9B" w:rsidP="00CA2057">
      <w:pPr>
        <w:widowControl w:val="0"/>
        <w:jc w:val="center"/>
        <w:rPr>
          <w:smallCaps/>
          <w:sz w:val="18"/>
          <w:szCs w:val="18"/>
        </w:rPr>
      </w:pPr>
      <w:r w:rsidRPr="00F87E34">
        <w:rPr>
          <w:smallCaps/>
          <w:sz w:val="18"/>
          <w:szCs w:val="18"/>
        </w:rPr>
        <w:t>(</w:t>
      </w:r>
      <w:r w:rsidRPr="00F87E34">
        <w:rPr>
          <w:bCs/>
          <w:sz w:val="18"/>
          <w:szCs w:val="18"/>
        </w:rPr>
        <w:t>Variación porcentual anual)</w:t>
      </w:r>
    </w:p>
    <w:tbl>
      <w:tblPr>
        <w:tblW w:w="8473" w:type="dxa"/>
        <w:jc w:val="center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991"/>
        <w:gridCol w:w="942"/>
        <w:gridCol w:w="1042"/>
        <w:gridCol w:w="991"/>
        <w:gridCol w:w="934"/>
        <w:gridCol w:w="1050"/>
      </w:tblGrid>
      <w:tr w:rsidR="00B36B9B" w:rsidRPr="00F87E34" w14:paraId="1D8941CF" w14:textId="77777777" w:rsidTr="00D664F1">
        <w:trPr>
          <w:trHeight w:val="20"/>
          <w:jc w:val="center"/>
        </w:trPr>
        <w:tc>
          <w:tcPr>
            <w:tcW w:w="2523" w:type="dxa"/>
            <w:vMerge w:val="restart"/>
            <w:tcBorders>
              <w:top w:val="single" w:sz="8" w:space="0" w:color="404040"/>
              <w:left w:val="single" w:sz="8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1E52411C" w14:textId="0A10A042" w:rsidR="00B36B9B" w:rsidRPr="00F87E34" w:rsidRDefault="00B36B9B" w:rsidP="00060F31">
            <w:pPr>
              <w:spacing w:before="20" w:after="20"/>
              <w:ind w:firstLine="125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Entidad</w:t>
            </w:r>
          </w:p>
        </w:tc>
        <w:tc>
          <w:tcPr>
            <w:tcW w:w="2975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54988917" w14:textId="77B30222" w:rsidR="00B36B9B" w:rsidRPr="00F87E34" w:rsidRDefault="00B36B9B" w:rsidP="00FB4F25">
            <w:pPr>
              <w:spacing w:before="40" w:after="40"/>
              <w:jc w:val="center"/>
              <w:rPr>
                <w:color w:val="000000"/>
                <w:sz w:val="16"/>
                <w:szCs w:val="18"/>
              </w:rPr>
            </w:pPr>
            <w:r w:rsidRPr="00F87E34">
              <w:rPr>
                <w:color w:val="000000"/>
                <w:sz w:val="16"/>
                <w:szCs w:val="18"/>
              </w:rPr>
              <w:t xml:space="preserve">Empresas comerciales </w:t>
            </w:r>
            <w:r w:rsidRPr="00F87E34">
              <w:rPr>
                <w:color w:val="000000"/>
                <w:sz w:val="16"/>
                <w:szCs w:val="18"/>
              </w:rPr>
              <w:br/>
              <w:t>al por mayor</w:t>
            </w:r>
          </w:p>
        </w:tc>
        <w:tc>
          <w:tcPr>
            <w:tcW w:w="2975" w:type="dxa"/>
            <w:gridSpan w:val="3"/>
            <w:tcBorders>
              <w:top w:val="single" w:sz="8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  <w:vAlign w:val="center"/>
          </w:tcPr>
          <w:p w14:paraId="7AD020DA" w14:textId="422EA4A0" w:rsidR="00B36B9B" w:rsidRPr="00F87E34" w:rsidRDefault="00B36B9B" w:rsidP="00FB4F25">
            <w:pPr>
              <w:spacing w:before="40" w:after="40"/>
              <w:jc w:val="center"/>
              <w:rPr>
                <w:color w:val="000000"/>
                <w:sz w:val="16"/>
                <w:szCs w:val="18"/>
              </w:rPr>
            </w:pPr>
            <w:r w:rsidRPr="00F87E34">
              <w:rPr>
                <w:color w:val="000000"/>
                <w:sz w:val="16"/>
                <w:szCs w:val="18"/>
              </w:rPr>
              <w:t xml:space="preserve">Empresas comerciales </w:t>
            </w:r>
            <w:r w:rsidRPr="00F87E34">
              <w:rPr>
                <w:color w:val="000000"/>
                <w:sz w:val="16"/>
                <w:szCs w:val="18"/>
              </w:rPr>
              <w:br/>
              <w:t>al por menor</w:t>
            </w:r>
          </w:p>
        </w:tc>
      </w:tr>
      <w:tr w:rsidR="00B36B9B" w:rsidRPr="00F87E34" w14:paraId="0CB4F4C0" w14:textId="77777777" w:rsidTr="000300A4">
        <w:trPr>
          <w:trHeight w:val="20"/>
          <w:jc w:val="center"/>
        </w:trPr>
        <w:tc>
          <w:tcPr>
            <w:tcW w:w="2523" w:type="dxa"/>
            <w:vMerge/>
            <w:tcBorders>
              <w:left w:val="single" w:sz="8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  <w:vAlign w:val="center"/>
          </w:tcPr>
          <w:p w14:paraId="35AE6A5B" w14:textId="1983D289" w:rsidR="00B36B9B" w:rsidRPr="00F87E34" w:rsidRDefault="00B36B9B" w:rsidP="00AA2115">
            <w:pPr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7F32FBD2" w14:textId="183360BF" w:rsidR="00B36B9B" w:rsidRPr="00F87E34" w:rsidRDefault="00B36B9B" w:rsidP="00457A06">
            <w:pPr>
              <w:spacing w:before="40" w:after="40"/>
              <w:ind w:left="-57" w:right="-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 xml:space="preserve">Ingresos por suministro </w:t>
            </w:r>
            <w:r w:rsidRPr="00F87E34">
              <w:rPr>
                <w:bCs/>
                <w:sz w:val="16"/>
                <w:szCs w:val="16"/>
              </w:rPr>
              <w:br/>
              <w:t xml:space="preserve">de bienes y servicios </w:t>
            </w:r>
            <w:r w:rsidRPr="00F87E34">
              <w:rPr>
                <w:bCs/>
                <w:position w:val="-2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9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61F3B487" w14:textId="77777777" w:rsidR="00B36B9B" w:rsidRPr="00F87E34" w:rsidRDefault="00B36B9B" w:rsidP="00770BFA">
            <w:pPr>
              <w:spacing w:before="40" w:after="40"/>
              <w:ind w:left="-39" w:right="-35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Personal ocupado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104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5D618804" w14:textId="77777777" w:rsidR="00B36B9B" w:rsidRPr="00F87E34" w:rsidRDefault="00B36B9B" w:rsidP="00876DC6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Remunera-</w:t>
            </w:r>
            <w:r w:rsidRPr="00F87E34">
              <w:rPr>
                <w:b/>
                <w:smallCaps/>
                <w:sz w:val="22"/>
              </w:rPr>
              <w:br/>
            </w:r>
            <w:proofErr w:type="spellStart"/>
            <w:r w:rsidRPr="00F87E34">
              <w:rPr>
                <w:bCs/>
                <w:color w:val="000000"/>
                <w:sz w:val="16"/>
                <w:szCs w:val="16"/>
              </w:rPr>
              <w:t>ciones</w:t>
            </w:r>
            <w:proofErr w:type="spellEnd"/>
            <w:r w:rsidRPr="00F87E3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 xml:space="preserve">medias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reales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01ABEDA7" w14:textId="10A12EE0" w:rsidR="00B36B9B" w:rsidRPr="00F87E34" w:rsidRDefault="00B36B9B" w:rsidP="00FB4F25">
            <w:pPr>
              <w:spacing w:before="40" w:after="40"/>
              <w:ind w:left="-56" w:right="-39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 xml:space="preserve">Ingresos por suministro </w:t>
            </w:r>
            <w:r w:rsidRPr="00F87E34">
              <w:rPr>
                <w:bCs/>
                <w:sz w:val="16"/>
                <w:szCs w:val="16"/>
              </w:rPr>
              <w:br/>
              <w:t xml:space="preserve">de bienes y servicios </w:t>
            </w:r>
            <w:r w:rsidRPr="00F87E34">
              <w:rPr>
                <w:bCs/>
                <w:position w:val="-2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93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D7E4BD"/>
          </w:tcPr>
          <w:p w14:paraId="3BC8DE3C" w14:textId="77777777" w:rsidR="00B36B9B" w:rsidRPr="00F87E34" w:rsidRDefault="00B36B9B" w:rsidP="00FB4F25">
            <w:pPr>
              <w:spacing w:before="40" w:after="40"/>
              <w:ind w:left="-39" w:right="-35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Personal ocupado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10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8" w:space="0" w:color="404040"/>
            </w:tcBorders>
            <w:shd w:val="clear" w:color="auto" w:fill="D7E4BD"/>
          </w:tcPr>
          <w:p w14:paraId="240270FA" w14:textId="77777777" w:rsidR="00B36B9B" w:rsidRPr="00F87E34" w:rsidRDefault="00B36B9B" w:rsidP="00876DC6">
            <w:pPr>
              <w:spacing w:before="40" w:after="40"/>
              <w:jc w:val="center"/>
              <w:rPr>
                <w:bCs/>
                <w:sz w:val="16"/>
                <w:szCs w:val="16"/>
              </w:rPr>
            </w:pPr>
            <w:r w:rsidRPr="00F87E34">
              <w:rPr>
                <w:bCs/>
                <w:color w:val="000000"/>
                <w:sz w:val="16"/>
                <w:szCs w:val="16"/>
              </w:rPr>
              <w:t>Remunera-</w:t>
            </w:r>
            <w:r w:rsidRPr="00F87E34">
              <w:rPr>
                <w:b/>
                <w:smallCaps/>
                <w:sz w:val="22"/>
              </w:rPr>
              <w:br/>
            </w:r>
            <w:proofErr w:type="spellStart"/>
            <w:r w:rsidRPr="00F87E34">
              <w:rPr>
                <w:bCs/>
                <w:color w:val="000000"/>
                <w:sz w:val="16"/>
                <w:szCs w:val="16"/>
              </w:rPr>
              <w:t>ciones</w:t>
            </w:r>
            <w:proofErr w:type="spellEnd"/>
            <w:r w:rsidRPr="00F87E34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 xml:space="preserve">medias </w:t>
            </w:r>
            <w:r w:rsidRPr="00F87E34">
              <w:rPr>
                <w:bCs/>
                <w:color w:val="000000"/>
                <w:sz w:val="16"/>
                <w:szCs w:val="16"/>
              </w:rPr>
              <w:br/>
              <w:t>reales</w:t>
            </w:r>
          </w:p>
        </w:tc>
      </w:tr>
      <w:tr w:rsidR="001D05A9" w:rsidRPr="00F87E34" w14:paraId="6191BF9B" w14:textId="77777777" w:rsidTr="001D05A9">
        <w:trPr>
          <w:trHeight w:val="23"/>
          <w:jc w:val="center"/>
        </w:trPr>
        <w:tc>
          <w:tcPr>
            <w:tcW w:w="2523" w:type="dxa"/>
            <w:tcBorders>
              <w:top w:val="single" w:sz="6" w:space="0" w:color="404040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71813FF" w14:textId="77777777" w:rsidR="001D05A9" w:rsidRPr="00F87E34" w:rsidRDefault="001D05A9" w:rsidP="001D05A9">
            <w:pPr>
              <w:ind w:left="97"/>
              <w:jc w:val="left"/>
              <w:rPr>
                <w:b/>
                <w:bCs/>
                <w:sz w:val="16"/>
                <w:szCs w:val="16"/>
              </w:rPr>
            </w:pPr>
            <w:r w:rsidRPr="00F87E34">
              <w:rPr>
                <w:b/>
                <w:bCs/>
                <w:sz w:val="16"/>
                <w:szCs w:val="16"/>
              </w:rPr>
              <w:t>Nacional</w:t>
            </w:r>
          </w:p>
        </w:tc>
        <w:tc>
          <w:tcPr>
            <w:tcW w:w="991" w:type="dxa"/>
            <w:tcBorders>
              <w:top w:val="single" w:sz="6" w:space="0" w:color="404040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41F56" w14:textId="1401F542" w:rsidR="001D05A9" w:rsidRPr="001D05A9" w:rsidRDefault="001D05A9" w:rsidP="001D05A9">
            <w:pPr>
              <w:tabs>
                <w:tab w:val="decimal" w:pos="508"/>
              </w:tabs>
              <w:jc w:val="left"/>
              <w:rPr>
                <w:b/>
                <w:bCs/>
                <w:sz w:val="16"/>
                <w:szCs w:val="16"/>
              </w:rPr>
            </w:pPr>
            <w:r w:rsidRPr="001D05A9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942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31045" w14:textId="3EB1911D" w:rsidR="001D05A9" w:rsidRPr="001D05A9" w:rsidRDefault="001D05A9" w:rsidP="001D05A9">
            <w:pPr>
              <w:tabs>
                <w:tab w:val="decimal" w:pos="480"/>
              </w:tabs>
              <w:jc w:val="left"/>
              <w:rPr>
                <w:b/>
                <w:bCs/>
                <w:sz w:val="16"/>
                <w:szCs w:val="16"/>
              </w:rPr>
            </w:pPr>
            <w:r w:rsidRPr="001D05A9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042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3DB72" w14:textId="007FFD8E" w:rsidR="001D05A9" w:rsidRPr="001D05A9" w:rsidRDefault="001D05A9" w:rsidP="001D05A9">
            <w:pPr>
              <w:tabs>
                <w:tab w:val="decimal" w:pos="508"/>
              </w:tabs>
              <w:jc w:val="left"/>
              <w:rPr>
                <w:b/>
                <w:bCs/>
                <w:sz w:val="16"/>
                <w:szCs w:val="16"/>
              </w:rPr>
            </w:pPr>
            <w:r w:rsidRPr="001D05A9">
              <w:rPr>
                <w:b/>
                <w:bCs/>
                <w:sz w:val="16"/>
                <w:szCs w:val="16"/>
              </w:rPr>
              <w:t>-3.9</w:t>
            </w:r>
          </w:p>
        </w:tc>
        <w:tc>
          <w:tcPr>
            <w:tcW w:w="991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569E" w14:textId="2937913C" w:rsidR="001D05A9" w:rsidRPr="001D05A9" w:rsidRDefault="001D05A9" w:rsidP="001D05A9">
            <w:pPr>
              <w:tabs>
                <w:tab w:val="decimal" w:pos="458"/>
              </w:tabs>
              <w:jc w:val="left"/>
              <w:rPr>
                <w:b/>
                <w:sz w:val="16"/>
                <w:szCs w:val="16"/>
              </w:rPr>
            </w:pPr>
            <w:r w:rsidRPr="001D05A9">
              <w:rPr>
                <w:b/>
                <w:bCs/>
                <w:sz w:val="16"/>
                <w:szCs w:val="16"/>
              </w:rPr>
              <w:t>5.0</w:t>
            </w:r>
          </w:p>
        </w:tc>
        <w:tc>
          <w:tcPr>
            <w:tcW w:w="934" w:type="dxa"/>
            <w:tcBorders>
              <w:top w:val="single" w:sz="6" w:space="0" w:color="40404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B9B3" w14:textId="3EAF954A" w:rsidR="001D05A9" w:rsidRPr="001D05A9" w:rsidRDefault="001D05A9" w:rsidP="001D05A9">
            <w:pPr>
              <w:tabs>
                <w:tab w:val="decimal" w:pos="444"/>
              </w:tabs>
              <w:jc w:val="left"/>
              <w:rPr>
                <w:b/>
                <w:bCs/>
                <w:sz w:val="16"/>
                <w:szCs w:val="16"/>
              </w:rPr>
            </w:pPr>
            <w:r w:rsidRPr="001D05A9">
              <w:rPr>
                <w:b/>
                <w:bCs/>
                <w:sz w:val="16"/>
                <w:szCs w:val="16"/>
              </w:rPr>
              <w:t>-1.2</w:t>
            </w:r>
          </w:p>
        </w:tc>
        <w:tc>
          <w:tcPr>
            <w:tcW w:w="1050" w:type="dxa"/>
            <w:tcBorders>
              <w:top w:val="single" w:sz="6" w:space="0" w:color="404040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6E1DAC0" w14:textId="01D3D4DA" w:rsidR="001D05A9" w:rsidRPr="001D05A9" w:rsidRDefault="001D05A9" w:rsidP="001D05A9">
            <w:pPr>
              <w:tabs>
                <w:tab w:val="decimal" w:pos="504"/>
              </w:tabs>
              <w:jc w:val="left"/>
              <w:rPr>
                <w:b/>
                <w:bCs/>
                <w:sz w:val="16"/>
                <w:szCs w:val="16"/>
              </w:rPr>
            </w:pPr>
            <w:r w:rsidRPr="001D05A9">
              <w:rPr>
                <w:b/>
                <w:bCs/>
                <w:sz w:val="16"/>
                <w:szCs w:val="16"/>
              </w:rPr>
              <w:t>4.1</w:t>
            </w:r>
          </w:p>
        </w:tc>
      </w:tr>
      <w:tr w:rsidR="00177648" w:rsidRPr="00F87E34" w14:paraId="22FE8CEA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F707E91" w14:textId="77777777" w:rsidR="00177648" w:rsidRPr="00F87E34" w:rsidRDefault="00177648" w:rsidP="00177648">
            <w:pPr>
              <w:ind w:left="96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Aguascalientes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451AD" w14:textId="35BBAE8A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0.9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E1AE2" w14:textId="7FD1C6EE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436A" w14:textId="2A70FDD1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7.9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2841" w14:textId="4C8649C3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0AED" w14:textId="67224EE2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661DA3F" w14:textId="6C6DCA7A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-1.3</w:t>
            </w:r>
          </w:p>
        </w:tc>
      </w:tr>
      <w:tr w:rsidR="00177648" w:rsidRPr="00F87E34" w14:paraId="137E942F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A70ACED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Baja California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B13F" w14:textId="6724DA66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6.7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AC415" w14:textId="79E714C1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13FC2" w14:textId="6E43A888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BF0E" w14:textId="7C61D804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96428" w14:textId="7F5F5FA3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6645E33" w14:textId="50AEB8CA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</w:tr>
      <w:tr w:rsidR="00177648" w:rsidRPr="00F87E34" w14:paraId="3A583C28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A0797C0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Baja California Sur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5A84C" w14:textId="723B75DD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8.2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635B7" w14:textId="33619BCC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4.4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799B" w14:textId="76FF188D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-3.2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1E20" w14:textId="7FB9335E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A456" w14:textId="074E4E01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6767AF7" w14:textId="13E8AABF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</w:t>
            </w:r>
          </w:p>
        </w:tc>
      </w:tr>
      <w:tr w:rsidR="00177648" w:rsidRPr="00F87E34" w14:paraId="0E0D3193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608B00F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Campeche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70E01" w14:textId="4E2C14A7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-16.1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14569" w14:textId="6CA2567E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892A" w14:textId="7FB6306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D6B2" w14:textId="5BF04CE6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B1441" w14:textId="503EE927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584ADD2" w14:textId="01297F5A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</w:tr>
      <w:tr w:rsidR="00177648" w:rsidRPr="00F87E34" w14:paraId="1AA69D88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B33978A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Coahuila de Zaragoza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5961" w14:textId="6470200F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CCAF" w14:textId="33C1BD39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72586" w14:textId="4E28FCBD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75841" w14:textId="23A71551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16F89" w14:textId="278E304F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8B09DE8" w14:textId="74FF834B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-1.5</w:t>
            </w:r>
          </w:p>
        </w:tc>
      </w:tr>
      <w:tr w:rsidR="00177648" w:rsidRPr="00F87E34" w14:paraId="56BCF494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04F6327E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Colima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B535" w14:textId="4FCDCC41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10.8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9D41" w14:textId="18B1DD88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488C6" w14:textId="7761C89B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FCAE" w14:textId="48AB38F8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76A7" w14:textId="2A4F3212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5DDBD88" w14:textId="3BFAC069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</w:tr>
      <w:tr w:rsidR="00177648" w:rsidRPr="00F87E34" w14:paraId="67167560" w14:textId="77777777" w:rsidTr="00177648">
        <w:trPr>
          <w:trHeight w:val="66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9FFBA71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Chiapas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5160" w14:textId="381ABACF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-7.0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9EEC" w14:textId="088F1F07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B5C7" w14:textId="7DC5DD5D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5874" w14:textId="2B9567BC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26B7" w14:textId="6DF6E03B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B592CBF" w14:textId="6679E4E5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</w:t>
            </w:r>
          </w:p>
        </w:tc>
      </w:tr>
      <w:tr w:rsidR="00177648" w:rsidRPr="00F87E34" w14:paraId="2DF7397F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3A1C37B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Chihuahua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53D32" w14:textId="3ADE1707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97623" w14:textId="5814595C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07CA" w14:textId="7C1AFA37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-6.5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59983" w14:textId="0F66105C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1B39" w14:textId="43DB1D35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A140B03" w14:textId="3815D8AA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</w:t>
            </w:r>
          </w:p>
        </w:tc>
      </w:tr>
      <w:tr w:rsidR="00177648" w:rsidRPr="00F87E34" w14:paraId="64F59367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00659AF3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Ciudad de México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61FA3" w14:textId="26E2BEBA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6.2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9560" w14:textId="32F3249B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7279F" w14:textId="2D5111A1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A488" w14:textId="79AA4221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A301" w14:textId="13235795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E8D11ED" w14:textId="34266059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</w:t>
            </w:r>
          </w:p>
        </w:tc>
      </w:tr>
      <w:tr w:rsidR="00177648" w:rsidRPr="00F87E34" w14:paraId="3828D442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C24BC3F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Durango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690F4" w14:textId="47E2DB6B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-6.1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D933" w14:textId="1004E489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05D56" w14:textId="2FC84490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95D9E" w14:textId="3C28ABA2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6B23" w14:textId="511B6046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1DFF78D" w14:textId="701EC99D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</w:t>
            </w:r>
          </w:p>
        </w:tc>
      </w:tr>
      <w:tr w:rsidR="00177648" w:rsidRPr="00F87E34" w14:paraId="452FDEDC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163C185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Guanajuato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C11E" w14:textId="07E827C6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5F69" w14:textId="77E5DB5A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D0BE0" w14:textId="1EFC35AE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43DB" w14:textId="18DF80FC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D3DE" w14:textId="049800E1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D4CC50A" w14:textId="327F4AE7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</w:t>
            </w:r>
          </w:p>
        </w:tc>
      </w:tr>
      <w:tr w:rsidR="00177648" w:rsidRPr="00F87E34" w14:paraId="49D52FDC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88569AC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Guerrero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3DDD4" w14:textId="100BEE72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3.0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C88A" w14:textId="58F89731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2.0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044A" w14:textId="7D6D759B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6086" w14:textId="5BEA618E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FE620" w14:textId="1AE12F36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B3C0D3F" w14:textId="76B388AF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</w:t>
            </w:r>
          </w:p>
        </w:tc>
      </w:tr>
      <w:tr w:rsidR="00177648" w:rsidRPr="00F87E34" w14:paraId="7793830F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299DC13" w14:textId="77777777" w:rsidR="00177648" w:rsidRPr="00F87E34" w:rsidRDefault="00177648" w:rsidP="00177648">
            <w:pPr>
              <w:spacing w:before="20" w:after="20"/>
              <w:ind w:left="96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Hidalgo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C6D84" w14:textId="482F7DEB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25AA" w14:textId="1B44B694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8.1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B3E4" w14:textId="153BB3E0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-12.9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0F017" w14:textId="014C8053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A062" w14:textId="2AE16D81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EA0BD85" w14:textId="2521B8B9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</w:tr>
      <w:tr w:rsidR="00177648" w:rsidRPr="00F87E34" w14:paraId="5719F551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117DE71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Jalisco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88F7" w14:textId="75EAA969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3.8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C4591" w14:textId="24229D52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C3B6" w14:textId="3CF9A065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-8.3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1F6A7" w14:textId="51A7CBC6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06731" w14:textId="3D50FBB8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A53ACD3" w14:textId="2C5213C8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</w:tr>
      <w:tr w:rsidR="00177648" w:rsidRPr="00F87E34" w14:paraId="70148ECF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9E4F606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México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1699" w14:textId="15611842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-7.5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2E44A" w14:textId="30121FE3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DCB4" w14:textId="2E33B5E6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957E" w14:textId="641EA828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2F423" w14:textId="535CAB56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B7CDC1A" w14:textId="3C10B9EB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177648" w:rsidRPr="00F87E34" w14:paraId="0B357A9F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FB79255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Michoacán de Ocampo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5BFE4" w14:textId="0301164D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F4EB7" w14:textId="20404EE0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A7DB" w14:textId="58ED9A6F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738B" w14:textId="248E30E6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4866B" w14:textId="7A21C281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6785986D" w14:textId="50139D56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</w:tr>
      <w:tr w:rsidR="00177648" w:rsidRPr="00F87E34" w14:paraId="6CBD1E1B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1DADE441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Morelos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57D2" w14:textId="4C286B9B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F4B3" w14:textId="49203324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3.0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32F9A" w14:textId="6404ADC1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-7.3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DFBE" w14:textId="458FC53A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49BA" w14:textId="63D1344B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7EA25E8" w14:textId="29DC933F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</w:tr>
      <w:tr w:rsidR="00177648" w:rsidRPr="00F87E34" w14:paraId="273263B7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E38D025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Nayarit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E94A" w14:textId="51407866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B186" w14:textId="0F75A02D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E1BE5" w14:textId="2D57EA84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2591" w14:textId="20E92CCD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EB70" w14:textId="40343B3D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B5717A2" w14:textId="3177FFE2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</w:t>
            </w:r>
          </w:p>
        </w:tc>
      </w:tr>
      <w:tr w:rsidR="00177648" w:rsidRPr="00F87E34" w14:paraId="2891A770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5328305B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Nuevo León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3FAD6" w14:textId="6780D082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AD2C" w14:textId="50BDA7BC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3.8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24B20" w14:textId="12863816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8D1CF" w14:textId="1788FB59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BB1A" w14:textId="35C70159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327CA89" w14:textId="3BBC16C2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-4.4</w:t>
            </w:r>
          </w:p>
        </w:tc>
      </w:tr>
      <w:tr w:rsidR="00177648" w:rsidRPr="00F87E34" w14:paraId="256F54F8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6D139F8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Oaxaca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DE79" w14:textId="7F0E5A41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-0.1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899B4" w14:textId="52B21C91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D6EC0" w14:textId="6A3D6D56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85DB" w14:textId="5FE2301D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EEB0" w14:textId="14E20222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6DE9E66" w14:textId="57957AF1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</w:t>
            </w:r>
          </w:p>
        </w:tc>
      </w:tr>
      <w:tr w:rsidR="00177648" w:rsidRPr="00F87E34" w14:paraId="73D4028C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B1B847D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Puebla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7372" w14:textId="090D964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B38E" w14:textId="138F1F93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31F1" w14:textId="432C239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-4.6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8BED9" w14:textId="64F5DEE5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E4B92" w14:textId="6C85F7E5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565F77B" w14:textId="674F4B43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</w:tr>
      <w:tr w:rsidR="00177648" w:rsidRPr="00F87E34" w14:paraId="5B4D207B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7729F09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Querétaro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DE94" w14:textId="4873553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5.5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CA74" w14:textId="20B234E4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9330" w14:textId="7D9D7FBD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8A7B" w14:textId="79E25392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55B2" w14:textId="5AF6E622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79054C4D" w14:textId="6BA301A3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-2.6</w:t>
            </w:r>
          </w:p>
        </w:tc>
      </w:tr>
      <w:tr w:rsidR="00177648" w:rsidRPr="00F87E34" w14:paraId="39EBF2C1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8E3E7ED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Quintana Roo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2F64" w14:textId="22C7CAAA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12.2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BCF5" w14:textId="27BE812D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F498" w14:textId="721409C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5324" w14:textId="1F0C8316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E89CF" w14:textId="2D6E8772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23F99C3F" w14:textId="6079B41C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</w:t>
            </w:r>
          </w:p>
        </w:tc>
      </w:tr>
      <w:tr w:rsidR="00177648" w:rsidRPr="00F87E34" w14:paraId="350C4C31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BCCB619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San Luis Potosí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AAB5" w14:textId="6683D699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-4.8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C27D" w14:textId="451B7B67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0FBFF" w14:textId="7A4AB9FD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-2.3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1D29" w14:textId="5EA6C72E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B7838" w14:textId="4E72A8F3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083003BE" w14:textId="62144CF5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</w:t>
            </w:r>
          </w:p>
        </w:tc>
      </w:tr>
      <w:tr w:rsidR="00177648" w:rsidRPr="00F87E34" w14:paraId="254D5879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3D3C82C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Sinaloa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07B0" w14:textId="3B5FE552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AE4A0" w14:textId="75A62135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18101" w14:textId="2FEB6BAB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-3.2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C3A7" w14:textId="0B633795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B1AA" w14:textId="62E1AC0F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FE091FC" w14:textId="40AF86F8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</w:t>
            </w:r>
          </w:p>
        </w:tc>
      </w:tr>
      <w:tr w:rsidR="00177648" w:rsidRPr="00F87E34" w14:paraId="580DD6AD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347F153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Sonora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CF0D" w14:textId="7E08FA58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0EDA7" w14:textId="7104E9DD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2.1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A07E4" w14:textId="04576510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5.9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DA912" w14:textId="41A03A1A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D8F5" w14:textId="02FBBCA5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6F3ED211" w14:textId="7C41C4F0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</w:tr>
      <w:tr w:rsidR="00177648" w:rsidRPr="00F87E34" w14:paraId="6EDCB38A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5F19878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Tabasco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30378" w14:textId="7C1D3359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-3.0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DE33" w14:textId="6BA01BCA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0.8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10891" w14:textId="3D594BD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-5.5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28BCE" w14:textId="18A19BC4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0B3E" w14:textId="063EB86E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90E2636" w14:textId="4591B354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</w:t>
            </w:r>
          </w:p>
        </w:tc>
      </w:tr>
      <w:tr w:rsidR="00177648" w:rsidRPr="00F87E34" w14:paraId="09BD79EB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23E0B1BE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Tamaulipas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7C31" w14:textId="03B6C92E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4.6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C7084" w14:textId="2B8324F1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5696" w14:textId="15E1A69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A223" w14:textId="75290AE3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41D44" w14:textId="32D2E969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38E3799E" w14:textId="27AF82F4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</w:t>
            </w:r>
          </w:p>
        </w:tc>
      </w:tr>
      <w:tr w:rsidR="00177648" w:rsidRPr="00F87E34" w14:paraId="4E5561B3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44FAF3B4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Tlaxcala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4173B" w14:textId="7A1945F1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-4.5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C2048" w14:textId="45C4431F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F2892" w14:textId="31F25F56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5.5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4EA3" w14:textId="08629938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CF1C" w14:textId="18574038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E6B1D71" w14:textId="58D3128A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</w:t>
            </w:r>
          </w:p>
        </w:tc>
      </w:tr>
      <w:tr w:rsidR="00177648" w:rsidRPr="00F87E34" w14:paraId="4C801674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3C91EE36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Veracruz de Ignacio de la Llave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73D2" w14:textId="7EBC71EC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0FD6" w14:textId="185A1D4D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68B2" w14:textId="5793BF62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-4.4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5A7E" w14:textId="71F71D69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67EB" w14:textId="42B10964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BB07B89" w14:textId="6003167C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</w:tr>
      <w:tr w:rsidR="00177648" w:rsidRPr="00F87E34" w14:paraId="3C648981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nil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68EA3841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Yucatán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D06D4" w14:textId="466ED5FE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-4.8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DE76" w14:textId="169B08D2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-1.4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40FE" w14:textId="390D4BC7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1.2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407DF" w14:textId="38B9B709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C74E" w14:textId="3921C092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54F0FE9C" w14:textId="2235379B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</w:tr>
      <w:tr w:rsidR="00177648" w:rsidRPr="00F87E34" w14:paraId="742B1974" w14:textId="77777777" w:rsidTr="00177648">
        <w:trPr>
          <w:trHeight w:val="20"/>
          <w:jc w:val="center"/>
        </w:trPr>
        <w:tc>
          <w:tcPr>
            <w:tcW w:w="2523" w:type="dxa"/>
            <w:tcBorders>
              <w:top w:val="nil"/>
              <w:left w:val="single" w:sz="8" w:space="0" w:color="404040"/>
              <w:bottom w:val="single" w:sz="8" w:space="0" w:color="404040"/>
              <w:right w:val="single" w:sz="6" w:space="0" w:color="404040"/>
            </w:tcBorders>
            <w:shd w:val="clear" w:color="auto" w:fill="auto"/>
            <w:noWrap/>
            <w:vAlign w:val="center"/>
          </w:tcPr>
          <w:p w14:paraId="77FBE3BD" w14:textId="77777777" w:rsidR="00177648" w:rsidRPr="00F87E34" w:rsidRDefault="00177648" w:rsidP="00177648">
            <w:pPr>
              <w:spacing w:before="20" w:after="20"/>
              <w:ind w:left="97"/>
              <w:jc w:val="left"/>
              <w:rPr>
                <w:bCs/>
                <w:sz w:val="16"/>
                <w:szCs w:val="16"/>
              </w:rPr>
            </w:pPr>
            <w:r w:rsidRPr="00F87E34">
              <w:rPr>
                <w:bCs/>
                <w:sz w:val="16"/>
                <w:szCs w:val="16"/>
              </w:rPr>
              <w:t>Zacatecas</w:t>
            </w:r>
          </w:p>
        </w:tc>
        <w:tc>
          <w:tcPr>
            <w:tcW w:w="991" w:type="dxa"/>
            <w:tcBorders>
              <w:top w:val="nil"/>
              <w:left w:val="single" w:sz="6" w:space="0" w:color="404040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55CCD9D" w14:textId="770DB97E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-0.1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2448AE91" w14:textId="50498C04" w:rsidR="00177648" w:rsidRPr="001D05A9" w:rsidRDefault="00177648" w:rsidP="00177648">
            <w:pPr>
              <w:tabs>
                <w:tab w:val="decimal" w:pos="480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3.0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35DC2CD" w14:textId="3A6F47AA" w:rsidR="00177648" w:rsidRPr="001D05A9" w:rsidRDefault="00177648" w:rsidP="00177648">
            <w:pPr>
              <w:tabs>
                <w:tab w:val="decimal" w:pos="508"/>
              </w:tabs>
              <w:jc w:val="left"/>
              <w:rPr>
                <w:bCs/>
                <w:sz w:val="16"/>
                <w:szCs w:val="16"/>
              </w:rPr>
            </w:pPr>
            <w:r w:rsidRPr="001D05A9">
              <w:rPr>
                <w:sz w:val="16"/>
                <w:szCs w:val="16"/>
              </w:rPr>
              <w:t>-4.0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0F06E8F3" w14:textId="7D1F1DCA" w:rsidR="00177648" w:rsidRPr="001D05A9" w:rsidRDefault="00177648" w:rsidP="00177648">
            <w:pPr>
              <w:tabs>
                <w:tab w:val="decimal" w:pos="458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404040"/>
              <w:right w:val="nil"/>
            </w:tcBorders>
            <w:shd w:val="clear" w:color="auto" w:fill="auto"/>
            <w:noWrap/>
            <w:vAlign w:val="center"/>
          </w:tcPr>
          <w:p w14:paraId="172367C7" w14:textId="3CEAB985" w:rsidR="00177648" w:rsidRPr="001D05A9" w:rsidRDefault="00177648" w:rsidP="00177648">
            <w:pPr>
              <w:tabs>
                <w:tab w:val="decimal" w:pos="44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</w:tcPr>
          <w:p w14:paraId="44510B4B" w14:textId="76B479EB" w:rsidR="00177648" w:rsidRPr="001D05A9" w:rsidRDefault="00177648" w:rsidP="00177648">
            <w:pPr>
              <w:tabs>
                <w:tab w:val="decimal" w:pos="504"/>
              </w:tabs>
              <w:jc w:val="lef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</w:t>
            </w:r>
          </w:p>
        </w:tc>
      </w:tr>
    </w:tbl>
    <w:p w14:paraId="347C75D8" w14:textId="0319DFAD" w:rsidR="00467BD1" w:rsidRPr="00F87E34" w:rsidRDefault="00467BD1" w:rsidP="009D4C7B">
      <w:pPr>
        <w:pStyle w:val="Textoindependiente"/>
        <w:widowControl w:val="0"/>
        <w:tabs>
          <w:tab w:val="left" w:pos="798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sz w:val="18"/>
          <w:szCs w:val="18"/>
          <w:vertAlign w:val="superscript"/>
        </w:rPr>
        <w:t>p/</w:t>
      </w:r>
      <w:r w:rsidR="009D4C7B" w:rsidRPr="00F87E34">
        <w:rPr>
          <w:color w:val="auto"/>
          <w:sz w:val="18"/>
          <w:szCs w:val="18"/>
          <w:vertAlign w:val="superscript"/>
        </w:rPr>
        <w:tab/>
      </w:r>
      <w:r w:rsidRPr="00F87E34">
        <w:rPr>
          <w:color w:val="auto"/>
          <w:sz w:val="16"/>
          <w:szCs w:val="16"/>
        </w:rPr>
        <w:t>Cifras preliminares</w:t>
      </w:r>
    </w:p>
    <w:p w14:paraId="25C1BF4E" w14:textId="12A6B143" w:rsidR="00F00159" w:rsidRPr="00F87E34" w:rsidRDefault="0049231D" w:rsidP="009D4C7B">
      <w:pPr>
        <w:pStyle w:val="Textoindependiente"/>
        <w:widowControl w:val="0"/>
        <w:tabs>
          <w:tab w:val="left" w:pos="798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position w:val="-2"/>
          <w:sz w:val="18"/>
          <w:szCs w:val="16"/>
          <w:vertAlign w:val="superscript"/>
        </w:rPr>
        <w:t>1/</w:t>
      </w:r>
      <w:r w:rsidR="009D4C7B" w:rsidRPr="00F87E34">
        <w:rPr>
          <w:color w:val="auto"/>
          <w:sz w:val="16"/>
          <w:szCs w:val="16"/>
        </w:rPr>
        <w:tab/>
      </w:r>
      <w:r w:rsidR="00F00159" w:rsidRPr="00F87E34">
        <w:rPr>
          <w:color w:val="auto"/>
          <w:sz w:val="16"/>
          <w:szCs w:val="16"/>
        </w:rPr>
        <w:t>En términos reales</w:t>
      </w:r>
    </w:p>
    <w:p w14:paraId="5EE5EFD1" w14:textId="1FEB20C6" w:rsidR="002F1CE6" w:rsidRPr="00F87E34" w:rsidRDefault="00467BD1" w:rsidP="00EA7C32">
      <w:pPr>
        <w:pStyle w:val="Textoindependiente"/>
        <w:widowControl w:val="0"/>
        <w:tabs>
          <w:tab w:val="left" w:pos="1232"/>
        </w:tabs>
        <w:spacing w:before="0"/>
        <w:ind w:left="350" w:firstLine="266"/>
        <w:rPr>
          <w:color w:val="auto"/>
          <w:sz w:val="16"/>
          <w:szCs w:val="16"/>
        </w:rPr>
      </w:pPr>
      <w:r w:rsidRPr="00F87E34">
        <w:rPr>
          <w:color w:val="auto"/>
          <w:sz w:val="16"/>
          <w:szCs w:val="16"/>
        </w:rPr>
        <w:t>Fuente:</w:t>
      </w:r>
      <w:r w:rsidR="00A82501" w:rsidRPr="00F87E34">
        <w:rPr>
          <w:color w:val="auto"/>
          <w:sz w:val="16"/>
          <w:szCs w:val="16"/>
        </w:rPr>
        <w:tab/>
      </w:r>
      <w:r w:rsidRPr="00F87E34">
        <w:rPr>
          <w:color w:val="auto"/>
          <w:sz w:val="16"/>
          <w:szCs w:val="16"/>
        </w:rPr>
        <w:t>INEGI</w:t>
      </w:r>
    </w:p>
    <w:p w14:paraId="5F99723E" w14:textId="77777777" w:rsidR="00901366" w:rsidRPr="00F87E34" w:rsidRDefault="00901366" w:rsidP="003D3889">
      <w:pPr>
        <w:pStyle w:val="p0"/>
        <w:keepNext/>
        <w:spacing w:before="600"/>
        <w:jc w:val="left"/>
        <w:rPr>
          <w:rFonts w:ascii="Arial" w:hAnsi="Arial"/>
          <w:b/>
          <w:i/>
          <w:color w:val="auto"/>
        </w:rPr>
      </w:pPr>
      <w:r w:rsidRPr="00F87E34">
        <w:rPr>
          <w:rFonts w:ascii="Arial" w:hAnsi="Arial"/>
          <w:b/>
          <w:i/>
          <w:color w:val="auto"/>
        </w:rPr>
        <w:lastRenderedPageBreak/>
        <w:t>Nota al usuario</w:t>
      </w:r>
    </w:p>
    <w:p w14:paraId="43601560" w14:textId="5BE736BF" w:rsidR="0093485F" w:rsidRPr="00F87E34" w:rsidRDefault="006C5B70" w:rsidP="00BB52B4">
      <w:pPr>
        <w:pStyle w:val="p0"/>
        <w:keepNext/>
        <w:rPr>
          <w:rFonts w:ascii="Arial" w:hAnsi="Arial"/>
          <w:color w:val="auto"/>
        </w:rPr>
      </w:pPr>
      <w:r w:rsidRPr="002D476C">
        <w:rPr>
          <w:rFonts w:ascii="Arial" w:hAnsi="Arial"/>
          <w:color w:val="auto"/>
          <w:lang w:val="es-MX"/>
        </w:rPr>
        <w:t xml:space="preserve">La </w:t>
      </w:r>
      <w:r w:rsidR="004905E4" w:rsidRPr="002D476C">
        <w:rPr>
          <w:rFonts w:ascii="Arial" w:hAnsi="Arial"/>
          <w:color w:val="auto"/>
          <w:lang w:val="es-MX"/>
        </w:rPr>
        <w:t>t</w:t>
      </w:r>
      <w:r w:rsidRPr="002D476C">
        <w:rPr>
          <w:rFonts w:ascii="Arial" w:hAnsi="Arial"/>
          <w:color w:val="auto"/>
          <w:lang w:val="es-MX"/>
        </w:rPr>
        <w:t xml:space="preserve">asa de </w:t>
      </w:r>
      <w:r w:rsidR="004905E4" w:rsidRPr="002D476C">
        <w:rPr>
          <w:rFonts w:ascii="Arial" w:hAnsi="Arial"/>
          <w:color w:val="auto"/>
          <w:lang w:val="es-MX"/>
        </w:rPr>
        <w:t>n</w:t>
      </w:r>
      <w:r w:rsidRPr="002D476C">
        <w:rPr>
          <w:rFonts w:ascii="Arial" w:hAnsi="Arial"/>
          <w:color w:val="auto"/>
          <w:lang w:val="es-MX"/>
        </w:rPr>
        <w:t xml:space="preserve">o </w:t>
      </w:r>
      <w:r w:rsidR="004905E4" w:rsidRPr="002D476C">
        <w:rPr>
          <w:rFonts w:ascii="Arial" w:hAnsi="Arial"/>
          <w:color w:val="auto"/>
          <w:lang w:val="es-MX"/>
        </w:rPr>
        <w:t>r</w:t>
      </w:r>
      <w:r w:rsidRPr="002D476C">
        <w:rPr>
          <w:rFonts w:ascii="Arial" w:hAnsi="Arial"/>
          <w:color w:val="auto"/>
          <w:lang w:val="es-MX"/>
        </w:rPr>
        <w:t xml:space="preserve">espuesta de la </w:t>
      </w:r>
      <w:r w:rsidR="001E01B3" w:rsidRPr="002D476C">
        <w:rPr>
          <w:rFonts w:ascii="Arial" w:hAnsi="Arial"/>
          <w:color w:val="auto"/>
          <w:lang w:val="es-MX"/>
        </w:rPr>
        <w:t>EMEC</w:t>
      </w:r>
      <w:r w:rsidRPr="002D476C">
        <w:rPr>
          <w:rFonts w:ascii="Arial" w:hAnsi="Arial"/>
          <w:color w:val="auto"/>
          <w:lang w:val="es-MX"/>
        </w:rPr>
        <w:t>, correspondiente a</w:t>
      </w:r>
      <w:r w:rsidR="00C57913">
        <w:rPr>
          <w:rFonts w:ascii="Arial" w:hAnsi="Arial"/>
          <w:color w:val="auto"/>
          <w:lang w:val="es-MX"/>
        </w:rPr>
        <w:t xml:space="preserve"> </w:t>
      </w:r>
      <w:r w:rsidR="000E10B7">
        <w:rPr>
          <w:rFonts w:ascii="Arial" w:hAnsi="Arial"/>
          <w:color w:val="auto"/>
          <w:lang w:val="es-MX"/>
        </w:rPr>
        <w:t>ju</w:t>
      </w:r>
      <w:r w:rsidR="00DA449A">
        <w:rPr>
          <w:rFonts w:ascii="Arial" w:hAnsi="Arial"/>
          <w:color w:val="auto"/>
          <w:lang w:val="es-MX"/>
        </w:rPr>
        <w:t>l</w:t>
      </w:r>
      <w:r w:rsidR="000E10B7">
        <w:rPr>
          <w:rFonts w:ascii="Arial" w:hAnsi="Arial"/>
          <w:color w:val="auto"/>
          <w:lang w:val="es-MX"/>
        </w:rPr>
        <w:t>i</w:t>
      </w:r>
      <w:r w:rsidR="00C57913">
        <w:rPr>
          <w:rFonts w:ascii="Arial" w:hAnsi="Arial"/>
          <w:color w:val="auto"/>
          <w:lang w:val="es-MX"/>
        </w:rPr>
        <w:t>o</w:t>
      </w:r>
      <w:r w:rsidRPr="002D476C">
        <w:rPr>
          <w:rFonts w:ascii="Arial" w:hAnsi="Arial"/>
          <w:color w:val="auto"/>
          <w:lang w:val="es-MX"/>
        </w:rPr>
        <w:t xml:space="preserve"> de 202</w:t>
      </w:r>
      <w:r w:rsidR="008967B4" w:rsidRPr="002D476C">
        <w:rPr>
          <w:rFonts w:ascii="Arial" w:hAnsi="Arial"/>
          <w:color w:val="auto"/>
          <w:lang w:val="es-MX"/>
        </w:rPr>
        <w:t>2</w:t>
      </w:r>
      <w:r w:rsidR="00A3404D" w:rsidRPr="002D476C">
        <w:rPr>
          <w:rFonts w:ascii="Arial" w:hAnsi="Arial"/>
          <w:color w:val="auto"/>
          <w:lang w:val="es-MX"/>
        </w:rPr>
        <w:t>,</w:t>
      </w:r>
      <w:r w:rsidR="0093485F" w:rsidRPr="002D476C">
        <w:rPr>
          <w:rFonts w:ascii="Arial" w:hAnsi="Arial"/>
          <w:color w:val="auto"/>
          <w:lang w:val="es-MX"/>
        </w:rPr>
        <w:t xml:space="preserve"> </w:t>
      </w:r>
      <w:r w:rsidRPr="002D476C">
        <w:rPr>
          <w:rFonts w:ascii="Arial" w:hAnsi="Arial"/>
          <w:color w:val="auto"/>
          <w:lang w:val="es-MX"/>
        </w:rPr>
        <w:t xml:space="preserve">registró porcentajes apropiados conforme al diseño estadístico de la </w:t>
      </w:r>
      <w:r w:rsidR="002042DC" w:rsidRPr="002D476C">
        <w:rPr>
          <w:rFonts w:ascii="Arial" w:hAnsi="Arial"/>
          <w:color w:val="auto"/>
          <w:lang w:val="es-MX"/>
        </w:rPr>
        <w:t>e</w:t>
      </w:r>
      <w:r w:rsidRPr="002D476C">
        <w:rPr>
          <w:rFonts w:ascii="Arial" w:hAnsi="Arial"/>
          <w:color w:val="auto"/>
          <w:lang w:val="es-MX"/>
        </w:rPr>
        <w:t>ncuesta</w:t>
      </w:r>
      <w:r w:rsidR="00497972" w:rsidRPr="002D476C">
        <w:rPr>
          <w:rFonts w:ascii="Arial" w:hAnsi="Arial"/>
          <w:color w:val="auto"/>
          <w:lang w:val="es-MX"/>
        </w:rPr>
        <w:t>. Esto</w:t>
      </w:r>
      <w:r w:rsidRPr="002D476C">
        <w:rPr>
          <w:rFonts w:ascii="Arial" w:hAnsi="Arial"/>
          <w:color w:val="auto"/>
          <w:lang w:val="es-MX"/>
        </w:rPr>
        <w:t xml:space="preserve"> permitió genera</w:t>
      </w:r>
      <w:r w:rsidR="00FB7A5B" w:rsidRPr="002D476C">
        <w:rPr>
          <w:rFonts w:ascii="Arial" w:hAnsi="Arial"/>
          <w:color w:val="auto"/>
          <w:lang w:val="es-MX"/>
        </w:rPr>
        <w:t>r</w:t>
      </w:r>
      <w:r w:rsidRPr="002D476C">
        <w:rPr>
          <w:rFonts w:ascii="Arial" w:hAnsi="Arial"/>
          <w:color w:val="auto"/>
          <w:lang w:val="es-MX"/>
        </w:rPr>
        <w:t xml:space="preserve"> estadísticas con niveles altos de precisión</w:t>
      </w:r>
      <w:r w:rsidR="000E10B7">
        <w:rPr>
          <w:rFonts w:ascii="Arial" w:hAnsi="Arial"/>
          <w:color w:val="auto"/>
          <w:lang w:val="es-MX"/>
        </w:rPr>
        <w:t>.</w:t>
      </w:r>
    </w:p>
    <w:p w14:paraId="360F6CE2" w14:textId="0958E1A3" w:rsidR="00DA449A" w:rsidRPr="00DA449A" w:rsidRDefault="0086028E" w:rsidP="00DA449A">
      <w:pPr>
        <w:pStyle w:val="xmsonormal"/>
        <w:shd w:val="clear" w:color="auto" w:fill="FFFFFF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es-ES_tradnl"/>
        </w:rPr>
        <w:t>C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on 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base </w:t>
      </w:r>
      <w:r w:rsidR="0015603F">
        <w:rPr>
          <w:rFonts w:ascii="Arial" w:hAnsi="Arial" w:cs="Arial"/>
          <w:color w:val="000000"/>
          <w:sz w:val="24"/>
          <w:szCs w:val="24"/>
          <w:lang w:val="es-ES_tradnl"/>
        </w:rPr>
        <w:t>en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 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los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«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Lineamientos de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c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ambios a la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i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nformación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d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ivulgada en las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p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ublicaciones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e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stadísticas y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g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eográficas del </w:t>
      </w:r>
      <w:r w:rsidR="00B36FC2" w:rsidRPr="00B36FC2">
        <w:rPr>
          <w:rFonts w:ascii="Arial" w:hAnsi="Arial"/>
          <w:sz w:val="24"/>
        </w:rPr>
        <w:t>Instituto Nacional de Estadística y Geografía</w:t>
      </w:r>
      <w:r w:rsidR="00B36FC2">
        <w:rPr>
          <w:rFonts w:ascii="Arial" w:hAnsi="Arial"/>
          <w:sz w:val="24"/>
        </w:rPr>
        <w:t>»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>, l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a</w:t>
      </w:r>
      <w:r>
        <w:rPr>
          <w:rFonts w:ascii="Arial" w:hAnsi="Arial" w:cs="Arial"/>
          <w:color w:val="000000"/>
          <w:sz w:val="24"/>
          <w:szCs w:val="24"/>
          <w:lang w:val="es-ES_tradnl"/>
        </w:rPr>
        <w:t xml:space="preserve">s </w:t>
      </w:r>
      <w:r w:rsidR="00B36FC2">
        <w:rPr>
          <w:rFonts w:ascii="Arial" w:hAnsi="Arial" w:cs="Arial"/>
          <w:color w:val="000000"/>
          <w:sz w:val="24"/>
          <w:szCs w:val="24"/>
          <w:lang w:val="es-ES_tradnl"/>
        </w:rPr>
        <w:t>series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 de la </w:t>
      </w:r>
      <w:r w:rsidR="00DA449A" w:rsidRPr="00DA449A">
        <w:rPr>
          <w:rFonts w:ascii="Arial" w:hAnsi="Arial" w:cs="Arial"/>
          <w:color w:val="000000"/>
          <w:sz w:val="24"/>
          <w:szCs w:val="24"/>
        </w:rPr>
        <w:t>EMEC</w:t>
      </w:r>
      <w:r w:rsidR="00DA449A" w:rsidRPr="00DA449A">
        <w:rPr>
          <w:rFonts w:ascii="Arial" w:hAnsi="Arial" w:cs="Arial"/>
          <w:color w:val="000000"/>
          <w:sz w:val="24"/>
          <w:szCs w:val="24"/>
          <w:lang w:val="es-ES_tradnl"/>
        </w:rPr>
        <w:t xml:space="preserve"> de 2021 fueron revisadas y actualizadas. De acuerdo con lo anterior, las cifras del periodo 2013-2021 tienen carácter definitivo y 2022 mantienen su carácter de preliminar.</w:t>
      </w:r>
    </w:p>
    <w:p w14:paraId="523E2B49" w14:textId="080C1095" w:rsidR="00DA449A" w:rsidRPr="00DA449A" w:rsidRDefault="00DA449A" w:rsidP="00DA449A">
      <w:pPr>
        <w:pStyle w:val="p0"/>
        <w:keepLines w:val="0"/>
        <w:widowControl/>
        <w:rPr>
          <w:rFonts w:ascii="Arial" w:hAnsi="Arial"/>
          <w:color w:val="auto"/>
          <w:lang w:val="es-MX"/>
        </w:rPr>
      </w:pPr>
      <w:r w:rsidRPr="00DA449A">
        <w:rPr>
          <w:rFonts w:ascii="Arial" w:hAnsi="Arial"/>
          <w:color w:val="000000"/>
        </w:rPr>
        <w:t>Los resultados definitivos del año 2021 mantienen niveles adecuados de cobertura y precisión para todos los dominios de estudio durante los 12 meses del año</w:t>
      </w:r>
      <w:r>
        <w:rPr>
          <w:rFonts w:ascii="Arial" w:hAnsi="Arial"/>
          <w:color w:val="000000"/>
        </w:rPr>
        <w:t>.</w:t>
      </w:r>
    </w:p>
    <w:p w14:paraId="5FFF3AFA" w14:textId="5E432DBA" w:rsidR="00A45043" w:rsidRPr="00F87E34" w:rsidRDefault="000300A4" w:rsidP="0026680B">
      <w:pPr>
        <w:pStyle w:val="p0"/>
        <w:keepLines w:val="0"/>
        <w:widowControl/>
        <w:rPr>
          <w:rFonts w:ascii="Arial" w:hAnsi="Arial"/>
          <w:b/>
          <w:i/>
          <w:color w:val="auto"/>
        </w:rPr>
      </w:pPr>
      <w:r>
        <w:rPr>
          <w:rFonts w:ascii="Arial" w:hAnsi="Arial"/>
          <w:color w:val="auto"/>
          <w:lang w:val="es-MX"/>
        </w:rPr>
        <w:t>L</w:t>
      </w:r>
      <w:r w:rsidR="0026680B" w:rsidRPr="00F87E34">
        <w:rPr>
          <w:rFonts w:ascii="Arial" w:hAnsi="Arial"/>
          <w:color w:val="auto"/>
          <w:lang w:val="es-MX"/>
        </w:rPr>
        <w:t xml:space="preserve">as cifras desestacionalizadas y de tendencia-ciclo pueden estar sujetas a revisiones </w:t>
      </w:r>
      <w:r w:rsidR="004F1857">
        <w:rPr>
          <w:rFonts w:ascii="Arial" w:hAnsi="Arial"/>
          <w:color w:val="auto"/>
          <w:lang w:val="es-MX"/>
        </w:rPr>
        <w:t xml:space="preserve">por el </w:t>
      </w:r>
      <w:r w:rsidR="0026680B" w:rsidRPr="00F87E34">
        <w:rPr>
          <w:rFonts w:ascii="Arial" w:hAnsi="Arial"/>
          <w:color w:val="auto"/>
          <w:lang w:val="es-MX"/>
        </w:rPr>
        <w:t>impacto de la emergencia sanitaria de</w:t>
      </w:r>
      <w:r w:rsidR="00822E2D" w:rsidRPr="00F87E34">
        <w:rPr>
          <w:rFonts w:ascii="Arial" w:hAnsi="Arial"/>
          <w:color w:val="auto"/>
          <w:lang w:val="es-MX"/>
        </w:rPr>
        <w:t xml:space="preserve"> la </w:t>
      </w:r>
      <w:r w:rsidR="0026680B" w:rsidRPr="00F87E34">
        <w:rPr>
          <w:rFonts w:ascii="Arial" w:hAnsi="Arial"/>
          <w:color w:val="auto"/>
          <w:lang w:val="es-MX"/>
        </w:rPr>
        <w:t xml:space="preserve">COVID-19. La estrategia </w:t>
      </w:r>
      <w:r w:rsidR="00776787">
        <w:rPr>
          <w:rFonts w:ascii="Arial" w:hAnsi="Arial"/>
          <w:color w:val="auto"/>
          <w:lang w:val="es-MX"/>
        </w:rPr>
        <w:t>que siguió</w:t>
      </w:r>
      <w:r w:rsidR="004F1857">
        <w:rPr>
          <w:rFonts w:ascii="Arial" w:hAnsi="Arial"/>
          <w:color w:val="auto"/>
          <w:lang w:val="es-MX"/>
        </w:rPr>
        <w:t xml:space="preserve"> </w:t>
      </w:r>
      <w:r w:rsidR="0026680B" w:rsidRPr="00F87E34">
        <w:rPr>
          <w:rFonts w:ascii="Arial" w:hAnsi="Arial"/>
          <w:color w:val="auto"/>
          <w:lang w:val="es-MX"/>
        </w:rPr>
        <w:t xml:space="preserve">el </w:t>
      </w:r>
      <w:r w:rsidR="00392C10">
        <w:rPr>
          <w:rFonts w:ascii="Arial" w:hAnsi="Arial"/>
          <w:color w:val="auto"/>
          <w:lang w:val="es-MX"/>
        </w:rPr>
        <w:t>Instituto Nacional de Estadística y Geografía (</w:t>
      </w:r>
      <w:r w:rsidR="0026680B" w:rsidRPr="00F87E34">
        <w:rPr>
          <w:rFonts w:ascii="Arial" w:hAnsi="Arial"/>
          <w:color w:val="auto"/>
          <w:lang w:val="es-MX"/>
        </w:rPr>
        <w:t>INEGI</w:t>
      </w:r>
      <w:r w:rsidR="00392C10">
        <w:rPr>
          <w:rFonts w:ascii="Arial" w:hAnsi="Arial"/>
          <w:color w:val="auto"/>
          <w:lang w:val="es-MX"/>
        </w:rPr>
        <w:t>)</w:t>
      </w:r>
      <w:r w:rsidR="0026680B" w:rsidRPr="00F87E34">
        <w:rPr>
          <w:rFonts w:ascii="Arial" w:hAnsi="Arial"/>
          <w:color w:val="auto"/>
          <w:lang w:val="es-MX"/>
        </w:rPr>
        <w:t xml:space="preserve"> </w:t>
      </w:r>
      <w:r w:rsidR="004F1857">
        <w:rPr>
          <w:rFonts w:ascii="Arial" w:hAnsi="Arial"/>
          <w:color w:val="auto"/>
          <w:lang w:val="es-MX"/>
        </w:rPr>
        <w:t>fue r</w:t>
      </w:r>
      <w:r w:rsidR="0026680B" w:rsidRPr="00F87E34">
        <w:rPr>
          <w:rFonts w:ascii="Arial" w:hAnsi="Arial"/>
          <w:color w:val="auto"/>
          <w:lang w:val="es-MX"/>
        </w:rPr>
        <w:t>evisar cada serie de tiempo y analizar la necesidad de incluir algún tratamiento especial</w:t>
      </w:r>
      <w:r w:rsidR="00822E2D" w:rsidRPr="00F87E34">
        <w:rPr>
          <w:rFonts w:ascii="Arial" w:hAnsi="Arial"/>
          <w:color w:val="auto"/>
          <w:lang w:val="es-MX"/>
        </w:rPr>
        <w:t xml:space="preserve">, como el de </w:t>
      </w:r>
      <w:r w:rsidR="00822E2D" w:rsidRPr="00F87E34">
        <w:rPr>
          <w:rFonts w:ascii="Arial" w:hAnsi="Arial"/>
          <w:i/>
          <w:color w:val="auto"/>
          <w:lang w:val="es-MX"/>
        </w:rPr>
        <w:t>O</w:t>
      </w:r>
      <w:r w:rsidR="0026680B" w:rsidRPr="00F87E34">
        <w:rPr>
          <w:rFonts w:ascii="Arial" w:hAnsi="Arial"/>
          <w:i/>
          <w:color w:val="auto"/>
          <w:lang w:val="es-MX"/>
        </w:rPr>
        <w:t>utliers</w:t>
      </w:r>
      <w:r w:rsidR="00822E2D" w:rsidRPr="00F87E34">
        <w:rPr>
          <w:rFonts w:ascii="Arial" w:hAnsi="Arial"/>
          <w:i/>
          <w:color w:val="auto"/>
          <w:lang w:val="es-MX"/>
        </w:rPr>
        <w:t>,</w:t>
      </w:r>
      <w:r w:rsidR="0026680B" w:rsidRPr="00F87E34">
        <w:rPr>
          <w:rFonts w:ascii="Arial" w:hAnsi="Arial"/>
          <w:color w:val="auto"/>
          <w:lang w:val="es-MX"/>
        </w:rPr>
        <w:t xml:space="preserve"> en los modelos de ajuste estacional para los meses de la contingencia. Lo anterior </w:t>
      </w:r>
      <w:r w:rsidR="00776787">
        <w:rPr>
          <w:rFonts w:ascii="Arial" w:hAnsi="Arial"/>
          <w:color w:val="auto"/>
          <w:lang w:val="es-MX"/>
        </w:rPr>
        <w:t>para</w:t>
      </w:r>
      <w:r w:rsidR="0026680B" w:rsidRPr="00F87E34">
        <w:rPr>
          <w:rFonts w:ascii="Arial" w:hAnsi="Arial"/>
          <w:color w:val="auto"/>
          <w:lang w:val="es-MX"/>
        </w:rPr>
        <w:t xml:space="preserve"> que los grandes cambios en las cifras originales no influy</w:t>
      </w:r>
      <w:r w:rsidR="004F1857">
        <w:rPr>
          <w:rFonts w:ascii="Arial" w:hAnsi="Arial"/>
          <w:color w:val="auto"/>
          <w:lang w:val="es-MX"/>
        </w:rPr>
        <w:t>er</w:t>
      </w:r>
      <w:r w:rsidR="0026680B" w:rsidRPr="00F87E34">
        <w:rPr>
          <w:rFonts w:ascii="Arial" w:hAnsi="Arial"/>
          <w:color w:val="auto"/>
          <w:lang w:val="es-MX"/>
        </w:rPr>
        <w:t>an de manera desproporcionada en los factores estacionales utilizados</w:t>
      </w:r>
      <w:r w:rsidR="00A45043" w:rsidRPr="00F87E34">
        <w:rPr>
          <w:rFonts w:ascii="Arial" w:hAnsi="Arial"/>
          <w:color w:val="auto"/>
          <w:lang w:val="es-MX"/>
        </w:rPr>
        <w:t>.</w:t>
      </w:r>
    </w:p>
    <w:p w14:paraId="6B4487FE" w14:textId="54F95215" w:rsidR="008A48D7" w:rsidRPr="00F87E34" w:rsidRDefault="00467BD1" w:rsidP="00EA274B">
      <w:pPr>
        <w:pStyle w:val="p0"/>
        <w:keepLines w:val="0"/>
        <w:widowControl/>
        <w:spacing w:before="360"/>
        <w:rPr>
          <w:rFonts w:ascii="Arial" w:hAnsi="Arial"/>
          <w:b/>
          <w:i/>
          <w:color w:val="auto"/>
        </w:rPr>
      </w:pPr>
      <w:r w:rsidRPr="00F87E34">
        <w:rPr>
          <w:rFonts w:ascii="Arial" w:hAnsi="Arial"/>
          <w:b/>
          <w:i/>
          <w:color w:val="auto"/>
        </w:rPr>
        <w:t>Nota metodológica</w:t>
      </w:r>
    </w:p>
    <w:p w14:paraId="0A629C88" w14:textId="5D2624E2" w:rsidR="0026680B" w:rsidRPr="00F87E34" w:rsidRDefault="0026680B" w:rsidP="0015603F">
      <w:pPr>
        <w:pStyle w:val="p0"/>
        <w:keepLines w:val="0"/>
        <w:spacing w:before="28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Con las variables captadas por la EMEC, se generan índices y tasas de variación de: </w:t>
      </w:r>
      <w:r w:rsidR="00724F45" w:rsidRPr="00F87E34">
        <w:rPr>
          <w:rFonts w:ascii="Arial" w:hAnsi="Arial"/>
          <w:color w:val="auto"/>
        </w:rPr>
        <w:t xml:space="preserve">ingresos totales por suministro de bienes y servicios, gastos totales por </w:t>
      </w:r>
      <w:r w:rsidR="008A1558" w:rsidRPr="00F87E34">
        <w:rPr>
          <w:rFonts w:ascii="Arial" w:hAnsi="Arial"/>
          <w:color w:val="auto"/>
        </w:rPr>
        <w:t>consumo</w:t>
      </w:r>
      <w:r w:rsidR="00724F45" w:rsidRPr="00F87E34">
        <w:rPr>
          <w:rFonts w:ascii="Arial" w:hAnsi="Arial"/>
          <w:color w:val="auto"/>
        </w:rPr>
        <w:t xml:space="preserve"> de bienes y servicios, </w:t>
      </w:r>
      <w:r w:rsidRPr="00F87E34">
        <w:rPr>
          <w:rFonts w:ascii="Arial" w:hAnsi="Arial"/>
          <w:color w:val="auto"/>
        </w:rPr>
        <w:t>personal ocupado total, remuneraciones totales, remuneraci</w:t>
      </w:r>
      <w:r w:rsidR="008A1558" w:rsidRPr="00F87E34">
        <w:rPr>
          <w:rFonts w:ascii="Arial" w:hAnsi="Arial"/>
          <w:color w:val="auto"/>
        </w:rPr>
        <w:t>ones</w:t>
      </w:r>
      <w:r w:rsidRPr="00F87E34">
        <w:rPr>
          <w:rFonts w:ascii="Arial" w:hAnsi="Arial"/>
          <w:color w:val="auto"/>
        </w:rPr>
        <w:t xml:space="preserve"> </w:t>
      </w:r>
      <w:r w:rsidR="008A1558" w:rsidRPr="00F87E34">
        <w:rPr>
          <w:rFonts w:ascii="Arial" w:hAnsi="Arial"/>
          <w:color w:val="auto"/>
        </w:rPr>
        <w:t>medias por</w:t>
      </w:r>
      <w:r w:rsidR="004A32E9" w:rsidRPr="00F87E34">
        <w:rPr>
          <w:rFonts w:ascii="Arial" w:hAnsi="Arial"/>
          <w:color w:val="auto"/>
        </w:rPr>
        <w:t xml:space="preserve"> persona ocupad</w:t>
      </w:r>
      <w:r w:rsidR="008A1558" w:rsidRPr="00F87E34">
        <w:rPr>
          <w:rFonts w:ascii="Arial" w:hAnsi="Arial"/>
          <w:color w:val="auto"/>
        </w:rPr>
        <w:t>a</w:t>
      </w:r>
      <w:r w:rsidRPr="00F87E34">
        <w:rPr>
          <w:rFonts w:ascii="Arial" w:hAnsi="Arial"/>
          <w:color w:val="auto"/>
        </w:rPr>
        <w:t xml:space="preserve"> (nacional) y mercancías compradas para su reventa (entidad). El año base para la generación de </w:t>
      </w:r>
      <w:r w:rsidR="00A7611F">
        <w:rPr>
          <w:rFonts w:ascii="Arial" w:hAnsi="Arial"/>
          <w:color w:val="auto"/>
        </w:rPr>
        <w:t>todos</w:t>
      </w:r>
      <w:r w:rsidRPr="00F87E34">
        <w:rPr>
          <w:rFonts w:ascii="Arial" w:hAnsi="Arial"/>
          <w:color w:val="auto"/>
        </w:rPr>
        <w:t xml:space="preserve"> los índices que presenta la EMEC es 2013</w:t>
      </w:r>
      <w:r w:rsidR="00DD3882" w:rsidRPr="00F87E34">
        <w:rPr>
          <w:rFonts w:ascii="Arial" w:hAnsi="Arial"/>
          <w:color w:val="auto"/>
        </w:rPr>
        <w:t>. L</w:t>
      </w:r>
      <w:r w:rsidRPr="00F87E34">
        <w:rPr>
          <w:rFonts w:ascii="Arial" w:hAnsi="Arial"/>
          <w:color w:val="auto"/>
        </w:rPr>
        <w:t>a elección de este periodo se debe a que dicho año es el referente de la información de los Censos Económicos 2014</w:t>
      </w:r>
      <w:r w:rsidR="00F7026D">
        <w:rPr>
          <w:rFonts w:ascii="Arial" w:hAnsi="Arial"/>
          <w:color w:val="auto"/>
        </w:rPr>
        <w:t xml:space="preserve"> (CE 2014)</w:t>
      </w:r>
      <w:r w:rsidRPr="00F87E34">
        <w:rPr>
          <w:rFonts w:ascii="Arial" w:hAnsi="Arial"/>
          <w:color w:val="auto"/>
        </w:rPr>
        <w:t>, al igual que el del Sistema de Cuentas Nacionales de México</w:t>
      </w:r>
      <w:r w:rsidR="008A1558" w:rsidRPr="00F87E34">
        <w:rPr>
          <w:rFonts w:ascii="Arial" w:hAnsi="Arial"/>
          <w:color w:val="auto"/>
        </w:rPr>
        <w:t xml:space="preserve"> (SCNM)</w:t>
      </w:r>
      <w:r w:rsidRPr="00F87E34">
        <w:rPr>
          <w:rFonts w:ascii="Arial" w:hAnsi="Arial"/>
          <w:color w:val="auto"/>
        </w:rPr>
        <w:t>.</w:t>
      </w:r>
    </w:p>
    <w:p w14:paraId="041BC7B4" w14:textId="16F1D886" w:rsidR="0026680B" w:rsidRPr="00F87E34" w:rsidRDefault="0026680B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Para deflactar los ingresos por suministro de bienes y servicios, gastos por consumo de bienes y servicios, y </w:t>
      </w:r>
      <w:r w:rsidR="008A1558" w:rsidRPr="00F87E34">
        <w:rPr>
          <w:rFonts w:ascii="Arial" w:hAnsi="Arial"/>
          <w:color w:val="auto"/>
        </w:rPr>
        <w:t xml:space="preserve">las </w:t>
      </w:r>
      <w:r w:rsidRPr="00F87E34">
        <w:rPr>
          <w:rFonts w:ascii="Arial" w:hAnsi="Arial"/>
          <w:color w:val="auto"/>
        </w:rPr>
        <w:t xml:space="preserve">remuneraciones, la EMEC utiliza los índices de precios </w:t>
      </w:r>
      <w:r w:rsidR="00392C10">
        <w:rPr>
          <w:rFonts w:ascii="Arial" w:hAnsi="Arial"/>
          <w:color w:val="auto"/>
        </w:rPr>
        <w:t xml:space="preserve">que </w:t>
      </w:r>
      <w:r w:rsidRPr="00F87E34">
        <w:rPr>
          <w:rFonts w:ascii="Arial" w:hAnsi="Arial"/>
          <w:color w:val="auto"/>
        </w:rPr>
        <w:t>publica el INEGI de acuerdo con las características de las variables</w:t>
      </w:r>
      <w:r w:rsidR="00C93D17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y</w:t>
      </w:r>
      <w:r w:rsidR="008A1558" w:rsidRPr="00F87E34">
        <w:rPr>
          <w:rFonts w:ascii="Arial" w:hAnsi="Arial"/>
          <w:color w:val="auto"/>
        </w:rPr>
        <w:t xml:space="preserve"> </w:t>
      </w:r>
      <w:r w:rsidRPr="00F87E34">
        <w:rPr>
          <w:rFonts w:ascii="Arial" w:hAnsi="Arial"/>
          <w:color w:val="auto"/>
        </w:rPr>
        <w:t>los deflactores disponibles</w:t>
      </w:r>
      <w:r w:rsidR="00392C10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según el área geográfica correspondiente.</w:t>
      </w:r>
    </w:p>
    <w:p w14:paraId="2B3A25F7" w14:textId="2EF6B148" w:rsidR="0026680B" w:rsidRPr="00F87E34" w:rsidRDefault="0026680B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 xml:space="preserve">El objetivo de la EMEC es generar información estadística de coyuntura de forma oportuna para conocer la dinámica y </w:t>
      </w:r>
      <w:r w:rsidR="00452EA0" w:rsidRPr="00F87E34">
        <w:rPr>
          <w:rFonts w:ascii="Arial" w:hAnsi="Arial"/>
          <w:color w:val="auto"/>
        </w:rPr>
        <w:t xml:space="preserve">las </w:t>
      </w:r>
      <w:r w:rsidRPr="00F87E34">
        <w:rPr>
          <w:rFonts w:ascii="Arial" w:hAnsi="Arial"/>
          <w:color w:val="auto"/>
        </w:rPr>
        <w:t>tendencias de la actividad comercial del país</w:t>
      </w:r>
      <w:r w:rsidR="00DD3882" w:rsidRPr="00F87E34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  <w:r w:rsidR="00DD3882" w:rsidRPr="00F87E34">
        <w:rPr>
          <w:rFonts w:ascii="Arial" w:hAnsi="Arial"/>
          <w:color w:val="auto"/>
        </w:rPr>
        <w:t>L</w:t>
      </w:r>
      <w:r w:rsidRPr="00F87E34">
        <w:rPr>
          <w:rFonts w:ascii="Arial" w:hAnsi="Arial"/>
          <w:color w:val="auto"/>
        </w:rPr>
        <w:t>os alcances a nivel nacional son por rama de actividad para los dos sectores comerciales</w:t>
      </w:r>
      <w:r w:rsidR="00DD3882" w:rsidRPr="00F87E34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ayor y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enor.</w:t>
      </w:r>
    </w:p>
    <w:p w14:paraId="46212767" w14:textId="67EC1457" w:rsidR="00770BFA" w:rsidRPr="00F87E34" w:rsidRDefault="0026680B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lastRenderedPageBreak/>
        <w:t>El diseño estadístico de la EMEC define un esquema de muestreo mixto</w:t>
      </w:r>
      <w:r w:rsidR="00F7665F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probabilístico para cada una de las 22 ramas de actividad del </w:t>
      </w:r>
      <w:r w:rsidR="00DD3882" w:rsidRPr="00F87E34">
        <w:rPr>
          <w:rFonts w:ascii="Arial" w:hAnsi="Arial"/>
          <w:color w:val="auto"/>
        </w:rPr>
        <w:t xml:space="preserve">comercio </w:t>
      </w:r>
      <w:r w:rsidRPr="00F87E34">
        <w:rPr>
          <w:rFonts w:ascii="Arial" w:hAnsi="Arial"/>
          <w:color w:val="auto"/>
        </w:rPr>
        <w:t xml:space="preserve">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enor y no probabilístico para las 18 ramas de actividad del </w:t>
      </w:r>
      <w:r w:rsidR="00DD3882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DD3882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ayor</w:t>
      </w:r>
      <w:r w:rsidR="006A4A94" w:rsidRPr="00F87E34">
        <w:rPr>
          <w:rFonts w:ascii="Arial" w:hAnsi="Arial"/>
          <w:color w:val="auto"/>
        </w:rPr>
        <w:t>. Además,</w:t>
      </w:r>
      <w:r w:rsidRPr="00F87E34">
        <w:rPr>
          <w:rFonts w:ascii="Arial" w:hAnsi="Arial"/>
          <w:color w:val="auto"/>
        </w:rPr>
        <w:t xml:space="preserve"> considera todas las unidades económicas comerciales, </w:t>
      </w:r>
      <w:r w:rsidR="00452EA0" w:rsidRPr="00F87E34">
        <w:rPr>
          <w:rFonts w:ascii="Arial" w:hAnsi="Arial"/>
          <w:color w:val="auto"/>
        </w:rPr>
        <w:t>de todos los</w:t>
      </w:r>
      <w:r w:rsidRPr="00F87E34">
        <w:rPr>
          <w:rFonts w:ascii="Arial" w:hAnsi="Arial"/>
          <w:color w:val="auto"/>
        </w:rPr>
        <w:t xml:space="preserve"> tamaño</w:t>
      </w:r>
      <w:r w:rsidR="00452EA0" w:rsidRPr="00F87E34">
        <w:rPr>
          <w:rFonts w:ascii="Arial" w:hAnsi="Arial"/>
          <w:color w:val="auto"/>
        </w:rPr>
        <w:t>s</w:t>
      </w:r>
      <w:r w:rsidR="00ED36CC">
        <w:rPr>
          <w:rFonts w:ascii="Arial" w:hAnsi="Arial"/>
          <w:color w:val="auto"/>
        </w:rPr>
        <w:t>. Así,</w:t>
      </w:r>
      <w:r w:rsidR="00452EA0" w:rsidRPr="00F87E34">
        <w:rPr>
          <w:rFonts w:ascii="Arial" w:hAnsi="Arial"/>
          <w:color w:val="auto"/>
        </w:rPr>
        <w:t xml:space="preserve"> </w:t>
      </w:r>
      <w:r w:rsidRPr="00F87E34">
        <w:rPr>
          <w:rFonts w:ascii="Arial" w:hAnsi="Arial"/>
          <w:color w:val="auto"/>
        </w:rPr>
        <w:t>obt</w:t>
      </w:r>
      <w:r w:rsidR="00ED36CC">
        <w:rPr>
          <w:rFonts w:ascii="Arial" w:hAnsi="Arial"/>
          <w:color w:val="auto"/>
        </w:rPr>
        <w:t>i</w:t>
      </w:r>
      <w:r w:rsidRPr="00F87E34">
        <w:rPr>
          <w:rFonts w:ascii="Arial" w:hAnsi="Arial"/>
          <w:color w:val="auto"/>
        </w:rPr>
        <w:t>en</w:t>
      </w:r>
      <w:r w:rsidR="00452EA0" w:rsidRPr="00F87E34">
        <w:rPr>
          <w:rFonts w:ascii="Arial" w:hAnsi="Arial"/>
          <w:color w:val="auto"/>
        </w:rPr>
        <w:t>e</w:t>
      </w:r>
      <w:r w:rsidRPr="00F87E34">
        <w:rPr>
          <w:rFonts w:ascii="Arial" w:hAnsi="Arial"/>
          <w:color w:val="auto"/>
        </w:rPr>
        <w:t xml:space="preserve"> una cobertura de 74</w:t>
      </w:r>
      <w:r w:rsidR="00D6059E">
        <w:rPr>
          <w:rFonts w:ascii="Arial" w:hAnsi="Arial"/>
          <w:color w:val="auto"/>
        </w:rPr>
        <w:t> </w:t>
      </w:r>
      <w:r w:rsidRPr="00F87E34">
        <w:rPr>
          <w:rFonts w:ascii="Arial" w:hAnsi="Arial"/>
          <w:color w:val="auto"/>
        </w:rPr>
        <w:t xml:space="preserve">% en el </w:t>
      </w:r>
      <w:r w:rsidR="006A4A94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6A4A94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ayor y </w:t>
      </w:r>
      <w:r w:rsidR="007A4F52">
        <w:rPr>
          <w:rFonts w:ascii="Arial" w:hAnsi="Arial"/>
          <w:color w:val="auto"/>
        </w:rPr>
        <w:t xml:space="preserve">una estimación </w:t>
      </w:r>
      <w:r w:rsidRPr="00F87E34">
        <w:rPr>
          <w:rFonts w:ascii="Arial" w:hAnsi="Arial"/>
          <w:color w:val="auto"/>
        </w:rPr>
        <w:t>de 100</w:t>
      </w:r>
      <w:r w:rsidR="00D6059E">
        <w:rPr>
          <w:rFonts w:ascii="Arial" w:hAnsi="Arial"/>
          <w:color w:val="auto"/>
        </w:rPr>
        <w:t> </w:t>
      </w:r>
      <w:r w:rsidRPr="00F87E34">
        <w:rPr>
          <w:rFonts w:ascii="Arial" w:hAnsi="Arial"/>
          <w:color w:val="auto"/>
        </w:rPr>
        <w:t xml:space="preserve">% en el </w:t>
      </w:r>
      <w:r w:rsidR="006A4A94" w:rsidRPr="00F87E34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6A4A94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</w:t>
      </w:r>
      <w:r w:rsidR="001D1D31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respecto al total de los ingresos por suministro de bienes y servicios a nivel nacional</w:t>
      </w:r>
      <w:r w:rsidR="00770BFA" w:rsidRPr="00F87E34">
        <w:rPr>
          <w:rFonts w:ascii="Arial" w:hAnsi="Arial"/>
          <w:color w:val="auto"/>
        </w:rPr>
        <w:t>.</w:t>
      </w:r>
    </w:p>
    <w:p w14:paraId="00F176CF" w14:textId="7D5CBE72" w:rsidR="00906168" w:rsidRPr="00F87E34" w:rsidRDefault="00770BFA" w:rsidP="003866DC">
      <w:pPr>
        <w:pStyle w:val="p0"/>
        <w:keepLines w:val="0"/>
        <w:spacing w:after="24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Los resultados se presentan según el Sistema de Clasificación Industrial de América del Norte 2013 (SCIAN)</w:t>
      </w:r>
      <w:r w:rsidR="00452EA0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a nivel de sector, subsector y por rama de actividad comercial.</w:t>
      </w:r>
      <w:r w:rsidR="00467BD1" w:rsidRPr="00F87E34">
        <w:rPr>
          <w:rFonts w:ascii="Arial" w:hAnsi="Arial"/>
          <w:color w:val="auto"/>
        </w:rPr>
        <w:t xml:space="preserve">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611"/>
      </w:tblGrid>
      <w:tr w:rsidR="0026680B" w:rsidRPr="00F87E34" w14:paraId="043EF6E8" w14:textId="77777777" w:rsidTr="00BB0E14">
        <w:trPr>
          <w:jc w:val="center"/>
        </w:trPr>
        <w:tc>
          <w:tcPr>
            <w:tcW w:w="4320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D7E4BD"/>
          </w:tcPr>
          <w:p w14:paraId="0CA8700F" w14:textId="71ABF7C7" w:rsidR="0026680B" w:rsidRPr="00F87E34" w:rsidRDefault="0026680B" w:rsidP="00D23712">
            <w:pPr>
              <w:widowControl w:val="0"/>
              <w:spacing w:before="60" w:after="60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 xml:space="preserve">Subsectores del </w:t>
            </w:r>
            <w:r w:rsidR="001D1D31" w:rsidRPr="00F87E34">
              <w:rPr>
                <w:snapToGrid w:val="0"/>
                <w:sz w:val="20"/>
                <w:szCs w:val="20"/>
              </w:rPr>
              <w:t>c</w:t>
            </w:r>
            <w:r w:rsidRPr="00F87E34">
              <w:rPr>
                <w:snapToGrid w:val="0"/>
                <w:sz w:val="20"/>
                <w:szCs w:val="20"/>
              </w:rPr>
              <w:t xml:space="preserve">omercio al por </w:t>
            </w:r>
            <w:r w:rsidR="001D1D31" w:rsidRPr="00F87E34">
              <w:rPr>
                <w:snapToGrid w:val="0"/>
                <w:sz w:val="20"/>
                <w:szCs w:val="20"/>
              </w:rPr>
              <w:t>m</w:t>
            </w:r>
            <w:r w:rsidRPr="00F87E34">
              <w:rPr>
                <w:snapToGrid w:val="0"/>
                <w:sz w:val="20"/>
                <w:szCs w:val="20"/>
              </w:rPr>
              <w:t>ayor</w:t>
            </w:r>
          </w:p>
        </w:tc>
        <w:tc>
          <w:tcPr>
            <w:tcW w:w="4611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D7E4BD"/>
          </w:tcPr>
          <w:p w14:paraId="34DFAEBA" w14:textId="518DC63A" w:rsidR="0026680B" w:rsidRPr="00F87E34" w:rsidRDefault="0026680B" w:rsidP="00D23712">
            <w:pPr>
              <w:widowControl w:val="0"/>
              <w:spacing w:before="60" w:after="60"/>
              <w:ind w:hanging="15"/>
              <w:jc w:val="center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 xml:space="preserve">Subsectores del </w:t>
            </w:r>
            <w:r w:rsidR="001D1D31" w:rsidRPr="00F87E34">
              <w:rPr>
                <w:snapToGrid w:val="0"/>
                <w:sz w:val="20"/>
                <w:szCs w:val="20"/>
              </w:rPr>
              <w:t>c</w:t>
            </w:r>
            <w:r w:rsidRPr="00F87E34">
              <w:rPr>
                <w:snapToGrid w:val="0"/>
                <w:sz w:val="20"/>
                <w:szCs w:val="20"/>
              </w:rPr>
              <w:t xml:space="preserve">omercio al por </w:t>
            </w:r>
            <w:r w:rsidR="001D1D31" w:rsidRPr="00F87E34">
              <w:rPr>
                <w:snapToGrid w:val="0"/>
                <w:sz w:val="20"/>
                <w:szCs w:val="20"/>
              </w:rPr>
              <w:t>m</w:t>
            </w:r>
            <w:r w:rsidRPr="00F87E34">
              <w:rPr>
                <w:snapToGrid w:val="0"/>
                <w:sz w:val="20"/>
                <w:szCs w:val="20"/>
              </w:rPr>
              <w:t>enor</w:t>
            </w:r>
          </w:p>
        </w:tc>
      </w:tr>
      <w:tr w:rsidR="0026680B" w:rsidRPr="00F87E34" w14:paraId="6A9F9B7E" w14:textId="77777777" w:rsidTr="00BB0E14">
        <w:trPr>
          <w:jc w:val="center"/>
        </w:trPr>
        <w:tc>
          <w:tcPr>
            <w:tcW w:w="4320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7E92D3E1" w14:textId="1A8AB4A5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3" w:hanging="289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Abarrotes, alimentos, bebidas, hielo y tabaco</w:t>
            </w:r>
          </w:p>
          <w:p w14:paraId="61D76861" w14:textId="5640E965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3" w:hanging="289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textiles y calzado</w:t>
            </w:r>
          </w:p>
          <w:p w14:paraId="1FCC4501" w14:textId="13469E29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farmacéuticos, de perfumería, artículos para el esparcimiento y electrodomésticos menores y aparatos de línea blanca</w:t>
            </w:r>
          </w:p>
          <w:p w14:paraId="7A800330" w14:textId="172E55E7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Materias primas agropecuarias y forestales, para la industria, y materiales de desecho</w:t>
            </w:r>
          </w:p>
          <w:p w14:paraId="1C0741C0" w14:textId="67A22B93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Maquinaria, equipo y mobiliario para actividades agropecuarias, industriales, de servicios y comerciales, y de otra maquinaria y equipo de uso general</w:t>
            </w:r>
          </w:p>
          <w:p w14:paraId="5D721939" w14:textId="536E8A22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Camiones y partes y refacciones nuevas para automóviles, camionetas y camiones</w:t>
            </w:r>
          </w:p>
          <w:p w14:paraId="7D3E7B91" w14:textId="52B60B20" w:rsidR="0026680B" w:rsidRPr="00F87E34" w:rsidRDefault="0026680B" w:rsidP="00D23712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318"/>
              </w:tabs>
              <w:spacing w:before="40"/>
              <w:ind w:left="326" w:hanging="292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Intermediación de comercio al por mayor</w:t>
            </w:r>
          </w:p>
        </w:tc>
        <w:tc>
          <w:tcPr>
            <w:tcW w:w="4611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61175E0A" w14:textId="2CD59D1F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Abarrotes, alimentos, bebidas, hielo y tabaco</w:t>
            </w:r>
          </w:p>
          <w:p w14:paraId="587F82EB" w14:textId="19F98794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5" w:hanging="301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Tiendas de autoservicio y departamentales</w:t>
            </w:r>
          </w:p>
          <w:p w14:paraId="2ECE50AE" w14:textId="14D3000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Productos textiles, bisutería, accesorios de vestir y calzado</w:t>
            </w:r>
          </w:p>
          <w:p w14:paraId="3BF9FED9" w14:textId="7DB4B60D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para el cuidado de la salud</w:t>
            </w:r>
          </w:p>
          <w:p w14:paraId="00B2AA4B" w14:textId="18B902B1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de papelería, para el esparcimiento y otros artículos de uso personal</w:t>
            </w:r>
          </w:p>
          <w:p w14:paraId="613BC274" w14:textId="0CA8FE6B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Enseres domésticos, computadoras, artículos para la decoración de interiores y artículos usados</w:t>
            </w:r>
          </w:p>
          <w:p w14:paraId="4C9FD9B9" w14:textId="7777777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Artículos de ferretería, tlapalería y vidrios.</w:t>
            </w:r>
          </w:p>
          <w:p w14:paraId="2B705DA2" w14:textId="4A35189A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Vehículos de motor, refacciones, combustibles y lubricantes</w:t>
            </w:r>
          </w:p>
          <w:p w14:paraId="10C4D803" w14:textId="71FD9B97" w:rsidR="0026680B" w:rsidRPr="00F87E34" w:rsidRDefault="0026680B" w:rsidP="00D23712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318"/>
              </w:tabs>
              <w:spacing w:before="40"/>
              <w:ind w:left="332" w:hanging="298"/>
              <w:jc w:val="left"/>
              <w:rPr>
                <w:snapToGrid w:val="0"/>
                <w:sz w:val="20"/>
                <w:szCs w:val="20"/>
              </w:rPr>
            </w:pPr>
            <w:r w:rsidRPr="00F87E34">
              <w:rPr>
                <w:snapToGrid w:val="0"/>
                <w:sz w:val="20"/>
                <w:szCs w:val="20"/>
              </w:rPr>
              <w:t>Comercio al por menor exclusivamente a través de Internet, y catálogos impresos, televisión y similares</w:t>
            </w:r>
          </w:p>
        </w:tc>
      </w:tr>
    </w:tbl>
    <w:p w14:paraId="0FC4201A" w14:textId="0AD6F066" w:rsidR="0026680B" w:rsidRPr="00F87E34" w:rsidRDefault="0026680B" w:rsidP="00BB0E14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La cobertura geográfica es a nivel nacional</w:t>
      </w:r>
      <w:r w:rsidR="0029407F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  <w:r w:rsidR="0029407F">
        <w:rPr>
          <w:rFonts w:ascii="Arial" w:hAnsi="Arial"/>
          <w:color w:val="auto"/>
        </w:rPr>
        <w:t>P</w:t>
      </w:r>
      <w:r w:rsidRPr="00F87E34">
        <w:rPr>
          <w:rFonts w:ascii="Arial" w:hAnsi="Arial"/>
          <w:color w:val="auto"/>
        </w:rPr>
        <w:t>or entidad federativa</w:t>
      </w:r>
      <w:r w:rsidR="004C6CC0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se dispone de información con datos indicativos (muestrales) por sector de actividad</w:t>
      </w:r>
      <w:r w:rsidR="001D1D31" w:rsidRPr="00F87E34">
        <w:rPr>
          <w:rFonts w:ascii="Arial" w:hAnsi="Arial"/>
          <w:color w:val="auto"/>
        </w:rPr>
        <w:t>:</w:t>
      </w:r>
      <w:r w:rsidRPr="00F87E34">
        <w:rPr>
          <w:rFonts w:ascii="Arial" w:hAnsi="Arial"/>
          <w:color w:val="auto"/>
        </w:rPr>
        <w:t xml:space="preserve"> 43</w:t>
      </w:r>
      <w:r w:rsidR="00EB65AF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Comercio al por </w:t>
      </w:r>
      <w:r w:rsidR="001D1D31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ayor y 46</w:t>
      </w:r>
      <w:r w:rsidR="00EB65AF" w:rsidRPr="00F87E34">
        <w:rPr>
          <w:rFonts w:ascii="Arial" w:hAnsi="Arial"/>
          <w:color w:val="auto"/>
        </w:rPr>
        <w:t>,</w:t>
      </w:r>
      <w:r w:rsidRPr="00F87E34">
        <w:rPr>
          <w:rFonts w:ascii="Arial" w:hAnsi="Arial"/>
          <w:color w:val="auto"/>
        </w:rPr>
        <w:t xml:space="preserve"> Comercio al por </w:t>
      </w:r>
      <w:r w:rsidR="001D1D31" w:rsidRPr="00F87E34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>enor.</w:t>
      </w:r>
      <w:r w:rsidR="0065468F">
        <w:rPr>
          <w:rFonts w:ascii="Arial" w:hAnsi="Arial"/>
          <w:color w:val="auto"/>
        </w:rPr>
        <w:t xml:space="preserve"> </w:t>
      </w:r>
      <w:r w:rsidR="00112A0B">
        <w:rPr>
          <w:rFonts w:ascii="Arial" w:hAnsi="Arial"/>
          <w:color w:val="auto"/>
        </w:rPr>
        <w:t xml:space="preserve">Esta </w:t>
      </w:r>
      <w:r w:rsidRPr="00F87E34">
        <w:rPr>
          <w:rFonts w:ascii="Arial" w:hAnsi="Arial"/>
          <w:color w:val="auto"/>
        </w:rPr>
        <w:t>deberá considerarse con reserva al tratarse de datos muestrales</w:t>
      </w:r>
      <w:r w:rsidR="00112A0B">
        <w:rPr>
          <w:rFonts w:ascii="Arial" w:hAnsi="Arial"/>
          <w:color w:val="auto"/>
        </w:rPr>
        <w:t xml:space="preserve">, </w:t>
      </w:r>
      <w:r w:rsidR="0065468F">
        <w:rPr>
          <w:rFonts w:ascii="Arial" w:hAnsi="Arial"/>
          <w:color w:val="auto"/>
        </w:rPr>
        <w:t>pues</w:t>
      </w:r>
      <w:r w:rsidRPr="00F87E34">
        <w:rPr>
          <w:rFonts w:ascii="Arial" w:hAnsi="Arial"/>
          <w:color w:val="auto"/>
        </w:rPr>
        <w:t xml:space="preserve"> implica que los resultados por entidad federativa no son aditivos en el caso del </w:t>
      </w:r>
      <w:r w:rsidR="00BB3BBC">
        <w:rPr>
          <w:rFonts w:ascii="Arial" w:hAnsi="Arial"/>
          <w:color w:val="auto"/>
        </w:rPr>
        <w:t>c</w:t>
      </w:r>
      <w:r w:rsidRPr="00F87E34">
        <w:rPr>
          <w:rFonts w:ascii="Arial" w:hAnsi="Arial"/>
          <w:color w:val="auto"/>
        </w:rPr>
        <w:t xml:space="preserve">omercio al por </w:t>
      </w:r>
      <w:r w:rsidR="00BB3BBC">
        <w:rPr>
          <w:rFonts w:ascii="Arial" w:hAnsi="Arial"/>
          <w:color w:val="auto"/>
        </w:rPr>
        <w:t>m</w:t>
      </w:r>
      <w:r w:rsidRPr="00F87E34">
        <w:rPr>
          <w:rFonts w:ascii="Arial" w:hAnsi="Arial"/>
          <w:color w:val="auto"/>
        </w:rPr>
        <w:t xml:space="preserve">enor. </w:t>
      </w:r>
    </w:p>
    <w:p w14:paraId="72103B3E" w14:textId="523FF2A5" w:rsidR="0026680B" w:rsidRPr="00F87E34" w:rsidRDefault="0026680B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La construcción de los índices agregados</w:t>
      </w:r>
      <w:r w:rsidR="00EA37F7" w:rsidRPr="00F87E34">
        <w:rPr>
          <w:rFonts w:ascii="Arial" w:hAnsi="Arial"/>
          <w:color w:val="auto"/>
        </w:rPr>
        <w:t xml:space="preserve"> con</w:t>
      </w:r>
      <w:r w:rsidRPr="00F87E34">
        <w:rPr>
          <w:rFonts w:ascii="Arial" w:hAnsi="Arial"/>
          <w:color w:val="auto"/>
        </w:rPr>
        <w:t xml:space="preserve"> base 2013 de cada sector, subsector y rama se realiza </w:t>
      </w:r>
      <w:r w:rsidR="006B2826">
        <w:rPr>
          <w:rFonts w:ascii="Arial" w:hAnsi="Arial"/>
          <w:color w:val="auto"/>
        </w:rPr>
        <w:t>con base</w:t>
      </w:r>
      <w:r w:rsidR="002E1177">
        <w:rPr>
          <w:rFonts w:ascii="Arial" w:hAnsi="Arial"/>
          <w:color w:val="auto"/>
        </w:rPr>
        <w:t xml:space="preserve"> en</w:t>
      </w:r>
      <w:r w:rsidRPr="00F87E34">
        <w:rPr>
          <w:rFonts w:ascii="Arial" w:hAnsi="Arial"/>
          <w:color w:val="auto"/>
        </w:rPr>
        <w:t xml:space="preserve"> las ponderaciones de los índices que los constituyen y los pesos relativos de las estructuras de las ramas de actividad, según corresponda a cada sector comercial</w:t>
      </w:r>
      <w:r w:rsidR="00D05CF8">
        <w:rPr>
          <w:rFonts w:ascii="Arial" w:hAnsi="Arial"/>
          <w:color w:val="auto"/>
        </w:rPr>
        <w:t>. Estos se</w:t>
      </w:r>
      <w:r w:rsidRPr="00F87E34">
        <w:rPr>
          <w:rFonts w:ascii="Arial" w:hAnsi="Arial"/>
          <w:color w:val="auto"/>
        </w:rPr>
        <w:t xml:space="preserve"> genera</w:t>
      </w:r>
      <w:r w:rsidR="00D05CF8">
        <w:rPr>
          <w:rFonts w:ascii="Arial" w:hAnsi="Arial"/>
          <w:color w:val="auto"/>
        </w:rPr>
        <w:t>n</w:t>
      </w:r>
      <w:r w:rsidRPr="00F87E34">
        <w:rPr>
          <w:rFonts w:ascii="Arial" w:hAnsi="Arial"/>
          <w:color w:val="auto"/>
        </w:rPr>
        <w:t xml:space="preserve"> con la información de los </w:t>
      </w:r>
      <w:r w:rsidR="000F3ADD" w:rsidRPr="000F3ADD">
        <w:rPr>
          <w:rFonts w:ascii="Arial" w:hAnsi="Arial"/>
          <w:color w:val="auto"/>
        </w:rPr>
        <w:t>CE 2014</w:t>
      </w:r>
      <w:r w:rsidRPr="00F87E34">
        <w:rPr>
          <w:rFonts w:ascii="Arial" w:hAnsi="Arial"/>
          <w:color w:val="auto"/>
        </w:rPr>
        <w:t xml:space="preserve"> para los sectores de comercio.</w:t>
      </w:r>
    </w:p>
    <w:p w14:paraId="73BDA365" w14:textId="5FFE1014" w:rsidR="0026680B" w:rsidRPr="00F87E34" w:rsidRDefault="00E3635D" w:rsidP="0015603F">
      <w:pPr>
        <w:pStyle w:val="p0"/>
        <w:keepLines w:val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Considérense l</w:t>
      </w:r>
      <w:r w:rsidR="0026680B" w:rsidRPr="00F87E34">
        <w:rPr>
          <w:rFonts w:ascii="Arial" w:hAnsi="Arial"/>
          <w:color w:val="auto"/>
        </w:rPr>
        <w:t>os resultados</w:t>
      </w:r>
      <w:r w:rsidR="003866DC" w:rsidRPr="00F87E34">
        <w:rPr>
          <w:rFonts w:ascii="Arial" w:hAnsi="Arial"/>
          <w:color w:val="auto"/>
        </w:rPr>
        <w:t xml:space="preserve"> que se </w:t>
      </w:r>
      <w:r w:rsidR="0026680B" w:rsidRPr="00F87E34">
        <w:rPr>
          <w:rFonts w:ascii="Arial" w:hAnsi="Arial"/>
          <w:color w:val="auto"/>
        </w:rPr>
        <w:t>presenta</w:t>
      </w:r>
      <w:r w:rsidR="003866DC" w:rsidRPr="00F87E34">
        <w:rPr>
          <w:rFonts w:ascii="Arial" w:hAnsi="Arial"/>
          <w:color w:val="auto"/>
        </w:rPr>
        <w:t>n</w:t>
      </w:r>
      <w:r w:rsidR="0026680B" w:rsidRPr="00F87E34">
        <w:rPr>
          <w:rFonts w:ascii="Arial" w:hAnsi="Arial"/>
          <w:color w:val="auto"/>
        </w:rPr>
        <w:t xml:space="preserve"> en las series como preliminares</w:t>
      </w:r>
      <w:r>
        <w:rPr>
          <w:rFonts w:ascii="Arial" w:hAnsi="Arial"/>
          <w:color w:val="auto"/>
        </w:rPr>
        <w:t>. Estos</w:t>
      </w:r>
      <w:r w:rsidR="0026680B" w:rsidRPr="00F87E34">
        <w:rPr>
          <w:rFonts w:ascii="Arial" w:hAnsi="Arial"/>
          <w:color w:val="auto"/>
        </w:rPr>
        <w:t xml:space="preserve"> </w:t>
      </w:r>
      <w:r w:rsidR="003866DC" w:rsidRPr="00F87E34">
        <w:rPr>
          <w:rFonts w:ascii="Arial" w:hAnsi="Arial"/>
          <w:color w:val="auto"/>
        </w:rPr>
        <w:t xml:space="preserve">se revisan </w:t>
      </w:r>
      <w:r w:rsidR="0026680B" w:rsidRPr="00F87E34">
        <w:rPr>
          <w:rFonts w:ascii="Arial" w:hAnsi="Arial"/>
          <w:color w:val="auto"/>
        </w:rPr>
        <w:t>y actualiza</w:t>
      </w:r>
      <w:r w:rsidR="003866DC" w:rsidRPr="00F87E34">
        <w:rPr>
          <w:rFonts w:ascii="Arial" w:hAnsi="Arial"/>
          <w:color w:val="auto"/>
        </w:rPr>
        <w:t>n de manera continua</w:t>
      </w:r>
      <w:r w:rsidR="0026680B" w:rsidRPr="00F87E34">
        <w:rPr>
          <w:rFonts w:ascii="Arial" w:hAnsi="Arial"/>
          <w:color w:val="auto"/>
        </w:rPr>
        <w:t xml:space="preserve">, </w:t>
      </w:r>
      <w:r w:rsidR="003866DC" w:rsidRPr="00F87E34">
        <w:rPr>
          <w:rFonts w:ascii="Arial" w:hAnsi="Arial"/>
          <w:color w:val="auto"/>
        </w:rPr>
        <w:t xml:space="preserve">con base en </w:t>
      </w:r>
      <w:r w:rsidR="0026680B" w:rsidRPr="00F87E34">
        <w:rPr>
          <w:rFonts w:ascii="Arial" w:hAnsi="Arial"/>
          <w:color w:val="auto"/>
        </w:rPr>
        <w:t>la investigación constante de las categorías que componen las actividades en estudio.</w:t>
      </w:r>
    </w:p>
    <w:p w14:paraId="5CFB0E8A" w14:textId="533C8C36" w:rsidR="00822E2D" w:rsidRPr="00F87E34" w:rsidRDefault="004F1857" w:rsidP="00822E2D">
      <w:pPr>
        <w:pStyle w:val="p0"/>
        <w:keepLines w:val="0"/>
        <w:widowControl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lastRenderedPageBreak/>
        <w:t xml:space="preserve">La </w:t>
      </w:r>
      <w:r w:rsidR="00822E2D" w:rsidRPr="00F87E34">
        <w:rPr>
          <w:rFonts w:ascii="Arial" w:hAnsi="Arial"/>
          <w:color w:val="auto"/>
        </w:rPr>
        <w:t>mayoría de las series económicas se ven afectadas por factores estacionales</w:t>
      </w:r>
      <w:r>
        <w:rPr>
          <w:rFonts w:ascii="Arial" w:hAnsi="Arial"/>
          <w:color w:val="auto"/>
        </w:rPr>
        <w:t>:</w:t>
      </w:r>
      <w:r w:rsidR="00822E2D" w:rsidRPr="00F87E34">
        <w:rPr>
          <w:rFonts w:ascii="Arial" w:hAnsi="Arial"/>
          <w:color w:val="auto"/>
        </w:rPr>
        <w:t xml:space="preserve"> efectos periódicos que se repiten cada año y cuyas causas </w:t>
      </w:r>
      <w:r>
        <w:rPr>
          <w:rFonts w:ascii="Arial" w:hAnsi="Arial"/>
          <w:color w:val="auto"/>
        </w:rPr>
        <w:t>so</w:t>
      </w:r>
      <w:r w:rsidR="00822E2D" w:rsidRPr="00F87E34">
        <w:rPr>
          <w:rFonts w:ascii="Arial" w:hAnsi="Arial"/>
          <w:color w:val="auto"/>
        </w:rPr>
        <w:t>n ajenas a la naturaleza económica de las series</w:t>
      </w:r>
      <w:r w:rsidR="0069132A" w:rsidRPr="00F87E34">
        <w:rPr>
          <w:rFonts w:ascii="Arial" w:hAnsi="Arial"/>
          <w:color w:val="auto"/>
        </w:rPr>
        <w:t xml:space="preserve">. </w:t>
      </w:r>
      <w:r w:rsidR="00252168">
        <w:rPr>
          <w:rFonts w:ascii="Arial" w:hAnsi="Arial"/>
          <w:color w:val="auto"/>
        </w:rPr>
        <w:t>E</w:t>
      </w:r>
      <w:r w:rsidR="0069132A" w:rsidRPr="00F87E34">
        <w:rPr>
          <w:rFonts w:ascii="Arial" w:hAnsi="Arial"/>
          <w:color w:val="auto"/>
        </w:rPr>
        <w:t>stas</w:t>
      </w:r>
      <w:r w:rsidR="00822E2D" w:rsidRPr="00F87E34">
        <w:rPr>
          <w:rFonts w:ascii="Arial" w:hAnsi="Arial"/>
          <w:color w:val="auto"/>
        </w:rPr>
        <w:t xml:space="preserve"> </w:t>
      </w:r>
      <w:r w:rsidR="0069132A" w:rsidRPr="00F87E34">
        <w:rPr>
          <w:rFonts w:ascii="Arial" w:hAnsi="Arial"/>
          <w:color w:val="auto"/>
        </w:rPr>
        <w:t>pueden ser:</w:t>
      </w:r>
      <w:r w:rsidR="00822E2D" w:rsidRPr="00F87E34">
        <w:rPr>
          <w:rFonts w:ascii="Arial" w:hAnsi="Arial"/>
          <w:color w:val="auto"/>
        </w:rPr>
        <w:t xml:space="preserve"> las festividades, meses </w:t>
      </w:r>
      <w:r w:rsidR="000300A4">
        <w:rPr>
          <w:rFonts w:ascii="Arial" w:hAnsi="Arial"/>
          <w:color w:val="auto"/>
        </w:rPr>
        <w:t>más largos que otros</w:t>
      </w:r>
      <w:r w:rsidR="00822E2D" w:rsidRPr="00F87E34">
        <w:rPr>
          <w:rFonts w:ascii="Arial" w:hAnsi="Arial"/>
          <w:color w:val="auto"/>
        </w:rPr>
        <w:t xml:space="preserve">, </w:t>
      </w:r>
      <w:r>
        <w:rPr>
          <w:rFonts w:ascii="Arial" w:hAnsi="Arial"/>
          <w:color w:val="auto"/>
        </w:rPr>
        <w:t>las</w:t>
      </w:r>
      <w:r w:rsidR="00822E2D" w:rsidRPr="00F87E34">
        <w:rPr>
          <w:rFonts w:ascii="Arial" w:hAnsi="Arial"/>
          <w:color w:val="auto"/>
        </w:rPr>
        <w:t xml:space="preserve"> vacaciones escolares, el clima</w:t>
      </w:r>
      <w:r>
        <w:rPr>
          <w:rFonts w:ascii="Arial" w:hAnsi="Arial"/>
          <w:color w:val="auto"/>
        </w:rPr>
        <w:t xml:space="preserve"> y o</w:t>
      </w:r>
      <w:r w:rsidR="00822E2D" w:rsidRPr="00F87E34">
        <w:rPr>
          <w:rFonts w:ascii="Arial" w:hAnsi="Arial"/>
          <w:color w:val="auto"/>
        </w:rPr>
        <w:t>tras fluctuaciones</w:t>
      </w:r>
      <w:r w:rsidR="00EA093F">
        <w:rPr>
          <w:rFonts w:ascii="Arial" w:hAnsi="Arial"/>
          <w:color w:val="auto"/>
        </w:rPr>
        <w:t xml:space="preserve">, </w:t>
      </w:r>
      <w:r w:rsidR="0069132A" w:rsidRPr="00F87E34">
        <w:rPr>
          <w:rFonts w:ascii="Arial" w:hAnsi="Arial"/>
          <w:color w:val="auto"/>
        </w:rPr>
        <w:t xml:space="preserve">como </w:t>
      </w:r>
      <w:r w:rsidR="00822E2D" w:rsidRPr="00F87E34">
        <w:rPr>
          <w:rFonts w:ascii="Arial" w:hAnsi="Arial"/>
          <w:color w:val="auto"/>
        </w:rPr>
        <w:t>la elevada adquisición de juguetes en los meses previos a la Navidad.</w:t>
      </w:r>
    </w:p>
    <w:p w14:paraId="26699A61" w14:textId="1E8461FB" w:rsidR="00822E2D" w:rsidRPr="00F87E34" w:rsidRDefault="00EA093F" w:rsidP="0015603F">
      <w:pPr>
        <w:pStyle w:val="p0"/>
        <w:keepLines w:val="0"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L</w:t>
      </w:r>
      <w:r w:rsidR="00822E2D" w:rsidRPr="00F87E34">
        <w:rPr>
          <w:rFonts w:ascii="Arial" w:hAnsi="Arial"/>
          <w:color w:val="auto"/>
        </w:rPr>
        <w:t>a desestacionalización o ajuste estacional de series económicas consiste en remover estas influencias intra</w:t>
      </w:r>
      <w:r w:rsidR="00D6059E">
        <w:rPr>
          <w:rFonts w:ascii="Arial" w:hAnsi="Arial"/>
          <w:color w:val="auto"/>
        </w:rPr>
        <w:noBreakHyphen/>
      </w:r>
      <w:r w:rsidR="00822E2D" w:rsidRPr="00F87E34">
        <w:rPr>
          <w:rFonts w:ascii="Arial" w:hAnsi="Arial"/>
          <w:color w:val="auto"/>
        </w:rPr>
        <w:t>anuales periódicas</w:t>
      </w:r>
      <w:r>
        <w:rPr>
          <w:rFonts w:ascii="Arial" w:hAnsi="Arial"/>
          <w:color w:val="auto"/>
        </w:rPr>
        <w:t>:</w:t>
      </w:r>
      <w:r w:rsidR="00822E2D" w:rsidRPr="00F87E34">
        <w:rPr>
          <w:rFonts w:ascii="Arial" w:hAnsi="Arial"/>
          <w:color w:val="auto"/>
        </w:rPr>
        <w:t xml:space="preserve"> su presencia dificulta diagnosticar </w:t>
      </w:r>
      <w:r>
        <w:rPr>
          <w:rFonts w:ascii="Arial" w:hAnsi="Arial"/>
          <w:color w:val="auto"/>
        </w:rPr>
        <w:t>y</w:t>
      </w:r>
      <w:r w:rsidR="00822E2D" w:rsidRPr="00F87E34">
        <w:rPr>
          <w:rFonts w:ascii="Arial" w:hAnsi="Arial"/>
          <w:color w:val="auto"/>
        </w:rPr>
        <w:t xml:space="preserve"> describir el comportamiento de una serie económica</w:t>
      </w:r>
      <w:r>
        <w:rPr>
          <w:rFonts w:ascii="Arial" w:hAnsi="Arial"/>
          <w:color w:val="auto"/>
        </w:rPr>
        <w:t>, pues no permite</w:t>
      </w:r>
      <w:r w:rsidR="00822E2D" w:rsidRPr="00F87E34">
        <w:rPr>
          <w:rFonts w:ascii="Arial" w:hAnsi="Arial"/>
          <w:color w:val="auto"/>
        </w:rPr>
        <w:t xml:space="preserve"> comparar adecuadamente un determinado mes con el inmediato anterior. </w:t>
      </w:r>
    </w:p>
    <w:p w14:paraId="3C543156" w14:textId="4E31D61B" w:rsidR="00822E2D" w:rsidRPr="00F87E34" w:rsidRDefault="00822E2D" w:rsidP="0015603F">
      <w:pPr>
        <w:pStyle w:val="p0"/>
        <w:keepLines w:val="0"/>
        <w:spacing w:before="200"/>
        <w:rPr>
          <w:rFonts w:ascii="Arial" w:hAnsi="Arial"/>
          <w:color w:val="auto"/>
        </w:rPr>
      </w:pPr>
      <w:r w:rsidRPr="00F87E34">
        <w:rPr>
          <w:rFonts w:ascii="Arial" w:hAnsi="Arial"/>
          <w:color w:val="auto"/>
        </w:rPr>
        <w:t>Analizar la serie desestacionalizada ayuda a realizar un mejor diagnóstico y pronóstico de su evolución</w:t>
      </w:r>
      <w:r w:rsidR="00EA093F">
        <w:rPr>
          <w:rFonts w:ascii="Arial" w:hAnsi="Arial"/>
          <w:color w:val="auto"/>
        </w:rPr>
        <w:t xml:space="preserve">, </w:t>
      </w:r>
      <w:r w:rsidR="000300A4">
        <w:rPr>
          <w:rFonts w:ascii="Arial" w:hAnsi="Arial"/>
          <w:color w:val="auto"/>
        </w:rPr>
        <w:t>pues en</w:t>
      </w:r>
      <w:r w:rsidR="00EA093F">
        <w:rPr>
          <w:rFonts w:ascii="Arial" w:hAnsi="Arial"/>
          <w:color w:val="auto"/>
        </w:rPr>
        <w:t xml:space="preserve"> el corto plazo,</w:t>
      </w:r>
      <w:r w:rsidRPr="00F87E34">
        <w:rPr>
          <w:rFonts w:ascii="Arial" w:hAnsi="Arial"/>
          <w:color w:val="auto"/>
        </w:rPr>
        <w:t xml:space="preserve"> identifica la posible dirección de los movimientos </w:t>
      </w:r>
      <w:r w:rsidR="00497972">
        <w:rPr>
          <w:rFonts w:ascii="Arial" w:hAnsi="Arial"/>
          <w:color w:val="auto"/>
        </w:rPr>
        <w:t>de</w:t>
      </w:r>
      <w:r w:rsidRPr="00F87E34">
        <w:rPr>
          <w:rFonts w:ascii="Arial" w:hAnsi="Arial"/>
          <w:color w:val="auto"/>
        </w:rPr>
        <w:t xml:space="preserve"> la variable en cuestión</w:t>
      </w:r>
      <w:r w:rsidR="00EA093F">
        <w:rPr>
          <w:rFonts w:ascii="Arial" w:hAnsi="Arial"/>
          <w:color w:val="auto"/>
        </w:rPr>
        <w:t>.</w:t>
      </w:r>
      <w:r w:rsidRPr="00F87E34">
        <w:rPr>
          <w:rFonts w:ascii="Arial" w:hAnsi="Arial"/>
          <w:color w:val="auto"/>
        </w:rPr>
        <w:t xml:space="preserve"> </w:t>
      </w:r>
    </w:p>
    <w:p w14:paraId="04F58FA1" w14:textId="60FDFF3A" w:rsidR="00822E2D" w:rsidRPr="00F87E34" w:rsidRDefault="00FB0185" w:rsidP="0015603F">
      <w:pPr>
        <w:pStyle w:val="p0"/>
        <w:keepLines w:val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A</w:t>
      </w:r>
      <w:r w:rsidR="00822E2D" w:rsidRPr="00F87E34">
        <w:rPr>
          <w:rFonts w:ascii="Arial" w:hAnsi="Arial"/>
          <w:color w:val="auto"/>
        </w:rPr>
        <w:t xml:space="preserve">l agregar la información de noviembre de los últimos años, el efecto del </w:t>
      </w:r>
      <w:r w:rsidR="005C7554">
        <w:rPr>
          <w:rFonts w:ascii="Arial" w:hAnsi="Arial"/>
          <w:color w:val="auto"/>
        </w:rPr>
        <w:t>«</w:t>
      </w:r>
      <w:r w:rsidR="00822E2D" w:rsidRPr="00F87E34">
        <w:rPr>
          <w:rFonts w:ascii="Arial" w:hAnsi="Arial"/>
          <w:color w:val="auto"/>
        </w:rPr>
        <w:t>Buen Fin</w:t>
      </w:r>
      <w:r w:rsidR="005C7554">
        <w:rPr>
          <w:rFonts w:ascii="Arial" w:hAnsi="Arial"/>
          <w:color w:val="auto"/>
        </w:rPr>
        <w:t>»</w:t>
      </w:r>
      <w:r w:rsidR="00822E2D" w:rsidRPr="00F87E34">
        <w:rPr>
          <w:rFonts w:ascii="Arial" w:hAnsi="Arial"/>
          <w:color w:val="auto"/>
        </w:rPr>
        <w:t xml:space="preserve"> se ha incorporado de forma gradual en el ajuste estacional de las ventas al por menor</w:t>
      </w:r>
      <w:r w:rsidR="00822E2D" w:rsidRPr="00F87E34">
        <w:rPr>
          <w:rFonts w:ascii="Arial" w:hAnsi="Arial"/>
          <w:color w:val="000000" w:themeColor="text1"/>
        </w:rPr>
        <w:t>.</w:t>
      </w:r>
    </w:p>
    <w:p w14:paraId="5B93CFBB" w14:textId="7374C982" w:rsidR="00822E2D" w:rsidRPr="00F87E34" w:rsidRDefault="00822E2D" w:rsidP="0015603F">
      <w:pPr>
        <w:widowControl w:val="0"/>
        <w:spacing w:before="240"/>
        <w:rPr>
          <w:szCs w:val="20"/>
        </w:rPr>
      </w:pPr>
      <w:r w:rsidRPr="00F87E34">
        <w:rPr>
          <w:szCs w:val="20"/>
        </w:rPr>
        <w:t>Las series originales se ajustan estacional</w:t>
      </w:r>
      <w:r w:rsidR="00497972">
        <w:rPr>
          <w:szCs w:val="20"/>
        </w:rPr>
        <w:t>mente</w:t>
      </w:r>
      <w:r w:rsidRPr="00F87E34">
        <w:rPr>
          <w:szCs w:val="20"/>
        </w:rPr>
        <w:t xml:space="preserve"> mediante el paquete estadístico X</w:t>
      </w:r>
      <w:r w:rsidRPr="00F87E34">
        <w:rPr>
          <w:szCs w:val="20"/>
        </w:rPr>
        <w:noBreakHyphen/>
        <w:t>13ARIMA</w:t>
      </w:r>
      <w:r w:rsidRPr="00F87E34">
        <w:rPr>
          <w:szCs w:val="20"/>
        </w:rPr>
        <w:noBreakHyphen/>
        <w:t>SEATS. Para conocer la metodología</w:t>
      </w:r>
      <w:r w:rsidR="00392C10">
        <w:rPr>
          <w:szCs w:val="20"/>
        </w:rPr>
        <w:t>,</w:t>
      </w:r>
      <w:r w:rsidRPr="00F87E34">
        <w:rPr>
          <w:szCs w:val="20"/>
        </w:rPr>
        <w:t xml:space="preserve"> </w:t>
      </w:r>
      <w:r w:rsidR="008B62C5">
        <w:rPr>
          <w:szCs w:val="20"/>
        </w:rPr>
        <w:t>consúltese</w:t>
      </w:r>
      <w:r w:rsidRPr="00F87E34">
        <w:rPr>
          <w:szCs w:val="20"/>
        </w:rPr>
        <w:t xml:space="preserve"> la siguiente liga:</w:t>
      </w:r>
    </w:p>
    <w:p w14:paraId="50951445" w14:textId="77777777" w:rsidR="00822E2D" w:rsidRPr="00F87E34" w:rsidRDefault="002D4734" w:rsidP="0015603F">
      <w:pPr>
        <w:pStyle w:val="parrafo1"/>
        <w:widowControl w:val="0"/>
        <w:spacing w:before="0"/>
        <w:ind w:left="0" w:right="0"/>
        <w:rPr>
          <w:rStyle w:val="Hipervnculo"/>
          <w:rFonts w:cs="Arial"/>
          <w:lang w:eastAsia="en-US"/>
        </w:rPr>
      </w:pPr>
      <w:hyperlink r:id="rId29" w:history="1">
        <w:r w:rsidR="00822E2D" w:rsidRPr="00F87E34">
          <w:rPr>
            <w:rStyle w:val="Hipervnculo"/>
            <w:rFonts w:cs="Arial"/>
            <w:lang w:eastAsia="en-US"/>
          </w:rPr>
          <w:t>https://www.inegi.org.mx/app/biblioteca/ficha.html?upc=702825099060</w:t>
        </w:r>
      </w:hyperlink>
    </w:p>
    <w:p w14:paraId="02378505" w14:textId="2FDD2305" w:rsidR="00822E2D" w:rsidRPr="00F87E34" w:rsidRDefault="00822E2D" w:rsidP="0015603F">
      <w:pPr>
        <w:pStyle w:val="p0"/>
        <w:keepLines w:val="0"/>
        <w:rPr>
          <w:rFonts w:ascii="Arial" w:hAnsi="Arial"/>
          <w:color w:val="auto"/>
        </w:rPr>
      </w:pPr>
      <w:r w:rsidRPr="00F87E34">
        <w:rPr>
          <w:rFonts w:ascii="Arial" w:hAnsi="Arial"/>
          <w:noProof/>
          <w:color w:val="auto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6F6BE26" wp14:editId="10CB555E">
            <wp:simplePos x="0" y="0"/>
            <wp:positionH relativeFrom="column">
              <wp:posOffset>1614043</wp:posOffset>
            </wp:positionH>
            <wp:positionV relativeFrom="paragraph">
              <wp:posOffset>681990</wp:posOffset>
            </wp:positionV>
            <wp:extent cx="152400" cy="152400"/>
            <wp:effectExtent l="0" t="0" r="0" b="0"/>
            <wp:wrapNone/>
            <wp:docPr id="12" name="Imagen 12" descr="http://www.inegi.org.mx/sistemas/bie/img/Metadat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543">
        <w:rPr>
          <w:rFonts w:ascii="Arial" w:hAnsi="Arial"/>
          <w:color w:val="auto"/>
        </w:rPr>
        <w:t>L</w:t>
      </w:r>
      <w:r w:rsidRPr="00F87E34">
        <w:rPr>
          <w:rFonts w:ascii="Arial" w:hAnsi="Arial"/>
          <w:color w:val="auto"/>
        </w:rPr>
        <w:t>as especificaciones de los modelos utilizados para realizar el ajuste estacional están disponibles en el Banco de Información Económica</w:t>
      </w:r>
      <w:r w:rsidR="001C47BD">
        <w:rPr>
          <w:rFonts w:ascii="Arial" w:hAnsi="Arial"/>
          <w:color w:val="auto"/>
        </w:rPr>
        <w:t xml:space="preserve"> (BIE)</w:t>
      </w:r>
      <w:r w:rsidR="00EA093F">
        <w:rPr>
          <w:rFonts w:ascii="Arial" w:hAnsi="Arial"/>
          <w:color w:val="auto"/>
        </w:rPr>
        <w:t>. Selecci</w:t>
      </w:r>
      <w:r w:rsidR="001C47BD">
        <w:rPr>
          <w:rFonts w:ascii="Arial" w:hAnsi="Arial"/>
          <w:color w:val="auto"/>
        </w:rPr>
        <w:t>one</w:t>
      </w:r>
      <w:r w:rsidRPr="00F87E34">
        <w:rPr>
          <w:rFonts w:ascii="Arial" w:hAnsi="Arial"/>
          <w:color w:val="auto"/>
        </w:rPr>
        <w:t xml:space="preserve"> </w:t>
      </w:r>
      <w:r w:rsidR="001C47BD" w:rsidRPr="001C47BD">
        <w:rPr>
          <w:rFonts w:ascii="Arial" w:hAnsi="Arial"/>
          <w:color w:val="auto"/>
        </w:rPr>
        <w:t xml:space="preserve">«Indicadores económicos de coyuntura, Encuesta </w:t>
      </w:r>
      <w:r w:rsidR="00B231B0">
        <w:rPr>
          <w:rFonts w:ascii="Arial" w:hAnsi="Arial"/>
          <w:color w:val="auto"/>
        </w:rPr>
        <w:t>M</w:t>
      </w:r>
      <w:r w:rsidR="001C47BD" w:rsidRPr="001C47BD">
        <w:rPr>
          <w:rFonts w:ascii="Arial" w:hAnsi="Arial"/>
          <w:color w:val="auto"/>
        </w:rPr>
        <w:t xml:space="preserve">ensual </w:t>
      </w:r>
      <w:r w:rsidR="001C47BD">
        <w:rPr>
          <w:rFonts w:ascii="Arial" w:hAnsi="Arial"/>
          <w:color w:val="auto"/>
        </w:rPr>
        <w:t xml:space="preserve">sobre </w:t>
      </w:r>
      <w:r w:rsidR="00B231B0">
        <w:rPr>
          <w:rFonts w:ascii="Arial" w:hAnsi="Arial"/>
          <w:color w:val="auto"/>
        </w:rPr>
        <w:t>E</w:t>
      </w:r>
      <w:r w:rsidR="001C47BD">
        <w:rPr>
          <w:rFonts w:ascii="Arial" w:hAnsi="Arial"/>
          <w:color w:val="auto"/>
        </w:rPr>
        <w:t>mpresas</w:t>
      </w:r>
      <w:r w:rsidR="001C47BD" w:rsidRPr="001C47BD">
        <w:rPr>
          <w:rFonts w:ascii="Arial" w:hAnsi="Arial"/>
          <w:color w:val="auto"/>
        </w:rPr>
        <w:t xml:space="preserve"> </w:t>
      </w:r>
      <w:r w:rsidR="00B231B0">
        <w:rPr>
          <w:rFonts w:ascii="Arial" w:hAnsi="Arial"/>
          <w:color w:val="auto"/>
        </w:rPr>
        <w:t>C</w:t>
      </w:r>
      <w:r w:rsidR="001C47BD">
        <w:rPr>
          <w:rFonts w:ascii="Arial" w:hAnsi="Arial"/>
          <w:color w:val="auto"/>
        </w:rPr>
        <w:t>omerciales</w:t>
      </w:r>
      <w:r w:rsidR="001C47BD" w:rsidRPr="001C47BD">
        <w:rPr>
          <w:rFonts w:ascii="Arial" w:hAnsi="Arial"/>
          <w:color w:val="auto"/>
        </w:rPr>
        <w:t xml:space="preserve">» </w:t>
      </w:r>
      <w:r w:rsidR="001C47BD">
        <w:rPr>
          <w:rFonts w:ascii="Arial" w:hAnsi="Arial"/>
          <w:color w:val="auto"/>
        </w:rPr>
        <w:t>y vaya a</w:t>
      </w:r>
      <w:r w:rsidRPr="00F87E34">
        <w:rPr>
          <w:rFonts w:ascii="Arial" w:hAnsi="Arial"/>
          <w:color w:val="auto"/>
        </w:rPr>
        <w:t xml:space="preserve">l icono de información    correspondiente a las </w:t>
      </w:r>
      <w:r w:rsidR="00E66DD7" w:rsidRPr="00E66DD7">
        <w:rPr>
          <w:rFonts w:ascii="Arial" w:hAnsi="Arial"/>
          <w:color w:val="auto"/>
        </w:rPr>
        <w:t>«</w:t>
      </w:r>
      <w:r w:rsidRPr="00F87E34">
        <w:rPr>
          <w:rFonts w:ascii="Arial" w:hAnsi="Arial"/>
          <w:color w:val="auto"/>
        </w:rPr>
        <w:t>series desestacionalizadas y de tendencia</w:t>
      </w:r>
      <w:r w:rsidRPr="00F87E34">
        <w:rPr>
          <w:rFonts w:ascii="Arial" w:hAnsi="Arial"/>
          <w:color w:val="auto"/>
        </w:rPr>
        <w:noBreakHyphen/>
        <w:t>ciclo</w:t>
      </w:r>
      <w:r w:rsidR="00E66DD7" w:rsidRPr="00E66DD7">
        <w:rPr>
          <w:rFonts w:ascii="Arial" w:hAnsi="Arial"/>
          <w:color w:val="auto"/>
        </w:rPr>
        <w:t>»</w:t>
      </w:r>
      <w:r w:rsidR="001C47BD">
        <w:rPr>
          <w:rFonts w:ascii="Arial" w:hAnsi="Arial"/>
          <w:color w:val="auto"/>
        </w:rPr>
        <w:t>.</w:t>
      </w:r>
    </w:p>
    <w:p w14:paraId="3BD1CEF6" w14:textId="40E14E5D" w:rsidR="00770BFA" w:rsidRPr="00F87E34" w:rsidRDefault="00E72EF6" w:rsidP="0015603F">
      <w:pPr>
        <w:pStyle w:val="p0"/>
        <w:keepLines w:val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M</w:t>
      </w:r>
      <w:r w:rsidR="00756572" w:rsidRPr="00F87E34">
        <w:rPr>
          <w:rFonts w:ascii="Arial" w:hAnsi="Arial"/>
          <w:color w:val="auto"/>
        </w:rPr>
        <w:t>ediante la EMEC</w:t>
      </w:r>
      <w:r>
        <w:rPr>
          <w:rFonts w:ascii="Arial" w:hAnsi="Arial"/>
          <w:color w:val="auto"/>
        </w:rPr>
        <w:t>,</w:t>
      </w:r>
      <w:r w:rsidRPr="00E72EF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el</w:t>
      </w:r>
      <w:r w:rsidRPr="00F87E34">
        <w:rPr>
          <w:rFonts w:ascii="Arial" w:hAnsi="Arial"/>
          <w:color w:val="auto"/>
        </w:rPr>
        <w:t xml:space="preserve"> INEGI</w:t>
      </w:r>
      <w:r w:rsidR="00756572">
        <w:rPr>
          <w:rFonts w:ascii="Arial" w:hAnsi="Arial"/>
          <w:color w:val="auto"/>
        </w:rPr>
        <w:t xml:space="preserve"> genera l</w:t>
      </w:r>
      <w:r w:rsidR="0026680B" w:rsidRPr="00F87E34">
        <w:rPr>
          <w:rFonts w:ascii="Arial" w:hAnsi="Arial"/>
          <w:color w:val="auto"/>
        </w:rPr>
        <w:t xml:space="preserve">a información contenida en este documento y </w:t>
      </w:r>
      <w:r w:rsidR="00756572">
        <w:rPr>
          <w:rFonts w:ascii="Arial" w:hAnsi="Arial"/>
          <w:color w:val="auto"/>
        </w:rPr>
        <w:t>la</w:t>
      </w:r>
      <w:r w:rsidR="0026680B" w:rsidRPr="00F87E34">
        <w:rPr>
          <w:rFonts w:ascii="Arial" w:hAnsi="Arial"/>
          <w:color w:val="auto"/>
        </w:rPr>
        <w:t xml:space="preserve"> da a conocer </w:t>
      </w:r>
      <w:r w:rsidR="00756572">
        <w:rPr>
          <w:rFonts w:ascii="Arial" w:hAnsi="Arial"/>
          <w:color w:val="auto"/>
        </w:rPr>
        <w:t>con base</w:t>
      </w:r>
      <w:r w:rsidR="0026680B" w:rsidRPr="00F87E34">
        <w:rPr>
          <w:rFonts w:ascii="Arial" w:hAnsi="Arial"/>
          <w:color w:val="auto"/>
        </w:rPr>
        <w:t xml:space="preserve"> en el Calendario de </w:t>
      </w:r>
      <w:r w:rsidR="00A41C2D" w:rsidRPr="00F87E34">
        <w:rPr>
          <w:rFonts w:ascii="Arial" w:hAnsi="Arial"/>
          <w:color w:val="auto"/>
        </w:rPr>
        <w:t>D</w:t>
      </w:r>
      <w:r w:rsidR="0026680B" w:rsidRPr="00F87E34">
        <w:rPr>
          <w:rFonts w:ascii="Arial" w:hAnsi="Arial"/>
          <w:color w:val="auto"/>
        </w:rPr>
        <w:t xml:space="preserve">ifusión de </w:t>
      </w:r>
      <w:r w:rsidR="00A41C2D" w:rsidRPr="00F87E34">
        <w:rPr>
          <w:rFonts w:ascii="Arial" w:hAnsi="Arial"/>
          <w:color w:val="auto"/>
        </w:rPr>
        <w:t>I</w:t>
      </w:r>
      <w:r w:rsidR="0026680B" w:rsidRPr="00F87E34">
        <w:rPr>
          <w:rFonts w:ascii="Arial" w:hAnsi="Arial"/>
          <w:color w:val="auto"/>
        </w:rPr>
        <w:t xml:space="preserve">nformación </w:t>
      </w:r>
      <w:r w:rsidR="00A41C2D" w:rsidRPr="00F87E34">
        <w:rPr>
          <w:rFonts w:ascii="Arial" w:hAnsi="Arial"/>
          <w:color w:val="auto"/>
        </w:rPr>
        <w:t>E</w:t>
      </w:r>
      <w:r w:rsidR="0026680B" w:rsidRPr="00F87E34">
        <w:rPr>
          <w:rFonts w:ascii="Arial" w:hAnsi="Arial"/>
          <w:color w:val="auto"/>
        </w:rPr>
        <w:t xml:space="preserve">stadística y </w:t>
      </w:r>
      <w:r w:rsidR="00A41C2D" w:rsidRPr="00F87E34">
        <w:rPr>
          <w:rFonts w:ascii="Arial" w:hAnsi="Arial"/>
          <w:color w:val="auto"/>
        </w:rPr>
        <w:t>G</w:t>
      </w:r>
      <w:r w:rsidR="0026680B" w:rsidRPr="00F87E34">
        <w:rPr>
          <w:rFonts w:ascii="Arial" w:hAnsi="Arial"/>
          <w:color w:val="auto"/>
        </w:rPr>
        <w:t>eográfica y de Interés Nacional</w:t>
      </w:r>
      <w:r w:rsidR="00770BFA" w:rsidRPr="00F87E34">
        <w:rPr>
          <w:rFonts w:ascii="Arial" w:hAnsi="Arial"/>
          <w:color w:val="auto"/>
        </w:rPr>
        <w:t>.</w:t>
      </w:r>
    </w:p>
    <w:p w14:paraId="3D3B36B0" w14:textId="5B025C94" w:rsidR="00E66DD7" w:rsidRDefault="006144F9" w:rsidP="0015603F">
      <w:pPr>
        <w:pStyle w:val="p0"/>
        <w:keepLines w:val="0"/>
        <w:tabs>
          <w:tab w:val="left" w:pos="1218"/>
        </w:tabs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Todos los resultados </w:t>
      </w:r>
      <w:r w:rsidR="005E78FF">
        <w:rPr>
          <w:rFonts w:ascii="Arial" w:hAnsi="Arial"/>
          <w:color w:val="auto"/>
        </w:rPr>
        <w:t>pueden</w:t>
      </w:r>
      <w:r w:rsidR="005E78FF" w:rsidRPr="00F87E34">
        <w:rPr>
          <w:rFonts w:ascii="Arial" w:hAnsi="Arial"/>
          <w:color w:val="auto"/>
        </w:rPr>
        <w:t xml:space="preserve"> consulta</w:t>
      </w:r>
      <w:r w:rsidR="005E78FF">
        <w:rPr>
          <w:rFonts w:ascii="Arial" w:hAnsi="Arial"/>
          <w:color w:val="auto"/>
        </w:rPr>
        <w:t>r</w:t>
      </w:r>
      <w:r w:rsidR="00364F95">
        <w:rPr>
          <w:rFonts w:ascii="Arial" w:hAnsi="Arial"/>
          <w:color w:val="auto"/>
        </w:rPr>
        <w:t>se</w:t>
      </w:r>
      <w:r w:rsidR="005E78FF" w:rsidRPr="00F87E34">
        <w:rPr>
          <w:rFonts w:ascii="Arial" w:hAnsi="Arial"/>
          <w:color w:val="auto"/>
        </w:rPr>
        <w:t xml:space="preserve"> en la página del INEGI</w:t>
      </w:r>
      <w:r w:rsidR="00E66DD7">
        <w:rPr>
          <w:rFonts w:ascii="Arial" w:hAnsi="Arial"/>
          <w:color w:val="auto"/>
        </w:rPr>
        <w:t>, en las siguientes secciones:</w:t>
      </w:r>
    </w:p>
    <w:p w14:paraId="3A9D642C" w14:textId="32ECFC75" w:rsidR="005E78FF" w:rsidRPr="00F87E34" w:rsidRDefault="005E78FF" w:rsidP="00B231B0">
      <w:pPr>
        <w:ind w:firstLine="284"/>
      </w:pPr>
      <w:r w:rsidRPr="00252168">
        <w:t>Tema:</w:t>
      </w:r>
      <w:r w:rsidRPr="00F87E34">
        <w:t xml:space="preserve"> </w:t>
      </w:r>
      <w:hyperlink r:id="rId31" w:history="1">
        <w:r w:rsidRPr="00291AED">
          <w:rPr>
            <w:rStyle w:val="Hipervnculo"/>
          </w:rPr>
          <w:t>https://www.inegi.org.mx/temas/comercioemp/</w:t>
        </w:r>
      </w:hyperlink>
    </w:p>
    <w:p w14:paraId="4318B1E5" w14:textId="489DD252" w:rsidR="005E78FF" w:rsidRPr="00F87E34" w:rsidRDefault="005E78FF" w:rsidP="00B231B0">
      <w:pPr>
        <w:ind w:firstLine="284"/>
      </w:pPr>
      <w:r w:rsidRPr="00F87E34">
        <w:t xml:space="preserve">Programa: </w:t>
      </w:r>
      <w:hyperlink r:id="rId32" w:history="1">
        <w:r w:rsidRPr="00F87E34">
          <w:rPr>
            <w:rStyle w:val="Hipervnculo"/>
          </w:rPr>
          <w:t>https://www.inegi.org.mx/programas/emec/2013/</w:t>
        </w:r>
      </w:hyperlink>
    </w:p>
    <w:p w14:paraId="61F97D85" w14:textId="1B64FB65" w:rsidR="0026680B" w:rsidRPr="00F87E34" w:rsidRDefault="005E78FF" w:rsidP="00B231B0">
      <w:pPr>
        <w:ind w:firstLine="284"/>
        <w:rPr>
          <w:snapToGrid w:val="0"/>
        </w:rPr>
      </w:pPr>
      <w:r w:rsidRPr="00F87E34">
        <w:t>B</w:t>
      </w:r>
      <w:r w:rsidR="0015603F">
        <w:t>IE</w:t>
      </w:r>
      <w:r w:rsidRPr="00F87E34">
        <w:t xml:space="preserve">: </w:t>
      </w:r>
      <w:hyperlink r:id="rId33" w:history="1">
        <w:r w:rsidR="00B231B0">
          <w:rPr>
            <w:rStyle w:val="Hipervnculo"/>
          </w:rPr>
          <w:t>https://www.inegi.org.mx/app/indicadores/?tm=0</w:t>
        </w:r>
      </w:hyperlink>
    </w:p>
    <w:sectPr w:rsidR="0026680B" w:rsidRPr="00F87E34" w:rsidSect="00521278">
      <w:headerReference w:type="default" r:id="rId34"/>
      <w:footerReference w:type="default" r:id="rId35"/>
      <w:pgSz w:w="12242" w:h="15842" w:code="119"/>
      <w:pgMar w:top="2552" w:right="1418" w:bottom="1134" w:left="1418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58008" w14:textId="77777777" w:rsidR="002D4734" w:rsidRDefault="002D4734">
      <w:r>
        <w:separator/>
      </w:r>
    </w:p>
  </w:endnote>
  <w:endnote w:type="continuationSeparator" w:id="0">
    <w:p w14:paraId="5B536E39" w14:textId="77777777" w:rsidR="002D4734" w:rsidRDefault="002D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44B7D" w14:textId="77777777" w:rsidR="0074235B" w:rsidRPr="00975B1E" w:rsidRDefault="0074235B" w:rsidP="0074235B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1030DC0C" w14:textId="77777777" w:rsidR="0074235B" w:rsidRPr="007B4B63" w:rsidRDefault="0074235B" w:rsidP="0074235B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6AEE6" w14:textId="77777777" w:rsidR="0074235B" w:rsidRPr="00AD0460" w:rsidRDefault="0074235B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AD0460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0594B" w14:textId="77777777" w:rsidR="002D4734" w:rsidRDefault="002D4734">
      <w:r>
        <w:separator/>
      </w:r>
    </w:p>
  </w:footnote>
  <w:footnote w:type="continuationSeparator" w:id="0">
    <w:p w14:paraId="6E888A67" w14:textId="77777777" w:rsidR="002D4734" w:rsidRDefault="002D4734">
      <w:r>
        <w:continuationSeparator/>
      </w:r>
    </w:p>
  </w:footnote>
  <w:footnote w:id="1">
    <w:p w14:paraId="753ADDE9" w14:textId="77777777" w:rsidR="0074235B" w:rsidRDefault="0074235B" w:rsidP="00B30942">
      <w:pPr>
        <w:pStyle w:val="Textonotapie"/>
        <w:ind w:left="168" w:right="49" w:hanging="168"/>
      </w:pPr>
      <w:r w:rsidRPr="00914A0F">
        <w:rPr>
          <w:rStyle w:val="Refdenotaalpie"/>
          <w:sz w:val="18"/>
          <w:szCs w:val="18"/>
        </w:rPr>
        <w:footnoteRef/>
      </w:r>
      <w:r w:rsidRPr="00914A0F">
        <w:tab/>
      </w:r>
      <w:r w:rsidRPr="00140D9C">
        <w:rPr>
          <w:sz w:val="16"/>
          <w:szCs w:val="16"/>
        </w:rPr>
        <w:t>La mayoría de las series económicas se ven afectadas por factores estacionales y de calendario. El ajuste de l</w:t>
      </w:r>
      <w:r>
        <w:rPr>
          <w:sz w:val="16"/>
          <w:szCs w:val="16"/>
        </w:rPr>
        <w:t>o</w:t>
      </w:r>
      <w:r w:rsidRPr="00140D9C">
        <w:rPr>
          <w:sz w:val="16"/>
          <w:szCs w:val="16"/>
        </w:rPr>
        <w:t xml:space="preserve">s </w:t>
      </w:r>
      <w:r>
        <w:rPr>
          <w:sz w:val="16"/>
          <w:szCs w:val="16"/>
        </w:rPr>
        <w:t xml:space="preserve">datos </w:t>
      </w:r>
      <w:r w:rsidRPr="00140D9C">
        <w:rPr>
          <w:sz w:val="16"/>
          <w:szCs w:val="16"/>
        </w:rPr>
        <w:t>por dichos factores permite obtener las cifras desestacionalizadas</w:t>
      </w:r>
      <w:r>
        <w:rPr>
          <w:sz w:val="16"/>
          <w:szCs w:val="16"/>
        </w:rPr>
        <w:t>. Su</w:t>
      </w:r>
      <w:r w:rsidRPr="00140D9C">
        <w:rPr>
          <w:sz w:val="16"/>
          <w:szCs w:val="16"/>
        </w:rPr>
        <w:t xml:space="preserve"> análisis ayuda a realizar un mejor diagnóstico de la evolución de las variables.</w:t>
      </w:r>
    </w:p>
  </w:footnote>
  <w:footnote w:id="2">
    <w:p w14:paraId="6E6020F6" w14:textId="77777777" w:rsidR="0074235B" w:rsidRDefault="0074235B" w:rsidP="00B30942">
      <w:pPr>
        <w:pStyle w:val="Textonotapie"/>
        <w:ind w:left="168" w:right="49" w:hanging="168"/>
        <w:rPr>
          <w:sz w:val="16"/>
          <w:szCs w:val="16"/>
          <w:lang w:val="es-ES"/>
        </w:rPr>
      </w:pPr>
      <w:r w:rsidRPr="00914A0F">
        <w:rPr>
          <w:rStyle w:val="Refdenotaalpie"/>
          <w:sz w:val="18"/>
          <w:szCs w:val="18"/>
        </w:rPr>
        <w:footnoteRef/>
      </w:r>
      <w:r w:rsidRPr="00914A0F">
        <w:tab/>
      </w:r>
      <w:r w:rsidRPr="00914A0F">
        <w:rPr>
          <w:sz w:val="16"/>
          <w:szCs w:val="16"/>
          <w:lang w:val="es-ES"/>
        </w:rPr>
        <w:t>Se refiere al monto que obtuv</w:t>
      </w:r>
      <w:r>
        <w:rPr>
          <w:sz w:val="16"/>
          <w:szCs w:val="16"/>
          <w:lang w:val="es-ES"/>
        </w:rPr>
        <w:t>ieron</w:t>
      </w:r>
      <w:r w:rsidRPr="00914A0F">
        <w:rPr>
          <w:sz w:val="16"/>
          <w:szCs w:val="16"/>
          <w:lang w:val="es-ES"/>
        </w:rPr>
        <w:t xml:space="preserve"> la</w:t>
      </w:r>
      <w:r>
        <w:rPr>
          <w:sz w:val="16"/>
          <w:szCs w:val="16"/>
          <w:lang w:val="es-ES"/>
        </w:rPr>
        <w:t>s</w:t>
      </w:r>
      <w:r w:rsidRPr="00914A0F">
        <w:rPr>
          <w:sz w:val="16"/>
          <w:szCs w:val="16"/>
          <w:lang w:val="es-ES"/>
        </w:rPr>
        <w:t xml:space="preserve"> empresa</w:t>
      </w:r>
      <w:r>
        <w:rPr>
          <w:sz w:val="16"/>
          <w:szCs w:val="16"/>
          <w:lang w:val="es-ES"/>
        </w:rPr>
        <w:t>s</w:t>
      </w:r>
      <w:r w:rsidRPr="00914A0F">
        <w:rPr>
          <w:sz w:val="16"/>
          <w:szCs w:val="16"/>
          <w:lang w:val="es-ES"/>
        </w:rPr>
        <w:t xml:space="preserve"> por todas aquellas actividades de producción, comercialización o prestación de servicios que realiz</w:t>
      </w:r>
      <w:r>
        <w:rPr>
          <w:sz w:val="16"/>
          <w:szCs w:val="16"/>
          <w:lang w:val="es-ES"/>
        </w:rPr>
        <w:t>aron</w:t>
      </w:r>
      <w:r w:rsidRPr="00914A0F">
        <w:rPr>
          <w:sz w:val="16"/>
          <w:szCs w:val="16"/>
          <w:lang w:val="es-ES"/>
        </w:rPr>
        <w:t xml:space="preserve"> en el mes de referencia. </w:t>
      </w:r>
    </w:p>
    <w:p w14:paraId="78DD7E2A" w14:textId="77777777" w:rsidR="0074235B" w:rsidRDefault="0074235B" w:rsidP="00B30942">
      <w:pPr>
        <w:pStyle w:val="Textonotapie"/>
        <w:ind w:left="168" w:hanging="168"/>
        <w:rPr>
          <w:lang w:val="es-ES"/>
        </w:rPr>
      </w:pPr>
    </w:p>
    <w:p w14:paraId="643E1AC0" w14:textId="77777777" w:rsidR="0074235B" w:rsidRPr="00914A0F" w:rsidRDefault="0074235B" w:rsidP="00B30942">
      <w:pPr>
        <w:pStyle w:val="Textonotapie"/>
        <w:ind w:left="168" w:hanging="168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1D94" w14:textId="3856ED77" w:rsidR="0074235B" w:rsidRPr="00306ECD" w:rsidRDefault="0074235B" w:rsidP="0074235B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13977C2" wp14:editId="14B3F5F1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28337A">
      <w:rPr>
        <w:b/>
        <w:color w:val="002060"/>
      </w:rPr>
      <w:t>550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1C9C8AD6" w14:textId="77777777" w:rsidR="0074235B" w:rsidRPr="00306ECD" w:rsidRDefault="0074235B" w:rsidP="0074235B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SEPTIEMBRE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C8705F0" w14:textId="77777777" w:rsidR="0074235B" w:rsidRPr="00306ECD" w:rsidRDefault="0074235B" w:rsidP="0074235B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12</w:t>
    </w:r>
  </w:p>
  <w:p w14:paraId="22FBABFE" w14:textId="77777777" w:rsidR="0074235B" w:rsidRDefault="0074235B" w:rsidP="0074235B">
    <w:pPr>
      <w:pStyle w:val="Encabezado"/>
      <w:ind w:right="49"/>
      <w:jc w:val="center"/>
    </w:pPr>
  </w:p>
  <w:p w14:paraId="2C020704" w14:textId="77777777" w:rsidR="0074235B" w:rsidRDefault="0074235B"/>
  <w:p w14:paraId="64D3F2D4" w14:textId="77777777" w:rsidR="0074235B" w:rsidRDefault="007423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5C07" w14:textId="57E2C1FF" w:rsidR="0074235B" w:rsidRDefault="0074235B" w:rsidP="00B30942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536F8885" wp14:editId="1392C1CC">
          <wp:extent cx="828000" cy="828000"/>
          <wp:effectExtent l="0" t="0" r="0" b="0"/>
          <wp:docPr id="10" name="Imagen 1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E386850"/>
    <w:multiLevelType w:val="hybridMultilevel"/>
    <w:tmpl w:val="03D8D1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0C7DE1"/>
    <w:multiLevelType w:val="hybridMultilevel"/>
    <w:tmpl w:val="F878B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7" w15:restartNumberingAfterBreak="0">
    <w:nsid w:val="6C2064AD"/>
    <w:multiLevelType w:val="hybridMultilevel"/>
    <w:tmpl w:val="2D40341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8AD5396"/>
    <w:multiLevelType w:val="hybridMultilevel"/>
    <w:tmpl w:val="BDD07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6"/>
  </w:num>
  <w:num w:numId="12">
    <w:abstractNumId w:val="19"/>
  </w:num>
  <w:num w:numId="13">
    <w:abstractNumId w:val="20"/>
  </w:num>
  <w:num w:numId="14">
    <w:abstractNumId w:val="12"/>
  </w:num>
  <w:num w:numId="15">
    <w:abstractNumId w:val="9"/>
  </w:num>
  <w:num w:numId="16">
    <w:abstractNumId w:val="14"/>
  </w:num>
  <w:num w:numId="17">
    <w:abstractNumId w:val="11"/>
  </w:num>
  <w:num w:numId="18">
    <w:abstractNumId w:val="13"/>
  </w:num>
  <w:num w:numId="19">
    <w:abstractNumId w:val="4"/>
  </w:num>
  <w:num w:numId="20">
    <w:abstractNumId w:val="10"/>
  </w:num>
  <w:num w:numId="21">
    <w:abstractNumId w:val="7"/>
  </w:num>
  <w:num w:numId="22">
    <w:abstractNumId w:val="18"/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D1"/>
    <w:rsid w:val="0000043F"/>
    <w:rsid w:val="00000789"/>
    <w:rsid w:val="00000A97"/>
    <w:rsid w:val="00000BEA"/>
    <w:rsid w:val="00001390"/>
    <w:rsid w:val="0000180F"/>
    <w:rsid w:val="00001DBF"/>
    <w:rsid w:val="00002466"/>
    <w:rsid w:val="00002665"/>
    <w:rsid w:val="000026BE"/>
    <w:rsid w:val="000027BD"/>
    <w:rsid w:val="00002B26"/>
    <w:rsid w:val="000032AE"/>
    <w:rsid w:val="00003C25"/>
    <w:rsid w:val="00003C68"/>
    <w:rsid w:val="00004291"/>
    <w:rsid w:val="0000458A"/>
    <w:rsid w:val="000050C6"/>
    <w:rsid w:val="00005940"/>
    <w:rsid w:val="00006B5A"/>
    <w:rsid w:val="00006D26"/>
    <w:rsid w:val="000078B1"/>
    <w:rsid w:val="00007972"/>
    <w:rsid w:val="00007A1A"/>
    <w:rsid w:val="0001038F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3F6E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7F8"/>
    <w:rsid w:val="00020389"/>
    <w:rsid w:val="00021432"/>
    <w:rsid w:val="00021492"/>
    <w:rsid w:val="000216A3"/>
    <w:rsid w:val="000228C4"/>
    <w:rsid w:val="00022CA3"/>
    <w:rsid w:val="00022F65"/>
    <w:rsid w:val="000231F6"/>
    <w:rsid w:val="000247BB"/>
    <w:rsid w:val="00024F64"/>
    <w:rsid w:val="000260EE"/>
    <w:rsid w:val="00026B3C"/>
    <w:rsid w:val="00026B52"/>
    <w:rsid w:val="00027C7B"/>
    <w:rsid w:val="00027D55"/>
    <w:rsid w:val="000300A4"/>
    <w:rsid w:val="00030480"/>
    <w:rsid w:val="0003065F"/>
    <w:rsid w:val="00030D10"/>
    <w:rsid w:val="00031231"/>
    <w:rsid w:val="000314D3"/>
    <w:rsid w:val="00031BCF"/>
    <w:rsid w:val="00032B16"/>
    <w:rsid w:val="00033603"/>
    <w:rsid w:val="0003363D"/>
    <w:rsid w:val="00033A14"/>
    <w:rsid w:val="0003447A"/>
    <w:rsid w:val="00034BC3"/>
    <w:rsid w:val="000353F3"/>
    <w:rsid w:val="00035600"/>
    <w:rsid w:val="00035B2D"/>
    <w:rsid w:val="00035DA7"/>
    <w:rsid w:val="00036D72"/>
    <w:rsid w:val="00037089"/>
    <w:rsid w:val="00037177"/>
    <w:rsid w:val="00037CC4"/>
    <w:rsid w:val="0004066E"/>
    <w:rsid w:val="00040F75"/>
    <w:rsid w:val="00041FF7"/>
    <w:rsid w:val="0004225C"/>
    <w:rsid w:val="00042A96"/>
    <w:rsid w:val="00043535"/>
    <w:rsid w:val="00043B32"/>
    <w:rsid w:val="00043E2B"/>
    <w:rsid w:val="00044296"/>
    <w:rsid w:val="000442BB"/>
    <w:rsid w:val="000442FD"/>
    <w:rsid w:val="00044699"/>
    <w:rsid w:val="00044700"/>
    <w:rsid w:val="00044781"/>
    <w:rsid w:val="00044C5E"/>
    <w:rsid w:val="0004596A"/>
    <w:rsid w:val="00045AF1"/>
    <w:rsid w:val="00045E9B"/>
    <w:rsid w:val="00046139"/>
    <w:rsid w:val="000465BF"/>
    <w:rsid w:val="000467A6"/>
    <w:rsid w:val="00046822"/>
    <w:rsid w:val="00046AB6"/>
    <w:rsid w:val="00046C2C"/>
    <w:rsid w:val="00046D06"/>
    <w:rsid w:val="000471CD"/>
    <w:rsid w:val="0004735D"/>
    <w:rsid w:val="0004777C"/>
    <w:rsid w:val="000478A1"/>
    <w:rsid w:val="000501E0"/>
    <w:rsid w:val="00050934"/>
    <w:rsid w:val="00050FB5"/>
    <w:rsid w:val="0005114E"/>
    <w:rsid w:val="00051C72"/>
    <w:rsid w:val="00051D1C"/>
    <w:rsid w:val="00051D9E"/>
    <w:rsid w:val="00052F04"/>
    <w:rsid w:val="00052F1E"/>
    <w:rsid w:val="000531A8"/>
    <w:rsid w:val="000536D2"/>
    <w:rsid w:val="00053B2C"/>
    <w:rsid w:val="00053EB7"/>
    <w:rsid w:val="00053EC5"/>
    <w:rsid w:val="00054A4F"/>
    <w:rsid w:val="00055047"/>
    <w:rsid w:val="00055332"/>
    <w:rsid w:val="00055B54"/>
    <w:rsid w:val="00056F51"/>
    <w:rsid w:val="000573F5"/>
    <w:rsid w:val="00057F37"/>
    <w:rsid w:val="000602B0"/>
    <w:rsid w:val="0006056C"/>
    <w:rsid w:val="00060F31"/>
    <w:rsid w:val="00061DEB"/>
    <w:rsid w:val="0006228A"/>
    <w:rsid w:val="00062D99"/>
    <w:rsid w:val="00063614"/>
    <w:rsid w:val="00063838"/>
    <w:rsid w:val="0006433F"/>
    <w:rsid w:val="000646BA"/>
    <w:rsid w:val="00064BBC"/>
    <w:rsid w:val="00064E9D"/>
    <w:rsid w:val="00064FDB"/>
    <w:rsid w:val="000650BA"/>
    <w:rsid w:val="00065106"/>
    <w:rsid w:val="000651F1"/>
    <w:rsid w:val="00065708"/>
    <w:rsid w:val="00065A07"/>
    <w:rsid w:val="00065BC1"/>
    <w:rsid w:val="00066638"/>
    <w:rsid w:val="000667F0"/>
    <w:rsid w:val="00066EA7"/>
    <w:rsid w:val="00066EBE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14C"/>
    <w:rsid w:val="00076234"/>
    <w:rsid w:val="000767F7"/>
    <w:rsid w:val="00076EE9"/>
    <w:rsid w:val="00077C0B"/>
    <w:rsid w:val="00077C46"/>
    <w:rsid w:val="0008000C"/>
    <w:rsid w:val="0008027F"/>
    <w:rsid w:val="0008084D"/>
    <w:rsid w:val="000814ED"/>
    <w:rsid w:val="0008175A"/>
    <w:rsid w:val="0008195B"/>
    <w:rsid w:val="000826F7"/>
    <w:rsid w:val="00082801"/>
    <w:rsid w:val="00082F11"/>
    <w:rsid w:val="000830D4"/>
    <w:rsid w:val="0008325D"/>
    <w:rsid w:val="000834DD"/>
    <w:rsid w:val="00084687"/>
    <w:rsid w:val="00084A57"/>
    <w:rsid w:val="00084BED"/>
    <w:rsid w:val="00084EDB"/>
    <w:rsid w:val="00084FF2"/>
    <w:rsid w:val="0008524D"/>
    <w:rsid w:val="00085572"/>
    <w:rsid w:val="000856E9"/>
    <w:rsid w:val="00086295"/>
    <w:rsid w:val="00086737"/>
    <w:rsid w:val="000874E1"/>
    <w:rsid w:val="0008756B"/>
    <w:rsid w:val="00087DAE"/>
    <w:rsid w:val="00087DB7"/>
    <w:rsid w:val="00087ECE"/>
    <w:rsid w:val="0009025D"/>
    <w:rsid w:val="00090B42"/>
    <w:rsid w:val="00090B9C"/>
    <w:rsid w:val="00090D7B"/>
    <w:rsid w:val="00091474"/>
    <w:rsid w:val="000915F7"/>
    <w:rsid w:val="00092764"/>
    <w:rsid w:val="000928E7"/>
    <w:rsid w:val="0009292F"/>
    <w:rsid w:val="00092F4C"/>
    <w:rsid w:val="00094496"/>
    <w:rsid w:val="00094D76"/>
    <w:rsid w:val="000950E7"/>
    <w:rsid w:val="00095360"/>
    <w:rsid w:val="000955AA"/>
    <w:rsid w:val="000957BC"/>
    <w:rsid w:val="000964AE"/>
    <w:rsid w:val="00096737"/>
    <w:rsid w:val="00096967"/>
    <w:rsid w:val="00097C0A"/>
    <w:rsid w:val="00097D4F"/>
    <w:rsid w:val="000A0344"/>
    <w:rsid w:val="000A0823"/>
    <w:rsid w:val="000A1595"/>
    <w:rsid w:val="000A212D"/>
    <w:rsid w:val="000A21D6"/>
    <w:rsid w:val="000A2F4F"/>
    <w:rsid w:val="000A31EF"/>
    <w:rsid w:val="000A3354"/>
    <w:rsid w:val="000A3733"/>
    <w:rsid w:val="000A3B8F"/>
    <w:rsid w:val="000A43B0"/>
    <w:rsid w:val="000A53E6"/>
    <w:rsid w:val="000A574B"/>
    <w:rsid w:val="000A5B04"/>
    <w:rsid w:val="000A5E2A"/>
    <w:rsid w:val="000A643B"/>
    <w:rsid w:val="000A707A"/>
    <w:rsid w:val="000A78BA"/>
    <w:rsid w:val="000B0710"/>
    <w:rsid w:val="000B13D0"/>
    <w:rsid w:val="000B1812"/>
    <w:rsid w:val="000B1C11"/>
    <w:rsid w:val="000B1D13"/>
    <w:rsid w:val="000B29B8"/>
    <w:rsid w:val="000B2A27"/>
    <w:rsid w:val="000B3679"/>
    <w:rsid w:val="000B433C"/>
    <w:rsid w:val="000B4A6A"/>
    <w:rsid w:val="000B50FB"/>
    <w:rsid w:val="000B515D"/>
    <w:rsid w:val="000B531F"/>
    <w:rsid w:val="000B592D"/>
    <w:rsid w:val="000B5A74"/>
    <w:rsid w:val="000B5FA3"/>
    <w:rsid w:val="000B6AF4"/>
    <w:rsid w:val="000B6AF6"/>
    <w:rsid w:val="000B6CEC"/>
    <w:rsid w:val="000B6E8A"/>
    <w:rsid w:val="000C1051"/>
    <w:rsid w:val="000C1098"/>
    <w:rsid w:val="000C1F04"/>
    <w:rsid w:val="000C2892"/>
    <w:rsid w:val="000C2B3C"/>
    <w:rsid w:val="000C30D7"/>
    <w:rsid w:val="000C3105"/>
    <w:rsid w:val="000C34DD"/>
    <w:rsid w:val="000C37BC"/>
    <w:rsid w:val="000C4103"/>
    <w:rsid w:val="000C4185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DDA"/>
    <w:rsid w:val="000D0ED5"/>
    <w:rsid w:val="000D113E"/>
    <w:rsid w:val="000D1169"/>
    <w:rsid w:val="000D15C5"/>
    <w:rsid w:val="000D28A5"/>
    <w:rsid w:val="000D31C1"/>
    <w:rsid w:val="000D36B2"/>
    <w:rsid w:val="000D39FD"/>
    <w:rsid w:val="000D3A24"/>
    <w:rsid w:val="000D4833"/>
    <w:rsid w:val="000D49D2"/>
    <w:rsid w:val="000D4A88"/>
    <w:rsid w:val="000D4BBC"/>
    <w:rsid w:val="000D4D90"/>
    <w:rsid w:val="000D4E26"/>
    <w:rsid w:val="000D5176"/>
    <w:rsid w:val="000D54F0"/>
    <w:rsid w:val="000D5EDB"/>
    <w:rsid w:val="000D6746"/>
    <w:rsid w:val="000D6C0F"/>
    <w:rsid w:val="000D6F1E"/>
    <w:rsid w:val="000D7A95"/>
    <w:rsid w:val="000D7BBD"/>
    <w:rsid w:val="000D7E73"/>
    <w:rsid w:val="000E03C0"/>
    <w:rsid w:val="000E0654"/>
    <w:rsid w:val="000E10B7"/>
    <w:rsid w:val="000E15D1"/>
    <w:rsid w:val="000E1928"/>
    <w:rsid w:val="000E19B3"/>
    <w:rsid w:val="000E1FDA"/>
    <w:rsid w:val="000E2970"/>
    <w:rsid w:val="000E2F5B"/>
    <w:rsid w:val="000E378F"/>
    <w:rsid w:val="000E3CC1"/>
    <w:rsid w:val="000E5331"/>
    <w:rsid w:val="000E5526"/>
    <w:rsid w:val="000E5D6B"/>
    <w:rsid w:val="000E5FE0"/>
    <w:rsid w:val="000E6513"/>
    <w:rsid w:val="000E6D5D"/>
    <w:rsid w:val="000E7BD9"/>
    <w:rsid w:val="000F04B7"/>
    <w:rsid w:val="000F05D5"/>
    <w:rsid w:val="000F1DEB"/>
    <w:rsid w:val="000F2C78"/>
    <w:rsid w:val="000F3491"/>
    <w:rsid w:val="000F3ADD"/>
    <w:rsid w:val="000F3DE6"/>
    <w:rsid w:val="000F44E7"/>
    <w:rsid w:val="000F49F1"/>
    <w:rsid w:val="000F4C41"/>
    <w:rsid w:val="000F4FA7"/>
    <w:rsid w:val="000F536A"/>
    <w:rsid w:val="000F541D"/>
    <w:rsid w:val="000F5AD1"/>
    <w:rsid w:val="000F69C1"/>
    <w:rsid w:val="000F69FA"/>
    <w:rsid w:val="000F7577"/>
    <w:rsid w:val="000F7974"/>
    <w:rsid w:val="000F7ECD"/>
    <w:rsid w:val="000F7FB5"/>
    <w:rsid w:val="00100317"/>
    <w:rsid w:val="0010056E"/>
    <w:rsid w:val="001011EC"/>
    <w:rsid w:val="001017C1"/>
    <w:rsid w:val="00101A54"/>
    <w:rsid w:val="00101E92"/>
    <w:rsid w:val="00101F40"/>
    <w:rsid w:val="00101F61"/>
    <w:rsid w:val="00103847"/>
    <w:rsid w:val="00103913"/>
    <w:rsid w:val="00105234"/>
    <w:rsid w:val="00105740"/>
    <w:rsid w:val="00105AA0"/>
    <w:rsid w:val="00105E2B"/>
    <w:rsid w:val="0010619C"/>
    <w:rsid w:val="001061DC"/>
    <w:rsid w:val="0010664D"/>
    <w:rsid w:val="00107284"/>
    <w:rsid w:val="00110510"/>
    <w:rsid w:val="0011076D"/>
    <w:rsid w:val="00110A4A"/>
    <w:rsid w:val="00110DB1"/>
    <w:rsid w:val="00110DF0"/>
    <w:rsid w:val="0011111A"/>
    <w:rsid w:val="001114D0"/>
    <w:rsid w:val="00111703"/>
    <w:rsid w:val="00111AA3"/>
    <w:rsid w:val="00111EB2"/>
    <w:rsid w:val="00111F29"/>
    <w:rsid w:val="00112A0B"/>
    <w:rsid w:val="00112C7F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F84"/>
    <w:rsid w:val="00117D7A"/>
    <w:rsid w:val="00120112"/>
    <w:rsid w:val="00120C37"/>
    <w:rsid w:val="00120DCB"/>
    <w:rsid w:val="00120EA1"/>
    <w:rsid w:val="0012181E"/>
    <w:rsid w:val="00122048"/>
    <w:rsid w:val="001228A0"/>
    <w:rsid w:val="0012296B"/>
    <w:rsid w:val="00123157"/>
    <w:rsid w:val="00123408"/>
    <w:rsid w:val="00123EFF"/>
    <w:rsid w:val="001241F7"/>
    <w:rsid w:val="00124D1A"/>
    <w:rsid w:val="001251AF"/>
    <w:rsid w:val="0012562E"/>
    <w:rsid w:val="00125654"/>
    <w:rsid w:val="00125D0D"/>
    <w:rsid w:val="00125D9D"/>
    <w:rsid w:val="001263E8"/>
    <w:rsid w:val="00126B6E"/>
    <w:rsid w:val="00127810"/>
    <w:rsid w:val="001301E6"/>
    <w:rsid w:val="001304F2"/>
    <w:rsid w:val="001305B7"/>
    <w:rsid w:val="00130C4C"/>
    <w:rsid w:val="001313EB"/>
    <w:rsid w:val="00131869"/>
    <w:rsid w:val="0013222E"/>
    <w:rsid w:val="001323BB"/>
    <w:rsid w:val="00132A32"/>
    <w:rsid w:val="001345AB"/>
    <w:rsid w:val="00134904"/>
    <w:rsid w:val="001349AB"/>
    <w:rsid w:val="00134F49"/>
    <w:rsid w:val="00134F4E"/>
    <w:rsid w:val="00134FB0"/>
    <w:rsid w:val="00134FBC"/>
    <w:rsid w:val="001350AC"/>
    <w:rsid w:val="001352EC"/>
    <w:rsid w:val="00135E0B"/>
    <w:rsid w:val="00135F34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D3A"/>
    <w:rsid w:val="00144829"/>
    <w:rsid w:val="0014535F"/>
    <w:rsid w:val="00145C2D"/>
    <w:rsid w:val="00145F65"/>
    <w:rsid w:val="001460E0"/>
    <w:rsid w:val="001462E7"/>
    <w:rsid w:val="00146902"/>
    <w:rsid w:val="00146DFA"/>
    <w:rsid w:val="0014714F"/>
    <w:rsid w:val="00147278"/>
    <w:rsid w:val="0015018D"/>
    <w:rsid w:val="00150228"/>
    <w:rsid w:val="001502C3"/>
    <w:rsid w:val="001504E8"/>
    <w:rsid w:val="00150536"/>
    <w:rsid w:val="00150596"/>
    <w:rsid w:val="00150E7A"/>
    <w:rsid w:val="001532F7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5A48"/>
    <w:rsid w:val="0015603F"/>
    <w:rsid w:val="00156BEF"/>
    <w:rsid w:val="0015755C"/>
    <w:rsid w:val="001600C9"/>
    <w:rsid w:val="00160308"/>
    <w:rsid w:val="0016052B"/>
    <w:rsid w:val="00160867"/>
    <w:rsid w:val="00160957"/>
    <w:rsid w:val="00160B56"/>
    <w:rsid w:val="0016159C"/>
    <w:rsid w:val="00161833"/>
    <w:rsid w:val="00161E62"/>
    <w:rsid w:val="00162793"/>
    <w:rsid w:val="00162797"/>
    <w:rsid w:val="00162A20"/>
    <w:rsid w:val="00162C58"/>
    <w:rsid w:val="00163301"/>
    <w:rsid w:val="0016464B"/>
    <w:rsid w:val="001648BC"/>
    <w:rsid w:val="00164A84"/>
    <w:rsid w:val="00164CD1"/>
    <w:rsid w:val="001655BD"/>
    <w:rsid w:val="00165810"/>
    <w:rsid w:val="00165E36"/>
    <w:rsid w:val="00165F6B"/>
    <w:rsid w:val="0016614B"/>
    <w:rsid w:val="001665FD"/>
    <w:rsid w:val="00167A72"/>
    <w:rsid w:val="00167D2F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ECB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10"/>
    <w:rsid w:val="00177026"/>
    <w:rsid w:val="00177187"/>
    <w:rsid w:val="001773BC"/>
    <w:rsid w:val="00177648"/>
    <w:rsid w:val="00177EAB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034"/>
    <w:rsid w:val="001845FA"/>
    <w:rsid w:val="0018522B"/>
    <w:rsid w:val="001854A8"/>
    <w:rsid w:val="00185D40"/>
    <w:rsid w:val="00186C17"/>
    <w:rsid w:val="00190180"/>
    <w:rsid w:val="00190A43"/>
    <w:rsid w:val="00190D0B"/>
    <w:rsid w:val="001911C9"/>
    <w:rsid w:val="001912FB"/>
    <w:rsid w:val="00191608"/>
    <w:rsid w:val="00191664"/>
    <w:rsid w:val="00191A8C"/>
    <w:rsid w:val="00192065"/>
    <w:rsid w:val="0019276B"/>
    <w:rsid w:val="001941AA"/>
    <w:rsid w:val="00194F73"/>
    <w:rsid w:val="00194F86"/>
    <w:rsid w:val="0019579A"/>
    <w:rsid w:val="00195EC2"/>
    <w:rsid w:val="00195F99"/>
    <w:rsid w:val="00196B54"/>
    <w:rsid w:val="001A016C"/>
    <w:rsid w:val="001A0422"/>
    <w:rsid w:val="001A0556"/>
    <w:rsid w:val="001A102F"/>
    <w:rsid w:val="001A1A27"/>
    <w:rsid w:val="001A1ED0"/>
    <w:rsid w:val="001A2954"/>
    <w:rsid w:val="001A3152"/>
    <w:rsid w:val="001A35A6"/>
    <w:rsid w:val="001A368A"/>
    <w:rsid w:val="001A3714"/>
    <w:rsid w:val="001A3963"/>
    <w:rsid w:val="001A41DF"/>
    <w:rsid w:val="001A4222"/>
    <w:rsid w:val="001A43F5"/>
    <w:rsid w:val="001A4E0E"/>
    <w:rsid w:val="001A4E8C"/>
    <w:rsid w:val="001A4EF7"/>
    <w:rsid w:val="001A4F6E"/>
    <w:rsid w:val="001A5283"/>
    <w:rsid w:val="001A5ABD"/>
    <w:rsid w:val="001A5CE0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1B68"/>
    <w:rsid w:val="001B253D"/>
    <w:rsid w:val="001B277C"/>
    <w:rsid w:val="001B2C6A"/>
    <w:rsid w:val="001B2F19"/>
    <w:rsid w:val="001B35ED"/>
    <w:rsid w:val="001B369D"/>
    <w:rsid w:val="001B41BE"/>
    <w:rsid w:val="001B450E"/>
    <w:rsid w:val="001B46DB"/>
    <w:rsid w:val="001B4F75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0AE"/>
    <w:rsid w:val="001C212F"/>
    <w:rsid w:val="001C226A"/>
    <w:rsid w:val="001C236E"/>
    <w:rsid w:val="001C25AA"/>
    <w:rsid w:val="001C29E7"/>
    <w:rsid w:val="001C32C6"/>
    <w:rsid w:val="001C3BDD"/>
    <w:rsid w:val="001C3E2D"/>
    <w:rsid w:val="001C47BD"/>
    <w:rsid w:val="001C48C7"/>
    <w:rsid w:val="001C4A9E"/>
    <w:rsid w:val="001C5154"/>
    <w:rsid w:val="001C5BD0"/>
    <w:rsid w:val="001C63C5"/>
    <w:rsid w:val="001C6CAB"/>
    <w:rsid w:val="001C6CC1"/>
    <w:rsid w:val="001C7130"/>
    <w:rsid w:val="001C7E70"/>
    <w:rsid w:val="001D0068"/>
    <w:rsid w:val="001D01C6"/>
    <w:rsid w:val="001D05A9"/>
    <w:rsid w:val="001D092F"/>
    <w:rsid w:val="001D1AC6"/>
    <w:rsid w:val="001D1AEF"/>
    <w:rsid w:val="001D1D31"/>
    <w:rsid w:val="001D244E"/>
    <w:rsid w:val="001D24F1"/>
    <w:rsid w:val="001D2BBD"/>
    <w:rsid w:val="001D3AD1"/>
    <w:rsid w:val="001D3EF7"/>
    <w:rsid w:val="001D478B"/>
    <w:rsid w:val="001D4970"/>
    <w:rsid w:val="001D5403"/>
    <w:rsid w:val="001D5F02"/>
    <w:rsid w:val="001D6186"/>
    <w:rsid w:val="001D62AF"/>
    <w:rsid w:val="001D637E"/>
    <w:rsid w:val="001D643F"/>
    <w:rsid w:val="001D6652"/>
    <w:rsid w:val="001D69E5"/>
    <w:rsid w:val="001D6AE8"/>
    <w:rsid w:val="001D6B3D"/>
    <w:rsid w:val="001D7104"/>
    <w:rsid w:val="001E016D"/>
    <w:rsid w:val="001E01B3"/>
    <w:rsid w:val="001E075F"/>
    <w:rsid w:val="001E0933"/>
    <w:rsid w:val="001E0B42"/>
    <w:rsid w:val="001E14E8"/>
    <w:rsid w:val="001E1627"/>
    <w:rsid w:val="001E18BD"/>
    <w:rsid w:val="001E1DBA"/>
    <w:rsid w:val="001E1EF2"/>
    <w:rsid w:val="001E274D"/>
    <w:rsid w:val="001E290B"/>
    <w:rsid w:val="001E385F"/>
    <w:rsid w:val="001E39E4"/>
    <w:rsid w:val="001E3B8B"/>
    <w:rsid w:val="001E490C"/>
    <w:rsid w:val="001E4C68"/>
    <w:rsid w:val="001E50FD"/>
    <w:rsid w:val="001E5310"/>
    <w:rsid w:val="001E59DC"/>
    <w:rsid w:val="001E5DD7"/>
    <w:rsid w:val="001E5EEE"/>
    <w:rsid w:val="001E6129"/>
    <w:rsid w:val="001E7358"/>
    <w:rsid w:val="001E7777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50D"/>
    <w:rsid w:val="001F2740"/>
    <w:rsid w:val="001F2A04"/>
    <w:rsid w:val="001F2C3A"/>
    <w:rsid w:val="001F3531"/>
    <w:rsid w:val="001F3696"/>
    <w:rsid w:val="001F42FF"/>
    <w:rsid w:val="001F44B4"/>
    <w:rsid w:val="001F44D3"/>
    <w:rsid w:val="001F4510"/>
    <w:rsid w:val="001F5572"/>
    <w:rsid w:val="001F58D3"/>
    <w:rsid w:val="001F5C4E"/>
    <w:rsid w:val="001F65A4"/>
    <w:rsid w:val="001F65E0"/>
    <w:rsid w:val="001F6EE3"/>
    <w:rsid w:val="001F702F"/>
    <w:rsid w:val="001F7362"/>
    <w:rsid w:val="001F7AE9"/>
    <w:rsid w:val="001F7CFD"/>
    <w:rsid w:val="002009DA"/>
    <w:rsid w:val="002011D5"/>
    <w:rsid w:val="00201C2D"/>
    <w:rsid w:val="00203367"/>
    <w:rsid w:val="002042DC"/>
    <w:rsid w:val="00204438"/>
    <w:rsid w:val="002047A0"/>
    <w:rsid w:val="00204A44"/>
    <w:rsid w:val="00206147"/>
    <w:rsid w:val="002064F3"/>
    <w:rsid w:val="002069A8"/>
    <w:rsid w:val="00206EE7"/>
    <w:rsid w:val="0020789A"/>
    <w:rsid w:val="00207C83"/>
    <w:rsid w:val="00210869"/>
    <w:rsid w:val="002116AD"/>
    <w:rsid w:val="00211999"/>
    <w:rsid w:val="002123A4"/>
    <w:rsid w:val="002126CD"/>
    <w:rsid w:val="00213773"/>
    <w:rsid w:val="00213B0E"/>
    <w:rsid w:val="00213CBC"/>
    <w:rsid w:val="002141FB"/>
    <w:rsid w:val="002146CA"/>
    <w:rsid w:val="002147D6"/>
    <w:rsid w:val="00214D0B"/>
    <w:rsid w:val="0021575B"/>
    <w:rsid w:val="00215783"/>
    <w:rsid w:val="0021669B"/>
    <w:rsid w:val="00216876"/>
    <w:rsid w:val="00217E5F"/>
    <w:rsid w:val="0022018A"/>
    <w:rsid w:val="00220ADA"/>
    <w:rsid w:val="00220B7B"/>
    <w:rsid w:val="0022180E"/>
    <w:rsid w:val="00221E2B"/>
    <w:rsid w:val="002220BA"/>
    <w:rsid w:val="002227B3"/>
    <w:rsid w:val="00222960"/>
    <w:rsid w:val="00222CE3"/>
    <w:rsid w:val="002235D7"/>
    <w:rsid w:val="002239C4"/>
    <w:rsid w:val="00224617"/>
    <w:rsid w:val="00225591"/>
    <w:rsid w:val="00225690"/>
    <w:rsid w:val="0022574F"/>
    <w:rsid w:val="0022593A"/>
    <w:rsid w:val="00225B3F"/>
    <w:rsid w:val="00225B52"/>
    <w:rsid w:val="00225C9C"/>
    <w:rsid w:val="00225CE3"/>
    <w:rsid w:val="002260D7"/>
    <w:rsid w:val="00226B17"/>
    <w:rsid w:val="00226F30"/>
    <w:rsid w:val="0022712B"/>
    <w:rsid w:val="0022758C"/>
    <w:rsid w:val="002276A4"/>
    <w:rsid w:val="002276E6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2ADD"/>
    <w:rsid w:val="00233307"/>
    <w:rsid w:val="00233A7D"/>
    <w:rsid w:val="0023482B"/>
    <w:rsid w:val="0023482C"/>
    <w:rsid w:val="00234AA4"/>
    <w:rsid w:val="00234C7F"/>
    <w:rsid w:val="00234E62"/>
    <w:rsid w:val="00234F8F"/>
    <w:rsid w:val="00235CD9"/>
    <w:rsid w:val="0023658F"/>
    <w:rsid w:val="00236872"/>
    <w:rsid w:val="00236890"/>
    <w:rsid w:val="002368C0"/>
    <w:rsid w:val="00236CC2"/>
    <w:rsid w:val="00236CDE"/>
    <w:rsid w:val="0023763A"/>
    <w:rsid w:val="00237D7D"/>
    <w:rsid w:val="00240236"/>
    <w:rsid w:val="002404D1"/>
    <w:rsid w:val="002405C8"/>
    <w:rsid w:val="00240ECB"/>
    <w:rsid w:val="002415DA"/>
    <w:rsid w:val="00241857"/>
    <w:rsid w:val="0024285E"/>
    <w:rsid w:val="00242D86"/>
    <w:rsid w:val="00242F79"/>
    <w:rsid w:val="00242FA8"/>
    <w:rsid w:val="0024310E"/>
    <w:rsid w:val="00243204"/>
    <w:rsid w:val="00243AC5"/>
    <w:rsid w:val="00243B5C"/>
    <w:rsid w:val="0024405D"/>
    <w:rsid w:val="00244330"/>
    <w:rsid w:val="00244516"/>
    <w:rsid w:val="002449A0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2A"/>
    <w:rsid w:val="00250FD5"/>
    <w:rsid w:val="00251167"/>
    <w:rsid w:val="002511BA"/>
    <w:rsid w:val="00252168"/>
    <w:rsid w:val="00252199"/>
    <w:rsid w:val="002526B9"/>
    <w:rsid w:val="00252DD3"/>
    <w:rsid w:val="0025369E"/>
    <w:rsid w:val="0025394F"/>
    <w:rsid w:val="00253B97"/>
    <w:rsid w:val="002544CB"/>
    <w:rsid w:val="00254724"/>
    <w:rsid w:val="0025563F"/>
    <w:rsid w:val="00255D8E"/>
    <w:rsid w:val="00256584"/>
    <w:rsid w:val="00256B78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A6C"/>
    <w:rsid w:val="00261BF2"/>
    <w:rsid w:val="002629E2"/>
    <w:rsid w:val="00262BA8"/>
    <w:rsid w:val="00262BC8"/>
    <w:rsid w:val="00262C2C"/>
    <w:rsid w:val="002641D9"/>
    <w:rsid w:val="002643C5"/>
    <w:rsid w:val="00264917"/>
    <w:rsid w:val="002651EC"/>
    <w:rsid w:val="00265DC2"/>
    <w:rsid w:val="00266227"/>
    <w:rsid w:val="0026638C"/>
    <w:rsid w:val="0026680B"/>
    <w:rsid w:val="00266F00"/>
    <w:rsid w:val="002670EF"/>
    <w:rsid w:val="002671A2"/>
    <w:rsid w:val="002677D0"/>
    <w:rsid w:val="00267A38"/>
    <w:rsid w:val="00267EDC"/>
    <w:rsid w:val="00267F5F"/>
    <w:rsid w:val="00270867"/>
    <w:rsid w:val="00270965"/>
    <w:rsid w:val="00271E5D"/>
    <w:rsid w:val="00272082"/>
    <w:rsid w:val="0027349D"/>
    <w:rsid w:val="00273516"/>
    <w:rsid w:val="00273985"/>
    <w:rsid w:val="00273B82"/>
    <w:rsid w:val="00273B8A"/>
    <w:rsid w:val="00273E7A"/>
    <w:rsid w:val="00274372"/>
    <w:rsid w:val="0027475A"/>
    <w:rsid w:val="002750C5"/>
    <w:rsid w:val="00275671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37A"/>
    <w:rsid w:val="00283B7F"/>
    <w:rsid w:val="0028444E"/>
    <w:rsid w:val="0028468D"/>
    <w:rsid w:val="0028470C"/>
    <w:rsid w:val="00284B5F"/>
    <w:rsid w:val="0028596B"/>
    <w:rsid w:val="00285F22"/>
    <w:rsid w:val="00285FB9"/>
    <w:rsid w:val="00286219"/>
    <w:rsid w:val="00286A03"/>
    <w:rsid w:val="00286D20"/>
    <w:rsid w:val="00286D8A"/>
    <w:rsid w:val="00287514"/>
    <w:rsid w:val="0028791B"/>
    <w:rsid w:val="00287E44"/>
    <w:rsid w:val="00287F79"/>
    <w:rsid w:val="002900A9"/>
    <w:rsid w:val="00290C43"/>
    <w:rsid w:val="00290C90"/>
    <w:rsid w:val="00291283"/>
    <w:rsid w:val="002916DB"/>
    <w:rsid w:val="0029190A"/>
    <w:rsid w:val="00293271"/>
    <w:rsid w:val="00293587"/>
    <w:rsid w:val="00293896"/>
    <w:rsid w:val="00293ED1"/>
    <w:rsid w:val="00293F81"/>
    <w:rsid w:val="0029407F"/>
    <w:rsid w:val="00294A06"/>
    <w:rsid w:val="00294FFB"/>
    <w:rsid w:val="00295357"/>
    <w:rsid w:val="002954FD"/>
    <w:rsid w:val="00296242"/>
    <w:rsid w:val="00296CE6"/>
    <w:rsid w:val="002973DF"/>
    <w:rsid w:val="002978A2"/>
    <w:rsid w:val="00297D6A"/>
    <w:rsid w:val="002A0190"/>
    <w:rsid w:val="002A0983"/>
    <w:rsid w:val="002A0AB4"/>
    <w:rsid w:val="002A0BF5"/>
    <w:rsid w:val="002A1128"/>
    <w:rsid w:val="002A12E5"/>
    <w:rsid w:val="002A158C"/>
    <w:rsid w:val="002A22D5"/>
    <w:rsid w:val="002A24EB"/>
    <w:rsid w:val="002A2C5E"/>
    <w:rsid w:val="002A2D66"/>
    <w:rsid w:val="002A37FC"/>
    <w:rsid w:val="002A428E"/>
    <w:rsid w:val="002A46FA"/>
    <w:rsid w:val="002A5227"/>
    <w:rsid w:val="002A5493"/>
    <w:rsid w:val="002A57BC"/>
    <w:rsid w:val="002A581C"/>
    <w:rsid w:val="002A7CC5"/>
    <w:rsid w:val="002B00FE"/>
    <w:rsid w:val="002B03EC"/>
    <w:rsid w:val="002B0E27"/>
    <w:rsid w:val="002B0E4C"/>
    <w:rsid w:val="002B10B6"/>
    <w:rsid w:val="002B10D3"/>
    <w:rsid w:val="002B1113"/>
    <w:rsid w:val="002B1867"/>
    <w:rsid w:val="002B1EA3"/>
    <w:rsid w:val="002B2A55"/>
    <w:rsid w:val="002B2CF1"/>
    <w:rsid w:val="002B2DA9"/>
    <w:rsid w:val="002B30C8"/>
    <w:rsid w:val="002B31FA"/>
    <w:rsid w:val="002B33D5"/>
    <w:rsid w:val="002B3A06"/>
    <w:rsid w:val="002B4552"/>
    <w:rsid w:val="002B4C84"/>
    <w:rsid w:val="002B5746"/>
    <w:rsid w:val="002B60A9"/>
    <w:rsid w:val="002B63D3"/>
    <w:rsid w:val="002B6815"/>
    <w:rsid w:val="002B6AB1"/>
    <w:rsid w:val="002B71D1"/>
    <w:rsid w:val="002B7D3C"/>
    <w:rsid w:val="002C0144"/>
    <w:rsid w:val="002C0CAC"/>
    <w:rsid w:val="002C1F28"/>
    <w:rsid w:val="002C254B"/>
    <w:rsid w:val="002C25DE"/>
    <w:rsid w:val="002C27E8"/>
    <w:rsid w:val="002C2ACB"/>
    <w:rsid w:val="002C2EE4"/>
    <w:rsid w:val="002C2F60"/>
    <w:rsid w:val="002C3CB7"/>
    <w:rsid w:val="002C41CB"/>
    <w:rsid w:val="002C5811"/>
    <w:rsid w:val="002C58F1"/>
    <w:rsid w:val="002C5A8C"/>
    <w:rsid w:val="002C5C58"/>
    <w:rsid w:val="002C6A1A"/>
    <w:rsid w:val="002C6B67"/>
    <w:rsid w:val="002C73EE"/>
    <w:rsid w:val="002C7660"/>
    <w:rsid w:val="002C7718"/>
    <w:rsid w:val="002C77DB"/>
    <w:rsid w:val="002C77F7"/>
    <w:rsid w:val="002C79D3"/>
    <w:rsid w:val="002C7A50"/>
    <w:rsid w:val="002C7CD4"/>
    <w:rsid w:val="002D0321"/>
    <w:rsid w:val="002D0952"/>
    <w:rsid w:val="002D0E7A"/>
    <w:rsid w:val="002D155B"/>
    <w:rsid w:val="002D1AD3"/>
    <w:rsid w:val="002D32A8"/>
    <w:rsid w:val="002D40A5"/>
    <w:rsid w:val="002D46CA"/>
    <w:rsid w:val="002D4734"/>
    <w:rsid w:val="002D476C"/>
    <w:rsid w:val="002D48E1"/>
    <w:rsid w:val="002D4CA6"/>
    <w:rsid w:val="002D61C8"/>
    <w:rsid w:val="002D629E"/>
    <w:rsid w:val="002D6AD3"/>
    <w:rsid w:val="002D6E9A"/>
    <w:rsid w:val="002D726B"/>
    <w:rsid w:val="002D75DB"/>
    <w:rsid w:val="002E0067"/>
    <w:rsid w:val="002E02D0"/>
    <w:rsid w:val="002E0489"/>
    <w:rsid w:val="002E04C0"/>
    <w:rsid w:val="002E0544"/>
    <w:rsid w:val="002E0C15"/>
    <w:rsid w:val="002E10A3"/>
    <w:rsid w:val="002E1177"/>
    <w:rsid w:val="002E1480"/>
    <w:rsid w:val="002E1DF4"/>
    <w:rsid w:val="002E2C3B"/>
    <w:rsid w:val="002E3C37"/>
    <w:rsid w:val="002E4BA7"/>
    <w:rsid w:val="002E4D3D"/>
    <w:rsid w:val="002E57C8"/>
    <w:rsid w:val="002E5CA7"/>
    <w:rsid w:val="002E668B"/>
    <w:rsid w:val="002E6BE2"/>
    <w:rsid w:val="002E6FF8"/>
    <w:rsid w:val="002E7235"/>
    <w:rsid w:val="002E7DEA"/>
    <w:rsid w:val="002F0276"/>
    <w:rsid w:val="002F06D4"/>
    <w:rsid w:val="002F10E7"/>
    <w:rsid w:val="002F11F9"/>
    <w:rsid w:val="002F1274"/>
    <w:rsid w:val="002F13E0"/>
    <w:rsid w:val="002F16CB"/>
    <w:rsid w:val="002F1742"/>
    <w:rsid w:val="002F189D"/>
    <w:rsid w:val="002F1AB0"/>
    <w:rsid w:val="002F1CE6"/>
    <w:rsid w:val="002F1F70"/>
    <w:rsid w:val="002F3C64"/>
    <w:rsid w:val="002F4295"/>
    <w:rsid w:val="002F4431"/>
    <w:rsid w:val="002F47E7"/>
    <w:rsid w:val="002F4D9C"/>
    <w:rsid w:val="002F510D"/>
    <w:rsid w:val="002F55DA"/>
    <w:rsid w:val="002F580E"/>
    <w:rsid w:val="002F5F61"/>
    <w:rsid w:val="00300081"/>
    <w:rsid w:val="003000F0"/>
    <w:rsid w:val="0030023E"/>
    <w:rsid w:val="0030059B"/>
    <w:rsid w:val="00300FC5"/>
    <w:rsid w:val="00301277"/>
    <w:rsid w:val="003012FA"/>
    <w:rsid w:val="00301837"/>
    <w:rsid w:val="003019CD"/>
    <w:rsid w:val="0030341B"/>
    <w:rsid w:val="003034D2"/>
    <w:rsid w:val="0030373E"/>
    <w:rsid w:val="00303A1B"/>
    <w:rsid w:val="00303D47"/>
    <w:rsid w:val="00303DF0"/>
    <w:rsid w:val="003045BE"/>
    <w:rsid w:val="0030521F"/>
    <w:rsid w:val="00305F53"/>
    <w:rsid w:val="003060F3"/>
    <w:rsid w:val="0030612A"/>
    <w:rsid w:val="003064C4"/>
    <w:rsid w:val="003068EC"/>
    <w:rsid w:val="00306C01"/>
    <w:rsid w:val="003073B5"/>
    <w:rsid w:val="0030759B"/>
    <w:rsid w:val="003076C4"/>
    <w:rsid w:val="003079A6"/>
    <w:rsid w:val="003106C8"/>
    <w:rsid w:val="00310A57"/>
    <w:rsid w:val="00310E3F"/>
    <w:rsid w:val="00311270"/>
    <w:rsid w:val="0031175D"/>
    <w:rsid w:val="003119DD"/>
    <w:rsid w:val="00312297"/>
    <w:rsid w:val="00312326"/>
    <w:rsid w:val="00312A1F"/>
    <w:rsid w:val="00312DDE"/>
    <w:rsid w:val="00313367"/>
    <w:rsid w:val="0031354F"/>
    <w:rsid w:val="003136EF"/>
    <w:rsid w:val="00313893"/>
    <w:rsid w:val="00314614"/>
    <w:rsid w:val="00314739"/>
    <w:rsid w:val="00314773"/>
    <w:rsid w:val="00314F8A"/>
    <w:rsid w:val="003151F3"/>
    <w:rsid w:val="003152FA"/>
    <w:rsid w:val="003154DB"/>
    <w:rsid w:val="003156DB"/>
    <w:rsid w:val="003163FB"/>
    <w:rsid w:val="00316779"/>
    <w:rsid w:val="00316BCD"/>
    <w:rsid w:val="00317242"/>
    <w:rsid w:val="003173FA"/>
    <w:rsid w:val="00317DA5"/>
    <w:rsid w:val="00317DF9"/>
    <w:rsid w:val="003201C8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39DB"/>
    <w:rsid w:val="00324FF5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751"/>
    <w:rsid w:val="00330A9B"/>
    <w:rsid w:val="00330B86"/>
    <w:rsid w:val="00330DB5"/>
    <w:rsid w:val="00331306"/>
    <w:rsid w:val="00331659"/>
    <w:rsid w:val="003319C5"/>
    <w:rsid w:val="00331A58"/>
    <w:rsid w:val="003320F9"/>
    <w:rsid w:val="003327BD"/>
    <w:rsid w:val="003338C9"/>
    <w:rsid w:val="003338EB"/>
    <w:rsid w:val="00334446"/>
    <w:rsid w:val="0033444C"/>
    <w:rsid w:val="00334725"/>
    <w:rsid w:val="00334A38"/>
    <w:rsid w:val="00334AF1"/>
    <w:rsid w:val="0033515F"/>
    <w:rsid w:val="003353D5"/>
    <w:rsid w:val="00335797"/>
    <w:rsid w:val="00335A53"/>
    <w:rsid w:val="00336FA8"/>
    <w:rsid w:val="003376EC"/>
    <w:rsid w:val="003379A4"/>
    <w:rsid w:val="00337BB0"/>
    <w:rsid w:val="00337CB6"/>
    <w:rsid w:val="003403AE"/>
    <w:rsid w:val="003409BD"/>
    <w:rsid w:val="0034111B"/>
    <w:rsid w:val="0034244F"/>
    <w:rsid w:val="00342559"/>
    <w:rsid w:val="00342D1A"/>
    <w:rsid w:val="0034339B"/>
    <w:rsid w:val="003434BD"/>
    <w:rsid w:val="00343860"/>
    <w:rsid w:val="00343AB5"/>
    <w:rsid w:val="00344705"/>
    <w:rsid w:val="00344CEF"/>
    <w:rsid w:val="00344F44"/>
    <w:rsid w:val="0034511C"/>
    <w:rsid w:val="00345191"/>
    <w:rsid w:val="0034550A"/>
    <w:rsid w:val="00345512"/>
    <w:rsid w:val="00345B7B"/>
    <w:rsid w:val="0034620C"/>
    <w:rsid w:val="00346579"/>
    <w:rsid w:val="00346583"/>
    <w:rsid w:val="00346C50"/>
    <w:rsid w:val="003474B3"/>
    <w:rsid w:val="00347683"/>
    <w:rsid w:val="00347A1B"/>
    <w:rsid w:val="00347B5C"/>
    <w:rsid w:val="00347CA3"/>
    <w:rsid w:val="00347F9F"/>
    <w:rsid w:val="003504A0"/>
    <w:rsid w:val="003509A4"/>
    <w:rsid w:val="00351032"/>
    <w:rsid w:val="003513CE"/>
    <w:rsid w:val="0035149A"/>
    <w:rsid w:val="00351668"/>
    <w:rsid w:val="003516F2"/>
    <w:rsid w:val="00351D1A"/>
    <w:rsid w:val="00352775"/>
    <w:rsid w:val="00352F14"/>
    <w:rsid w:val="003530B3"/>
    <w:rsid w:val="0035546F"/>
    <w:rsid w:val="003554BD"/>
    <w:rsid w:val="003554CE"/>
    <w:rsid w:val="003559AD"/>
    <w:rsid w:val="00355E32"/>
    <w:rsid w:val="00356586"/>
    <w:rsid w:val="00356792"/>
    <w:rsid w:val="003571E2"/>
    <w:rsid w:val="0036034B"/>
    <w:rsid w:val="003607D7"/>
    <w:rsid w:val="00360A82"/>
    <w:rsid w:val="00361062"/>
    <w:rsid w:val="003610F5"/>
    <w:rsid w:val="003616F4"/>
    <w:rsid w:val="00361BC8"/>
    <w:rsid w:val="00362B5E"/>
    <w:rsid w:val="00363448"/>
    <w:rsid w:val="003638E9"/>
    <w:rsid w:val="003643A5"/>
    <w:rsid w:val="0036484D"/>
    <w:rsid w:val="00364D97"/>
    <w:rsid w:val="00364F95"/>
    <w:rsid w:val="0036533F"/>
    <w:rsid w:val="00365370"/>
    <w:rsid w:val="00365D24"/>
    <w:rsid w:val="003661C9"/>
    <w:rsid w:val="00366356"/>
    <w:rsid w:val="0036693A"/>
    <w:rsid w:val="00366947"/>
    <w:rsid w:val="00366AFA"/>
    <w:rsid w:val="00366C31"/>
    <w:rsid w:val="00366E4E"/>
    <w:rsid w:val="003676E5"/>
    <w:rsid w:val="003676EA"/>
    <w:rsid w:val="00367886"/>
    <w:rsid w:val="00367AD9"/>
    <w:rsid w:val="00367CC7"/>
    <w:rsid w:val="00367F19"/>
    <w:rsid w:val="00370219"/>
    <w:rsid w:val="0037051E"/>
    <w:rsid w:val="00370859"/>
    <w:rsid w:val="00370A0E"/>
    <w:rsid w:val="00371208"/>
    <w:rsid w:val="003718D9"/>
    <w:rsid w:val="0037207D"/>
    <w:rsid w:val="00372389"/>
    <w:rsid w:val="00372564"/>
    <w:rsid w:val="00372644"/>
    <w:rsid w:val="0037334A"/>
    <w:rsid w:val="003734B3"/>
    <w:rsid w:val="0037443B"/>
    <w:rsid w:val="00374D3E"/>
    <w:rsid w:val="00375820"/>
    <w:rsid w:val="00375907"/>
    <w:rsid w:val="00375B14"/>
    <w:rsid w:val="00375D85"/>
    <w:rsid w:val="00375FDA"/>
    <w:rsid w:val="003760FD"/>
    <w:rsid w:val="0037644B"/>
    <w:rsid w:val="003769D5"/>
    <w:rsid w:val="00377475"/>
    <w:rsid w:val="003774D9"/>
    <w:rsid w:val="00377A6A"/>
    <w:rsid w:val="00377A8C"/>
    <w:rsid w:val="0038054C"/>
    <w:rsid w:val="0038061C"/>
    <w:rsid w:val="00381168"/>
    <w:rsid w:val="00381591"/>
    <w:rsid w:val="00381E3D"/>
    <w:rsid w:val="003825F4"/>
    <w:rsid w:val="00382985"/>
    <w:rsid w:val="00382CDA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F5C"/>
    <w:rsid w:val="003866DC"/>
    <w:rsid w:val="00386891"/>
    <w:rsid w:val="00386A21"/>
    <w:rsid w:val="003872C5"/>
    <w:rsid w:val="0038735C"/>
    <w:rsid w:val="003874B4"/>
    <w:rsid w:val="00387631"/>
    <w:rsid w:val="00387745"/>
    <w:rsid w:val="00387823"/>
    <w:rsid w:val="00390044"/>
    <w:rsid w:val="003903FB"/>
    <w:rsid w:val="00390644"/>
    <w:rsid w:val="0039066F"/>
    <w:rsid w:val="00390D50"/>
    <w:rsid w:val="00390EAD"/>
    <w:rsid w:val="00390EAF"/>
    <w:rsid w:val="00391641"/>
    <w:rsid w:val="00391CBB"/>
    <w:rsid w:val="00391D90"/>
    <w:rsid w:val="00391DDE"/>
    <w:rsid w:val="0039208E"/>
    <w:rsid w:val="003923A6"/>
    <w:rsid w:val="0039257A"/>
    <w:rsid w:val="00392C10"/>
    <w:rsid w:val="0039304A"/>
    <w:rsid w:val="00393231"/>
    <w:rsid w:val="0039372B"/>
    <w:rsid w:val="0039383D"/>
    <w:rsid w:val="0039392C"/>
    <w:rsid w:val="00393AD3"/>
    <w:rsid w:val="00394D56"/>
    <w:rsid w:val="00394FE8"/>
    <w:rsid w:val="00395069"/>
    <w:rsid w:val="003955AD"/>
    <w:rsid w:val="00395A0A"/>
    <w:rsid w:val="003966D8"/>
    <w:rsid w:val="00396C46"/>
    <w:rsid w:val="003973DA"/>
    <w:rsid w:val="003977F3"/>
    <w:rsid w:val="00397BF1"/>
    <w:rsid w:val="003A03C5"/>
    <w:rsid w:val="003A0A67"/>
    <w:rsid w:val="003A1273"/>
    <w:rsid w:val="003A1596"/>
    <w:rsid w:val="003A1FEA"/>
    <w:rsid w:val="003A247D"/>
    <w:rsid w:val="003A344A"/>
    <w:rsid w:val="003A3622"/>
    <w:rsid w:val="003A36D4"/>
    <w:rsid w:val="003A3868"/>
    <w:rsid w:val="003A4074"/>
    <w:rsid w:val="003A4139"/>
    <w:rsid w:val="003A495B"/>
    <w:rsid w:val="003A4B2F"/>
    <w:rsid w:val="003A4C4A"/>
    <w:rsid w:val="003A4F9E"/>
    <w:rsid w:val="003A5033"/>
    <w:rsid w:val="003A53AA"/>
    <w:rsid w:val="003A57FD"/>
    <w:rsid w:val="003A5A98"/>
    <w:rsid w:val="003A5EEB"/>
    <w:rsid w:val="003A5EF6"/>
    <w:rsid w:val="003A6BF6"/>
    <w:rsid w:val="003A701E"/>
    <w:rsid w:val="003A7161"/>
    <w:rsid w:val="003A7200"/>
    <w:rsid w:val="003A72F1"/>
    <w:rsid w:val="003A75C6"/>
    <w:rsid w:val="003A79FF"/>
    <w:rsid w:val="003A7DFF"/>
    <w:rsid w:val="003A7F78"/>
    <w:rsid w:val="003B00E9"/>
    <w:rsid w:val="003B02DF"/>
    <w:rsid w:val="003B0A8B"/>
    <w:rsid w:val="003B0BA7"/>
    <w:rsid w:val="003B1083"/>
    <w:rsid w:val="003B12DB"/>
    <w:rsid w:val="003B1B8E"/>
    <w:rsid w:val="003B1C5D"/>
    <w:rsid w:val="003B1EAD"/>
    <w:rsid w:val="003B1F1C"/>
    <w:rsid w:val="003B23A8"/>
    <w:rsid w:val="003B2ED6"/>
    <w:rsid w:val="003B3812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6179"/>
    <w:rsid w:val="003B69D0"/>
    <w:rsid w:val="003B6FBA"/>
    <w:rsid w:val="003B7B4D"/>
    <w:rsid w:val="003C0125"/>
    <w:rsid w:val="003C03F7"/>
    <w:rsid w:val="003C05CD"/>
    <w:rsid w:val="003C0FE5"/>
    <w:rsid w:val="003C1CAF"/>
    <w:rsid w:val="003C22D4"/>
    <w:rsid w:val="003C29AF"/>
    <w:rsid w:val="003C2AC8"/>
    <w:rsid w:val="003C3F73"/>
    <w:rsid w:val="003C40A2"/>
    <w:rsid w:val="003C5519"/>
    <w:rsid w:val="003C5A97"/>
    <w:rsid w:val="003C60AF"/>
    <w:rsid w:val="003C616B"/>
    <w:rsid w:val="003C681D"/>
    <w:rsid w:val="003C6BED"/>
    <w:rsid w:val="003C7965"/>
    <w:rsid w:val="003C7D06"/>
    <w:rsid w:val="003C7EF7"/>
    <w:rsid w:val="003D0152"/>
    <w:rsid w:val="003D0E1F"/>
    <w:rsid w:val="003D1182"/>
    <w:rsid w:val="003D1AE0"/>
    <w:rsid w:val="003D22DA"/>
    <w:rsid w:val="003D3779"/>
    <w:rsid w:val="003D3889"/>
    <w:rsid w:val="003D425A"/>
    <w:rsid w:val="003D4866"/>
    <w:rsid w:val="003D507A"/>
    <w:rsid w:val="003D5729"/>
    <w:rsid w:val="003D6280"/>
    <w:rsid w:val="003D66CB"/>
    <w:rsid w:val="003D687A"/>
    <w:rsid w:val="003D6E45"/>
    <w:rsid w:val="003D7882"/>
    <w:rsid w:val="003D7A2D"/>
    <w:rsid w:val="003D7C91"/>
    <w:rsid w:val="003E043F"/>
    <w:rsid w:val="003E07F1"/>
    <w:rsid w:val="003E0E40"/>
    <w:rsid w:val="003E0E8C"/>
    <w:rsid w:val="003E113F"/>
    <w:rsid w:val="003E1418"/>
    <w:rsid w:val="003E4979"/>
    <w:rsid w:val="003E4B79"/>
    <w:rsid w:val="003E4B85"/>
    <w:rsid w:val="003E581F"/>
    <w:rsid w:val="003E5F16"/>
    <w:rsid w:val="003E634D"/>
    <w:rsid w:val="003E64BB"/>
    <w:rsid w:val="003E6AC1"/>
    <w:rsid w:val="003E704C"/>
    <w:rsid w:val="003E7EEA"/>
    <w:rsid w:val="003F01E7"/>
    <w:rsid w:val="003F18CF"/>
    <w:rsid w:val="003F1AAD"/>
    <w:rsid w:val="003F2BFE"/>
    <w:rsid w:val="003F3A44"/>
    <w:rsid w:val="003F3DAF"/>
    <w:rsid w:val="003F5F0A"/>
    <w:rsid w:val="003F6DF4"/>
    <w:rsid w:val="003F7022"/>
    <w:rsid w:val="003F7263"/>
    <w:rsid w:val="003F7A2D"/>
    <w:rsid w:val="003F7D77"/>
    <w:rsid w:val="003F7FAF"/>
    <w:rsid w:val="004000C8"/>
    <w:rsid w:val="00400896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39FF"/>
    <w:rsid w:val="004040E3"/>
    <w:rsid w:val="00404D4D"/>
    <w:rsid w:val="00404FC1"/>
    <w:rsid w:val="00405C30"/>
    <w:rsid w:val="00406E64"/>
    <w:rsid w:val="004075C7"/>
    <w:rsid w:val="00407CDA"/>
    <w:rsid w:val="004100FD"/>
    <w:rsid w:val="0041029D"/>
    <w:rsid w:val="00410347"/>
    <w:rsid w:val="004104BF"/>
    <w:rsid w:val="0041068A"/>
    <w:rsid w:val="00410DEC"/>
    <w:rsid w:val="0041138F"/>
    <w:rsid w:val="004118D5"/>
    <w:rsid w:val="004126E4"/>
    <w:rsid w:val="00412EF3"/>
    <w:rsid w:val="004133CD"/>
    <w:rsid w:val="00413549"/>
    <w:rsid w:val="00414538"/>
    <w:rsid w:val="0041479C"/>
    <w:rsid w:val="00414D50"/>
    <w:rsid w:val="00414FBD"/>
    <w:rsid w:val="004159BF"/>
    <w:rsid w:val="00416787"/>
    <w:rsid w:val="004203CA"/>
    <w:rsid w:val="004208D7"/>
    <w:rsid w:val="00420CA2"/>
    <w:rsid w:val="00420F52"/>
    <w:rsid w:val="00421878"/>
    <w:rsid w:val="004218AF"/>
    <w:rsid w:val="00421B63"/>
    <w:rsid w:val="004228EE"/>
    <w:rsid w:val="00422BB1"/>
    <w:rsid w:val="00422D87"/>
    <w:rsid w:val="0042325A"/>
    <w:rsid w:val="0042336F"/>
    <w:rsid w:val="004234EF"/>
    <w:rsid w:val="004242F2"/>
    <w:rsid w:val="004249DB"/>
    <w:rsid w:val="00424C76"/>
    <w:rsid w:val="0042516D"/>
    <w:rsid w:val="00425554"/>
    <w:rsid w:val="0042556A"/>
    <w:rsid w:val="00425B68"/>
    <w:rsid w:val="00425C9F"/>
    <w:rsid w:val="004262E5"/>
    <w:rsid w:val="004268A5"/>
    <w:rsid w:val="00427A53"/>
    <w:rsid w:val="00427F6A"/>
    <w:rsid w:val="004300E1"/>
    <w:rsid w:val="00430294"/>
    <w:rsid w:val="004309CF"/>
    <w:rsid w:val="00430B44"/>
    <w:rsid w:val="00430F27"/>
    <w:rsid w:val="0043104B"/>
    <w:rsid w:val="0043181D"/>
    <w:rsid w:val="004324A0"/>
    <w:rsid w:val="004328E4"/>
    <w:rsid w:val="00432937"/>
    <w:rsid w:val="00433166"/>
    <w:rsid w:val="00433460"/>
    <w:rsid w:val="00433D87"/>
    <w:rsid w:val="00433ECE"/>
    <w:rsid w:val="0043428A"/>
    <w:rsid w:val="00434657"/>
    <w:rsid w:val="004347A7"/>
    <w:rsid w:val="00434800"/>
    <w:rsid w:val="00434F9C"/>
    <w:rsid w:val="00435F09"/>
    <w:rsid w:val="00435F6F"/>
    <w:rsid w:val="0043650E"/>
    <w:rsid w:val="00436548"/>
    <w:rsid w:val="0043664D"/>
    <w:rsid w:val="00436C1A"/>
    <w:rsid w:val="00436C20"/>
    <w:rsid w:val="0043729C"/>
    <w:rsid w:val="004373A1"/>
    <w:rsid w:val="00440392"/>
    <w:rsid w:val="00440502"/>
    <w:rsid w:val="00440621"/>
    <w:rsid w:val="004412E5"/>
    <w:rsid w:val="004415FC"/>
    <w:rsid w:val="00441989"/>
    <w:rsid w:val="00442112"/>
    <w:rsid w:val="004426A2"/>
    <w:rsid w:val="00442822"/>
    <w:rsid w:val="004437F3"/>
    <w:rsid w:val="00443A3A"/>
    <w:rsid w:val="00443AE0"/>
    <w:rsid w:val="00443D1A"/>
    <w:rsid w:val="004442B1"/>
    <w:rsid w:val="004443FB"/>
    <w:rsid w:val="0044476D"/>
    <w:rsid w:val="004448CD"/>
    <w:rsid w:val="00445064"/>
    <w:rsid w:val="00445172"/>
    <w:rsid w:val="00445A32"/>
    <w:rsid w:val="004462CB"/>
    <w:rsid w:val="00447603"/>
    <w:rsid w:val="00447999"/>
    <w:rsid w:val="00447AC5"/>
    <w:rsid w:val="00447EAD"/>
    <w:rsid w:val="004504A7"/>
    <w:rsid w:val="00450899"/>
    <w:rsid w:val="004508B7"/>
    <w:rsid w:val="00450ECF"/>
    <w:rsid w:val="00450FE9"/>
    <w:rsid w:val="00451A7B"/>
    <w:rsid w:val="00451DBB"/>
    <w:rsid w:val="004522A6"/>
    <w:rsid w:val="004529D7"/>
    <w:rsid w:val="00452A11"/>
    <w:rsid w:val="00452EA0"/>
    <w:rsid w:val="0045370D"/>
    <w:rsid w:val="00453BF4"/>
    <w:rsid w:val="00453DF7"/>
    <w:rsid w:val="00454571"/>
    <w:rsid w:val="00454E2E"/>
    <w:rsid w:val="00455667"/>
    <w:rsid w:val="00455AFA"/>
    <w:rsid w:val="00456308"/>
    <w:rsid w:val="0045665A"/>
    <w:rsid w:val="004566BE"/>
    <w:rsid w:val="0045682E"/>
    <w:rsid w:val="004568B4"/>
    <w:rsid w:val="00457142"/>
    <w:rsid w:val="004573A4"/>
    <w:rsid w:val="00457493"/>
    <w:rsid w:val="00457519"/>
    <w:rsid w:val="00457958"/>
    <w:rsid w:val="00457A06"/>
    <w:rsid w:val="00457D38"/>
    <w:rsid w:val="0046115F"/>
    <w:rsid w:val="0046148D"/>
    <w:rsid w:val="00461535"/>
    <w:rsid w:val="00462301"/>
    <w:rsid w:val="004627CF"/>
    <w:rsid w:val="00462977"/>
    <w:rsid w:val="00462DBA"/>
    <w:rsid w:val="004635B7"/>
    <w:rsid w:val="00464027"/>
    <w:rsid w:val="004641CB"/>
    <w:rsid w:val="0046443B"/>
    <w:rsid w:val="00464BC7"/>
    <w:rsid w:val="00464C61"/>
    <w:rsid w:val="004651B8"/>
    <w:rsid w:val="00465580"/>
    <w:rsid w:val="00465972"/>
    <w:rsid w:val="00465E7E"/>
    <w:rsid w:val="00466BB5"/>
    <w:rsid w:val="004672E8"/>
    <w:rsid w:val="004677E9"/>
    <w:rsid w:val="0046784F"/>
    <w:rsid w:val="00467BD1"/>
    <w:rsid w:val="00470535"/>
    <w:rsid w:val="00470C10"/>
    <w:rsid w:val="00471183"/>
    <w:rsid w:val="0047123C"/>
    <w:rsid w:val="004714F6"/>
    <w:rsid w:val="0047289C"/>
    <w:rsid w:val="00472E22"/>
    <w:rsid w:val="00472F67"/>
    <w:rsid w:val="004739A1"/>
    <w:rsid w:val="004742D0"/>
    <w:rsid w:val="0047430D"/>
    <w:rsid w:val="00474371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0DE4"/>
    <w:rsid w:val="00481413"/>
    <w:rsid w:val="00481688"/>
    <w:rsid w:val="004817D3"/>
    <w:rsid w:val="004820E0"/>
    <w:rsid w:val="004822CA"/>
    <w:rsid w:val="00482979"/>
    <w:rsid w:val="00483F95"/>
    <w:rsid w:val="00484D20"/>
    <w:rsid w:val="004850C1"/>
    <w:rsid w:val="004852DC"/>
    <w:rsid w:val="00486577"/>
    <w:rsid w:val="00486751"/>
    <w:rsid w:val="00486F54"/>
    <w:rsid w:val="004871B4"/>
    <w:rsid w:val="004876DD"/>
    <w:rsid w:val="004905E4"/>
    <w:rsid w:val="004909D5"/>
    <w:rsid w:val="0049178A"/>
    <w:rsid w:val="00491C1D"/>
    <w:rsid w:val="00491DF1"/>
    <w:rsid w:val="0049231D"/>
    <w:rsid w:val="00492535"/>
    <w:rsid w:val="00493435"/>
    <w:rsid w:val="00494826"/>
    <w:rsid w:val="00494B28"/>
    <w:rsid w:val="004950F7"/>
    <w:rsid w:val="004953E1"/>
    <w:rsid w:val="00495FFF"/>
    <w:rsid w:val="00496A9F"/>
    <w:rsid w:val="00497358"/>
    <w:rsid w:val="00497641"/>
    <w:rsid w:val="00497972"/>
    <w:rsid w:val="00497C98"/>
    <w:rsid w:val="00497FA5"/>
    <w:rsid w:val="004A03B3"/>
    <w:rsid w:val="004A04D5"/>
    <w:rsid w:val="004A0D65"/>
    <w:rsid w:val="004A1AA2"/>
    <w:rsid w:val="004A1B07"/>
    <w:rsid w:val="004A2265"/>
    <w:rsid w:val="004A2E04"/>
    <w:rsid w:val="004A3226"/>
    <w:rsid w:val="004A32E9"/>
    <w:rsid w:val="004A399F"/>
    <w:rsid w:val="004A4096"/>
    <w:rsid w:val="004A4692"/>
    <w:rsid w:val="004A52F6"/>
    <w:rsid w:val="004A5D08"/>
    <w:rsid w:val="004A669F"/>
    <w:rsid w:val="004A6842"/>
    <w:rsid w:val="004A6A98"/>
    <w:rsid w:val="004A6BC3"/>
    <w:rsid w:val="004A718C"/>
    <w:rsid w:val="004A7DBE"/>
    <w:rsid w:val="004A7F94"/>
    <w:rsid w:val="004B08AC"/>
    <w:rsid w:val="004B0D88"/>
    <w:rsid w:val="004B0F7D"/>
    <w:rsid w:val="004B19DC"/>
    <w:rsid w:val="004B1F6C"/>
    <w:rsid w:val="004B206E"/>
    <w:rsid w:val="004B229E"/>
    <w:rsid w:val="004B290D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D94"/>
    <w:rsid w:val="004C0FB7"/>
    <w:rsid w:val="004C104B"/>
    <w:rsid w:val="004C1094"/>
    <w:rsid w:val="004C164A"/>
    <w:rsid w:val="004C1E8D"/>
    <w:rsid w:val="004C2E14"/>
    <w:rsid w:val="004C2FE3"/>
    <w:rsid w:val="004C305A"/>
    <w:rsid w:val="004C35EF"/>
    <w:rsid w:val="004C3BCF"/>
    <w:rsid w:val="004C4829"/>
    <w:rsid w:val="004C4D30"/>
    <w:rsid w:val="004C4EAB"/>
    <w:rsid w:val="004C5570"/>
    <w:rsid w:val="004C5BD0"/>
    <w:rsid w:val="004C5D52"/>
    <w:rsid w:val="004C5DB0"/>
    <w:rsid w:val="004C60D8"/>
    <w:rsid w:val="004C62EE"/>
    <w:rsid w:val="004C6755"/>
    <w:rsid w:val="004C6A0D"/>
    <w:rsid w:val="004C6CC0"/>
    <w:rsid w:val="004C75FC"/>
    <w:rsid w:val="004D0836"/>
    <w:rsid w:val="004D1000"/>
    <w:rsid w:val="004D1417"/>
    <w:rsid w:val="004D1D27"/>
    <w:rsid w:val="004D2A4A"/>
    <w:rsid w:val="004D2EC3"/>
    <w:rsid w:val="004D2FF6"/>
    <w:rsid w:val="004D332F"/>
    <w:rsid w:val="004D3FD6"/>
    <w:rsid w:val="004D405F"/>
    <w:rsid w:val="004D55CA"/>
    <w:rsid w:val="004D5A27"/>
    <w:rsid w:val="004D5F0E"/>
    <w:rsid w:val="004D6626"/>
    <w:rsid w:val="004D6758"/>
    <w:rsid w:val="004D68B1"/>
    <w:rsid w:val="004D6E04"/>
    <w:rsid w:val="004D707E"/>
    <w:rsid w:val="004D7907"/>
    <w:rsid w:val="004D7B1A"/>
    <w:rsid w:val="004E0830"/>
    <w:rsid w:val="004E0A24"/>
    <w:rsid w:val="004E169C"/>
    <w:rsid w:val="004E1BF0"/>
    <w:rsid w:val="004E1E6A"/>
    <w:rsid w:val="004E22A9"/>
    <w:rsid w:val="004E26AB"/>
    <w:rsid w:val="004E28E1"/>
    <w:rsid w:val="004E2B01"/>
    <w:rsid w:val="004E3065"/>
    <w:rsid w:val="004E3430"/>
    <w:rsid w:val="004E34C7"/>
    <w:rsid w:val="004E356A"/>
    <w:rsid w:val="004E375D"/>
    <w:rsid w:val="004E3850"/>
    <w:rsid w:val="004E3FC1"/>
    <w:rsid w:val="004E44CE"/>
    <w:rsid w:val="004E54DE"/>
    <w:rsid w:val="004E58EA"/>
    <w:rsid w:val="004E5F65"/>
    <w:rsid w:val="004E6981"/>
    <w:rsid w:val="004E6A0C"/>
    <w:rsid w:val="004E6C7A"/>
    <w:rsid w:val="004E7615"/>
    <w:rsid w:val="004E7CDF"/>
    <w:rsid w:val="004F078C"/>
    <w:rsid w:val="004F1324"/>
    <w:rsid w:val="004F1857"/>
    <w:rsid w:val="004F1C7D"/>
    <w:rsid w:val="004F1D24"/>
    <w:rsid w:val="004F21D2"/>
    <w:rsid w:val="004F23B6"/>
    <w:rsid w:val="004F2641"/>
    <w:rsid w:val="004F27F3"/>
    <w:rsid w:val="004F29B9"/>
    <w:rsid w:val="004F2B8E"/>
    <w:rsid w:val="004F2C85"/>
    <w:rsid w:val="004F32BF"/>
    <w:rsid w:val="004F33A8"/>
    <w:rsid w:val="004F3E6A"/>
    <w:rsid w:val="004F469D"/>
    <w:rsid w:val="004F5346"/>
    <w:rsid w:val="004F5C09"/>
    <w:rsid w:val="004F5E4E"/>
    <w:rsid w:val="004F63CC"/>
    <w:rsid w:val="004F64CA"/>
    <w:rsid w:val="004F6678"/>
    <w:rsid w:val="004F6B28"/>
    <w:rsid w:val="004F6C65"/>
    <w:rsid w:val="004F6D2E"/>
    <w:rsid w:val="004F72FA"/>
    <w:rsid w:val="004F7706"/>
    <w:rsid w:val="004F7F0F"/>
    <w:rsid w:val="004F7FBC"/>
    <w:rsid w:val="005001AE"/>
    <w:rsid w:val="005007E7"/>
    <w:rsid w:val="005012FC"/>
    <w:rsid w:val="00501EBE"/>
    <w:rsid w:val="00503551"/>
    <w:rsid w:val="00503F38"/>
    <w:rsid w:val="00504134"/>
    <w:rsid w:val="005043FC"/>
    <w:rsid w:val="00504A55"/>
    <w:rsid w:val="00505878"/>
    <w:rsid w:val="00505F08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5D5"/>
    <w:rsid w:val="00512D51"/>
    <w:rsid w:val="00512E95"/>
    <w:rsid w:val="00514674"/>
    <w:rsid w:val="00514676"/>
    <w:rsid w:val="0051477F"/>
    <w:rsid w:val="00514C46"/>
    <w:rsid w:val="00515BCF"/>
    <w:rsid w:val="00516083"/>
    <w:rsid w:val="0051635A"/>
    <w:rsid w:val="0051646E"/>
    <w:rsid w:val="005166C3"/>
    <w:rsid w:val="00516EA5"/>
    <w:rsid w:val="005179DA"/>
    <w:rsid w:val="00517E2A"/>
    <w:rsid w:val="00520C1C"/>
    <w:rsid w:val="00520CFD"/>
    <w:rsid w:val="00520F71"/>
    <w:rsid w:val="00521278"/>
    <w:rsid w:val="00521439"/>
    <w:rsid w:val="00522133"/>
    <w:rsid w:val="005226D1"/>
    <w:rsid w:val="0052292E"/>
    <w:rsid w:val="005232E0"/>
    <w:rsid w:val="0052373B"/>
    <w:rsid w:val="00523E00"/>
    <w:rsid w:val="0052439F"/>
    <w:rsid w:val="005243EB"/>
    <w:rsid w:val="00525230"/>
    <w:rsid w:val="00525789"/>
    <w:rsid w:val="00525890"/>
    <w:rsid w:val="005262A1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A84"/>
    <w:rsid w:val="00533EE8"/>
    <w:rsid w:val="0053417D"/>
    <w:rsid w:val="0053490C"/>
    <w:rsid w:val="0053523F"/>
    <w:rsid w:val="00535585"/>
    <w:rsid w:val="00536A58"/>
    <w:rsid w:val="00536AB4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48B9"/>
    <w:rsid w:val="00545136"/>
    <w:rsid w:val="005452C1"/>
    <w:rsid w:val="00545869"/>
    <w:rsid w:val="00545B42"/>
    <w:rsid w:val="0054612B"/>
    <w:rsid w:val="00546339"/>
    <w:rsid w:val="00546FF4"/>
    <w:rsid w:val="00547753"/>
    <w:rsid w:val="005479F5"/>
    <w:rsid w:val="00547D90"/>
    <w:rsid w:val="00550747"/>
    <w:rsid w:val="005508EF"/>
    <w:rsid w:val="005510E3"/>
    <w:rsid w:val="005511AF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3CE5"/>
    <w:rsid w:val="0055400F"/>
    <w:rsid w:val="005548DD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86D"/>
    <w:rsid w:val="00561C64"/>
    <w:rsid w:val="0056218D"/>
    <w:rsid w:val="00562EAD"/>
    <w:rsid w:val="00562F81"/>
    <w:rsid w:val="00563222"/>
    <w:rsid w:val="005635BE"/>
    <w:rsid w:val="00563AEB"/>
    <w:rsid w:val="00564775"/>
    <w:rsid w:val="00565300"/>
    <w:rsid w:val="00565664"/>
    <w:rsid w:val="005662BF"/>
    <w:rsid w:val="00566C28"/>
    <w:rsid w:val="00566EBC"/>
    <w:rsid w:val="005672F8"/>
    <w:rsid w:val="00567500"/>
    <w:rsid w:val="0056753D"/>
    <w:rsid w:val="00567811"/>
    <w:rsid w:val="00567CDA"/>
    <w:rsid w:val="00570163"/>
    <w:rsid w:val="005701B3"/>
    <w:rsid w:val="005702BD"/>
    <w:rsid w:val="005704B1"/>
    <w:rsid w:val="00571A38"/>
    <w:rsid w:val="00572356"/>
    <w:rsid w:val="00572582"/>
    <w:rsid w:val="00572749"/>
    <w:rsid w:val="00573802"/>
    <w:rsid w:val="005739F4"/>
    <w:rsid w:val="00573A7F"/>
    <w:rsid w:val="00573EE1"/>
    <w:rsid w:val="0057406C"/>
    <w:rsid w:val="00575051"/>
    <w:rsid w:val="005758E3"/>
    <w:rsid w:val="00576D35"/>
    <w:rsid w:val="005773A7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66D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4BA2"/>
    <w:rsid w:val="00585988"/>
    <w:rsid w:val="00585C21"/>
    <w:rsid w:val="005871D0"/>
    <w:rsid w:val="005874CD"/>
    <w:rsid w:val="00587597"/>
    <w:rsid w:val="00590D18"/>
    <w:rsid w:val="00590EDD"/>
    <w:rsid w:val="00591988"/>
    <w:rsid w:val="005921C8"/>
    <w:rsid w:val="005922A3"/>
    <w:rsid w:val="0059239E"/>
    <w:rsid w:val="005924DB"/>
    <w:rsid w:val="00592875"/>
    <w:rsid w:val="005929E8"/>
    <w:rsid w:val="00592A2E"/>
    <w:rsid w:val="00593155"/>
    <w:rsid w:val="0059353B"/>
    <w:rsid w:val="005938DB"/>
    <w:rsid w:val="005949FB"/>
    <w:rsid w:val="00594C1A"/>
    <w:rsid w:val="00595106"/>
    <w:rsid w:val="00595692"/>
    <w:rsid w:val="00595B7B"/>
    <w:rsid w:val="00596020"/>
    <w:rsid w:val="0059619E"/>
    <w:rsid w:val="0059632F"/>
    <w:rsid w:val="00597503"/>
    <w:rsid w:val="00597799"/>
    <w:rsid w:val="005977F9"/>
    <w:rsid w:val="00597BA8"/>
    <w:rsid w:val="00597C53"/>
    <w:rsid w:val="00597FB2"/>
    <w:rsid w:val="005A01E7"/>
    <w:rsid w:val="005A02C8"/>
    <w:rsid w:val="005A03D4"/>
    <w:rsid w:val="005A09E5"/>
    <w:rsid w:val="005A1473"/>
    <w:rsid w:val="005A14D6"/>
    <w:rsid w:val="005A1926"/>
    <w:rsid w:val="005A19FF"/>
    <w:rsid w:val="005A1B5B"/>
    <w:rsid w:val="005A2074"/>
    <w:rsid w:val="005A24AE"/>
    <w:rsid w:val="005A3394"/>
    <w:rsid w:val="005A403A"/>
    <w:rsid w:val="005A43BE"/>
    <w:rsid w:val="005A4624"/>
    <w:rsid w:val="005A5011"/>
    <w:rsid w:val="005A508D"/>
    <w:rsid w:val="005A5C5C"/>
    <w:rsid w:val="005A60BA"/>
    <w:rsid w:val="005A6156"/>
    <w:rsid w:val="005A761B"/>
    <w:rsid w:val="005A7814"/>
    <w:rsid w:val="005B096F"/>
    <w:rsid w:val="005B0987"/>
    <w:rsid w:val="005B0FB5"/>
    <w:rsid w:val="005B1191"/>
    <w:rsid w:val="005B1205"/>
    <w:rsid w:val="005B1D3B"/>
    <w:rsid w:val="005B2088"/>
    <w:rsid w:val="005B22CB"/>
    <w:rsid w:val="005B2466"/>
    <w:rsid w:val="005B2BBB"/>
    <w:rsid w:val="005B2BF5"/>
    <w:rsid w:val="005B2FD3"/>
    <w:rsid w:val="005B3BE3"/>
    <w:rsid w:val="005B3DCC"/>
    <w:rsid w:val="005B41B3"/>
    <w:rsid w:val="005B4289"/>
    <w:rsid w:val="005B5926"/>
    <w:rsid w:val="005B5A74"/>
    <w:rsid w:val="005B5DBE"/>
    <w:rsid w:val="005B5F7D"/>
    <w:rsid w:val="005B5FCC"/>
    <w:rsid w:val="005B6007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592"/>
    <w:rsid w:val="005C12AC"/>
    <w:rsid w:val="005C1AA4"/>
    <w:rsid w:val="005C1C90"/>
    <w:rsid w:val="005C1CEF"/>
    <w:rsid w:val="005C352E"/>
    <w:rsid w:val="005C3964"/>
    <w:rsid w:val="005C428A"/>
    <w:rsid w:val="005C4330"/>
    <w:rsid w:val="005C4787"/>
    <w:rsid w:val="005C4BF5"/>
    <w:rsid w:val="005C50D1"/>
    <w:rsid w:val="005C5113"/>
    <w:rsid w:val="005C54B8"/>
    <w:rsid w:val="005C557C"/>
    <w:rsid w:val="005C56B7"/>
    <w:rsid w:val="005C5CDF"/>
    <w:rsid w:val="005C5EAF"/>
    <w:rsid w:val="005C677E"/>
    <w:rsid w:val="005C6CD0"/>
    <w:rsid w:val="005C7072"/>
    <w:rsid w:val="005C7554"/>
    <w:rsid w:val="005C785E"/>
    <w:rsid w:val="005C78D5"/>
    <w:rsid w:val="005D00B6"/>
    <w:rsid w:val="005D0D51"/>
    <w:rsid w:val="005D101F"/>
    <w:rsid w:val="005D1247"/>
    <w:rsid w:val="005D1D60"/>
    <w:rsid w:val="005D205D"/>
    <w:rsid w:val="005D2AAB"/>
    <w:rsid w:val="005D2F54"/>
    <w:rsid w:val="005D33D2"/>
    <w:rsid w:val="005D353D"/>
    <w:rsid w:val="005D3C52"/>
    <w:rsid w:val="005D3FD5"/>
    <w:rsid w:val="005D49E5"/>
    <w:rsid w:val="005D593D"/>
    <w:rsid w:val="005D63A5"/>
    <w:rsid w:val="005D6833"/>
    <w:rsid w:val="005D69A4"/>
    <w:rsid w:val="005D74F8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7BC"/>
    <w:rsid w:val="005E3850"/>
    <w:rsid w:val="005E3EB4"/>
    <w:rsid w:val="005E40C8"/>
    <w:rsid w:val="005E43DF"/>
    <w:rsid w:val="005E48DE"/>
    <w:rsid w:val="005E527F"/>
    <w:rsid w:val="005E54CF"/>
    <w:rsid w:val="005E566F"/>
    <w:rsid w:val="005E64AF"/>
    <w:rsid w:val="005E6BE9"/>
    <w:rsid w:val="005E6F81"/>
    <w:rsid w:val="005E71A5"/>
    <w:rsid w:val="005E777B"/>
    <w:rsid w:val="005E78FF"/>
    <w:rsid w:val="005E7B96"/>
    <w:rsid w:val="005F03D5"/>
    <w:rsid w:val="005F0718"/>
    <w:rsid w:val="005F0860"/>
    <w:rsid w:val="005F14A7"/>
    <w:rsid w:val="005F1B20"/>
    <w:rsid w:val="005F1E18"/>
    <w:rsid w:val="005F2307"/>
    <w:rsid w:val="005F2639"/>
    <w:rsid w:val="005F27E0"/>
    <w:rsid w:val="005F29C0"/>
    <w:rsid w:val="005F2A66"/>
    <w:rsid w:val="005F2B32"/>
    <w:rsid w:val="005F3176"/>
    <w:rsid w:val="005F3549"/>
    <w:rsid w:val="005F3D8C"/>
    <w:rsid w:val="005F4DDB"/>
    <w:rsid w:val="005F54B4"/>
    <w:rsid w:val="005F5576"/>
    <w:rsid w:val="005F5A4E"/>
    <w:rsid w:val="005F5A6F"/>
    <w:rsid w:val="005F5C6D"/>
    <w:rsid w:val="005F5E8E"/>
    <w:rsid w:val="005F60E6"/>
    <w:rsid w:val="005F61DD"/>
    <w:rsid w:val="005F72CB"/>
    <w:rsid w:val="005F736F"/>
    <w:rsid w:val="005F764A"/>
    <w:rsid w:val="005F79EF"/>
    <w:rsid w:val="0060008E"/>
    <w:rsid w:val="0060045C"/>
    <w:rsid w:val="006005C1"/>
    <w:rsid w:val="00600ED9"/>
    <w:rsid w:val="006011A0"/>
    <w:rsid w:val="00602A78"/>
    <w:rsid w:val="00602BCA"/>
    <w:rsid w:val="0060305F"/>
    <w:rsid w:val="006034C7"/>
    <w:rsid w:val="00603802"/>
    <w:rsid w:val="0060381D"/>
    <w:rsid w:val="00603D08"/>
    <w:rsid w:val="00604617"/>
    <w:rsid w:val="00604730"/>
    <w:rsid w:val="006049CE"/>
    <w:rsid w:val="00604AE3"/>
    <w:rsid w:val="00604D1B"/>
    <w:rsid w:val="006052A3"/>
    <w:rsid w:val="006053D8"/>
    <w:rsid w:val="006057CF"/>
    <w:rsid w:val="00605895"/>
    <w:rsid w:val="006059A0"/>
    <w:rsid w:val="00605A1A"/>
    <w:rsid w:val="00606054"/>
    <w:rsid w:val="0060611E"/>
    <w:rsid w:val="00606295"/>
    <w:rsid w:val="006063E0"/>
    <w:rsid w:val="00606906"/>
    <w:rsid w:val="00606EE7"/>
    <w:rsid w:val="00606FAA"/>
    <w:rsid w:val="006078FD"/>
    <w:rsid w:val="00607C10"/>
    <w:rsid w:val="00610543"/>
    <w:rsid w:val="00610A0E"/>
    <w:rsid w:val="00610F47"/>
    <w:rsid w:val="006112FD"/>
    <w:rsid w:val="00611B77"/>
    <w:rsid w:val="00611BA6"/>
    <w:rsid w:val="00612497"/>
    <w:rsid w:val="00612D19"/>
    <w:rsid w:val="0061330F"/>
    <w:rsid w:val="00613641"/>
    <w:rsid w:val="00614139"/>
    <w:rsid w:val="00614483"/>
    <w:rsid w:val="006144F9"/>
    <w:rsid w:val="0061478C"/>
    <w:rsid w:val="0061516E"/>
    <w:rsid w:val="006151BC"/>
    <w:rsid w:val="00615204"/>
    <w:rsid w:val="006154F0"/>
    <w:rsid w:val="00615CB8"/>
    <w:rsid w:val="00615E77"/>
    <w:rsid w:val="00616172"/>
    <w:rsid w:val="006162A3"/>
    <w:rsid w:val="00616543"/>
    <w:rsid w:val="00616A94"/>
    <w:rsid w:val="00616C7D"/>
    <w:rsid w:val="006170E3"/>
    <w:rsid w:val="0061735F"/>
    <w:rsid w:val="006205E1"/>
    <w:rsid w:val="006208EE"/>
    <w:rsid w:val="0062091D"/>
    <w:rsid w:val="00620C44"/>
    <w:rsid w:val="0062100E"/>
    <w:rsid w:val="006211A5"/>
    <w:rsid w:val="006212A7"/>
    <w:rsid w:val="006219BC"/>
    <w:rsid w:val="00621AC7"/>
    <w:rsid w:val="00621DD8"/>
    <w:rsid w:val="00622789"/>
    <w:rsid w:val="006233C1"/>
    <w:rsid w:val="00623854"/>
    <w:rsid w:val="00624649"/>
    <w:rsid w:val="0062499D"/>
    <w:rsid w:val="006249A7"/>
    <w:rsid w:val="006249D1"/>
    <w:rsid w:val="00624D4F"/>
    <w:rsid w:val="00625713"/>
    <w:rsid w:val="00625B22"/>
    <w:rsid w:val="00625C53"/>
    <w:rsid w:val="006261E8"/>
    <w:rsid w:val="00626415"/>
    <w:rsid w:val="00627357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625"/>
    <w:rsid w:val="00635AEB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43B2"/>
    <w:rsid w:val="00645210"/>
    <w:rsid w:val="00645933"/>
    <w:rsid w:val="006459B3"/>
    <w:rsid w:val="00645D57"/>
    <w:rsid w:val="00645EEC"/>
    <w:rsid w:val="00645F02"/>
    <w:rsid w:val="00646970"/>
    <w:rsid w:val="00646FDD"/>
    <w:rsid w:val="00647401"/>
    <w:rsid w:val="00647C38"/>
    <w:rsid w:val="00647C54"/>
    <w:rsid w:val="00647D39"/>
    <w:rsid w:val="006500A2"/>
    <w:rsid w:val="00650498"/>
    <w:rsid w:val="0065058D"/>
    <w:rsid w:val="00650C5E"/>
    <w:rsid w:val="00651147"/>
    <w:rsid w:val="0065131D"/>
    <w:rsid w:val="00651B06"/>
    <w:rsid w:val="00651DC1"/>
    <w:rsid w:val="00651FD6"/>
    <w:rsid w:val="0065234B"/>
    <w:rsid w:val="0065252C"/>
    <w:rsid w:val="00653AC4"/>
    <w:rsid w:val="00653C52"/>
    <w:rsid w:val="006540C1"/>
    <w:rsid w:val="00654642"/>
    <w:rsid w:val="0065468F"/>
    <w:rsid w:val="00654851"/>
    <w:rsid w:val="00654AF4"/>
    <w:rsid w:val="00654CB8"/>
    <w:rsid w:val="0065561D"/>
    <w:rsid w:val="0065565B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28CE"/>
    <w:rsid w:val="00662A70"/>
    <w:rsid w:val="00662AF9"/>
    <w:rsid w:val="00662C14"/>
    <w:rsid w:val="00662C97"/>
    <w:rsid w:val="00662CBB"/>
    <w:rsid w:val="00662F3E"/>
    <w:rsid w:val="0066398B"/>
    <w:rsid w:val="00663F53"/>
    <w:rsid w:val="00664719"/>
    <w:rsid w:val="0066486A"/>
    <w:rsid w:val="0066500B"/>
    <w:rsid w:val="0066527F"/>
    <w:rsid w:val="00666754"/>
    <w:rsid w:val="00666AEA"/>
    <w:rsid w:val="00667AA7"/>
    <w:rsid w:val="00667FB2"/>
    <w:rsid w:val="006700C2"/>
    <w:rsid w:val="006707B6"/>
    <w:rsid w:val="00670D2E"/>
    <w:rsid w:val="0067269F"/>
    <w:rsid w:val="006726CB"/>
    <w:rsid w:val="0067272F"/>
    <w:rsid w:val="00672F30"/>
    <w:rsid w:val="0067388B"/>
    <w:rsid w:val="00673BA4"/>
    <w:rsid w:val="00674C5D"/>
    <w:rsid w:val="00674ED8"/>
    <w:rsid w:val="00675793"/>
    <w:rsid w:val="00675880"/>
    <w:rsid w:val="00675B92"/>
    <w:rsid w:val="00675C5E"/>
    <w:rsid w:val="00676543"/>
    <w:rsid w:val="00676F0B"/>
    <w:rsid w:val="006772AB"/>
    <w:rsid w:val="006773D1"/>
    <w:rsid w:val="006773EC"/>
    <w:rsid w:val="006801BB"/>
    <w:rsid w:val="006802E3"/>
    <w:rsid w:val="00680545"/>
    <w:rsid w:val="00680CC6"/>
    <w:rsid w:val="006814DE"/>
    <w:rsid w:val="0068241B"/>
    <w:rsid w:val="00683889"/>
    <w:rsid w:val="006842A2"/>
    <w:rsid w:val="006844F1"/>
    <w:rsid w:val="006848BB"/>
    <w:rsid w:val="00684B65"/>
    <w:rsid w:val="00685075"/>
    <w:rsid w:val="00685339"/>
    <w:rsid w:val="00685597"/>
    <w:rsid w:val="00686338"/>
    <w:rsid w:val="0068644A"/>
    <w:rsid w:val="006867CC"/>
    <w:rsid w:val="0068731C"/>
    <w:rsid w:val="006904AD"/>
    <w:rsid w:val="006905F1"/>
    <w:rsid w:val="006909F9"/>
    <w:rsid w:val="006912E6"/>
    <w:rsid w:val="0069132A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4B8"/>
    <w:rsid w:val="006956E0"/>
    <w:rsid w:val="00695D95"/>
    <w:rsid w:val="00695DDA"/>
    <w:rsid w:val="00696136"/>
    <w:rsid w:val="00696243"/>
    <w:rsid w:val="006962E6"/>
    <w:rsid w:val="00696566"/>
    <w:rsid w:val="0069657D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43EA"/>
    <w:rsid w:val="006A471A"/>
    <w:rsid w:val="006A4A94"/>
    <w:rsid w:val="006A5163"/>
    <w:rsid w:val="006A5290"/>
    <w:rsid w:val="006A55BF"/>
    <w:rsid w:val="006A777A"/>
    <w:rsid w:val="006A7AE9"/>
    <w:rsid w:val="006A7C4A"/>
    <w:rsid w:val="006A7C9D"/>
    <w:rsid w:val="006B0264"/>
    <w:rsid w:val="006B1D4D"/>
    <w:rsid w:val="006B1D76"/>
    <w:rsid w:val="006B1E59"/>
    <w:rsid w:val="006B2636"/>
    <w:rsid w:val="006B2826"/>
    <w:rsid w:val="006B2995"/>
    <w:rsid w:val="006B2F13"/>
    <w:rsid w:val="006B3EFD"/>
    <w:rsid w:val="006B40C8"/>
    <w:rsid w:val="006B472A"/>
    <w:rsid w:val="006B542B"/>
    <w:rsid w:val="006B549F"/>
    <w:rsid w:val="006B64B8"/>
    <w:rsid w:val="006B65CB"/>
    <w:rsid w:val="006B73DF"/>
    <w:rsid w:val="006B765D"/>
    <w:rsid w:val="006C03BA"/>
    <w:rsid w:val="006C0867"/>
    <w:rsid w:val="006C0986"/>
    <w:rsid w:val="006C12F3"/>
    <w:rsid w:val="006C166C"/>
    <w:rsid w:val="006C1C0D"/>
    <w:rsid w:val="006C215A"/>
    <w:rsid w:val="006C24C7"/>
    <w:rsid w:val="006C24D3"/>
    <w:rsid w:val="006C273C"/>
    <w:rsid w:val="006C374A"/>
    <w:rsid w:val="006C3A0F"/>
    <w:rsid w:val="006C479E"/>
    <w:rsid w:val="006C57FE"/>
    <w:rsid w:val="006C5AB5"/>
    <w:rsid w:val="006C5B70"/>
    <w:rsid w:val="006C6E36"/>
    <w:rsid w:val="006C704F"/>
    <w:rsid w:val="006C705E"/>
    <w:rsid w:val="006C7216"/>
    <w:rsid w:val="006C7266"/>
    <w:rsid w:val="006D01F3"/>
    <w:rsid w:val="006D045E"/>
    <w:rsid w:val="006D0B6D"/>
    <w:rsid w:val="006D1549"/>
    <w:rsid w:val="006D1666"/>
    <w:rsid w:val="006D1A5F"/>
    <w:rsid w:val="006D2182"/>
    <w:rsid w:val="006D381C"/>
    <w:rsid w:val="006D39EA"/>
    <w:rsid w:val="006D3CE0"/>
    <w:rsid w:val="006D406A"/>
    <w:rsid w:val="006D4801"/>
    <w:rsid w:val="006D487E"/>
    <w:rsid w:val="006D4A33"/>
    <w:rsid w:val="006D4D9C"/>
    <w:rsid w:val="006D53DF"/>
    <w:rsid w:val="006D54F7"/>
    <w:rsid w:val="006D5604"/>
    <w:rsid w:val="006D5CDA"/>
    <w:rsid w:val="006D73FD"/>
    <w:rsid w:val="006D7902"/>
    <w:rsid w:val="006D7C9D"/>
    <w:rsid w:val="006D7D85"/>
    <w:rsid w:val="006E045E"/>
    <w:rsid w:val="006E05AA"/>
    <w:rsid w:val="006E09A9"/>
    <w:rsid w:val="006E09E9"/>
    <w:rsid w:val="006E0A47"/>
    <w:rsid w:val="006E0B21"/>
    <w:rsid w:val="006E0E6E"/>
    <w:rsid w:val="006E171B"/>
    <w:rsid w:val="006E2018"/>
    <w:rsid w:val="006E2BA3"/>
    <w:rsid w:val="006E2C6D"/>
    <w:rsid w:val="006E33D2"/>
    <w:rsid w:val="006E374B"/>
    <w:rsid w:val="006E37B5"/>
    <w:rsid w:val="006E3830"/>
    <w:rsid w:val="006E3B50"/>
    <w:rsid w:val="006E44D3"/>
    <w:rsid w:val="006E4705"/>
    <w:rsid w:val="006E470D"/>
    <w:rsid w:val="006E49DF"/>
    <w:rsid w:val="006E4E81"/>
    <w:rsid w:val="006E50A1"/>
    <w:rsid w:val="006E58CF"/>
    <w:rsid w:val="006E6051"/>
    <w:rsid w:val="006E6241"/>
    <w:rsid w:val="006E645F"/>
    <w:rsid w:val="006E65F3"/>
    <w:rsid w:val="006E663A"/>
    <w:rsid w:val="006E6DB5"/>
    <w:rsid w:val="006E6DCD"/>
    <w:rsid w:val="006E6F23"/>
    <w:rsid w:val="006E6F3D"/>
    <w:rsid w:val="006E7FD7"/>
    <w:rsid w:val="006F008A"/>
    <w:rsid w:val="006F117D"/>
    <w:rsid w:val="006F1195"/>
    <w:rsid w:val="006F13F3"/>
    <w:rsid w:val="006F1DBD"/>
    <w:rsid w:val="006F1E00"/>
    <w:rsid w:val="006F2313"/>
    <w:rsid w:val="006F243A"/>
    <w:rsid w:val="006F301F"/>
    <w:rsid w:val="006F3C96"/>
    <w:rsid w:val="006F5847"/>
    <w:rsid w:val="006F5B1A"/>
    <w:rsid w:val="006F5F76"/>
    <w:rsid w:val="006F6790"/>
    <w:rsid w:val="00700821"/>
    <w:rsid w:val="007010A7"/>
    <w:rsid w:val="007011D1"/>
    <w:rsid w:val="007011D8"/>
    <w:rsid w:val="00701929"/>
    <w:rsid w:val="007021B1"/>
    <w:rsid w:val="0070263D"/>
    <w:rsid w:val="00702723"/>
    <w:rsid w:val="0070303A"/>
    <w:rsid w:val="0070328F"/>
    <w:rsid w:val="00704346"/>
    <w:rsid w:val="007043D3"/>
    <w:rsid w:val="00704464"/>
    <w:rsid w:val="00704527"/>
    <w:rsid w:val="0070522E"/>
    <w:rsid w:val="007057C7"/>
    <w:rsid w:val="007057D1"/>
    <w:rsid w:val="00705BD7"/>
    <w:rsid w:val="007061EC"/>
    <w:rsid w:val="00706461"/>
    <w:rsid w:val="00706717"/>
    <w:rsid w:val="007068C5"/>
    <w:rsid w:val="00706995"/>
    <w:rsid w:val="00706C3A"/>
    <w:rsid w:val="00706E1E"/>
    <w:rsid w:val="007071D4"/>
    <w:rsid w:val="007071EE"/>
    <w:rsid w:val="00707C37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2E16"/>
    <w:rsid w:val="007139BF"/>
    <w:rsid w:val="00713C11"/>
    <w:rsid w:val="00714358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529"/>
    <w:rsid w:val="00723F60"/>
    <w:rsid w:val="00724260"/>
    <w:rsid w:val="0072454A"/>
    <w:rsid w:val="007245B1"/>
    <w:rsid w:val="00724952"/>
    <w:rsid w:val="00724CD4"/>
    <w:rsid w:val="00724F45"/>
    <w:rsid w:val="00725011"/>
    <w:rsid w:val="00725AB1"/>
    <w:rsid w:val="00725D1A"/>
    <w:rsid w:val="00725DF3"/>
    <w:rsid w:val="00726400"/>
    <w:rsid w:val="00726B7D"/>
    <w:rsid w:val="00727285"/>
    <w:rsid w:val="00727380"/>
    <w:rsid w:val="00727D91"/>
    <w:rsid w:val="00727E44"/>
    <w:rsid w:val="00730152"/>
    <w:rsid w:val="007301B7"/>
    <w:rsid w:val="007305F2"/>
    <w:rsid w:val="0073065B"/>
    <w:rsid w:val="0073071A"/>
    <w:rsid w:val="00730DD2"/>
    <w:rsid w:val="007310E4"/>
    <w:rsid w:val="00731129"/>
    <w:rsid w:val="00731FA6"/>
    <w:rsid w:val="007320CE"/>
    <w:rsid w:val="00732732"/>
    <w:rsid w:val="0073397C"/>
    <w:rsid w:val="00734051"/>
    <w:rsid w:val="00734519"/>
    <w:rsid w:val="0073458B"/>
    <w:rsid w:val="00734B84"/>
    <w:rsid w:val="00734E36"/>
    <w:rsid w:val="007350DF"/>
    <w:rsid w:val="007352C8"/>
    <w:rsid w:val="00735EBF"/>
    <w:rsid w:val="007361C8"/>
    <w:rsid w:val="007365ED"/>
    <w:rsid w:val="00736927"/>
    <w:rsid w:val="0073719A"/>
    <w:rsid w:val="00737A41"/>
    <w:rsid w:val="00737A4B"/>
    <w:rsid w:val="00737EAA"/>
    <w:rsid w:val="00740008"/>
    <w:rsid w:val="0074056F"/>
    <w:rsid w:val="00741355"/>
    <w:rsid w:val="00741C56"/>
    <w:rsid w:val="00741C83"/>
    <w:rsid w:val="00741E9A"/>
    <w:rsid w:val="0074235B"/>
    <w:rsid w:val="00742891"/>
    <w:rsid w:val="00742C3D"/>
    <w:rsid w:val="00742DAD"/>
    <w:rsid w:val="00743455"/>
    <w:rsid w:val="007435B8"/>
    <w:rsid w:val="0074412C"/>
    <w:rsid w:val="007444AE"/>
    <w:rsid w:val="007447C6"/>
    <w:rsid w:val="007449FE"/>
    <w:rsid w:val="00744CEC"/>
    <w:rsid w:val="00745698"/>
    <w:rsid w:val="00745A05"/>
    <w:rsid w:val="00745F8E"/>
    <w:rsid w:val="00746564"/>
    <w:rsid w:val="00746721"/>
    <w:rsid w:val="007469D9"/>
    <w:rsid w:val="00747741"/>
    <w:rsid w:val="007505F4"/>
    <w:rsid w:val="00750979"/>
    <w:rsid w:val="00751313"/>
    <w:rsid w:val="007514AA"/>
    <w:rsid w:val="00751760"/>
    <w:rsid w:val="007518C9"/>
    <w:rsid w:val="00751A4A"/>
    <w:rsid w:val="00751EF1"/>
    <w:rsid w:val="0075218A"/>
    <w:rsid w:val="00752238"/>
    <w:rsid w:val="007526FB"/>
    <w:rsid w:val="00752DE0"/>
    <w:rsid w:val="00752E14"/>
    <w:rsid w:val="00753DA5"/>
    <w:rsid w:val="00754E53"/>
    <w:rsid w:val="0075502B"/>
    <w:rsid w:val="00755633"/>
    <w:rsid w:val="00755B6F"/>
    <w:rsid w:val="007562DF"/>
    <w:rsid w:val="00756572"/>
    <w:rsid w:val="00756A17"/>
    <w:rsid w:val="00756A1A"/>
    <w:rsid w:val="00756B41"/>
    <w:rsid w:val="00756D1B"/>
    <w:rsid w:val="007573A0"/>
    <w:rsid w:val="007576EC"/>
    <w:rsid w:val="00757957"/>
    <w:rsid w:val="00757F65"/>
    <w:rsid w:val="00760978"/>
    <w:rsid w:val="00760D42"/>
    <w:rsid w:val="007623B0"/>
    <w:rsid w:val="00762A7D"/>
    <w:rsid w:val="00763B9E"/>
    <w:rsid w:val="00764588"/>
    <w:rsid w:val="007648FE"/>
    <w:rsid w:val="00764A06"/>
    <w:rsid w:val="00764B39"/>
    <w:rsid w:val="00766009"/>
    <w:rsid w:val="007664EA"/>
    <w:rsid w:val="007667C4"/>
    <w:rsid w:val="007670FC"/>
    <w:rsid w:val="00767156"/>
    <w:rsid w:val="00767282"/>
    <w:rsid w:val="007678B9"/>
    <w:rsid w:val="00767DDD"/>
    <w:rsid w:val="00767F7F"/>
    <w:rsid w:val="007703EA"/>
    <w:rsid w:val="00770BFA"/>
    <w:rsid w:val="00770C49"/>
    <w:rsid w:val="0077130E"/>
    <w:rsid w:val="007713D7"/>
    <w:rsid w:val="00771BF6"/>
    <w:rsid w:val="0077249A"/>
    <w:rsid w:val="0077262C"/>
    <w:rsid w:val="00772A29"/>
    <w:rsid w:val="00773B3E"/>
    <w:rsid w:val="00773E65"/>
    <w:rsid w:val="007741B0"/>
    <w:rsid w:val="007745D3"/>
    <w:rsid w:val="007746DC"/>
    <w:rsid w:val="00774F5B"/>
    <w:rsid w:val="0077558B"/>
    <w:rsid w:val="00775601"/>
    <w:rsid w:val="007756E4"/>
    <w:rsid w:val="00775A59"/>
    <w:rsid w:val="007760C6"/>
    <w:rsid w:val="00776787"/>
    <w:rsid w:val="00776874"/>
    <w:rsid w:val="0077726C"/>
    <w:rsid w:val="00777AAB"/>
    <w:rsid w:val="00780045"/>
    <w:rsid w:val="00780FF9"/>
    <w:rsid w:val="007815E8"/>
    <w:rsid w:val="0078285C"/>
    <w:rsid w:val="00782B30"/>
    <w:rsid w:val="0078328E"/>
    <w:rsid w:val="0078352E"/>
    <w:rsid w:val="00783A36"/>
    <w:rsid w:val="007841AF"/>
    <w:rsid w:val="007845D4"/>
    <w:rsid w:val="00784CFC"/>
    <w:rsid w:val="00784DF0"/>
    <w:rsid w:val="00785A38"/>
    <w:rsid w:val="00785C2A"/>
    <w:rsid w:val="0078668F"/>
    <w:rsid w:val="00786703"/>
    <w:rsid w:val="0078700E"/>
    <w:rsid w:val="00787339"/>
    <w:rsid w:val="00787818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802"/>
    <w:rsid w:val="00793D45"/>
    <w:rsid w:val="007944FD"/>
    <w:rsid w:val="00795E20"/>
    <w:rsid w:val="00796084"/>
    <w:rsid w:val="00796787"/>
    <w:rsid w:val="007975BD"/>
    <w:rsid w:val="00797B7E"/>
    <w:rsid w:val="007A05A2"/>
    <w:rsid w:val="007A0CBB"/>
    <w:rsid w:val="007A10D6"/>
    <w:rsid w:val="007A12EE"/>
    <w:rsid w:val="007A138C"/>
    <w:rsid w:val="007A1834"/>
    <w:rsid w:val="007A1856"/>
    <w:rsid w:val="007A1E52"/>
    <w:rsid w:val="007A1ECC"/>
    <w:rsid w:val="007A2A4D"/>
    <w:rsid w:val="007A31B2"/>
    <w:rsid w:val="007A3629"/>
    <w:rsid w:val="007A385C"/>
    <w:rsid w:val="007A38F5"/>
    <w:rsid w:val="007A3D24"/>
    <w:rsid w:val="007A3EB2"/>
    <w:rsid w:val="007A484F"/>
    <w:rsid w:val="007A4860"/>
    <w:rsid w:val="007A4CAF"/>
    <w:rsid w:val="007A4D41"/>
    <w:rsid w:val="007A4F52"/>
    <w:rsid w:val="007A4F7B"/>
    <w:rsid w:val="007A5EE4"/>
    <w:rsid w:val="007A61E4"/>
    <w:rsid w:val="007A704A"/>
    <w:rsid w:val="007A7242"/>
    <w:rsid w:val="007B0C14"/>
    <w:rsid w:val="007B12B0"/>
    <w:rsid w:val="007B1392"/>
    <w:rsid w:val="007B1785"/>
    <w:rsid w:val="007B180C"/>
    <w:rsid w:val="007B215A"/>
    <w:rsid w:val="007B22DC"/>
    <w:rsid w:val="007B24F0"/>
    <w:rsid w:val="007B34DC"/>
    <w:rsid w:val="007B3A98"/>
    <w:rsid w:val="007B4008"/>
    <w:rsid w:val="007B4421"/>
    <w:rsid w:val="007B44D3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203"/>
    <w:rsid w:val="007C1541"/>
    <w:rsid w:val="007C19DF"/>
    <w:rsid w:val="007C25F8"/>
    <w:rsid w:val="007C298E"/>
    <w:rsid w:val="007C347A"/>
    <w:rsid w:val="007C44DC"/>
    <w:rsid w:val="007C4545"/>
    <w:rsid w:val="007C45F7"/>
    <w:rsid w:val="007C46D1"/>
    <w:rsid w:val="007C47C2"/>
    <w:rsid w:val="007C4822"/>
    <w:rsid w:val="007C490A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A27"/>
    <w:rsid w:val="007C7E7C"/>
    <w:rsid w:val="007C7F4C"/>
    <w:rsid w:val="007D065E"/>
    <w:rsid w:val="007D077E"/>
    <w:rsid w:val="007D0A94"/>
    <w:rsid w:val="007D0B22"/>
    <w:rsid w:val="007D0BD6"/>
    <w:rsid w:val="007D0D5B"/>
    <w:rsid w:val="007D13BB"/>
    <w:rsid w:val="007D143D"/>
    <w:rsid w:val="007D25B9"/>
    <w:rsid w:val="007D2954"/>
    <w:rsid w:val="007D2BE8"/>
    <w:rsid w:val="007D3066"/>
    <w:rsid w:val="007D3F2A"/>
    <w:rsid w:val="007D421B"/>
    <w:rsid w:val="007D4490"/>
    <w:rsid w:val="007D4579"/>
    <w:rsid w:val="007D4738"/>
    <w:rsid w:val="007D4901"/>
    <w:rsid w:val="007D51EB"/>
    <w:rsid w:val="007D58BB"/>
    <w:rsid w:val="007D6835"/>
    <w:rsid w:val="007D6875"/>
    <w:rsid w:val="007D69FE"/>
    <w:rsid w:val="007D6A93"/>
    <w:rsid w:val="007D7CDE"/>
    <w:rsid w:val="007D7DC7"/>
    <w:rsid w:val="007E01AF"/>
    <w:rsid w:val="007E0772"/>
    <w:rsid w:val="007E0D31"/>
    <w:rsid w:val="007E0E04"/>
    <w:rsid w:val="007E0EF9"/>
    <w:rsid w:val="007E17BD"/>
    <w:rsid w:val="007E1D68"/>
    <w:rsid w:val="007E21D9"/>
    <w:rsid w:val="007E2478"/>
    <w:rsid w:val="007E2BDD"/>
    <w:rsid w:val="007E440D"/>
    <w:rsid w:val="007E45CA"/>
    <w:rsid w:val="007E48C0"/>
    <w:rsid w:val="007E5885"/>
    <w:rsid w:val="007E61B7"/>
    <w:rsid w:val="007E64B5"/>
    <w:rsid w:val="007E64FF"/>
    <w:rsid w:val="007E6F62"/>
    <w:rsid w:val="007E6FEA"/>
    <w:rsid w:val="007E756C"/>
    <w:rsid w:val="007E7C7B"/>
    <w:rsid w:val="007E7E0F"/>
    <w:rsid w:val="007E7F8F"/>
    <w:rsid w:val="007F014B"/>
    <w:rsid w:val="007F015E"/>
    <w:rsid w:val="007F1160"/>
    <w:rsid w:val="007F1197"/>
    <w:rsid w:val="007F21B0"/>
    <w:rsid w:val="007F2DE9"/>
    <w:rsid w:val="007F3225"/>
    <w:rsid w:val="007F341B"/>
    <w:rsid w:val="007F3682"/>
    <w:rsid w:val="007F393B"/>
    <w:rsid w:val="007F3AA2"/>
    <w:rsid w:val="007F3B45"/>
    <w:rsid w:val="007F3E3E"/>
    <w:rsid w:val="007F4A9E"/>
    <w:rsid w:val="007F4ABC"/>
    <w:rsid w:val="007F4D45"/>
    <w:rsid w:val="007F510F"/>
    <w:rsid w:val="007F545B"/>
    <w:rsid w:val="007F59AE"/>
    <w:rsid w:val="007F59B2"/>
    <w:rsid w:val="007F6607"/>
    <w:rsid w:val="007F7865"/>
    <w:rsid w:val="007F797B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E3"/>
    <w:rsid w:val="008038F6"/>
    <w:rsid w:val="00803D7F"/>
    <w:rsid w:val="00804558"/>
    <w:rsid w:val="008047AE"/>
    <w:rsid w:val="00804855"/>
    <w:rsid w:val="00804B21"/>
    <w:rsid w:val="00805483"/>
    <w:rsid w:val="0080585D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92F"/>
    <w:rsid w:val="00811B28"/>
    <w:rsid w:val="00812862"/>
    <w:rsid w:val="00812A7A"/>
    <w:rsid w:val="00812BB7"/>
    <w:rsid w:val="0081362B"/>
    <w:rsid w:val="0081375A"/>
    <w:rsid w:val="0081450B"/>
    <w:rsid w:val="0081467F"/>
    <w:rsid w:val="00815339"/>
    <w:rsid w:val="008154F1"/>
    <w:rsid w:val="0081591F"/>
    <w:rsid w:val="00815A37"/>
    <w:rsid w:val="00815A99"/>
    <w:rsid w:val="00815E13"/>
    <w:rsid w:val="00815E5B"/>
    <w:rsid w:val="008160D1"/>
    <w:rsid w:val="008162B3"/>
    <w:rsid w:val="0081640D"/>
    <w:rsid w:val="0081687A"/>
    <w:rsid w:val="008169A1"/>
    <w:rsid w:val="00816BDC"/>
    <w:rsid w:val="00816CE8"/>
    <w:rsid w:val="00820160"/>
    <w:rsid w:val="0082022B"/>
    <w:rsid w:val="00820BBC"/>
    <w:rsid w:val="00820E0E"/>
    <w:rsid w:val="00820E9A"/>
    <w:rsid w:val="00821237"/>
    <w:rsid w:val="008216DA"/>
    <w:rsid w:val="008217C3"/>
    <w:rsid w:val="00821868"/>
    <w:rsid w:val="008219B8"/>
    <w:rsid w:val="00821ECA"/>
    <w:rsid w:val="00822414"/>
    <w:rsid w:val="00822A29"/>
    <w:rsid w:val="00822CB9"/>
    <w:rsid w:val="00822E2C"/>
    <w:rsid w:val="00822E2D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427"/>
    <w:rsid w:val="00826565"/>
    <w:rsid w:val="008266A2"/>
    <w:rsid w:val="008267AE"/>
    <w:rsid w:val="008277F4"/>
    <w:rsid w:val="00827A74"/>
    <w:rsid w:val="00830B33"/>
    <w:rsid w:val="0083118A"/>
    <w:rsid w:val="00831284"/>
    <w:rsid w:val="00831784"/>
    <w:rsid w:val="00832727"/>
    <w:rsid w:val="00833196"/>
    <w:rsid w:val="00833718"/>
    <w:rsid w:val="008337C1"/>
    <w:rsid w:val="00834838"/>
    <w:rsid w:val="00834F23"/>
    <w:rsid w:val="008353B6"/>
    <w:rsid w:val="00835B40"/>
    <w:rsid w:val="00836A67"/>
    <w:rsid w:val="00836CEB"/>
    <w:rsid w:val="00837498"/>
    <w:rsid w:val="00840AB4"/>
    <w:rsid w:val="00840EAF"/>
    <w:rsid w:val="008416BF"/>
    <w:rsid w:val="008416FD"/>
    <w:rsid w:val="0084188F"/>
    <w:rsid w:val="00842659"/>
    <w:rsid w:val="0084284A"/>
    <w:rsid w:val="0084293A"/>
    <w:rsid w:val="0084354C"/>
    <w:rsid w:val="0084375D"/>
    <w:rsid w:val="0084416F"/>
    <w:rsid w:val="00844462"/>
    <w:rsid w:val="008449FE"/>
    <w:rsid w:val="00845515"/>
    <w:rsid w:val="00845520"/>
    <w:rsid w:val="00845FC4"/>
    <w:rsid w:val="008461B0"/>
    <w:rsid w:val="008469E9"/>
    <w:rsid w:val="00846AD6"/>
    <w:rsid w:val="00846C9F"/>
    <w:rsid w:val="00846D16"/>
    <w:rsid w:val="00846F4C"/>
    <w:rsid w:val="008474BA"/>
    <w:rsid w:val="008475E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CEC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76F"/>
    <w:rsid w:val="008568BB"/>
    <w:rsid w:val="00856E96"/>
    <w:rsid w:val="00857822"/>
    <w:rsid w:val="00857C93"/>
    <w:rsid w:val="0086028E"/>
    <w:rsid w:val="0086076D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673"/>
    <w:rsid w:val="008638FB"/>
    <w:rsid w:val="00863D6F"/>
    <w:rsid w:val="00864017"/>
    <w:rsid w:val="0086444C"/>
    <w:rsid w:val="008644B1"/>
    <w:rsid w:val="008645DD"/>
    <w:rsid w:val="00864768"/>
    <w:rsid w:val="00864CDF"/>
    <w:rsid w:val="008658AB"/>
    <w:rsid w:val="00865B18"/>
    <w:rsid w:val="0086672E"/>
    <w:rsid w:val="00866CF2"/>
    <w:rsid w:val="008675EC"/>
    <w:rsid w:val="008679CD"/>
    <w:rsid w:val="008679CE"/>
    <w:rsid w:val="00867DA7"/>
    <w:rsid w:val="008700A1"/>
    <w:rsid w:val="008705A8"/>
    <w:rsid w:val="00870828"/>
    <w:rsid w:val="00870A16"/>
    <w:rsid w:val="008718FC"/>
    <w:rsid w:val="00871CC2"/>
    <w:rsid w:val="00871F4F"/>
    <w:rsid w:val="0087200D"/>
    <w:rsid w:val="00872131"/>
    <w:rsid w:val="008723B8"/>
    <w:rsid w:val="008725F5"/>
    <w:rsid w:val="0087288D"/>
    <w:rsid w:val="00873147"/>
    <w:rsid w:val="00873664"/>
    <w:rsid w:val="00873C1E"/>
    <w:rsid w:val="00873CD6"/>
    <w:rsid w:val="00873DE6"/>
    <w:rsid w:val="00873FBF"/>
    <w:rsid w:val="0087416C"/>
    <w:rsid w:val="00874178"/>
    <w:rsid w:val="00874272"/>
    <w:rsid w:val="008743DF"/>
    <w:rsid w:val="00874C66"/>
    <w:rsid w:val="00874F67"/>
    <w:rsid w:val="00875F4F"/>
    <w:rsid w:val="008762D8"/>
    <w:rsid w:val="00876DC6"/>
    <w:rsid w:val="008772D9"/>
    <w:rsid w:val="00877B29"/>
    <w:rsid w:val="008808B9"/>
    <w:rsid w:val="00880929"/>
    <w:rsid w:val="00880B30"/>
    <w:rsid w:val="00880F1D"/>
    <w:rsid w:val="0088172A"/>
    <w:rsid w:val="00881D36"/>
    <w:rsid w:val="00881F90"/>
    <w:rsid w:val="0088360D"/>
    <w:rsid w:val="008838C9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EA"/>
    <w:rsid w:val="00890139"/>
    <w:rsid w:val="008903B5"/>
    <w:rsid w:val="0089040D"/>
    <w:rsid w:val="008910F8"/>
    <w:rsid w:val="0089160E"/>
    <w:rsid w:val="00891E5D"/>
    <w:rsid w:val="008921B1"/>
    <w:rsid w:val="00892687"/>
    <w:rsid w:val="008928B8"/>
    <w:rsid w:val="00892F47"/>
    <w:rsid w:val="00893386"/>
    <w:rsid w:val="0089363C"/>
    <w:rsid w:val="00893657"/>
    <w:rsid w:val="00893671"/>
    <w:rsid w:val="008940E3"/>
    <w:rsid w:val="008941FB"/>
    <w:rsid w:val="00894565"/>
    <w:rsid w:val="008950D6"/>
    <w:rsid w:val="0089558F"/>
    <w:rsid w:val="00895B46"/>
    <w:rsid w:val="00896474"/>
    <w:rsid w:val="008967B4"/>
    <w:rsid w:val="00896C41"/>
    <w:rsid w:val="00896DBC"/>
    <w:rsid w:val="00897B59"/>
    <w:rsid w:val="00897C6C"/>
    <w:rsid w:val="00897D1A"/>
    <w:rsid w:val="008A00F6"/>
    <w:rsid w:val="008A0905"/>
    <w:rsid w:val="008A0B02"/>
    <w:rsid w:val="008A0E0D"/>
    <w:rsid w:val="008A1558"/>
    <w:rsid w:val="008A155C"/>
    <w:rsid w:val="008A180E"/>
    <w:rsid w:val="008A197C"/>
    <w:rsid w:val="008A2545"/>
    <w:rsid w:val="008A2636"/>
    <w:rsid w:val="008A35DB"/>
    <w:rsid w:val="008A3AF9"/>
    <w:rsid w:val="008A3FBE"/>
    <w:rsid w:val="008A4013"/>
    <w:rsid w:val="008A48D7"/>
    <w:rsid w:val="008A4C9C"/>
    <w:rsid w:val="008A5B6C"/>
    <w:rsid w:val="008A5DBC"/>
    <w:rsid w:val="008A6041"/>
    <w:rsid w:val="008A60F8"/>
    <w:rsid w:val="008A69FE"/>
    <w:rsid w:val="008A6EC7"/>
    <w:rsid w:val="008A6F36"/>
    <w:rsid w:val="008A7286"/>
    <w:rsid w:val="008A7B50"/>
    <w:rsid w:val="008B052B"/>
    <w:rsid w:val="008B0641"/>
    <w:rsid w:val="008B0EB7"/>
    <w:rsid w:val="008B1237"/>
    <w:rsid w:val="008B138E"/>
    <w:rsid w:val="008B1C78"/>
    <w:rsid w:val="008B1F87"/>
    <w:rsid w:val="008B2646"/>
    <w:rsid w:val="008B28BD"/>
    <w:rsid w:val="008B2E96"/>
    <w:rsid w:val="008B2F53"/>
    <w:rsid w:val="008B3006"/>
    <w:rsid w:val="008B3139"/>
    <w:rsid w:val="008B3B50"/>
    <w:rsid w:val="008B3D47"/>
    <w:rsid w:val="008B3DEB"/>
    <w:rsid w:val="008B44CB"/>
    <w:rsid w:val="008B46D2"/>
    <w:rsid w:val="008B4B23"/>
    <w:rsid w:val="008B4EE6"/>
    <w:rsid w:val="008B5253"/>
    <w:rsid w:val="008B538C"/>
    <w:rsid w:val="008B53D8"/>
    <w:rsid w:val="008B62C5"/>
    <w:rsid w:val="008B63BE"/>
    <w:rsid w:val="008B640E"/>
    <w:rsid w:val="008B6505"/>
    <w:rsid w:val="008B688D"/>
    <w:rsid w:val="008B70EE"/>
    <w:rsid w:val="008B715C"/>
    <w:rsid w:val="008B75B8"/>
    <w:rsid w:val="008C0612"/>
    <w:rsid w:val="008C09F6"/>
    <w:rsid w:val="008C0EAD"/>
    <w:rsid w:val="008C1442"/>
    <w:rsid w:val="008C14C5"/>
    <w:rsid w:val="008C1693"/>
    <w:rsid w:val="008C19D9"/>
    <w:rsid w:val="008C1A5E"/>
    <w:rsid w:val="008C1A81"/>
    <w:rsid w:val="008C1DA5"/>
    <w:rsid w:val="008C29FE"/>
    <w:rsid w:val="008C32CA"/>
    <w:rsid w:val="008C3967"/>
    <w:rsid w:val="008C431E"/>
    <w:rsid w:val="008C4CA9"/>
    <w:rsid w:val="008C534D"/>
    <w:rsid w:val="008C54BD"/>
    <w:rsid w:val="008C54C4"/>
    <w:rsid w:val="008C58B5"/>
    <w:rsid w:val="008C5B5E"/>
    <w:rsid w:val="008C5D1F"/>
    <w:rsid w:val="008C5EDE"/>
    <w:rsid w:val="008C6056"/>
    <w:rsid w:val="008C6628"/>
    <w:rsid w:val="008C69C9"/>
    <w:rsid w:val="008C6E38"/>
    <w:rsid w:val="008C6F75"/>
    <w:rsid w:val="008C7C18"/>
    <w:rsid w:val="008C7CC4"/>
    <w:rsid w:val="008D047D"/>
    <w:rsid w:val="008D0B4C"/>
    <w:rsid w:val="008D0E0B"/>
    <w:rsid w:val="008D0FC3"/>
    <w:rsid w:val="008D14C4"/>
    <w:rsid w:val="008D1964"/>
    <w:rsid w:val="008D1F1C"/>
    <w:rsid w:val="008D221A"/>
    <w:rsid w:val="008D24D6"/>
    <w:rsid w:val="008D24E1"/>
    <w:rsid w:val="008D3E6A"/>
    <w:rsid w:val="008D4520"/>
    <w:rsid w:val="008D53E2"/>
    <w:rsid w:val="008D5908"/>
    <w:rsid w:val="008D5AF1"/>
    <w:rsid w:val="008D65CE"/>
    <w:rsid w:val="008D6A6E"/>
    <w:rsid w:val="008D7575"/>
    <w:rsid w:val="008D781F"/>
    <w:rsid w:val="008D7DBE"/>
    <w:rsid w:val="008E02B7"/>
    <w:rsid w:val="008E20BE"/>
    <w:rsid w:val="008E241B"/>
    <w:rsid w:val="008E264E"/>
    <w:rsid w:val="008E2B7E"/>
    <w:rsid w:val="008E3096"/>
    <w:rsid w:val="008E330C"/>
    <w:rsid w:val="008E332F"/>
    <w:rsid w:val="008E36A1"/>
    <w:rsid w:val="008E3E27"/>
    <w:rsid w:val="008E3F30"/>
    <w:rsid w:val="008E4114"/>
    <w:rsid w:val="008E45EA"/>
    <w:rsid w:val="008E4A1A"/>
    <w:rsid w:val="008E5E01"/>
    <w:rsid w:val="008E639D"/>
    <w:rsid w:val="008E69A3"/>
    <w:rsid w:val="008E7CC9"/>
    <w:rsid w:val="008F02A1"/>
    <w:rsid w:val="008F0E69"/>
    <w:rsid w:val="008F12FF"/>
    <w:rsid w:val="008F2E5D"/>
    <w:rsid w:val="008F33EA"/>
    <w:rsid w:val="008F3D3E"/>
    <w:rsid w:val="008F3F31"/>
    <w:rsid w:val="008F464C"/>
    <w:rsid w:val="008F4655"/>
    <w:rsid w:val="008F4779"/>
    <w:rsid w:val="008F542B"/>
    <w:rsid w:val="008F5645"/>
    <w:rsid w:val="008F5670"/>
    <w:rsid w:val="008F5924"/>
    <w:rsid w:val="008F599F"/>
    <w:rsid w:val="008F6004"/>
    <w:rsid w:val="008F63DF"/>
    <w:rsid w:val="008F64E5"/>
    <w:rsid w:val="008F677E"/>
    <w:rsid w:val="008F72B1"/>
    <w:rsid w:val="008F7382"/>
    <w:rsid w:val="008F7C28"/>
    <w:rsid w:val="00900222"/>
    <w:rsid w:val="009002A0"/>
    <w:rsid w:val="0090034D"/>
    <w:rsid w:val="009006EA"/>
    <w:rsid w:val="00900EC7"/>
    <w:rsid w:val="00900FFC"/>
    <w:rsid w:val="009011F9"/>
    <w:rsid w:val="00901244"/>
    <w:rsid w:val="00901366"/>
    <w:rsid w:val="00901979"/>
    <w:rsid w:val="00902357"/>
    <w:rsid w:val="0090242A"/>
    <w:rsid w:val="00902C85"/>
    <w:rsid w:val="009030F7"/>
    <w:rsid w:val="009034D9"/>
    <w:rsid w:val="00904659"/>
    <w:rsid w:val="009046C9"/>
    <w:rsid w:val="009046F1"/>
    <w:rsid w:val="00904883"/>
    <w:rsid w:val="00904B0A"/>
    <w:rsid w:val="00904F84"/>
    <w:rsid w:val="009055DD"/>
    <w:rsid w:val="00906168"/>
    <w:rsid w:val="0090616A"/>
    <w:rsid w:val="00906527"/>
    <w:rsid w:val="00906BD9"/>
    <w:rsid w:val="00906EA0"/>
    <w:rsid w:val="00907F4C"/>
    <w:rsid w:val="0091006A"/>
    <w:rsid w:val="00910B57"/>
    <w:rsid w:val="009113D5"/>
    <w:rsid w:val="009113DD"/>
    <w:rsid w:val="0091148A"/>
    <w:rsid w:val="009116EC"/>
    <w:rsid w:val="009118F9"/>
    <w:rsid w:val="00912347"/>
    <w:rsid w:val="0091268D"/>
    <w:rsid w:val="009129C1"/>
    <w:rsid w:val="00913378"/>
    <w:rsid w:val="00913B74"/>
    <w:rsid w:val="00913EBB"/>
    <w:rsid w:val="0091401E"/>
    <w:rsid w:val="009141BB"/>
    <w:rsid w:val="00914B55"/>
    <w:rsid w:val="00914DC4"/>
    <w:rsid w:val="00915329"/>
    <w:rsid w:val="0091588C"/>
    <w:rsid w:val="00915DB5"/>
    <w:rsid w:val="00915DF4"/>
    <w:rsid w:val="00916068"/>
    <w:rsid w:val="00916BF5"/>
    <w:rsid w:val="00916CCB"/>
    <w:rsid w:val="00917DB8"/>
    <w:rsid w:val="00920C09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2B25"/>
    <w:rsid w:val="00922C7E"/>
    <w:rsid w:val="00924A6C"/>
    <w:rsid w:val="00924ED4"/>
    <w:rsid w:val="00924F63"/>
    <w:rsid w:val="00925C41"/>
    <w:rsid w:val="0092623B"/>
    <w:rsid w:val="00926C7F"/>
    <w:rsid w:val="009271AB"/>
    <w:rsid w:val="00927281"/>
    <w:rsid w:val="009273B8"/>
    <w:rsid w:val="00927A20"/>
    <w:rsid w:val="00930298"/>
    <w:rsid w:val="009302A6"/>
    <w:rsid w:val="00931325"/>
    <w:rsid w:val="009315F7"/>
    <w:rsid w:val="009319DC"/>
    <w:rsid w:val="00931AAD"/>
    <w:rsid w:val="00931E6D"/>
    <w:rsid w:val="00932D04"/>
    <w:rsid w:val="00932E9E"/>
    <w:rsid w:val="00933B8A"/>
    <w:rsid w:val="00934141"/>
    <w:rsid w:val="009341AA"/>
    <w:rsid w:val="0093429A"/>
    <w:rsid w:val="0093485F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6E7B"/>
    <w:rsid w:val="0093724D"/>
    <w:rsid w:val="009377A1"/>
    <w:rsid w:val="00940850"/>
    <w:rsid w:val="00940B1D"/>
    <w:rsid w:val="0094243B"/>
    <w:rsid w:val="009425EB"/>
    <w:rsid w:val="00942673"/>
    <w:rsid w:val="009428A4"/>
    <w:rsid w:val="00942B71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B75"/>
    <w:rsid w:val="00946D2E"/>
    <w:rsid w:val="00946E64"/>
    <w:rsid w:val="009472F6"/>
    <w:rsid w:val="0094783F"/>
    <w:rsid w:val="00947C82"/>
    <w:rsid w:val="00950B18"/>
    <w:rsid w:val="00950C55"/>
    <w:rsid w:val="00950CB3"/>
    <w:rsid w:val="00952224"/>
    <w:rsid w:val="0095267E"/>
    <w:rsid w:val="00952EBB"/>
    <w:rsid w:val="00952F24"/>
    <w:rsid w:val="00953211"/>
    <w:rsid w:val="009533B7"/>
    <w:rsid w:val="0095370E"/>
    <w:rsid w:val="00953B5D"/>
    <w:rsid w:val="00953D3D"/>
    <w:rsid w:val="00953F68"/>
    <w:rsid w:val="009543D8"/>
    <w:rsid w:val="009545D6"/>
    <w:rsid w:val="00954F67"/>
    <w:rsid w:val="00955294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29F"/>
    <w:rsid w:val="009615D7"/>
    <w:rsid w:val="009620CC"/>
    <w:rsid w:val="0096212C"/>
    <w:rsid w:val="00962D17"/>
    <w:rsid w:val="00963947"/>
    <w:rsid w:val="00963A13"/>
    <w:rsid w:val="00963D17"/>
    <w:rsid w:val="00963D45"/>
    <w:rsid w:val="009640B5"/>
    <w:rsid w:val="00964459"/>
    <w:rsid w:val="009657BA"/>
    <w:rsid w:val="009657D5"/>
    <w:rsid w:val="00965F9F"/>
    <w:rsid w:val="00965FB2"/>
    <w:rsid w:val="00966141"/>
    <w:rsid w:val="00966179"/>
    <w:rsid w:val="009662EC"/>
    <w:rsid w:val="009665DE"/>
    <w:rsid w:val="00966611"/>
    <w:rsid w:val="009669CC"/>
    <w:rsid w:val="00967655"/>
    <w:rsid w:val="009678F5"/>
    <w:rsid w:val="00970F12"/>
    <w:rsid w:val="009710BF"/>
    <w:rsid w:val="009711A5"/>
    <w:rsid w:val="00971874"/>
    <w:rsid w:val="00971B65"/>
    <w:rsid w:val="00971F83"/>
    <w:rsid w:val="00972061"/>
    <w:rsid w:val="0097245C"/>
    <w:rsid w:val="009725FE"/>
    <w:rsid w:val="0097282B"/>
    <w:rsid w:val="00972BE5"/>
    <w:rsid w:val="00972DAC"/>
    <w:rsid w:val="009730AD"/>
    <w:rsid w:val="009738A3"/>
    <w:rsid w:val="00973A35"/>
    <w:rsid w:val="009740EA"/>
    <w:rsid w:val="00974690"/>
    <w:rsid w:val="00974A1E"/>
    <w:rsid w:val="00974B8A"/>
    <w:rsid w:val="00974B9A"/>
    <w:rsid w:val="0097559A"/>
    <w:rsid w:val="0097577F"/>
    <w:rsid w:val="00975D48"/>
    <w:rsid w:val="00975E49"/>
    <w:rsid w:val="00976546"/>
    <w:rsid w:val="00976CB4"/>
    <w:rsid w:val="00976FCF"/>
    <w:rsid w:val="00977202"/>
    <w:rsid w:val="00977480"/>
    <w:rsid w:val="00977AEA"/>
    <w:rsid w:val="009808CF"/>
    <w:rsid w:val="00980AD0"/>
    <w:rsid w:val="00980BAC"/>
    <w:rsid w:val="00980DF0"/>
    <w:rsid w:val="00980F3F"/>
    <w:rsid w:val="00981289"/>
    <w:rsid w:val="00981D1C"/>
    <w:rsid w:val="00982214"/>
    <w:rsid w:val="009823D4"/>
    <w:rsid w:val="00982474"/>
    <w:rsid w:val="00982628"/>
    <w:rsid w:val="00983285"/>
    <w:rsid w:val="00983FBC"/>
    <w:rsid w:val="00984672"/>
    <w:rsid w:val="00984F97"/>
    <w:rsid w:val="0098569D"/>
    <w:rsid w:val="00985A09"/>
    <w:rsid w:val="00985C2E"/>
    <w:rsid w:val="00986277"/>
    <w:rsid w:val="009866A3"/>
    <w:rsid w:val="0098693D"/>
    <w:rsid w:val="009873C1"/>
    <w:rsid w:val="00987ECB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9AF"/>
    <w:rsid w:val="00993ED8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B68"/>
    <w:rsid w:val="00995C16"/>
    <w:rsid w:val="00995C24"/>
    <w:rsid w:val="0099625A"/>
    <w:rsid w:val="009965BC"/>
    <w:rsid w:val="0099662E"/>
    <w:rsid w:val="00997258"/>
    <w:rsid w:val="00997C19"/>
    <w:rsid w:val="009A0415"/>
    <w:rsid w:val="009A04CD"/>
    <w:rsid w:val="009A177E"/>
    <w:rsid w:val="009A1AE9"/>
    <w:rsid w:val="009A1D07"/>
    <w:rsid w:val="009A22E6"/>
    <w:rsid w:val="009A2486"/>
    <w:rsid w:val="009A2690"/>
    <w:rsid w:val="009A2EC0"/>
    <w:rsid w:val="009A3307"/>
    <w:rsid w:val="009A3520"/>
    <w:rsid w:val="009A3547"/>
    <w:rsid w:val="009A395E"/>
    <w:rsid w:val="009A39FF"/>
    <w:rsid w:val="009A3CB5"/>
    <w:rsid w:val="009A3EAF"/>
    <w:rsid w:val="009A3F33"/>
    <w:rsid w:val="009A5501"/>
    <w:rsid w:val="009A5AE0"/>
    <w:rsid w:val="009A6621"/>
    <w:rsid w:val="009A6AEA"/>
    <w:rsid w:val="009A6CC5"/>
    <w:rsid w:val="009A7150"/>
    <w:rsid w:val="009A7661"/>
    <w:rsid w:val="009A7BC4"/>
    <w:rsid w:val="009B057D"/>
    <w:rsid w:val="009B05C1"/>
    <w:rsid w:val="009B08B3"/>
    <w:rsid w:val="009B0EA9"/>
    <w:rsid w:val="009B1F3A"/>
    <w:rsid w:val="009B2766"/>
    <w:rsid w:val="009B290B"/>
    <w:rsid w:val="009B32F0"/>
    <w:rsid w:val="009B3DE0"/>
    <w:rsid w:val="009B3EB4"/>
    <w:rsid w:val="009B3F21"/>
    <w:rsid w:val="009B42BE"/>
    <w:rsid w:val="009B543C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90A"/>
    <w:rsid w:val="009C0CF8"/>
    <w:rsid w:val="009C125A"/>
    <w:rsid w:val="009C1D57"/>
    <w:rsid w:val="009C1EB2"/>
    <w:rsid w:val="009C2675"/>
    <w:rsid w:val="009C2839"/>
    <w:rsid w:val="009C2DC4"/>
    <w:rsid w:val="009C3042"/>
    <w:rsid w:val="009C386A"/>
    <w:rsid w:val="009C3B12"/>
    <w:rsid w:val="009C3E9C"/>
    <w:rsid w:val="009C4A32"/>
    <w:rsid w:val="009C4C9A"/>
    <w:rsid w:val="009C5A10"/>
    <w:rsid w:val="009C63AB"/>
    <w:rsid w:val="009C69D0"/>
    <w:rsid w:val="009C69F4"/>
    <w:rsid w:val="009C6D92"/>
    <w:rsid w:val="009C7163"/>
    <w:rsid w:val="009C76AC"/>
    <w:rsid w:val="009C77A3"/>
    <w:rsid w:val="009C7DB8"/>
    <w:rsid w:val="009D1082"/>
    <w:rsid w:val="009D1C00"/>
    <w:rsid w:val="009D1D1E"/>
    <w:rsid w:val="009D20AC"/>
    <w:rsid w:val="009D20C9"/>
    <w:rsid w:val="009D21C8"/>
    <w:rsid w:val="009D26D8"/>
    <w:rsid w:val="009D30F9"/>
    <w:rsid w:val="009D3192"/>
    <w:rsid w:val="009D31C0"/>
    <w:rsid w:val="009D321F"/>
    <w:rsid w:val="009D322C"/>
    <w:rsid w:val="009D334F"/>
    <w:rsid w:val="009D347E"/>
    <w:rsid w:val="009D34BA"/>
    <w:rsid w:val="009D372A"/>
    <w:rsid w:val="009D3A26"/>
    <w:rsid w:val="009D3BAC"/>
    <w:rsid w:val="009D3EDD"/>
    <w:rsid w:val="009D48BA"/>
    <w:rsid w:val="009D4B7E"/>
    <w:rsid w:val="009D4C7B"/>
    <w:rsid w:val="009D4D48"/>
    <w:rsid w:val="009D4DC6"/>
    <w:rsid w:val="009D5106"/>
    <w:rsid w:val="009D5570"/>
    <w:rsid w:val="009D58F9"/>
    <w:rsid w:val="009D66B9"/>
    <w:rsid w:val="009D6B77"/>
    <w:rsid w:val="009D6CE1"/>
    <w:rsid w:val="009D7BC8"/>
    <w:rsid w:val="009E14B2"/>
    <w:rsid w:val="009E1D15"/>
    <w:rsid w:val="009E1DFA"/>
    <w:rsid w:val="009E23ED"/>
    <w:rsid w:val="009E26BC"/>
    <w:rsid w:val="009E2BC4"/>
    <w:rsid w:val="009E2FC7"/>
    <w:rsid w:val="009E322C"/>
    <w:rsid w:val="009E3352"/>
    <w:rsid w:val="009E3479"/>
    <w:rsid w:val="009E387D"/>
    <w:rsid w:val="009E453D"/>
    <w:rsid w:val="009E5013"/>
    <w:rsid w:val="009E56B0"/>
    <w:rsid w:val="009E5917"/>
    <w:rsid w:val="009E5CF7"/>
    <w:rsid w:val="009E6223"/>
    <w:rsid w:val="009E66C7"/>
    <w:rsid w:val="009E725F"/>
    <w:rsid w:val="009E79CF"/>
    <w:rsid w:val="009E7F2E"/>
    <w:rsid w:val="009F009C"/>
    <w:rsid w:val="009F0345"/>
    <w:rsid w:val="009F04F2"/>
    <w:rsid w:val="009F0A8F"/>
    <w:rsid w:val="009F231C"/>
    <w:rsid w:val="009F237D"/>
    <w:rsid w:val="009F2512"/>
    <w:rsid w:val="009F2C7D"/>
    <w:rsid w:val="009F311F"/>
    <w:rsid w:val="009F32AF"/>
    <w:rsid w:val="009F344F"/>
    <w:rsid w:val="009F40CE"/>
    <w:rsid w:val="009F4CDA"/>
    <w:rsid w:val="009F4D89"/>
    <w:rsid w:val="009F59BF"/>
    <w:rsid w:val="009F59D1"/>
    <w:rsid w:val="009F5F68"/>
    <w:rsid w:val="009F6905"/>
    <w:rsid w:val="009F776E"/>
    <w:rsid w:val="00A00F42"/>
    <w:rsid w:val="00A01519"/>
    <w:rsid w:val="00A0195A"/>
    <w:rsid w:val="00A02D3C"/>
    <w:rsid w:val="00A032EA"/>
    <w:rsid w:val="00A0408F"/>
    <w:rsid w:val="00A04868"/>
    <w:rsid w:val="00A04E68"/>
    <w:rsid w:val="00A05029"/>
    <w:rsid w:val="00A05975"/>
    <w:rsid w:val="00A05EAA"/>
    <w:rsid w:val="00A0608D"/>
    <w:rsid w:val="00A060BE"/>
    <w:rsid w:val="00A0695E"/>
    <w:rsid w:val="00A06BEF"/>
    <w:rsid w:val="00A074BD"/>
    <w:rsid w:val="00A07D26"/>
    <w:rsid w:val="00A101B6"/>
    <w:rsid w:val="00A1036E"/>
    <w:rsid w:val="00A103D7"/>
    <w:rsid w:val="00A104A1"/>
    <w:rsid w:val="00A10D80"/>
    <w:rsid w:val="00A10FC7"/>
    <w:rsid w:val="00A11671"/>
    <w:rsid w:val="00A1187C"/>
    <w:rsid w:val="00A12CCC"/>
    <w:rsid w:val="00A12D1A"/>
    <w:rsid w:val="00A12E07"/>
    <w:rsid w:val="00A12F3D"/>
    <w:rsid w:val="00A1361B"/>
    <w:rsid w:val="00A13A4E"/>
    <w:rsid w:val="00A15566"/>
    <w:rsid w:val="00A1572D"/>
    <w:rsid w:val="00A15B2D"/>
    <w:rsid w:val="00A163CD"/>
    <w:rsid w:val="00A16778"/>
    <w:rsid w:val="00A16B57"/>
    <w:rsid w:val="00A20224"/>
    <w:rsid w:val="00A20D0C"/>
    <w:rsid w:val="00A21424"/>
    <w:rsid w:val="00A21997"/>
    <w:rsid w:val="00A22095"/>
    <w:rsid w:val="00A22110"/>
    <w:rsid w:val="00A2246F"/>
    <w:rsid w:val="00A229B7"/>
    <w:rsid w:val="00A23A98"/>
    <w:rsid w:val="00A24217"/>
    <w:rsid w:val="00A244E9"/>
    <w:rsid w:val="00A24622"/>
    <w:rsid w:val="00A246A3"/>
    <w:rsid w:val="00A259A8"/>
    <w:rsid w:val="00A25ABB"/>
    <w:rsid w:val="00A25E39"/>
    <w:rsid w:val="00A2626B"/>
    <w:rsid w:val="00A267CF"/>
    <w:rsid w:val="00A267F3"/>
    <w:rsid w:val="00A26827"/>
    <w:rsid w:val="00A26D47"/>
    <w:rsid w:val="00A26DA7"/>
    <w:rsid w:val="00A26F41"/>
    <w:rsid w:val="00A26F88"/>
    <w:rsid w:val="00A275D1"/>
    <w:rsid w:val="00A276B9"/>
    <w:rsid w:val="00A27B57"/>
    <w:rsid w:val="00A30B8E"/>
    <w:rsid w:val="00A313B3"/>
    <w:rsid w:val="00A31CFD"/>
    <w:rsid w:val="00A31D00"/>
    <w:rsid w:val="00A32051"/>
    <w:rsid w:val="00A32AE0"/>
    <w:rsid w:val="00A32B77"/>
    <w:rsid w:val="00A32BB4"/>
    <w:rsid w:val="00A32D36"/>
    <w:rsid w:val="00A3306E"/>
    <w:rsid w:val="00A33CCF"/>
    <w:rsid w:val="00A3404D"/>
    <w:rsid w:val="00A35D65"/>
    <w:rsid w:val="00A35FDD"/>
    <w:rsid w:val="00A36CF6"/>
    <w:rsid w:val="00A36EC5"/>
    <w:rsid w:val="00A374F3"/>
    <w:rsid w:val="00A3759D"/>
    <w:rsid w:val="00A37EDA"/>
    <w:rsid w:val="00A4035D"/>
    <w:rsid w:val="00A413A3"/>
    <w:rsid w:val="00A415C5"/>
    <w:rsid w:val="00A41C2D"/>
    <w:rsid w:val="00A43159"/>
    <w:rsid w:val="00A43270"/>
    <w:rsid w:val="00A45043"/>
    <w:rsid w:val="00A45355"/>
    <w:rsid w:val="00A4539E"/>
    <w:rsid w:val="00A45BE3"/>
    <w:rsid w:val="00A46080"/>
    <w:rsid w:val="00A461CB"/>
    <w:rsid w:val="00A4636B"/>
    <w:rsid w:val="00A46BA0"/>
    <w:rsid w:val="00A46C6C"/>
    <w:rsid w:val="00A46EB1"/>
    <w:rsid w:val="00A475E7"/>
    <w:rsid w:val="00A47A54"/>
    <w:rsid w:val="00A47C59"/>
    <w:rsid w:val="00A50405"/>
    <w:rsid w:val="00A50FEC"/>
    <w:rsid w:val="00A519F0"/>
    <w:rsid w:val="00A51FC3"/>
    <w:rsid w:val="00A522BF"/>
    <w:rsid w:val="00A532FC"/>
    <w:rsid w:val="00A53624"/>
    <w:rsid w:val="00A54676"/>
    <w:rsid w:val="00A5492C"/>
    <w:rsid w:val="00A54F72"/>
    <w:rsid w:val="00A553B0"/>
    <w:rsid w:val="00A565B6"/>
    <w:rsid w:val="00A567E2"/>
    <w:rsid w:val="00A56806"/>
    <w:rsid w:val="00A57F15"/>
    <w:rsid w:val="00A60066"/>
    <w:rsid w:val="00A60179"/>
    <w:rsid w:val="00A616D3"/>
    <w:rsid w:val="00A61782"/>
    <w:rsid w:val="00A61B4F"/>
    <w:rsid w:val="00A61FDA"/>
    <w:rsid w:val="00A63850"/>
    <w:rsid w:val="00A64787"/>
    <w:rsid w:val="00A648E9"/>
    <w:rsid w:val="00A64EE6"/>
    <w:rsid w:val="00A6654A"/>
    <w:rsid w:val="00A665D6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6E7"/>
    <w:rsid w:val="00A71FD1"/>
    <w:rsid w:val="00A720C2"/>
    <w:rsid w:val="00A7248F"/>
    <w:rsid w:val="00A72733"/>
    <w:rsid w:val="00A72958"/>
    <w:rsid w:val="00A72BC8"/>
    <w:rsid w:val="00A72C04"/>
    <w:rsid w:val="00A72C44"/>
    <w:rsid w:val="00A72FE2"/>
    <w:rsid w:val="00A73341"/>
    <w:rsid w:val="00A73BD3"/>
    <w:rsid w:val="00A748ED"/>
    <w:rsid w:val="00A75386"/>
    <w:rsid w:val="00A755BE"/>
    <w:rsid w:val="00A7593A"/>
    <w:rsid w:val="00A7597F"/>
    <w:rsid w:val="00A75D3F"/>
    <w:rsid w:val="00A7611F"/>
    <w:rsid w:val="00A768C8"/>
    <w:rsid w:val="00A76C21"/>
    <w:rsid w:val="00A77727"/>
    <w:rsid w:val="00A80AF3"/>
    <w:rsid w:val="00A8226A"/>
    <w:rsid w:val="00A82384"/>
    <w:rsid w:val="00A82501"/>
    <w:rsid w:val="00A82941"/>
    <w:rsid w:val="00A83139"/>
    <w:rsid w:val="00A834D6"/>
    <w:rsid w:val="00A83DBC"/>
    <w:rsid w:val="00A84746"/>
    <w:rsid w:val="00A847AE"/>
    <w:rsid w:val="00A84D2C"/>
    <w:rsid w:val="00A84D90"/>
    <w:rsid w:val="00A85084"/>
    <w:rsid w:val="00A855FE"/>
    <w:rsid w:val="00A85836"/>
    <w:rsid w:val="00A85DCE"/>
    <w:rsid w:val="00A85E79"/>
    <w:rsid w:val="00A85F29"/>
    <w:rsid w:val="00A8613B"/>
    <w:rsid w:val="00A86203"/>
    <w:rsid w:val="00A86D62"/>
    <w:rsid w:val="00A87073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6C"/>
    <w:rsid w:val="00A93738"/>
    <w:rsid w:val="00A94084"/>
    <w:rsid w:val="00A9446E"/>
    <w:rsid w:val="00A96852"/>
    <w:rsid w:val="00A96C21"/>
    <w:rsid w:val="00A97034"/>
    <w:rsid w:val="00A9791D"/>
    <w:rsid w:val="00A97B2E"/>
    <w:rsid w:val="00A97BF7"/>
    <w:rsid w:val="00A97D4A"/>
    <w:rsid w:val="00A97DB8"/>
    <w:rsid w:val="00AA0209"/>
    <w:rsid w:val="00AA03A6"/>
    <w:rsid w:val="00AA04C5"/>
    <w:rsid w:val="00AA1011"/>
    <w:rsid w:val="00AA1128"/>
    <w:rsid w:val="00AA1A7C"/>
    <w:rsid w:val="00AA1ADA"/>
    <w:rsid w:val="00AA1D1C"/>
    <w:rsid w:val="00AA20B3"/>
    <w:rsid w:val="00AA2115"/>
    <w:rsid w:val="00AA2A7D"/>
    <w:rsid w:val="00AA2A95"/>
    <w:rsid w:val="00AA2E63"/>
    <w:rsid w:val="00AA2E95"/>
    <w:rsid w:val="00AA2ECC"/>
    <w:rsid w:val="00AA38B3"/>
    <w:rsid w:val="00AA3A3E"/>
    <w:rsid w:val="00AA3B94"/>
    <w:rsid w:val="00AA3C4A"/>
    <w:rsid w:val="00AA3C94"/>
    <w:rsid w:val="00AA41D4"/>
    <w:rsid w:val="00AA4203"/>
    <w:rsid w:val="00AA4775"/>
    <w:rsid w:val="00AA488F"/>
    <w:rsid w:val="00AA5515"/>
    <w:rsid w:val="00AA561A"/>
    <w:rsid w:val="00AA567F"/>
    <w:rsid w:val="00AA583C"/>
    <w:rsid w:val="00AA59E9"/>
    <w:rsid w:val="00AA65CF"/>
    <w:rsid w:val="00AA6A88"/>
    <w:rsid w:val="00AA73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1E7A"/>
    <w:rsid w:val="00AB212D"/>
    <w:rsid w:val="00AB27C5"/>
    <w:rsid w:val="00AB32C1"/>
    <w:rsid w:val="00AB3552"/>
    <w:rsid w:val="00AB38B2"/>
    <w:rsid w:val="00AB49C3"/>
    <w:rsid w:val="00AB55F8"/>
    <w:rsid w:val="00AB5964"/>
    <w:rsid w:val="00AB5DF2"/>
    <w:rsid w:val="00AB6164"/>
    <w:rsid w:val="00AB6C4D"/>
    <w:rsid w:val="00AB6E00"/>
    <w:rsid w:val="00AB7866"/>
    <w:rsid w:val="00AC10F4"/>
    <w:rsid w:val="00AC1D3B"/>
    <w:rsid w:val="00AC1E67"/>
    <w:rsid w:val="00AC226A"/>
    <w:rsid w:val="00AC246C"/>
    <w:rsid w:val="00AC2FB2"/>
    <w:rsid w:val="00AC32FB"/>
    <w:rsid w:val="00AC35C3"/>
    <w:rsid w:val="00AC383B"/>
    <w:rsid w:val="00AC3ADE"/>
    <w:rsid w:val="00AC3BEF"/>
    <w:rsid w:val="00AC3F58"/>
    <w:rsid w:val="00AC40DA"/>
    <w:rsid w:val="00AC4C92"/>
    <w:rsid w:val="00AC4E28"/>
    <w:rsid w:val="00AC4E71"/>
    <w:rsid w:val="00AC4F7E"/>
    <w:rsid w:val="00AC5700"/>
    <w:rsid w:val="00AC5A64"/>
    <w:rsid w:val="00AC7042"/>
    <w:rsid w:val="00AC752F"/>
    <w:rsid w:val="00AC766D"/>
    <w:rsid w:val="00AC7B8D"/>
    <w:rsid w:val="00AC7E49"/>
    <w:rsid w:val="00AD0460"/>
    <w:rsid w:val="00AD099F"/>
    <w:rsid w:val="00AD1C10"/>
    <w:rsid w:val="00AD2E7B"/>
    <w:rsid w:val="00AD2F8F"/>
    <w:rsid w:val="00AD3685"/>
    <w:rsid w:val="00AD3F4F"/>
    <w:rsid w:val="00AD403C"/>
    <w:rsid w:val="00AD4153"/>
    <w:rsid w:val="00AD44D5"/>
    <w:rsid w:val="00AD4838"/>
    <w:rsid w:val="00AD4AE1"/>
    <w:rsid w:val="00AD4BF2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BC1"/>
    <w:rsid w:val="00AE0413"/>
    <w:rsid w:val="00AE05BF"/>
    <w:rsid w:val="00AE0929"/>
    <w:rsid w:val="00AE0D8D"/>
    <w:rsid w:val="00AE131D"/>
    <w:rsid w:val="00AE23C8"/>
    <w:rsid w:val="00AE265A"/>
    <w:rsid w:val="00AE308D"/>
    <w:rsid w:val="00AE36D1"/>
    <w:rsid w:val="00AE3DDB"/>
    <w:rsid w:val="00AE4A64"/>
    <w:rsid w:val="00AE5771"/>
    <w:rsid w:val="00AE59FC"/>
    <w:rsid w:val="00AE63A1"/>
    <w:rsid w:val="00AE63B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5C1"/>
    <w:rsid w:val="00AF23D9"/>
    <w:rsid w:val="00AF27A3"/>
    <w:rsid w:val="00AF290E"/>
    <w:rsid w:val="00AF29FA"/>
    <w:rsid w:val="00AF2A99"/>
    <w:rsid w:val="00AF3074"/>
    <w:rsid w:val="00AF37D5"/>
    <w:rsid w:val="00AF381B"/>
    <w:rsid w:val="00AF3F63"/>
    <w:rsid w:val="00AF4345"/>
    <w:rsid w:val="00AF463B"/>
    <w:rsid w:val="00AF4CC5"/>
    <w:rsid w:val="00AF5319"/>
    <w:rsid w:val="00AF608B"/>
    <w:rsid w:val="00AF671C"/>
    <w:rsid w:val="00AF6A59"/>
    <w:rsid w:val="00AF70A9"/>
    <w:rsid w:val="00AF7450"/>
    <w:rsid w:val="00AF7BDD"/>
    <w:rsid w:val="00B00396"/>
    <w:rsid w:val="00B004A3"/>
    <w:rsid w:val="00B00F8C"/>
    <w:rsid w:val="00B00FEC"/>
    <w:rsid w:val="00B0196F"/>
    <w:rsid w:val="00B02145"/>
    <w:rsid w:val="00B02A64"/>
    <w:rsid w:val="00B02C78"/>
    <w:rsid w:val="00B02F0C"/>
    <w:rsid w:val="00B03776"/>
    <w:rsid w:val="00B03AFB"/>
    <w:rsid w:val="00B03BFF"/>
    <w:rsid w:val="00B03ED8"/>
    <w:rsid w:val="00B0401D"/>
    <w:rsid w:val="00B042D2"/>
    <w:rsid w:val="00B04C48"/>
    <w:rsid w:val="00B04E8D"/>
    <w:rsid w:val="00B04F50"/>
    <w:rsid w:val="00B052DE"/>
    <w:rsid w:val="00B0542F"/>
    <w:rsid w:val="00B05531"/>
    <w:rsid w:val="00B05A05"/>
    <w:rsid w:val="00B05ACD"/>
    <w:rsid w:val="00B06495"/>
    <w:rsid w:val="00B064F1"/>
    <w:rsid w:val="00B06DA3"/>
    <w:rsid w:val="00B07372"/>
    <w:rsid w:val="00B10464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2E19"/>
    <w:rsid w:val="00B131C4"/>
    <w:rsid w:val="00B13204"/>
    <w:rsid w:val="00B13D2B"/>
    <w:rsid w:val="00B13F2E"/>
    <w:rsid w:val="00B14011"/>
    <w:rsid w:val="00B14793"/>
    <w:rsid w:val="00B15075"/>
    <w:rsid w:val="00B152B9"/>
    <w:rsid w:val="00B15774"/>
    <w:rsid w:val="00B15975"/>
    <w:rsid w:val="00B15DB9"/>
    <w:rsid w:val="00B1780E"/>
    <w:rsid w:val="00B17B26"/>
    <w:rsid w:val="00B17FB5"/>
    <w:rsid w:val="00B200D3"/>
    <w:rsid w:val="00B2060E"/>
    <w:rsid w:val="00B20DCF"/>
    <w:rsid w:val="00B20F8A"/>
    <w:rsid w:val="00B215EB"/>
    <w:rsid w:val="00B22522"/>
    <w:rsid w:val="00B2288A"/>
    <w:rsid w:val="00B231B0"/>
    <w:rsid w:val="00B23365"/>
    <w:rsid w:val="00B24D66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0942"/>
    <w:rsid w:val="00B30A3A"/>
    <w:rsid w:val="00B31293"/>
    <w:rsid w:val="00B31602"/>
    <w:rsid w:val="00B318FE"/>
    <w:rsid w:val="00B319FE"/>
    <w:rsid w:val="00B3232C"/>
    <w:rsid w:val="00B32508"/>
    <w:rsid w:val="00B331B8"/>
    <w:rsid w:val="00B33786"/>
    <w:rsid w:val="00B337A4"/>
    <w:rsid w:val="00B34725"/>
    <w:rsid w:val="00B34C3A"/>
    <w:rsid w:val="00B355F0"/>
    <w:rsid w:val="00B35656"/>
    <w:rsid w:val="00B3578C"/>
    <w:rsid w:val="00B36B9B"/>
    <w:rsid w:val="00B36D9E"/>
    <w:rsid w:val="00B36FC2"/>
    <w:rsid w:val="00B37311"/>
    <w:rsid w:val="00B373FB"/>
    <w:rsid w:val="00B37975"/>
    <w:rsid w:val="00B4106F"/>
    <w:rsid w:val="00B418AC"/>
    <w:rsid w:val="00B41BE7"/>
    <w:rsid w:val="00B424F7"/>
    <w:rsid w:val="00B42530"/>
    <w:rsid w:val="00B42568"/>
    <w:rsid w:val="00B428C5"/>
    <w:rsid w:val="00B4316E"/>
    <w:rsid w:val="00B4339F"/>
    <w:rsid w:val="00B4381B"/>
    <w:rsid w:val="00B4383C"/>
    <w:rsid w:val="00B4403D"/>
    <w:rsid w:val="00B4411A"/>
    <w:rsid w:val="00B4471B"/>
    <w:rsid w:val="00B45847"/>
    <w:rsid w:val="00B460A1"/>
    <w:rsid w:val="00B46275"/>
    <w:rsid w:val="00B464C7"/>
    <w:rsid w:val="00B4658A"/>
    <w:rsid w:val="00B4733F"/>
    <w:rsid w:val="00B4758E"/>
    <w:rsid w:val="00B47CBB"/>
    <w:rsid w:val="00B47F36"/>
    <w:rsid w:val="00B5076A"/>
    <w:rsid w:val="00B5083E"/>
    <w:rsid w:val="00B50ADB"/>
    <w:rsid w:val="00B50B1E"/>
    <w:rsid w:val="00B51604"/>
    <w:rsid w:val="00B51F64"/>
    <w:rsid w:val="00B52315"/>
    <w:rsid w:val="00B53B4E"/>
    <w:rsid w:val="00B53C5F"/>
    <w:rsid w:val="00B54BD8"/>
    <w:rsid w:val="00B5596C"/>
    <w:rsid w:val="00B5620F"/>
    <w:rsid w:val="00B569B2"/>
    <w:rsid w:val="00B56FBD"/>
    <w:rsid w:val="00B5715A"/>
    <w:rsid w:val="00B57327"/>
    <w:rsid w:val="00B57B33"/>
    <w:rsid w:val="00B6002D"/>
    <w:rsid w:val="00B6010B"/>
    <w:rsid w:val="00B61262"/>
    <w:rsid w:val="00B6210A"/>
    <w:rsid w:val="00B6220A"/>
    <w:rsid w:val="00B6264B"/>
    <w:rsid w:val="00B629F3"/>
    <w:rsid w:val="00B640CF"/>
    <w:rsid w:val="00B65828"/>
    <w:rsid w:val="00B65D7C"/>
    <w:rsid w:val="00B65E01"/>
    <w:rsid w:val="00B66141"/>
    <w:rsid w:val="00B6620C"/>
    <w:rsid w:val="00B662EB"/>
    <w:rsid w:val="00B665BB"/>
    <w:rsid w:val="00B66800"/>
    <w:rsid w:val="00B668CA"/>
    <w:rsid w:val="00B66AB0"/>
    <w:rsid w:val="00B677D7"/>
    <w:rsid w:val="00B701CC"/>
    <w:rsid w:val="00B7095E"/>
    <w:rsid w:val="00B70C27"/>
    <w:rsid w:val="00B70ED8"/>
    <w:rsid w:val="00B70F84"/>
    <w:rsid w:val="00B710E0"/>
    <w:rsid w:val="00B713C9"/>
    <w:rsid w:val="00B7162D"/>
    <w:rsid w:val="00B71E56"/>
    <w:rsid w:val="00B72281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5E7"/>
    <w:rsid w:val="00B7591C"/>
    <w:rsid w:val="00B75D1D"/>
    <w:rsid w:val="00B75E98"/>
    <w:rsid w:val="00B76A3F"/>
    <w:rsid w:val="00B76A7D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3732"/>
    <w:rsid w:val="00B840BB"/>
    <w:rsid w:val="00B84C9F"/>
    <w:rsid w:val="00B8515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7AC"/>
    <w:rsid w:val="00B91F77"/>
    <w:rsid w:val="00B9257B"/>
    <w:rsid w:val="00B926AC"/>
    <w:rsid w:val="00B929DC"/>
    <w:rsid w:val="00B92E6B"/>
    <w:rsid w:val="00B93043"/>
    <w:rsid w:val="00B93431"/>
    <w:rsid w:val="00B93500"/>
    <w:rsid w:val="00B93D97"/>
    <w:rsid w:val="00B94392"/>
    <w:rsid w:val="00B95200"/>
    <w:rsid w:val="00B955F5"/>
    <w:rsid w:val="00B95663"/>
    <w:rsid w:val="00B95806"/>
    <w:rsid w:val="00B95A36"/>
    <w:rsid w:val="00B95CCC"/>
    <w:rsid w:val="00B95F44"/>
    <w:rsid w:val="00B96D3C"/>
    <w:rsid w:val="00B97577"/>
    <w:rsid w:val="00B9781E"/>
    <w:rsid w:val="00B97A1F"/>
    <w:rsid w:val="00B97CCD"/>
    <w:rsid w:val="00BA0FE9"/>
    <w:rsid w:val="00BA139F"/>
    <w:rsid w:val="00BA1A0B"/>
    <w:rsid w:val="00BA1E85"/>
    <w:rsid w:val="00BA359B"/>
    <w:rsid w:val="00BA3A93"/>
    <w:rsid w:val="00BA4D05"/>
    <w:rsid w:val="00BA5165"/>
    <w:rsid w:val="00BA5599"/>
    <w:rsid w:val="00BA5A40"/>
    <w:rsid w:val="00BA5FD5"/>
    <w:rsid w:val="00BA62AB"/>
    <w:rsid w:val="00BA77BD"/>
    <w:rsid w:val="00BA7C17"/>
    <w:rsid w:val="00BA7E0B"/>
    <w:rsid w:val="00BB0DE3"/>
    <w:rsid w:val="00BB0E14"/>
    <w:rsid w:val="00BB0EA0"/>
    <w:rsid w:val="00BB0ED7"/>
    <w:rsid w:val="00BB10CD"/>
    <w:rsid w:val="00BB10F0"/>
    <w:rsid w:val="00BB122E"/>
    <w:rsid w:val="00BB1994"/>
    <w:rsid w:val="00BB25BB"/>
    <w:rsid w:val="00BB3BBC"/>
    <w:rsid w:val="00BB4A1B"/>
    <w:rsid w:val="00BB4A6F"/>
    <w:rsid w:val="00BB52B4"/>
    <w:rsid w:val="00BB56B1"/>
    <w:rsid w:val="00BB5759"/>
    <w:rsid w:val="00BB5A30"/>
    <w:rsid w:val="00BB5B98"/>
    <w:rsid w:val="00BB6B2F"/>
    <w:rsid w:val="00BB6B8B"/>
    <w:rsid w:val="00BB7BAC"/>
    <w:rsid w:val="00BC08D8"/>
    <w:rsid w:val="00BC08FC"/>
    <w:rsid w:val="00BC18E0"/>
    <w:rsid w:val="00BC202D"/>
    <w:rsid w:val="00BC213B"/>
    <w:rsid w:val="00BC2964"/>
    <w:rsid w:val="00BC3112"/>
    <w:rsid w:val="00BC3776"/>
    <w:rsid w:val="00BC3D8E"/>
    <w:rsid w:val="00BC3E7F"/>
    <w:rsid w:val="00BC41B5"/>
    <w:rsid w:val="00BC4734"/>
    <w:rsid w:val="00BC4C63"/>
    <w:rsid w:val="00BC54D1"/>
    <w:rsid w:val="00BC6308"/>
    <w:rsid w:val="00BC63FE"/>
    <w:rsid w:val="00BC640E"/>
    <w:rsid w:val="00BC666D"/>
    <w:rsid w:val="00BC67A4"/>
    <w:rsid w:val="00BC6B4D"/>
    <w:rsid w:val="00BC6C4F"/>
    <w:rsid w:val="00BC6E28"/>
    <w:rsid w:val="00BC76AA"/>
    <w:rsid w:val="00BD1290"/>
    <w:rsid w:val="00BD1CFB"/>
    <w:rsid w:val="00BD2B8F"/>
    <w:rsid w:val="00BD35B9"/>
    <w:rsid w:val="00BD36EC"/>
    <w:rsid w:val="00BD46B9"/>
    <w:rsid w:val="00BD4A52"/>
    <w:rsid w:val="00BD51CA"/>
    <w:rsid w:val="00BD5CD2"/>
    <w:rsid w:val="00BD60A9"/>
    <w:rsid w:val="00BD623B"/>
    <w:rsid w:val="00BD6B64"/>
    <w:rsid w:val="00BD719F"/>
    <w:rsid w:val="00BD77DE"/>
    <w:rsid w:val="00BD79C2"/>
    <w:rsid w:val="00BE1F2E"/>
    <w:rsid w:val="00BE1FA7"/>
    <w:rsid w:val="00BE2AD7"/>
    <w:rsid w:val="00BE2BAA"/>
    <w:rsid w:val="00BE4F8D"/>
    <w:rsid w:val="00BE57A9"/>
    <w:rsid w:val="00BE586F"/>
    <w:rsid w:val="00BE590A"/>
    <w:rsid w:val="00BE6E44"/>
    <w:rsid w:val="00BE716B"/>
    <w:rsid w:val="00BE770F"/>
    <w:rsid w:val="00BE778C"/>
    <w:rsid w:val="00BE7C4F"/>
    <w:rsid w:val="00BE7F74"/>
    <w:rsid w:val="00BF01D4"/>
    <w:rsid w:val="00BF0597"/>
    <w:rsid w:val="00BF1F70"/>
    <w:rsid w:val="00BF20FB"/>
    <w:rsid w:val="00BF2576"/>
    <w:rsid w:val="00BF2997"/>
    <w:rsid w:val="00BF3FAC"/>
    <w:rsid w:val="00BF47C5"/>
    <w:rsid w:val="00BF4C22"/>
    <w:rsid w:val="00BF4CD1"/>
    <w:rsid w:val="00BF4DD7"/>
    <w:rsid w:val="00BF51E4"/>
    <w:rsid w:val="00BF5ACF"/>
    <w:rsid w:val="00BF6043"/>
    <w:rsid w:val="00BF725E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E25"/>
    <w:rsid w:val="00C03041"/>
    <w:rsid w:val="00C03815"/>
    <w:rsid w:val="00C041F4"/>
    <w:rsid w:val="00C04C59"/>
    <w:rsid w:val="00C05004"/>
    <w:rsid w:val="00C0524E"/>
    <w:rsid w:val="00C05428"/>
    <w:rsid w:val="00C058A3"/>
    <w:rsid w:val="00C05E05"/>
    <w:rsid w:val="00C060B4"/>
    <w:rsid w:val="00C0711F"/>
    <w:rsid w:val="00C077E1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130"/>
    <w:rsid w:val="00C142EA"/>
    <w:rsid w:val="00C14741"/>
    <w:rsid w:val="00C14AD2"/>
    <w:rsid w:val="00C14CA5"/>
    <w:rsid w:val="00C153CA"/>
    <w:rsid w:val="00C15BE1"/>
    <w:rsid w:val="00C160D9"/>
    <w:rsid w:val="00C16B32"/>
    <w:rsid w:val="00C16FF1"/>
    <w:rsid w:val="00C17089"/>
    <w:rsid w:val="00C1715B"/>
    <w:rsid w:val="00C1750F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924"/>
    <w:rsid w:val="00C23BBD"/>
    <w:rsid w:val="00C2455C"/>
    <w:rsid w:val="00C24638"/>
    <w:rsid w:val="00C25FB1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570"/>
    <w:rsid w:val="00C32C1E"/>
    <w:rsid w:val="00C32D53"/>
    <w:rsid w:val="00C32F69"/>
    <w:rsid w:val="00C3312E"/>
    <w:rsid w:val="00C33CD5"/>
    <w:rsid w:val="00C340CF"/>
    <w:rsid w:val="00C34101"/>
    <w:rsid w:val="00C344ED"/>
    <w:rsid w:val="00C348FE"/>
    <w:rsid w:val="00C34FBC"/>
    <w:rsid w:val="00C35087"/>
    <w:rsid w:val="00C3523B"/>
    <w:rsid w:val="00C35947"/>
    <w:rsid w:val="00C36FFE"/>
    <w:rsid w:val="00C3795B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45E"/>
    <w:rsid w:val="00C44846"/>
    <w:rsid w:val="00C45A51"/>
    <w:rsid w:val="00C469E3"/>
    <w:rsid w:val="00C47155"/>
    <w:rsid w:val="00C47987"/>
    <w:rsid w:val="00C47CD2"/>
    <w:rsid w:val="00C47D56"/>
    <w:rsid w:val="00C510DE"/>
    <w:rsid w:val="00C513B4"/>
    <w:rsid w:val="00C536E4"/>
    <w:rsid w:val="00C538AE"/>
    <w:rsid w:val="00C53B4A"/>
    <w:rsid w:val="00C53C32"/>
    <w:rsid w:val="00C53E7A"/>
    <w:rsid w:val="00C54492"/>
    <w:rsid w:val="00C544B6"/>
    <w:rsid w:val="00C54601"/>
    <w:rsid w:val="00C54E26"/>
    <w:rsid w:val="00C555EB"/>
    <w:rsid w:val="00C557C0"/>
    <w:rsid w:val="00C55BC9"/>
    <w:rsid w:val="00C56733"/>
    <w:rsid w:val="00C56A84"/>
    <w:rsid w:val="00C575E8"/>
    <w:rsid w:val="00C5777E"/>
    <w:rsid w:val="00C57913"/>
    <w:rsid w:val="00C57EB0"/>
    <w:rsid w:val="00C60984"/>
    <w:rsid w:val="00C60E33"/>
    <w:rsid w:val="00C6111A"/>
    <w:rsid w:val="00C61801"/>
    <w:rsid w:val="00C618DF"/>
    <w:rsid w:val="00C62EEA"/>
    <w:rsid w:val="00C63268"/>
    <w:rsid w:val="00C63E97"/>
    <w:rsid w:val="00C6455A"/>
    <w:rsid w:val="00C64813"/>
    <w:rsid w:val="00C65030"/>
    <w:rsid w:val="00C652A1"/>
    <w:rsid w:val="00C655E4"/>
    <w:rsid w:val="00C65738"/>
    <w:rsid w:val="00C6590A"/>
    <w:rsid w:val="00C65FFB"/>
    <w:rsid w:val="00C6610D"/>
    <w:rsid w:val="00C66663"/>
    <w:rsid w:val="00C66850"/>
    <w:rsid w:val="00C668D8"/>
    <w:rsid w:val="00C66AB6"/>
    <w:rsid w:val="00C66BCD"/>
    <w:rsid w:val="00C66E74"/>
    <w:rsid w:val="00C67029"/>
    <w:rsid w:val="00C670D6"/>
    <w:rsid w:val="00C702C6"/>
    <w:rsid w:val="00C70B38"/>
    <w:rsid w:val="00C70B43"/>
    <w:rsid w:val="00C71616"/>
    <w:rsid w:val="00C71A56"/>
    <w:rsid w:val="00C729D1"/>
    <w:rsid w:val="00C730CC"/>
    <w:rsid w:val="00C74A66"/>
    <w:rsid w:val="00C7532A"/>
    <w:rsid w:val="00C753D4"/>
    <w:rsid w:val="00C75721"/>
    <w:rsid w:val="00C760A6"/>
    <w:rsid w:val="00C762B7"/>
    <w:rsid w:val="00C76464"/>
    <w:rsid w:val="00C76825"/>
    <w:rsid w:val="00C77C4B"/>
    <w:rsid w:val="00C77D50"/>
    <w:rsid w:val="00C805F6"/>
    <w:rsid w:val="00C80DC6"/>
    <w:rsid w:val="00C815E4"/>
    <w:rsid w:val="00C81CFF"/>
    <w:rsid w:val="00C8290C"/>
    <w:rsid w:val="00C82C7A"/>
    <w:rsid w:val="00C833BA"/>
    <w:rsid w:val="00C83C2C"/>
    <w:rsid w:val="00C8415F"/>
    <w:rsid w:val="00C841FE"/>
    <w:rsid w:val="00C847A9"/>
    <w:rsid w:val="00C8512B"/>
    <w:rsid w:val="00C858C8"/>
    <w:rsid w:val="00C85976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3188"/>
    <w:rsid w:val="00C9388D"/>
    <w:rsid w:val="00C93D17"/>
    <w:rsid w:val="00C94EF3"/>
    <w:rsid w:val="00C952A9"/>
    <w:rsid w:val="00C9534F"/>
    <w:rsid w:val="00C95E98"/>
    <w:rsid w:val="00C95F67"/>
    <w:rsid w:val="00C961C0"/>
    <w:rsid w:val="00C965E4"/>
    <w:rsid w:val="00C9739A"/>
    <w:rsid w:val="00CA13BF"/>
    <w:rsid w:val="00CA13F7"/>
    <w:rsid w:val="00CA1463"/>
    <w:rsid w:val="00CA14DE"/>
    <w:rsid w:val="00CA1DC9"/>
    <w:rsid w:val="00CA2057"/>
    <w:rsid w:val="00CA22F1"/>
    <w:rsid w:val="00CA2A57"/>
    <w:rsid w:val="00CA2C4B"/>
    <w:rsid w:val="00CA30A9"/>
    <w:rsid w:val="00CA35EC"/>
    <w:rsid w:val="00CA376C"/>
    <w:rsid w:val="00CA3D36"/>
    <w:rsid w:val="00CA3EC4"/>
    <w:rsid w:val="00CA4249"/>
    <w:rsid w:val="00CA4991"/>
    <w:rsid w:val="00CA4A1E"/>
    <w:rsid w:val="00CA4EF3"/>
    <w:rsid w:val="00CA575F"/>
    <w:rsid w:val="00CA6F7C"/>
    <w:rsid w:val="00CA6F8A"/>
    <w:rsid w:val="00CA75F4"/>
    <w:rsid w:val="00CA7D1B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BF"/>
    <w:rsid w:val="00CB4DA4"/>
    <w:rsid w:val="00CB557A"/>
    <w:rsid w:val="00CB6108"/>
    <w:rsid w:val="00CB644A"/>
    <w:rsid w:val="00CB7071"/>
    <w:rsid w:val="00CB74F0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1D08"/>
    <w:rsid w:val="00CC21F9"/>
    <w:rsid w:val="00CC2B9C"/>
    <w:rsid w:val="00CC326E"/>
    <w:rsid w:val="00CC38EE"/>
    <w:rsid w:val="00CC566D"/>
    <w:rsid w:val="00CC6405"/>
    <w:rsid w:val="00CC6AA6"/>
    <w:rsid w:val="00CC6ACF"/>
    <w:rsid w:val="00CC722F"/>
    <w:rsid w:val="00CC726E"/>
    <w:rsid w:val="00CC7476"/>
    <w:rsid w:val="00CC75EE"/>
    <w:rsid w:val="00CC7785"/>
    <w:rsid w:val="00CD087C"/>
    <w:rsid w:val="00CD0BAE"/>
    <w:rsid w:val="00CD1017"/>
    <w:rsid w:val="00CD129C"/>
    <w:rsid w:val="00CD12BA"/>
    <w:rsid w:val="00CD181E"/>
    <w:rsid w:val="00CD2C45"/>
    <w:rsid w:val="00CD3329"/>
    <w:rsid w:val="00CD387C"/>
    <w:rsid w:val="00CD474C"/>
    <w:rsid w:val="00CD49B6"/>
    <w:rsid w:val="00CD52E8"/>
    <w:rsid w:val="00CD5589"/>
    <w:rsid w:val="00CD5CCC"/>
    <w:rsid w:val="00CD6B16"/>
    <w:rsid w:val="00CD6B5E"/>
    <w:rsid w:val="00CD7422"/>
    <w:rsid w:val="00CD76B9"/>
    <w:rsid w:val="00CD7E7A"/>
    <w:rsid w:val="00CE01D8"/>
    <w:rsid w:val="00CE06FE"/>
    <w:rsid w:val="00CE0950"/>
    <w:rsid w:val="00CE0FC5"/>
    <w:rsid w:val="00CE11D8"/>
    <w:rsid w:val="00CE1648"/>
    <w:rsid w:val="00CE1A90"/>
    <w:rsid w:val="00CE1B83"/>
    <w:rsid w:val="00CE1C5C"/>
    <w:rsid w:val="00CE1CA9"/>
    <w:rsid w:val="00CE1D26"/>
    <w:rsid w:val="00CE1E07"/>
    <w:rsid w:val="00CE2567"/>
    <w:rsid w:val="00CE2A65"/>
    <w:rsid w:val="00CE3037"/>
    <w:rsid w:val="00CE32AD"/>
    <w:rsid w:val="00CE3361"/>
    <w:rsid w:val="00CE3F49"/>
    <w:rsid w:val="00CE49B0"/>
    <w:rsid w:val="00CE4EA8"/>
    <w:rsid w:val="00CE5261"/>
    <w:rsid w:val="00CE584B"/>
    <w:rsid w:val="00CE5A0A"/>
    <w:rsid w:val="00CE6C5C"/>
    <w:rsid w:val="00CE72F6"/>
    <w:rsid w:val="00CE7FE3"/>
    <w:rsid w:val="00CE7FF2"/>
    <w:rsid w:val="00CF0E5A"/>
    <w:rsid w:val="00CF0E8B"/>
    <w:rsid w:val="00CF1090"/>
    <w:rsid w:val="00CF12DA"/>
    <w:rsid w:val="00CF1AB9"/>
    <w:rsid w:val="00CF1B03"/>
    <w:rsid w:val="00CF1B1E"/>
    <w:rsid w:val="00CF1DEE"/>
    <w:rsid w:val="00CF1E58"/>
    <w:rsid w:val="00CF1F79"/>
    <w:rsid w:val="00CF2B1C"/>
    <w:rsid w:val="00CF2B8E"/>
    <w:rsid w:val="00CF35B6"/>
    <w:rsid w:val="00CF39B2"/>
    <w:rsid w:val="00CF3E3D"/>
    <w:rsid w:val="00CF3F86"/>
    <w:rsid w:val="00CF4060"/>
    <w:rsid w:val="00CF52EB"/>
    <w:rsid w:val="00CF585D"/>
    <w:rsid w:val="00CF5CA8"/>
    <w:rsid w:val="00CF72BD"/>
    <w:rsid w:val="00CF767E"/>
    <w:rsid w:val="00CF7873"/>
    <w:rsid w:val="00CF78C0"/>
    <w:rsid w:val="00D015A8"/>
    <w:rsid w:val="00D024F9"/>
    <w:rsid w:val="00D027F9"/>
    <w:rsid w:val="00D032AA"/>
    <w:rsid w:val="00D03A3E"/>
    <w:rsid w:val="00D03A5B"/>
    <w:rsid w:val="00D03B1A"/>
    <w:rsid w:val="00D03E97"/>
    <w:rsid w:val="00D040BB"/>
    <w:rsid w:val="00D056E9"/>
    <w:rsid w:val="00D05CB6"/>
    <w:rsid w:val="00D05CF8"/>
    <w:rsid w:val="00D06325"/>
    <w:rsid w:val="00D07684"/>
    <w:rsid w:val="00D076A6"/>
    <w:rsid w:val="00D07F59"/>
    <w:rsid w:val="00D103FF"/>
    <w:rsid w:val="00D104B2"/>
    <w:rsid w:val="00D10986"/>
    <w:rsid w:val="00D111BC"/>
    <w:rsid w:val="00D115FC"/>
    <w:rsid w:val="00D11BB2"/>
    <w:rsid w:val="00D12C8B"/>
    <w:rsid w:val="00D12F1F"/>
    <w:rsid w:val="00D13207"/>
    <w:rsid w:val="00D13358"/>
    <w:rsid w:val="00D1342C"/>
    <w:rsid w:val="00D13809"/>
    <w:rsid w:val="00D13AE6"/>
    <w:rsid w:val="00D142FA"/>
    <w:rsid w:val="00D14873"/>
    <w:rsid w:val="00D14C06"/>
    <w:rsid w:val="00D14DAF"/>
    <w:rsid w:val="00D14E77"/>
    <w:rsid w:val="00D1564A"/>
    <w:rsid w:val="00D156E5"/>
    <w:rsid w:val="00D15AF0"/>
    <w:rsid w:val="00D16024"/>
    <w:rsid w:val="00D16747"/>
    <w:rsid w:val="00D16BA9"/>
    <w:rsid w:val="00D175C7"/>
    <w:rsid w:val="00D17E09"/>
    <w:rsid w:val="00D20886"/>
    <w:rsid w:val="00D209C5"/>
    <w:rsid w:val="00D20F34"/>
    <w:rsid w:val="00D2187E"/>
    <w:rsid w:val="00D2211E"/>
    <w:rsid w:val="00D22E00"/>
    <w:rsid w:val="00D23712"/>
    <w:rsid w:val="00D24CE7"/>
    <w:rsid w:val="00D251E6"/>
    <w:rsid w:val="00D259B0"/>
    <w:rsid w:val="00D25F4C"/>
    <w:rsid w:val="00D26097"/>
    <w:rsid w:val="00D261C5"/>
    <w:rsid w:val="00D26391"/>
    <w:rsid w:val="00D2651B"/>
    <w:rsid w:val="00D2699D"/>
    <w:rsid w:val="00D2710F"/>
    <w:rsid w:val="00D27747"/>
    <w:rsid w:val="00D27BF7"/>
    <w:rsid w:val="00D30729"/>
    <w:rsid w:val="00D30EAF"/>
    <w:rsid w:val="00D314F6"/>
    <w:rsid w:val="00D31A4F"/>
    <w:rsid w:val="00D31D6C"/>
    <w:rsid w:val="00D31D99"/>
    <w:rsid w:val="00D32B3C"/>
    <w:rsid w:val="00D32CDD"/>
    <w:rsid w:val="00D32E0D"/>
    <w:rsid w:val="00D3314E"/>
    <w:rsid w:val="00D3326D"/>
    <w:rsid w:val="00D33977"/>
    <w:rsid w:val="00D34097"/>
    <w:rsid w:val="00D34374"/>
    <w:rsid w:val="00D34AAD"/>
    <w:rsid w:val="00D3544C"/>
    <w:rsid w:val="00D3591C"/>
    <w:rsid w:val="00D35B70"/>
    <w:rsid w:val="00D3719F"/>
    <w:rsid w:val="00D371C8"/>
    <w:rsid w:val="00D37742"/>
    <w:rsid w:val="00D4061B"/>
    <w:rsid w:val="00D406D5"/>
    <w:rsid w:val="00D40F25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40F"/>
    <w:rsid w:val="00D46DBF"/>
    <w:rsid w:val="00D46F26"/>
    <w:rsid w:val="00D472FC"/>
    <w:rsid w:val="00D47591"/>
    <w:rsid w:val="00D47982"/>
    <w:rsid w:val="00D5022C"/>
    <w:rsid w:val="00D50F4A"/>
    <w:rsid w:val="00D51089"/>
    <w:rsid w:val="00D512E6"/>
    <w:rsid w:val="00D52173"/>
    <w:rsid w:val="00D5228C"/>
    <w:rsid w:val="00D52743"/>
    <w:rsid w:val="00D52E06"/>
    <w:rsid w:val="00D53650"/>
    <w:rsid w:val="00D543D2"/>
    <w:rsid w:val="00D5459F"/>
    <w:rsid w:val="00D54859"/>
    <w:rsid w:val="00D553C7"/>
    <w:rsid w:val="00D5648F"/>
    <w:rsid w:val="00D5651D"/>
    <w:rsid w:val="00D566C2"/>
    <w:rsid w:val="00D56981"/>
    <w:rsid w:val="00D57B21"/>
    <w:rsid w:val="00D57B9A"/>
    <w:rsid w:val="00D60190"/>
    <w:rsid w:val="00D602D3"/>
    <w:rsid w:val="00D6059E"/>
    <w:rsid w:val="00D605A5"/>
    <w:rsid w:val="00D606A0"/>
    <w:rsid w:val="00D607F6"/>
    <w:rsid w:val="00D60A2F"/>
    <w:rsid w:val="00D60DAB"/>
    <w:rsid w:val="00D61A8A"/>
    <w:rsid w:val="00D62369"/>
    <w:rsid w:val="00D623AA"/>
    <w:rsid w:val="00D62591"/>
    <w:rsid w:val="00D62A24"/>
    <w:rsid w:val="00D62FAC"/>
    <w:rsid w:val="00D635B0"/>
    <w:rsid w:val="00D636F2"/>
    <w:rsid w:val="00D637A9"/>
    <w:rsid w:val="00D63BE1"/>
    <w:rsid w:val="00D65280"/>
    <w:rsid w:val="00D65847"/>
    <w:rsid w:val="00D6616F"/>
    <w:rsid w:val="00D664F1"/>
    <w:rsid w:val="00D6699B"/>
    <w:rsid w:val="00D66F7E"/>
    <w:rsid w:val="00D7009E"/>
    <w:rsid w:val="00D70B3B"/>
    <w:rsid w:val="00D70C63"/>
    <w:rsid w:val="00D710C5"/>
    <w:rsid w:val="00D7132D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EC5"/>
    <w:rsid w:val="00D74660"/>
    <w:rsid w:val="00D74797"/>
    <w:rsid w:val="00D74968"/>
    <w:rsid w:val="00D749D2"/>
    <w:rsid w:val="00D74D9B"/>
    <w:rsid w:val="00D750A2"/>
    <w:rsid w:val="00D75650"/>
    <w:rsid w:val="00D756E8"/>
    <w:rsid w:val="00D75E97"/>
    <w:rsid w:val="00D8000D"/>
    <w:rsid w:val="00D801EB"/>
    <w:rsid w:val="00D805CD"/>
    <w:rsid w:val="00D80747"/>
    <w:rsid w:val="00D8099F"/>
    <w:rsid w:val="00D809FF"/>
    <w:rsid w:val="00D80E48"/>
    <w:rsid w:val="00D810F2"/>
    <w:rsid w:val="00D81285"/>
    <w:rsid w:val="00D81B9A"/>
    <w:rsid w:val="00D822C6"/>
    <w:rsid w:val="00D824C0"/>
    <w:rsid w:val="00D82890"/>
    <w:rsid w:val="00D843D6"/>
    <w:rsid w:val="00D85237"/>
    <w:rsid w:val="00D85475"/>
    <w:rsid w:val="00D85487"/>
    <w:rsid w:val="00D8550C"/>
    <w:rsid w:val="00D85A2F"/>
    <w:rsid w:val="00D86605"/>
    <w:rsid w:val="00D86C22"/>
    <w:rsid w:val="00D87433"/>
    <w:rsid w:val="00D8797F"/>
    <w:rsid w:val="00D87BDC"/>
    <w:rsid w:val="00D9006D"/>
    <w:rsid w:val="00D90406"/>
    <w:rsid w:val="00D9096B"/>
    <w:rsid w:val="00D90D1C"/>
    <w:rsid w:val="00D90D5C"/>
    <w:rsid w:val="00D90ED4"/>
    <w:rsid w:val="00D90F6A"/>
    <w:rsid w:val="00D90FF0"/>
    <w:rsid w:val="00D91838"/>
    <w:rsid w:val="00D920E8"/>
    <w:rsid w:val="00D92722"/>
    <w:rsid w:val="00D92BF2"/>
    <w:rsid w:val="00D93016"/>
    <w:rsid w:val="00D93295"/>
    <w:rsid w:val="00D9335B"/>
    <w:rsid w:val="00D93DAF"/>
    <w:rsid w:val="00D941AE"/>
    <w:rsid w:val="00D94E5E"/>
    <w:rsid w:val="00D94F2C"/>
    <w:rsid w:val="00D9542A"/>
    <w:rsid w:val="00D957CF"/>
    <w:rsid w:val="00D95CCC"/>
    <w:rsid w:val="00D96138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B03"/>
    <w:rsid w:val="00DA0F27"/>
    <w:rsid w:val="00DA156A"/>
    <w:rsid w:val="00DA1AD4"/>
    <w:rsid w:val="00DA1DA8"/>
    <w:rsid w:val="00DA22C1"/>
    <w:rsid w:val="00DA24B0"/>
    <w:rsid w:val="00DA2582"/>
    <w:rsid w:val="00DA2694"/>
    <w:rsid w:val="00DA3B5E"/>
    <w:rsid w:val="00DA3CF1"/>
    <w:rsid w:val="00DA449A"/>
    <w:rsid w:val="00DA4B0E"/>
    <w:rsid w:val="00DA50E4"/>
    <w:rsid w:val="00DA590B"/>
    <w:rsid w:val="00DA5BEB"/>
    <w:rsid w:val="00DA6BFD"/>
    <w:rsid w:val="00DA6D82"/>
    <w:rsid w:val="00DA7423"/>
    <w:rsid w:val="00DA7645"/>
    <w:rsid w:val="00DA7E15"/>
    <w:rsid w:val="00DA7FC8"/>
    <w:rsid w:val="00DB0044"/>
    <w:rsid w:val="00DB0284"/>
    <w:rsid w:val="00DB02FF"/>
    <w:rsid w:val="00DB10BD"/>
    <w:rsid w:val="00DB1379"/>
    <w:rsid w:val="00DB1433"/>
    <w:rsid w:val="00DB197C"/>
    <w:rsid w:val="00DB1AAF"/>
    <w:rsid w:val="00DB1DB6"/>
    <w:rsid w:val="00DB252C"/>
    <w:rsid w:val="00DB26B5"/>
    <w:rsid w:val="00DB273A"/>
    <w:rsid w:val="00DB3AA0"/>
    <w:rsid w:val="00DB3C49"/>
    <w:rsid w:val="00DB41B9"/>
    <w:rsid w:val="00DB42C2"/>
    <w:rsid w:val="00DB444B"/>
    <w:rsid w:val="00DB4628"/>
    <w:rsid w:val="00DB4714"/>
    <w:rsid w:val="00DB4788"/>
    <w:rsid w:val="00DB4A48"/>
    <w:rsid w:val="00DB4B85"/>
    <w:rsid w:val="00DB4D04"/>
    <w:rsid w:val="00DB510A"/>
    <w:rsid w:val="00DB5178"/>
    <w:rsid w:val="00DB5386"/>
    <w:rsid w:val="00DB5ABE"/>
    <w:rsid w:val="00DB6292"/>
    <w:rsid w:val="00DB640A"/>
    <w:rsid w:val="00DB67E7"/>
    <w:rsid w:val="00DB68BB"/>
    <w:rsid w:val="00DB7F10"/>
    <w:rsid w:val="00DC1524"/>
    <w:rsid w:val="00DC1889"/>
    <w:rsid w:val="00DC1CA3"/>
    <w:rsid w:val="00DC2332"/>
    <w:rsid w:val="00DC2A33"/>
    <w:rsid w:val="00DC3214"/>
    <w:rsid w:val="00DC3579"/>
    <w:rsid w:val="00DC3CC2"/>
    <w:rsid w:val="00DC3E0F"/>
    <w:rsid w:val="00DC43AE"/>
    <w:rsid w:val="00DC466F"/>
    <w:rsid w:val="00DC4841"/>
    <w:rsid w:val="00DC4B77"/>
    <w:rsid w:val="00DC4F97"/>
    <w:rsid w:val="00DC51EE"/>
    <w:rsid w:val="00DC5533"/>
    <w:rsid w:val="00DC5770"/>
    <w:rsid w:val="00DC59D7"/>
    <w:rsid w:val="00DC63D7"/>
    <w:rsid w:val="00DC65CE"/>
    <w:rsid w:val="00DC6E13"/>
    <w:rsid w:val="00DC6E1B"/>
    <w:rsid w:val="00DC7EBE"/>
    <w:rsid w:val="00DC7FD5"/>
    <w:rsid w:val="00DD0020"/>
    <w:rsid w:val="00DD12EF"/>
    <w:rsid w:val="00DD158F"/>
    <w:rsid w:val="00DD16FB"/>
    <w:rsid w:val="00DD235A"/>
    <w:rsid w:val="00DD2381"/>
    <w:rsid w:val="00DD2B1D"/>
    <w:rsid w:val="00DD302D"/>
    <w:rsid w:val="00DD3821"/>
    <w:rsid w:val="00DD3882"/>
    <w:rsid w:val="00DD391B"/>
    <w:rsid w:val="00DD45D3"/>
    <w:rsid w:val="00DD48F3"/>
    <w:rsid w:val="00DD4E0C"/>
    <w:rsid w:val="00DD52C9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104"/>
    <w:rsid w:val="00DE463C"/>
    <w:rsid w:val="00DE47DF"/>
    <w:rsid w:val="00DE4D21"/>
    <w:rsid w:val="00DE556C"/>
    <w:rsid w:val="00DE5EA6"/>
    <w:rsid w:val="00DE5F41"/>
    <w:rsid w:val="00DE61FB"/>
    <w:rsid w:val="00DE6B6A"/>
    <w:rsid w:val="00DE730F"/>
    <w:rsid w:val="00DE731D"/>
    <w:rsid w:val="00DE7A1D"/>
    <w:rsid w:val="00DF0A8D"/>
    <w:rsid w:val="00DF0E97"/>
    <w:rsid w:val="00DF11F0"/>
    <w:rsid w:val="00DF12A4"/>
    <w:rsid w:val="00DF1956"/>
    <w:rsid w:val="00DF1A7B"/>
    <w:rsid w:val="00DF1AD2"/>
    <w:rsid w:val="00DF1C90"/>
    <w:rsid w:val="00DF1D62"/>
    <w:rsid w:val="00DF2170"/>
    <w:rsid w:val="00DF2FC2"/>
    <w:rsid w:val="00DF3D62"/>
    <w:rsid w:val="00DF572E"/>
    <w:rsid w:val="00DF5743"/>
    <w:rsid w:val="00DF596A"/>
    <w:rsid w:val="00DF5A6D"/>
    <w:rsid w:val="00DF64C6"/>
    <w:rsid w:val="00DF64F0"/>
    <w:rsid w:val="00DF65C0"/>
    <w:rsid w:val="00DF6DA6"/>
    <w:rsid w:val="00DF708D"/>
    <w:rsid w:val="00DF7EB8"/>
    <w:rsid w:val="00E0031E"/>
    <w:rsid w:val="00E00FD5"/>
    <w:rsid w:val="00E01956"/>
    <w:rsid w:val="00E01CF2"/>
    <w:rsid w:val="00E02047"/>
    <w:rsid w:val="00E023E5"/>
    <w:rsid w:val="00E02837"/>
    <w:rsid w:val="00E04347"/>
    <w:rsid w:val="00E0443C"/>
    <w:rsid w:val="00E04B4F"/>
    <w:rsid w:val="00E066E8"/>
    <w:rsid w:val="00E06FD6"/>
    <w:rsid w:val="00E074C1"/>
    <w:rsid w:val="00E07B79"/>
    <w:rsid w:val="00E07CDC"/>
    <w:rsid w:val="00E1006A"/>
    <w:rsid w:val="00E105B9"/>
    <w:rsid w:val="00E1079E"/>
    <w:rsid w:val="00E10F6A"/>
    <w:rsid w:val="00E1101B"/>
    <w:rsid w:val="00E112FA"/>
    <w:rsid w:val="00E1212A"/>
    <w:rsid w:val="00E12298"/>
    <w:rsid w:val="00E12CED"/>
    <w:rsid w:val="00E13191"/>
    <w:rsid w:val="00E13D2C"/>
    <w:rsid w:val="00E13D90"/>
    <w:rsid w:val="00E13EE3"/>
    <w:rsid w:val="00E14025"/>
    <w:rsid w:val="00E148CD"/>
    <w:rsid w:val="00E14E22"/>
    <w:rsid w:val="00E14FF5"/>
    <w:rsid w:val="00E15713"/>
    <w:rsid w:val="00E16580"/>
    <w:rsid w:val="00E16682"/>
    <w:rsid w:val="00E1678A"/>
    <w:rsid w:val="00E17549"/>
    <w:rsid w:val="00E17751"/>
    <w:rsid w:val="00E17BAE"/>
    <w:rsid w:val="00E17E85"/>
    <w:rsid w:val="00E17E99"/>
    <w:rsid w:val="00E2002A"/>
    <w:rsid w:val="00E2055A"/>
    <w:rsid w:val="00E21C45"/>
    <w:rsid w:val="00E21F2D"/>
    <w:rsid w:val="00E22A26"/>
    <w:rsid w:val="00E22C7F"/>
    <w:rsid w:val="00E22DD9"/>
    <w:rsid w:val="00E2336E"/>
    <w:rsid w:val="00E23655"/>
    <w:rsid w:val="00E23AB9"/>
    <w:rsid w:val="00E23AC4"/>
    <w:rsid w:val="00E23ED2"/>
    <w:rsid w:val="00E247EE"/>
    <w:rsid w:val="00E24EF0"/>
    <w:rsid w:val="00E256F7"/>
    <w:rsid w:val="00E25995"/>
    <w:rsid w:val="00E25D57"/>
    <w:rsid w:val="00E26257"/>
    <w:rsid w:val="00E264AD"/>
    <w:rsid w:val="00E27074"/>
    <w:rsid w:val="00E27E1C"/>
    <w:rsid w:val="00E300F2"/>
    <w:rsid w:val="00E31800"/>
    <w:rsid w:val="00E31966"/>
    <w:rsid w:val="00E3203D"/>
    <w:rsid w:val="00E32AE4"/>
    <w:rsid w:val="00E32D6A"/>
    <w:rsid w:val="00E33396"/>
    <w:rsid w:val="00E335C5"/>
    <w:rsid w:val="00E33D24"/>
    <w:rsid w:val="00E33E8E"/>
    <w:rsid w:val="00E34706"/>
    <w:rsid w:val="00E34ABC"/>
    <w:rsid w:val="00E34ED4"/>
    <w:rsid w:val="00E350F2"/>
    <w:rsid w:val="00E351ED"/>
    <w:rsid w:val="00E35580"/>
    <w:rsid w:val="00E3635D"/>
    <w:rsid w:val="00E36470"/>
    <w:rsid w:val="00E36630"/>
    <w:rsid w:val="00E36DD5"/>
    <w:rsid w:val="00E3751A"/>
    <w:rsid w:val="00E377A6"/>
    <w:rsid w:val="00E4005E"/>
    <w:rsid w:val="00E40A1E"/>
    <w:rsid w:val="00E41969"/>
    <w:rsid w:val="00E41CF2"/>
    <w:rsid w:val="00E41D23"/>
    <w:rsid w:val="00E4297F"/>
    <w:rsid w:val="00E438F7"/>
    <w:rsid w:val="00E43E29"/>
    <w:rsid w:val="00E43EE5"/>
    <w:rsid w:val="00E44ACD"/>
    <w:rsid w:val="00E44CB9"/>
    <w:rsid w:val="00E45343"/>
    <w:rsid w:val="00E4582A"/>
    <w:rsid w:val="00E45B97"/>
    <w:rsid w:val="00E46059"/>
    <w:rsid w:val="00E466D3"/>
    <w:rsid w:val="00E46852"/>
    <w:rsid w:val="00E46AB1"/>
    <w:rsid w:val="00E476C1"/>
    <w:rsid w:val="00E479FF"/>
    <w:rsid w:val="00E506C9"/>
    <w:rsid w:val="00E51392"/>
    <w:rsid w:val="00E515B1"/>
    <w:rsid w:val="00E51662"/>
    <w:rsid w:val="00E51EC2"/>
    <w:rsid w:val="00E5269A"/>
    <w:rsid w:val="00E5333D"/>
    <w:rsid w:val="00E535D1"/>
    <w:rsid w:val="00E536FC"/>
    <w:rsid w:val="00E53AA6"/>
    <w:rsid w:val="00E53C6C"/>
    <w:rsid w:val="00E53CB2"/>
    <w:rsid w:val="00E53D6A"/>
    <w:rsid w:val="00E54898"/>
    <w:rsid w:val="00E55558"/>
    <w:rsid w:val="00E55680"/>
    <w:rsid w:val="00E55BB8"/>
    <w:rsid w:val="00E56344"/>
    <w:rsid w:val="00E571CF"/>
    <w:rsid w:val="00E57E87"/>
    <w:rsid w:val="00E60733"/>
    <w:rsid w:val="00E60DE1"/>
    <w:rsid w:val="00E61076"/>
    <w:rsid w:val="00E612D8"/>
    <w:rsid w:val="00E61812"/>
    <w:rsid w:val="00E62CF0"/>
    <w:rsid w:val="00E62D31"/>
    <w:rsid w:val="00E62E5D"/>
    <w:rsid w:val="00E633C8"/>
    <w:rsid w:val="00E64517"/>
    <w:rsid w:val="00E65073"/>
    <w:rsid w:val="00E65E8C"/>
    <w:rsid w:val="00E66265"/>
    <w:rsid w:val="00E66800"/>
    <w:rsid w:val="00E66D78"/>
    <w:rsid w:val="00E66DD7"/>
    <w:rsid w:val="00E673C1"/>
    <w:rsid w:val="00E67C5C"/>
    <w:rsid w:val="00E67E55"/>
    <w:rsid w:val="00E70504"/>
    <w:rsid w:val="00E70783"/>
    <w:rsid w:val="00E70E05"/>
    <w:rsid w:val="00E71198"/>
    <w:rsid w:val="00E71651"/>
    <w:rsid w:val="00E71E4F"/>
    <w:rsid w:val="00E72486"/>
    <w:rsid w:val="00E724EF"/>
    <w:rsid w:val="00E7264E"/>
    <w:rsid w:val="00E72651"/>
    <w:rsid w:val="00E72EF6"/>
    <w:rsid w:val="00E7303B"/>
    <w:rsid w:val="00E73957"/>
    <w:rsid w:val="00E73C90"/>
    <w:rsid w:val="00E73D3A"/>
    <w:rsid w:val="00E7412C"/>
    <w:rsid w:val="00E743A1"/>
    <w:rsid w:val="00E74BC5"/>
    <w:rsid w:val="00E74ED9"/>
    <w:rsid w:val="00E74F05"/>
    <w:rsid w:val="00E74F06"/>
    <w:rsid w:val="00E7518B"/>
    <w:rsid w:val="00E7593F"/>
    <w:rsid w:val="00E76497"/>
    <w:rsid w:val="00E765E0"/>
    <w:rsid w:val="00E76C33"/>
    <w:rsid w:val="00E8011B"/>
    <w:rsid w:val="00E801FE"/>
    <w:rsid w:val="00E80768"/>
    <w:rsid w:val="00E80E1E"/>
    <w:rsid w:val="00E80EB1"/>
    <w:rsid w:val="00E82135"/>
    <w:rsid w:val="00E82862"/>
    <w:rsid w:val="00E82CA0"/>
    <w:rsid w:val="00E82E17"/>
    <w:rsid w:val="00E84AD4"/>
    <w:rsid w:val="00E84E2F"/>
    <w:rsid w:val="00E8534F"/>
    <w:rsid w:val="00E854EA"/>
    <w:rsid w:val="00E85EC9"/>
    <w:rsid w:val="00E86BAE"/>
    <w:rsid w:val="00E876A3"/>
    <w:rsid w:val="00E87DC5"/>
    <w:rsid w:val="00E903A5"/>
    <w:rsid w:val="00E90A19"/>
    <w:rsid w:val="00E90A4D"/>
    <w:rsid w:val="00E91460"/>
    <w:rsid w:val="00E915F1"/>
    <w:rsid w:val="00E91C42"/>
    <w:rsid w:val="00E92341"/>
    <w:rsid w:val="00E93599"/>
    <w:rsid w:val="00E93635"/>
    <w:rsid w:val="00E93BF3"/>
    <w:rsid w:val="00E94F06"/>
    <w:rsid w:val="00E95243"/>
    <w:rsid w:val="00E953D6"/>
    <w:rsid w:val="00E956CB"/>
    <w:rsid w:val="00E95968"/>
    <w:rsid w:val="00E95BE2"/>
    <w:rsid w:val="00E960B8"/>
    <w:rsid w:val="00E96AEE"/>
    <w:rsid w:val="00E96D1C"/>
    <w:rsid w:val="00E977CB"/>
    <w:rsid w:val="00E977CE"/>
    <w:rsid w:val="00E97990"/>
    <w:rsid w:val="00E97ADD"/>
    <w:rsid w:val="00E97D2F"/>
    <w:rsid w:val="00E97EA7"/>
    <w:rsid w:val="00E97FB1"/>
    <w:rsid w:val="00EA0514"/>
    <w:rsid w:val="00EA093F"/>
    <w:rsid w:val="00EA0B54"/>
    <w:rsid w:val="00EA1266"/>
    <w:rsid w:val="00EA1514"/>
    <w:rsid w:val="00EA16E1"/>
    <w:rsid w:val="00EA1767"/>
    <w:rsid w:val="00EA1D3A"/>
    <w:rsid w:val="00EA1F8E"/>
    <w:rsid w:val="00EA2360"/>
    <w:rsid w:val="00EA272B"/>
    <w:rsid w:val="00EA274B"/>
    <w:rsid w:val="00EA276F"/>
    <w:rsid w:val="00EA2AA3"/>
    <w:rsid w:val="00EA2F5D"/>
    <w:rsid w:val="00EA301E"/>
    <w:rsid w:val="00EA37F7"/>
    <w:rsid w:val="00EA3BA1"/>
    <w:rsid w:val="00EA449C"/>
    <w:rsid w:val="00EA4F1E"/>
    <w:rsid w:val="00EA4F7D"/>
    <w:rsid w:val="00EA5F9C"/>
    <w:rsid w:val="00EA633B"/>
    <w:rsid w:val="00EA659C"/>
    <w:rsid w:val="00EA694F"/>
    <w:rsid w:val="00EA7206"/>
    <w:rsid w:val="00EA7C32"/>
    <w:rsid w:val="00EB0A68"/>
    <w:rsid w:val="00EB0E6A"/>
    <w:rsid w:val="00EB0FE6"/>
    <w:rsid w:val="00EB11EB"/>
    <w:rsid w:val="00EB16EB"/>
    <w:rsid w:val="00EB182C"/>
    <w:rsid w:val="00EB19D9"/>
    <w:rsid w:val="00EB2287"/>
    <w:rsid w:val="00EB243B"/>
    <w:rsid w:val="00EB269D"/>
    <w:rsid w:val="00EB30E8"/>
    <w:rsid w:val="00EB344E"/>
    <w:rsid w:val="00EB45D7"/>
    <w:rsid w:val="00EB47B3"/>
    <w:rsid w:val="00EB4926"/>
    <w:rsid w:val="00EB4B58"/>
    <w:rsid w:val="00EB4DDC"/>
    <w:rsid w:val="00EB4E5F"/>
    <w:rsid w:val="00EB5197"/>
    <w:rsid w:val="00EB5629"/>
    <w:rsid w:val="00EB5734"/>
    <w:rsid w:val="00EB65AF"/>
    <w:rsid w:val="00EB72B4"/>
    <w:rsid w:val="00EB75EB"/>
    <w:rsid w:val="00EB7605"/>
    <w:rsid w:val="00EB76CB"/>
    <w:rsid w:val="00EC0005"/>
    <w:rsid w:val="00EC089D"/>
    <w:rsid w:val="00EC0DD3"/>
    <w:rsid w:val="00EC101A"/>
    <w:rsid w:val="00EC101F"/>
    <w:rsid w:val="00EC1394"/>
    <w:rsid w:val="00EC20D7"/>
    <w:rsid w:val="00EC226A"/>
    <w:rsid w:val="00EC229B"/>
    <w:rsid w:val="00EC235C"/>
    <w:rsid w:val="00EC28DD"/>
    <w:rsid w:val="00EC2EE6"/>
    <w:rsid w:val="00EC3012"/>
    <w:rsid w:val="00EC3713"/>
    <w:rsid w:val="00EC37A0"/>
    <w:rsid w:val="00EC3FA5"/>
    <w:rsid w:val="00EC404D"/>
    <w:rsid w:val="00EC4F34"/>
    <w:rsid w:val="00EC5503"/>
    <w:rsid w:val="00EC552D"/>
    <w:rsid w:val="00EC5B93"/>
    <w:rsid w:val="00EC774B"/>
    <w:rsid w:val="00EC7C27"/>
    <w:rsid w:val="00ED1308"/>
    <w:rsid w:val="00ED13EB"/>
    <w:rsid w:val="00ED1462"/>
    <w:rsid w:val="00ED14A1"/>
    <w:rsid w:val="00ED17FA"/>
    <w:rsid w:val="00ED1856"/>
    <w:rsid w:val="00ED24B6"/>
    <w:rsid w:val="00ED25D2"/>
    <w:rsid w:val="00ED35C0"/>
    <w:rsid w:val="00ED36CC"/>
    <w:rsid w:val="00ED3F38"/>
    <w:rsid w:val="00ED4051"/>
    <w:rsid w:val="00ED4124"/>
    <w:rsid w:val="00ED4D0D"/>
    <w:rsid w:val="00ED5030"/>
    <w:rsid w:val="00ED547D"/>
    <w:rsid w:val="00ED596C"/>
    <w:rsid w:val="00ED5986"/>
    <w:rsid w:val="00ED5ACF"/>
    <w:rsid w:val="00EE0174"/>
    <w:rsid w:val="00EE01D1"/>
    <w:rsid w:val="00EE083C"/>
    <w:rsid w:val="00EE0D6A"/>
    <w:rsid w:val="00EE12E9"/>
    <w:rsid w:val="00EE13A7"/>
    <w:rsid w:val="00EE2B3E"/>
    <w:rsid w:val="00EE2B55"/>
    <w:rsid w:val="00EE3341"/>
    <w:rsid w:val="00EE3445"/>
    <w:rsid w:val="00EE407D"/>
    <w:rsid w:val="00EE4436"/>
    <w:rsid w:val="00EE4BBE"/>
    <w:rsid w:val="00EE546C"/>
    <w:rsid w:val="00EE563D"/>
    <w:rsid w:val="00EE5DFC"/>
    <w:rsid w:val="00EE5E6F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C11"/>
    <w:rsid w:val="00EF1D2F"/>
    <w:rsid w:val="00EF1D66"/>
    <w:rsid w:val="00EF20C3"/>
    <w:rsid w:val="00EF212E"/>
    <w:rsid w:val="00EF231B"/>
    <w:rsid w:val="00EF2449"/>
    <w:rsid w:val="00EF2467"/>
    <w:rsid w:val="00EF256C"/>
    <w:rsid w:val="00EF2E41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DD8"/>
    <w:rsid w:val="00EF7683"/>
    <w:rsid w:val="00F00159"/>
    <w:rsid w:val="00F008C1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733"/>
    <w:rsid w:val="00F058AD"/>
    <w:rsid w:val="00F0595E"/>
    <w:rsid w:val="00F05A7B"/>
    <w:rsid w:val="00F06033"/>
    <w:rsid w:val="00F06454"/>
    <w:rsid w:val="00F06A19"/>
    <w:rsid w:val="00F06CB2"/>
    <w:rsid w:val="00F06E72"/>
    <w:rsid w:val="00F07C8A"/>
    <w:rsid w:val="00F07D8B"/>
    <w:rsid w:val="00F104D0"/>
    <w:rsid w:val="00F10840"/>
    <w:rsid w:val="00F1163D"/>
    <w:rsid w:val="00F116E1"/>
    <w:rsid w:val="00F11E4F"/>
    <w:rsid w:val="00F1272B"/>
    <w:rsid w:val="00F12A01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8EC"/>
    <w:rsid w:val="00F15D2C"/>
    <w:rsid w:val="00F16582"/>
    <w:rsid w:val="00F16B9D"/>
    <w:rsid w:val="00F16CE1"/>
    <w:rsid w:val="00F16F06"/>
    <w:rsid w:val="00F17125"/>
    <w:rsid w:val="00F179EF"/>
    <w:rsid w:val="00F17E02"/>
    <w:rsid w:val="00F17E22"/>
    <w:rsid w:val="00F20017"/>
    <w:rsid w:val="00F20776"/>
    <w:rsid w:val="00F20970"/>
    <w:rsid w:val="00F21051"/>
    <w:rsid w:val="00F2106E"/>
    <w:rsid w:val="00F2122C"/>
    <w:rsid w:val="00F21514"/>
    <w:rsid w:val="00F21AE7"/>
    <w:rsid w:val="00F21B8E"/>
    <w:rsid w:val="00F21CAF"/>
    <w:rsid w:val="00F221A0"/>
    <w:rsid w:val="00F223BD"/>
    <w:rsid w:val="00F223EA"/>
    <w:rsid w:val="00F22D52"/>
    <w:rsid w:val="00F22EE2"/>
    <w:rsid w:val="00F2305F"/>
    <w:rsid w:val="00F232DA"/>
    <w:rsid w:val="00F23613"/>
    <w:rsid w:val="00F238E5"/>
    <w:rsid w:val="00F242B4"/>
    <w:rsid w:val="00F24874"/>
    <w:rsid w:val="00F24980"/>
    <w:rsid w:val="00F24B20"/>
    <w:rsid w:val="00F24BEA"/>
    <w:rsid w:val="00F24EF6"/>
    <w:rsid w:val="00F25A7A"/>
    <w:rsid w:val="00F25C36"/>
    <w:rsid w:val="00F25C9C"/>
    <w:rsid w:val="00F26145"/>
    <w:rsid w:val="00F26264"/>
    <w:rsid w:val="00F26345"/>
    <w:rsid w:val="00F2634C"/>
    <w:rsid w:val="00F26432"/>
    <w:rsid w:val="00F26D6D"/>
    <w:rsid w:val="00F27FD6"/>
    <w:rsid w:val="00F30616"/>
    <w:rsid w:val="00F319CF"/>
    <w:rsid w:val="00F319F9"/>
    <w:rsid w:val="00F32AF9"/>
    <w:rsid w:val="00F33B96"/>
    <w:rsid w:val="00F346B1"/>
    <w:rsid w:val="00F34753"/>
    <w:rsid w:val="00F3484E"/>
    <w:rsid w:val="00F34E84"/>
    <w:rsid w:val="00F34FB3"/>
    <w:rsid w:val="00F35B9E"/>
    <w:rsid w:val="00F35F60"/>
    <w:rsid w:val="00F36323"/>
    <w:rsid w:val="00F3654F"/>
    <w:rsid w:val="00F366D6"/>
    <w:rsid w:val="00F36F16"/>
    <w:rsid w:val="00F37507"/>
    <w:rsid w:val="00F40042"/>
    <w:rsid w:val="00F415F2"/>
    <w:rsid w:val="00F41B50"/>
    <w:rsid w:val="00F42037"/>
    <w:rsid w:val="00F423F6"/>
    <w:rsid w:val="00F42415"/>
    <w:rsid w:val="00F424D3"/>
    <w:rsid w:val="00F4284C"/>
    <w:rsid w:val="00F443B0"/>
    <w:rsid w:val="00F444E7"/>
    <w:rsid w:val="00F447EA"/>
    <w:rsid w:val="00F44943"/>
    <w:rsid w:val="00F453DF"/>
    <w:rsid w:val="00F4588A"/>
    <w:rsid w:val="00F45CB5"/>
    <w:rsid w:val="00F4737E"/>
    <w:rsid w:val="00F47D5F"/>
    <w:rsid w:val="00F47E5F"/>
    <w:rsid w:val="00F50623"/>
    <w:rsid w:val="00F511EE"/>
    <w:rsid w:val="00F51D28"/>
    <w:rsid w:val="00F51E4D"/>
    <w:rsid w:val="00F531CA"/>
    <w:rsid w:val="00F533F9"/>
    <w:rsid w:val="00F539AC"/>
    <w:rsid w:val="00F53D94"/>
    <w:rsid w:val="00F541CE"/>
    <w:rsid w:val="00F5420D"/>
    <w:rsid w:val="00F54768"/>
    <w:rsid w:val="00F547F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177"/>
    <w:rsid w:val="00F626F5"/>
    <w:rsid w:val="00F629DE"/>
    <w:rsid w:val="00F638B4"/>
    <w:rsid w:val="00F6394E"/>
    <w:rsid w:val="00F63A6E"/>
    <w:rsid w:val="00F6424F"/>
    <w:rsid w:val="00F643C2"/>
    <w:rsid w:val="00F64A0B"/>
    <w:rsid w:val="00F6557B"/>
    <w:rsid w:val="00F65BA0"/>
    <w:rsid w:val="00F666B5"/>
    <w:rsid w:val="00F67275"/>
    <w:rsid w:val="00F6784B"/>
    <w:rsid w:val="00F67EF9"/>
    <w:rsid w:val="00F7026D"/>
    <w:rsid w:val="00F70C14"/>
    <w:rsid w:val="00F713B8"/>
    <w:rsid w:val="00F713E2"/>
    <w:rsid w:val="00F7187B"/>
    <w:rsid w:val="00F718A4"/>
    <w:rsid w:val="00F71D8E"/>
    <w:rsid w:val="00F72698"/>
    <w:rsid w:val="00F72770"/>
    <w:rsid w:val="00F728AA"/>
    <w:rsid w:val="00F72AD3"/>
    <w:rsid w:val="00F72C8A"/>
    <w:rsid w:val="00F72CA8"/>
    <w:rsid w:val="00F72D90"/>
    <w:rsid w:val="00F741FA"/>
    <w:rsid w:val="00F7430B"/>
    <w:rsid w:val="00F745D9"/>
    <w:rsid w:val="00F74B18"/>
    <w:rsid w:val="00F7523E"/>
    <w:rsid w:val="00F759D4"/>
    <w:rsid w:val="00F759D7"/>
    <w:rsid w:val="00F7609A"/>
    <w:rsid w:val="00F7665F"/>
    <w:rsid w:val="00F76924"/>
    <w:rsid w:val="00F76C4F"/>
    <w:rsid w:val="00F76F6B"/>
    <w:rsid w:val="00F76FD6"/>
    <w:rsid w:val="00F77293"/>
    <w:rsid w:val="00F77C33"/>
    <w:rsid w:val="00F77D71"/>
    <w:rsid w:val="00F808F0"/>
    <w:rsid w:val="00F80927"/>
    <w:rsid w:val="00F819B9"/>
    <w:rsid w:val="00F819E1"/>
    <w:rsid w:val="00F820E2"/>
    <w:rsid w:val="00F822A0"/>
    <w:rsid w:val="00F82F3E"/>
    <w:rsid w:val="00F83914"/>
    <w:rsid w:val="00F83A8B"/>
    <w:rsid w:val="00F83B2E"/>
    <w:rsid w:val="00F84099"/>
    <w:rsid w:val="00F8412E"/>
    <w:rsid w:val="00F843F7"/>
    <w:rsid w:val="00F8476D"/>
    <w:rsid w:val="00F85501"/>
    <w:rsid w:val="00F856DE"/>
    <w:rsid w:val="00F85851"/>
    <w:rsid w:val="00F86769"/>
    <w:rsid w:val="00F8676D"/>
    <w:rsid w:val="00F86C16"/>
    <w:rsid w:val="00F8798B"/>
    <w:rsid w:val="00F87E34"/>
    <w:rsid w:val="00F9034D"/>
    <w:rsid w:val="00F90624"/>
    <w:rsid w:val="00F907AF"/>
    <w:rsid w:val="00F90E09"/>
    <w:rsid w:val="00F91CBC"/>
    <w:rsid w:val="00F91E36"/>
    <w:rsid w:val="00F922ED"/>
    <w:rsid w:val="00F93340"/>
    <w:rsid w:val="00F934C9"/>
    <w:rsid w:val="00F93A0A"/>
    <w:rsid w:val="00F94A71"/>
    <w:rsid w:val="00F94CCA"/>
    <w:rsid w:val="00F9535C"/>
    <w:rsid w:val="00F95780"/>
    <w:rsid w:val="00F95EFB"/>
    <w:rsid w:val="00F9624E"/>
    <w:rsid w:val="00F96453"/>
    <w:rsid w:val="00F96923"/>
    <w:rsid w:val="00F96E26"/>
    <w:rsid w:val="00F970DB"/>
    <w:rsid w:val="00F9738C"/>
    <w:rsid w:val="00F9766C"/>
    <w:rsid w:val="00FA008C"/>
    <w:rsid w:val="00FA0431"/>
    <w:rsid w:val="00FA0577"/>
    <w:rsid w:val="00FA086C"/>
    <w:rsid w:val="00FA0870"/>
    <w:rsid w:val="00FA0FFB"/>
    <w:rsid w:val="00FA1441"/>
    <w:rsid w:val="00FA203F"/>
    <w:rsid w:val="00FA36B9"/>
    <w:rsid w:val="00FA38A1"/>
    <w:rsid w:val="00FA3C01"/>
    <w:rsid w:val="00FA3F41"/>
    <w:rsid w:val="00FA4A3B"/>
    <w:rsid w:val="00FA62C1"/>
    <w:rsid w:val="00FA6B17"/>
    <w:rsid w:val="00FA7860"/>
    <w:rsid w:val="00FB0060"/>
    <w:rsid w:val="00FB012F"/>
    <w:rsid w:val="00FB0185"/>
    <w:rsid w:val="00FB0A08"/>
    <w:rsid w:val="00FB0AD3"/>
    <w:rsid w:val="00FB0D58"/>
    <w:rsid w:val="00FB185F"/>
    <w:rsid w:val="00FB21EE"/>
    <w:rsid w:val="00FB2506"/>
    <w:rsid w:val="00FB306B"/>
    <w:rsid w:val="00FB360F"/>
    <w:rsid w:val="00FB3784"/>
    <w:rsid w:val="00FB4F25"/>
    <w:rsid w:val="00FB50C2"/>
    <w:rsid w:val="00FB529D"/>
    <w:rsid w:val="00FB56C5"/>
    <w:rsid w:val="00FB57EF"/>
    <w:rsid w:val="00FB59E5"/>
    <w:rsid w:val="00FB5FB0"/>
    <w:rsid w:val="00FB6F0E"/>
    <w:rsid w:val="00FB7A5B"/>
    <w:rsid w:val="00FC06BF"/>
    <w:rsid w:val="00FC0AE4"/>
    <w:rsid w:val="00FC0E21"/>
    <w:rsid w:val="00FC126D"/>
    <w:rsid w:val="00FC1694"/>
    <w:rsid w:val="00FC1CF2"/>
    <w:rsid w:val="00FC2124"/>
    <w:rsid w:val="00FC2576"/>
    <w:rsid w:val="00FC2681"/>
    <w:rsid w:val="00FC2A8A"/>
    <w:rsid w:val="00FC2E45"/>
    <w:rsid w:val="00FC2E4F"/>
    <w:rsid w:val="00FC351E"/>
    <w:rsid w:val="00FC35DE"/>
    <w:rsid w:val="00FC4398"/>
    <w:rsid w:val="00FC4B62"/>
    <w:rsid w:val="00FC4BA2"/>
    <w:rsid w:val="00FC4FB0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7F"/>
    <w:rsid w:val="00FC7186"/>
    <w:rsid w:val="00FC742F"/>
    <w:rsid w:val="00FC7C89"/>
    <w:rsid w:val="00FD0962"/>
    <w:rsid w:val="00FD0F61"/>
    <w:rsid w:val="00FD1215"/>
    <w:rsid w:val="00FD1280"/>
    <w:rsid w:val="00FD143C"/>
    <w:rsid w:val="00FD1946"/>
    <w:rsid w:val="00FD1D9C"/>
    <w:rsid w:val="00FD2965"/>
    <w:rsid w:val="00FD2A64"/>
    <w:rsid w:val="00FD2CC3"/>
    <w:rsid w:val="00FD2D60"/>
    <w:rsid w:val="00FD3CF7"/>
    <w:rsid w:val="00FD3D61"/>
    <w:rsid w:val="00FD436D"/>
    <w:rsid w:val="00FD491D"/>
    <w:rsid w:val="00FD49DB"/>
    <w:rsid w:val="00FD5062"/>
    <w:rsid w:val="00FD53CE"/>
    <w:rsid w:val="00FD5AFE"/>
    <w:rsid w:val="00FD5C14"/>
    <w:rsid w:val="00FD61E9"/>
    <w:rsid w:val="00FD6EF3"/>
    <w:rsid w:val="00FD764D"/>
    <w:rsid w:val="00FD7B35"/>
    <w:rsid w:val="00FD7C6C"/>
    <w:rsid w:val="00FD7CDC"/>
    <w:rsid w:val="00FD7F20"/>
    <w:rsid w:val="00FE01A6"/>
    <w:rsid w:val="00FE02F8"/>
    <w:rsid w:val="00FE05BF"/>
    <w:rsid w:val="00FE0BA6"/>
    <w:rsid w:val="00FE1445"/>
    <w:rsid w:val="00FE153E"/>
    <w:rsid w:val="00FE18EF"/>
    <w:rsid w:val="00FE1CE2"/>
    <w:rsid w:val="00FE1DFC"/>
    <w:rsid w:val="00FE1E6A"/>
    <w:rsid w:val="00FE235B"/>
    <w:rsid w:val="00FE263D"/>
    <w:rsid w:val="00FE27FE"/>
    <w:rsid w:val="00FE2852"/>
    <w:rsid w:val="00FE2CBB"/>
    <w:rsid w:val="00FE2F5F"/>
    <w:rsid w:val="00FE393B"/>
    <w:rsid w:val="00FE4608"/>
    <w:rsid w:val="00FE4826"/>
    <w:rsid w:val="00FE5DD2"/>
    <w:rsid w:val="00FE5FD1"/>
    <w:rsid w:val="00FE66DF"/>
    <w:rsid w:val="00FE6845"/>
    <w:rsid w:val="00FE6AD1"/>
    <w:rsid w:val="00FE78FD"/>
    <w:rsid w:val="00FE7BA2"/>
    <w:rsid w:val="00FF0336"/>
    <w:rsid w:val="00FF0586"/>
    <w:rsid w:val="00FF09BD"/>
    <w:rsid w:val="00FF0BD6"/>
    <w:rsid w:val="00FF1744"/>
    <w:rsid w:val="00FF2265"/>
    <w:rsid w:val="00FF2A71"/>
    <w:rsid w:val="00FF3496"/>
    <w:rsid w:val="00FF3CA1"/>
    <w:rsid w:val="00FF4177"/>
    <w:rsid w:val="00FF4675"/>
    <w:rsid w:val="00FF48C8"/>
    <w:rsid w:val="00FF5024"/>
    <w:rsid w:val="00FF5A0D"/>
    <w:rsid w:val="00FF5DF1"/>
    <w:rsid w:val="00FF7932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o:allowincell="f" fillcolor="none [1311]" stroke="f">
      <v:fill color="none [1311]" opacity=".5" color2="none [1311]" o:opacity2=".5" type="pattern"/>
      <v:stroke on="f"/>
    </o:shapedefaults>
    <o:shapelayout v:ext="edit">
      <o:idmap v:ext="edit" data="1"/>
    </o:shapelayout>
  </w:shapeDefaults>
  <w:decimalSymbol w:val="."/>
  <w:listSeparator w:val=","/>
  <w14:docId w14:val="507D4AAA"/>
  <w15:docId w15:val="{88043DB6-3611-4090-9F25-A681E34D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"/>
    <w:next w:val="p0"/>
    <w:rsid w:val="00467BD1"/>
    <w:pPr>
      <w:keepLines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parrafo1">
    <w:name w:val="parrafo1"/>
    <w:basedOn w:val="p0"/>
    <w:rsid w:val="003A5EF6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D0D5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39F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42530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D2D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D6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D60"/>
    <w:rPr>
      <w:rFonts w:ascii="Arial" w:hAnsi="Arial" w:cs="Arial"/>
      <w:b/>
      <w:bCs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521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DA449A"/>
    <w:pPr>
      <w:jc w:val="left"/>
    </w:pPr>
    <w:rPr>
      <w:rFonts w:ascii="Calibri" w:eastAsiaTheme="minorHAnsi" w:hAnsi="Calibri" w:cs="Calibri"/>
      <w:sz w:val="22"/>
      <w:szCs w:val="22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0942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26" Type="http://schemas.openxmlformats.org/officeDocument/2006/relationships/chart" Target="charts/chart6.xml"/><Relationship Id="rId21" Type="http://schemas.openxmlformats.org/officeDocument/2006/relationships/header" Target="header1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5.xml"/><Relationship Id="rId33" Type="http://schemas.openxmlformats.org/officeDocument/2006/relationships/hyperlink" Target="https://www.inegi.org.mx/app/indicadores/?tm=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29" Type="http://schemas.openxmlformats.org/officeDocument/2006/relationships/hyperlink" Target="https://www.inegi.org.mx/app/biblioteca/ficha.html?upc=7028250990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4.xml"/><Relationship Id="rId32" Type="http://schemas.openxmlformats.org/officeDocument/2006/relationships/hyperlink" Target="https://www.inegi.org.mx/programas/emec/2013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fontTable" Target="fontTable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temas/comercioemp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openxmlformats.org/officeDocument/2006/relationships/chart" Target="charts/chart7.xml"/><Relationship Id="rId30" Type="http://schemas.openxmlformats.org/officeDocument/2006/relationships/image" Target="media/image7.gif"/><Relationship Id="rId35" Type="http://schemas.openxmlformats.org/officeDocument/2006/relationships/footer" Target="footer2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10.1.8.3\Analisis%20Eco%20Sec\1.-COMUNICADOS%20Y%20NOTAS\EMEC\4.-%20Cuadros%20y%20gr&#225;ficas\Comercio_Gr&#225;ficas%20Desest%20y%20Tendencia-Cicl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8169261904761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6350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Tendencia-Ciclo.xlsx]Datos'!$C$114:$C$185</c:f>
              <c:numCache>
                <c:formatCode>0.0_)</c:formatCode>
                <c:ptCount val="67"/>
                <c:pt idx="0">
                  <c:v>108.01359009062099</c:v>
                </c:pt>
                <c:pt idx="1">
                  <c:v>107.51092745828601</c:v>
                </c:pt>
                <c:pt idx="2">
                  <c:v>106.597074992836</c:v>
                </c:pt>
                <c:pt idx="3">
                  <c:v>107.183142034141</c:v>
                </c:pt>
                <c:pt idx="4">
                  <c:v>106.26669521877299</c:v>
                </c:pt>
                <c:pt idx="5">
                  <c:v>106.83629886901601</c:v>
                </c:pt>
                <c:pt idx="6">
                  <c:v>107.65923764599199</c:v>
                </c:pt>
                <c:pt idx="7">
                  <c:v>108.326299738061</c:v>
                </c:pt>
                <c:pt idx="8">
                  <c:v>107.47665159425</c:v>
                </c:pt>
                <c:pt idx="9">
                  <c:v>107.62054768828099</c:v>
                </c:pt>
                <c:pt idx="10">
                  <c:v>107.842483015901</c:v>
                </c:pt>
                <c:pt idx="11">
                  <c:v>108.77633505109</c:v>
                </c:pt>
                <c:pt idx="12">
                  <c:v>108.398557758471</c:v>
                </c:pt>
                <c:pt idx="13">
                  <c:v>109.081533289935</c:v>
                </c:pt>
                <c:pt idx="14">
                  <c:v>110.622296876078</c:v>
                </c:pt>
                <c:pt idx="15">
                  <c:v>110.469670569363</c:v>
                </c:pt>
                <c:pt idx="16">
                  <c:v>111.301728602667</c:v>
                </c:pt>
                <c:pt idx="17">
                  <c:v>111.551129158637</c:v>
                </c:pt>
                <c:pt idx="18">
                  <c:v>110.12286496635799</c:v>
                </c:pt>
                <c:pt idx="19">
                  <c:v>110.60788313943701</c:v>
                </c:pt>
                <c:pt idx="20">
                  <c:v>110.875177848514</c:v>
                </c:pt>
                <c:pt idx="21">
                  <c:v>112.69647886139499</c:v>
                </c:pt>
                <c:pt idx="22">
                  <c:v>109.407953720504</c:v>
                </c:pt>
                <c:pt idx="23">
                  <c:v>106.690809247536</c:v>
                </c:pt>
                <c:pt idx="24">
                  <c:v>108.591510040963</c:v>
                </c:pt>
                <c:pt idx="25">
                  <c:v>108.179177672458</c:v>
                </c:pt>
                <c:pt idx="26">
                  <c:v>107.415077267697</c:v>
                </c:pt>
                <c:pt idx="27">
                  <c:v>107.94106446285301</c:v>
                </c:pt>
                <c:pt idx="28">
                  <c:v>107.298120986744</c:v>
                </c:pt>
                <c:pt idx="29">
                  <c:v>108.254692700726</c:v>
                </c:pt>
                <c:pt idx="30">
                  <c:v>107.97018956145099</c:v>
                </c:pt>
                <c:pt idx="31">
                  <c:v>107.952029651562</c:v>
                </c:pt>
                <c:pt idx="32">
                  <c:v>107.357109406942</c:v>
                </c:pt>
                <c:pt idx="33">
                  <c:v>106.062692253359</c:v>
                </c:pt>
                <c:pt idx="34">
                  <c:v>105.79821355706601</c:v>
                </c:pt>
                <c:pt idx="35">
                  <c:v>105.568544362376</c:v>
                </c:pt>
                <c:pt idx="36">
                  <c:v>106.398846696402</c:v>
                </c:pt>
                <c:pt idx="37">
                  <c:v>105.347632821224</c:v>
                </c:pt>
                <c:pt idx="38">
                  <c:v>103.976446242091</c:v>
                </c:pt>
                <c:pt idx="39">
                  <c:v>85.726756038559998</c:v>
                </c:pt>
                <c:pt idx="40">
                  <c:v>81.673078245846696</c:v>
                </c:pt>
                <c:pt idx="41">
                  <c:v>91.033772523085503</c:v>
                </c:pt>
                <c:pt idx="42">
                  <c:v>96.203801403556795</c:v>
                </c:pt>
                <c:pt idx="43">
                  <c:v>97.6281130662192</c:v>
                </c:pt>
                <c:pt idx="44">
                  <c:v>99.018906834734494</c:v>
                </c:pt>
                <c:pt idx="45">
                  <c:v>100.654265962371</c:v>
                </c:pt>
                <c:pt idx="46">
                  <c:v>102.101861503539</c:v>
                </c:pt>
                <c:pt idx="47">
                  <c:v>103.69262899919001</c:v>
                </c:pt>
                <c:pt idx="48">
                  <c:v>104.785726904336</c:v>
                </c:pt>
                <c:pt idx="49">
                  <c:v>106.530534489904</c:v>
                </c:pt>
                <c:pt idx="50">
                  <c:v>108.725224877703</c:v>
                </c:pt>
                <c:pt idx="51">
                  <c:v>108.720714889635</c:v>
                </c:pt>
                <c:pt idx="52">
                  <c:v>109.786314310764</c:v>
                </c:pt>
                <c:pt idx="53">
                  <c:v>110.429912878194</c:v>
                </c:pt>
                <c:pt idx="54">
                  <c:v>111.96202764562101</c:v>
                </c:pt>
                <c:pt idx="55">
                  <c:v>111.37236399071401</c:v>
                </c:pt>
                <c:pt idx="56">
                  <c:v>111.843564713788</c:v>
                </c:pt>
                <c:pt idx="57">
                  <c:v>112.74152123158601</c:v>
                </c:pt>
                <c:pt idx="58">
                  <c:v>113.10431142745399</c:v>
                </c:pt>
                <c:pt idx="59">
                  <c:v>112.947959577601</c:v>
                </c:pt>
                <c:pt idx="60">
                  <c:v>114.075842375272</c:v>
                </c:pt>
                <c:pt idx="61">
                  <c:v>114.039050945032</c:v>
                </c:pt>
                <c:pt idx="62">
                  <c:v>116.750491162876</c:v>
                </c:pt>
                <c:pt idx="63">
                  <c:v>115.908626912716</c:v>
                </c:pt>
                <c:pt idx="64">
                  <c:v>116.06045475286101</c:v>
                </c:pt>
                <c:pt idx="65">
                  <c:v>115.907868841104</c:v>
                </c:pt>
                <c:pt idx="66">
                  <c:v>115.909877154664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61-4546-9AF9-06DB78CAE3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477492480"/>
        <c:axId val="477490912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Tendencia-Ciclo.xlsx]Datos'!$D$114:$D$185</c:f>
              <c:numCache>
                <c:formatCode>0.0_)</c:formatCode>
                <c:ptCount val="67"/>
                <c:pt idx="0">
                  <c:v>107.35747405361499</c:v>
                </c:pt>
                <c:pt idx="1">
                  <c:v>107.265243050991</c:v>
                </c:pt>
                <c:pt idx="2">
                  <c:v>107.099928167771</c:v>
                </c:pt>
                <c:pt idx="3">
                  <c:v>106.958083453808</c:v>
                </c:pt>
                <c:pt idx="4">
                  <c:v>106.916912987868</c:v>
                </c:pt>
                <c:pt idx="5">
                  <c:v>107.008435433054</c:v>
                </c:pt>
                <c:pt idx="6">
                  <c:v>107.203325825771</c:v>
                </c:pt>
                <c:pt idx="7">
                  <c:v>107.43332107584099</c:v>
                </c:pt>
                <c:pt idx="8">
                  <c:v>107.61951091480999</c:v>
                </c:pt>
                <c:pt idx="9">
                  <c:v>107.793362735019</c:v>
                </c:pt>
                <c:pt idx="10">
                  <c:v>108.018921923587</c:v>
                </c:pt>
                <c:pt idx="11">
                  <c:v>108.350248698429</c:v>
                </c:pt>
                <c:pt idx="12">
                  <c:v>108.859646220619</c:v>
                </c:pt>
                <c:pt idx="13">
                  <c:v>109.490778882789</c:v>
                </c:pt>
                <c:pt idx="14">
                  <c:v>110.111729225772</c:v>
                </c:pt>
                <c:pt idx="15">
                  <c:v>110.622400613115</c:v>
                </c:pt>
                <c:pt idx="16">
                  <c:v>110.967955569786</c:v>
                </c:pt>
                <c:pt idx="17">
                  <c:v>111.11036592061301</c:v>
                </c:pt>
                <c:pt idx="18">
                  <c:v>111.04618085751299</c:v>
                </c:pt>
                <c:pt idx="19">
                  <c:v>110.80725609834199</c:v>
                </c:pt>
                <c:pt idx="20">
                  <c:v>110.47328103305</c:v>
                </c:pt>
                <c:pt idx="21">
                  <c:v>110.05761508485</c:v>
                </c:pt>
                <c:pt idx="22">
                  <c:v>109.57725111954301</c:v>
                </c:pt>
                <c:pt idx="23">
                  <c:v>109.058174100743</c:v>
                </c:pt>
                <c:pt idx="24">
                  <c:v>108.542090123707</c:v>
                </c:pt>
                <c:pt idx="25">
                  <c:v>108.110792983167</c:v>
                </c:pt>
                <c:pt idx="26">
                  <c:v>107.853623047095</c:v>
                </c:pt>
                <c:pt idx="27">
                  <c:v>107.784492828315</c:v>
                </c:pt>
                <c:pt idx="28">
                  <c:v>107.83024688906799</c:v>
                </c:pt>
                <c:pt idx="29">
                  <c:v>107.879366051662</c:v>
                </c:pt>
                <c:pt idx="30">
                  <c:v>107.81064264694101</c:v>
                </c:pt>
                <c:pt idx="31">
                  <c:v>107.54534820754201</c:v>
                </c:pt>
                <c:pt idx="32">
                  <c:v>107.114558733078</c:v>
                </c:pt>
                <c:pt idx="33">
                  <c:v>106.59941549833199</c:v>
                </c:pt>
                <c:pt idx="34">
                  <c:v>106.069420954911</c:v>
                </c:pt>
                <c:pt idx="35">
                  <c:v>105.583309357232</c:v>
                </c:pt>
                <c:pt idx="36">
                  <c:v>105.197152516556</c:v>
                </c:pt>
                <c:pt idx="37">
                  <c:v>104.876823772451</c:v>
                </c:pt>
                <c:pt idx="38">
                  <c:v>104.60422439169101</c:v>
                </c:pt>
                <c:pt idx="39">
                  <c:v>96.082907828982201</c:v>
                </c:pt>
                <c:pt idx="40">
                  <c:v>96.048139032634694</c:v>
                </c:pt>
                <c:pt idx="41">
                  <c:v>96.2846716000318</c:v>
                </c:pt>
                <c:pt idx="42">
                  <c:v>96.868474593872193</c:v>
                </c:pt>
                <c:pt idx="43">
                  <c:v>97.799367784980106</c:v>
                </c:pt>
                <c:pt idx="44">
                  <c:v>99.005882517501703</c:v>
                </c:pt>
                <c:pt idx="45">
                  <c:v>100.431657589721</c:v>
                </c:pt>
                <c:pt idx="46">
                  <c:v>102.005990383198</c:v>
                </c:pt>
                <c:pt idx="47">
                  <c:v>103.616643619439</c:v>
                </c:pt>
                <c:pt idx="48">
                  <c:v>105.137272618336</c:v>
                </c:pt>
                <c:pt idx="49">
                  <c:v>106.54980723642301</c:v>
                </c:pt>
                <c:pt idx="50">
                  <c:v>107.843876600499</c:v>
                </c:pt>
                <c:pt idx="51">
                  <c:v>108.96778850774101</c:v>
                </c:pt>
                <c:pt idx="52">
                  <c:v>109.89376497245701</c:v>
                </c:pt>
                <c:pt idx="53">
                  <c:v>110.639435872257</c:v>
                </c:pt>
                <c:pt idx="54">
                  <c:v>111.22913678272</c:v>
                </c:pt>
                <c:pt idx="55">
                  <c:v>111.717509671671</c:v>
                </c:pt>
                <c:pt idx="56">
                  <c:v>112.142565941218</c:v>
                </c:pt>
                <c:pt idx="57">
                  <c:v>112.521958781918</c:v>
                </c:pt>
                <c:pt idx="58">
                  <c:v>112.901593652982</c:v>
                </c:pt>
                <c:pt idx="59">
                  <c:v>113.36110598533099</c:v>
                </c:pt>
                <c:pt idx="60">
                  <c:v>113.91130819090201</c:v>
                </c:pt>
                <c:pt idx="61">
                  <c:v>114.498121178963</c:v>
                </c:pt>
                <c:pt idx="62">
                  <c:v>115.02337874784899</c:v>
                </c:pt>
                <c:pt idx="63">
                  <c:v>115.445008537143</c:v>
                </c:pt>
                <c:pt idx="64">
                  <c:v>115.74712524697399</c:v>
                </c:pt>
                <c:pt idx="65">
                  <c:v>115.978861755777</c:v>
                </c:pt>
                <c:pt idx="66">
                  <c:v>116.25776478443601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61-4546-9AF9-06DB78CAE3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7492480"/>
        <c:axId val="477490912"/>
      </c:lineChart>
      <c:catAx>
        <c:axId val="477492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0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77490912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2480"/>
        <c:crosses val="autoZero"/>
        <c:crossBetween val="between"/>
        <c:majorUnit val="10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490131578947365"/>
          <c:w val="0.912406629318394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531944444444438E-2"/>
          <c:y val="4.9618650793650791E-2"/>
          <c:w val="0.92694814814814808"/>
          <c:h val="0.8189035714285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Tendencia-Ciclo.xlsx]Datos'!$E$114:$E$185</c:f>
              <c:numCache>
                <c:formatCode>0.0_)</c:formatCode>
                <c:ptCount val="67"/>
                <c:pt idx="0">
                  <c:v>112.41032861280701</c:v>
                </c:pt>
                <c:pt idx="1">
                  <c:v>112.243076005777</c:v>
                </c:pt>
                <c:pt idx="2">
                  <c:v>111.300734539049</c:v>
                </c:pt>
                <c:pt idx="3">
                  <c:v>111.738038531738</c:v>
                </c:pt>
                <c:pt idx="4">
                  <c:v>111.528343440187</c:v>
                </c:pt>
                <c:pt idx="5">
                  <c:v>111.476043276399</c:v>
                </c:pt>
                <c:pt idx="6">
                  <c:v>111.498925365255</c:v>
                </c:pt>
                <c:pt idx="7">
                  <c:v>111.142710197526</c:v>
                </c:pt>
                <c:pt idx="8">
                  <c:v>110.262493541925</c:v>
                </c:pt>
                <c:pt idx="9">
                  <c:v>111.645819211982</c:v>
                </c:pt>
                <c:pt idx="10">
                  <c:v>111.047009821724</c:v>
                </c:pt>
                <c:pt idx="11">
                  <c:v>112.061641846763</c:v>
                </c:pt>
                <c:pt idx="12">
                  <c:v>112.00850431147499</c:v>
                </c:pt>
                <c:pt idx="13">
                  <c:v>112.159947162732</c:v>
                </c:pt>
                <c:pt idx="14">
                  <c:v>113.405532630678</c:v>
                </c:pt>
                <c:pt idx="15">
                  <c:v>112.875236266448</c:v>
                </c:pt>
                <c:pt idx="16">
                  <c:v>113.172808429355</c:v>
                </c:pt>
                <c:pt idx="17">
                  <c:v>113.982627562888</c:v>
                </c:pt>
                <c:pt idx="18">
                  <c:v>114.002271452798</c:v>
                </c:pt>
                <c:pt idx="19">
                  <c:v>113.609354699978</c:v>
                </c:pt>
                <c:pt idx="20">
                  <c:v>113.85925054252699</c:v>
                </c:pt>
                <c:pt idx="21">
                  <c:v>114.316742108805</c:v>
                </c:pt>
                <c:pt idx="22">
                  <c:v>114.208689494431</c:v>
                </c:pt>
                <c:pt idx="23">
                  <c:v>111.846025901549</c:v>
                </c:pt>
                <c:pt idx="24">
                  <c:v>114.737819475622</c:v>
                </c:pt>
                <c:pt idx="25">
                  <c:v>115.64247768876299</c:v>
                </c:pt>
                <c:pt idx="26">
                  <c:v>114.58361375972299</c:v>
                </c:pt>
                <c:pt idx="27">
                  <c:v>115.08180096653901</c:v>
                </c:pt>
                <c:pt idx="28">
                  <c:v>115.729387564565</c:v>
                </c:pt>
                <c:pt idx="29">
                  <c:v>116.21424351627201</c:v>
                </c:pt>
                <c:pt idx="30">
                  <c:v>116.260431054845</c:v>
                </c:pt>
                <c:pt idx="31">
                  <c:v>116.484372898285</c:v>
                </c:pt>
                <c:pt idx="32">
                  <c:v>116.317923438867</c:v>
                </c:pt>
                <c:pt idx="33">
                  <c:v>115.35029501519899</c:v>
                </c:pt>
                <c:pt idx="34">
                  <c:v>115.93240941444699</c:v>
                </c:pt>
                <c:pt idx="35">
                  <c:v>115.645901883069</c:v>
                </c:pt>
                <c:pt idx="36">
                  <c:v>116.512334863107</c:v>
                </c:pt>
                <c:pt idx="37">
                  <c:v>114.235529664217</c:v>
                </c:pt>
                <c:pt idx="38">
                  <c:v>111.85711265013001</c:v>
                </c:pt>
                <c:pt idx="39">
                  <c:v>87.444858791912097</c:v>
                </c:pt>
                <c:pt idx="40">
                  <c:v>88.222769091604704</c:v>
                </c:pt>
                <c:pt idx="41">
                  <c:v>96.8011199754269</c:v>
                </c:pt>
                <c:pt idx="42">
                  <c:v>102.757809845645</c:v>
                </c:pt>
                <c:pt idx="43">
                  <c:v>105.397969179806</c:v>
                </c:pt>
                <c:pt idx="44">
                  <c:v>107.361484833365</c:v>
                </c:pt>
                <c:pt idx="45">
                  <c:v>107.345482034432</c:v>
                </c:pt>
                <c:pt idx="46">
                  <c:v>110.242024283123</c:v>
                </c:pt>
                <c:pt idx="47">
                  <c:v>109.08013624081001</c:v>
                </c:pt>
                <c:pt idx="48">
                  <c:v>108.560184568328</c:v>
                </c:pt>
                <c:pt idx="49">
                  <c:v>110.504655090825</c:v>
                </c:pt>
                <c:pt idx="50">
                  <c:v>113.88853085173901</c:v>
                </c:pt>
                <c:pt idx="51">
                  <c:v>113.584421814767</c:v>
                </c:pt>
                <c:pt idx="52">
                  <c:v>113.698004986079</c:v>
                </c:pt>
                <c:pt idx="53">
                  <c:v>113.794745366425</c:v>
                </c:pt>
                <c:pt idx="54">
                  <c:v>113.12751630133501</c:v>
                </c:pt>
                <c:pt idx="55">
                  <c:v>113.232033191171</c:v>
                </c:pt>
                <c:pt idx="56">
                  <c:v>113.67120228981</c:v>
                </c:pt>
                <c:pt idx="57">
                  <c:v>114.19567035118401</c:v>
                </c:pt>
                <c:pt idx="58">
                  <c:v>114.908981393928</c:v>
                </c:pt>
                <c:pt idx="59">
                  <c:v>115.12021774401499</c:v>
                </c:pt>
                <c:pt idx="60">
                  <c:v>116.13549288319101</c:v>
                </c:pt>
                <c:pt idx="61">
                  <c:v>117.386516483267</c:v>
                </c:pt>
                <c:pt idx="62">
                  <c:v>117.894850109131</c:v>
                </c:pt>
                <c:pt idx="63">
                  <c:v>118.41521289559699</c:v>
                </c:pt>
                <c:pt idx="64">
                  <c:v>119.037883009797</c:v>
                </c:pt>
                <c:pt idx="65">
                  <c:v>118.713871814992</c:v>
                </c:pt>
                <c:pt idx="66">
                  <c:v>119.81879019510799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06-42CB-9FDD-DCAE30CD41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717096784"/>
        <c:axId val="717099528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Tendencia-Ciclo.xlsx]Datos'!$F$114:$F$185</c:f>
              <c:numCache>
                <c:formatCode>0.0_)</c:formatCode>
                <c:ptCount val="67"/>
                <c:pt idx="0">
                  <c:v>112.662254919877</c:v>
                </c:pt>
                <c:pt idx="1">
                  <c:v>112.242132207731</c:v>
                </c:pt>
                <c:pt idx="2">
                  <c:v>111.886318355911</c:v>
                </c:pt>
                <c:pt idx="3">
                  <c:v>111.628522848155</c:v>
                </c:pt>
                <c:pt idx="4">
                  <c:v>111.471801272185</c:v>
                </c:pt>
                <c:pt idx="5">
                  <c:v>111.359545201662</c:v>
                </c:pt>
                <c:pt idx="6">
                  <c:v>111.265610341789</c:v>
                </c:pt>
                <c:pt idx="7">
                  <c:v>111.195449373215</c:v>
                </c:pt>
                <c:pt idx="8">
                  <c:v>111.171855975333</c:v>
                </c:pt>
                <c:pt idx="9">
                  <c:v>111.24462991308999</c:v>
                </c:pt>
                <c:pt idx="10">
                  <c:v>111.44915148493</c:v>
                </c:pt>
                <c:pt idx="11">
                  <c:v>111.743690089719</c:v>
                </c:pt>
                <c:pt idx="12">
                  <c:v>112.08994203240501</c:v>
                </c:pt>
                <c:pt idx="13">
                  <c:v>112.459814999548</c:v>
                </c:pt>
                <c:pt idx="14">
                  <c:v>112.821452801075</c:v>
                </c:pt>
                <c:pt idx="15">
                  <c:v>113.146924502817</c:v>
                </c:pt>
                <c:pt idx="16">
                  <c:v>113.421554808252</c:v>
                </c:pt>
                <c:pt idx="17">
                  <c:v>113.63184545599</c:v>
                </c:pt>
                <c:pt idx="18">
                  <c:v>113.788894063143</c:v>
                </c:pt>
                <c:pt idx="19">
                  <c:v>113.887738498261</c:v>
                </c:pt>
                <c:pt idx="20">
                  <c:v>113.987096101723</c:v>
                </c:pt>
                <c:pt idx="21">
                  <c:v>114.11120741953999</c:v>
                </c:pt>
                <c:pt idx="22">
                  <c:v>114.24669441894901</c:v>
                </c:pt>
                <c:pt idx="23">
                  <c:v>114.40669812855</c:v>
                </c:pt>
                <c:pt idx="24">
                  <c:v>114.589070794314</c:v>
                </c:pt>
                <c:pt idx="25">
                  <c:v>114.790088541907</c:v>
                </c:pt>
                <c:pt idx="26">
                  <c:v>115.036261443005</c:v>
                </c:pt>
                <c:pt idx="27">
                  <c:v>115.358370868219</c:v>
                </c:pt>
                <c:pt idx="28">
                  <c:v>115.70148152647801</c:v>
                </c:pt>
                <c:pt idx="29">
                  <c:v>115.993084867066</c:v>
                </c:pt>
                <c:pt idx="30">
                  <c:v>116.195029598109</c:v>
                </c:pt>
                <c:pt idx="31">
                  <c:v>116.275413300384</c:v>
                </c:pt>
                <c:pt idx="32">
                  <c:v>116.20634623719</c:v>
                </c:pt>
                <c:pt idx="33">
                  <c:v>115.999878298045</c:v>
                </c:pt>
                <c:pt idx="34">
                  <c:v>115.683254912243</c:v>
                </c:pt>
                <c:pt idx="35">
                  <c:v>115.261015046126</c:v>
                </c:pt>
                <c:pt idx="36">
                  <c:v>114.74766034600999</c:v>
                </c:pt>
                <c:pt idx="37">
                  <c:v>114.204490975814</c:v>
                </c:pt>
                <c:pt idx="38">
                  <c:v>113.733702184154</c:v>
                </c:pt>
                <c:pt idx="39">
                  <c:v>103.118374772677</c:v>
                </c:pt>
                <c:pt idx="40">
                  <c:v>103.220652983387</c:v>
                </c:pt>
                <c:pt idx="41">
                  <c:v>103.69615362386899</c:v>
                </c:pt>
                <c:pt idx="42">
                  <c:v>104.463154979338</c:v>
                </c:pt>
                <c:pt idx="43">
                  <c:v>105.41786715955401</c:v>
                </c:pt>
                <c:pt idx="44">
                  <c:v>106.432775835028</c:v>
                </c:pt>
                <c:pt idx="45">
                  <c:v>107.403749440212</c:v>
                </c:pt>
                <c:pt idx="46">
                  <c:v>108.323975077592</c:v>
                </c:pt>
                <c:pt idx="47">
                  <c:v>109.24643479886601</c:v>
                </c:pt>
                <c:pt idx="48">
                  <c:v>110.223040161352</c:v>
                </c:pt>
                <c:pt idx="49">
                  <c:v>111.23680412929301</c:v>
                </c:pt>
                <c:pt idx="50">
                  <c:v>112.178806220048</c:v>
                </c:pt>
                <c:pt idx="51">
                  <c:v>112.913854791323</c:v>
                </c:pt>
                <c:pt idx="52">
                  <c:v>113.352904681252</c:v>
                </c:pt>
                <c:pt idx="53">
                  <c:v>113.53697802883499</c:v>
                </c:pt>
                <c:pt idx="54">
                  <c:v>113.567589837949</c:v>
                </c:pt>
                <c:pt idx="55">
                  <c:v>113.586585586238</c:v>
                </c:pt>
                <c:pt idx="56">
                  <c:v>113.74050286777199</c:v>
                </c:pt>
                <c:pt idx="57">
                  <c:v>114.128447119527</c:v>
                </c:pt>
                <c:pt idx="58">
                  <c:v>114.72902841467101</c:v>
                </c:pt>
                <c:pt idx="59">
                  <c:v>115.47955989128501</c:v>
                </c:pt>
                <c:pt idx="60">
                  <c:v>116.282791849877</c:v>
                </c:pt>
                <c:pt idx="61">
                  <c:v>117.046721213007</c:v>
                </c:pt>
                <c:pt idx="62">
                  <c:v>117.72668091456801</c:v>
                </c:pt>
                <c:pt idx="63">
                  <c:v>118.308837622723</c:v>
                </c:pt>
                <c:pt idx="64">
                  <c:v>118.806024770368</c:v>
                </c:pt>
                <c:pt idx="65">
                  <c:v>119.28140667803299</c:v>
                </c:pt>
                <c:pt idx="66">
                  <c:v>119.81533852576401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06-42CB-9FDD-DCAE30CD41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784"/>
        <c:axId val="717099528"/>
      </c:lineChart>
      <c:catAx>
        <c:axId val="717096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9528"/>
        <c:scaling>
          <c:orientation val="minMax"/>
          <c:max val="122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6784"/>
        <c:crosses val="autoZero"/>
        <c:crossBetween val="between"/>
        <c:majorUnit val="5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6050070028011484E-2"/>
          <c:y val="0.95347564313084165"/>
          <c:w val="0.9072138188608776"/>
          <c:h val="4.324028461959495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4.9774206349206346E-2"/>
          <c:w val="0.92661828703703708"/>
          <c:h val="0.8169261904761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6350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Tendencia-Ciclo.xlsx]Datos'!$C$114:$C$185</c:f>
              <c:numCache>
                <c:formatCode>0.0_)</c:formatCode>
                <c:ptCount val="67"/>
                <c:pt idx="0">
                  <c:v>108.01359009062099</c:v>
                </c:pt>
                <c:pt idx="1">
                  <c:v>107.51092745828601</c:v>
                </c:pt>
                <c:pt idx="2">
                  <c:v>106.597074992836</c:v>
                </c:pt>
                <c:pt idx="3">
                  <c:v>107.183142034141</c:v>
                </c:pt>
                <c:pt idx="4">
                  <c:v>106.26669521877299</c:v>
                </c:pt>
                <c:pt idx="5">
                  <c:v>106.83629886901601</c:v>
                </c:pt>
                <c:pt idx="6">
                  <c:v>107.65923764599199</c:v>
                </c:pt>
                <c:pt idx="7">
                  <c:v>108.326299738061</c:v>
                </c:pt>
                <c:pt idx="8">
                  <c:v>107.47665159425</c:v>
                </c:pt>
                <c:pt idx="9">
                  <c:v>107.62054768828099</c:v>
                </c:pt>
                <c:pt idx="10">
                  <c:v>107.842483015901</c:v>
                </c:pt>
                <c:pt idx="11">
                  <c:v>108.77633505109</c:v>
                </c:pt>
                <c:pt idx="12">
                  <c:v>108.398557758471</c:v>
                </c:pt>
                <c:pt idx="13">
                  <c:v>109.081533289935</c:v>
                </c:pt>
                <c:pt idx="14">
                  <c:v>110.622296876078</c:v>
                </c:pt>
                <c:pt idx="15">
                  <c:v>110.469670569363</c:v>
                </c:pt>
                <c:pt idx="16">
                  <c:v>111.301728602667</c:v>
                </c:pt>
                <c:pt idx="17">
                  <c:v>111.551129158637</c:v>
                </c:pt>
                <c:pt idx="18">
                  <c:v>110.12286496635799</c:v>
                </c:pt>
                <c:pt idx="19">
                  <c:v>110.60788313943701</c:v>
                </c:pt>
                <c:pt idx="20">
                  <c:v>110.875177848514</c:v>
                </c:pt>
                <c:pt idx="21">
                  <c:v>112.69647886139499</c:v>
                </c:pt>
                <c:pt idx="22">
                  <c:v>109.407953720504</c:v>
                </c:pt>
                <c:pt idx="23">
                  <c:v>106.690809247536</c:v>
                </c:pt>
                <c:pt idx="24">
                  <c:v>108.591510040963</c:v>
                </c:pt>
                <c:pt idx="25">
                  <c:v>108.179177672458</c:v>
                </c:pt>
                <c:pt idx="26">
                  <c:v>107.415077267697</c:v>
                </c:pt>
                <c:pt idx="27">
                  <c:v>107.94106446285301</c:v>
                </c:pt>
                <c:pt idx="28">
                  <c:v>107.298120986744</c:v>
                </c:pt>
                <c:pt idx="29">
                  <c:v>108.254692700726</c:v>
                </c:pt>
                <c:pt idx="30">
                  <c:v>107.97018956145099</c:v>
                </c:pt>
                <c:pt idx="31">
                  <c:v>107.952029651562</c:v>
                </c:pt>
                <c:pt idx="32">
                  <c:v>107.357109406942</c:v>
                </c:pt>
                <c:pt idx="33">
                  <c:v>106.062692253359</c:v>
                </c:pt>
                <c:pt idx="34">
                  <c:v>105.79821355706601</c:v>
                </c:pt>
                <c:pt idx="35">
                  <c:v>105.568544362376</c:v>
                </c:pt>
                <c:pt idx="36">
                  <c:v>106.398846696402</c:v>
                </c:pt>
                <c:pt idx="37">
                  <c:v>105.347632821224</c:v>
                </c:pt>
                <c:pt idx="38">
                  <c:v>103.976446242091</c:v>
                </c:pt>
                <c:pt idx="39">
                  <c:v>85.726756038559998</c:v>
                </c:pt>
                <c:pt idx="40">
                  <c:v>81.673078245846696</c:v>
                </c:pt>
                <c:pt idx="41">
                  <c:v>91.033772523085503</c:v>
                </c:pt>
                <c:pt idx="42">
                  <c:v>96.203801403556795</c:v>
                </c:pt>
                <c:pt idx="43">
                  <c:v>97.6281130662192</c:v>
                </c:pt>
                <c:pt idx="44">
                  <c:v>99.018906834734494</c:v>
                </c:pt>
                <c:pt idx="45">
                  <c:v>100.654265962371</c:v>
                </c:pt>
                <c:pt idx="46">
                  <c:v>102.101861503539</c:v>
                </c:pt>
                <c:pt idx="47">
                  <c:v>103.69262899919001</c:v>
                </c:pt>
                <c:pt idx="48">
                  <c:v>104.785726904336</c:v>
                </c:pt>
                <c:pt idx="49">
                  <c:v>106.530534489904</c:v>
                </c:pt>
                <c:pt idx="50">
                  <c:v>108.725224877703</c:v>
                </c:pt>
                <c:pt idx="51">
                  <c:v>108.720714889635</c:v>
                </c:pt>
                <c:pt idx="52">
                  <c:v>109.786314310764</c:v>
                </c:pt>
                <c:pt idx="53">
                  <c:v>110.429912878194</c:v>
                </c:pt>
                <c:pt idx="54">
                  <c:v>111.96202764562101</c:v>
                </c:pt>
                <c:pt idx="55">
                  <c:v>111.37236399071401</c:v>
                </c:pt>
                <c:pt idx="56">
                  <c:v>111.843564713788</c:v>
                </c:pt>
                <c:pt idx="57">
                  <c:v>112.74152123158601</c:v>
                </c:pt>
                <c:pt idx="58">
                  <c:v>113.10431142745399</c:v>
                </c:pt>
                <c:pt idx="59">
                  <c:v>112.947959577601</c:v>
                </c:pt>
                <c:pt idx="60">
                  <c:v>114.075842375272</c:v>
                </c:pt>
                <c:pt idx="61">
                  <c:v>114.039050945032</c:v>
                </c:pt>
                <c:pt idx="62">
                  <c:v>116.750491162876</c:v>
                </c:pt>
                <c:pt idx="63">
                  <c:v>115.908626912716</c:v>
                </c:pt>
                <c:pt idx="64">
                  <c:v>116.06045475286101</c:v>
                </c:pt>
                <c:pt idx="65">
                  <c:v>115.907868841104</c:v>
                </c:pt>
                <c:pt idx="66">
                  <c:v>115.909877154664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6D-4926-BFC5-E0250BC1C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477492480"/>
        <c:axId val="477490912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Tendencia-Ciclo.xlsx]Datos'!$D$5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Tendencia-Ciclo.xlsx]Datos'!$D$114:$D$185</c:f>
              <c:numCache>
                <c:formatCode>0.0_)</c:formatCode>
                <c:ptCount val="67"/>
                <c:pt idx="0">
                  <c:v>107.35747405361499</c:v>
                </c:pt>
                <c:pt idx="1">
                  <c:v>107.265243050991</c:v>
                </c:pt>
                <c:pt idx="2">
                  <c:v>107.099928167771</c:v>
                </c:pt>
                <c:pt idx="3">
                  <c:v>106.958083453808</c:v>
                </c:pt>
                <c:pt idx="4">
                  <c:v>106.916912987868</c:v>
                </c:pt>
                <c:pt idx="5">
                  <c:v>107.008435433054</c:v>
                </c:pt>
                <c:pt idx="6">
                  <c:v>107.203325825771</c:v>
                </c:pt>
                <c:pt idx="7">
                  <c:v>107.43332107584099</c:v>
                </c:pt>
                <c:pt idx="8">
                  <c:v>107.61951091480999</c:v>
                </c:pt>
                <c:pt idx="9">
                  <c:v>107.793362735019</c:v>
                </c:pt>
                <c:pt idx="10">
                  <c:v>108.018921923587</c:v>
                </c:pt>
                <c:pt idx="11">
                  <c:v>108.350248698429</c:v>
                </c:pt>
                <c:pt idx="12">
                  <c:v>108.859646220619</c:v>
                </c:pt>
                <c:pt idx="13">
                  <c:v>109.490778882789</c:v>
                </c:pt>
                <c:pt idx="14">
                  <c:v>110.111729225772</c:v>
                </c:pt>
                <c:pt idx="15">
                  <c:v>110.622400613115</c:v>
                </c:pt>
                <c:pt idx="16">
                  <c:v>110.967955569786</c:v>
                </c:pt>
                <c:pt idx="17">
                  <c:v>111.11036592061301</c:v>
                </c:pt>
                <c:pt idx="18">
                  <c:v>111.04618085751299</c:v>
                </c:pt>
                <c:pt idx="19">
                  <c:v>110.80725609834199</c:v>
                </c:pt>
                <c:pt idx="20">
                  <c:v>110.47328103305</c:v>
                </c:pt>
                <c:pt idx="21">
                  <c:v>110.05761508485</c:v>
                </c:pt>
                <c:pt idx="22">
                  <c:v>109.57725111954301</c:v>
                </c:pt>
                <c:pt idx="23">
                  <c:v>109.058174100743</c:v>
                </c:pt>
                <c:pt idx="24">
                  <c:v>108.542090123707</c:v>
                </c:pt>
                <c:pt idx="25">
                  <c:v>108.110792983167</c:v>
                </c:pt>
                <c:pt idx="26">
                  <c:v>107.853623047095</c:v>
                </c:pt>
                <c:pt idx="27">
                  <c:v>107.784492828315</c:v>
                </c:pt>
                <c:pt idx="28">
                  <c:v>107.83024688906799</c:v>
                </c:pt>
                <c:pt idx="29">
                  <c:v>107.879366051662</c:v>
                </c:pt>
                <c:pt idx="30">
                  <c:v>107.81064264694101</c:v>
                </c:pt>
                <c:pt idx="31">
                  <c:v>107.54534820754201</c:v>
                </c:pt>
                <c:pt idx="32">
                  <c:v>107.114558733078</c:v>
                </c:pt>
                <c:pt idx="33">
                  <c:v>106.59941549833199</c:v>
                </c:pt>
                <c:pt idx="34">
                  <c:v>106.069420954911</c:v>
                </c:pt>
                <c:pt idx="35">
                  <c:v>105.583309357232</c:v>
                </c:pt>
                <c:pt idx="36">
                  <c:v>105.197152516556</c:v>
                </c:pt>
                <c:pt idx="37">
                  <c:v>104.876823772451</c:v>
                </c:pt>
                <c:pt idx="38">
                  <c:v>104.60422439169101</c:v>
                </c:pt>
                <c:pt idx="39">
                  <c:v>96.082907828982201</c:v>
                </c:pt>
                <c:pt idx="40">
                  <c:v>96.048139032634694</c:v>
                </c:pt>
                <c:pt idx="41">
                  <c:v>96.2846716000318</c:v>
                </c:pt>
                <c:pt idx="42">
                  <c:v>96.868474593872193</c:v>
                </c:pt>
                <c:pt idx="43">
                  <c:v>97.799367784980106</c:v>
                </c:pt>
                <c:pt idx="44">
                  <c:v>99.005882517501703</c:v>
                </c:pt>
                <c:pt idx="45">
                  <c:v>100.431657589721</c:v>
                </c:pt>
                <c:pt idx="46">
                  <c:v>102.005990383198</c:v>
                </c:pt>
                <c:pt idx="47">
                  <c:v>103.616643619439</c:v>
                </c:pt>
                <c:pt idx="48">
                  <c:v>105.137272618336</c:v>
                </c:pt>
                <c:pt idx="49">
                  <c:v>106.54980723642301</c:v>
                </c:pt>
                <c:pt idx="50">
                  <c:v>107.843876600499</c:v>
                </c:pt>
                <c:pt idx="51">
                  <c:v>108.96778850774101</c:v>
                </c:pt>
                <c:pt idx="52">
                  <c:v>109.89376497245701</c:v>
                </c:pt>
                <c:pt idx="53">
                  <c:v>110.639435872257</c:v>
                </c:pt>
                <c:pt idx="54">
                  <c:v>111.22913678272</c:v>
                </c:pt>
                <c:pt idx="55">
                  <c:v>111.717509671671</c:v>
                </c:pt>
                <c:pt idx="56">
                  <c:v>112.142565941218</c:v>
                </c:pt>
                <c:pt idx="57">
                  <c:v>112.521958781918</c:v>
                </c:pt>
                <c:pt idx="58">
                  <c:v>112.901593652982</c:v>
                </c:pt>
                <c:pt idx="59">
                  <c:v>113.36110598533099</c:v>
                </c:pt>
                <c:pt idx="60">
                  <c:v>113.91130819090201</c:v>
                </c:pt>
                <c:pt idx="61">
                  <c:v>114.498121178963</c:v>
                </c:pt>
                <c:pt idx="62">
                  <c:v>115.02337874784899</c:v>
                </c:pt>
                <c:pt idx="63">
                  <c:v>115.445008537143</c:v>
                </c:pt>
                <c:pt idx="64">
                  <c:v>115.74712524697399</c:v>
                </c:pt>
                <c:pt idx="65">
                  <c:v>115.978861755777</c:v>
                </c:pt>
                <c:pt idx="66">
                  <c:v>116.25776478443601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A6D-4926-BFC5-E0250BC1C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7492480"/>
        <c:axId val="477490912"/>
      </c:lineChart>
      <c:catAx>
        <c:axId val="477492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0912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77490912"/>
        <c:scaling>
          <c:orientation val="minMax"/>
          <c:max val="120"/>
          <c:min val="8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77492480"/>
        <c:crosses val="autoZero"/>
        <c:crossBetween val="between"/>
        <c:majorUnit val="10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490131578947365"/>
          <c:w val="0.912406629318394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471527777777781E-2"/>
          <c:y val="5.1247378508283412E-2"/>
          <c:w val="0.92280486111111104"/>
          <c:h val="0.818901587301587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C3D69B"/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Tendencia-Ciclo.xlsx]Datos'!$G$114:$G$185</c:f>
              <c:numCache>
                <c:formatCode>0.0_)</c:formatCode>
                <c:ptCount val="67"/>
                <c:pt idx="0">
                  <c:v>108.946968827836</c:v>
                </c:pt>
                <c:pt idx="1">
                  <c:v>107.85357410135499</c:v>
                </c:pt>
                <c:pt idx="2">
                  <c:v>108.03597531263399</c:v>
                </c:pt>
                <c:pt idx="3">
                  <c:v>108.011730059504</c:v>
                </c:pt>
                <c:pt idx="4">
                  <c:v>108.435543764873</c:v>
                </c:pt>
                <c:pt idx="5">
                  <c:v>108.77930716733999</c:v>
                </c:pt>
                <c:pt idx="6">
                  <c:v>110.954318518844</c:v>
                </c:pt>
                <c:pt idx="7">
                  <c:v>111.17943331340901</c:v>
                </c:pt>
                <c:pt idx="8">
                  <c:v>111.546254189138</c:v>
                </c:pt>
                <c:pt idx="9">
                  <c:v>111.55816043934701</c:v>
                </c:pt>
                <c:pt idx="10">
                  <c:v>111.849060940551</c:v>
                </c:pt>
                <c:pt idx="11">
                  <c:v>112.02978006264701</c:v>
                </c:pt>
                <c:pt idx="12">
                  <c:v>112.40262069490799</c:v>
                </c:pt>
                <c:pt idx="13">
                  <c:v>112.91168071443499</c:v>
                </c:pt>
                <c:pt idx="14">
                  <c:v>113.158019668205</c:v>
                </c:pt>
                <c:pt idx="15">
                  <c:v>113.67081333026201</c:v>
                </c:pt>
                <c:pt idx="16">
                  <c:v>114.659960985816</c:v>
                </c:pt>
                <c:pt idx="17">
                  <c:v>114.318552429631</c:v>
                </c:pt>
                <c:pt idx="18">
                  <c:v>114.81130456713601</c:v>
                </c:pt>
                <c:pt idx="19">
                  <c:v>114.912703823133</c:v>
                </c:pt>
                <c:pt idx="20">
                  <c:v>114.772198239617</c:v>
                </c:pt>
                <c:pt idx="21">
                  <c:v>115.26660508557499</c:v>
                </c:pt>
                <c:pt idx="22">
                  <c:v>115.47196733561</c:v>
                </c:pt>
                <c:pt idx="23">
                  <c:v>115.858818678841</c:v>
                </c:pt>
                <c:pt idx="24">
                  <c:v>116.004790567773</c:v>
                </c:pt>
                <c:pt idx="25">
                  <c:v>116.154974677005</c:v>
                </c:pt>
                <c:pt idx="26">
                  <c:v>116.54753234879399</c:v>
                </c:pt>
                <c:pt idx="27">
                  <c:v>116.802810697653</c:v>
                </c:pt>
                <c:pt idx="28">
                  <c:v>117.264474208256</c:v>
                </c:pt>
                <c:pt idx="29">
                  <c:v>117.56833451224</c:v>
                </c:pt>
                <c:pt idx="30">
                  <c:v>117.48149166469</c:v>
                </c:pt>
                <c:pt idx="31">
                  <c:v>117.08152639615101</c:v>
                </c:pt>
                <c:pt idx="32">
                  <c:v>117.105912610901</c:v>
                </c:pt>
                <c:pt idx="33">
                  <c:v>117.178169623901</c:v>
                </c:pt>
                <c:pt idx="34">
                  <c:v>117.285801177472</c:v>
                </c:pt>
                <c:pt idx="35">
                  <c:v>117.42506292109201</c:v>
                </c:pt>
                <c:pt idx="36">
                  <c:v>117.58329798259599</c:v>
                </c:pt>
                <c:pt idx="37">
                  <c:v>117.473355026501</c:v>
                </c:pt>
                <c:pt idx="38">
                  <c:v>117.22840553452799</c:v>
                </c:pt>
                <c:pt idx="39">
                  <c:v>115.320144166757</c:v>
                </c:pt>
                <c:pt idx="40">
                  <c:v>114.64174398845</c:v>
                </c:pt>
                <c:pt idx="41">
                  <c:v>114.31868206261601</c:v>
                </c:pt>
                <c:pt idx="42">
                  <c:v>114.27540648252401</c:v>
                </c:pt>
                <c:pt idx="43">
                  <c:v>114.219314161924</c:v>
                </c:pt>
                <c:pt idx="44">
                  <c:v>114.44491951281</c:v>
                </c:pt>
                <c:pt idx="45">
                  <c:v>114.622753075693</c:v>
                </c:pt>
                <c:pt idx="46">
                  <c:v>114.36683793937</c:v>
                </c:pt>
                <c:pt idx="47">
                  <c:v>114.631327546965</c:v>
                </c:pt>
                <c:pt idx="48">
                  <c:v>114.84824958202</c:v>
                </c:pt>
                <c:pt idx="49">
                  <c:v>115.05808125815101</c:v>
                </c:pt>
                <c:pt idx="50">
                  <c:v>115.88542911883501</c:v>
                </c:pt>
                <c:pt idx="51">
                  <c:v>115.706092568721</c:v>
                </c:pt>
                <c:pt idx="52">
                  <c:v>116.24878255529499</c:v>
                </c:pt>
                <c:pt idx="53">
                  <c:v>116.59504519561</c:v>
                </c:pt>
                <c:pt idx="54">
                  <c:v>116.559680530626</c:v>
                </c:pt>
                <c:pt idx="55">
                  <c:v>117.299035223506</c:v>
                </c:pt>
                <c:pt idx="56">
                  <c:v>117.36235127582501</c:v>
                </c:pt>
                <c:pt idx="57">
                  <c:v>117.59685398644901</c:v>
                </c:pt>
                <c:pt idx="58">
                  <c:v>118.01642639448001</c:v>
                </c:pt>
                <c:pt idx="59">
                  <c:v>117.572490583141</c:v>
                </c:pt>
                <c:pt idx="60">
                  <c:v>117.614502505511</c:v>
                </c:pt>
                <c:pt idx="61">
                  <c:v>117.83123239332301</c:v>
                </c:pt>
                <c:pt idx="62">
                  <c:v>118.149966812126</c:v>
                </c:pt>
                <c:pt idx="63">
                  <c:v>118.222623498019</c:v>
                </c:pt>
                <c:pt idx="64">
                  <c:v>118.106590405071</c:v>
                </c:pt>
                <c:pt idx="65">
                  <c:v>118.19622344860301</c:v>
                </c:pt>
                <c:pt idx="66">
                  <c:v>118.271001494858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C7-458C-B12B-68CE825FAB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17098352"/>
        <c:axId val="717097176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Tendencia-Ciclo.xlsx]Datos'!$H$5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Tendencia-Ciclo.xlsx]Datos'!$H$114:$H$185</c:f>
              <c:numCache>
                <c:formatCode>0.0_)</c:formatCode>
                <c:ptCount val="67"/>
                <c:pt idx="0">
                  <c:v>108.272186312888</c:v>
                </c:pt>
                <c:pt idx="1">
                  <c:v>108.14171658655999</c:v>
                </c:pt>
                <c:pt idx="2">
                  <c:v>108.037578652718</c:v>
                </c:pt>
                <c:pt idx="3">
                  <c:v>108.148979543992</c:v>
                </c:pt>
                <c:pt idx="4">
                  <c:v>108.588087708936</c:v>
                </c:pt>
                <c:pt idx="5">
                  <c:v>109.34811350832</c:v>
                </c:pt>
                <c:pt idx="6">
                  <c:v>110.21936980988001</c:v>
                </c:pt>
                <c:pt idx="7">
                  <c:v>110.957947566116</c:v>
                </c:pt>
                <c:pt idx="8">
                  <c:v>111.430747389601</c:v>
                </c:pt>
                <c:pt idx="9">
                  <c:v>111.67749991396001</c:v>
                </c:pt>
                <c:pt idx="10">
                  <c:v>111.85773559429499</c:v>
                </c:pt>
                <c:pt idx="11">
                  <c:v>112.092870721898</c:v>
                </c:pt>
                <c:pt idx="12">
                  <c:v>112.42199518207001</c:v>
                </c:pt>
                <c:pt idx="13">
                  <c:v>112.823107201406</c:v>
                </c:pt>
                <c:pt idx="14">
                  <c:v>113.243833311884</c:v>
                </c:pt>
                <c:pt idx="15">
                  <c:v>113.668652607141</c:v>
                </c:pt>
                <c:pt idx="16">
                  <c:v>114.081361637279</c:v>
                </c:pt>
                <c:pt idx="17">
                  <c:v>114.42670145421199</c:v>
                </c:pt>
                <c:pt idx="18">
                  <c:v>114.67305037665599</c:v>
                </c:pt>
                <c:pt idx="19">
                  <c:v>114.83541252082</c:v>
                </c:pt>
                <c:pt idx="20">
                  <c:v>114.99958786525499</c:v>
                </c:pt>
                <c:pt idx="21">
                  <c:v>115.21911947637</c:v>
                </c:pt>
                <c:pt idx="22">
                  <c:v>115.483199765427</c:v>
                </c:pt>
                <c:pt idx="23">
                  <c:v>115.76348886624901</c:v>
                </c:pt>
                <c:pt idx="24">
                  <c:v>116.00513613155999</c:v>
                </c:pt>
                <c:pt idx="25">
                  <c:v>116.235654260847</c:v>
                </c:pt>
                <c:pt idx="26">
                  <c:v>116.53406524123299</c:v>
                </c:pt>
                <c:pt idx="27">
                  <c:v>116.90003742125801</c:v>
                </c:pt>
                <c:pt idx="28">
                  <c:v>117.23370099099</c:v>
                </c:pt>
                <c:pt idx="29">
                  <c:v>117.403916201652</c:v>
                </c:pt>
                <c:pt idx="30">
                  <c:v>117.383520574172</c:v>
                </c:pt>
                <c:pt idx="31">
                  <c:v>117.257298977038</c:v>
                </c:pt>
                <c:pt idx="32">
                  <c:v>117.150864675449</c:v>
                </c:pt>
                <c:pt idx="33">
                  <c:v>117.170494689265</c:v>
                </c:pt>
                <c:pt idx="34">
                  <c:v>117.302698605957</c:v>
                </c:pt>
                <c:pt idx="35">
                  <c:v>117.446430060955</c:v>
                </c:pt>
                <c:pt idx="36">
                  <c:v>117.519768029874</c:v>
                </c:pt>
                <c:pt idx="37">
                  <c:v>117.455787393875</c:v>
                </c:pt>
                <c:pt idx="38">
                  <c:v>117.19846218006001</c:v>
                </c:pt>
                <c:pt idx="39">
                  <c:v>115.19633075599801</c:v>
                </c:pt>
                <c:pt idx="40">
                  <c:v>114.75560715283</c:v>
                </c:pt>
                <c:pt idx="41">
                  <c:v>114.41082240638001</c:v>
                </c:pt>
                <c:pt idx="42">
                  <c:v>114.260804082242</c:v>
                </c:pt>
                <c:pt idx="43">
                  <c:v>114.284893307516</c:v>
                </c:pt>
                <c:pt idx="44">
                  <c:v>114.3812478955</c:v>
                </c:pt>
                <c:pt idx="45">
                  <c:v>114.46689802110301</c:v>
                </c:pt>
                <c:pt idx="46">
                  <c:v>114.540620589315</c:v>
                </c:pt>
                <c:pt idx="47">
                  <c:v>114.647912181141</c:v>
                </c:pt>
                <c:pt idx="48">
                  <c:v>114.82123160059901</c:v>
                </c:pt>
                <c:pt idx="49">
                  <c:v>115.085167571311</c:v>
                </c:pt>
                <c:pt idx="50">
                  <c:v>115.42159636184699</c:v>
                </c:pt>
                <c:pt idx="51">
                  <c:v>115.78932411271001</c:v>
                </c:pt>
                <c:pt idx="52">
                  <c:v>116.18699370783099</c:v>
                </c:pt>
                <c:pt idx="53">
                  <c:v>116.574053795647</c:v>
                </c:pt>
                <c:pt idx="54">
                  <c:v>116.91713709769201</c:v>
                </c:pt>
                <c:pt idx="55">
                  <c:v>117.208106603907</c:v>
                </c:pt>
                <c:pt idx="56">
                  <c:v>117.427272389975</c:v>
                </c:pt>
                <c:pt idx="57">
                  <c:v>117.560974571676</c:v>
                </c:pt>
                <c:pt idx="58">
                  <c:v>117.605933706732</c:v>
                </c:pt>
                <c:pt idx="59">
                  <c:v>117.631095628597</c:v>
                </c:pt>
                <c:pt idx="60">
                  <c:v>117.718526004617</c:v>
                </c:pt>
                <c:pt idx="61">
                  <c:v>117.86743818088399</c:v>
                </c:pt>
                <c:pt idx="62">
                  <c:v>118.034614311016</c:v>
                </c:pt>
                <c:pt idx="63">
                  <c:v>118.14311394930699</c:v>
                </c:pt>
                <c:pt idx="64">
                  <c:v>118.176172480814</c:v>
                </c:pt>
                <c:pt idx="65">
                  <c:v>118.222385228509</c:v>
                </c:pt>
                <c:pt idx="66">
                  <c:v>118.331957758157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C7-458C-B12B-68CE825FAB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8352"/>
        <c:axId val="717097176"/>
      </c:lineChart>
      <c:catAx>
        <c:axId val="7170983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717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7176"/>
        <c:scaling>
          <c:orientation val="minMax"/>
          <c:max val="120"/>
          <c:min val="10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8352"/>
        <c:crosses val="autoZero"/>
        <c:crossBetween val="between"/>
        <c:majorUnit val="5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8690242763771975E-2"/>
          <c:y val="0.95783263888888903"/>
          <c:w val="0.90647759103641457"/>
          <c:h val="4.0522743055555553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421064814814818E-2"/>
          <c:y val="5.4987406805342323E-2"/>
          <c:w val="0.92509467592592598"/>
          <c:h val="0.811024603174603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Tendencia-Ciclo.xlsx]Datos'!$K$5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9BBB59">
                    <a:lumMod val="60000"/>
                    <a:lumOff val="40000"/>
                  </a:srgb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Tendencia-Ciclo.xlsx]Datos'!$K$114:$K$185</c:f>
              <c:numCache>
                <c:formatCode>0.0</c:formatCode>
                <c:ptCount val="67"/>
                <c:pt idx="0">
                  <c:v>105.43404298079</c:v>
                </c:pt>
                <c:pt idx="1">
                  <c:v>105.525400666628</c:v>
                </c:pt>
                <c:pt idx="2">
                  <c:v>105.811438742357</c:v>
                </c:pt>
                <c:pt idx="3">
                  <c:v>107.113808307545</c:v>
                </c:pt>
                <c:pt idx="4">
                  <c:v>105.931696761667</c:v>
                </c:pt>
                <c:pt idx="5">
                  <c:v>106.498988267576</c:v>
                </c:pt>
                <c:pt idx="6">
                  <c:v>106.410834966338</c:v>
                </c:pt>
                <c:pt idx="7">
                  <c:v>104.147577963489</c:v>
                </c:pt>
                <c:pt idx="8">
                  <c:v>105.429325637123</c:v>
                </c:pt>
                <c:pt idx="9">
                  <c:v>104.895330511235</c:v>
                </c:pt>
                <c:pt idx="10">
                  <c:v>104.480584959927</c:v>
                </c:pt>
                <c:pt idx="11">
                  <c:v>106.650871787395</c:v>
                </c:pt>
                <c:pt idx="12">
                  <c:v>105.52603473409501</c:v>
                </c:pt>
                <c:pt idx="13">
                  <c:v>104.38622932284299</c:v>
                </c:pt>
                <c:pt idx="14">
                  <c:v>106.020624780606</c:v>
                </c:pt>
                <c:pt idx="15">
                  <c:v>105.99761761851801</c:v>
                </c:pt>
                <c:pt idx="16">
                  <c:v>106.43560848189701</c:v>
                </c:pt>
                <c:pt idx="17">
                  <c:v>107.55975033391501</c:v>
                </c:pt>
                <c:pt idx="18">
                  <c:v>107.214233912598</c:v>
                </c:pt>
                <c:pt idx="19">
                  <c:v>107.260623235804</c:v>
                </c:pt>
                <c:pt idx="20">
                  <c:v>107.279290269995</c:v>
                </c:pt>
                <c:pt idx="21">
                  <c:v>106.56587465850799</c:v>
                </c:pt>
                <c:pt idx="22">
                  <c:v>111.109521915678</c:v>
                </c:pt>
                <c:pt idx="23">
                  <c:v>107.096163138104</c:v>
                </c:pt>
                <c:pt idx="24">
                  <c:v>105.988114303114</c:v>
                </c:pt>
                <c:pt idx="25">
                  <c:v>105.903283881642</c:v>
                </c:pt>
                <c:pt idx="26">
                  <c:v>103.460640849425</c:v>
                </c:pt>
                <c:pt idx="27">
                  <c:v>102.441051940938</c:v>
                </c:pt>
                <c:pt idx="28">
                  <c:v>104.3198718113</c:v>
                </c:pt>
                <c:pt idx="29">
                  <c:v>103.159765477837</c:v>
                </c:pt>
                <c:pt idx="30">
                  <c:v>104.01884734572801</c:v>
                </c:pt>
                <c:pt idx="31">
                  <c:v>105.70280476931001</c:v>
                </c:pt>
                <c:pt idx="32">
                  <c:v>104.151230160198</c:v>
                </c:pt>
                <c:pt idx="33">
                  <c:v>106.15071270800701</c:v>
                </c:pt>
                <c:pt idx="34">
                  <c:v>105.618675809593</c:v>
                </c:pt>
                <c:pt idx="35">
                  <c:v>103.857794953736</c:v>
                </c:pt>
                <c:pt idx="36">
                  <c:v>102.89398970852599</c:v>
                </c:pt>
                <c:pt idx="37">
                  <c:v>102.85030014941999</c:v>
                </c:pt>
                <c:pt idx="38">
                  <c:v>102.635492083437</c:v>
                </c:pt>
                <c:pt idx="39">
                  <c:v>103.922594689612</c:v>
                </c:pt>
                <c:pt idx="40">
                  <c:v>99.663474776248506</c:v>
                </c:pt>
                <c:pt idx="41">
                  <c:v>101.98896116296</c:v>
                </c:pt>
                <c:pt idx="42">
                  <c:v>101.93822927272301</c:v>
                </c:pt>
                <c:pt idx="43">
                  <c:v>102.825759978536</c:v>
                </c:pt>
                <c:pt idx="44">
                  <c:v>104.836047471602</c:v>
                </c:pt>
                <c:pt idx="45">
                  <c:v>103.086320408484</c:v>
                </c:pt>
                <c:pt idx="46">
                  <c:v>106.106450427767</c:v>
                </c:pt>
                <c:pt idx="47">
                  <c:v>106.32952844029801</c:v>
                </c:pt>
                <c:pt idx="48">
                  <c:v>105.85793323767599</c:v>
                </c:pt>
                <c:pt idx="49">
                  <c:v>105.34511999727501</c:v>
                </c:pt>
                <c:pt idx="50">
                  <c:v>105.872368005658</c:v>
                </c:pt>
                <c:pt idx="51">
                  <c:v>105.521724687998</c:v>
                </c:pt>
                <c:pt idx="52">
                  <c:v>106.600531080789</c:v>
                </c:pt>
                <c:pt idx="53">
                  <c:v>111.298962488096</c:v>
                </c:pt>
                <c:pt idx="54">
                  <c:v>106.23909983841401</c:v>
                </c:pt>
                <c:pt idx="55">
                  <c:v>105.30963511101599</c:v>
                </c:pt>
                <c:pt idx="56">
                  <c:v>104.20903832296101</c:v>
                </c:pt>
                <c:pt idx="57">
                  <c:v>104.256086205511</c:v>
                </c:pt>
                <c:pt idx="58">
                  <c:v>103.481345891525</c:v>
                </c:pt>
                <c:pt idx="59">
                  <c:v>103.04418398886899</c:v>
                </c:pt>
                <c:pt idx="60">
                  <c:v>104.44425731468399</c:v>
                </c:pt>
                <c:pt idx="61">
                  <c:v>104.941474603931</c:v>
                </c:pt>
                <c:pt idx="62">
                  <c:v>105.189641970238</c:v>
                </c:pt>
                <c:pt idx="63">
                  <c:v>105.642533525698</c:v>
                </c:pt>
                <c:pt idx="64">
                  <c:v>104.646629982801</c:v>
                </c:pt>
                <c:pt idx="65">
                  <c:v>102.95378309769799</c:v>
                </c:pt>
                <c:pt idx="66">
                  <c:v>103.424055356458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F0-4D0E-A66A-1FD4929E2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717096392"/>
        <c:axId val="717098744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Tendencia-Ciclo.xlsx]Datos'!$L$5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Tendencia-Ciclo.xlsx]Datos'!$L$114:$L$185</c:f>
              <c:numCache>
                <c:formatCode>0.0</c:formatCode>
                <c:ptCount val="67"/>
                <c:pt idx="0">
                  <c:v>105.460403588022</c:v>
                </c:pt>
                <c:pt idx="1">
                  <c:v>105.752342291915</c:v>
                </c:pt>
                <c:pt idx="2">
                  <c:v>106.059976376794</c:v>
                </c:pt>
                <c:pt idx="3">
                  <c:v>106.26933667585701</c:v>
                </c:pt>
                <c:pt idx="4">
                  <c:v>106.320281683876</c:v>
                </c:pt>
                <c:pt idx="5">
                  <c:v>106.16245912367999</c:v>
                </c:pt>
                <c:pt idx="6">
                  <c:v>105.827412006575</c:v>
                </c:pt>
                <c:pt idx="7">
                  <c:v>105.44827686011</c:v>
                </c:pt>
                <c:pt idx="8">
                  <c:v>105.114031843611</c:v>
                </c:pt>
                <c:pt idx="9">
                  <c:v>104.899891936429</c:v>
                </c:pt>
                <c:pt idx="10">
                  <c:v>104.827990967936</c:v>
                </c:pt>
                <c:pt idx="11">
                  <c:v>104.86506443014299</c:v>
                </c:pt>
                <c:pt idx="12">
                  <c:v>105.031126114073</c:v>
                </c:pt>
                <c:pt idx="13">
                  <c:v>105.30519140707101</c:v>
                </c:pt>
                <c:pt idx="14">
                  <c:v>105.68033961159</c:v>
                </c:pt>
                <c:pt idx="15">
                  <c:v>106.154853289887</c:v>
                </c:pt>
                <c:pt idx="16">
                  <c:v>106.612760227599</c:v>
                </c:pt>
                <c:pt idx="17">
                  <c:v>106.975383785076</c:v>
                </c:pt>
                <c:pt idx="18">
                  <c:v>107.20942449353601</c:v>
                </c:pt>
                <c:pt idx="19">
                  <c:v>107.28676763209501</c:v>
                </c:pt>
                <c:pt idx="20">
                  <c:v>107.27189275042601</c:v>
                </c:pt>
                <c:pt idx="21">
                  <c:v>107.192327910674</c:v>
                </c:pt>
                <c:pt idx="22">
                  <c:v>106.949739437319</c:v>
                </c:pt>
                <c:pt idx="23">
                  <c:v>106.530693593943</c:v>
                </c:pt>
                <c:pt idx="24">
                  <c:v>105.92650421170499</c:v>
                </c:pt>
                <c:pt idx="25">
                  <c:v>105.16251988276299</c:v>
                </c:pt>
                <c:pt idx="26">
                  <c:v>104.435219035046</c:v>
                </c:pt>
                <c:pt idx="27">
                  <c:v>103.894631121591</c:v>
                </c:pt>
                <c:pt idx="28">
                  <c:v>103.671992475322</c:v>
                </c:pt>
                <c:pt idx="29">
                  <c:v>103.838523098991</c:v>
                </c:pt>
                <c:pt idx="30">
                  <c:v>104.288999905876</c:v>
                </c:pt>
                <c:pt idx="31">
                  <c:v>104.796555241303</c:v>
                </c:pt>
                <c:pt idx="32">
                  <c:v>105.12703656946501</c:v>
                </c:pt>
                <c:pt idx="33">
                  <c:v>105.116356915555</c:v>
                </c:pt>
                <c:pt idx="34">
                  <c:v>104.798610642851</c:v>
                </c:pt>
                <c:pt idx="35">
                  <c:v>104.25381000114299</c:v>
                </c:pt>
                <c:pt idx="36">
                  <c:v>103.617423159795</c:v>
                </c:pt>
                <c:pt idx="37">
                  <c:v>103.042560869006</c:v>
                </c:pt>
                <c:pt idx="38">
                  <c:v>102.56703982445001</c:v>
                </c:pt>
                <c:pt idx="39">
                  <c:v>102.255958466172</c:v>
                </c:pt>
                <c:pt idx="40">
                  <c:v>102.146826048169</c:v>
                </c:pt>
                <c:pt idx="41">
                  <c:v>102.214567714419</c:v>
                </c:pt>
                <c:pt idx="42">
                  <c:v>102.527176033736</c:v>
                </c:pt>
                <c:pt idx="43">
                  <c:v>103.136223914537</c:v>
                </c:pt>
                <c:pt idx="44">
                  <c:v>103.946228261651</c:v>
                </c:pt>
                <c:pt idx="45">
                  <c:v>104.773173536031</c:v>
                </c:pt>
                <c:pt idx="46">
                  <c:v>105.412070578466</c:v>
                </c:pt>
                <c:pt idx="47">
                  <c:v>105.758065768851</c:v>
                </c:pt>
                <c:pt idx="48">
                  <c:v>105.88038799646399</c:v>
                </c:pt>
                <c:pt idx="49">
                  <c:v>105.921856596065</c:v>
                </c:pt>
                <c:pt idx="50">
                  <c:v>106.010882287475</c:v>
                </c:pt>
                <c:pt idx="51">
                  <c:v>106.14143440022301</c:v>
                </c:pt>
                <c:pt idx="52">
                  <c:v>106.23263879835299</c:v>
                </c:pt>
                <c:pt idx="53">
                  <c:v>106.199230186432</c:v>
                </c:pt>
                <c:pt idx="54">
                  <c:v>105.88952202120799</c:v>
                </c:pt>
                <c:pt idx="55">
                  <c:v>105.311609359201</c:v>
                </c:pt>
                <c:pt idx="56">
                  <c:v>104.628108733612</c:v>
                </c:pt>
                <c:pt idx="57">
                  <c:v>104.054983242988</c:v>
                </c:pt>
                <c:pt idx="58">
                  <c:v>103.78361325369001</c:v>
                </c:pt>
                <c:pt idx="59">
                  <c:v>103.90135658463601</c:v>
                </c:pt>
                <c:pt idx="60">
                  <c:v>104.27620758016501</c:v>
                </c:pt>
                <c:pt idx="61">
                  <c:v>104.68938318036</c:v>
                </c:pt>
                <c:pt idx="62">
                  <c:v>104.930777008517</c:v>
                </c:pt>
                <c:pt idx="63">
                  <c:v>104.88644555950999</c:v>
                </c:pt>
                <c:pt idx="64">
                  <c:v>104.556628129169</c:v>
                </c:pt>
                <c:pt idx="65">
                  <c:v>104.033873114221</c:v>
                </c:pt>
                <c:pt idx="66">
                  <c:v>103.492191918373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F0-4D0E-A66A-1FD4929E2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392"/>
        <c:axId val="717098744"/>
      </c:lineChart>
      <c:catAx>
        <c:axId val="7170963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87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8744"/>
        <c:scaling>
          <c:orientation val="minMax"/>
          <c:max val="112"/>
          <c:min val="98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717096392"/>
        <c:crosses val="autoZero"/>
        <c:crossBetween val="between"/>
        <c:majorUnit val="2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54930555555555E-2"/>
          <c:y val="0.95065782578344848"/>
          <c:w val="0.93245075757575757"/>
          <c:h val="4.9342105263157875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531944444444438E-2"/>
          <c:y val="4.9618650793650791E-2"/>
          <c:w val="0.92694814814814808"/>
          <c:h val="0.818903571428571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Tendencia-Ciclo.xlsx]Datos'!$E$114:$E$185</c:f>
              <c:numCache>
                <c:formatCode>0.0_)</c:formatCode>
                <c:ptCount val="67"/>
                <c:pt idx="0">
                  <c:v>112.41032861280701</c:v>
                </c:pt>
                <c:pt idx="1">
                  <c:v>112.243076005777</c:v>
                </c:pt>
                <c:pt idx="2">
                  <c:v>111.300734539049</c:v>
                </c:pt>
                <c:pt idx="3">
                  <c:v>111.738038531738</c:v>
                </c:pt>
                <c:pt idx="4">
                  <c:v>111.528343440187</c:v>
                </c:pt>
                <c:pt idx="5">
                  <c:v>111.476043276399</c:v>
                </c:pt>
                <c:pt idx="6">
                  <c:v>111.498925365255</c:v>
                </c:pt>
                <c:pt idx="7">
                  <c:v>111.142710197526</c:v>
                </c:pt>
                <c:pt idx="8">
                  <c:v>110.262493541925</c:v>
                </c:pt>
                <c:pt idx="9">
                  <c:v>111.645819211982</c:v>
                </c:pt>
                <c:pt idx="10">
                  <c:v>111.047009821724</c:v>
                </c:pt>
                <c:pt idx="11">
                  <c:v>112.061641846763</c:v>
                </c:pt>
                <c:pt idx="12">
                  <c:v>112.00850431147499</c:v>
                </c:pt>
                <c:pt idx="13">
                  <c:v>112.159947162732</c:v>
                </c:pt>
                <c:pt idx="14">
                  <c:v>113.405532630678</c:v>
                </c:pt>
                <c:pt idx="15">
                  <c:v>112.875236266448</c:v>
                </c:pt>
                <c:pt idx="16">
                  <c:v>113.172808429355</c:v>
                </c:pt>
                <c:pt idx="17">
                  <c:v>113.982627562888</c:v>
                </c:pt>
                <c:pt idx="18">
                  <c:v>114.002271452798</c:v>
                </c:pt>
                <c:pt idx="19">
                  <c:v>113.609354699978</c:v>
                </c:pt>
                <c:pt idx="20">
                  <c:v>113.85925054252699</c:v>
                </c:pt>
                <c:pt idx="21">
                  <c:v>114.316742108805</c:v>
                </c:pt>
                <c:pt idx="22">
                  <c:v>114.208689494431</c:v>
                </c:pt>
                <c:pt idx="23">
                  <c:v>111.846025901549</c:v>
                </c:pt>
                <c:pt idx="24">
                  <c:v>114.737819475622</c:v>
                </c:pt>
                <c:pt idx="25">
                  <c:v>115.64247768876299</c:v>
                </c:pt>
                <c:pt idx="26">
                  <c:v>114.58361375972299</c:v>
                </c:pt>
                <c:pt idx="27">
                  <c:v>115.08180096653901</c:v>
                </c:pt>
                <c:pt idx="28">
                  <c:v>115.729387564565</c:v>
                </c:pt>
                <c:pt idx="29">
                  <c:v>116.21424351627201</c:v>
                </c:pt>
                <c:pt idx="30">
                  <c:v>116.260431054845</c:v>
                </c:pt>
                <c:pt idx="31">
                  <c:v>116.484372898285</c:v>
                </c:pt>
                <c:pt idx="32">
                  <c:v>116.317923438867</c:v>
                </c:pt>
                <c:pt idx="33">
                  <c:v>115.35029501519899</c:v>
                </c:pt>
                <c:pt idx="34">
                  <c:v>115.93240941444699</c:v>
                </c:pt>
                <c:pt idx="35">
                  <c:v>115.645901883069</c:v>
                </c:pt>
                <c:pt idx="36">
                  <c:v>116.512334863107</c:v>
                </c:pt>
                <c:pt idx="37">
                  <c:v>114.235529664217</c:v>
                </c:pt>
                <c:pt idx="38">
                  <c:v>111.85711265013001</c:v>
                </c:pt>
                <c:pt idx="39">
                  <c:v>87.444858791912097</c:v>
                </c:pt>
                <c:pt idx="40">
                  <c:v>88.222769091604704</c:v>
                </c:pt>
                <c:pt idx="41">
                  <c:v>96.8011199754269</c:v>
                </c:pt>
                <c:pt idx="42">
                  <c:v>102.757809845645</c:v>
                </c:pt>
                <c:pt idx="43">
                  <c:v>105.397969179806</c:v>
                </c:pt>
                <c:pt idx="44">
                  <c:v>107.361484833365</c:v>
                </c:pt>
                <c:pt idx="45">
                  <c:v>107.345482034432</c:v>
                </c:pt>
                <c:pt idx="46">
                  <c:v>110.242024283123</c:v>
                </c:pt>
                <c:pt idx="47">
                  <c:v>109.08013624081001</c:v>
                </c:pt>
                <c:pt idx="48">
                  <c:v>108.560184568328</c:v>
                </c:pt>
                <c:pt idx="49">
                  <c:v>110.504655090825</c:v>
                </c:pt>
                <c:pt idx="50">
                  <c:v>113.88853085173901</c:v>
                </c:pt>
                <c:pt idx="51">
                  <c:v>113.584421814767</c:v>
                </c:pt>
                <c:pt idx="52">
                  <c:v>113.698004986079</c:v>
                </c:pt>
                <c:pt idx="53">
                  <c:v>113.794745366425</c:v>
                </c:pt>
                <c:pt idx="54">
                  <c:v>113.12751630133501</c:v>
                </c:pt>
                <c:pt idx="55">
                  <c:v>113.232033191171</c:v>
                </c:pt>
                <c:pt idx="56">
                  <c:v>113.67120228981</c:v>
                </c:pt>
                <c:pt idx="57">
                  <c:v>114.19567035118401</c:v>
                </c:pt>
                <c:pt idx="58">
                  <c:v>114.908981393928</c:v>
                </c:pt>
                <c:pt idx="59">
                  <c:v>115.12021774401499</c:v>
                </c:pt>
                <c:pt idx="60">
                  <c:v>116.13549288319101</c:v>
                </c:pt>
                <c:pt idx="61">
                  <c:v>117.386516483267</c:v>
                </c:pt>
                <c:pt idx="62">
                  <c:v>117.894850109131</c:v>
                </c:pt>
                <c:pt idx="63">
                  <c:v>118.41521289559699</c:v>
                </c:pt>
                <c:pt idx="64">
                  <c:v>119.037883009797</c:v>
                </c:pt>
                <c:pt idx="65">
                  <c:v>118.713871814992</c:v>
                </c:pt>
                <c:pt idx="66">
                  <c:v>119.81879019510799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61-46CB-9AA8-7CCDA1EAE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717096784"/>
        <c:axId val="717099528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Tendencia-Ciclo.xlsx]Datos'!$F$5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Tendencia-Ciclo.xlsx]Datos'!$F$114:$F$185</c:f>
              <c:numCache>
                <c:formatCode>0.0_)</c:formatCode>
                <c:ptCount val="67"/>
                <c:pt idx="0">
                  <c:v>112.662254919877</c:v>
                </c:pt>
                <c:pt idx="1">
                  <c:v>112.242132207731</c:v>
                </c:pt>
                <c:pt idx="2">
                  <c:v>111.886318355911</c:v>
                </c:pt>
                <c:pt idx="3">
                  <c:v>111.628522848155</c:v>
                </c:pt>
                <c:pt idx="4">
                  <c:v>111.471801272185</c:v>
                </c:pt>
                <c:pt idx="5">
                  <c:v>111.359545201662</c:v>
                </c:pt>
                <c:pt idx="6">
                  <c:v>111.265610341789</c:v>
                </c:pt>
                <c:pt idx="7">
                  <c:v>111.195449373215</c:v>
                </c:pt>
                <c:pt idx="8">
                  <c:v>111.171855975333</c:v>
                </c:pt>
                <c:pt idx="9">
                  <c:v>111.24462991308999</c:v>
                </c:pt>
                <c:pt idx="10">
                  <c:v>111.44915148493</c:v>
                </c:pt>
                <c:pt idx="11">
                  <c:v>111.743690089719</c:v>
                </c:pt>
                <c:pt idx="12">
                  <c:v>112.08994203240501</c:v>
                </c:pt>
                <c:pt idx="13">
                  <c:v>112.459814999548</c:v>
                </c:pt>
                <c:pt idx="14">
                  <c:v>112.821452801075</c:v>
                </c:pt>
                <c:pt idx="15">
                  <c:v>113.146924502817</c:v>
                </c:pt>
                <c:pt idx="16">
                  <c:v>113.421554808252</c:v>
                </c:pt>
                <c:pt idx="17">
                  <c:v>113.63184545599</c:v>
                </c:pt>
                <c:pt idx="18">
                  <c:v>113.788894063143</c:v>
                </c:pt>
                <c:pt idx="19">
                  <c:v>113.887738498261</c:v>
                </c:pt>
                <c:pt idx="20">
                  <c:v>113.987096101723</c:v>
                </c:pt>
                <c:pt idx="21">
                  <c:v>114.11120741953999</c:v>
                </c:pt>
                <c:pt idx="22">
                  <c:v>114.24669441894901</c:v>
                </c:pt>
                <c:pt idx="23">
                  <c:v>114.40669812855</c:v>
                </c:pt>
                <c:pt idx="24">
                  <c:v>114.589070794314</c:v>
                </c:pt>
                <c:pt idx="25">
                  <c:v>114.790088541907</c:v>
                </c:pt>
                <c:pt idx="26">
                  <c:v>115.036261443005</c:v>
                </c:pt>
                <c:pt idx="27">
                  <c:v>115.358370868219</c:v>
                </c:pt>
                <c:pt idx="28">
                  <c:v>115.70148152647801</c:v>
                </c:pt>
                <c:pt idx="29">
                  <c:v>115.993084867066</c:v>
                </c:pt>
                <c:pt idx="30">
                  <c:v>116.195029598109</c:v>
                </c:pt>
                <c:pt idx="31">
                  <c:v>116.275413300384</c:v>
                </c:pt>
                <c:pt idx="32">
                  <c:v>116.20634623719</c:v>
                </c:pt>
                <c:pt idx="33">
                  <c:v>115.999878298045</c:v>
                </c:pt>
                <c:pt idx="34">
                  <c:v>115.683254912243</c:v>
                </c:pt>
                <c:pt idx="35">
                  <c:v>115.261015046126</c:v>
                </c:pt>
                <c:pt idx="36">
                  <c:v>114.74766034600999</c:v>
                </c:pt>
                <c:pt idx="37">
                  <c:v>114.204490975814</c:v>
                </c:pt>
                <c:pt idx="38">
                  <c:v>113.733702184154</c:v>
                </c:pt>
                <c:pt idx="39">
                  <c:v>103.118374772677</c:v>
                </c:pt>
                <c:pt idx="40">
                  <c:v>103.220652983387</c:v>
                </c:pt>
                <c:pt idx="41">
                  <c:v>103.69615362386899</c:v>
                </c:pt>
                <c:pt idx="42">
                  <c:v>104.463154979338</c:v>
                </c:pt>
                <c:pt idx="43">
                  <c:v>105.41786715955401</c:v>
                </c:pt>
                <c:pt idx="44">
                  <c:v>106.432775835028</c:v>
                </c:pt>
                <c:pt idx="45">
                  <c:v>107.403749440212</c:v>
                </c:pt>
                <c:pt idx="46">
                  <c:v>108.323975077592</c:v>
                </c:pt>
                <c:pt idx="47">
                  <c:v>109.24643479886601</c:v>
                </c:pt>
                <c:pt idx="48">
                  <c:v>110.223040161352</c:v>
                </c:pt>
                <c:pt idx="49">
                  <c:v>111.23680412929301</c:v>
                </c:pt>
                <c:pt idx="50">
                  <c:v>112.178806220048</c:v>
                </c:pt>
                <c:pt idx="51">
                  <c:v>112.913854791323</c:v>
                </c:pt>
                <c:pt idx="52">
                  <c:v>113.352904681252</c:v>
                </c:pt>
                <c:pt idx="53">
                  <c:v>113.53697802883499</c:v>
                </c:pt>
                <c:pt idx="54">
                  <c:v>113.567589837949</c:v>
                </c:pt>
                <c:pt idx="55">
                  <c:v>113.586585586238</c:v>
                </c:pt>
                <c:pt idx="56">
                  <c:v>113.74050286777199</c:v>
                </c:pt>
                <c:pt idx="57">
                  <c:v>114.128447119527</c:v>
                </c:pt>
                <c:pt idx="58">
                  <c:v>114.72902841467101</c:v>
                </c:pt>
                <c:pt idx="59">
                  <c:v>115.47955989128501</c:v>
                </c:pt>
                <c:pt idx="60">
                  <c:v>116.282791849877</c:v>
                </c:pt>
                <c:pt idx="61">
                  <c:v>117.046721213007</c:v>
                </c:pt>
                <c:pt idx="62">
                  <c:v>117.72668091456801</c:v>
                </c:pt>
                <c:pt idx="63">
                  <c:v>118.308837622723</c:v>
                </c:pt>
                <c:pt idx="64">
                  <c:v>118.806024770368</c:v>
                </c:pt>
                <c:pt idx="65">
                  <c:v>119.28140667803299</c:v>
                </c:pt>
                <c:pt idx="66">
                  <c:v>119.81533852576401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61-46CB-9AA8-7CCDA1EAE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7096784"/>
        <c:axId val="717099528"/>
      </c:lineChart>
      <c:catAx>
        <c:axId val="7170967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717099528"/>
        <c:scaling>
          <c:orientation val="minMax"/>
          <c:max val="122"/>
          <c:min val="85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717096784"/>
        <c:crosses val="autoZero"/>
        <c:crossBetween val="between"/>
        <c:majorUnit val="5"/>
      </c:valAx>
      <c:spPr>
        <a:noFill/>
        <a:ln w="635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6050070028011484E-2"/>
          <c:y val="0.95347564313084165"/>
          <c:w val="0.9072138188608776"/>
          <c:h val="4.3240284619594956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92361111111118E-2"/>
          <c:y val="4.6352937919360231E-2"/>
          <c:w val="0.92927499999999974"/>
          <c:h val="0.828689605346337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rgbClr val="C3D69B"/>
                </a:gs>
                <a:gs pos="90000">
                  <a:srgbClr val="00B050"/>
                </a:gs>
              </a:gsLst>
              <a:lin ang="0" scaled="1"/>
            </a:gradFill>
            <a:ln w="0">
              <a:solidFill>
                <a:srgbClr val="006600"/>
              </a:solidFill>
              <a:prstDash val="solid"/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Tendencia-Ciclo.xlsx]Datos'!$I$114:$I$185</c:f>
              <c:numCache>
                <c:formatCode>0.0_)</c:formatCode>
                <c:ptCount val="67"/>
                <c:pt idx="0">
                  <c:v>103.00756627482301</c:v>
                </c:pt>
                <c:pt idx="1">
                  <c:v>102.827335696128</c:v>
                </c:pt>
                <c:pt idx="2">
                  <c:v>102.790942003333</c:v>
                </c:pt>
                <c:pt idx="3">
                  <c:v>102.902878866164</c:v>
                </c:pt>
                <c:pt idx="4">
                  <c:v>103.072966313381</c:v>
                </c:pt>
                <c:pt idx="5">
                  <c:v>103.46398211029</c:v>
                </c:pt>
                <c:pt idx="6">
                  <c:v>103.64849087737799</c:v>
                </c:pt>
                <c:pt idx="7">
                  <c:v>103.85696700582299</c:v>
                </c:pt>
                <c:pt idx="8">
                  <c:v>104.260735561752</c:v>
                </c:pt>
                <c:pt idx="9">
                  <c:v>104.310764285853</c:v>
                </c:pt>
                <c:pt idx="10">
                  <c:v>104.332268252302</c:v>
                </c:pt>
                <c:pt idx="11">
                  <c:v>103.60564142929699</c:v>
                </c:pt>
                <c:pt idx="12">
                  <c:v>104.42431928449901</c:v>
                </c:pt>
                <c:pt idx="13">
                  <c:v>104.18408802957801</c:v>
                </c:pt>
                <c:pt idx="14">
                  <c:v>105.698361311524</c:v>
                </c:pt>
                <c:pt idx="15">
                  <c:v>105.698414092134</c:v>
                </c:pt>
                <c:pt idx="16">
                  <c:v>105.222684600568</c:v>
                </c:pt>
                <c:pt idx="17">
                  <c:v>105.11129489917199</c:v>
                </c:pt>
                <c:pt idx="18">
                  <c:v>105.013619718754</c:v>
                </c:pt>
                <c:pt idx="19">
                  <c:v>105.068662822962</c:v>
                </c:pt>
                <c:pt idx="20">
                  <c:v>104.44364569224599</c:v>
                </c:pt>
                <c:pt idx="21">
                  <c:v>104.196514301947</c:v>
                </c:pt>
                <c:pt idx="22">
                  <c:v>104.83470518523301</c:v>
                </c:pt>
                <c:pt idx="23">
                  <c:v>104.882063816168</c:v>
                </c:pt>
                <c:pt idx="24">
                  <c:v>104.352284766529</c:v>
                </c:pt>
                <c:pt idx="25">
                  <c:v>104.473147891769</c:v>
                </c:pt>
                <c:pt idx="26">
                  <c:v>104.170597394244</c:v>
                </c:pt>
                <c:pt idx="27">
                  <c:v>104.574943572141</c:v>
                </c:pt>
                <c:pt idx="28">
                  <c:v>104.948447696998</c:v>
                </c:pt>
                <c:pt idx="29">
                  <c:v>105.043077797329</c:v>
                </c:pt>
                <c:pt idx="30">
                  <c:v>104.924852998673</c:v>
                </c:pt>
                <c:pt idx="31">
                  <c:v>105.128057165299</c:v>
                </c:pt>
                <c:pt idx="32">
                  <c:v>105.14878139811999</c:v>
                </c:pt>
                <c:pt idx="33">
                  <c:v>104.40652780170601</c:v>
                </c:pt>
                <c:pt idx="34">
                  <c:v>104.674255956222</c:v>
                </c:pt>
                <c:pt idx="35">
                  <c:v>104.94863729987399</c:v>
                </c:pt>
                <c:pt idx="36">
                  <c:v>104.598240103571</c:v>
                </c:pt>
                <c:pt idx="37">
                  <c:v>104.432845242537</c:v>
                </c:pt>
                <c:pt idx="38">
                  <c:v>104.137301314143</c:v>
                </c:pt>
                <c:pt idx="39">
                  <c:v>95.090754154335997</c:v>
                </c:pt>
                <c:pt idx="40">
                  <c:v>96.030492688846394</c:v>
                </c:pt>
                <c:pt idx="41">
                  <c:v>96.448284310080993</c:v>
                </c:pt>
                <c:pt idx="42">
                  <c:v>97.479800816565501</c:v>
                </c:pt>
                <c:pt idx="43">
                  <c:v>98.147268789651207</c:v>
                </c:pt>
                <c:pt idx="44">
                  <c:v>99.758552357300303</c:v>
                </c:pt>
                <c:pt idx="45">
                  <c:v>99.717859550628802</c:v>
                </c:pt>
                <c:pt idx="46">
                  <c:v>99.768738968027805</c:v>
                </c:pt>
                <c:pt idx="47">
                  <c:v>99.265352888626197</c:v>
                </c:pt>
                <c:pt idx="48">
                  <c:v>100.210429717528</c:v>
                </c:pt>
                <c:pt idx="49">
                  <c:v>100.20947537707499</c:v>
                </c:pt>
                <c:pt idx="50">
                  <c:v>100.163333186356</c:v>
                </c:pt>
                <c:pt idx="51">
                  <c:v>99.864726569533502</c:v>
                </c:pt>
                <c:pt idx="52">
                  <c:v>99.782019168673898</c:v>
                </c:pt>
                <c:pt idx="53">
                  <c:v>99.6597169393673</c:v>
                </c:pt>
                <c:pt idx="54">
                  <c:v>99.791565565527904</c:v>
                </c:pt>
                <c:pt idx="55">
                  <c:v>99.532990176502395</c:v>
                </c:pt>
                <c:pt idx="56">
                  <c:v>99.616980943566602</c:v>
                </c:pt>
                <c:pt idx="57">
                  <c:v>99.595898694811098</c:v>
                </c:pt>
                <c:pt idx="58">
                  <c:v>99.262535657069805</c:v>
                </c:pt>
                <c:pt idx="59">
                  <c:v>99.027425013866804</c:v>
                </c:pt>
                <c:pt idx="60">
                  <c:v>98.893735554015905</c:v>
                </c:pt>
                <c:pt idx="61">
                  <c:v>98.8750364108936</c:v>
                </c:pt>
                <c:pt idx="62">
                  <c:v>98.8588804742772</c:v>
                </c:pt>
                <c:pt idx="63">
                  <c:v>98.771036158814297</c:v>
                </c:pt>
                <c:pt idx="64">
                  <c:v>98.699558297688199</c:v>
                </c:pt>
                <c:pt idx="65">
                  <c:v>98.669794256934395</c:v>
                </c:pt>
                <c:pt idx="66">
                  <c:v>98.538102620064706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CB-47D7-8696-10ECAF4AC1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81612568"/>
        <c:axId val="481614136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Tendencia-Ciclo.xlsx]Datos'!$J$5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Tendencia-Ciclo.xlsx]Datos'!$J$114:$J$185</c:f>
              <c:numCache>
                <c:formatCode>0.0_)</c:formatCode>
                <c:ptCount val="67"/>
                <c:pt idx="0">
                  <c:v>102.817554447779</c:v>
                </c:pt>
                <c:pt idx="1">
                  <c:v>102.84429582837301</c:v>
                </c:pt>
                <c:pt idx="2">
                  <c:v>102.887232618943</c:v>
                </c:pt>
                <c:pt idx="3">
                  <c:v>102.98570177037099</c:v>
                </c:pt>
                <c:pt idx="4">
                  <c:v>103.157324010821</c:v>
                </c:pt>
                <c:pt idx="5">
                  <c:v>103.385483657726</c:v>
                </c:pt>
                <c:pt idx="6">
                  <c:v>103.650499689657</c:v>
                </c:pt>
                <c:pt idx="7">
                  <c:v>103.89851757445101</c:v>
                </c:pt>
                <c:pt idx="8">
                  <c:v>104.094370519691</c:v>
                </c:pt>
                <c:pt idx="9">
                  <c:v>104.240885591471</c:v>
                </c:pt>
                <c:pt idx="10">
                  <c:v>104.374623945704</c:v>
                </c:pt>
                <c:pt idx="11">
                  <c:v>104.532002143376</c:v>
                </c:pt>
                <c:pt idx="12">
                  <c:v>104.72461810796899</c:v>
                </c:pt>
                <c:pt idx="13">
                  <c:v>104.928613383583</c:v>
                </c:pt>
                <c:pt idx="14">
                  <c:v>105.118063479391</c:v>
                </c:pt>
                <c:pt idx="15">
                  <c:v>105.245101413526</c:v>
                </c:pt>
                <c:pt idx="16">
                  <c:v>105.262190684068</c:v>
                </c:pt>
                <c:pt idx="17">
                  <c:v>105.175594631298</c:v>
                </c:pt>
                <c:pt idx="18">
                  <c:v>105.03069635547401</c:v>
                </c:pt>
                <c:pt idx="19">
                  <c:v>104.87599351499099</c:v>
                </c:pt>
                <c:pt idx="20">
                  <c:v>104.748526785358</c:v>
                </c:pt>
                <c:pt idx="21">
                  <c:v>104.64985640369299</c:v>
                </c:pt>
                <c:pt idx="22">
                  <c:v>104.568549651366</c:v>
                </c:pt>
                <c:pt idx="23">
                  <c:v>104.50072467471099</c:v>
                </c:pt>
                <c:pt idx="24">
                  <c:v>104.468264984409</c:v>
                </c:pt>
                <c:pt idx="25">
                  <c:v>104.481233848988</c:v>
                </c:pt>
                <c:pt idx="26">
                  <c:v>104.54209971053901</c:v>
                </c:pt>
                <c:pt idx="27">
                  <c:v>104.65132353437799</c:v>
                </c:pt>
                <c:pt idx="28">
                  <c:v>104.80402945218999</c:v>
                </c:pt>
                <c:pt idx="29">
                  <c:v>104.94745655528401</c:v>
                </c:pt>
                <c:pt idx="30">
                  <c:v>105.038805687607</c:v>
                </c:pt>
                <c:pt idx="31">
                  <c:v>105.06815841807899</c:v>
                </c:pt>
                <c:pt idx="32">
                  <c:v>105.04350827160501</c:v>
                </c:pt>
                <c:pt idx="33">
                  <c:v>104.970438406379</c:v>
                </c:pt>
                <c:pt idx="34">
                  <c:v>104.86121065006</c:v>
                </c:pt>
                <c:pt idx="35">
                  <c:v>104.72399357368499</c:v>
                </c:pt>
                <c:pt idx="36">
                  <c:v>104.568922833887</c:v>
                </c:pt>
                <c:pt idx="37">
                  <c:v>104.417968363402</c:v>
                </c:pt>
                <c:pt idx="38">
                  <c:v>104.29119074641</c:v>
                </c:pt>
                <c:pt idx="39">
                  <c:v>99.874404856421506</c:v>
                </c:pt>
                <c:pt idx="40">
                  <c:v>99.813805530828105</c:v>
                </c:pt>
                <c:pt idx="41">
                  <c:v>99.7813945524167</c:v>
                </c:pt>
                <c:pt idx="42">
                  <c:v>99.761804395339595</c:v>
                </c:pt>
                <c:pt idx="43">
                  <c:v>99.744773298739702</c:v>
                </c:pt>
                <c:pt idx="44">
                  <c:v>99.746258851586902</c:v>
                </c:pt>
                <c:pt idx="45">
                  <c:v>99.787845000058695</c:v>
                </c:pt>
                <c:pt idx="46">
                  <c:v>99.873518030458996</c:v>
                </c:pt>
                <c:pt idx="47">
                  <c:v>99.978181744809902</c:v>
                </c:pt>
                <c:pt idx="48">
                  <c:v>100.06096486229799</c:v>
                </c:pt>
                <c:pt idx="49">
                  <c:v>100.09268153106299</c:v>
                </c:pt>
                <c:pt idx="50">
                  <c:v>100.058236220353</c:v>
                </c:pt>
                <c:pt idx="51">
                  <c:v>99.967063792130901</c:v>
                </c:pt>
                <c:pt idx="52">
                  <c:v>99.854973395105205</c:v>
                </c:pt>
                <c:pt idx="53">
                  <c:v>99.759184167067104</c:v>
                </c:pt>
                <c:pt idx="54">
                  <c:v>99.691642530942005</c:v>
                </c:pt>
                <c:pt idx="55">
                  <c:v>99.632845220631296</c:v>
                </c:pt>
                <c:pt idx="56">
                  <c:v>99.550011625454303</c:v>
                </c:pt>
                <c:pt idx="57">
                  <c:v>99.428865099298505</c:v>
                </c:pt>
                <c:pt idx="58">
                  <c:v>99.277283672998394</c:v>
                </c:pt>
                <c:pt idx="59">
                  <c:v>99.120578045682507</c:v>
                </c:pt>
                <c:pt idx="60">
                  <c:v>98.983477665624903</c:v>
                </c:pt>
                <c:pt idx="61">
                  <c:v>98.879425629533102</c:v>
                </c:pt>
                <c:pt idx="62">
                  <c:v>98.805464241647599</c:v>
                </c:pt>
                <c:pt idx="63">
                  <c:v>98.753515116105305</c:v>
                </c:pt>
                <c:pt idx="64">
                  <c:v>98.700016899126297</c:v>
                </c:pt>
                <c:pt idx="65">
                  <c:v>98.638563270705006</c:v>
                </c:pt>
                <c:pt idx="66">
                  <c:v>98.5761997892251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CB-47D7-8696-10ECAF4AC1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612568"/>
        <c:axId val="481614136"/>
      </c:lineChart>
      <c:catAx>
        <c:axId val="4816125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8161413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81614136"/>
        <c:scaling>
          <c:orientation val="minMax"/>
          <c:max val="108"/>
          <c:min val="92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s-MX"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81612568"/>
        <c:crosses val="autoZero"/>
        <c:crossBetween val="between"/>
        <c:majorUnit val="2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6.7532407407407402E-2"/>
          <c:y val="0.96557909037515743"/>
          <c:w val="0.91166059757236217"/>
          <c:h val="3.4420833333333338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lang="es-MX"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992361111111118E-2"/>
          <c:y val="4.5483219658243042E-2"/>
          <c:w val="0.92400833333333332"/>
          <c:h val="0.81716587301587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'[Comercio_Gráficas Desest y Tendencia-Ciclo.xlsx]Datos'!$M$5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10000">
                  <a:srgbClr val="00B050"/>
                </a:gs>
                <a:gs pos="50000">
                  <a:schemeClr val="accent3">
                    <a:lumMod val="60000"/>
                    <a:lumOff val="40000"/>
                  </a:schemeClr>
                </a:gs>
                <a:gs pos="90000">
                  <a:srgbClr val="00B050"/>
                </a:gs>
              </a:gsLst>
              <a:lin ang="0" scaled="1"/>
            </a:gradFill>
            <a:ln w="3175">
              <a:solidFill>
                <a:srgbClr val="006600"/>
              </a:solidFill>
            </a:ln>
          </c:spPr>
          <c:invertIfNegative val="0"/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Tendencia-Ciclo.xlsx]Datos'!$M$114:$M$185</c:f>
              <c:numCache>
                <c:formatCode>0.0</c:formatCode>
                <c:ptCount val="67"/>
                <c:pt idx="0">
                  <c:v>107.96383783159</c:v>
                </c:pt>
                <c:pt idx="1">
                  <c:v>107.305988922225</c:v>
                </c:pt>
                <c:pt idx="2">
                  <c:v>109.417131171419</c:v>
                </c:pt>
                <c:pt idx="3">
                  <c:v>107.785132252067</c:v>
                </c:pt>
                <c:pt idx="4">
                  <c:v>108.04344476265901</c:v>
                </c:pt>
                <c:pt idx="5">
                  <c:v>108.673968786657</c:v>
                </c:pt>
                <c:pt idx="6">
                  <c:v>107.79591928942401</c:v>
                </c:pt>
                <c:pt idx="7">
                  <c:v>108.597910902012</c:v>
                </c:pt>
                <c:pt idx="8">
                  <c:v>107.791493957646</c:v>
                </c:pt>
                <c:pt idx="9">
                  <c:v>108.31912710339699</c:v>
                </c:pt>
                <c:pt idx="10">
                  <c:v>108.14644880299601</c:v>
                </c:pt>
                <c:pt idx="11">
                  <c:v>110.655170611495</c:v>
                </c:pt>
                <c:pt idx="12">
                  <c:v>108.60760660855701</c:v>
                </c:pt>
                <c:pt idx="13">
                  <c:v>109.514364003022</c:v>
                </c:pt>
                <c:pt idx="14">
                  <c:v>109.345576171612</c:v>
                </c:pt>
                <c:pt idx="15">
                  <c:v>109.627916781355</c:v>
                </c:pt>
                <c:pt idx="16">
                  <c:v>108.87818393831699</c:v>
                </c:pt>
                <c:pt idx="17">
                  <c:v>109.51169356089601</c:v>
                </c:pt>
                <c:pt idx="18">
                  <c:v>109.27900158276699</c:v>
                </c:pt>
                <c:pt idx="19">
                  <c:v>109.380984987777</c:v>
                </c:pt>
                <c:pt idx="20">
                  <c:v>110.500106682189</c:v>
                </c:pt>
                <c:pt idx="21">
                  <c:v>109.773959083441</c:v>
                </c:pt>
                <c:pt idx="22">
                  <c:v>110.230683037109</c:v>
                </c:pt>
                <c:pt idx="23">
                  <c:v>110.97753253802099</c:v>
                </c:pt>
                <c:pt idx="24">
                  <c:v>111.975848778124</c:v>
                </c:pt>
                <c:pt idx="25">
                  <c:v>113.419006244171</c:v>
                </c:pt>
                <c:pt idx="26">
                  <c:v>113.217711865822</c:v>
                </c:pt>
                <c:pt idx="27">
                  <c:v>113.254654793961</c:v>
                </c:pt>
                <c:pt idx="28">
                  <c:v>112.91631859168101</c:v>
                </c:pt>
                <c:pt idx="29">
                  <c:v>113.62500449005999</c:v>
                </c:pt>
                <c:pt idx="30">
                  <c:v>112.92866971553499</c:v>
                </c:pt>
                <c:pt idx="31">
                  <c:v>114.33554741694201</c:v>
                </c:pt>
                <c:pt idx="32">
                  <c:v>115.064333842607</c:v>
                </c:pt>
                <c:pt idx="33">
                  <c:v>115.240061513558</c:v>
                </c:pt>
                <c:pt idx="34">
                  <c:v>115.447995532984</c:v>
                </c:pt>
                <c:pt idx="35">
                  <c:v>115.733439443923</c:v>
                </c:pt>
                <c:pt idx="36">
                  <c:v>115.96246092442701</c:v>
                </c:pt>
                <c:pt idx="37">
                  <c:v>115.95449325354799</c:v>
                </c:pt>
                <c:pt idx="38">
                  <c:v>115.58329760209701</c:v>
                </c:pt>
                <c:pt idx="39">
                  <c:v>114.602666557524</c:v>
                </c:pt>
                <c:pt idx="40">
                  <c:v>112.278457589512</c:v>
                </c:pt>
                <c:pt idx="41">
                  <c:v>113.06604774412</c:v>
                </c:pt>
                <c:pt idx="42">
                  <c:v>113.12822983065401</c:v>
                </c:pt>
                <c:pt idx="43">
                  <c:v>113.637466318875</c:v>
                </c:pt>
                <c:pt idx="44">
                  <c:v>113.21408246516501</c:v>
                </c:pt>
                <c:pt idx="45">
                  <c:v>113.990443633243</c:v>
                </c:pt>
                <c:pt idx="46">
                  <c:v>114.37481933240799</c:v>
                </c:pt>
                <c:pt idx="47">
                  <c:v>118.027773225427</c:v>
                </c:pt>
                <c:pt idx="48">
                  <c:v>113.186718647436</c:v>
                </c:pt>
                <c:pt idx="49">
                  <c:v>112.996602713757</c:v>
                </c:pt>
                <c:pt idx="50">
                  <c:v>114.02875109597601</c:v>
                </c:pt>
                <c:pt idx="51">
                  <c:v>113.753601999826</c:v>
                </c:pt>
                <c:pt idx="52">
                  <c:v>120.862910544966</c:v>
                </c:pt>
                <c:pt idx="53">
                  <c:v>115.893018598046</c:v>
                </c:pt>
                <c:pt idx="54">
                  <c:v>117.20314313546299</c:v>
                </c:pt>
                <c:pt idx="55">
                  <c:v>115.453586702287</c:v>
                </c:pt>
                <c:pt idx="56">
                  <c:v>115.919540494185</c:v>
                </c:pt>
                <c:pt idx="57">
                  <c:v>116.51337411575</c:v>
                </c:pt>
                <c:pt idx="58">
                  <c:v>117.46759049188201</c:v>
                </c:pt>
                <c:pt idx="59">
                  <c:v>117.034219253204</c:v>
                </c:pt>
                <c:pt idx="60">
                  <c:v>118.257999995774</c:v>
                </c:pt>
                <c:pt idx="61">
                  <c:v>118.159162182106</c:v>
                </c:pt>
                <c:pt idx="62">
                  <c:v>115.96754616721</c:v>
                </c:pt>
                <c:pt idx="63">
                  <c:v>120.818918693445</c:v>
                </c:pt>
                <c:pt idx="64">
                  <c:v>125.222453798129</c:v>
                </c:pt>
                <c:pt idx="65">
                  <c:v>120.642013854228</c:v>
                </c:pt>
                <c:pt idx="66">
                  <c:v>122.727594504113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5D-48FB-9F1D-AE8D8AA75F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481612176"/>
        <c:axId val="483190616"/>
      </c:barChart>
      <c:lineChart>
        <c:grouping val="standard"/>
        <c:varyColors val="0"/>
        <c:ser>
          <c:idx val="1"/>
          <c:order val="1"/>
          <c:tx>
            <c:strRef>
              <c:f>'[Comercio_Gráficas Desest y Tendencia-Ciclo.xlsx]Datos'!$N$5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cat>
            <c:multiLvlStrRef>
              <c:f>'[Comercio_Gráficas Desest y Tendencia-Ciclo.xlsx]Datos'!$A$114:$B$185</c:f>
              <c:multiLvlStrCache>
                <c:ptCount val="67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 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  <c:pt idx="60">
                    <c:v>2022</c:v>
                  </c:pt>
                </c:lvl>
              </c:multiLvlStrCache>
            </c:multiLvlStrRef>
          </c:cat>
          <c:val>
            <c:numRef>
              <c:f>'[Comercio_Gráficas Desest y Tendencia-Ciclo.xlsx]Datos'!$N$114:$N$185</c:f>
              <c:numCache>
                <c:formatCode>0.0</c:formatCode>
                <c:ptCount val="67"/>
                <c:pt idx="0">
                  <c:v>108.36368886986899</c:v>
                </c:pt>
                <c:pt idx="1">
                  <c:v>108.187502384376</c:v>
                </c:pt>
                <c:pt idx="2">
                  <c:v>108.09234848367301</c:v>
                </c:pt>
                <c:pt idx="3">
                  <c:v>108.075642014886</c:v>
                </c:pt>
                <c:pt idx="4">
                  <c:v>108.110446548702</c:v>
                </c:pt>
                <c:pt idx="5">
                  <c:v>108.149454396187</c:v>
                </c:pt>
                <c:pt idx="6">
                  <c:v>108.16563349054999</c:v>
                </c:pt>
                <c:pt idx="7">
                  <c:v>108.157503740268</c:v>
                </c:pt>
                <c:pt idx="8">
                  <c:v>108.17233088302901</c:v>
                </c:pt>
                <c:pt idx="9">
                  <c:v>108.23995929341</c:v>
                </c:pt>
                <c:pt idx="10">
                  <c:v>108.405150720587</c:v>
                </c:pt>
                <c:pt idx="11">
                  <c:v>108.653982335824</c:v>
                </c:pt>
                <c:pt idx="12">
                  <c:v>108.924657894956</c:v>
                </c:pt>
                <c:pt idx="13">
                  <c:v>109.14920619652</c:v>
                </c:pt>
                <c:pt idx="14">
                  <c:v>109.280193986223</c:v>
                </c:pt>
                <c:pt idx="15">
                  <c:v>109.323340733373</c:v>
                </c:pt>
                <c:pt idx="16">
                  <c:v>109.340457489038</c:v>
                </c:pt>
                <c:pt idx="17">
                  <c:v>109.36534385156099</c:v>
                </c:pt>
                <c:pt idx="18">
                  <c:v>109.430141775141</c:v>
                </c:pt>
                <c:pt idx="19">
                  <c:v>109.54593494241399</c:v>
                </c:pt>
                <c:pt idx="20">
                  <c:v>109.76460307871901</c:v>
                </c:pt>
                <c:pt idx="21">
                  <c:v>110.117888898163</c:v>
                </c:pt>
                <c:pt idx="22">
                  <c:v>110.63430794433999</c:v>
                </c:pt>
                <c:pt idx="23">
                  <c:v>111.264569226269</c:v>
                </c:pt>
                <c:pt idx="24">
                  <c:v>111.941746748932</c:v>
                </c:pt>
                <c:pt idx="25">
                  <c:v>112.533425370242</c:v>
                </c:pt>
                <c:pt idx="26">
                  <c:v>112.954689198598</c:v>
                </c:pt>
                <c:pt idx="27">
                  <c:v>113.19794355781499</c:v>
                </c:pt>
                <c:pt idx="28">
                  <c:v>113.336987617349</c:v>
                </c:pt>
                <c:pt idx="29">
                  <c:v>113.51524170527099</c:v>
                </c:pt>
                <c:pt idx="30">
                  <c:v>113.815584835493</c:v>
                </c:pt>
                <c:pt idx="31">
                  <c:v>114.24340493587501</c:v>
                </c:pt>
                <c:pt idx="32">
                  <c:v>114.735296030279</c:v>
                </c:pt>
                <c:pt idx="33">
                  <c:v>115.20905197760101</c:v>
                </c:pt>
                <c:pt idx="34">
                  <c:v>115.597376215102</c:v>
                </c:pt>
                <c:pt idx="35">
                  <c:v>115.84019986473599</c:v>
                </c:pt>
                <c:pt idx="36">
                  <c:v>115.877053150612</c:v>
                </c:pt>
                <c:pt idx="37">
                  <c:v>115.65723875380399</c:v>
                </c:pt>
                <c:pt idx="38">
                  <c:v>115.22600316189801</c:v>
                </c:pt>
                <c:pt idx="39">
                  <c:v>114.643408372937</c:v>
                </c:pt>
                <c:pt idx="40">
                  <c:v>114.032193445958</c:v>
                </c:pt>
                <c:pt idx="41">
                  <c:v>113.558463288496</c:v>
                </c:pt>
                <c:pt idx="42">
                  <c:v>113.346397178925</c:v>
                </c:pt>
                <c:pt idx="43">
                  <c:v>113.397157569158</c:v>
                </c:pt>
                <c:pt idx="44">
                  <c:v>113.574590128612</c:v>
                </c:pt>
                <c:pt idx="45">
                  <c:v>113.734959959988</c:v>
                </c:pt>
                <c:pt idx="46">
                  <c:v>113.75553092470901</c:v>
                </c:pt>
                <c:pt idx="47">
                  <c:v>113.655112236647</c:v>
                </c:pt>
                <c:pt idx="48">
                  <c:v>113.559136605088</c:v>
                </c:pt>
                <c:pt idx="49">
                  <c:v>113.63162459563701</c:v>
                </c:pt>
                <c:pt idx="50">
                  <c:v>113.934213152274</c:v>
                </c:pt>
                <c:pt idx="51">
                  <c:v>114.416809066113</c:v>
                </c:pt>
                <c:pt idx="52">
                  <c:v>114.957707514728</c:v>
                </c:pt>
                <c:pt idx="53">
                  <c:v>115.432989050636</c:v>
                </c:pt>
                <c:pt idx="54">
                  <c:v>115.766047775182</c:v>
                </c:pt>
                <c:pt idx="55">
                  <c:v>116.002877471961</c:v>
                </c:pt>
                <c:pt idx="56">
                  <c:v>116.22902326315</c:v>
                </c:pt>
                <c:pt idx="57">
                  <c:v>116.505508590913</c:v>
                </c:pt>
                <c:pt idx="58">
                  <c:v>116.883078071355</c:v>
                </c:pt>
                <c:pt idx="59">
                  <c:v>117.405689071455</c:v>
                </c:pt>
                <c:pt idx="60">
                  <c:v>118.020063786284</c:v>
                </c:pt>
                <c:pt idx="61">
                  <c:v>118.729181869168</c:v>
                </c:pt>
                <c:pt idx="62">
                  <c:v>119.518516521319</c:v>
                </c:pt>
                <c:pt idx="63">
                  <c:v>120.343268128945</c:v>
                </c:pt>
                <c:pt idx="64">
                  <c:v>121.11116673212</c:v>
                </c:pt>
                <c:pt idx="65">
                  <c:v>121.727592351529</c:v>
                </c:pt>
                <c:pt idx="66">
                  <c:v>122.15484919676901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5D-48FB-9F1D-AE8D8AA75F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1612176"/>
        <c:axId val="483190616"/>
      </c:lineChart>
      <c:catAx>
        <c:axId val="4816121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83190616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483190616"/>
        <c:scaling>
          <c:orientation val="minMax"/>
          <c:max val="127"/>
          <c:min val="102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/>
            </a:pPr>
            <a:endParaRPr lang="es-MX"/>
          </a:p>
        </c:txPr>
        <c:crossAx val="481612176"/>
        <c:crosses val="autoZero"/>
        <c:crossBetween val="between"/>
        <c:majorUnit val="3"/>
      </c:valAx>
      <c:spPr>
        <a:noFill/>
        <a:ln w="3175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5.883425925925926E-2"/>
          <c:y val="0.94845248288941053"/>
          <c:w val="0.9072138188608776"/>
          <c:h val="4.826323314500644E-2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600"/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0.165</cdr:x>
      <cdr:y>0.6905</cdr:y>
    </cdr:from>
    <cdr:to>
      <cdr:x>0.2415</cdr:x>
      <cdr:y>0.7545</cdr:y>
    </cdr:to>
    <cdr:sp macro="" textlink="">
      <cdr:nvSpPr>
        <cdr:cNvPr id="1027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04328" y="4446308"/>
          <a:ext cx="734275" cy="31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5176-C125-4972-8D72-FB420095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27</TotalTime>
  <Pages>12</Pages>
  <Words>2502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Indicadores de Empresas Comerciales</vt:lpstr>
    </vt:vector>
  </TitlesOfParts>
  <Company>INEGI</Company>
  <LinksUpToDate>false</LinksUpToDate>
  <CharactersWithSpaces>16232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Indicadores de Empresas Comerciales</dc:title>
  <dc:subject/>
  <dc:creator>INEGI</dc:creator>
  <cp:keywords>Ingreso por suministro de bienes y servicios Personla ocupado total Remuneraciones reales</cp:keywords>
  <cp:lastModifiedBy>GUILLEN MEDINA MOISES</cp:lastModifiedBy>
  <cp:revision>26</cp:revision>
  <cp:lastPrinted>2022-09-20T16:57:00Z</cp:lastPrinted>
  <dcterms:created xsi:type="dcterms:W3CDTF">2022-09-20T16:56:00Z</dcterms:created>
  <dcterms:modified xsi:type="dcterms:W3CDTF">2022-09-20T22:52:00Z</dcterms:modified>
  <cp:category>Encuesta Nacional de Ocupación y Empleo</cp:category>
  <cp:version>1</cp:version>
</cp:coreProperties>
</file>