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96532470"/>
    <w:bookmarkEnd w:id="0"/>
    <w:p w14:paraId="5C30F803" w14:textId="77777777" w:rsidR="003D467B" w:rsidRPr="00FC3C74" w:rsidRDefault="003D467B" w:rsidP="003D467B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E4E878" wp14:editId="44B6F81E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2D8F" w14:textId="77777777" w:rsidR="00043766" w:rsidRPr="003D4E37" w:rsidRDefault="00043766" w:rsidP="003D467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22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noviembre</w:t>
                            </w:r>
                            <w:proofErr w:type="spellEnd"/>
                          </w:p>
                          <w:p w14:paraId="4CD58D3B" w14:textId="77777777" w:rsidR="00043766" w:rsidRPr="003D4E37" w:rsidRDefault="00043766" w:rsidP="003D467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4E878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1D792D8F" w14:textId="77777777" w:rsidR="00043766" w:rsidRPr="003D4E37" w:rsidRDefault="00043766" w:rsidP="003D467B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22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noviembre</w:t>
                      </w:r>
                      <w:proofErr w:type="spellEnd"/>
                    </w:p>
                    <w:p w14:paraId="4CD58D3B" w14:textId="77777777" w:rsidR="00043766" w:rsidRPr="003D4E37" w:rsidRDefault="00043766" w:rsidP="003D467B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61875621"/>
    </w:p>
    <w:p w14:paraId="5DA76A9F" w14:textId="77777777" w:rsidR="003D467B" w:rsidRDefault="003D467B" w:rsidP="003D467B">
      <w:pPr>
        <w:jc w:val="center"/>
        <w:rPr>
          <w:b/>
          <w:bCs/>
          <w:caps/>
          <w:sz w:val="28"/>
          <w:szCs w:val="28"/>
          <w:lang w:val="es-MX"/>
        </w:rPr>
      </w:pPr>
    </w:p>
    <w:p w14:paraId="7AB2464D" w14:textId="77777777" w:rsidR="003D467B" w:rsidRPr="002A4D9D" w:rsidRDefault="003D467B" w:rsidP="003D467B">
      <w:pPr>
        <w:pStyle w:val="Profesin"/>
        <w:outlineLvl w:val="0"/>
        <w:rPr>
          <w:spacing w:val="20"/>
          <w:sz w:val="24"/>
          <w:szCs w:val="24"/>
        </w:rPr>
      </w:pPr>
    </w:p>
    <w:p w14:paraId="243FF16F" w14:textId="77777777" w:rsidR="003D467B" w:rsidRPr="00AD2890" w:rsidRDefault="003D467B" w:rsidP="003D467B">
      <w:pPr>
        <w:pStyle w:val="Profesin"/>
        <w:outlineLvl w:val="0"/>
        <w:rPr>
          <w:spacing w:val="20"/>
          <w:sz w:val="16"/>
          <w:szCs w:val="16"/>
        </w:rPr>
      </w:pPr>
    </w:p>
    <w:p w14:paraId="441DF3BC" w14:textId="70999C7A" w:rsidR="003D467B" w:rsidRPr="0099591B" w:rsidRDefault="003D467B" w:rsidP="003D467B">
      <w:pPr>
        <w:pStyle w:val="Profesin"/>
        <w:outlineLvl w:val="0"/>
        <w:rPr>
          <w:b w:val="0"/>
          <w:caps w:val="0"/>
          <w:spacing w:val="20"/>
          <w:sz w:val="24"/>
          <w:szCs w:val="24"/>
        </w:rPr>
      </w:pPr>
      <w:bookmarkStart w:id="2" w:name="_GoBack"/>
      <w:bookmarkEnd w:id="2"/>
      <w:r w:rsidRPr="0099591B">
        <w:rPr>
          <w:spacing w:val="20"/>
          <w:sz w:val="24"/>
          <w:szCs w:val="24"/>
        </w:rPr>
        <w:t>INDICADORES DE Empresas Comerciales</w:t>
      </w:r>
    </w:p>
    <w:p w14:paraId="4C1C46EB" w14:textId="77777777" w:rsidR="003D467B" w:rsidRPr="0099591B" w:rsidRDefault="003D467B" w:rsidP="003D467B">
      <w:pPr>
        <w:spacing w:before="60"/>
        <w:jc w:val="center"/>
        <w:rPr>
          <w:b/>
        </w:rPr>
      </w:pPr>
      <w:r w:rsidRPr="0099591B">
        <w:rPr>
          <w:b/>
        </w:rPr>
        <w:t>AGOSTO DE 2022</w:t>
      </w:r>
    </w:p>
    <w:p w14:paraId="73D9741E" w14:textId="77777777" w:rsidR="003D467B" w:rsidRPr="0099591B" w:rsidRDefault="003D467B" w:rsidP="003D467B">
      <w:pPr>
        <w:spacing w:before="240"/>
        <w:ind w:right="49"/>
        <w:rPr>
          <w:snapToGrid w:val="0"/>
          <w:spacing w:val="6"/>
        </w:rPr>
      </w:pPr>
      <w:r w:rsidRPr="0099591B">
        <w:rPr>
          <w:snapToGrid w:val="0"/>
          <w:spacing w:val="6"/>
        </w:rPr>
        <w:t>En agosto de 2022, a tasa mensual y con cifras desestacionalizadas,</w:t>
      </w:r>
      <w:r w:rsidRPr="0099591B">
        <w:rPr>
          <w:rStyle w:val="Refdenotaalpie"/>
          <w:snapToGrid w:val="0"/>
          <w:spacing w:val="6"/>
        </w:rPr>
        <w:footnoteReference w:id="1"/>
      </w:r>
      <w:r w:rsidRPr="0099591B">
        <w:rPr>
          <w:snapToGrid w:val="0"/>
          <w:spacing w:val="6"/>
        </w:rPr>
        <w:t xml:space="preserve"> los resultados de la Encuesta Mensual sobre Empresas Comerciales (EMEC) indican que, en las empresas comerciales al por mayor, los ingresos reales por suministro de bienes y servicios</w:t>
      </w:r>
      <w:r w:rsidRPr="0099591B">
        <w:rPr>
          <w:snapToGrid w:val="0"/>
          <w:vertAlign w:val="superscript"/>
        </w:rPr>
        <w:footnoteReference w:id="2"/>
      </w:r>
      <w:r w:rsidRPr="0099591B">
        <w:rPr>
          <w:snapToGrid w:val="0"/>
          <w:spacing w:val="6"/>
        </w:rPr>
        <w:t xml:space="preserve"> descendieron 1 %, las remuneraciones medias reales pagadas, 0.5 % y el personal ocupado total creció 0.2 por ciento.</w:t>
      </w:r>
    </w:p>
    <w:p w14:paraId="78489F6D" w14:textId="77777777" w:rsidR="003D467B" w:rsidRPr="00E65C37" w:rsidRDefault="003D467B" w:rsidP="003D467B">
      <w:pPr>
        <w:pStyle w:val="p0"/>
        <w:keepLines w:val="0"/>
        <w:spacing w:before="0"/>
        <w:ind w:right="49"/>
        <w:jc w:val="center"/>
        <w:rPr>
          <w:rFonts w:ascii="Arial" w:hAnsi="Arial"/>
          <w:b/>
          <w:smallCaps/>
          <w:snapToGrid/>
          <w:color w:val="auto"/>
        </w:rPr>
      </w:pPr>
    </w:p>
    <w:p w14:paraId="1519149B" w14:textId="77777777" w:rsidR="003D467B" w:rsidRDefault="003D467B" w:rsidP="003D467B">
      <w:pPr>
        <w:pStyle w:val="p0"/>
        <w:keepLines w:val="0"/>
        <w:spacing w:before="12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b/>
          <w:smallCaps/>
          <w:snapToGrid/>
          <w:color w:val="auto"/>
          <w:sz w:val="22"/>
        </w:rPr>
        <w:t>Ingresos reales por suministro de bienes y servicios</w:t>
      </w:r>
      <w:r w:rsidRPr="00F87E34">
        <w:rPr>
          <w:rFonts w:ascii="Arial" w:hAnsi="Arial"/>
          <w:b/>
          <w:smallCaps/>
          <w:color w:val="auto"/>
          <w:sz w:val="22"/>
        </w:rPr>
        <w:t xml:space="preserve"> </w:t>
      </w:r>
    </w:p>
    <w:p w14:paraId="7E384975" w14:textId="77777777" w:rsidR="003D467B" w:rsidRPr="00F87E34" w:rsidRDefault="003D467B" w:rsidP="003D467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506714D3" w14:textId="77777777" w:rsidR="003D467B" w:rsidRPr="00F87E34" w:rsidRDefault="003D467B" w:rsidP="003D467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3A597D67" wp14:editId="162C9E7B">
            <wp:extent cx="4320000" cy="2520000"/>
            <wp:effectExtent l="0" t="0" r="23495" b="1397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96BE4B" w14:textId="77777777" w:rsidR="003D467B" w:rsidRPr="00F87E34" w:rsidRDefault="003D467B" w:rsidP="003D467B">
      <w:pPr>
        <w:pStyle w:val="Textoindependiente"/>
        <w:spacing w:before="0"/>
        <w:ind w:left="1418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3B0EFC58" w14:textId="77777777" w:rsidR="003D467B" w:rsidRPr="001613A7" w:rsidRDefault="003D467B" w:rsidP="003D467B">
      <w:pPr>
        <w:spacing w:before="360"/>
        <w:ind w:right="49"/>
        <w:rPr>
          <w:b/>
          <w:snapToGrid w:val="0"/>
          <w:spacing w:val="6"/>
        </w:rPr>
      </w:pPr>
    </w:p>
    <w:p w14:paraId="48F37F2E" w14:textId="77777777" w:rsidR="003D467B" w:rsidRDefault="003D467B" w:rsidP="003D467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4062DEEE" w14:textId="77777777" w:rsidR="003D467B" w:rsidRDefault="003D467B" w:rsidP="003D467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2C0F146C" w14:textId="77777777" w:rsidR="003D467B" w:rsidRDefault="003D467B" w:rsidP="003D467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598F4368" w14:textId="77777777" w:rsidR="003D467B" w:rsidRDefault="003D467B" w:rsidP="003D467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6819D441" w14:textId="77777777" w:rsidR="003D467B" w:rsidRDefault="003D467B" w:rsidP="003D467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41F0BBE5" w14:textId="77777777" w:rsidR="003D467B" w:rsidRDefault="003D467B" w:rsidP="003D467B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4B652AD0" w14:textId="77777777" w:rsidR="003D467B" w:rsidRPr="0099591B" w:rsidRDefault="003D467B" w:rsidP="003D467B">
      <w:pPr>
        <w:spacing w:before="280"/>
        <w:ind w:right="49"/>
        <w:rPr>
          <w:snapToGrid w:val="0"/>
          <w:spacing w:val="6"/>
        </w:rPr>
      </w:pPr>
      <w:r w:rsidRPr="0099591B">
        <w:rPr>
          <w:snapToGrid w:val="0"/>
          <w:spacing w:val="6"/>
        </w:rPr>
        <w:lastRenderedPageBreak/>
        <w:t>En las empresas comerciales al por menor, los ingresos reales por suministro de bienes y servicios disminuyeron 0.4 % a tasa mensual, las remuneraciones medias reales, 1.1 % y el personal ocupado total aumentó 0.1 por ciento.</w:t>
      </w:r>
    </w:p>
    <w:p w14:paraId="0328599D" w14:textId="77777777" w:rsidR="003D467B" w:rsidRPr="006F2F25" w:rsidRDefault="003D467B" w:rsidP="003D467B">
      <w:pPr>
        <w:pStyle w:val="Textoindependiente"/>
        <w:widowControl w:val="0"/>
        <w:spacing w:before="0"/>
        <w:jc w:val="center"/>
        <w:rPr>
          <w:smallCaps/>
          <w:snapToGrid w:val="0"/>
          <w:color w:val="auto"/>
        </w:rPr>
      </w:pPr>
    </w:p>
    <w:p w14:paraId="3E028CAA" w14:textId="77777777" w:rsidR="003D467B" w:rsidRPr="00F87E34" w:rsidRDefault="003D467B" w:rsidP="003D467B">
      <w:pPr>
        <w:pStyle w:val="Textoindependiente"/>
        <w:widowControl w:val="0"/>
        <w:spacing w:before="12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Ingresos reales por suministro de bienes y servicios</w:t>
      </w:r>
    </w:p>
    <w:p w14:paraId="02DB2B2F" w14:textId="77777777" w:rsidR="003D467B" w:rsidRPr="00F87E34" w:rsidRDefault="003D467B" w:rsidP="003D467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2D1450E3" w14:textId="77777777" w:rsidR="003D467B" w:rsidRPr="00F87E34" w:rsidRDefault="003D467B" w:rsidP="003D467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48C881CA" wp14:editId="4F28098F">
            <wp:extent cx="4320000" cy="2520000"/>
            <wp:effectExtent l="0" t="0" r="23495" b="1397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6FF1C0" w14:textId="77777777" w:rsidR="003D467B" w:rsidRPr="00F87E34" w:rsidRDefault="003D467B" w:rsidP="003D467B">
      <w:pPr>
        <w:pStyle w:val="Textoindependiente"/>
        <w:widowControl w:val="0"/>
        <w:spacing w:before="20"/>
        <w:ind w:left="284"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bookmarkEnd w:id="1"/>
    <w:p w14:paraId="049A4911" w14:textId="77777777" w:rsidR="003D467B" w:rsidRPr="0099591B" w:rsidRDefault="003D467B" w:rsidP="001C2E28">
      <w:pPr>
        <w:spacing w:before="600"/>
        <w:ind w:right="49"/>
        <w:rPr>
          <w:snapToGrid w:val="0"/>
          <w:spacing w:val="6"/>
        </w:rPr>
      </w:pPr>
      <w:r w:rsidRPr="0099591B">
        <w:rPr>
          <w:snapToGrid w:val="0"/>
          <w:spacing w:val="6"/>
        </w:rPr>
        <w:t>En agosto de 2022 y a tasa anual, los datos desestacionalizados del comercio al por mayor se comportaron de la siguiente manera: los ingresos reales por suministro de bienes y servicios incrementaron 2.6 %, el personal ocupado total, 1 % y las remuneraciones medias reales pagadas cayeron 2.6 por ciento.</w:t>
      </w:r>
    </w:p>
    <w:p w14:paraId="2DF1BD76" w14:textId="77777777" w:rsidR="003D467B" w:rsidRPr="00E211BA" w:rsidRDefault="003D467B" w:rsidP="003D467B">
      <w:pPr>
        <w:pStyle w:val="p01"/>
        <w:keepNext/>
        <w:widowControl w:val="0"/>
        <w:spacing w:before="0"/>
        <w:jc w:val="center"/>
        <w:outlineLvl w:val="0"/>
        <w:rPr>
          <w:rFonts w:ascii="Arial" w:hAnsi="Arial" w:cs="Arial"/>
          <w:smallCaps/>
          <w:color w:val="auto"/>
          <w:szCs w:val="24"/>
        </w:rPr>
      </w:pPr>
    </w:p>
    <w:p w14:paraId="2DFE18C2" w14:textId="77777777" w:rsidR="003D467B" w:rsidRDefault="003D467B" w:rsidP="003D467B">
      <w:pPr>
        <w:pStyle w:val="p01"/>
        <w:keepNext/>
        <w:widowControl w:val="0"/>
        <w:spacing w:before="0"/>
        <w:jc w:val="center"/>
        <w:outlineLvl w:val="0"/>
        <w:rPr>
          <w:rFonts w:ascii="Arial" w:hAnsi="Arial" w:cs="Arial"/>
          <w:b/>
          <w:smallCaps/>
          <w:color w:val="auto"/>
          <w:sz w:val="22"/>
        </w:rPr>
      </w:pPr>
    </w:p>
    <w:p w14:paraId="0808897F" w14:textId="77777777" w:rsidR="003D467B" w:rsidRPr="00F87E34" w:rsidRDefault="003D467B" w:rsidP="001C2E28">
      <w:pPr>
        <w:pStyle w:val="p01"/>
        <w:keepNext/>
        <w:widowControl w:val="0"/>
        <w:spacing w:before="12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87E34">
        <w:rPr>
          <w:rFonts w:ascii="Arial" w:hAnsi="Arial" w:cs="Arial"/>
          <w:b/>
          <w:smallCaps/>
          <w:color w:val="auto"/>
          <w:sz w:val="22"/>
        </w:rPr>
        <w:t xml:space="preserve">Principales indicadores del </w:t>
      </w:r>
      <w:r w:rsidRPr="00F87E34">
        <w:rPr>
          <w:rFonts w:ascii="Arial" w:hAnsi="Arial" w:cs="Arial"/>
          <w:b/>
          <w:smallCaps/>
          <w:color w:val="auto"/>
          <w:sz w:val="22"/>
          <w:lang w:val="es-MX"/>
        </w:rPr>
        <w:t>comercio interior</w:t>
      </w:r>
      <w:r w:rsidRPr="00F87E34">
        <w:rPr>
          <w:rFonts w:ascii="Arial" w:hAnsi="Arial" w:cs="Arial"/>
          <w:szCs w:val="22"/>
        </w:rPr>
        <w:br/>
      </w:r>
      <w:r>
        <w:rPr>
          <w:rFonts w:ascii="Arial" w:hAnsi="Arial" w:cs="Arial"/>
          <w:b/>
          <w:smallCaps/>
          <w:color w:val="auto"/>
          <w:sz w:val="22"/>
          <w:szCs w:val="22"/>
        </w:rPr>
        <w:t>agosto</w:t>
      </w:r>
      <w:r w:rsidRPr="00F87E34">
        <w:rPr>
          <w:rFonts w:ascii="Arial" w:hAnsi="Arial" w:cs="Arial"/>
          <w:b/>
          <w:smallCaps/>
          <w:color w:val="auto"/>
          <w:sz w:val="22"/>
          <w:szCs w:val="22"/>
        </w:rPr>
        <w:t xml:space="preserve"> de 202</w:t>
      </w:r>
      <w:r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4A8F7765" w14:textId="77777777" w:rsidR="003D467B" w:rsidRPr="00F87E34" w:rsidRDefault="003D467B" w:rsidP="003D467B">
      <w:pPr>
        <w:pStyle w:val="p01"/>
        <w:keepNext/>
        <w:widowControl w:val="0"/>
        <w:spacing w:before="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87E34">
        <w:rPr>
          <w:rFonts w:ascii="Arial" w:hAnsi="Arial" w:cs="Arial"/>
          <w:b/>
          <w:smallCaps/>
          <w:color w:val="auto"/>
          <w:sz w:val="22"/>
          <w:szCs w:val="22"/>
        </w:rPr>
        <w:t>cifras desestacionalizadas</w:t>
      </w:r>
    </w:p>
    <w:tbl>
      <w:tblPr>
        <w:tblStyle w:val="Tablaconcuadrcula"/>
        <w:tblW w:w="4183" w:type="pct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051"/>
        <w:gridCol w:w="1053"/>
        <w:gridCol w:w="1054"/>
        <w:gridCol w:w="1054"/>
      </w:tblGrid>
      <w:tr w:rsidR="003D467B" w:rsidRPr="00F87E34" w14:paraId="2719BF3B" w14:textId="77777777" w:rsidTr="00043766">
        <w:trPr>
          <w:jc w:val="center"/>
        </w:trPr>
        <w:tc>
          <w:tcPr>
            <w:tcW w:w="3880" w:type="dxa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7E4BD"/>
            <w:vAlign w:val="center"/>
            <w:hideMark/>
          </w:tcPr>
          <w:p w14:paraId="7CE4489C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ind w:left="47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984" w:type="dxa"/>
            <w:gridSpan w:val="2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CC29097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ind w:left="-105" w:right="-105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F87E34">
              <w:rPr>
                <w:rFonts w:ascii="Arial" w:hAnsi="Arial"/>
                <w:color w:val="auto"/>
                <w:sz w:val="18"/>
                <w:szCs w:val="18"/>
              </w:rPr>
              <w:t xml:space="preserve">Empresas comerciales </w:t>
            </w:r>
            <w:r w:rsidRPr="00F87E34">
              <w:rPr>
                <w:rFonts w:ascii="Arial" w:hAnsi="Arial"/>
                <w:color w:val="auto"/>
                <w:sz w:val="18"/>
                <w:szCs w:val="18"/>
              </w:rPr>
              <w:br/>
              <w:t>al por mayor</w:t>
            </w:r>
          </w:p>
        </w:tc>
        <w:tc>
          <w:tcPr>
            <w:tcW w:w="1988" w:type="dxa"/>
            <w:gridSpan w:val="2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</w:tcPr>
          <w:p w14:paraId="2F31DDE1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ind w:left="-110" w:right="-9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F87E34">
              <w:rPr>
                <w:rFonts w:ascii="Arial" w:hAnsi="Arial"/>
                <w:color w:val="auto"/>
                <w:sz w:val="18"/>
                <w:szCs w:val="18"/>
              </w:rPr>
              <w:t xml:space="preserve">Empresas comerciales </w:t>
            </w:r>
            <w:r w:rsidRPr="00F87E34">
              <w:rPr>
                <w:rFonts w:ascii="Arial" w:hAnsi="Arial"/>
                <w:color w:val="auto"/>
                <w:sz w:val="18"/>
                <w:szCs w:val="18"/>
              </w:rPr>
              <w:br/>
              <w:t>al por menor</w:t>
            </w:r>
          </w:p>
        </w:tc>
      </w:tr>
      <w:tr w:rsidR="003D467B" w:rsidRPr="00F87E34" w14:paraId="013FA867" w14:textId="77777777" w:rsidTr="00043766">
        <w:trPr>
          <w:trHeight w:val="227"/>
          <w:jc w:val="center"/>
        </w:trPr>
        <w:tc>
          <w:tcPr>
            <w:tcW w:w="3880" w:type="dxa"/>
            <w:vMerge/>
            <w:tcBorders>
              <w:left w:val="single" w:sz="8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21CA00A5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D8774FC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mensual</w:t>
            </w:r>
          </w:p>
        </w:tc>
        <w:tc>
          <w:tcPr>
            <w:tcW w:w="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309FC67B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anual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7C8E3BD7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mensual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  <w:vAlign w:val="center"/>
          </w:tcPr>
          <w:p w14:paraId="779A9B2B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3D467B" w:rsidRPr="00F87E34" w14:paraId="28452D0B" w14:textId="77777777" w:rsidTr="00043766">
        <w:trPr>
          <w:jc w:val="center"/>
        </w:trPr>
        <w:tc>
          <w:tcPr>
            <w:tcW w:w="3880" w:type="dxa"/>
            <w:tcBorders>
              <w:top w:val="single" w:sz="6" w:space="0" w:color="404040"/>
              <w:bottom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22C1A90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Ingresos por suministro de bienes y servicios*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103C10E" w14:textId="77777777" w:rsidR="003D467B" w:rsidRPr="00F87E34" w:rsidRDefault="003D467B" w:rsidP="00043766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993" w:type="dxa"/>
            <w:tcBorders>
              <w:top w:val="single" w:sz="6" w:space="0" w:color="404040"/>
              <w:left w:val="nil"/>
              <w:bottom w:val="nil"/>
              <w:right w:val="single" w:sz="6" w:space="0" w:color="404040"/>
            </w:tcBorders>
            <w:shd w:val="clear" w:color="auto" w:fill="auto"/>
            <w:vAlign w:val="center"/>
          </w:tcPr>
          <w:p w14:paraId="38122B03" w14:textId="77777777" w:rsidR="003D467B" w:rsidRPr="00F87E34" w:rsidRDefault="003D467B" w:rsidP="00043766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C08D30E" w14:textId="77777777" w:rsidR="003D467B" w:rsidRPr="00F87E34" w:rsidRDefault="003D467B" w:rsidP="00043766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994" w:type="dxa"/>
            <w:tcBorders>
              <w:top w:val="single" w:sz="6" w:space="0" w:color="404040"/>
              <w:left w:val="nil"/>
              <w:bottom w:val="nil"/>
            </w:tcBorders>
            <w:shd w:val="clear" w:color="auto" w:fill="auto"/>
            <w:vAlign w:val="center"/>
          </w:tcPr>
          <w:p w14:paraId="69958611" w14:textId="77777777" w:rsidR="003D467B" w:rsidRPr="00F87E34" w:rsidRDefault="003D467B" w:rsidP="00043766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</w:tr>
      <w:tr w:rsidR="003D467B" w:rsidRPr="00F87E34" w14:paraId="4E11397F" w14:textId="77777777" w:rsidTr="00043766">
        <w:trPr>
          <w:jc w:val="center"/>
        </w:trPr>
        <w:tc>
          <w:tcPr>
            <w:tcW w:w="3880" w:type="dxa"/>
            <w:tcBorders>
              <w:top w:val="nil"/>
              <w:bottom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0DDC3EF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Personal ocupado total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6B25F7F" w14:textId="77777777" w:rsidR="003D467B" w:rsidRPr="00F87E34" w:rsidRDefault="003D467B" w:rsidP="00043766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404040"/>
            </w:tcBorders>
            <w:shd w:val="clear" w:color="auto" w:fill="auto"/>
            <w:vAlign w:val="center"/>
          </w:tcPr>
          <w:p w14:paraId="14066368" w14:textId="77777777" w:rsidR="003D467B" w:rsidRPr="00F87E34" w:rsidRDefault="003D467B" w:rsidP="00043766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994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4204AAC" w14:textId="77777777" w:rsidR="003D467B" w:rsidRPr="00F87E34" w:rsidRDefault="003D467B" w:rsidP="00043766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DD83AB" w14:textId="77777777" w:rsidR="003D467B" w:rsidRPr="00F87E34" w:rsidRDefault="003D467B" w:rsidP="00043766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</w:tr>
      <w:tr w:rsidR="003D467B" w:rsidRPr="00F87E34" w14:paraId="1BEDA3D5" w14:textId="77777777" w:rsidTr="00043766">
        <w:trPr>
          <w:jc w:val="center"/>
        </w:trPr>
        <w:tc>
          <w:tcPr>
            <w:tcW w:w="3880" w:type="dxa"/>
            <w:tcBorders>
              <w:top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5D79914" w14:textId="77777777" w:rsidR="003D467B" w:rsidRPr="00F87E34" w:rsidRDefault="003D467B" w:rsidP="00043766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Remuneraciones medias reales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right w:val="nil"/>
            </w:tcBorders>
            <w:shd w:val="clear" w:color="auto" w:fill="auto"/>
            <w:vAlign w:val="center"/>
          </w:tcPr>
          <w:p w14:paraId="3B1842DF" w14:textId="77777777" w:rsidR="003D467B" w:rsidRPr="00F87E34" w:rsidRDefault="003D467B" w:rsidP="00043766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right w:val="single" w:sz="6" w:space="0" w:color="404040"/>
            </w:tcBorders>
            <w:shd w:val="clear" w:color="auto" w:fill="auto"/>
            <w:vAlign w:val="center"/>
          </w:tcPr>
          <w:p w14:paraId="2CCA3E1A" w14:textId="77777777" w:rsidR="003D467B" w:rsidRPr="00F87E34" w:rsidRDefault="003D467B" w:rsidP="00043766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  <w:tc>
          <w:tcPr>
            <w:tcW w:w="994" w:type="dxa"/>
            <w:tcBorders>
              <w:top w:val="nil"/>
              <w:left w:val="single" w:sz="6" w:space="0" w:color="404040"/>
              <w:right w:val="nil"/>
            </w:tcBorders>
            <w:shd w:val="clear" w:color="auto" w:fill="auto"/>
            <w:vAlign w:val="center"/>
          </w:tcPr>
          <w:p w14:paraId="65BD4429" w14:textId="77777777" w:rsidR="003D467B" w:rsidRPr="00F87E34" w:rsidRDefault="003D467B" w:rsidP="00043766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99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8ECB522" w14:textId="77777777" w:rsidR="003D467B" w:rsidRPr="00F87E34" w:rsidRDefault="003D467B" w:rsidP="00043766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</w:tr>
    </w:tbl>
    <w:p w14:paraId="06B2EAFD" w14:textId="77777777" w:rsidR="003D467B" w:rsidRPr="00F87E34" w:rsidRDefault="003D467B" w:rsidP="003D467B">
      <w:pPr>
        <w:pStyle w:val="Prrafodelista"/>
        <w:tabs>
          <w:tab w:val="left" w:pos="1050"/>
          <w:tab w:val="left" w:pos="7939"/>
        </w:tabs>
        <w:ind w:left="882"/>
        <w:rPr>
          <w:sz w:val="16"/>
          <w:szCs w:val="16"/>
        </w:rPr>
      </w:pPr>
      <w:r w:rsidRPr="00F87E34">
        <w:rPr>
          <w:sz w:val="16"/>
          <w:szCs w:val="16"/>
        </w:rPr>
        <w:t>*</w:t>
      </w:r>
      <w:r w:rsidRPr="00F87E34">
        <w:rPr>
          <w:sz w:val="16"/>
          <w:szCs w:val="16"/>
        </w:rPr>
        <w:tab/>
        <w:t>En términos reales</w:t>
      </w:r>
    </w:p>
    <w:p w14:paraId="18ED9FC3" w14:textId="77777777" w:rsidR="003D467B" w:rsidRPr="00F87E34" w:rsidRDefault="003D467B" w:rsidP="003D467B">
      <w:pPr>
        <w:pStyle w:val="Prrafodelista"/>
        <w:tabs>
          <w:tab w:val="left" w:pos="1484"/>
          <w:tab w:val="left" w:pos="7939"/>
        </w:tabs>
        <w:ind w:left="882"/>
        <w:rPr>
          <w:sz w:val="16"/>
          <w:szCs w:val="16"/>
        </w:rPr>
      </w:pPr>
      <w:r w:rsidRPr="00F87E34">
        <w:rPr>
          <w:sz w:val="16"/>
          <w:szCs w:val="16"/>
        </w:rPr>
        <w:t>Fuente:</w:t>
      </w:r>
      <w:r w:rsidRPr="00F87E34">
        <w:rPr>
          <w:sz w:val="16"/>
          <w:szCs w:val="16"/>
        </w:rPr>
        <w:tab/>
        <w:t>INEGI</w:t>
      </w:r>
    </w:p>
    <w:p w14:paraId="6F16C9FD" w14:textId="77777777" w:rsidR="003D467B" w:rsidRDefault="003D467B" w:rsidP="003D467B">
      <w:pPr>
        <w:spacing w:before="240"/>
        <w:ind w:right="49"/>
        <w:rPr>
          <w:snapToGrid w:val="0"/>
          <w:spacing w:val="6"/>
        </w:rPr>
      </w:pPr>
    </w:p>
    <w:p w14:paraId="584FDA0E" w14:textId="77777777" w:rsidR="003D467B" w:rsidRPr="0099591B" w:rsidRDefault="003D467B" w:rsidP="003D467B">
      <w:pPr>
        <w:spacing w:before="280"/>
        <w:ind w:right="49"/>
        <w:rPr>
          <w:snapToGrid w:val="0"/>
          <w:spacing w:val="6"/>
        </w:rPr>
      </w:pPr>
      <w:r w:rsidRPr="0099591B">
        <w:rPr>
          <w:snapToGrid w:val="0"/>
          <w:spacing w:val="6"/>
        </w:rPr>
        <w:lastRenderedPageBreak/>
        <w:t>En las empresas comerciales al por menor, a tasa anual y sin el factor estacional, los ingresos reales avanzaron 4.6 %, las remuneraciones medias reales, 4.1 % y el personal ocupado total retrocedió 0.8 por ciento.</w:t>
      </w:r>
    </w:p>
    <w:p w14:paraId="0A6D41B3" w14:textId="77777777" w:rsidR="003D467B" w:rsidRPr="0099591B" w:rsidRDefault="003D467B" w:rsidP="003D467B">
      <w:pPr>
        <w:pStyle w:val="p0"/>
        <w:keepNext/>
        <w:spacing w:before="840"/>
        <w:jc w:val="left"/>
        <w:rPr>
          <w:rFonts w:ascii="Arial Negrita" w:hAnsi="Arial Negrita"/>
          <w:b/>
          <w:i/>
          <w:iCs/>
          <w:smallCaps/>
          <w:color w:val="auto"/>
        </w:rPr>
      </w:pPr>
      <w:r w:rsidRPr="0099591B">
        <w:rPr>
          <w:rFonts w:ascii="Arial Negrita" w:hAnsi="Arial Negrita"/>
          <w:b/>
          <w:i/>
          <w:iCs/>
          <w:smallCaps/>
          <w:color w:val="auto"/>
        </w:rPr>
        <w:t>Nota al usuario</w:t>
      </w:r>
    </w:p>
    <w:p w14:paraId="1C7E381C" w14:textId="77777777" w:rsidR="003D467B" w:rsidRPr="00F87E34" w:rsidRDefault="003D467B" w:rsidP="003D467B">
      <w:pPr>
        <w:pStyle w:val="p0"/>
        <w:keepNext/>
        <w:rPr>
          <w:rFonts w:ascii="Arial" w:hAnsi="Arial"/>
          <w:color w:val="auto"/>
        </w:rPr>
      </w:pPr>
      <w:r w:rsidRPr="002D476C">
        <w:rPr>
          <w:rFonts w:ascii="Arial" w:hAnsi="Arial"/>
          <w:color w:val="auto"/>
          <w:lang w:val="es-MX"/>
        </w:rPr>
        <w:t>La tasa de no respuesta de la EMEC, correspondiente a</w:t>
      </w:r>
      <w:r>
        <w:rPr>
          <w:rFonts w:ascii="Arial" w:hAnsi="Arial"/>
          <w:color w:val="auto"/>
          <w:lang w:val="es-MX"/>
        </w:rPr>
        <w:t xml:space="preserve"> agosto</w:t>
      </w:r>
      <w:r w:rsidRPr="002D476C">
        <w:rPr>
          <w:rFonts w:ascii="Arial" w:hAnsi="Arial"/>
          <w:color w:val="auto"/>
          <w:lang w:val="es-MX"/>
        </w:rPr>
        <w:t xml:space="preserve"> de 2022, registró porcentajes apropiados conforme al diseño estadístico de la encuesta. Esto permitió generar estadísticas con niveles altos de precisión</w:t>
      </w:r>
      <w:r>
        <w:rPr>
          <w:rFonts w:ascii="Arial" w:hAnsi="Arial"/>
          <w:color w:val="auto"/>
          <w:lang w:val="es-MX"/>
        </w:rPr>
        <w:t xml:space="preserve">. </w:t>
      </w:r>
      <w:r w:rsidRPr="002D476C">
        <w:rPr>
          <w:rFonts w:ascii="Arial" w:hAnsi="Arial"/>
          <w:color w:val="auto"/>
        </w:rPr>
        <w:t xml:space="preserve">Se presentan resultados para 40 dominios de estudio. Se recomienda usar con reserva las estimaciones para el dominio de </w:t>
      </w:r>
      <w:r>
        <w:rPr>
          <w:rFonts w:ascii="Arial" w:hAnsi="Arial"/>
          <w:color w:val="000000"/>
          <w:lang w:val="es-MX" w:eastAsia="es-MX"/>
        </w:rPr>
        <w:t>c</w:t>
      </w:r>
      <w:r w:rsidRPr="00C57913">
        <w:rPr>
          <w:rFonts w:ascii="Arial" w:hAnsi="Arial"/>
          <w:color w:val="000000"/>
          <w:lang w:val="es-MX" w:eastAsia="es-MX"/>
        </w:rPr>
        <w:t xml:space="preserve">omercio al por mayor de maquinaria y equipo </w:t>
      </w:r>
      <w:r>
        <w:rPr>
          <w:rFonts w:ascii="Arial" w:hAnsi="Arial"/>
          <w:color w:val="000000"/>
          <w:lang w:val="es-MX" w:eastAsia="es-MX"/>
        </w:rPr>
        <w:t>para la industria</w:t>
      </w:r>
      <w:r w:rsidRPr="002D476C">
        <w:rPr>
          <w:rFonts w:ascii="Arial" w:eastAsia="Calibri" w:hAnsi="Arial"/>
          <w:snapToGrid/>
          <w:color w:val="auto"/>
          <w:lang w:val="es-MX" w:eastAsia="es-MX"/>
        </w:rPr>
        <w:t>,</w:t>
      </w:r>
      <w:r w:rsidRPr="002D476C">
        <w:rPr>
          <w:rFonts w:ascii="Arial" w:hAnsi="Arial"/>
          <w:color w:val="auto"/>
        </w:rPr>
        <w:t xml:space="preserve"> que representa </w:t>
      </w:r>
      <w:r>
        <w:rPr>
          <w:rFonts w:ascii="Arial" w:hAnsi="Arial"/>
          <w:color w:val="auto"/>
        </w:rPr>
        <w:t>1.1 </w:t>
      </w:r>
      <w:r w:rsidRPr="002D476C">
        <w:rPr>
          <w:rFonts w:ascii="Arial" w:hAnsi="Arial"/>
          <w:color w:val="auto"/>
        </w:rPr>
        <w:t>% con relación a la variable de ingresos del total del comercio</w:t>
      </w:r>
      <w:r>
        <w:rPr>
          <w:rFonts w:ascii="Arial" w:hAnsi="Arial"/>
          <w:color w:val="auto"/>
        </w:rPr>
        <w:t>.</w:t>
      </w:r>
    </w:p>
    <w:p w14:paraId="313B59F9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4CF76A17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4AADDCE1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0AFF8C7E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08BD6EB5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664CBA51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2894A7D8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69F7CAF4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6231E966" w14:textId="77777777" w:rsidR="003D467B" w:rsidRDefault="003D467B" w:rsidP="003D467B">
      <w:pPr>
        <w:spacing w:before="240"/>
        <w:jc w:val="center"/>
        <w:rPr>
          <w:sz w:val="22"/>
          <w:szCs w:val="22"/>
        </w:rPr>
      </w:pPr>
    </w:p>
    <w:p w14:paraId="2FD3EA70" w14:textId="77777777" w:rsidR="003D467B" w:rsidRPr="00AF738B" w:rsidRDefault="003D467B" w:rsidP="003D467B">
      <w:pPr>
        <w:spacing w:before="240"/>
        <w:jc w:val="center"/>
        <w:rPr>
          <w:sz w:val="22"/>
          <w:szCs w:val="22"/>
        </w:rPr>
      </w:pPr>
      <w:r w:rsidRPr="00AF738B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 xml:space="preserve">escribir </w:t>
      </w:r>
      <w:r w:rsidRPr="00AF738B">
        <w:rPr>
          <w:sz w:val="22"/>
          <w:szCs w:val="22"/>
        </w:rPr>
        <w:t xml:space="preserve">a: </w:t>
      </w:r>
      <w:hyperlink r:id="rId10" w:history="1">
        <w:r w:rsidRPr="00AF738B">
          <w:rPr>
            <w:rStyle w:val="Hipervnculo"/>
            <w:sz w:val="22"/>
            <w:szCs w:val="22"/>
          </w:rPr>
          <w:t>comunicacionsocial@inegi.org.mx</w:t>
        </w:r>
      </w:hyperlink>
    </w:p>
    <w:p w14:paraId="6FD5923E" w14:textId="77777777" w:rsidR="003D467B" w:rsidRPr="00AF738B" w:rsidRDefault="003D467B" w:rsidP="003D46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738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F738B">
        <w:rPr>
          <w:rFonts w:ascii="Arial" w:hAnsi="Arial" w:cs="Arial"/>
          <w:sz w:val="22"/>
          <w:szCs w:val="22"/>
        </w:rPr>
        <w:t>exts</w:t>
      </w:r>
      <w:proofErr w:type="spellEnd"/>
      <w:r w:rsidRPr="00AF738B">
        <w:rPr>
          <w:rFonts w:ascii="Arial" w:hAnsi="Arial" w:cs="Arial"/>
          <w:sz w:val="22"/>
          <w:szCs w:val="22"/>
        </w:rPr>
        <w:t>. 1134, 1260 y 1241.</w:t>
      </w:r>
    </w:p>
    <w:p w14:paraId="6F584045" w14:textId="77777777" w:rsidR="003D467B" w:rsidRPr="00AF738B" w:rsidRDefault="003D467B" w:rsidP="003D46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7A678B3" w14:textId="77777777" w:rsidR="003D467B" w:rsidRPr="00AF738B" w:rsidRDefault="003D467B" w:rsidP="003D46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738B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38713894" w14:textId="77777777" w:rsidR="003D467B" w:rsidRPr="002A4D9D" w:rsidRDefault="003D467B" w:rsidP="003D46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A945F87" w14:textId="77777777" w:rsidR="003D467B" w:rsidRPr="008F0992" w:rsidRDefault="003D467B" w:rsidP="003D467B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4E03915C" wp14:editId="79EC4B2A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90C74CD" wp14:editId="6DE9E810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17896F0" wp14:editId="4A434908">
            <wp:extent cx="365760" cy="365760"/>
            <wp:effectExtent l="0" t="0" r="0" b="0"/>
            <wp:docPr id="3" name="Imagen 3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2559B90" wp14:editId="793DAD1D">
            <wp:extent cx="365760" cy="365760"/>
            <wp:effectExtent l="0" t="0" r="0" b="0"/>
            <wp:docPr id="15" name="Imagen 1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E272E84" wp14:editId="503056E4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1AF1C" w14:textId="77777777" w:rsidR="003D467B" w:rsidRDefault="003D467B" w:rsidP="003D467B">
      <w:pPr>
        <w:spacing w:before="360"/>
        <w:ind w:left="-284" w:right="-547"/>
        <w:jc w:val="center"/>
        <w:rPr>
          <w:sz w:val="22"/>
          <w:szCs w:val="22"/>
        </w:rPr>
      </w:pPr>
    </w:p>
    <w:p w14:paraId="7C47A2AE" w14:textId="77777777" w:rsidR="003D467B" w:rsidRDefault="003D467B" w:rsidP="003D467B">
      <w:pPr>
        <w:ind w:left="-567"/>
        <w:jc w:val="center"/>
        <w:rPr>
          <w:noProof/>
          <w:lang w:eastAsia="es-MX"/>
        </w:rPr>
        <w:sectPr w:rsidR="003D467B" w:rsidSect="00043766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6338E16C" w14:textId="77777777" w:rsidR="003D467B" w:rsidRPr="00AE3EAB" w:rsidRDefault="003D467B" w:rsidP="003D467B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AE3EAB">
        <w:rPr>
          <w:sz w:val="24"/>
          <w:szCs w:val="24"/>
          <w:lang w:val="es-MX"/>
        </w:rPr>
        <w:lastRenderedPageBreak/>
        <w:t>ANEXO</w:t>
      </w:r>
    </w:p>
    <w:p w14:paraId="182CE1F3" w14:textId="77777777" w:rsidR="003D467B" w:rsidRPr="00AE3EAB" w:rsidRDefault="003D467B" w:rsidP="003D467B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AE3EAB">
        <w:rPr>
          <w:sz w:val="24"/>
          <w:szCs w:val="24"/>
          <w:lang w:val="es-MX"/>
        </w:rPr>
        <w:t>Nota técnica</w:t>
      </w:r>
    </w:p>
    <w:p w14:paraId="7EB706EF" w14:textId="77777777" w:rsidR="00774F5B" w:rsidRPr="003C3740" w:rsidRDefault="00774F5B" w:rsidP="00B67CD5">
      <w:pPr>
        <w:pStyle w:val="bulnot"/>
        <w:widowControl w:val="0"/>
        <w:tabs>
          <w:tab w:val="clear" w:pos="851"/>
        </w:tabs>
        <w:spacing w:before="720"/>
        <w:ind w:left="0" w:right="0" w:firstLine="0"/>
        <w:jc w:val="left"/>
        <w:rPr>
          <w:rFonts w:cs="Arial"/>
          <w:bCs/>
          <w:smallCaps/>
          <w:color w:val="auto"/>
          <w:spacing w:val="0"/>
          <w:sz w:val="24"/>
          <w:szCs w:val="24"/>
        </w:rPr>
      </w:pPr>
      <w:r w:rsidRPr="003C3740">
        <w:rPr>
          <w:rFonts w:cs="Arial"/>
          <w:bCs/>
          <w:smallCaps/>
          <w:color w:val="auto"/>
          <w:spacing w:val="0"/>
          <w:sz w:val="24"/>
          <w:szCs w:val="24"/>
        </w:rPr>
        <w:t xml:space="preserve">Cifras desestacionalizadas </w:t>
      </w:r>
    </w:p>
    <w:p w14:paraId="46D4AC28" w14:textId="08DA7975" w:rsidR="00467BD1" w:rsidRPr="00071749" w:rsidRDefault="008679CD" w:rsidP="00D805CD">
      <w:pPr>
        <w:pStyle w:val="bulnot"/>
        <w:widowControl w:val="0"/>
        <w:spacing w:before="240"/>
        <w:ind w:left="567" w:right="567" w:firstLine="0"/>
        <w:rPr>
          <w:rFonts w:cs="Arial"/>
          <w:iCs/>
          <w:color w:val="auto"/>
          <w:spacing w:val="0"/>
          <w:sz w:val="24"/>
          <w:szCs w:val="24"/>
        </w:rPr>
      </w:pPr>
      <w:r w:rsidRPr="00071749">
        <w:rPr>
          <w:rFonts w:cs="Arial"/>
          <w:iCs/>
          <w:color w:val="auto"/>
          <w:spacing w:val="0"/>
          <w:sz w:val="24"/>
          <w:szCs w:val="24"/>
        </w:rPr>
        <w:t>Indicadores de las empresas comerciales al por mayor</w:t>
      </w:r>
    </w:p>
    <w:p w14:paraId="67DD4409" w14:textId="38111840" w:rsidR="00ED4D0D" w:rsidRPr="00F87E34" w:rsidRDefault="00F820E2" w:rsidP="00D805CD">
      <w:pPr>
        <w:pStyle w:val="Textoindependiente"/>
        <w:spacing w:before="200"/>
        <w:rPr>
          <w:color w:val="auto"/>
        </w:rPr>
      </w:pPr>
      <w:r w:rsidRPr="00F87E34">
        <w:rPr>
          <w:color w:val="auto"/>
        </w:rPr>
        <w:t xml:space="preserve">En </w:t>
      </w:r>
      <w:r w:rsidR="00071749">
        <w:rPr>
          <w:color w:val="auto"/>
        </w:rPr>
        <w:t>agost</w:t>
      </w:r>
      <w:r w:rsidR="009006EA">
        <w:rPr>
          <w:color w:val="auto"/>
        </w:rPr>
        <w:t>o</w:t>
      </w:r>
      <w:r w:rsidRPr="00F87E34">
        <w:rPr>
          <w:color w:val="auto"/>
        </w:rPr>
        <w:t xml:space="preserve"> de 202</w:t>
      </w:r>
      <w:r w:rsidR="00D664F1">
        <w:rPr>
          <w:color w:val="auto"/>
        </w:rPr>
        <w:t>2</w:t>
      </w:r>
      <w:r w:rsidR="00B35656">
        <w:rPr>
          <w:color w:val="auto"/>
        </w:rPr>
        <w:t xml:space="preserve"> y a tasa mensual</w:t>
      </w:r>
      <w:r w:rsidRPr="00F87E34">
        <w:rPr>
          <w:color w:val="auto"/>
        </w:rPr>
        <w:t>, l</w:t>
      </w:r>
      <w:r w:rsidR="009E2BC4" w:rsidRPr="00F87E34">
        <w:rPr>
          <w:color w:val="auto"/>
        </w:rPr>
        <w:t>os resultados de la Encuesta Mensual sobre Empresas Comerciales</w:t>
      </w:r>
      <w:r w:rsidR="008E3F30">
        <w:rPr>
          <w:color w:val="auto"/>
        </w:rPr>
        <w:t xml:space="preserve"> (EMEC)</w:t>
      </w:r>
      <w:r w:rsidR="009E2BC4" w:rsidRPr="00F87E34">
        <w:rPr>
          <w:color w:val="auto"/>
        </w:rPr>
        <w:t xml:space="preserve"> </w:t>
      </w:r>
      <w:r w:rsidR="009E2BC4" w:rsidRPr="00F87E34">
        <w:rPr>
          <w:color w:val="auto"/>
          <w:shd w:val="clear" w:color="auto" w:fill="FFFFFF" w:themeFill="background1"/>
        </w:rPr>
        <w:t>muestran</w:t>
      </w:r>
      <w:r w:rsidR="009E2BC4" w:rsidRPr="00F87E34">
        <w:rPr>
          <w:color w:val="auto"/>
        </w:rPr>
        <w:t xml:space="preserve"> que</w:t>
      </w:r>
      <w:r w:rsidR="001D1AC6" w:rsidRPr="00F87E34">
        <w:rPr>
          <w:color w:val="auto"/>
        </w:rPr>
        <w:t xml:space="preserve"> </w:t>
      </w:r>
      <w:r w:rsidR="009E2BC4" w:rsidRPr="00F87E34">
        <w:rPr>
          <w:color w:val="auto"/>
        </w:rPr>
        <w:t xml:space="preserve">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de las </w:t>
      </w:r>
      <w:r w:rsidR="00F819B9" w:rsidRPr="00F87E34">
        <w:rPr>
          <w:color w:val="auto"/>
        </w:rPr>
        <w:t>e</w:t>
      </w:r>
      <w:r w:rsidR="009E2BC4" w:rsidRPr="00F87E34">
        <w:rPr>
          <w:color w:val="auto"/>
        </w:rPr>
        <w:t xml:space="preserve">mpresas </w:t>
      </w:r>
      <w:r w:rsidR="00F819B9" w:rsidRPr="00F87E34">
        <w:rPr>
          <w:color w:val="auto"/>
        </w:rPr>
        <w:t>c</w:t>
      </w:r>
      <w:r w:rsidR="009E2BC4" w:rsidRPr="00F87E34">
        <w:rPr>
          <w:color w:val="auto"/>
        </w:rPr>
        <w:t xml:space="preserve">omerciales al </w:t>
      </w:r>
      <w:r w:rsidR="00664719" w:rsidRPr="00F87E34">
        <w:rPr>
          <w:color w:val="auto"/>
        </w:rPr>
        <w:t xml:space="preserve">por </w:t>
      </w:r>
      <w:r w:rsidR="00F819B9" w:rsidRPr="00F87E34">
        <w:rPr>
          <w:color w:val="auto"/>
        </w:rPr>
        <w:t>m</w:t>
      </w:r>
      <w:r w:rsidR="009E2BC4" w:rsidRPr="00F87E34">
        <w:rPr>
          <w:color w:val="auto"/>
        </w:rPr>
        <w:t xml:space="preserve">ayor </w:t>
      </w:r>
      <w:r w:rsidR="00B93075">
        <w:rPr>
          <w:color w:val="auto"/>
        </w:rPr>
        <w:t>descendieron 1 %</w:t>
      </w:r>
      <w:r w:rsidR="00AD7BC1">
        <w:rPr>
          <w:color w:val="auto"/>
        </w:rPr>
        <w:t>,</w:t>
      </w:r>
      <w:r w:rsidR="00C555EB">
        <w:rPr>
          <w:color w:val="auto"/>
        </w:rPr>
        <w:t xml:space="preserve"> </w:t>
      </w:r>
      <w:r w:rsidR="00CC7785" w:rsidRPr="00F87E34">
        <w:rPr>
          <w:color w:val="auto"/>
        </w:rPr>
        <w:t>las remuneraciones medias reales</w:t>
      </w:r>
      <w:r w:rsidR="00B93075">
        <w:rPr>
          <w:color w:val="auto"/>
        </w:rPr>
        <w:t>,</w:t>
      </w:r>
      <w:r w:rsidR="00CC7785" w:rsidRPr="00F87E34">
        <w:rPr>
          <w:color w:val="auto"/>
        </w:rPr>
        <w:t xml:space="preserve"> </w:t>
      </w:r>
      <w:r w:rsidR="00611B77">
        <w:rPr>
          <w:color w:val="auto"/>
        </w:rPr>
        <w:t>0.5</w:t>
      </w:r>
      <w:r w:rsidR="009D1D1E">
        <w:rPr>
          <w:color w:val="auto"/>
        </w:rPr>
        <w:t> </w:t>
      </w:r>
      <w:r w:rsidR="00CC7785" w:rsidRPr="00F87E34">
        <w:rPr>
          <w:color w:val="auto"/>
        </w:rPr>
        <w:t>%</w:t>
      </w:r>
      <w:r w:rsidR="00CC7785">
        <w:rPr>
          <w:color w:val="auto"/>
        </w:rPr>
        <w:t xml:space="preserve"> y </w:t>
      </w:r>
      <w:r w:rsidR="00B95200">
        <w:rPr>
          <w:color w:val="auto"/>
        </w:rPr>
        <w:t>el personal ocupado total</w:t>
      </w:r>
      <w:r w:rsidR="00B93075">
        <w:rPr>
          <w:color w:val="auto"/>
        </w:rPr>
        <w:t xml:space="preserve"> creció</w:t>
      </w:r>
      <w:r w:rsidR="00611B77">
        <w:rPr>
          <w:color w:val="auto"/>
        </w:rPr>
        <w:t xml:space="preserve"> 0.</w:t>
      </w:r>
      <w:r w:rsidR="00B93075">
        <w:rPr>
          <w:color w:val="auto"/>
        </w:rPr>
        <w:t>2</w:t>
      </w:r>
      <w:r w:rsidR="00DF65C0">
        <w:rPr>
          <w:color w:val="auto"/>
        </w:rPr>
        <w:t> </w:t>
      </w:r>
      <w:r w:rsidR="00CC7785">
        <w:rPr>
          <w:color w:val="auto"/>
        </w:rPr>
        <w:t>por</w:t>
      </w:r>
      <w:r w:rsidR="00DF65C0">
        <w:rPr>
          <w:color w:val="auto"/>
        </w:rPr>
        <w:t> </w:t>
      </w:r>
      <w:r w:rsidR="00CC7785">
        <w:rPr>
          <w:color w:val="auto"/>
        </w:rPr>
        <w:t>ciento</w:t>
      </w:r>
      <w:r w:rsidR="005C5EAF" w:rsidRPr="00F87E34">
        <w:rPr>
          <w:color w:val="auto"/>
        </w:rPr>
        <w:t>.</w:t>
      </w:r>
    </w:p>
    <w:p w14:paraId="2E87EE61" w14:textId="6D08D373" w:rsidR="00467BD1" w:rsidRPr="00F87E34" w:rsidRDefault="008B4B23" w:rsidP="00D805CD">
      <w:pPr>
        <w:pStyle w:val="Textoindependiente"/>
        <w:spacing w:before="200"/>
        <w:rPr>
          <w:color w:val="auto"/>
        </w:rPr>
      </w:pPr>
      <w:r w:rsidRPr="00F87E34">
        <w:rPr>
          <w:color w:val="auto"/>
        </w:rPr>
        <w:t>E</w:t>
      </w:r>
      <w:r w:rsidR="00651B06">
        <w:rPr>
          <w:color w:val="auto"/>
        </w:rPr>
        <w:t xml:space="preserve">n </w:t>
      </w:r>
      <w:r w:rsidR="00071749">
        <w:rPr>
          <w:color w:val="auto"/>
        </w:rPr>
        <w:t>agost</w:t>
      </w:r>
      <w:r w:rsidR="009006EA">
        <w:rPr>
          <w:color w:val="auto"/>
        </w:rPr>
        <w:t>o</w:t>
      </w:r>
      <w:r w:rsidR="00651B06">
        <w:rPr>
          <w:color w:val="auto"/>
        </w:rPr>
        <w:t xml:space="preserve"> de 2022 y a tasa</w:t>
      </w:r>
      <w:r w:rsidRPr="00F87E34">
        <w:rPr>
          <w:color w:val="auto"/>
        </w:rPr>
        <w:t xml:space="preserve"> anual</w:t>
      </w:r>
      <w:r w:rsidR="009E2BC4" w:rsidRPr="00F87E34">
        <w:rPr>
          <w:color w:val="auto"/>
        </w:rPr>
        <w:t xml:space="preserve">,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</w:t>
      </w:r>
      <w:r w:rsidR="00CA22F1" w:rsidRPr="00CA22F1">
        <w:rPr>
          <w:color w:val="auto"/>
        </w:rPr>
        <w:t>incrementaron</w:t>
      </w:r>
      <w:r w:rsidR="00CA22F1">
        <w:rPr>
          <w:color w:val="auto"/>
        </w:rPr>
        <w:t xml:space="preserve"> </w:t>
      </w:r>
      <w:r w:rsidR="00B93075">
        <w:rPr>
          <w:color w:val="auto"/>
        </w:rPr>
        <w:t>2.6</w:t>
      </w:r>
      <w:r w:rsidR="00982628">
        <w:rPr>
          <w:color w:val="auto"/>
        </w:rPr>
        <w:t> </w:t>
      </w:r>
      <w:r w:rsidR="009E2BC4" w:rsidRPr="00F87E34">
        <w:rPr>
          <w:color w:val="auto"/>
        </w:rPr>
        <w:t>%</w:t>
      </w:r>
      <w:r w:rsidR="00101F61">
        <w:rPr>
          <w:color w:val="auto"/>
        </w:rPr>
        <w:t xml:space="preserve">, </w:t>
      </w:r>
      <w:r w:rsidR="006E09A9" w:rsidRPr="00F87E34">
        <w:rPr>
          <w:color w:val="auto"/>
        </w:rPr>
        <w:t xml:space="preserve">el </w:t>
      </w:r>
      <w:r w:rsidR="004C75FC" w:rsidRPr="00F87E34">
        <w:rPr>
          <w:color w:val="auto"/>
        </w:rPr>
        <w:t>p</w:t>
      </w:r>
      <w:r w:rsidR="00B00396" w:rsidRPr="00F87E34">
        <w:rPr>
          <w:color w:val="auto"/>
        </w:rPr>
        <w:t>ersonal ocupado total</w:t>
      </w:r>
      <w:r w:rsidR="00D03A5B">
        <w:rPr>
          <w:color w:val="auto"/>
        </w:rPr>
        <w:t>,</w:t>
      </w:r>
      <w:r w:rsidR="00B00396" w:rsidRPr="00F87E34">
        <w:rPr>
          <w:color w:val="auto"/>
        </w:rPr>
        <w:t xml:space="preserve"> </w:t>
      </w:r>
      <w:r w:rsidR="00470C10">
        <w:rPr>
          <w:color w:val="auto"/>
        </w:rPr>
        <w:t>1</w:t>
      </w:r>
      <w:r w:rsidR="00982628">
        <w:rPr>
          <w:color w:val="auto"/>
        </w:rPr>
        <w:t> </w:t>
      </w:r>
      <w:r w:rsidR="00B00396" w:rsidRPr="00F87E34">
        <w:rPr>
          <w:color w:val="auto"/>
        </w:rPr>
        <w:t>%</w:t>
      </w:r>
      <w:r w:rsidR="00101F61">
        <w:rPr>
          <w:color w:val="auto"/>
        </w:rPr>
        <w:t xml:space="preserve"> y l</w:t>
      </w:r>
      <w:r w:rsidR="005C5EAF" w:rsidRPr="00F87E34">
        <w:rPr>
          <w:color w:val="auto"/>
        </w:rPr>
        <w:t xml:space="preserve">as </w:t>
      </w:r>
      <w:r w:rsidR="004C75FC" w:rsidRPr="00F87E34">
        <w:rPr>
          <w:color w:val="auto"/>
        </w:rPr>
        <w:t>r</w:t>
      </w:r>
      <w:r w:rsidR="005C5EAF" w:rsidRPr="00F87E34">
        <w:rPr>
          <w:color w:val="auto"/>
        </w:rPr>
        <w:t>emuneraciones medias reales</w:t>
      </w:r>
      <w:r w:rsidR="004000C8" w:rsidRPr="00F87E34">
        <w:rPr>
          <w:color w:val="auto"/>
        </w:rPr>
        <w:t xml:space="preserve"> </w:t>
      </w:r>
      <w:r w:rsidR="00B93075">
        <w:rPr>
          <w:color w:val="auto"/>
        </w:rPr>
        <w:t>ca</w:t>
      </w:r>
      <w:r w:rsidR="00611B77">
        <w:rPr>
          <w:color w:val="auto"/>
        </w:rPr>
        <w:t>ye</w:t>
      </w:r>
      <w:r w:rsidR="00470C10">
        <w:rPr>
          <w:color w:val="auto"/>
        </w:rPr>
        <w:t xml:space="preserve">ron </w:t>
      </w:r>
      <w:r w:rsidR="00611B77">
        <w:rPr>
          <w:color w:val="auto"/>
        </w:rPr>
        <w:t>2</w:t>
      </w:r>
      <w:r w:rsidR="00982628">
        <w:rPr>
          <w:color w:val="auto"/>
        </w:rPr>
        <w:t>.6</w:t>
      </w:r>
      <w:r w:rsidR="00CC7785">
        <w:rPr>
          <w:color w:val="auto"/>
        </w:rPr>
        <w:t xml:space="preserve"> por ciento</w:t>
      </w:r>
      <w:r w:rsidR="004E0A24" w:rsidRPr="00F87E34">
        <w:rPr>
          <w:color w:val="auto"/>
        </w:rPr>
        <w:t>.</w:t>
      </w:r>
    </w:p>
    <w:p w14:paraId="76BACD40" w14:textId="77777777" w:rsidR="00467BD1" w:rsidRPr="00F87E34" w:rsidRDefault="00467BD1" w:rsidP="00D805CD">
      <w:pPr>
        <w:pStyle w:val="p0"/>
        <w:keepNext/>
        <w:keepLines w:val="0"/>
        <w:widowControl/>
        <w:spacing w:before="20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1</w:t>
      </w:r>
    </w:p>
    <w:p w14:paraId="45D36BB7" w14:textId="77777777" w:rsidR="003D0BF3" w:rsidRDefault="00D805CD" w:rsidP="00774F5B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b/>
          <w:smallCaps/>
          <w:snapToGrid/>
          <w:color w:val="auto"/>
          <w:sz w:val="22"/>
        </w:rPr>
        <w:t>Ingresos reales por suministro de bienes y servicios</w:t>
      </w:r>
      <w:r w:rsidRPr="00F87E34">
        <w:rPr>
          <w:rFonts w:ascii="Arial" w:hAnsi="Arial"/>
          <w:b/>
          <w:smallCaps/>
          <w:color w:val="auto"/>
          <w:sz w:val="22"/>
        </w:rPr>
        <w:t xml:space="preserve"> </w:t>
      </w:r>
    </w:p>
    <w:p w14:paraId="5EAFB3CC" w14:textId="5AD8332E" w:rsidR="00467BD1" w:rsidRPr="00F87E34" w:rsidRDefault="00467BD1" w:rsidP="00774F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</w:t>
      </w:r>
      <w:r w:rsidR="006D01F3" w:rsidRPr="00F87E34">
        <w:rPr>
          <w:rFonts w:ascii="Arial" w:hAnsi="Arial"/>
          <w:color w:val="auto"/>
          <w:sz w:val="18"/>
          <w:szCs w:val="18"/>
        </w:rPr>
        <w:t>13</w:t>
      </w:r>
      <w:r w:rsidRPr="00F87E34">
        <w:rPr>
          <w:rFonts w:ascii="Arial" w:hAnsi="Arial"/>
          <w:color w:val="auto"/>
          <w:sz w:val="18"/>
          <w:szCs w:val="18"/>
        </w:rPr>
        <w:t>=100)</w:t>
      </w:r>
    </w:p>
    <w:p w14:paraId="0722D1B4" w14:textId="38F1A160" w:rsidR="00D805CD" w:rsidRPr="00F87E34" w:rsidRDefault="00B93075" w:rsidP="00774F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28C8A543" wp14:editId="57C6E25D">
            <wp:extent cx="4320000" cy="2520000"/>
            <wp:effectExtent l="0" t="0" r="23495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EE9A48B" w14:textId="6CAEE6A3" w:rsidR="00D805CD" w:rsidRPr="00F87E34" w:rsidRDefault="00D805CD" w:rsidP="00D805CD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2EDA5E5E" w14:textId="77777777" w:rsidR="00A71E23" w:rsidRDefault="00A71E23">
      <w:pPr>
        <w:jc w:val="left"/>
        <w:rPr>
          <w:snapToGrid w:val="0"/>
          <w:sz w:val="20"/>
        </w:rPr>
      </w:pPr>
      <w:r>
        <w:rPr>
          <w:sz w:val="20"/>
        </w:rPr>
        <w:br w:type="page"/>
      </w:r>
    </w:p>
    <w:p w14:paraId="174F6A49" w14:textId="573F34D3" w:rsidR="00D805CD" w:rsidRPr="00F87E34" w:rsidRDefault="00D805CD" w:rsidP="00D805CD">
      <w:pPr>
        <w:pStyle w:val="p0"/>
        <w:keepNext/>
        <w:keepLines w:val="0"/>
        <w:widowControl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lastRenderedPageBreak/>
        <w:t>Gráfica 2</w:t>
      </w:r>
    </w:p>
    <w:p w14:paraId="760E282E" w14:textId="77777777" w:rsidR="00D805CD" w:rsidRPr="00F87E34" w:rsidRDefault="00D805CD" w:rsidP="00D805CD">
      <w:pPr>
        <w:jc w:val="center"/>
        <w:rPr>
          <w:b/>
          <w:smallCaps/>
          <w:sz w:val="22"/>
        </w:rPr>
      </w:pPr>
      <w:r w:rsidRPr="00F87E34">
        <w:rPr>
          <w:b/>
          <w:smallCaps/>
          <w:sz w:val="22"/>
        </w:rPr>
        <w:t>Personal ocupado total</w:t>
      </w:r>
    </w:p>
    <w:p w14:paraId="5CAD35F4" w14:textId="35E53AD3" w:rsidR="00D805CD" w:rsidRPr="00F87E34" w:rsidRDefault="00D805CD" w:rsidP="00D805CD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706A6D46" w14:textId="5ECB99A8" w:rsidR="00D805CD" w:rsidRPr="00F87E34" w:rsidRDefault="00B93075" w:rsidP="00D805CD">
      <w:pPr>
        <w:jc w:val="center"/>
      </w:pPr>
      <w:r>
        <w:rPr>
          <w:noProof/>
        </w:rPr>
        <w:drawing>
          <wp:inline distT="0" distB="0" distL="0" distR="0" wp14:anchorId="43D2A456" wp14:editId="7C5B7074">
            <wp:extent cx="4320000" cy="2520000"/>
            <wp:effectExtent l="0" t="0" r="23495" b="1397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1D2498A" w14:textId="0CD2E026" w:rsidR="00D805CD" w:rsidRPr="00F87E34" w:rsidRDefault="00D805CD" w:rsidP="00D805CD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1B41EEDB" w14:textId="7EBB7212" w:rsidR="00D805CD" w:rsidRPr="00F87E34" w:rsidRDefault="00D805CD" w:rsidP="00D805CD">
      <w:pPr>
        <w:pStyle w:val="p0"/>
        <w:keepNext/>
        <w:keepLines w:val="0"/>
        <w:widowControl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3</w:t>
      </w:r>
    </w:p>
    <w:p w14:paraId="15FE2724" w14:textId="77777777" w:rsidR="00D805CD" w:rsidRPr="00F87E34" w:rsidRDefault="00D805CD" w:rsidP="00D805CD">
      <w:pPr>
        <w:jc w:val="center"/>
        <w:rPr>
          <w:b/>
          <w:smallCaps/>
          <w:sz w:val="22"/>
        </w:rPr>
      </w:pPr>
      <w:r w:rsidRPr="00F87E34">
        <w:rPr>
          <w:b/>
          <w:smallCaps/>
          <w:sz w:val="22"/>
        </w:rPr>
        <w:t>Remuneraciones medias reales</w:t>
      </w:r>
    </w:p>
    <w:p w14:paraId="6236D549" w14:textId="677F0E76" w:rsidR="00D805CD" w:rsidRPr="00F87E34" w:rsidRDefault="00D805CD" w:rsidP="00D805CD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51E565DB" w14:textId="3F58E998" w:rsidR="00A50405" w:rsidRPr="00F87E34" w:rsidRDefault="00B93075" w:rsidP="00D805CD">
      <w:pPr>
        <w:jc w:val="center"/>
      </w:pPr>
      <w:r>
        <w:rPr>
          <w:noProof/>
        </w:rPr>
        <w:drawing>
          <wp:inline distT="0" distB="0" distL="0" distR="0" wp14:anchorId="51064562" wp14:editId="425BF7A0">
            <wp:extent cx="4320000" cy="2520000"/>
            <wp:effectExtent l="0" t="0" r="23495" b="1397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02B4DD5" w14:textId="10EDB8B2" w:rsidR="00467BD1" w:rsidRPr="00F87E34" w:rsidRDefault="00467BD1" w:rsidP="00085572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005A4C59" w14:textId="77777777" w:rsidR="00D805CD" w:rsidRPr="00F87E34" w:rsidRDefault="00D805CD">
      <w:pPr>
        <w:jc w:val="left"/>
        <w:rPr>
          <w:b/>
          <w:i/>
          <w:lang w:val="es-MX"/>
        </w:rPr>
      </w:pPr>
      <w:r w:rsidRPr="00F87E34">
        <w:rPr>
          <w:i/>
        </w:rPr>
        <w:br w:type="page"/>
      </w:r>
    </w:p>
    <w:p w14:paraId="5855B90C" w14:textId="345A1EBF" w:rsidR="00467BD1" w:rsidRPr="00071749" w:rsidRDefault="008679CD" w:rsidP="008679CD">
      <w:pPr>
        <w:pStyle w:val="bulnot"/>
        <w:widowControl w:val="0"/>
        <w:spacing w:before="600"/>
        <w:ind w:left="567" w:right="567" w:firstLine="0"/>
        <w:rPr>
          <w:rFonts w:cs="Arial"/>
          <w:iCs/>
          <w:color w:val="auto"/>
          <w:spacing w:val="0"/>
          <w:sz w:val="24"/>
          <w:szCs w:val="24"/>
        </w:rPr>
      </w:pPr>
      <w:r w:rsidRPr="00071749">
        <w:rPr>
          <w:rFonts w:cs="Arial"/>
          <w:iCs/>
          <w:color w:val="auto"/>
          <w:spacing w:val="0"/>
          <w:sz w:val="24"/>
          <w:szCs w:val="24"/>
        </w:rPr>
        <w:lastRenderedPageBreak/>
        <w:t xml:space="preserve">Indicadores de las empresas comerciales al por menor </w:t>
      </w:r>
    </w:p>
    <w:p w14:paraId="6BA8E4F0" w14:textId="55CEFFFE" w:rsidR="003012FA" w:rsidRPr="00F87E34" w:rsidRDefault="00FC717F" w:rsidP="00134F49">
      <w:pPr>
        <w:pStyle w:val="Textoindependiente"/>
        <w:keepNext/>
        <w:keepLines/>
        <w:spacing w:before="360"/>
        <w:outlineLvl w:val="0"/>
        <w:rPr>
          <w:color w:val="auto"/>
        </w:rPr>
      </w:pPr>
      <w:r w:rsidRPr="00F87E34">
        <w:rPr>
          <w:color w:val="auto"/>
        </w:rPr>
        <w:t xml:space="preserve">En </w:t>
      </w:r>
      <w:r w:rsidR="00071749">
        <w:rPr>
          <w:color w:val="auto"/>
        </w:rPr>
        <w:t>agost</w:t>
      </w:r>
      <w:r w:rsidR="009006EA">
        <w:rPr>
          <w:color w:val="auto"/>
        </w:rPr>
        <w:t>o</w:t>
      </w:r>
      <w:r w:rsidRPr="00F87E34">
        <w:rPr>
          <w:color w:val="auto"/>
        </w:rPr>
        <w:t xml:space="preserve"> de 202</w:t>
      </w:r>
      <w:r w:rsidR="00D664F1">
        <w:rPr>
          <w:color w:val="auto"/>
        </w:rPr>
        <w:t>2</w:t>
      </w:r>
      <w:r w:rsidR="00C25FB1" w:rsidRPr="00F87E34">
        <w:rPr>
          <w:color w:val="auto"/>
        </w:rPr>
        <w:t xml:space="preserve"> y</w:t>
      </w:r>
      <w:r w:rsidRPr="00F87E34">
        <w:rPr>
          <w:color w:val="auto"/>
        </w:rPr>
        <w:t xml:space="preserve"> a tasa</w:t>
      </w:r>
      <w:r w:rsidR="009E2BC4" w:rsidRPr="00F87E34">
        <w:rPr>
          <w:color w:val="auto"/>
        </w:rPr>
        <w:t xml:space="preserve"> mensual</w:t>
      </w:r>
      <w:r w:rsidR="008B4B23" w:rsidRPr="00F87E34">
        <w:rPr>
          <w:color w:val="auto"/>
        </w:rPr>
        <w:t>,</w:t>
      </w:r>
      <w:r w:rsidR="009E2BC4" w:rsidRPr="00F87E34">
        <w:rPr>
          <w:color w:val="auto"/>
        </w:rPr>
        <w:t xml:space="preserve">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</w:t>
      </w:r>
      <w:r w:rsidR="000032AE" w:rsidRPr="00F87E34">
        <w:rPr>
          <w:color w:val="auto"/>
        </w:rPr>
        <w:t xml:space="preserve">de las </w:t>
      </w:r>
      <w:r w:rsidR="00D824C0" w:rsidRPr="00F87E34">
        <w:rPr>
          <w:color w:val="auto"/>
        </w:rPr>
        <w:t>e</w:t>
      </w:r>
      <w:r w:rsidR="000032AE" w:rsidRPr="00F87E34">
        <w:rPr>
          <w:color w:val="auto"/>
        </w:rPr>
        <w:t xml:space="preserve">mpresas </w:t>
      </w:r>
      <w:r w:rsidR="00D824C0" w:rsidRPr="00F87E34">
        <w:rPr>
          <w:color w:val="auto"/>
        </w:rPr>
        <w:t>c</w:t>
      </w:r>
      <w:r w:rsidR="000032AE" w:rsidRPr="00F87E34">
        <w:rPr>
          <w:color w:val="auto"/>
        </w:rPr>
        <w:t>omerciales</w:t>
      </w:r>
      <w:r w:rsidR="000032AE" w:rsidRPr="00F87E34">
        <w:rPr>
          <w:snapToGrid w:val="0"/>
          <w:color w:val="auto"/>
          <w:sz w:val="22"/>
          <w:szCs w:val="22"/>
        </w:rPr>
        <w:t xml:space="preserve"> </w:t>
      </w:r>
      <w:r w:rsidR="000032AE" w:rsidRPr="00F87E34">
        <w:rPr>
          <w:color w:val="auto"/>
        </w:rPr>
        <w:t xml:space="preserve">al por </w:t>
      </w:r>
      <w:r w:rsidR="00D824C0" w:rsidRPr="00F87E34">
        <w:rPr>
          <w:color w:val="auto"/>
        </w:rPr>
        <w:t>m</w:t>
      </w:r>
      <w:r w:rsidR="000032AE" w:rsidRPr="00F87E34">
        <w:rPr>
          <w:color w:val="auto"/>
        </w:rPr>
        <w:t xml:space="preserve">enor </w:t>
      </w:r>
      <w:r w:rsidR="00B93075">
        <w:rPr>
          <w:color w:val="auto"/>
        </w:rPr>
        <w:t>disminuy</w:t>
      </w:r>
      <w:r w:rsidR="00982628">
        <w:rPr>
          <w:color w:val="auto"/>
        </w:rPr>
        <w:t>e</w:t>
      </w:r>
      <w:r w:rsidR="00042A96" w:rsidRPr="00F87E34">
        <w:rPr>
          <w:color w:val="auto"/>
        </w:rPr>
        <w:t>ron</w:t>
      </w:r>
      <w:r w:rsidR="001D1AC6" w:rsidRPr="00F87E34">
        <w:rPr>
          <w:color w:val="auto"/>
        </w:rPr>
        <w:t xml:space="preserve"> 0.</w:t>
      </w:r>
      <w:r w:rsidR="00B93075">
        <w:rPr>
          <w:color w:val="auto"/>
        </w:rPr>
        <w:t>4</w:t>
      </w:r>
      <w:r w:rsidR="00982628">
        <w:rPr>
          <w:color w:val="auto"/>
        </w:rPr>
        <w:t> </w:t>
      </w:r>
      <w:r w:rsidR="001D1AC6" w:rsidRPr="00F87E34">
        <w:rPr>
          <w:color w:val="auto"/>
        </w:rPr>
        <w:t>%,</w:t>
      </w:r>
      <w:r w:rsidR="004000C8" w:rsidRPr="00F87E34">
        <w:rPr>
          <w:color w:val="auto"/>
        </w:rPr>
        <w:t xml:space="preserve"> las </w:t>
      </w:r>
      <w:r w:rsidR="004C75FC" w:rsidRPr="00F87E34">
        <w:rPr>
          <w:color w:val="auto"/>
        </w:rPr>
        <w:t>r</w:t>
      </w:r>
      <w:r w:rsidR="004000C8" w:rsidRPr="00F87E34">
        <w:rPr>
          <w:color w:val="auto"/>
        </w:rPr>
        <w:t>emuneraciones medias reales</w:t>
      </w:r>
      <w:r w:rsidR="00D03A5B">
        <w:rPr>
          <w:color w:val="auto"/>
        </w:rPr>
        <w:t>,</w:t>
      </w:r>
      <w:r w:rsidR="004000C8" w:rsidRPr="00F87E34">
        <w:rPr>
          <w:color w:val="auto"/>
        </w:rPr>
        <w:t xml:space="preserve"> </w:t>
      </w:r>
      <w:r w:rsidR="004E3065">
        <w:rPr>
          <w:color w:val="auto"/>
        </w:rPr>
        <w:t>1.</w:t>
      </w:r>
      <w:r w:rsidR="00B93075">
        <w:rPr>
          <w:color w:val="auto"/>
        </w:rPr>
        <w:t>1</w:t>
      </w:r>
      <w:r w:rsidR="00982628">
        <w:rPr>
          <w:color w:val="auto"/>
        </w:rPr>
        <w:t> </w:t>
      </w:r>
      <w:r w:rsidR="004000C8" w:rsidRPr="00F87E34">
        <w:rPr>
          <w:color w:val="auto"/>
        </w:rPr>
        <w:t>%</w:t>
      </w:r>
      <w:r w:rsidR="001D1AC6" w:rsidRPr="00F87E34">
        <w:rPr>
          <w:color w:val="auto"/>
        </w:rPr>
        <w:t xml:space="preserve"> y </w:t>
      </w:r>
      <w:r w:rsidR="004000C8" w:rsidRPr="00F87E34">
        <w:rPr>
          <w:color w:val="auto"/>
        </w:rPr>
        <w:t xml:space="preserve">el </w:t>
      </w:r>
      <w:r w:rsidR="004C75FC" w:rsidRPr="00F87E34">
        <w:rPr>
          <w:color w:val="auto"/>
        </w:rPr>
        <w:t>p</w:t>
      </w:r>
      <w:r w:rsidR="004000C8" w:rsidRPr="00F87E34">
        <w:rPr>
          <w:color w:val="auto"/>
        </w:rPr>
        <w:t>ersonal ocupado total</w:t>
      </w:r>
      <w:r w:rsidR="00066EBE">
        <w:rPr>
          <w:color w:val="auto"/>
        </w:rPr>
        <w:t xml:space="preserve"> </w:t>
      </w:r>
      <w:r w:rsidR="00B93075">
        <w:rPr>
          <w:color w:val="auto"/>
        </w:rPr>
        <w:t>ascendi</w:t>
      </w:r>
      <w:r w:rsidR="004E3065">
        <w:rPr>
          <w:color w:val="auto"/>
        </w:rPr>
        <w:t>ó 0.1 por ciento</w:t>
      </w:r>
      <w:r w:rsidR="008D4520" w:rsidRPr="00F87E34">
        <w:rPr>
          <w:color w:val="auto"/>
        </w:rPr>
        <w:t>.</w:t>
      </w:r>
    </w:p>
    <w:p w14:paraId="4963B463" w14:textId="7112F613" w:rsidR="00085572" w:rsidRPr="00F87E34" w:rsidRDefault="00EB4DDC" w:rsidP="00134F49">
      <w:pPr>
        <w:pStyle w:val="Textoindependiente"/>
        <w:spacing w:before="360"/>
        <w:outlineLvl w:val="0"/>
        <w:rPr>
          <w:color w:val="auto"/>
        </w:rPr>
      </w:pPr>
      <w:r w:rsidRPr="00F87E34">
        <w:rPr>
          <w:color w:val="auto"/>
        </w:rPr>
        <w:t xml:space="preserve">En </w:t>
      </w:r>
      <w:r w:rsidR="00616A94">
        <w:rPr>
          <w:color w:val="auto"/>
        </w:rPr>
        <w:t xml:space="preserve">el </w:t>
      </w:r>
      <w:r w:rsidR="00071749">
        <w:rPr>
          <w:color w:val="auto"/>
        </w:rPr>
        <w:t>octav</w:t>
      </w:r>
      <w:r w:rsidR="00184034">
        <w:rPr>
          <w:color w:val="auto"/>
        </w:rPr>
        <w:t>o</w:t>
      </w:r>
      <w:r w:rsidR="00616A94">
        <w:rPr>
          <w:color w:val="auto"/>
        </w:rPr>
        <w:t xml:space="preserve"> mes de este año </w:t>
      </w:r>
      <w:r w:rsidR="00EC7C27">
        <w:rPr>
          <w:color w:val="auto"/>
        </w:rPr>
        <w:t xml:space="preserve">y en </w:t>
      </w:r>
      <w:r w:rsidRPr="00F87E34">
        <w:rPr>
          <w:color w:val="auto"/>
        </w:rPr>
        <w:t>comparación anual</w:t>
      </w:r>
      <w:r w:rsidR="009E2BC4" w:rsidRPr="00F87E34">
        <w:rPr>
          <w:color w:val="auto"/>
        </w:rPr>
        <w:t xml:space="preserve">,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>ngresos reales por suministro de bienes y servici</w:t>
      </w:r>
      <w:r w:rsidR="009740EA" w:rsidRPr="00F87E34">
        <w:rPr>
          <w:color w:val="auto"/>
        </w:rPr>
        <w:t>o</w:t>
      </w:r>
      <w:r w:rsidR="00615CB8" w:rsidRPr="00F87E34">
        <w:rPr>
          <w:color w:val="auto"/>
        </w:rPr>
        <w:t xml:space="preserve">s </w:t>
      </w:r>
      <w:r w:rsidR="004E3065">
        <w:rPr>
          <w:color w:val="auto"/>
        </w:rPr>
        <w:t>aumenta</w:t>
      </w:r>
      <w:r w:rsidR="00CA22F1">
        <w:rPr>
          <w:color w:val="auto"/>
        </w:rPr>
        <w:t>ron</w:t>
      </w:r>
      <w:r w:rsidR="008D4520" w:rsidRPr="00F87E34">
        <w:rPr>
          <w:color w:val="auto"/>
        </w:rPr>
        <w:t xml:space="preserve"> </w:t>
      </w:r>
      <w:r w:rsidR="00B93075">
        <w:rPr>
          <w:color w:val="auto"/>
        </w:rPr>
        <w:t>4.6</w:t>
      </w:r>
      <w:r w:rsidR="00D6059E">
        <w:rPr>
          <w:color w:val="auto"/>
        </w:rPr>
        <w:t> </w:t>
      </w:r>
      <w:r w:rsidR="007B44D3" w:rsidRPr="00F87E34">
        <w:rPr>
          <w:color w:val="auto"/>
        </w:rPr>
        <w:t>%</w:t>
      </w:r>
      <w:r w:rsidR="001D1AC6" w:rsidRPr="00F87E34">
        <w:rPr>
          <w:color w:val="auto"/>
        </w:rPr>
        <w:t xml:space="preserve">, </w:t>
      </w:r>
      <w:r w:rsidR="00675880" w:rsidRPr="00F87E34">
        <w:rPr>
          <w:color w:val="auto"/>
        </w:rPr>
        <w:t xml:space="preserve">las </w:t>
      </w:r>
      <w:r w:rsidR="004C75FC" w:rsidRPr="00F87E34">
        <w:rPr>
          <w:color w:val="auto"/>
        </w:rPr>
        <w:t>r</w:t>
      </w:r>
      <w:r w:rsidR="00675880" w:rsidRPr="00F87E34">
        <w:rPr>
          <w:color w:val="auto"/>
        </w:rPr>
        <w:t>emuneraciones medias reales</w:t>
      </w:r>
      <w:r w:rsidR="00D03A5B">
        <w:rPr>
          <w:color w:val="auto"/>
        </w:rPr>
        <w:t>,</w:t>
      </w:r>
      <w:r w:rsidR="00675880" w:rsidRPr="00F87E34">
        <w:rPr>
          <w:color w:val="auto"/>
        </w:rPr>
        <w:t xml:space="preserve"> </w:t>
      </w:r>
      <w:r w:rsidR="00D6059E">
        <w:rPr>
          <w:color w:val="auto"/>
        </w:rPr>
        <w:t>4</w:t>
      </w:r>
      <w:r w:rsidR="00470C10">
        <w:rPr>
          <w:color w:val="auto"/>
        </w:rPr>
        <w:t>.</w:t>
      </w:r>
      <w:r w:rsidR="00B93075">
        <w:rPr>
          <w:color w:val="auto"/>
        </w:rPr>
        <w:t>1</w:t>
      </w:r>
      <w:r w:rsidR="00D6059E">
        <w:rPr>
          <w:color w:val="auto"/>
        </w:rPr>
        <w:t> </w:t>
      </w:r>
      <w:r w:rsidR="00675880" w:rsidRPr="00F87E34">
        <w:rPr>
          <w:color w:val="auto"/>
        </w:rPr>
        <w:t>%</w:t>
      </w:r>
      <w:r w:rsidR="008B4B23" w:rsidRPr="00F87E34">
        <w:rPr>
          <w:color w:val="auto"/>
        </w:rPr>
        <w:t xml:space="preserve"> y </w:t>
      </w:r>
      <w:r w:rsidR="00B00396" w:rsidRPr="00F87E34">
        <w:rPr>
          <w:color w:val="auto"/>
        </w:rPr>
        <w:t>e</w:t>
      </w:r>
      <w:r w:rsidR="00936E7B" w:rsidRPr="00F87E34">
        <w:rPr>
          <w:color w:val="auto"/>
        </w:rPr>
        <w:t xml:space="preserve">l </w:t>
      </w:r>
      <w:r w:rsidR="004C75FC" w:rsidRPr="00F87E34">
        <w:rPr>
          <w:color w:val="auto"/>
        </w:rPr>
        <w:t>p</w:t>
      </w:r>
      <w:r w:rsidR="00936E7B" w:rsidRPr="00F87E34">
        <w:rPr>
          <w:color w:val="auto"/>
        </w:rPr>
        <w:t xml:space="preserve">ersonal ocupado total </w:t>
      </w:r>
      <w:r w:rsidR="00B93075">
        <w:rPr>
          <w:color w:val="auto"/>
        </w:rPr>
        <w:t>retrocedi</w:t>
      </w:r>
      <w:r w:rsidR="008B4B23" w:rsidRPr="00F87E34">
        <w:rPr>
          <w:color w:val="auto"/>
        </w:rPr>
        <w:t>ó</w:t>
      </w:r>
      <w:r w:rsidR="00936E7B" w:rsidRPr="00F87E34">
        <w:rPr>
          <w:color w:val="auto"/>
        </w:rPr>
        <w:t xml:space="preserve"> </w:t>
      </w:r>
      <w:r w:rsidR="00B93075">
        <w:rPr>
          <w:color w:val="auto"/>
        </w:rPr>
        <w:t>0.8</w:t>
      </w:r>
      <w:r w:rsidR="00184034">
        <w:rPr>
          <w:color w:val="auto"/>
        </w:rPr>
        <w:t xml:space="preserve"> por ciento</w:t>
      </w:r>
      <w:r w:rsidR="00467BD1" w:rsidRPr="00F87E34">
        <w:rPr>
          <w:color w:val="auto"/>
        </w:rPr>
        <w:t xml:space="preserve">. </w:t>
      </w:r>
    </w:p>
    <w:p w14:paraId="178315F5" w14:textId="68058305" w:rsidR="00467BD1" w:rsidRPr="00F87E34" w:rsidRDefault="00467BD1" w:rsidP="00D03A5B">
      <w:pPr>
        <w:pStyle w:val="p0"/>
        <w:keepLines w:val="0"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 xml:space="preserve">Gráfica </w:t>
      </w:r>
      <w:r w:rsidR="00D805CD" w:rsidRPr="00F87E34">
        <w:rPr>
          <w:rFonts w:ascii="Arial" w:hAnsi="Arial"/>
          <w:color w:val="auto"/>
          <w:sz w:val="20"/>
        </w:rPr>
        <w:t>4</w:t>
      </w:r>
    </w:p>
    <w:p w14:paraId="59B2E5FD" w14:textId="77777777" w:rsidR="00D805CD" w:rsidRPr="00F87E34" w:rsidRDefault="00D805CD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Ingresos reales por suministro de bienes y servicios</w:t>
      </w:r>
    </w:p>
    <w:p w14:paraId="6772744E" w14:textId="009B4B04" w:rsidR="00467BD1" w:rsidRPr="00F87E34" w:rsidRDefault="00467BD1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</w:t>
      </w:r>
      <w:r w:rsidR="0073065B" w:rsidRPr="00F87E34">
        <w:rPr>
          <w:rFonts w:ascii="Arial" w:hAnsi="Arial"/>
          <w:color w:val="auto"/>
          <w:sz w:val="18"/>
          <w:szCs w:val="18"/>
        </w:rPr>
        <w:t>13</w:t>
      </w:r>
      <w:r w:rsidRPr="00F87E34">
        <w:rPr>
          <w:rFonts w:ascii="Arial" w:hAnsi="Arial"/>
          <w:color w:val="auto"/>
          <w:sz w:val="18"/>
          <w:szCs w:val="18"/>
        </w:rPr>
        <w:t>=100)</w:t>
      </w:r>
    </w:p>
    <w:p w14:paraId="15AD9CC4" w14:textId="5EC8EA2D" w:rsidR="00D805CD" w:rsidRPr="00F87E34" w:rsidRDefault="00B93075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5CCC99E3" wp14:editId="1E2718CC">
            <wp:extent cx="4320000" cy="2520000"/>
            <wp:effectExtent l="0" t="0" r="23495" b="1397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2C5C2A8" w14:textId="0AD3428F" w:rsidR="00D805CD" w:rsidRPr="00F87E34" w:rsidRDefault="00D805CD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3D8A8007" w14:textId="77777777" w:rsidR="00D805CD" w:rsidRPr="00F87E34" w:rsidRDefault="00D805CD">
      <w:pPr>
        <w:jc w:val="left"/>
        <w:rPr>
          <w:snapToGrid w:val="0"/>
          <w:sz w:val="20"/>
        </w:rPr>
      </w:pPr>
      <w:r w:rsidRPr="00F87E34">
        <w:rPr>
          <w:sz w:val="20"/>
        </w:rPr>
        <w:br w:type="page"/>
      </w:r>
    </w:p>
    <w:p w14:paraId="43AF69F5" w14:textId="62DDCC16" w:rsidR="00D805CD" w:rsidRPr="00F87E34" w:rsidRDefault="00D805CD" w:rsidP="00D03A5B">
      <w:pPr>
        <w:pStyle w:val="p0"/>
        <w:keepLines w:val="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lastRenderedPageBreak/>
        <w:t xml:space="preserve">Gráfica </w:t>
      </w:r>
      <w:r w:rsidR="00134F49" w:rsidRPr="00F87E34">
        <w:rPr>
          <w:rFonts w:ascii="Arial" w:hAnsi="Arial"/>
          <w:color w:val="auto"/>
          <w:sz w:val="20"/>
        </w:rPr>
        <w:t>5</w:t>
      </w:r>
    </w:p>
    <w:p w14:paraId="3CE569D9" w14:textId="77777777" w:rsidR="00D805CD" w:rsidRPr="00F87E34" w:rsidRDefault="00D805CD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Personal ocupado total</w:t>
      </w:r>
    </w:p>
    <w:p w14:paraId="561756C2" w14:textId="7BBCD099" w:rsidR="00D805CD" w:rsidRPr="00F87E34" w:rsidRDefault="00D805CD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5F43CFE1" w14:textId="5D10773A" w:rsidR="00D805CD" w:rsidRPr="00F87E34" w:rsidRDefault="00B93075" w:rsidP="00D03A5B">
      <w:pPr>
        <w:widowControl w:val="0"/>
        <w:jc w:val="center"/>
      </w:pPr>
      <w:r>
        <w:rPr>
          <w:noProof/>
        </w:rPr>
        <w:drawing>
          <wp:inline distT="0" distB="0" distL="0" distR="0" wp14:anchorId="5BBAE42E" wp14:editId="28E481FF">
            <wp:extent cx="4320000" cy="2520000"/>
            <wp:effectExtent l="0" t="0" r="23495" b="1397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8F2178E" w14:textId="65AD1CC6" w:rsidR="00D805CD" w:rsidRPr="00F87E34" w:rsidRDefault="00D805CD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79DD01F5" w14:textId="0845F409" w:rsidR="00134F49" w:rsidRPr="00F87E34" w:rsidRDefault="00134F49" w:rsidP="00D03A5B">
      <w:pPr>
        <w:pStyle w:val="p0"/>
        <w:keepLines w:val="0"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6</w:t>
      </w:r>
    </w:p>
    <w:p w14:paraId="02E883FB" w14:textId="77777777" w:rsidR="00134F49" w:rsidRPr="00F87E34" w:rsidRDefault="00134F49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Remuneraciones medias reales</w:t>
      </w:r>
    </w:p>
    <w:p w14:paraId="733536B9" w14:textId="09E4B1CE" w:rsidR="00134F49" w:rsidRPr="00F87E34" w:rsidRDefault="00134F49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67CD084B" w14:textId="4F89596F" w:rsidR="00D805CD" w:rsidRPr="00F87E34" w:rsidRDefault="00B93075" w:rsidP="00D03A5B">
      <w:pPr>
        <w:widowControl w:val="0"/>
        <w:jc w:val="center"/>
      </w:pPr>
      <w:r>
        <w:rPr>
          <w:noProof/>
        </w:rPr>
        <w:drawing>
          <wp:inline distT="0" distB="0" distL="0" distR="0" wp14:anchorId="6338D73B" wp14:editId="41031CF3">
            <wp:extent cx="4320000" cy="2520000"/>
            <wp:effectExtent l="0" t="0" r="23495" b="1397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21796A0" w14:textId="3D35B3F1" w:rsidR="00467BD1" w:rsidRPr="00F87E34" w:rsidRDefault="00467BD1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2DFA3B30" w14:textId="77777777" w:rsidR="00467BD1" w:rsidRPr="00F87E34" w:rsidRDefault="00467BD1" w:rsidP="00D03A5B">
      <w:pPr>
        <w:widowControl w:val="0"/>
        <w:rPr>
          <w:b/>
          <w:i/>
        </w:rPr>
      </w:pPr>
      <w:r w:rsidRPr="00F87E34">
        <w:rPr>
          <w:b/>
          <w:i/>
        </w:rPr>
        <w:br w:type="page"/>
      </w:r>
    </w:p>
    <w:p w14:paraId="73BD7537" w14:textId="77777777" w:rsidR="00467BD1" w:rsidRPr="003D0BF3" w:rsidRDefault="00467BD1" w:rsidP="00046C2C">
      <w:pPr>
        <w:pStyle w:val="bulnot"/>
        <w:widowControl w:val="0"/>
        <w:tabs>
          <w:tab w:val="clear" w:pos="851"/>
        </w:tabs>
        <w:spacing w:before="840"/>
        <w:ind w:left="0" w:right="0" w:firstLine="0"/>
        <w:jc w:val="left"/>
        <w:rPr>
          <w:rFonts w:cs="Arial"/>
          <w:iCs/>
          <w:smallCaps/>
          <w:color w:val="auto"/>
          <w:spacing w:val="0"/>
          <w:sz w:val="24"/>
          <w:szCs w:val="24"/>
        </w:rPr>
      </w:pPr>
      <w:r w:rsidRPr="003D0BF3">
        <w:rPr>
          <w:rFonts w:cs="Arial"/>
          <w:iCs/>
          <w:smallCaps/>
          <w:color w:val="auto"/>
          <w:spacing w:val="0"/>
          <w:sz w:val="24"/>
          <w:szCs w:val="24"/>
        </w:rPr>
        <w:lastRenderedPageBreak/>
        <w:t>Cifras originales</w:t>
      </w:r>
    </w:p>
    <w:p w14:paraId="1238ACB9" w14:textId="64F90A4B" w:rsidR="00B04C48" w:rsidRPr="00F87E34" w:rsidRDefault="00B04C48" w:rsidP="00B04C48">
      <w:pPr>
        <w:widowControl w:val="0"/>
        <w:spacing w:before="360"/>
        <w:jc w:val="center"/>
        <w:rPr>
          <w:sz w:val="20"/>
          <w:szCs w:val="20"/>
        </w:rPr>
      </w:pPr>
      <w:r w:rsidRPr="00F87E34">
        <w:rPr>
          <w:sz w:val="20"/>
          <w:szCs w:val="20"/>
        </w:rPr>
        <w:t>Cuadro 2</w:t>
      </w:r>
    </w:p>
    <w:p w14:paraId="2346EA09" w14:textId="7C78758A" w:rsidR="00B04C48" w:rsidRPr="00F87E34" w:rsidRDefault="008679CD" w:rsidP="00B04C48">
      <w:pPr>
        <w:widowControl w:val="0"/>
        <w:jc w:val="center"/>
        <w:rPr>
          <w:b/>
          <w:smallCaps/>
          <w:sz w:val="22"/>
          <w:szCs w:val="22"/>
        </w:rPr>
      </w:pPr>
      <w:r w:rsidRPr="00F87E34">
        <w:rPr>
          <w:b/>
          <w:smallCaps/>
          <w:sz w:val="22"/>
          <w:szCs w:val="22"/>
        </w:rPr>
        <w:t xml:space="preserve">Indicadores de las empresas comerciales </w:t>
      </w:r>
      <w:r w:rsidR="008B4B23" w:rsidRPr="00F87E34">
        <w:rPr>
          <w:b/>
          <w:smallCaps/>
          <w:sz w:val="22"/>
          <w:szCs w:val="22"/>
        </w:rPr>
        <w:br/>
      </w:r>
      <w:r w:rsidR="00B04C48" w:rsidRPr="00F87E34">
        <w:rPr>
          <w:b/>
          <w:smallCaps/>
          <w:sz w:val="22"/>
          <w:szCs w:val="22"/>
        </w:rPr>
        <w:t>por sector y s</w:t>
      </w:r>
      <w:r w:rsidR="00E24EF0" w:rsidRPr="00F87E34">
        <w:rPr>
          <w:b/>
          <w:smallCaps/>
          <w:sz w:val="22"/>
          <w:szCs w:val="22"/>
        </w:rPr>
        <w:t>ubs</w:t>
      </w:r>
      <w:r w:rsidR="00B04C48" w:rsidRPr="00F87E34">
        <w:rPr>
          <w:b/>
          <w:smallCaps/>
          <w:sz w:val="22"/>
          <w:szCs w:val="22"/>
        </w:rPr>
        <w:t>ector de actividad</w:t>
      </w:r>
      <w:r w:rsidR="00B04C48" w:rsidRPr="00F87E34">
        <w:rPr>
          <w:b/>
          <w:smallCaps/>
          <w:sz w:val="22"/>
          <w:szCs w:val="22"/>
        </w:rPr>
        <w:br/>
      </w:r>
      <w:r w:rsidR="00071749">
        <w:rPr>
          <w:b/>
          <w:smallCaps/>
          <w:sz w:val="22"/>
          <w:szCs w:val="22"/>
        </w:rPr>
        <w:t>agost</w:t>
      </w:r>
      <w:r w:rsidR="009006EA">
        <w:rPr>
          <w:b/>
          <w:smallCaps/>
          <w:sz w:val="22"/>
          <w:szCs w:val="22"/>
        </w:rPr>
        <w:t>o</w:t>
      </w:r>
      <w:r w:rsidR="00764A06" w:rsidRPr="00F87E34">
        <w:rPr>
          <w:b/>
          <w:smallCaps/>
          <w:sz w:val="10"/>
          <w:szCs w:val="22"/>
        </w:rPr>
        <w:t xml:space="preserve"> </w:t>
      </w:r>
      <w:r w:rsidR="00B04C48" w:rsidRPr="00F87E34">
        <w:rPr>
          <w:b/>
          <w:sz w:val="22"/>
          <w:szCs w:val="22"/>
          <w:vertAlign w:val="superscript"/>
        </w:rPr>
        <w:t>p</w:t>
      </w:r>
      <w:r w:rsidR="00B04C48" w:rsidRPr="00F87E34">
        <w:rPr>
          <w:b/>
          <w:smallCaps/>
          <w:sz w:val="22"/>
          <w:szCs w:val="22"/>
          <w:vertAlign w:val="superscript"/>
        </w:rPr>
        <w:t>/</w:t>
      </w:r>
      <w:r w:rsidR="00B04C48" w:rsidRPr="00F87E34">
        <w:rPr>
          <w:b/>
          <w:smallCaps/>
          <w:sz w:val="22"/>
          <w:szCs w:val="22"/>
        </w:rPr>
        <w:t xml:space="preserve"> de 202</w:t>
      </w:r>
      <w:r w:rsidR="00D664F1">
        <w:rPr>
          <w:b/>
          <w:smallCaps/>
          <w:sz w:val="22"/>
          <w:szCs w:val="22"/>
        </w:rPr>
        <w:t>2</w:t>
      </w:r>
    </w:p>
    <w:p w14:paraId="77063F05" w14:textId="77777777" w:rsidR="00B36B9B" w:rsidRPr="00F87E34" w:rsidRDefault="00B36B9B" w:rsidP="00B36B9B">
      <w:pPr>
        <w:widowControl w:val="0"/>
        <w:jc w:val="center"/>
        <w:rPr>
          <w:smallCaps/>
          <w:sz w:val="18"/>
          <w:szCs w:val="18"/>
        </w:rPr>
      </w:pPr>
      <w:r w:rsidRPr="00F87E34">
        <w:rPr>
          <w:smallCaps/>
          <w:sz w:val="18"/>
          <w:szCs w:val="18"/>
        </w:rPr>
        <w:t>(</w:t>
      </w:r>
      <w:r w:rsidRPr="00F87E34">
        <w:rPr>
          <w:bCs/>
          <w:sz w:val="18"/>
          <w:szCs w:val="18"/>
        </w:rPr>
        <w:t>Variación porcentual anual)</w:t>
      </w:r>
    </w:p>
    <w:tbl>
      <w:tblPr>
        <w:tblW w:w="50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208"/>
        <w:gridCol w:w="1035"/>
        <w:gridCol w:w="882"/>
        <w:gridCol w:w="910"/>
        <w:gridCol w:w="952"/>
        <w:gridCol w:w="987"/>
      </w:tblGrid>
      <w:tr w:rsidR="00B36B9B" w:rsidRPr="00F87E34" w14:paraId="344B0139" w14:textId="77777777" w:rsidTr="00B36B9B">
        <w:trPr>
          <w:trHeight w:val="397"/>
        </w:trPr>
        <w:tc>
          <w:tcPr>
            <w:tcW w:w="4624" w:type="dxa"/>
            <w:gridSpan w:val="2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28D10EA" w14:textId="2420AE42" w:rsidR="00B36B9B" w:rsidRPr="00F87E34" w:rsidRDefault="00B36B9B" w:rsidP="00060F31">
            <w:pPr>
              <w:ind w:firstLine="34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Sector y Subsector de actividad</w:t>
            </w:r>
          </w:p>
        </w:tc>
        <w:tc>
          <w:tcPr>
            <w:tcW w:w="1035" w:type="dxa"/>
            <w:vMerge w:val="restart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28CEE34F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 xml:space="preserve">Ingresos por suministro de bienes y servicios </w:t>
            </w:r>
            <w:r w:rsidRPr="00F87E34">
              <w:rPr>
                <w:position w:val="-2"/>
                <w:sz w:val="18"/>
                <w:szCs w:val="16"/>
                <w:vertAlign w:val="superscript"/>
                <w:lang w:val="es-MX" w:eastAsia="es-MX"/>
              </w:rPr>
              <w:t>1/</w:t>
            </w:r>
          </w:p>
        </w:tc>
        <w:tc>
          <w:tcPr>
            <w:tcW w:w="2744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23F322BF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Personal ocupado</w:t>
            </w:r>
          </w:p>
        </w:tc>
        <w:tc>
          <w:tcPr>
            <w:tcW w:w="987" w:type="dxa"/>
            <w:vMerge w:val="restart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4188B315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Remune-raciones medias reales</w:t>
            </w:r>
          </w:p>
        </w:tc>
      </w:tr>
      <w:tr w:rsidR="00B36B9B" w:rsidRPr="00F87E34" w14:paraId="38CD74B5" w14:textId="77777777" w:rsidTr="00184034">
        <w:trPr>
          <w:trHeight w:val="397"/>
        </w:trPr>
        <w:tc>
          <w:tcPr>
            <w:tcW w:w="4624" w:type="dxa"/>
            <w:gridSpan w:val="2"/>
            <w:vMerge/>
            <w:tcBorders>
              <w:left w:val="single" w:sz="8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3C7AC452" w14:textId="0F6F7BEB" w:rsidR="00B36B9B" w:rsidRPr="00F87E34" w:rsidRDefault="00B36B9B" w:rsidP="007562D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35" w:type="dxa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4CCA44BF" w14:textId="77777777" w:rsidR="00B36B9B" w:rsidRPr="00F87E34" w:rsidRDefault="00B36B9B" w:rsidP="007562DF">
            <w:pPr>
              <w:jc w:val="lef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88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06BC2DC1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9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C33FAD5" w14:textId="77777777" w:rsidR="00B36B9B" w:rsidRPr="00F87E34" w:rsidRDefault="00B36B9B" w:rsidP="007562DF">
            <w:pPr>
              <w:ind w:left="-83" w:right="-83"/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Depen-</w:t>
            </w:r>
            <w:r w:rsidRPr="00F87E34">
              <w:rPr>
                <w:sz w:val="16"/>
                <w:szCs w:val="16"/>
                <w:lang w:val="es-MX" w:eastAsia="es-MX"/>
              </w:rPr>
              <w:br/>
              <w:t xml:space="preserve">diente </w:t>
            </w:r>
          </w:p>
        </w:tc>
        <w:tc>
          <w:tcPr>
            <w:tcW w:w="9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12AC6A5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 xml:space="preserve">Suminis-trado </w:t>
            </w:r>
            <w:r w:rsidRPr="00F87E34">
              <w:rPr>
                <w:position w:val="-2"/>
                <w:sz w:val="18"/>
                <w:szCs w:val="16"/>
                <w:vertAlign w:val="superscript"/>
                <w:lang w:val="es-MX" w:eastAsia="es-MX"/>
              </w:rPr>
              <w:t>2/</w:t>
            </w:r>
          </w:p>
        </w:tc>
        <w:tc>
          <w:tcPr>
            <w:tcW w:w="987" w:type="dxa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11139F28" w14:textId="77777777" w:rsidR="00B36B9B" w:rsidRPr="00F87E34" w:rsidRDefault="00B36B9B" w:rsidP="007562DF">
            <w:pPr>
              <w:jc w:val="left"/>
              <w:rPr>
                <w:sz w:val="16"/>
                <w:szCs w:val="16"/>
                <w:lang w:val="es-MX" w:eastAsia="es-MX"/>
              </w:rPr>
            </w:pPr>
          </w:p>
        </w:tc>
      </w:tr>
      <w:tr w:rsidR="007D45DD" w:rsidRPr="00F87E34" w14:paraId="4C8E3D86" w14:textId="77777777" w:rsidTr="007D45DD">
        <w:trPr>
          <w:trHeight w:val="283"/>
        </w:trPr>
        <w:tc>
          <w:tcPr>
            <w:tcW w:w="416" w:type="dxa"/>
            <w:tcBorders>
              <w:top w:val="single" w:sz="6" w:space="0" w:color="404040"/>
              <w:left w:val="single" w:sz="8" w:space="0" w:color="262626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60E145DA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43</w:t>
            </w:r>
          </w:p>
        </w:tc>
        <w:tc>
          <w:tcPr>
            <w:tcW w:w="420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3D41B44E" w14:textId="787CBD1F" w:rsidR="007D45DD" w:rsidRPr="00F87E34" w:rsidRDefault="007D45DD" w:rsidP="007D45DD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Comercio al por mayor de:</w:t>
            </w:r>
          </w:p>
        </w:tc>
        <w:tc>
          <w:tcPr>
            <w:tcW w:w="1035" w:type="dxa"/>
            <w:tcBorders>
              <w:top w:val="single" w:sz="6" w:space="0" w:color="404040"/>
              <w:left w:val="single" w:sz="6" w:space="0" w:color="40404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CAEF4B2" w14:textId="2A602AA3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82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EEE1AC4" w14:textId="19539606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10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F85C3B2" w14:textId="78A0DD61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52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9B14C1F" w14:textId="63D48E49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-33.9</w:t>
            </w:r>
          </w:p>
        </w:tc>
        <w:tc>
          <w:tcPr>
            <w:tcW w:w="987" w:type="dxa"/>
            <w:tcBorders>
              <w:top w:val="single" w:sz="6" w:space="0" w:color="404040"/>
              <w:left w:val="nil"/>
              <w:right w:val="single" w:sz="8" w:space="0" w:color="262626"/>
            </w:tcBorders>
            <w:shd w:val="clear" w:color="auto" w:fill="EAF1DD" w:themeFill="accent3" w:themeFillTint="33"/>
            <w:vAlign w:val="center"/>
            <w:hideMark/>
          </w:tcPr>
          <w:p w14:paraId="41C20D8A" w14:textId="3E7F780C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-2.8</w:t>
            </w:r>
          </w:p>
        </w:tc>
      </w:tr>
      <w:tr w:rsidR="007D45DD" w:rsidRPr="00F87E34" w14:paraId="04751D10" w14:textId="77777777" w:rsidTr="007D45DD">
        <w:trPr>
          <w:trHeight w:val="283"/>
        </w:trPr>
        <w:tc>
          <w:tcPr>
            <w:tcW w:w="416" w:type="dxa"/>
            <w:tcBorders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7DB2815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431</w:t>
            </w:r>
          </w:p>
        </w:tc>
        <w:tc>
          <w:tcPr>
            <w:tcW w:w="4208" w:type="dxa"/>
            <w:tcBorders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D9D5E67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Abarrotes, alimentos, bebidas, hielo y tabaco</w:t>
            </w:r>
          </w:p>
        </w:tc>
        <w:tc>
          <w:tcPr>
            <w:tcW w:w="1035" w:type="dxa"/>
            <w:tcBorders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93B9F24" w14:textId="5105C437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3D0BF3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8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F54D629" w14:textId="3234DE07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910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4A8B192" w14:textId="10D1CA06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95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6B0FD3D" w14:textId="418C235B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-11.0</w:t>
            </w:r>
          </w:p>
        </w:tc>
        <w:tc>
          <w:tcPr>
            <w:tcW w:w="987" w:type="dxa"/>
            <w:tcBorders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6EEFE6C6" w14:textId="6E59761A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-4.5</w:t>
            </w:r>
          </w:p>
        </w:tc>
      </w:tr>
      <w:tr w:rsidR="007D45DD" w:rsidRPr="00F87E34" w14:paraId="452CD110" w14:textId="77777777" w:rsidTr="007D45D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BE8AE47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432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4872ADDD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textiles y calzado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284C97B" w14:textId="288C3821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3D0BF3">
              <w:rPr>
                <w:color w:val="000000"/>
                <w:sz w:val="16"/>
                <w:szCs w:val="16"/>
              </w:rPr>
              <w:t>15.1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B32577C" w14:textId="3407FDCC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-12.6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5532E28" w14:textId="6E9D034F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71.9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31E5C9E" w14:textId="23359727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-81.6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1ED3FA0F" w14:textId="113AAC4C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17.7</w:t>
            </w:r>
          </w:p>
        </w:tc>
      </w:tr>
      <w:tr w:rsidR="007D45DD" w:rsidRPr="00F87E34" w14:paraId="498900B9" w14:textId="77777777" w:rsidTr="007D45DD">
        <w:trPr>
          <w:trHeight w:val="624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35D34D1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433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9C0263F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farmacéuticos, de perfumería, artículos para el esparcimiento, electrodomésticos menores y aparatos de línea blanca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B87FD14" w14:textId="31D769B5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3D0BF3"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B04B8F7" w14:textId="6A4B131F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F38A743" w14:textId="19781706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26.7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B756C69" w14:textId="46ACB036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-76.6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42CCE564" w14:textId="56E10FE0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-4.9</w:t>
            </w:r>
          </w:p>
        </w:tc>
      </w:tr>
      <w:tr w:rsidR="007D45DD" w:rsidRPr="00F87E34" w14:paraId="4F025BDA" w14:textId="77777777" w:rsidTr="007D45D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7ED996B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434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1235A09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Materias primas agropecuarias y forestales, para la industria, y materiales de desecho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4420601" w14:textId="71843427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3D0BF3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3ED1C13" w14:textId="4528AF31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A5AB1DD" w14:textId="5716A28F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4661E29" w14:textId="05AFA435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-51.5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6C9FF18B" w14:textId="02609F93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-2.4</w:t>
            </w:r>
          </w:p>
        </w:tc>
      </w:tr>
      <w:tr w:rsidR="007D45DD" w:rsidRPr="00F87E34" w14:paraId="072391FF" w14:textId="77777777" w:rsidTr="007D45DD">
        <w:trPr>
          <w:trHeight w:val="624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88AABDD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435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AF005D0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Maquinaria, equipo y mobiliario para actividades agropecuarias, industriales, de servicios y comerciales, y de otra maquinaria y equipo de uso general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51BF62D" w14:textId="70BF4865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3D0BF3">
              <w:rPr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CBFC854" w14:textId="16EDAEF9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4753043" w14:textId="38792E1D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EC9239F" w14:textId="1BA85628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-39.7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35688E30" w14:textId="6168BD53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-1.3</w:t>
            </w:r>
          </w:p>
        </w:tc>
      </w:tr>
      <w:tr w:rsidR="007D45DD" w:rsidRPr="00F87E34" w14:paraId="72DBA81D" w14:textId="77777777" w:rsidTr="007D45D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AA48CD8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436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5BC36ED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Camiones y de partes y refacciones nuevas para automóviles, camionetas y camiones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093F0B2" w14:textId="0AA3D668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3D0BF3">
              <w:rPr>
                <w:color w:val="000000"/>
                <w:sz w:val="16"/>
                <w:szCs w:val="16"/>
              </w:rPr>
              <w:t>19.4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685CB41" w14:textId="23CB1E82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5D380B7" w14:textId="31EAA56C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13.1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DFDA8F3" w14:textId="48892468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-51.5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7473C29" w14:textId="3CA17785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-0.1</w:t>
            </w:r>
          </w:p>
        </w:tc>
      </w:tr>
      <w:tr w:rsidR="007D45DD" w:rsidRPr="00F87E34" w14:paraId="2D6F710B" w14:textId="77777777" w:rsidTr="007D45D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FCD5BB7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437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4446CFF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Intermediación de comercio al por mayor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right w:val="nil"/>
            </w:tcBorders>
            <w:shd w:val="clear" w:color="auto" w:fill="auto"/>
            <w:vAlign w:val="center"/>
            <w:hideMark/>
          </w:tcPr>
          <w:p w14:paraId="401653AB" w14:textId="6BC2ED69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3D0BF3">
              <w:rPr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94A994" w14:textId="0B8C81BA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3A602A" w14:textId="0B711F6C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20.5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881D72" w14:textId="5E0932BF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-89.1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3DE97BA" w14:textId="0FBD088C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-12.3</w:t>
            </w:r>
          </w:p>
        </w:tc>
      </w:tr>
      <w:tr w:rsidR="007D45DD" w:rsidRPr="00F87E34" w14:paraId="6735D5AA" w14:textId="77777777" w:rsidTr="007D45DD">
        <w:trPr>
          <w:trHeight w:val="283"/>
        </w:trPr>
        <w:tc>
          <w:tcPr>
            <w:tcW w:w="416" w:type="dxa"/>
            <w:tcBorders>
              <w:left w:val="single" w:sz="8" w:space="0" w:color="262626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27508EDC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46</w:t>
            </w:r>
          </w:p>
        </w:tc>
        <w:tc>
          <w:tcPr>
            <w:tcW w:w="420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58855BEC" w14:textId="647050A3" w:rsidR="007D45DD" w:rsidRPr="00F87E34" w:rsidRDefault="007D45DD" w:rsidP="007D45DD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Comercio al por menor de:</w:t>
            </w:r>
          </w:p>
        </w:tc>
        <w:tc>
          <w:tcPr>
            <w:tcW w:w="1035" w:type="dxa"/>
            <w:tcBorders>
              <w:left w:val="single" w:sz="6" w:space="0" w:color="40404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F2449F3" w14:textId="3E09F4BA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4.7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E35A140" w14:textId="1E7AC085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910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A781A5F" w14:textId="1C4E9772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52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C988DC0" w14:textId="4BD9F13A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-44.0</w:t>
            </w:r>
          </w:p>
        </w:tc>
        <w:tc>
          <w:tcPr>
            <w:tcW w:w="987" w:type="dxa"/>
            <w:tcBorders>
              <w:left w:val="nil"/>
              <w:right w:val="single" w:sz="8" w:space="0" w:color="262626"/>
            </w:tcBorders>
            <w:shd w:val="clear" w:color="auto" w:fill="EAF1DD" w:themeFill="accent3" w:themeFillTint="33"/>
            <w:vAlign w:val="center"/>
            <w:hideMark/>
          </w:tcPr>
          <w:p w14:paraId="2382AD0F" w14:textId="6B8994C9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D0BF3">
              <w:rPr>
                <w:b/>
                <w:bCs/>
                <w:color w:val="000000"/>
                <w:sz w:val="16"/>
                <w:szCs w:val="16"/>
              </w:rPr>
              <w:t>3.8</w:t>
            </w:r>
          </w:p>
        </w:tc>
      </w:tr>
      <w:tr w:rsidR="007D45DD" w:rsidRPr="00F87E34" w14:paraId="32848E11" w14:textId="77777777" w:rsidTr="007D45DD">
        <w:trPr>
          <w:trHeight w:val="283"/>
        </w:trPr>
        <w:tc>
          <w:tcPr>
            <w:tcW w:w="416" w:type="dxa"/>
            <w:tcBorders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752C3F6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461</w:t>
            </w:r>
          </w:p>
        </w:tc>
        <w:tc>
          <w:tcPr>
            <w:tcW w:w="4208" w:type="dxa"/>
            <w:tcBorders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D3468BE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Abarrotes, alimentos, bebidas, hielo y tabaco</w:t>
            </w:r>
          </w:p>
        </w:tc>
        <w:tc>
          <w:tcPr>
            <w:tcW w:w="1035" w:type="dxa"/>
            <w:tcBorders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EA31997" w14:textId="49A6785E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-3.2</w:t>
            </w:r>
          </w:p>
        </w:tc>
        <w:tc>
          <w:tcPr>
            <w:tcW w:w="88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2198429" w14:textId="3626620E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-4.4</w:t>
            </w:r>
          </w:p>
        </w:tc>
        <w:tc>
          <w:tcPr>
            <w:tcW w:w="910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7EFC540" w14:textId="215782A4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-4.5</w:t>
            </w:r>
          </w:p>
        </w:tc>
        <w:tc>
          <w:tcPr>
            <w:tcW w:w="95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46F1678" w14:textId="493FABD3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-39.5</w:t>
            </w:r>
          </w:p>
        </w:tc>
        <w:tc>
          <w:tcPr>
            <w:tcW w:w="987" w:type="dxa"/>
            <w:tcBorders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4BDDAEC" w14:textId="2C175CAC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6.0</w:t>
            </w:r>
          </w:p>
        </w:tc>
      </w:tr>
      <w:tr w:rsidR="007D45DD" w:rsidRPr="00F87E34" w14:paraId="5C58B343" w14:textId="77777777" w:rsidTr="007D45D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24ADF3F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462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D6328CA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Tiendas de autoservicio y departamentales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0208A00" w14:textId="34052AC2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B5AF9D2" w14:textId="2EDEFCF2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C2E9C45" w14:textId="365B2F34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16.0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32DD8A2" w14:textId="0E4640E8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-33.4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0DCA952" w14:textId="5C09C1A9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11.9</w:t>
            </w:r>
          </w:p>
        </w:tc>
      </w:tr>
      <w:tr w:rsidR="007D45DD" w:rsidRPr="00F87E34" w14:paraId="5A744CB7" w14:textId="77777777" w:rsidTr="007D45D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1E1F093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463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3D70C12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textiles, bisutería, accesorios de vestir y calzado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BF6F21E" w14:textId="1BA1D09F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29.4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BB35219" w14:textId="400C2246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-0.8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96163D3" w14:textId="07EE20CB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83F47DA" w14:textId="458F5ACC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-59.7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EB46ADC" w14:textId="037A14BB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1.3</w:t>
            </w:r>
          </w:p>
        </w:tc>
      </w:tr>
      <w:tr w:rsidR="007D45DD" w:rsidRPr="00F87E34" w14:paraId="33215329" w14:textId="77777777" w:rsidTr="007D45D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AAFFDAB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464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CA36643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para el cuidado de la salud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396C359" w14:textId="4C85709C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-4.1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9D11135" w14:textId="7F69001F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-0.5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48E2366" w14:textId="1D87D734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BF0F7B7" w14:textId="61AB99E7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-52.4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65C0465" w14:textId="0DAB4130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-1.4</w:t>
            </w:r>
          </w:p>
        </w:tc>
      </w:tr>
      <w:tr w:rsidR="007D45DD" w:rsidRPr="00F87E34" w14:paraId="160D6936" w14:textId="77777777" w:rsidTr="007D45D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08015C7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465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CD02A83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de papelería, para el esparcimiento y otros artículos de uso personal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8FBDEC7" w14:textId="0DD489C5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16.4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19E1D15" w14:textId="3BFC255B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-0.9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9CE8F95" w14:textId="3C4FAFF0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46748FB" w14:textId="76FB5B99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-78.1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96796B4" w14:textId="2B4666EE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1.5</w:t>
            </w:r>
          </w:p>
        </w:tc>
      </w:tr>
      <w:tr w:rsidR="007D45DD" w:rsidRPr="00F87E34" w14:paraId="2AA68ED6" w14:textId="77777777" w:rsidTr="007D45D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B89ECCC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466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54E2015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Enseres domésticos, computadoras, artículos para la decoración de interiores y artículos usados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1319487" w14:textId="383B7B51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61BE326" w14:textId="7BC03AF4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6E5F60E" w14:textId="30BE7C1E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F1D5B56" w14:textId="6E2B9DA2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-70.4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445F3CC" w14:textId="52CD02FA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-1.8</w:t>
            </w:r>
          </w:p>
        </w:tc>
      </w:tr>
      <w:tr w:rsidR="007D45DD" w:rsidRPr="00F87E34" w14:paraId="2C70ACB2" w14:textId="77777777" w:rsidTr="007D45DD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2C26449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467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68E155F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de ferretería, tlapalería y vidrios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3D6909E" w14:textId="52054CD0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976AC3B" w14:textId="07281211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8BA1B11" w14:textId="54C6FD78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6AD2788" w14:textId="458153A9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-17.9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5BD24367" w14:textId="1AE0E594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-1.2</w:t>
            </w:r>
          </w:p>
        </w:tc>
      </w:tr>
      <w:tr w:rsidR="007D45DD" w:rsidRPr="00F87E34" w14:paraId="31AC8348" w14:textId="77777777" w:rsidTr="007D45D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99E002D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468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D79C48B" w14:textId="77777777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Vehículos de motor, refacciones, combustibles y lubricantes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375EEA1" w14:textId="22F4E463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E5039B4" w14:textId="67D869A6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-2.0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6C29677" w14:textId="38D20918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2133889" w14:textId="44D2436A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-46.1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66CA96D" w14:textId="7BB4FB58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7D45DD" w:rsidRPr="00F87E34" w14:paraId="16EF790E" w14:textId="77777777" w:rsidTr="007D45DD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single" w:sz="8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42351BFA" w14:textId="77777777" w:rsidR="007D45DD" w:rsidRPr="00F87E34" w:rsidRDefault="007D45DD" w:rsidP="007D45DD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469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single" w:sz="8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A7F0FDA" w14:textId="7C65F00D" w:rsidR="007D45DD" w:rsidRPr="00F87E34" w:rsidRDefault="007D45DD" w:rsidP="007D45DD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 xml:space="preserve">Exclusivamente a través de </w:t>
            </w:r>
            <w:r w:rsidR="003D0BF3">
              <w:rPr>
                <w:color w:val="000000"/>
                <w:sz w:val="16"/>
                <w:szCs w:val="16"/>
                <w:lang w:val="es-MX" w:eastAsia="es-MX"/>
              </w:rPr>
              <w:t>i</w:t>
            </w:r>
            <w:r w:rsidRPr="00F87E34">
              <w:rPr>
                <w:color w:val="000000"/>
                <w:sz w:val="16"/>
                <w:szCs w:val="16"/>
                <w:lang w:val="es-MX" w:eastAsia="es-MX"/>
              </w:rPr>
              <w:t>nternet, y catálogos impresos, televisión y similares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478FE35B" w14:textId="582AC33C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-3.2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7611E6A2" w14:textId="77BC5E11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42.4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27C9C71E" w14:textId="72A19E55" w:rsidR="007D45DD" w:rsidRPr="003D0BF3" w:rsidRDefault="007D45DD" w:rsidP="007D45DD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61.7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02E8A3E4" w14:textId="758D81CA" w:rsidR="007D45DD" w:rsidRPr="003D0BF3" w:rsidRDefault="007D45DD" w:rsidP="007D45DD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-33.0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31E41B13" w14:textId="696DC671" w:rsidR="007D45DD" w:rsidRPr="003D0BF3" w:rsidRDefault="007D45DD" w:rsidP="007D45DD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3D0BF3">
              <w:rPr>
                <w:color w:val="000000"/>
                <w:sz w:val="16"/>
                <w:szCs w:val="16"/>
              </w:rPr>
              <w:t>-41.6</w:t>
            </w:r>
          </w:p>
        </w:tc>
      </w:tr>
    </w:tbl>
    <w:p w14:paraId="5F97FDE6" w14:textId="5045007D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sz w:val="18"/>
          <w:szCs w:val="18"/>
          <w:vertAlign w:val="superscript"/>
        </w:rPr>
        <w:t>p/</w:t>
      </w:r>
      <w:r w:rsidRPr="00F87E34">
        <w:rPr>
          <w:color w:val="auto"/>
          <w:sz w:val="18"/>
          <w:szCs w:val="18"/>
          <w:vertAlign w:val="superscript"/>
        </w:rPr>
        <w:tab/>
      </w:r>
      <w:r w:rsidRPr="00F87E34">
        <w:rPr>
          <w:color w:val="auto"/>
          <w:sz w:val="16"/>
          <w:szCs w:val="16"/>
        </w:rPr>
        <w:t>Cifras preliminares</w:t>
      </w:r>
    </w:p>
    <w:p w14:paraId="64F45C1C" w14:textId="02309062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1/</w:t>
      </w:r>
      <w:r w:rsidRPr="00F87E34">
        <w:rPr>
          <w:color w:val="auto"/>
          <w:sz w:val="16"/>
          <w:szCs w:val="16"/>
        </w:rPr>
        <w:tab/>
        <w:t>En términos reales</w:t>
      </w:r>
    </w:p>
    <w:p w14:paraId="463B45BC" w14:textId="62EC0721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2/</w:t>
      </w:r>
      <w:r w:rsidRPr="00F87E34">
        <w:rPr>
          <w:color w:val="auto"/>
          <w:sz w:val="16"/>
          <w:szCs w:val="16"/>
        </w:rPr>
        <w:tab/>
        <w:t>Personal ocupado suministrado por otra razón social</w:t>
      </w:r>
    </w:p>
    <w:p w14:paraId="0D7E8C2C" w14:textId="0709193D" w:rsidR="00B04C48" w:rsidRPr="00F87E34" w:rsidRDefault="00B04C48" w:rsidP="00B04C48">
      <w:pPr>
        <w:pStyle w:val="Textoindependiente"/>
        <w:widowControl w:val="0"/>
        <w:tabs>
          <w:tab w:val="left" w:pos="1232"/>
        </w:tabs>
        <w:spacing w:before="0"/>
        <w:ind w:left="700" w:hanging="560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</w:t>
      </w:r>
      <w:r w:rsidRPr="00F87E34">
        <w:rPr>
          <w:color w:val="auto"/>
          <w:sz w:val="16"/>
          <w:szCs w:val="16"/>
        </w:rPr>
        <w:tab/>
        <w:t>INEGI</w:t>
      </w:r>
    </w:p>
    <w:p w14:paraId="38F72E09" w14:textId="77777777" w:rsidR="00B04C48" w:rsidRPr="00F87E34" w:rsidRDefault="00B04C48">
      <w:pPr>
        <w:jc w:val="left"/>
        <w:rPr>
          <w:sz w:val="20"/>
          <w:szCs w:val="20"/>
        </w:rPr>
      </w:pPr>
      <w:r w:rsidRPr="00F87E34">
        <w:rPr>
          <w:sz w:val="20"/>
          <w:szCs w:val="20"/>
        </w:rPr>
        <w:br w:type="page"/>
      </w:r>
    </w:p>
    <w:p w14:paraId="4646C032" w14:textId="7C03CDB2" w:rsidR="00467BD1" w:rsidRPr="00F87E34" w:rsidRDefault="00467BD1" w:rsidP="00CA2057">
      <w:pPr>
        <w:widowControl w:val="0"/>
        <w:spacing w:before="360"/>
        <w:jc w:val="center"/>
        <w:rPr>
          <w:sz w:val="20"/>
          <w:szCs w:val="20"/>
        </w:rPr>
      </w:pPr>
      <w:r w:rsidRPr="00F87E34">
        <w:rPr>
          <w:sz w:val="20"/>
          <w:szCs w:val="20"/>
        </w:rPr>
        <w:lastRenderedPageBreak/>
        <w:t xml:space="preserve">Cuadro </w:t>
      </w:r>
      <w:r w:rsidR="00B04C48" w:rsidRPr="00F87E34">
        <w:rPr>
          <w:sz w:val="20"/>
          <w:szCs w:val="20"/>
        </w:rPr>
        <w:t>3</w:t>
      </w:r>
    </w:p>
    <w:p w14:paraId="23480E1D" w14:textId="5619FF23" w:rsidR="00467BD1" w:rsidRPr="00F87E34" w:rsidRDefault="008679CD" w:rsidP="00CA2057">
      <w:pPr>
        <w:widowControl w:val="0"/>
        <w:jc w:val="center"/>
        <w:rPr>
          <w:b/>
          <w:smallCaps/>
          <w:sz w:val="22"/>
          <w:szCs w:val="22"/>
        </w:rPr>
      </w:pPr>
      <w:r w:rsidRPr="00F87E34">
        <w:rPr>
          <w:b/>
          <w:smallCaps/>
          <w:sz w:val="22"/>
          <w:szCs w:val="22"/>
        </w:rPr>
        <w:t xml:space="preserve">Indicadores de las empresas comerciales </w:t>
      </w:r>
      <w:r w:rsidR="00467BD1" w:rsidRPr="00F87E34">
        <w:rPr>
          <w:b/>
          <w:smallCaps/>
          <w:sz w:val="22"/>
          <w:szCs w:val="22"/>
        </w:rPr>
        <w:br/>
        <w:t xml:space="preserve">por entidad federativa según sector de actividad </w:t>
      </w:r>
      <w:r w:rsidR="00467BD1" w:rsidRPr="00F87E34">
        <w:rPr>
          <w:b/>
          <w:smallCaps/>
          <w:sz w:val="22"/>
          <w:szCs w:val="22"/>
        </w:rPr>
        <w:br/>
      </w:r>
      <w:r w:rsidR="00071749">
        <w:rPr>
          <w:b/>
          <w:smallCaps/>
          <w:sz w:val="22"/>
          <w:szCs w:val="22"/>
        </w:rPr>
        <w:t>agosto</w:t>
      </w:r>
      <w:r w:rsidR="00B04C48" w:rsidRPr="00F87E34">
        <w:rPr>
          <w:b/>
          <w:smallCaps/>
          <w:sz w:val="10"/>
          <w:szCs w:val="22"/>
          <w:vertAlign w:val="superscript"/>
        </w:rPr>
        <w:t xml:space="preserve"> </w:t>
      </w:r>
      <w:r w:rsidR="00467BD1" w:rsidRPr="00F87E34">
        <w:rPr>
          <w:b/>
          <w:sz w:val="22"/>
          <w:szCs w:val="22"/>
          <w:vertAlign w:val="superscript"/>
        </w:rPr>
        <w:t>p</w:t>
      </w:r>
      <w:r w:rsidR="00467BD1" w:rsidRPr="00F87E34">
        <w:rPr>
          <w:b/>
          <w:smallCaps/>
          <w:sz w:val="22"/>
          <w:szCs w:val="22"/>
          <w:vertAlign w:val="superscript"/>
        </w:rPr>
        <w:t>/</w:t>
      </w:r>
      <w:r w:rsidR="00467BD1" w:rsidRPr="00F87E34">
        <w:rPr>
          <w:b/>
          <w:smallCaps/>
          <w:sz w:val="22"/>
          <w:szCs w:val="22"/>
        </w:rPr>
        <w:t xml:space="preserve"> de </w:t>
      </w:r>
      <w:r w:rsidR="00DF5A6D" w:rsidRPr="00F87E34">
        <w:rPr>
          <w:b/>
          <w:smallCaps/>
          <w:sz w:val="22"/>
          <w:szCs w:val="22"/>
        </w:rPr>
        <w:t>202</w:t>
      </w:r>
      <w:r w:rsidR="008967B4">
        <w:rPr>
          <w:b/>
          <w:smallCaps/>
          <w:sz w:val="22"/>
          <w:szCs w:val="22"/>
        </w:rPr>
        <w:t>2</w:t>
      </w:r>
    </w:p>
    <w:p w14:paraId="3B286955" w14:textId="1C4E837B" w:rsidR="00B36B9B" w:rsidRPr="00F87E34" w:rsidRDefault="00B36B9B" w:rsidP="00CA2057">
      <w:pPr>
        <w:widowControl w:val="0"/>
        <w:jc w:val="center"/>
        <w:rPr>
          <w:smallCaps/>
          <w:sz w:val="18"/>
          <w:szCs w:val="18"/>
        </w:rPr>
      </w:pPr>
      <w:r w:rsidRPr="00F87E34">
        <w:rPr>
          <w:smallCaps/>
          <w:sz w:val="18"/>
          <w:szCs w:val="18"/>
        </w:rPr>
        <w:t>(</w:t>
      </w:r>
      <w:r w:rsidRPr="00F87E34">
        <w:rPr>
          <w:bCs/>
          <w:sz w:val="18"/>
          <w:szCs w:val="18"/>
        </w:rPr>
        <w:t>Variación porcentual anual)</w:t>
      </w:r>
    </w:p>
    <w:tbl>
      <w:tblPr>
        <w:tblW w:w="8473" w:type="dxa"/>
        <w:jc w:val="center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991"/>
        <w:gridCol w:w="942"/>
        <w:gridCol w:w="1042"/>
        <w:gridCol w:w="991"/>
        <w:gridCol w:w="934"/>
        <w:gridCol w:w="1050"/>
      </w:tblGrid>
      <w:tr w:rsidR="00B36B9B" w:rsidRPr="00F87E34" w14:paraId="1D8941CF" w14:textId="77777777" w:rsidTr="00D664F1">
        <w:trPr>
          <w:trHeight w:val="20"/>
          <w:jc w:val="center"/>
        </w:trPr>
        <w:tc>
          <w:tcPr>
            <w:tcW w:w="2523" w:type="dxa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1E52411C" w14:textId="0A10A042" w:rsidR="00B36B9B" w:rsidRPr="00F87E34" w:rsidRDefault="00B36B9B" w:rsidP="00060F31">
            <w:pPr>
              <w:spacing w:before="20" w:after="20"/>
              <w:ind w:firstLine="125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Entidad</w:t>
            </w:r>
          </w:p>
        </w:tc>
        <w:tc>
          <w:tcPr>
            <w:tcW w:w="2975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4988917" w14:textId="77B30222" w:rsidR="00B36B9B" w:rsidRPr="00F87E34" w:rsidRDefault="00B36B9B" w:rsidP="00FB4F25">
            <w:pPr>
              <w:spacing w:before="40" w:after="40"/>
              <w:jc w:val="center"/>
              <w:rPr>
                <w:color w:val="000000"/>
                <w:sz w:val="16"/>
                <w:szCs w:val="18"/>
              </w:rPr>
            </w:pPr>
            <w:r w:rsidRPr="00F87E34">
              <w:rPr>
                <w:color w:val="000000"/>
                <w:sz w:val="16"/>
                <w:szCs w:val="18"/>
              </w:rPr>
              <w:t xml:space="preserve">Empresas comerciales </w:t>
            </w:r>
            <w:r w:rsidRPr="00F87E34">
              <w:rPr>
                <w:color w:val="000000"/>
                <w:sz w:val="16"/>
                <w:szCs w:val="18"/>
              </w:rPr>
              <w:br/>
              <w:t>al por mayor</w:t>
            </w:r>
          </w:p>
        </w:tc>
        <w:tc>
          <w:tcPr>
            <w:tcW w:w="2975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  <w:vAlign w:val="center"/>
          </w:tcPr>
          <w:p w14:paraId="7AD020DA" w14:textId="422EA4A0" w:rsidR="00B36B9B" w:rsidRPr="00F87E34" w:rsidRDefault="00B36B9B" w:rsidP="00FB4F25">
            <w:pPr>
              <w:spacing w:before="40" w:after="40"/>
              <w:jc w:val="center"/>
              <w:rPr>
                <w:color w:val="000000"/>
                <w:sz w:val="16"/>
                <w:szCs w:val="18"/>
              </w:rPr>
            </w:pPr>
            <w:r w:rsidRPr="00F87E34">
              <w:rPr>
                <w:color w:val="000000"/>
                <w:sz w:val="16"/>
                <w:szCs w:val="18"/>
              </w:rPr>
              <w:t xml:space="preserve">Empresas comerciales </w:t>
            </w:r>
            <w:r w:rsidRPr="00F87E34">
              <w:rPr>
                <w:color w:val="000000"/>
                <w:sz w:val="16"/>
                <w:szCs w:val="18"/>
              </w:rPr>
              <w:br/>
              <w:t>al por menor</w:t>
            </w:r>
          </w:p>
        </w:tc>
      </w:tr>
      <w:tr w:rsidR="00B36B9B" w:rsidRPr="00F87E34" w14:paraId="0CB4F4C0" w14:textId="77777777" w:rsidTr="000300A4">
        <w:trPr>
          <w:trHeight w:val="20"/>
          <w:jc w:val="center"/>
        </w:trPr>
        <w:tc>
          <w:tcPr>
            <w:tcW w:w="2523" w:type="dxa"/>
            <w:vMerge/>
            <w:tcBorders>
              <w:left w:val="single" w:sz="8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35AE6A5B" w14:textId="1983D289" w:rsidR="00B36B9B" w:rsidRPr="00F87E34" w:rsidRDefault="00B36B9B" w:rsidP="00AA2115"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7F32FBD2" w14:textId="183360BF" w:rsidR="00B36B9B" w:rsidRPr="00F87E34" w:rsidRDefault="00B36B9B" w:rsidP="00457A06">
            <w:pPr>
              <w:spacing w:before="40" w:after="40"/>
              <w:ind w:left="-57" w:right="-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 xml:space="preserve">Ingresos por suministro </w:t>
            </w:r>
            <w:r w:rsidRPr="00F87E34">
              <w:rPr>
                <w:bCs/>
                <w:sz w:val="16"/>
                <w:szCs w:val="16"/>
              </w:rPr>
              <w:br/>
              <w:t xml:space="preserve">de bienes y servicios </w:t>
            </w:r>
            <w:r w:rsidRPr="00F87E34">
              <w:rPr>
                <w:bCs/>
                <w:position w:val="-2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9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61F3B487" w14:textId="77777777" w:rsidR="00B36B9B" w:rsidRPr="00F87E34" w:rsidRDefault="00B36B9B" w:rsidP="00770BFA">
            <w:pPr>
              <w:spacing w:before="40" w:after="40"/>
              <w:ind w:left="-39" w:right="-35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Personal ocupado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10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5D618804" w14:textId="77777777" w:rsidR="00B36B9B" w:rsidRPr="00F87E34" w:rsidRDefault="00B36B9B" w:rsidP="00876DC6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Remunera-</w:t>
            </w:r>
            <w:r w:rsidRPr="00F87E34">
              <w:rPr>
                <w:b/>
                <w:smallCaps/>
                <w:sz w:val="22"/>
              </w:rPr>
              <w:br/>
            </w:r>
            <w:proofErr w:type="spellStart"/>
            <w:r w:rsidRPr="00F87E34">
              <w:rPr>
                <w:bCs/>
                <w:color w:val="000000"/>
                <w:sz w:val="16"/>
                <w:szCs w:val="16"/>
              </w:rPr>
              <w:t>ciones</w:t>
            </w:r>
            <w:proofErr w:type="spellEnd"/>
            <w:r w:rsidRPr="00F87E3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 xml:space="preserve">medias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reales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01ABEDA7" w14:textId="10A12EE0" w:rsidR="00B36B9B" w:rsidRPr="00F87E34" w:rsidRDefault="00B36B9B" w:rsidP="00FB4F25">
            <w:pPr>
              <w:spacing w:before="40" w:after="40"/>
              <w:ind w:left="-56" w:right="-39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 xml:space="preserve">Ingresos por suministro </w:t>
            </w:r>
            <w:r w:rsidRPr="00F87E34">
              <w:rPr>
                <w:bCs/>
                <w:sz w:val="16"/>
                <w:szCs w:val="16"/>
              </w:rPr>
              <w:br/>
              <w:t xml:space="preserve">de bienes y servicios </w:t>
            </w:r>
            <w:r w:rsidRPr="00F87E34">
              <w:rPr>
                <w:bCs/>
                <w:position w:val="-2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9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3BC8DE3C" w14:textId="77777777" w:rsidR="00B36B9B" w:rsidRPr="00F87E34" w:rsidRDefault="00B36B9B" w:rsidP="00FB4F25">
            <w:pPr>
              <w:spacing w:before="40" w:after="40"/>
              <w:ind w:left="-39" w:right="-35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Personal ocupado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10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</w:tcPr>
          <w:p w14:paraId="240270FA" w14:textId="77777777" w:rsidR="00B36B9B" w:rsidRPr="00F87E34" w:rsidRDefault="00B36B9B" w:rsidP="00876DC6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Remunera-</w:t>
            </w:r>
            <w:r w:rsidRPr="00F87E34">
              <w:rPr>
                <w:b/>
                <w:smallCaps/>
                <w:sz w:val="22"/>
              </w:rPr>
              <w:br/>
            </w:r>
            <w:proofErr w:type="spellStart"/>
            <w:r w:rsidRPr="00F87E34">
              <w:rPr>
                <w:bCs/>
                <w:color w:val="000000"/>
                <w:sz w:val="16"/>
                <w:szCs w:val="16"/>
              </w:rPr>
              <w:t>ciones</w:t>
            </w:r>
            <w:proofErr w:type="spellEnd"/>
            <w:r w:rsidRPr="00F87E3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 xml:space="preserve">medias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reales</w:t>
            </w:r>
          </w:p>
        </w:tc>
      </w:tr>
      <w:tr w:rsidR="007D45DD" w:rsidRPr="00F87E34" w14:paraId="6191BF9B" w14:textId="77777777" w:rsidTr="007D45DD">
        <w:trPr>
          <w:trHeight w:val="23"/>
          <w:jc w:val="center"/>
        </w:trPr>
        <w:tc>
          <w:tcPr>
            <w:tcW w:w="2523" w:type="dxa"/>
            <w:tcBorders>
              <w:top w:val="single" w:sz="6" w:space="0" w:color="404040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71813FF" w14:textId="77777777" w:rsidR="007D45DD" w:rsidRPr="00F87E34" w:rsidRDefault="007D45DD" w:rsidP="007D45DD">
            <w:pPr>
              <w:ind w:left="97"/>
              <w:jc w:val="left"/>
              <w:rPr>
                <w:b/>
                <w:bCs/>
                <w:sz w:val="16"/>
                <w:szCs w:val="16"/>
              </w:rPr>
            </w:pPr>
            <w:r w:rsidRPr="00F87E34">
              <w:rPr>
                <w:b/>
                <w:bCs/>
                <w:sz w:val="16"/>
                <w:szCs w:val="16"/>
              </w:rPr>
              <w:t>Nacional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1F56" w14:textId="31777DEC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</w:t>
            </w:r>
          </w:p>
        </w:tc>
        <w:tc>
          <w:tcPr>
            <w:tcW w:w="942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1045" w14:textId="70C0890D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42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DB72" w14:textId="09F1FB66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991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569E" w14:textId="3DDBD767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</w:t>
            </w:r>
          </w:p>
        </w:tc>
        <w:tc>
          <w:tcPr>
            <w:tcW w:w="934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B9B3" w14:textId="6C766D15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1050" w:type="dxa"/>
            <w:tcBorders>
              <w:top w:val="single" w:sz="6" w:space="0" w:color="404040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6E1DAC0" w14:textId="3CA9E968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</w:t>
            </w:r>
          </w:p>
        </w:tc>
      </w:tr>
      <w:tr w:rsidR="007D45DD" w:rsidRPr="00F87E34" w14:paraId="22FE8CEA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F707E91" w14:textId="77777777" w:rsidR="007D45DD" w:rsidRPr="00F87E34" w:rsidRDefault="007D45DD" w:rsidP="007D45DD">
            <w:pPr>
              <w:ind w:left="96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Aguascalientes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51AD" w14:textId="564E6E96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1AE2" w14:textId="72B2CABA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436A" w14:textId="4E833089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2841" w14:textId="162F0BA3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0AED" w14:textId="54618742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661DA3F" w14:textId="4DD75ECB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</w:tr>
      <w:tr w:rsidR="007D45DD" w:rsidRPr="00F87E34" w14:paraId="137E942F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A70ACED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Baja California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B13F" w14:textId="3954C845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C415" w14:textId="338295A8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3FC2" w14:textId="213989E2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BF0E" w14:textId="28A073C2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96428" w14:textId="579F3A3B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6645E33" w14:textId="4A2F04F0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</w:t>
            </w:r>
          </w:p>
        </w:tc>
      </w:tr>
      <w:tr w:rsidR="007D45DD" w:rsidRPr="00F87E34" w14:paraId="3A583C28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A0797C0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Baja California Sur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A84C" w14:textId="3093E783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35B7" w14:textId="7234310B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799B" w14:textId="5A7AC80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1E20" w14:textId="2BCD8DCB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A456" w14:textId="3D797EF8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6767AF7" w14:textId="5F0CE074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</w:tr>
      <w:tr w:rsidR="007D45DD" w:rsidRPr="00F87E34" w14:paraId="0E0D3193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608B00F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Campeche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0E01" w14:textId="47FEA07B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4569" w14:textId="7D538D2F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892A" w14:textId="33D3C83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D6B2" w14:textId="38934E01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1441" w14:textId="3C704A87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584ADD2" w14:textId="6E0E63C2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</w:tr>
      <w:tr w:rsidR="007D45DD" w:rsidRPr="00F87E34" w14:paraId="1AA69D88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B33978A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Coahuila de Zaragoza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5961" w14:textId="35AB4F00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CCAF" w14:textId="62D3DD71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2586" w14:textId="49E99EB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5841" w14:textId="192E5B9F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6F89" w14:textId="49637807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8B09DE8" w14:textId="155F2E64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-2.4</w:t>
            </w:r>
          </w:p>
        </w:tc>
      </w:tr>
      <w:tr w:rsidR="007D45DD" w:rsidRPr="00F87E34" w14:paraId="56BCF494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04F6327E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Colima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B535" w14:textId="3731480A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9D41" w14:textId="0133C752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88C6" w14:textId="4EC6994E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FCAE" w14:textId="6E4D085C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76A7" w14:textId="5D476DD2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5DDBD88" w14:textId="5D2F5CC4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</w:t>
            </w:r>
          </w:p>
        </w:tc>
      </w:tr>
      <w:tr w:rsidR="007D45DD" w:rsidRPr="00F87E34" w14:paraId="67167560" w14:textId="77777777" w:rsidTr="007D45DD">
        <w:trPr>
          <w:trHeight w:val="66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9FFBA71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Chiapas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5160" w14:textId="37FAEBE8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9EEC" w14:textId="15C93AA2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B5C7" w14:textId="68D03D84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5874" w14:textId="05EA66A9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26B7" w14:textId="67B95203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B592CBF" w14:textId="5A8BE0C9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</w:tr>
      <w:tr w:rsidR="007D45DD" w:rsidRPr="00F87E34" w14:paraId="2DF7397F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3A1C37B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Chihuahua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3D32" w14:textId="5E73C5DE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7623" w14:textId="70BC33CB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07CA" w14:textId="6D05144D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9983" w14:textId="566B05FD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1B39" w14:textId="20F33101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A140B03" w14:textId="5481E5DB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</w:t>
            </w:r>
          </w:p>
        </w:tc>
      </w:tr>
      <w:tr w:rsidR="007D45DD" w:rsidRPr="00F87E34" w14:paraId="64F59367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00659AF3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Ciudad de México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1FA3" w14:textId="5BBBEBC9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9560" w14:textId="720EEB51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7279F" w14:textId="123B886E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A488" w14:textId="60256411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A301" w14:textId="6E1E2FEE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E8D11ED" w14:textId="04A3F270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</w:tr>
      <w:tr w:rsidR="007D45DD" w:rsidRPr="00F87E34" w14:paraId="3828D442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C24BC3F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Durango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90F4" w14:textId="0938AE70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D933" w14:textId="3B2AFDD2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5D56" w14:textId="02E41289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5D9E" w14:textId="142C2D0F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6B23" w14:textId="2F726943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1DFF78D" w14:textId="644EA125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</w:p>
        </w:tc>
      </w:tr>
      <w:tr w:rsidR="007D45DD" w:rsidRPr="00F87E34" w14:paraId="452FDEDC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163C185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Guanajuato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C11E" w14:textId="789A5B5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5F69" w14:textId="3A09CC1B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0BE0" w14:textId="73912F1A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43DB" w14:textId="1B68DE4B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D3DE" w14:textId="163AEBEA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D4CC50A" w14:textId="5AE5E2A2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</w:tr>
      <w:tr w:rsidR="007D45DD" w:rsidRPr="00F87E34" w14:paraId="49D52FDC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88569AC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Guerrero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DDD4" w14:textId="7084A3A3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C88A" w14:textId="65C920ED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044A" w14:textId="73F7B0E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6086" w14:textId="2F23E551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E620" w14:textId="07AAF05C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B3C0D3F" w14:textId="2C7FAF80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</w:t>
            </w:r>
          </w:p>
        </w:tc>
      </w:tr>
      <w:tr w:rsidR="007D45DD" w:rsidRPr="00F87E34" w14:paraId="7793830F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299DC13" w14:textId="77777777" w:rsidR="007D45DD" w:rsidRPr="00F87E34" w:rsidRDefault="007D45DD" w:rsidP="007D45DD">
            <w:pPr>
              <w:spacing w:before="20" w:after="20"/>
              <w:ind w:left="96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Hidalgo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6D84" w14:textId="226C74F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25AA" w14:textId="6152B9D0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B3E4" w14:textId="08D5D6C5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F017" w14:textId="7C09EE27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A062" w14:textId="08BBD64C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EA0BD85" w14:textId="36383B3F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7D45DD" w:rsidRPr="00F87E34" w14:paraId="5719F551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117DE71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Jalisco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88F7" w14:textId="39677405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4591" w14:textId="6FF5E6DE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C3B6" w14:textId="653EAF03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F6A7" w14:textId="5A635838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06731" w14:textId="1081A00D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A53ACD3" w14:textId="27332A35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</w:tr>
      <w:tr w:rsidR="007D45DD" w:rsidRPr="00F87E34" w14:paraId="70148ECF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9E4F606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México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1699" w14:textId="430FED15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E44A" w14:textId="0EA6C9B9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DCB4" w14:textId="13D53123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957E" w14:textId="6775EB5A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2F423" w14:textId="7C994E48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B7CDC1A" w14:textId="2F0E426A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</w:tr>
      <w:tr w:rsidR="007D45DD" w:rsidRPr="00F87E34" w14:paraId="0B357A9F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FB79255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Michoacán de Ocampo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BFE4" w14:textId="218B672C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4EB7" w14:textId="6C1FF7BD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A7DB" w14:textId="6177B88D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738B" w14:textId="6AAF9BEE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866B" w14:textId="4220AEC9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6785986D" w14:textId="383A0549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</w:tr>
      <w:tr w:rsidR="007D45DD" w:rsidRPr="00F87E34" w14:paraId="6CBD1E1B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DADE441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Morelos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57D2" w14:textId="33D9FA7A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F4B3" w14:textId="3C2E9133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2F9A" w14:textId="4BA434EB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DFBE" w14:textId="2F5BFCB8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49BA" w14:textId="12040734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7EA25E8" w14:textId="52BAB6A6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</w:t>
            </w:r>
          </w:p>
        </w:tc>
      </w:tr>
      <w:tr w:rsidR="007D45DD" w:rsidRPr="00F87E34" w14:paraId="273263B7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E38D025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Nayarit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E94A" w14:textId="06A45E57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B186" w14:textId="75DA8618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1BE5" w14:textId="3CDE6DC7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2591" w14:textId="293A0B07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EB70" w14:textId="6ABECC23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B5717A2" w14:textId="03669DF7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</w:tr>
      <w:tr w:rsidR="007D45DD" w:rsidRPr="00F87E34" w14:paraId="2891A770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328305B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Nuevo León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FAD6" w14:textId="2184EE8E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AD2C" w14:textId="09F1D6A6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4B20" w14:textId="1259769D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D1CF" w14:textId="6DBD0371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BB1A" w14:textId="54B623E6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327CA89" w14:textId="1A363057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-1.1</w:t>
            </w:r>
          </w:p>
        </w:tc>
      </w:tr>
      <w:tr w:rsidR="007D45DD" w:rsidRPr="00F87E34" w14:paraId="256F54F8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6D139F8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Oaxaca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DE79" w14:textId="552A57CE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99B4" w14:textId="032AAA7F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6EC0" w14:textId="7AC5805B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85DB" w14:textId="2B70706F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EEB0" w14:textId="7DF634CE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6DE9E66" w14:textId="7235DAB0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-0.9</w:t>
            </w:r>
          </w:p>
        </w:tc>
      </w:tr>
      <w:tr w:rsidR="007D45DD" w:rsidRPr="00F87E34" w14:paraId="73D4028C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B1B847D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Puebla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7372" w14:textId="1CCC8FFC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B38E" w14:textId="50A332AA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31F1" w14:textId="44F7CB07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BED9" w14:textId="61F78223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4B92" w14:textId="445785F9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565F77B" w14:textId="70E013FC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</w:t>
            </w:r>
          </w:p>
        </w:tc>
      </w:tr>
      <w:tr w:rsidR="007D45DD" w:rsidRPr="00F87E34" w14:paraId="5B4D207B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7729F09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Querétaro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DE94" w14:textId="0A10056B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CA74" w14:textId="2D16683F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9330" w14:textId="4AA2FAFC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8A7B" w14:textId="3D5D7DB5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55B2" w14:textId="5FBC4277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9054C4D" w14:textId="6AB5B251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-6.1</w:t>
            </w:r>
          </w:p>
        </w:tc>
      </w:tr>
      <w:tr w:rsidR="007D45DD" w:rsidRPr="00F87E34" w14:paraId="39EBF2C1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8E3E7ED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Quintana Roo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2F64" w14:textId="710789A3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BCF5" w14:textId="08C86917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F498" w14:textId="0A10E067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5324" w14:textId="69660CD7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89CF" w14:textId="3947F51C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3F99C3F" w14:textId="5B672945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</w:t>
            </w:r>
          </w:p>
        </w:tc>
      </w:tr>
      <w:tr w:rsidR="007D45DD" w:rsidRPr="00F87E34" w14:paraId="350C4C31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BCCB619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San Luis Potosí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AAB5" w14:textId="211E59D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C27D" w14:textId="576B9905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FBFF" w14:textId="329522A8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1D29" w14:textId="6B27F29C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7838" w14:textId="0A89F243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83003BE" w14:textId="7FA0C125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</w:tr>
      <w:tr w:rsidR="007D45DD" w:rsidRPr="00F87E34" w14:paraId="254D5879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3D3C82C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Sinaloa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07B0" w14:textId="48B8A35A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E4A0" w14:textId="6363AB54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18101" w14:textId="6DF1224C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C3A7" w14:textId="132A5FD9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B1AA" w14:textId="67C765A7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FE091FC" w14:textId="24D187ED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</w:t>
            </w:r>
          </w:p>
        </w:tc>
      </w:tr>
      <w:tr w:rsidR="007D45DD" w:rsidRPr="00F87E34" w14:paraId="580DD6AD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347F153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Sonora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CF0D" w14:textId="45255FE6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EDA7" w14:textId="412976C1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A07E4" w14:textId="7D9DA9EB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DA912" w14:textId="76522F52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D8F5" w14:textId="57B77680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6F3ED211" w14:textId="1401F32A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</w:tr>
      <w:tr w:rsidR="007D45DD" w:rsidRPr="00F87E34" w14:paraId="6EDCB38A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5F19878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Tabasco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0378" w14:textId="42903771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DE33" w14:textId="2447C1DB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0891" w14:textId="3667688C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8BCE" w14:textId="394145F9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0B3E" w14:textId="0D5EC88D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90E2636" w14:textId="300D6D65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</w:tr>
      <w:tr w:rsidR="007D45DD" w:rsidRPr="00F87E34" w14:paraId="09BD79EB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3E0B1BE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Tamaulipas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7C31" w14:textId="21DF9C57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7084" w14:textId="5BFAF0D9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5696" w14:textId="4130F524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A223" w14:textId="10C60A74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1D44" w14:textId="465A342E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8E3799E" w14:textId="7DED0D18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</w:p>
        </w:tc>
      </w:tr>
      <w:tr w:rsidR="007D45DD" w:rsidRPr="00F87E34" w14:paraId="4E5561B3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44FAF3B4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Tlaxcala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173B" w14:textId="441F7A03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2048" w14:textId="25BA3D4B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2892" w14:textId="24E27BAB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4EA3" w14:textId="79FB8DDD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CF1C" w14:textId="0100E9FD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E6B1D71" w14:textId="4EC4A7E7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-1.9</w:t>
            </w:r>
          </w:p>
        </w:tc>
      </w:tr>
      <w:tr w:rsidR="007D45DD" w:rsidRPr="00F87E34" w14:paraId="4C801674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C91EE36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Veracruz de Ignacio de la Llave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73D2" w14:textId="1D44BCBB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0FD6" w14:textId="063D6F7D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68B2" w14:textId="303A08DD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5A7E" w14:textId="274173FF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67EB" w14:textId="011A0339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BB07B89" w14:textId="66834AAE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</w:tr>
      <w:tr w:rsidR="007D45DD" w:rsidRPr="00F87E34" w14:paraId="3C648981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8EA3841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Yucatán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06D4" w14:textId="7B467AB5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DE76" w14:textId="44DAE05B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40FE" w14:textId="295096A7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07DF" w14:textId="60431574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C74E" w14:textId="3A4721E5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4F0FE9C" w14:textId="61411BA2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</w:tr>
      <w:tr w:rsidR="007D45DD" w:rsidRPr="00F87E34" w14:paraId="742B1974" w14:textId="77777777" w:rsidTr="007D45DD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single" w:sz="8" w:space="0" w:color="404040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7FBE3BD" w14:textId="77777777" w:rsidR="007D45DD" w:rsidRPr="00F87E34" w:rsidRDefault="007D45DD" w:rsidP="007D45DD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Zacatecas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55CCD9D" w14:textId="6B60C9DC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2448AE91" w14:textId="05E97DF8" w:rsidR="007D45DD" w:rsidRPr="001D05A9" w:rsidRDefault="007D45DD" w:rsidP="007D45DD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35DC2CD" w14:textId="29A4B7FE" w:rsidR="007D45DD" w:rsidRPr="001D05A9" w:rsidRDefault="007D45DD" w:rsidP="007D45DD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0F06E8F3" w14:textId="11B54E52" w:rsidR="007D45DD" w:rsidRPr="001D05A9" w:rsidRDefault="007D45DD" w:rsidP="007D45DD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72367C7" w14:textId="20272128" w:rsidR="007D45DD" w:rsidRPr="001D05A9" w:rsidRDefault="007D45DD" w:rsidP="007D45DD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4510B4B" w14:textId="7BB24ADB" w:rsidR="007D45DD" w:rsidRPr="001D05A9" w:rsidRDefault="007D45DD" w:rsidP="007D45DD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</w:t>
            </w:r>
          </w:p>
        </w:tc>
      </w:tr>
    </w:tbl>
    <w:p w14:paraId="347C75D8" w14:textId="0319DFAD" w:rsidR="00467BD1" w:rsidRPr="00F87E34" w:rsidRDefault="00467BD1" w:rsidP="009D4C7B">
      <w:pPr>
        <w:pStyle w:val="Textoindependiente"/>
        <w:widowControl w:val="0"/>
        <w:tabs>
          <w:tab w:val="left" w:pos="798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sz w:val="18"/>
          <w:szCs w:val="18"/>
          <w:vertAlign w:val="superscript"/>
        </w:rPr>
        <w:t>p/</w:t>
      </w:r>
      <w:r w:rsidR="009D4C7B" w:rsidRPr="00F87E34">
        <w:rPr>
          <w:color w:val="auto"/>
          <w:sz w:val="18"/>
          <w:szCs w:val="18"/>
          <w:vertAlign w:val="superscript"/>
        </w:rPr>
        <w:tab/>
      </w:r>
      <w:r w:rsidRPr="00F87E34">
        <w:rPr>
          <w:color w:val="auto"/>
          <w:sz w:val="16"/>
          <w:szCs w:val="16"/>
        </w:rPr>
        <w:t>Cifras preliminares</w:t>
      </w:r>
    </w:p>
    <w:p w14:paraId="25C1BF4E" w14:textId="12A6B143" w:rsidR="00F00159" w:rsidRPr="00F87E34" w:rsidRDefault="0049231D" w:rsidP="009D4C7B">
      <w:pPr>
        <w:pStyle w:val="Textoindependiente"/>
        <w:widowControl w:val="0"/>
        <w:tabs>
          <w:tab w:val="left" w:pos="798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1/</w:t>
      </w:r>
      <w:r w:rsidR="009D4C7B" w:rsidRPr="00F87E34">
        <w:rPr>
          <w:color w:val="auto"/>
          <w:sz w:val="16"/>
          <w:szCs w:val="16"/>
        </w:rPr>
        <w:tab/>
      </w:r>
      <w:r w:rsidR="00F00159" w:rsidRPr="00F87E34">
        <w:rPr>
          <w:color w:val="auto"/>
          <w:sz w:val="16"/>
          <w:szCs w:val="16"/>
        </w:rPr>
        <w:t>En términos reales</w:t>
      </w:r>
    </w:p>
    <w:p w14:paraId="5EE5EFD1" w14:textId="1FEB20C6" w:rsidR="002F1CE6" w:rsidRPr="00F87E34" w:rsidRDefault="00467BD1" w:rsidP="00EA7C32">
      <w:pPr>
        <w:pStyle w:val="Textoindependiente"/>
        <w:widowControl w:val="0"/>
        <w:tabs>
          <w:tab w:val="left" w:pos="1232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</w:t>
      </w:r>
      <w:r w:rsidR="00A82501" w:rsidRPr="00F87E34">
        <w:rPr>
          <w:color w:val="auto"/>
          <w:sz w:val="16"/>
          <w:szCs w:val="16"/>
        </w:rPr>
        <w:tab/>
      </w:r>
      <w:r w:rsidRPr="00F87E34">
        <w:rPr>
          <w:color w:val="auto"/>
          <w:sz w:val="16"/>
          <w:szCs w:val="16"/>
        </w:rPr>
        <w:t>INEGI</w:t>
      </w:r>
    </w:p>
    <w:p w14:paraId="5F99723E" w14:textId="77777777" w:rsidR="00901366" w:rsidRPr="00071749" w:rsidRDefault="00901366" w:rsidP="003D3889">
      <w:pPr>
        <w:pStyle w:val="p0"/>
        <w:keepNext/>
        <w:spacing w:before="600"/>
        <w:jc w:val="left"/>
        <w:rPr>
          <w:rFonts w:ascii="Arial" w:hAnsi="Arial"/>
          <w:b/>
          <w:iCs/>
          <w:color w:val="auto"/>
        </w:rPr>
      </w:pPr>
      <w:r w:rsidRPr="00071749">
        <w:rPr>
          <w:rFonts w:ascii="Arial" w:hAnsi="Arial"/>
          <w:b/>
          <w:iCs/>
          <w:color w:val="auto"/>
        </w:rPr>
        <w:lastRenderedPageBreak/>
        <w:t>Nota al usuario</w:t>
      </w:r>
    </w:p>
    <w:p w14:paraId="43601560" w14:textId="467A95AF" w:rsidR="0093485F" w:rsidRPr="00F87E34" w:rsidRDefault="006C5B70" w:rsidP="00BB52B4">
      <w:pPr>
        <w:pStyle w:val="p0"/>
        <w:keepNext/>
        <w:rPr>
          <w:rFonts w:ascii="Arial" w:hAnsi="Arial"/>
          <w:color w:val="auto"/>
        </w:rPr>
      </w:pPr>
      <w:r w:rsidRPr="002D476C">
        <w:rPr>
          <w:rFonts w:ascii="Arial" w:hAnsi="Arial"/>
          <w:color w:val="auto"/>
          <w:lang w:val="es-MX"/>
        </w:rPr>
        <w:t xml:space="preserve">La </w:t>
      </w:r>
      <w:r w:rsidR="004905E4" w:rsidRPr="002D476C">
        <w:rPr>
          <w:rFonts w:ascii="Arial" w:hAnsi="Arial"/>
          <w:color w:val="auto"/>
          <w:lang w:val="es-MX"/>
        </w:rPr>
        <w:t>t</w:t>
      </w:r>
      <w:r w:rsidRPr="002D476C">
        <w:rPr>
          <w:rFonts w:ascii="Arial" w:hAnsi="Arial"/>
          <w:color w:val="auto"/>
          <w:lang w:val="es-MX"/>
        </w:rPr>
        <w:t xml:space="preserve">asa de </w:t>
      </w:r>
      <w:r w:rsidR="004905E4" w:rsidRPr="002D476C">
        <w:rPr>
          <w:rFonts w:ascii="Arial" w:hAnsi="Arial"/>
          <w:color w:val="auto"/>
          <w:lang w:val="es-MX"/>
        </w:rPr>
        <w:t>n</w:t>
      </w:r>
      <w:r w:rsidRPr="002D476C">
        <w:rPr>
          <w:rFonts w:ascii="Arial" w:hAnsi="Arial"/>
          <w:color w:val="auto"/>
          <w:lang w:val="es-MX"/>
        </w:rPr>
        <w:t xml:space="preserve">o </w:t>
      </w:r>
      <w:r w:rsidR="004905E4" w:rsidRPr="002D476C">
        <w:rPr>
          <w:rFonts w:ascii="Arial" w:hAnsi="Arial"/>
          <w:color w:val="auto"/>
          <w:lang w:val="es-MX"/>
        </w:rPr>
        <w:t>r</w:t>
      </w:r>
      <w:r w:rsidRPr="002D476C">
        <w:rPr>
          <w:rFonts w:ascii="Arial" w:hAnsi="Arial"/>
          <w:color w:val="auto"/>
          <w:lang w:val="es-MX"/>
        </w:rPr>
        <w:t xml:space="preserve">espuesta de la </w:t>
      </w:r>
      <w:r w:rsidR="001E01B3" w:rsidRPr="002D476C">
        <w:rPr>
          <w:rFonts w:ascii="Arial" w:hAnsi="Arial"/>
          <w:color w:val="auto"/>
          <w:lang w:val="es-MX"/>
        </w:rPr>
        <w:t>EMEC</w:t>
      </w:r>
      <w:r w:rsidRPr="002D476C">
        <w:rPr>
          <w:rFonts w:ascii="Arial" w:hAnsi="Arial"/>
          <w:color w:val="auto"/>
          <w:lang w:val="es-MX"/>
        </w:rPr>
        <w:t>, correspondiente a</w:t>
      </w:r>
      <w:r w:rsidR="00C57913">
        <w:rPr>
          <w:rFonts w:ascii="Arial" w:hAnsi="Arial"/>
          <w:color w:val="auto"/>
          <w:lang w:val="es-MX"/>
        </w:rPr>
        <w:t xml:space="preserve"> </w:t>
      </w:r>
      <w:r w:rsidR="00071749">
        <w:rPr>
          <w:rFonts w:ascii="Arial" w:hAnsi="Arial"/>
          <w:color w:val="auto"/>
          <w:lang w:val="es-MX"/>
        </w:rPr>
        <w:t>agost</w:t>
      </w:r>
      <w:r w:rsidR="00C57913">
        <w:rPr>
          <w:rFonts w:ascii="Arial" w:hAnsi="Arial"/>
          <w:color w:val="auto"/>
          <w:lang w:val="es-MX"/>
        </w:rPr>
        <w:t>o</w:t>
      </w:r>
      <w:r w:rsidRPr="002D476C">
        <w:rPr>
          <w:rFonts w:ascii="Arial" w:hAnsi="Arial"/>
          <w:color w:val="auto"/>
          <w:lang w:val="es-MX"/>
        </w:rPr>
        <w:t xml:space="preserve"> de 202</w:t>
      </w:r>
      <w:r w:rsidR="008967B4" w:rsidRPr="002D476C">
        <w:rPr>
          <w:rFonts w:ascii="Arial" w:hAnsi="Arial"/>
          <w:color w:val="auto"/>
          <w:lang w:val="es-MX"/>
        </w:rPr>
        <w:t>2</w:t>
      </w:r>
      <w:r w:rsidR="00A3404D" w:rsidRPr="002D476C">
        <w:rPr>
          <w:rFonts w:ascii="Arial" w:hAnsi="Arial"/>
          <w:color w:val="auto"/>
          <w:lang w:val="es-MX"/>
        </w:rPr>
        <w:t>,</w:t>
      </w:r>
      <w:r w:rsidR="0093485F" w:rsidRPr="002D476C">
        <w:rPr>
          <w:rFonts w:ascii="Arial" w:hAnsi="Arial"/>
          <w:color w:val="auto"/>
          <w:lang w:val="es-MX"/>
        </w:rPr>
        <w:t xml:space="preserve"> </w:t>
      </w:r>
      <w:r w:rsidRPr="002D476C">
        <w:rPr>
          <w:rFonts w:ascii="Arial" w:hAnsi="Arial"/>
          <w:color w:val="auto"/>
          <w:lang w:val="es-MX"/>
        </w:rPr>
        <w:t xml:space="preserve">registró porcentajes apropiados conforme al diseño estadístico de la </w:t>
      </w:r>
      <w:r w:rsidR="002042DC" w:rsidRPr="002D476C">
        <w:rPr>
          <w:rFonts w:ascii="Arial" w:hAnsi="Arial"/>
          <w:color w:val="auto"/>
          <w:lang w:val="es-MX"/>
        </w:rPr>
        <w:t>e</w:t>
      </w:r>
      <w:r w:rsidRPr="002D476C">
        <w:rPr>
          <w:rFonts w:ascii="Arial" w:hAnsi="Arial"/>
          <w:color w:val="auto"/>
          <w:lang w:val="es-MX"/>
        </w:rPr>
        <w:t>ncuesta</w:t>
      </w:r>
      <w:r w:rsidR="00497972" w:rsidRPr="002D476C">
        <w:rPr>
          <w:rFonts w:ascii="Arial" w:hAnsi="Arial"/>
          <w:color w:val="auto"/>
          <w:lang w:val="es-MX"/>
        </w:rPr>
        <w:t>. Esto</w:t>
      </w:r>
      <w:r w:rsidRPr="002D476C">
        <w:rPr>
          <w:rFonts w:ascii="Arial" w:hAnsi="Arial"/>
          <w:color w:val="auto"/>
          <w:lang w:val="es-MX"/>
        </w:rPr>
        <w:t xml:space="preserve"> permitió genera</w:t>
      </w:r>
      <w:r w:rsidR="00FB7A5B" w:rsidRPr="002D476C">
        <w:rPr>
          <w:rFonts w:ascii="Arial" w:hAnsi="Arial"/>
          <w:color w:val="auto"/>
          <w:lang w:val="es-MX"/>
        </w:rPr>
        <w:t>r</w:t>
      </w:r>
      <w:r w:rsidRPr="002D476C">
        <w:rPr>
          <w:rFonts w:ascii="Arial" w:hAnsi="Arial"/>
          <w:color w:val="auto"/>
          <w:lang w:val="es-MX"/>
        </w:rPr>
        <w:t xml:space="preserve"> estadísticas con niveles altos de precisión</w:t>
      </w:r>
      <w:r w:rsidR="000E10B7">
        <w:rPr>
          <w:rFonts w:ascii="Arial" w:hAnsi="Arial"/>
          <w:color w:val="auto"/>
          <w:lang w:val="es-MX"/>
        </w:rPr>
        <w:t>.</w:t>
      </w:r>
      <w:r w:rsidR="004D570A">
        <w:rPr>
          <w:rFonts w:ascii="Arial" w:hAnsi="Arial"/>
          <w:color w:val="auto"/>
          <w:lang w:val="es-MX"/>
        </w:rPr>
        <w:t xml:space="preserve"> </w:t>
      </w:r>
      <w:r w:rsidR="004D570A" w:rsidRPr="002D476C">
        <w:rPr>
          <w:rFonts w:ascii="Arial" w:hAnsi="Arial"/>
          <w:color w:val="auto"/>
        </w:rPr>
        <w:t xml:space="preserve">Se presentan resultados para 40 dominios de estudio. Se recomienda usar con reserva las estimaciones para el dominio de </w:t>
      </w:r>
      <w:r w:rsidR="004D570A">
        <w:rPr>
          <w:rFonts w:ascii="Arial" w:hAnsi="Arial"/>
          <w:color w:val="000000"/>
          <w:lang w:val="es-MX" w:eastAsia="es-MX"/>
        </w:rPr>
        <w:t>c</w:t>
      </w:r>
      <w:r w:rsidR="004D570A" w:rsidRPr="00C57913">
        <w:rPr>
          <w:rFonts w:ascii="Arial" w:hAnsi="Arial"/>
          <w:color w:val="000000"/>
          <w:lang w:val="es-MX" w:eastAsia="es-MX"/>
        </w:rPr>
        <w:t xml:space="preserve">omercio al por mayor de maquinaria y equipo </w:t>
      </w:r>
      <w:r w:rsidR="004D570A">
        <w:rPr>
          <w:rFonts w:ascii="Arial" w:hAnsi="Arial"/>
          <w:color w:val="000000"/>
          <w:lang w:val="es-MX" w:eastAsia="es-MX"/>
        </w:rPr>
        <w:t>para la industria</w:t>
      </w:r>
      <w:r w:rsidR="004D570A" w:rsidRPr="002D476C">
        <w:rPr>
          <w:rFonts w:ascii="Arial" w:eastAsia="Calibri" w:hAnsi="Arial"/>
          <w:snapToGrid/>
          <w:color w:val="auto"/>
          <w:lang w:val="es-MX" w:eastAsia="es-MX"/>
        </w:rPr>
        <w:t>,</w:t>
      </w:r>
      <w:r w:rsidR="004D570A" w:rsidRPr="002D476C">
        <w:rPr>
          <w:rFonts w:ascii="Arial" w:hAnsi="Arial"/>
          <w:color w:val="auto"/>
        </w:rPr>
        <w:t xml:space="preserve"> que representa </w:t>
      </w:r>
      <w:r w:rsidR="004D570A">
        <w:rPr>
          <w:rFonts w:ascii="Arial" w:hAnsi="Arial"/>
          <w:color w:val="auto"/>
        </w:rPr>
        <w:t>1.1</w:t>
      </w:r>
      <w:r w:rsidR="00D32083">
        <w:rPr>
          <w:rFonts w:ascii="Arial" w:hAnsi="Arial"/>
          <w:color w:val="auto"/>
        </w:rPr>
        <w:t> </w:t>
      </w:r>
      <w:r w:rsidR="004D570A" w:rsidRPr="002D476C">
        <w:rPr>
          <w:rFonts w:ascii="Arial" w:hAnsi="Arial"/>
          <w:color w:val="auto"/>
        </w:rPr>
        <w:t>% con relación a la variable de ingresos del total del comercio</w:t>
      </w:r>
      <w:r w:rsidR="004D570A">
        <w:rPr>
          <w:rFonts w:ascii="Arial" w:hAnsi="Arial"/>
          <w:color w:val="auto"/>
        </w:rPr>
        <w:t>.</w:t>
      </w:r>
    </w:p>
    <w:p w14:paraId="5FFF3AFA" w14:textId="5E432DBA" w:rsidR="00A45043" w:rsidRPr="00F87E34" w:rsidRDefault="000300A4" w:rsidP="0026680B">
      <w:pPr>
        <w:pStyle w:val="p0"/>
        <w:keepLines w:val="0"/>
        <w:widowControl/>
        <w:rPr>
          <w:rFonts w:ascii="Arial" w:hAnsi="Arial"/>
          <w:b/>
          <w:i/>
          <w:color w:val="auto"/>
        </w:rPr>
      </w:pPr>
      <w:r>
        <w:rPr>
          <w:rFonts w:ascii="Arial" w:hAnsi="Arial"/>
          <w:color w:val="auto"/>
          <w:lang w:val="es-MX"/>
        </w:rPr>
        <w:t>L</w:t>
      </w:r>
      <w:r w:rsidR="0026680B" w:rsidRPr="00F87E34">
        <w:rPr>
          <w:rFonts w:ascii="Arial" w:hAnsi="Arial"/>
          <w:color w:val="auto"/>
          <w:lang w:val="es-MX"/>
        </w:rPr>
        <w:t xml:space="preserve">as cifras desestacionalizadas y de tendencia-ciclo pueden estar sujetas a revisiones </w:t>
      </w:r>
      <w:r w:rsidR="004F1857">
        <w:rPr>
          <w:rFonts w:ascii="Arial" w:hAnsi="Arial"/>
          <w:color w:val="auto"/>
          <w:lang w:val="es-MX"/>
        </w:rPr>
        <w:t xml:space="preserve">por el </w:t>
      </w:r>
      <w:r w:rsidR="0026680B" w:rsidRPr="00F87E34">
        <w:rPr>
          <w:rFonts w:ascii="Arial" w:hAnsi="Arial"/>
          <w:color w:val="auto"/>
          <w:lang w:val="es-MX"/>
        </w:rPr>
        <w:t>impacto de la emergencia sanitaria de</w:t>
      </w:r>
      <w:r w:rsidR="00822E2D" w:rsidRPr="00F87E34">
        <w:rPr>
          <w:rFonts w:ascii="Arial" w:hAnsi="Arial"/>
          <w:color w:val="auto"/>
          <w:lang w:val="es-MX"/>
        </w:rPr>
        <w:t xml:space="preserve"> la </w:t>
      </w:r>
      <w:r w:rsidR="0026680B" w:rsidRPr="00F87E34">
        <w:rPr>
          <w:rFonts w:ascii="Arial" w:hAnsi="Arial"/>
          <w:color w:val="auto"/>
          <w:lang w:val="es-MX"/>
        </w:rPr>
        <w:t xml:space="preserve">COVID-19. La estrategia </w:t>
      </w:r>
      <w:r w:rsidR="00776787">
        <w:rPr>
          <w:rFonts w:ascii="Arial" w:hAnsi="Arial"/>
          <w:color w:val="auto"/>
          <w:lang w:val="es-MX"/>
        </w:rPr>
        <w:t>que siguió</w:t>
      </w:r>
      <w:r w:rsidR="004F1857">
        <w:rPr>
          <w:rFonts w:ascii="Arial" w:hAnsi="Arial"/>
          <w:color w:val="auto"/>
          <w:lang w:val="es-MX"/>
        </w:rPr>
        <w:t xml:space="preserve"> </w:t>
      </w:r>
      <w:r w:rsidR="0026680B" w:rsidRPr="00F87E34">
        <w:rPr>
          <w:rFonts w:ascii="Arial" w:hAnsi="Arial"/>
          <w:color w:val="auto"/>
          <w:lang w:val="es-MX"/>
        </w:rPr>
        <w:t xml:space="preserve">el </w:t>
      </w:r>
      <w:r w:rsidR="00392C10">
        <w:rPr>
          <w:rFonts w:ascii="Arial" w:hAnsi="Arial"/>
          <w:color w:val="auto"/>
          <w:lang w:val="es-MX"/>
        </w:rPr>
        <w:t>Instituto Nacional de Estadística y Geografía (</w:t>
      </w:r>
      <w:r w:rsidR="0026680B" w:rsidRPr="00F87E34">
        <w:rPr>
          <w:rFonts w:ascii="Arial" w:hAnsi="Arial"/>
          <w:color w:val="auto"/>
          <w:lang w:val="es-MX"/>
        </w:rPr>
        <w:t>INEGI</w:t>
      </w:r>
      <w:r w:rsidR="00392C10">
        <w:rPr>
          <w:rFonts w:ascii="Arial" w:hAnsi="Arial"/>
          <w:color w:val="auto"/>
          <w:lang w:val="es-MX"/>
        </w:rPr>
        <w:t>)</w:t>
      </w:r>
      <w:r w:rsidR="0026680B" w:rsidRPr="00F87E34">
        <w:rPr>
          <w:rFonts w:ascii="Arial" w:hAnsi="Arial"/>
          <w:color w:val="auto"/>
          <w:lang w:val="es-MX"/>
        </w:rPr>
        <w:t xml:space="preserve"> </w:t>
      </w:r>
      <w:r w:rsidR="004F1857">
        <w:rPr>
          <w:rFonts w:ascii="Arial" w:hAnsi="Arial"/>
          <w:color w:val="auto"/>
          <w:lang w:val="es-MX"/>
        </w:rPr>
        <w:t>fue r</w:t>
      </w:r>
      <w:r w:rsidR="0026680B" w:rsidRPr="00F87E34">
        <w:rPr>
          <w:rFonts w:ascii="Arial" w:hAnsi="Arial"/>
          <w:color w:val="auto"/>
          <w:lang w:val="es-MX"/>
        </w:rPr>
        <w:t>evisar cada serie de tiempo y analizar la necesidad de incluir algún tratamiento especial</w:t>
      </w:r>
      <w:r w:rsidR="00822E2D" w:rsidRPr="00F87E34">
        <w:rPr>
          <w:rFonts w:ascii="Arial" w:hAnsi="Arial"/>
          <w:color w:val="auto"/>
          <w:lang w:val="es-MX"/>
        </w:rPr>
        <w:t xml:space="preserve">, como el de </w:t>
      </w:r>
      <w:r w:rsidR="00822E2D" w:rsidRPr="00F87E34">
        <w:rPr>
          <w:rFonts w:ascii="Arial" w:hAnsi="Arial"/>
          <w:i/>
          <w:color w:val="auto"/>
          <w:lang w:val="es-MX"/>
        </w:rPr>
        <w:t>O</w:t>
      </w:r>
      <w:r w:rsidR="0026680B" w:rsidRPr="00F87E34">
        <w:rPr>
          <w:rFonts w:ascii="Arial" w:hAnsi="Arial"/>
          <w:i/>
          <w:color w:val="auto"/>
          <w:lang w:val="es-MX"/>
        </w:rPr>
        <w:t>utliers</w:t>
      </w:r>
      <w:r w:rsidR="00822E2D" w:rsidRPr="00F87E34">
        <w:rPr>
          <w:rFonts w:ascii="Arial" w:hAnsi="Arial"/>
          <w:i/>
          <w:color w:val="auto"/>
          <w:lang w:val="es-MX"/>
        </w:rPr>
        <w:t>,</w:t>
      </w:r>
      <w:r w:rsidR="0026680B" w:rsidRPr="00F87E34">
        <w:rPr>
          <w:rFonts w:ascii="Arial" w:hAnsi="Arial"/>
          <w:color w:val="auto"/>
          <w:lang w:val="es-MX"/>
        </w:rPr>
        <w:t xml:space="preserve"> en los modelos de ajuste estacional para los meses de la contingencia. Lo anterior </w:t>
      </w:r>
      <w:r w:rsidR="00776787">
        <w:rPr>
          <w:rFonts w:ascii="Arial" w:hAnsi="Arial"/>
          <w:color w:val="auto"/>
          <w:lang w:val="es-MX"/>
        </w:rPr>
        <w:t>para</w:t>
      </w:r>
      <w:r w:rsidR="0026680B" w:rsidRPr="00F87E34">
        <w:rPr>
          <w:rFonts w:ascii="Arial" w:hAnsi="Arial"/>
          <w:color w:val="auto"/>
          <w:lang w:val="es-MX"/>
        </w:rPr>
        <w:t xml:space="preserve"> que los grandes cambios en las cifras originales no influy</w:t>
      </w:r>
      <w:r w:rsidR="004F1857">
        <w:rPr>
          <w:rFonts w:ascii="Arial" w:hAnsi="Arial"/>
          <w:color w:val="auto"/>
          <w:lang w:val="es-MX"/>
        </w:rPr>
        <w:t>er</w:t>
      </w:r>
      <w:r w:rsidR="0026680B" w:rsidRPr="00F87E34">
        <w:rPr>
          <w:rFonts w:ascii="Arial" w:hAnsi="Arial"/>
          <w:color w:val="auto"/>
          <w:lang w:val="es-MX"/>
        </w:rPr>
        <w:t>an de manera desproporcionada en los factores estacionales utilizados</w:t>
      </w:r>
      <w:r w:rsidR="00A45043" w:rsidRPr="00F87E34">
        <w:rPr>
          <w:rFonts w:ascii="Arial" w:hAnsi="Arial"/>
          <w:color w:val="auto"/>
          <w:lang w:val="es-MX"/>
        </w:rPr>
        <w:t>.</w:t>
      </w:r>
    </w:p>
    <w:p w14:paraId="6B4487FE" w14:textId="54F95215" w:rsidR="008A48D7" w:rsidRPr="00071749" w:rsidRDefault="00467BD1" w:rsidP="00EA274B">
      <w:pPr>
        <w:pStyle w:val="p0"/>
        <w:keepLines w:val="0"/>
        <w:widowControl/>
        <w:spacing w:before="360"/>
        <w:rPr>
          <w:rFonts w:ascii="Arial" w:hAnsi="Arial"/>
          <w:b/>
          <w:iCs/>
          <w:color w:val="auto"/>
        </w:rPr>
      </w:pPr>
      <w:r w:rsidRPr="00071749">
        <w:rPr>
          <w:rFonts w:ascii="Arial" w:hAnsi="Arial"/>
          <w:b/>
          <w:iCs/>
          <w:color w:val="auto"/>
        </w:rPr>
        <w:t>Nota metodológica</w:t>
      </w:r>
    </w:p>
    <w:p w14:paraId="0A629C88" w14:textId="5D2624E2" w:rsidR="0026680B" w:rsidRPr="00F87E34" w:rsidRDefault="0026680B" w:rsidP="0015603F">
      <w:pPr>
        <w:pStyle w:val="p0"/>
        <w:keepLines w:val="0"/>
        <w:spacing w:before="28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Con las variables captadas por la EMEC, se generan índices y tasas de variación de: </w:t>
      </w:r>
      <w:r w:rsidR="00724F45" w:rsidRPr="00F87E34">
        <w:rPr>
          <w:rFonts w:ascii="Arial" w:hAnsi="Arial"/>
          <w:color w:val="auto"/>
        </w:rPr>
        <w:t xml:space="preserve">ingresos totales por suministro de bienes y servicios, gastos totales por </w:t>
      </w:r>
      <w:r w:rsidR="008A1558" w:rsidRPr="00F87E34">
        <w:rPr>
          <w:rFonts w:ascii="Arial" w:hAnsi="Arial"/>
          <w:color w:val="auto"/>
        </w:rPr>
        <w:t>consumo</w:t>
      </w:r>
      <w:r w:rsidR="00724F45" w:rsidRPr="00F87E34">
        <w:rPr>
          <w:rFonts w:ascii="Arial" w:hAnsi="Arial"/>
          <w:color w:val="auto"/>
        </w:rPr>
        <w:t xml:space="preserve"> de bienes y servicios, </w:t>
      </w:r>
      <w:r w:rsidRPr="00F87E34">
        <w:rPr>
          <w:rFonts w:ascii="Arial" w:hAnsi="Arial"/>
          <w:color w:val="auto"/>
        </w:rPr>
        <w:t>personal ocupado total, remuneraciones totales, remuneraci</w:t>
      </w:r>
      <w:r w:rsidR="008A1558" w:rsidRPr="00F87E34">
        <w:rPr>
          <w:rFonts w:ascii="Arial" w:hAnsi="Arial"/>
          <w:color w:val="auto"/>
        </w:rPr>
        <w:t>ones</w:t>
      </w:r>
      <w:r w:rsidRPr="00F87E34">
        <w:rPr>
          <w:rFonts w:ascii="Arial" w:hAnsi="Arial"/>
          <w:color w:val="auto"/>
        </w:rPr>
        <w:t xml:space="preserve"> </w:t>
      </w:r>
      <w:r w:rsidR="008A1558" w:rsidRPr="00F87E34">
        <w:rPr>
          <w:rFonts w:ascii="Arial" w:hAnsi="Arial"/>
          <w:color w:val="auto"/>
        </w:rPr>
        <w:t>medias por</w:t>
      </w:r>
      <w:r w:rsidR="004A32E9" w:rsidRPr="00F87E34">
        <w:rPr>
          <w:rFonts w:ascii="Arial" w:hAnsi="Arial"/>
          <w:color w:val="auto"/>
        </w:rPr>
        <w:t xml:space="preserve"> persona ocupad</w:t>
      </w:r>
      <w:r w:rsidR="008A1558" w:rsidRPr="00F87E34">
        <w:rPr>
          <w:rFonts w:ascii="Arial" w:hAnsi="Arial"/>
          <w:color w:val="auto"/>
        </w:rPr>
        <w:t>a</w:t>
      </w:r>
      <w:r w:rsidRPr="00F87E34">
        <w:rPr>
          <w:rFonts w:ascii="Arial" w:hAnsi="Arial"/>
          <w:color w:val="auto"/>
        </w:rPr>
        <w:t xml:space="preserve"> (nacional) y mercancías compradas para su reventa (entidad). El año base para la generación de </w:t>
      </w:r>
      <w:r w:rsidR="00A7611F">
        <w:rPr>
          <w:rFonts w:ascii="Arial" w:hAnsi="Arial"/>
          <w:color w:val="auto"/>
        </w:rPr>
        <w:t>todos</w:t>
      </w:r>
      <w:r w:rsidRPr="00F87E34">
        <w:rPr>
          <w:rFonts w:ascii="Arial" w:hAnsi="Arial"/>
          <w:color w:val="auto"/>
        </w:rPr>
        <w:t xml:space="preserve"> los índices que presenta la EMEC es 2013</w:t>
      </w:r>
      <w:r w:rsidR="00DD3882" w:rsidRPr="00F87E34">
        <w:rPr>
          <w:rFonts w:ascii="Arial" w:hAnsi="Arial"/>
          <w:color w:val="auto"/>
        </w:rPr>
        <w:t>. L</w:t>
      </w:r>
      <w:r w:rsidRPr="00F87E34">
        <w:rPr>
          <w:rFonts w:ascii="Arial" w:hAnsi="Arial"/>
          <w:color w:val="auto"/>
        </w:rPr>
        <w:t>a elección de este periodo se debe a que dicho año es el referente de la información de los Censos Económicos 2014</w:t>
      </w:r>
      <w:r w:rsidR="00F7026D">
        <w:rPr>
          <w:rFonts w:ascii="Arial" w:hAnsi="Arial"/>
          <w:color w:val="auto"/>
        </w:rPr>
        <w:t xml:space="preserve"> (CE 2014)</w:t>
      </w:r>
      <w:r w:rsidRPr="00F87E34">
        <w:rPr>
          <w:rFonts w:ascii="Arial" w:hAnsi="Arial"/>
          <w:color w:val="auto"/>
        </w:rPr>
        <w:t>, al igual que el del Sistema de Cuentas Nacionales de México</w:t>
      </w:r>
      <w:r w:rsidR="008A1558" w:rsidRPr="00F87E34">
        <w:rPr>
          <w:rFonts w:ascii="Arial" w:hAnsi="Arial"/>
          <w:color w:val="auto"/>
        </w:rPr>
        <w:t xml:space="preserve"> (SCNM)</w:t>
      </w:r>
      <w:r w:rsidRPr="00F87E34">
        <w:rPr>
          <w:rFonts w:ascii="Arial" w:hAnsi="Arial"/>
          <w:color w:val="auto"/>
        </w:rPr>
        <w:t>.</w:t>
      </w:r>
    </w:p>
    <w:p w14:paraId="041BC7B4" w14:textId="16F1D886" w:rsidR="0026680B" w:rsidRPr="00F87E34" w:rsidRDefault="0026680B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Para deflactar los ingresos por suministro de bienes y servicios, gastos por consumo de bienes y servicios, y </w:t>
      </w:r>
      <w:r w:rsidR="008A1558" w:rsidRPr="00F87E34">
        <w:rPr>
          <w:rFonts w:ascii="Arial" w:hAnsi="Arial"/>
          <w:color w:val="auto"/>
        </w:rPr>
        <w:t xml:space="preserve">las </w:t>
      </w:r>
      <w:r w:rsidRPr="00F87E34">
        <w:rPr>
          <w:rFonts w:ascii="Arial" w:hAnsi="Arial"/>
          <w:color w:val="auto"/>
        </w:rPr>
        <w:t xml:space="preserve">remuneraciones, la EMEC utiliza los índices de precios </w:t>
      </w:r>
      <w:r w:rsidR="00392C10">
        <w:rPr>
          <w:rFonts w:ascii="Arial" w:hAnsi="Arial"/>
          <w:color w:val="auto"/>
        </w:rPr>
        <w:t xml:space="preserve">que </w:t>
      </w:r>
      <w:r w:rsidRPr="00F87E34">
        <w:rPr>
          <w:rFonts w:ascii="Arial" w:hAnsi="Arial"/>
          <w:color w:val="auto"/>
        </w:rPr>
        <w:t>publica el INEGI de acuerdo con las características de las variables</w:t>
      </w:r>
      <w:r w:rsidR="00C93D17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y</w:t>
      </w:r>
      <w:r w:rsidR="008A1558" w:rsidRPr="00F87E34">
        <w:rPr>
          <w:rFonts w:ascii="Arial" w:hAnsi="Arial"/>
          <w:color w:val="auto"/>
        </w:rPr>
        <w:t xml:space="preserve"> </w:t>
      </w:r>
      <w:r w:rsidRPr="00F87E34">
        <w:rPr>
          <w:rFonts w:ascii="Arial" w:hAnsi="Arial"/>
          <w:color w:val="auto"/>
        </w:rPr>
        <w:t>los deflactores disponibles</w:t>
      </w:r>
      <w:r w:rsidR="00392C10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según el área geográfica correspondiente.</w:t>
      </w:r>
    </w:p>
    <w:p w14:paraId="2B3A25F7" w14:textId="2EF6B148" w:rsidR="0026680B" w:rsidRPr="00F87E34" w:rsidRDefault="0026680B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El objetivo de la EMEC es generar información estadística de coyuntura de forma oportuna para conocer la dinámica y </w:t>
      </w:r>
      <w:r w:rsidR="00452EA0" w:rsidRPr="00F87E34">
        <w:rPr>
          <w:rFonts w:ascii="Arial" w:hAnsi="Arial"/>
          <w:color w:val="auto"/>
        </w:rPr>
        <w:t xml:space="preserve">las </w:t>
      </w:r>
      <w:r w:rsidRPr="00F87E34">
        <w:rPr>
          <w:rFonts w:ascii="Arial" w:hAnsi="Arial"/>
          <w:color w:val="auto"/>
        </w:rPr>
        <w:t>tendencias de la actividad comercial del país</w:t>
      </w:r>
      <w:r w:rsidR="00DD3882" w:rsidRPr="00F87E34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  <w:r w:rsidR="00DD3882" w:rsidRPr="00F87E34">
        <w:rPr>
          <w:rFonts w:ascii="Arial" w:hAnsi="Arial"/>
          <w:color w:val="auto"/>
        </w:rPr>
        <w:t>L</w:t>
      </w:r>
      <w:r w:rsidRPr="00F87E34">
        <w:rPr>
          <w:rFonts w:ascii="Arial" w:hAnsi="Arial"/>
          <w:color w:val="auto"/>
        </w:rPr>
        <w:t>os alcances a nivel nacional son por rama de actividad para los dos sectores comerciales</w:t>
      </w:r>
      <w:r w:rsidR="00DD3882" w:rsidRPr="00F87E34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ayor y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enor.</w:t>
      </w:r>
    </w:p>
    <w:p w14:paraId="46212767" w14:textId="67EC1457" w:rsidR="00770BFA" w:rsidRPr="00F87E34" w:rsidRDefault="0026680B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El diseño estadístico de la EMEC define un esquema de muestreo mixto</w:t>
      </w:r>
      <w:r w:rsidR="00F7665F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probabilístico para cada una de las 22 ramas de actividad del </w:t>
      </w:r>
      <w:r w:rsidR="00DD3882" w:rsidRPr="00F87E34">
        <w:rPr>
          <w:rFonts w:ascii="Arial" w:hAnsi="Arial"/>
          <w:color w:val="auto"/>
        </w:rPr>
        <w:t xml:space="preserve">comercio </w:t>
      </w:r>
      <w:r w:rsidRPr="00F87E34">
        <w:rPr>
          <w:rFonts w:ascii="Arial" w:hAnsi="Arial"/>
          <w:color w:val="auto"/>
        </w:rPr>
        <w:t xml:space="preserve">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enor y no probabilístico para las 18 ramas de actividad del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ayor</w:t>
      </w:r>
      <w:r w:rsidR="006A4A94" w:rsidRPr="00F87E34">
        <w:rPr>
          <w:rFonts w:ascii="Arial" w:hAnsi="Arial"/>
          <w:color w:val="auto"/>
        </w:rPr>
        <w:t>. Además,</w:t>
      </w:r>
      <w:r w:rsidRPr="00F87E34">
        <w:rPr>
          <w:rFonts w:ascii="Arial" w:hAnsi="Arial"/>
          <w:color w:val="auto"/>
        </w:rPr>
        <w:t xml:space="preserve"> considera todas las unidades económicas comerciales, </w:t>
      </w:r>
      <w:r w:rsidR="00452EA0" w:rsidRPr="00F87E34">
        <w:rPr>
          <w:rFonts w:ascii="Arial" w:hAnsi="Arial"/>
          <w:color w:val="auto"/>
        </w:rPr>
        <w:t>de todos los</w:t>
      </w:r>
      <w:r w:rsidRPr="00F87E34">
        <w:rPr>
          <w:rFonts w:ascii="Arial" w:hAnsi="Arial"/>
          <w:color w:val="auto"/>
        </w:rPr>
        <w:t xml:space="preserve"> tamaño</w:t>
      </w:r>
      <w:r w:rsidR="00452EA0" w:rsidRPr="00F87E34">
        <w:rPr>
          <w:rFonts w:ascii="Arial" w:hAnsi="Arial"/>
          <w:color w:val="auto"/>
        </w:rPr>
        <w:t>s</w:t>
      </w:r>
      <w:r w:rsidR="00ED36CC">
        <w:rPr>
          <w:rFonts w:ascii="Arial" w:hAnsi="Arial"/>
          <w:color w:val="auto"/>
        </w:rPr>
        <w:t>. Así,</w:t>
      </w:r>
      <w:r w:rsidR="00452EA0" w:rsidRPr="00F87E34">
        <w:rPr>
          <w:rFonts w:ascii="Arial" w:hAnsi="Arial"/>
          <w:color w:val="auto"/>
        </w:rPr>
        <w:t xml:space="preserve"> </w:t>
      </w:r>
      <w:r w:rsidRPr="00F87E34">
        <w:rPr>
          <w:rFonts w:ascii="Arial" w:hAnsi="Arial"/>
          <w:color w:val="auto"/>
        </w:rPr>
        <w:t>obt</w:t>
      </w:r>
      <w:r w:rsidR="00ED36CC">
        <w:rPr>
          <w:rFonts w:ascii="Arial" w:hAnsi="Arial"/>
          <w:color w:val="auto"/>
        </w:rPr>
        <w:t>i</w:t>
      </w:r>
      <w:r w:rsidRPr="00F87E34">
        <w:rPr>
          <w:rFonts w:ascii="Arial" w:hAnsi="Arial"/>
          <w:color w:val="auto"/>
        </w:rPr>
        <w:t>en</w:t>
      </w:r>
      <w:r w:rsidR="00452EA0" w:rsidRPr="00F87E34">
        <w:rPr>
          <w:rFonts w:ascii="Arial" w:hAnsi="Arial"/>
          <w:color w:val="auto"/>
        </w:rPr>
        <w:t>e</w:t>
      </w:r>
      <w:r w:rsidRPr="00F87E34">
        <w:rPr>
          <w:rFonts w:ascii="Arial" w:hAnsi="Arial"/>
          <w:color w:val="auto"/>
        </w:rPr>
        <w:t xml:space="preserve"> una cobertura de 74</w:t>
      </w:r>
      <w:r w:rsidR="00D6059E">
        <w:rPr>
          <w:rFonts w:ascii="Arial" w:hAnsi="Arial"/>
          <w:color w:val="auto"/>
        </w:rPr>
        <w:t> </w:t>
      </w:r>
      <w:r w:rsidRPr="00F87E34">
        <w:rPr>
          <w:rFonts w:ascii="Arial" w:hAnsi="Arial"/>
          <w:color w:val="auto"/>
        </w:rPr>
        <w:t xml:space="preserve">% en el </w:t>
      </w:r>
      <w:r w:rsidR="006A4A94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6A4A94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ayor y </w:t>
      </w:r>
      <w:r w:rsidR="007A4F52">
        <w:rPr>
          <w:rFonts w:ascii="Arial" w:hAnsi="Arial"/>
          <w:color w:val="auto"/>
        </w:rPr>
        <w:t xml:space="preserve">una estimación </w:t>
      </w:r>
      <w:r w:rsidRPr="00F87E34">
        <w:rPr>
          <w:rFonts w:ascii="Arial" w:hAnsi="Arial"/>
          <w:color w:val="auto"/>
        </w:rPr>
        <w:t>de 100</w:t>
      </w:r>
      <w:r w:rsidR="00D6059E">
        <w:rPr>
          <w:rFonts w:ascii="Arial" w:hAnsi="Arial"/>
          <w:color w:val="auto"/>
        </w:rPr>
        <w:t> </w:t>
      </w:r>
      <w:r w:rsidRPr="00F87E34">
        <w:rPr>
          <w:rFonts w:ascii="Arial" w:hAnsi="Arial"/>
          <w:color w:val="auto"/>
        </w:rPr>
        <w:t xml:space="preserve">% en el </w:t>
      </w:r>
      <w:r w:rsidR="006A4A94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6A4A94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</w:t>
      </w:r>
      <w:r w:rsidR="001D1D31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respecto al total de los ingresos por suministro de bienes y servicios a nivel nacional</w:t>
      </w:r>
      <w:r w:rsidR="00770BFA" w:rsidRPr="00F87E34">
        <w:rPr>
          <w:rFonts w:ascii="Arial" w:hAnsi="Arial"/>
          <w:color w:val="auto"/>
        </w:rPr>
        <w:t>.</w:t>
      </w:r>
    </w:p>
    <w:p w14:paraId="00F176CF" w14:textId="7D5CBE72" w:rsidR="00906168" w:rsidRPr="00F87E34" w:rsidRDefault="00770BFA" w:rsidP="003866DC">
      <w:pPr>
        <w:pStyle w:val="p0"/>
        <w:keepLines w:val="0"/>
        <w:spacing w:after="24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lastRenderedPageBreak/>
        <w:t>Los resultados se presentan según el Sistema de Clasificación Industrial de América del Norte 2013 (SCIAN)</w:t>
      </w:r>
      <w:r w:rsidR="00452EA0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a nivel de sector, subsector y por rama de actividad comercial.</w:t>
      </w:r>
      <w:r w:rsidR="00467BD1" w:rsidRPr="00F87E34">
        <w:rPr>
          <w:rFonts w:ascii="Arial" w:hAnsi="Arial"/>
          <w:color w:val="auto"/>
        </w:rPr>
        <w:t xml:space="preserve">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611"/>
      </w:tblGrid>
      <w:tr w:rsidR="0026680B" w:rsidRPr="00F87E34" w14:paraId="043EF6E8" w14:textId="77777777" w:rsidTr="00BB0E14">
        <w:trPr>
          <w:jc w:val="center"/>
        </w:trPr>
        <w:tc>
          <w:tcPr>
            <w:tcW w:w="4320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D7E4BD"/>
          </w:tcPr>
          <w:p w14:paraId="0CA8700F" w14:textId="71ABF7C7" w:rsidR="0026680B" w:rsidRPr="00F87E34" w:rsidRDefault="0026680B" w:rsidP="00D23712">
            <w:pPr>
              <w:widowControl w:val="0"/>
              <w:spacing w:before="60" w:after="60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 xml:space="preserve">Subsectores del </w:t>
            </w:r>
            <w:r w:rsidR="001D1D31" w:rsidRPr="00F87E34">
              <w:rPr>
                <w:snapToGrid w:val="0"/>
                <w:sz w:val="20"/>
                <w:szCs w:val="20"/>
              </w:rPr>
              <w:t>c</w:t>
            </w:r>
            <w:r w:rsidRPr="00F87E34">
              <w:rPr>
                <w:snapToGrid w:val="0"/>
                <w:sz w:val="20"/>
                <w:szCs w:val="20"/>
              </w:rPr>
              <w:t xml:space="preserve">omercio al por </w:t>
            </w:r>
            <w:r w:rsidR="001D1D31" w:rsidRPr="00F87E34">
              <w:rPr>
                <w:snapToGrid w:val="0"/>
                <w:sz w:val="20"/>
                <w:szCs w:val="20"/>
              </w:rPr>
              <w:t>m</w:t>
            </w:r>
            <w:r w:rsidRPr="00F87E34">
              <w:rPr>
                <w:snapToGrid w:val="0"/>
                <w:sz w:val="20"/>
                <w:szCs w:val="20"/>
              </w:rPr>
              <w:t>ayor</w:t>
            </w:r>
          </w:p>
        </w:tc>
        <w:tc>
          <w:tcPr>
            <w:tcW w:w="4611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D7E4BD"/>
          </w:tcPr>
          <w:p w14:paraId="34DFAEBA" w14:textId="518DC63A" w:rsidR="0026680B" w:rsidRPr="00F87E34" w:rsidRDefault="0026680B" w:rsidP="00D23712">
            <w:pPr>
              <w:widowControl w:val="0"/>
              <w:spacing w:before="60" w:after="60"/>
              <w:ind w:hanging="15"/>
              <w:jc w:val="center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 xml:space="preserve">Subsectores del </w:t>
            </w:r>
            <w:r w:rsidR="001D1D31" w:rsidRPr="00F87E34">
              <w:rPr>
                <w:snapToGrid w:val="0"/>
                <w:sz w:val="20"/>
                <w:szCs w:val="20"/>
              </w:rPr>
              <w:t>c</w:t>
            </w:r>
            <w:r w:rsidRPr="00F87E34">
              <w:rPr>
                <w:snapToGrid w:val="0"/>
                <w:sz w:val="20"/>
                <w:szCs w:val="20"/>
              </w:rPr>
              <w:t xml:space="preserve">omercio al por </w:t>
            </w:r>
            <w:r w:rsidR="001D1D31" w:rsidRPr="00F87E34">
              <w:rPr>
                <w:snapToGrid w:val="0"/>
                <w:sz w:val="20"/>
                <w:szCs w:val="20"/>
              </w:rPr>
              <w:t>m</w:t>
            </w:r>
            <w:r w:rsidRPr="00F87E34">
              <w:rPr>
                <w:snapToGrid w:val="0"/>
                <w:sz w:val="20"/>
                <w:szCs w:val="20"/>
              </w:rPr>
              <w:t>enor</w:t>
            </w:r>
          </w:p>
        </w:tc>
      </w:tr>
      <w:tr w:rsidR="0026680B" w:rsidRPr="00F87E34" w14:paraId="6A9F9B7E" w14:textId="77777777" w:rsidTr="00BB0E14">
        <w:trPr>
          <w:jc w:val="center"/>
        </w:trPr>
        <w:tc>
          <w:tcPr>
            <w:tcW w:w="4320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7E92D3E1" w14:textId="1A8AB4A5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3" w:hanging="289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Abarrotes, alimentos, bebidas, hielo y tabaco</w:t>
            </w:r>
          </w:p>
          <w:p w14:paraId="61D76861" w14:textId="5640E965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3" w:hanging="289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textiles y calzado</w:t>
            </w:r>
          </w:p>
          <w:p w14:paraId="1FCC4501" w14:textId="13469E29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farmacéuticos, de perfumería, artículos para el esparcimiento y electrodomésticos menores y aparatos de línea blanca</w:t>
            </w:r>
          </w:p>
          <w:p w14:paraId="7A800330" w14:textId="172E55E7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Materias primas agropecuarias y forestales, para la industria, y materiales de desecho</w:t>
            </w:r>
          </w:p>
          <w:p w14:paraId="1C0741C0" w14:textId="67A22B93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Maquinaria, equipo y mobiliario para actividades agropecuarias, industriales, de servicios y comerciales, y de otra maquinaria y equipo de uso general</w:t>
            </w:r>
          </w:p>
          <w:p w14:paraId="5D721939" w14:textId="536E8A22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Camiones y partes y refacciones nuevas para automóviles, camionetas y camiones</w:t>
            </w:r>
          </w:p>
          <w:p w14:paraId="7D3E7B91" w14:textId="52B60B20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Intermediación de comercio al por mayor</w:t>
            </w:r>
          </w:p>
        </w:tc>
        <w:tc>
          <w:tcPr>
            <w:tcW w:w="4611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61175E0A" w14:textId="2CD59D1F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Abarrotes, alimentos, bebidas, hielo y tabaco</w:t>
            </w:r>
          </w:p>
          <w:p w14:paraId="587F82EB" w14:textId="19F98794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5" w:hanging="301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Tiendas de autoservicio y departamentales</w:t>
            </w:r>
          </w:p>
          <w:p w14:paraId="2ECE50AE" w14:textId="14D3000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textiles, bisutería, accesorios de vestir y calzado</w:t>
            </w:r>
          </w:p>
          <w:p w14:paraId="3BF9FED9" w14:textId="7DB4B60D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para el cuidado de la salud</w:t>
            </w:r>
          </w:p>
          <w:p w14:paraId="00B2AA4B" w14:textId="18B902B1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de papelería, para el esparcimiento y otros artículos de uso personal</w:t>
            </w:r>
          </w:p>
          <w:p w14:paraId="613BC274" w14:textId="0CA8FE6B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Enseres domésticos, computadoras, artículos para la decoración de interiores y artículos usados</w:t>
            </w:r>
          </w:p>
          <w:p w14:paraId="4C9FD9B9" w14:textId="7777777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de ferretería, tlapalería y vidrios.</w:t>
            </w:r>
          </w:p>
          <w:p w14:paraId="2B705DA2" w14:textId="4A35189A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Vehículos de motor, refacciones, combustibles y lubricantes</w:t>
            </w:r>
          </w:p>
          <w:p w14:paraId="10C4D803" w14:textId="450A8792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 xml:space="preserve">Comercio al por menor exclusivamente a través de </w:t>
            </w:r>
            <w:r w:rsidR="003D0BF3">
              <w:rPr>
                <w:snapToGrid w:val="0"/>
                <w:sz w:val="20"/>
                <w:szCs w:val="20"/>
              </w:rPr>
              <w:t>i</w:t>
            </w:r>
            <w:r w:rsidRPr="00F87E34">
              <w:rPr>
                <w:snapToGrid w:val="0"/>
                <w:sz w:val="20"/>
                <w:szCs w:val="20"/>
              </w:rPr>
              <w:t>nternet, y catálogos impresos, televisión y similares</w:t>
            </w:r>
          </w:p>
        </w:tc>
      </w:tr>
    </w:tbl>
    <w:p w14:paraId="0FC4201A" w14:textId="0AD6F066" w:rsidR="0026680B" w:rsidRPr="00F87E34" w:rsidRDefault="0026680B" w:rsidP="00BB0E14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La cobertura geográfica es a nivel nacional</w:t>
      </w:r>
      <w:r w:rsidR="0029407F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  <w:r w:rsidR="0029407F">
        <w:rPr>
          <w:rFonts w:ascii="Arial" w:hAnsi="Arial"/>
          <w:color w:val="auto"/>
        </w:rPr>
        <w:t>P</w:t>
      </w:r>
      <w:r w:rsidRPr="00F87E34">
        <w:rPr>
          <w:rFonts w:ascii="Arial" w:hAnsi="Arial"/>
          <w:color w:val="auto"/>
        </w:rPr>
        <w:t>or entidad federativa</w:t>
      </w:r>
      <w:r w:rsidR="004C6CC0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se dispone de información con datos indicativos (muestrales) por sector de actividad</w:t>
      </w:r>
      <w:r w:rsidR="001D1D31" w:rsidRPr="00F87E34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43</w:t>
      </w:r>
      <w:r w:rsidR="00EB65AF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Comercio al por </w:t>
      </w:r>
      <w:r w:rsidR="001D1D31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ayor y 46</w:t>
      </w:r>
      <w:r w:rsidR="00EB65AF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Comercio al por </w:t>
      </w:r>
      <w:r w:rsidR="001D1D31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enor.</w:t>
      </w:r>
      <w:r w:rsidR="0065468F">
        <w:rPr>
          <w:rFonts w:ascii="Arial" w:hAnsi="Arial"/>
          <w:color w:val="auto"/>
        </w:rPr>
        <w:t xml:space="preserve"> </w:t>
      </w:r>
      <w:r w:rsidR="00112A0B">
        <w:rPr>
          <w:rFonts w:ascii="Arial" w:hAnsi="Arial"/>
          <w:color w:val="auto"/>
        </w:rPr>
        <w:t xml:space="preserve">Esta </w:t>
      </w:r>
      <w:r w:rsidRPr="00F87E34">
        <w:rPr>
          <w:rFonts w:ascii="Arial" w:hAnsi="Arial"/>
          <w:color w:val="auto"/>
        </w:rPr>
        <w:t>deberá considerarse con reserva al tratarse de datos muestrales</w:t>
      </w:r>
      <w:r w:rsidR="00112A0B">
        <w:rPr>
          <w:rFonts w:ascii="Arial" w:hAnsi="Arial"/>
          <w:color w:val="auto"/>
        </w:rPr>
        <w:t xml:space="preserve">, </w:t>
      </w:r>
      <w:r w:rsidR="0065468F">
        <w:rPr>
          <w:rFonts w:ascii="Arial" w:hAnsi="Arial"/>
          <w:color w:val="auto"/>
        </w:rPr>
        <w:t>pues</w:t>
      </w:r>
      <w:r w:rsidRPr="00F87E34">
        <w:rPr>
          <w:rFonts w:ascii="Arial" w:hAnsi="Arial"/>
          <w:color w:val="auto"/>
        </w:rPr>
        <w:t xml:space="preserve"> implica que los resultados por entidad federativa no son aditivos en el caso del </w:t>
      </w:r>
      <w:r w:rsidR="00BB3BBC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BB3BBC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enor. </w:t>
      </w:r>
    </w:p>
    <w:p w14:paraId="1FBF935C" w14:textId="6D867072" w:rsidR="002E761C" w:rsidRPr="00F87E34" w:rsidRDefault="0026680B" w:rsidP="002E761C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La construcción de los índices agregados</w:t>
      </w:r>
      <w:r w:rsidR="00EA37F7" w:rsidRPr="00F87E34">
        <w:rPr>
          <w:rFonts w:ascii="Arial" w:hAnsi="Arial"/>
          <w:color w:val="auto"/>
        </w:rPr>
        <w:t xml:space="preserve"> con</w:t>
      </w:r>
      <w:r w:rsidRPr="00F87E34">
        <w:rPr>
          <w:rFonts w:ascii="Arial" w:hAnsi="Arial"/>
          <w:color w:val="auto"/>
        </w:rPr>
        <w:t xml:space="preserve"> base 2013 de cada sector, subsector y rama se realiza </w:t>
      </w:r>
      <w:r w:rsidR="006B2826">
        <w:rPr>
          <w:rFonts w:ascii="Arial" w:hAnsi="Arial"/>
          <w:color w:val="auto"/>
        </w:rPr>
        <w:t>con base</w:t>
      </w:r>
      <w:r w:rsidR="002E1177">
        <w:rPr>
          <w:rFonts w:ascii="Arial" w:hAnsi="Arial"/>
          <w:color w:val="auto"/>
        </w:rPr>
        <w:t xml:space="preserve"> en</w:t>
      </w:r>
      <w:r w:rsidRPr="00F87E34">
        <w:rPr>
          <w:rFonts w:ascii="Arial" w:hAnsi="Arial"/>
          <w:color w:val="auto"/>
        </w:rPr>
        <w:t xml:space="preserve"> las ponderaciones de los índices que los constituyen y los pesos relativos de las estructuras de las ramas de actividad, según corresponda a cada sector comercial</w:t>
      </w:r>
      <w:r w:rsidR="00D05CF8">
        <w:rPr>
          <w:rFonts w:ascii="Arial" w:hAnsi="Arial"/>
          <w:color w:val="auto"/>
        </w:rPr>
        <w:t>. Estos se</w:t>
      </w:r>
      <w:r w:rsidRPr="00F87E34">
        <w:rPr>
          <w:rFonts w:ascii="Arial" w:hAnsi="Arial"/>
          <w:color w:val="auto"/>
        </w:rPr>
        <w:t xml:space="preserve"> genera</w:t>
      </w:r>
      <w:r w:rsidR="00D05CF8">
        <w:rPr>
          <w:rFonts w:ascii="Arial" w:hAnsi="Arial"/>
          <w:color w:val="auto"/>
        </w:rPr>
        <w:t>n</w:t>
      </w:r>
      <w:r w:rsidRPr="00F87E34">
        <w:rPr>
          <w:rFonts w:ascii="Arial" w:hAnsi="Arial"/>
          <w:color w:val="auto"/>
        </w:rPr>
        <w:t xml:space="preserve"> con la información de los </w:t>
      </w:r>
      <w:r w:rsidR="000F3ADD" w:rsidRPr="000F3ADD">
        <w:rPr>
          <w:rFonts w:ascii="Arial" w:hAnsi="Arial"/>
          <w:color w:val="auto"/>
        </w:rPr>
        <w:t>CE 2014</w:t>
      </w:r>
      <w:r w:rsidRPr="00F87E34">
        <w:rPr>
          <w:rFonts w:ascii="Arial" w:hAnsi="Arial"/>
          <w:color w:val="auto"/>
        </w:rPr>
        <w:t xml:space="preserve"> para los sectores de comercio.</w:t>
      </w:r>
      <w:r w:rsidR="002E761C" w:rsidRPr="002E761C">
        <w:rPr>
          <w:rFonts w:ascii="Arial" w:hAnsi="Arial"/>
          <w:color w:val="auto"/>
        </w:rPr>
        <w:t xml:space="preserve"> </w:t>
      </w:r>
      <w:r w:rsidR="002E761C">
        <w:rPr>
          <w:rFonts w:ascii="Arial" w:hAnsi="Arial"/>
          <w:color w:val="auto"/>
        </w:rPr>
        <w:t>Considérense l</w:t>
      </w:r>
      <w:r w:rsidR="002E761C" w:rsidRPr="00F87E34">
        <w:rPr>
          <w:rFonts w:ascii="Arial" w:hAnsi="Arial"/>
          <w:color w:val="auto"/>
        </w:rPr>
        <w:t>os resultados que se presentan en las series como preliminares</w:t>
      </w:r>
      <w:r w:rsidR="002E761C">
        <w:rPr>
          <w:rFonts w:ascii="Arial" w:hAnsi="Arial"/>
          <w:color w:val="auto"/>
        </w:rPr>
        <w:t>. Estos</w:t>
      </w:r>
      <w:r w:rsidR="002E761C" w:rsidRPr="00F87E34">
        <w:rPr>
          <w:rFonts w:ascii="Arial" w:hAnsi="Arial"/>
          <w:color w:val="auto"/>
        </w:rPr>
        <w:t xml:space="preserve"> se revisan y actualizan de manera continua, con base en la investigación constante de las categorías que componen las actividades en estudio.</w:t>
      </w:r>
    </w:p>
    <w:p w14:paraId="5CFB0E8A" w14:textId="533C8C36" w:rsidR="00822E2D" w:rsidRPr="00F87E34" w:rsidRDefault="004F1857" w:rsidP="00822E2D">
      <w:pPr>
        <w:pStyle w:val="p0"/>
        <w:keepLines w:val="0"/>
        <w:widowControl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La </w:t>
      </w:r>
      <w:r w:rsidR="00822E2D" w:rsidRPr="00F87E34">
        <w:rPr>
          <w:rFonts w:ascii="Arial" w:hAnsi="Arial"/>
          <w:color w:val="auto"/>
        </w:rPr>
        <w:t>mayoría de las series económicas se ven afectadas por factores estacionales</w:t>
      </w:r>
      <w:r>
        <w:rPr>
          <w:rFonts w:ascii="Arial" w:hAnsi="Arial"/>
          <w:color w:val="auto"/>
        </w:rPr>
        <w:t>:</w:t>
      </w:r>
      <w:r w:rsidR="00822E2D" w:rsidRPr="00F87E34">
        <w:rPr>
          <w:rFonts w:ascii="Arial" w:hAnsi="Arial"/>
          <w:color w:val="auto"/>
        </w:rPr>
        <w:t xml:space="preserve"> efectos periódicos que se repiten cada año y cuyas causas </w:t>
      </w:r>
      <w:r>
        <w:rPr>
          <w:rFonts w:ascii="Arial" w:hAnsi="Arial"/>
          <w:color w:val="auto"/>
        </w:rPr>
        <w:t>so</w:t>
      </w:r>
      <w:r w:rsidR="00822E2D" w:rsidRPr="00F87E34">
        <w:rPr>
          <w:rFonts w:ascii="Arial" w:hAnsi="Arial"/>
          <w:color w:val="auto"/>
        </w:rPr>
        <w:t>n ajenas a la naturaleza económica de las series</w:t>
      </w:r>
      <w:r w:rsidR="0069132A" w:rsidRPr="00F87E34">
        <w:rPr>
          <w:rFonts w:ascii="Arial" w:hAnsi="Arial"/>
          <w:color w:val="auto"/>
        </w:rPr>
        <w:t xml:space="preserve">. </w:t>
      </w:r>
      <w:r w:rsidR="00252168">
        <w:rPr>
          <w:rFonts w:ascii="Arial" w:hAnsi="Arial"/>
          <w:color w:val="auto"/>
        </w:rPr>
        <w:t>E</w:t>
      </w:r>
      <w:r w:rsidR="0069132A" w:rsidRPr="00F87E34">
        <w:rPr>
          <w:rFonts w:ascii="Arial" w:hAnsi="Arial"/>
          <w:color w:val="auto"/>
        </w:rPr>
        <w:t>stas</w:t>
      </w:r>
      <w:r w:rsidR="00822E2D" w:rsidRPr="00F87E34">
        <w:rPr>
          <w:rFonts w:ascii="Arial" w:hAnsi="Arial"/>
          <w:color w:val="auto"/>
        </w:rPr>
        <w:t xml:space="preserve"> </w:t>
      </w:r>
      <w:r w:rsidR="0069132A" w:rsidRPr="00F87E34">
        <w:rPr>
          <w:rFonts w:ascii="Arial" w:hAnsi="Arial"/>
          <w:color w:val="auto"/>
        </w:rPr>
        <w:t>pueden ser:</w:t>
      </w:r>
      <w:r w:rsidR="00822E2D" w:rsidRPr="00F87E34">
        <w:rPr>
          <w:rFonts w:ascii="Arial" w:hAnsi="Arial"/>
          <w:color w:val="auto"/>
        </w:rPr>
        <w:t xml:space="preserve"> las festividades, meses </w:t>
      </w:r>
      <w:r w:rsidR="000300A4">
        <w:rPr>
          <w:rFonts w:ascii="Arial" w:hAnsi="Arial"/>
          <w:color w:val="auto"/>
        </w:rPr>
        <w:t>más largos que otros</w:t>
      </w:r>
      <w:r w:rsidR="00822E2D" w:rsidRPr="00F87E34">
        <w:rPr>
          <w:rFonts w:ascii="Arial" w:hAnsi="Arial"/>
          <w:color w:val="auto"/>
        </w:rPr>
        <w:t xml:space="preserve">, </w:t>
      </w:r>
      <w:r>
        <w:rPr>
          <w:rFonts w:ascii="Arial" w:hAnsi="Arial"/>
          <w:color w:val="auto"/>
        </w:rPr>
        <w:t>las</w:t>
      </w:r>
      <w:r w:rsidR="00822E2D" w:rsidRPr="00F87E34">
        <w:rPr>
          <w:rFonts w:ascii="Arial" w:hAnsi="Arial"/>
          <w:color w:val="auto"/>
        </w:rPr>
        <w:t xml:space="preserve"> vacaciones escolares, el clima</w:t>
      </w:r>
      <w:r>
        <w:rPr>
          <w:rFonts w:ascii="Arial" w:hAnsi="Arial"/>
          <w:color w:val="auto"/>
        </w:rPr>
        <w:t xml:space="preserve"> y o</w:t>
      </w:r>
      <w:r w:rsidR="00822E2D" w:rsidRPr="00F87E34">
        <w:rPr>
          <w:rFonts w:ascii="Arial" w:hAnsi="Arial"/>
          <w:color w:val="auto"/>
        </w:rPr>
        <w:t>tras fluctuaciones</w:t>
      </w:r>
      <w:r w:rsidR="00EA093F">
        <w:rPr>
          <w:rFonts w:ascii="Arial" w:hAnsi="Arial"/>
          <w:color w:val="auto"/>
        </w:rPr>
        <w:t xml:space="preserve">, </w:t>
      </w:r>
      <w:r w:rsidR="0069132A" w:rsidRPr="00F87E34">
        <w:rPr>
          <w:rFonts w:ascii="Arial" w:hAnsi="Arial"/>
          <w:color w:val="auto"/>
        </w:rPr>
        <w:t xml:space="preserve">como </w:t>
      </w:r>
      <w:r w:rsidR="00822E2D" w:rsidRPr="00F87E34">
        <w:rPr>
          <w:rFonts w:ascii="Arial" w:hAnsi="Arial"/>
          <w:color w:val="auto"/>
        </w:rPr>
        <w:t>la elevada adquisición de juguetes en los meses previos a la Navidad.</w:t>
      </w:r>
    </w:p>
    <w:p w14:paraId="775237EB" w14:textId="1068F299" w:rsidR="002E761C" w:rsidRPr="00F87E34" w:rsidRDefault="00EA093F" w:rsidP="002E761C">
      <w:pPr>
        <w:pStyle w:val="p0"/>
        <w:keepLines w:val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L</w:t>
      </w:r>
      <w:r w:rsidR="00822E2D" w:rsidRPr="00F87E34">
        <w:rPr>
          <w:rFonts w:ascii="Arial" w:hAnsi="Arial"/>
          <w:color w:val="auto"/>
        </w:rPr>
        <w:t>a desestacionalización o ajuste estacional de series económicas consiste en remover estas influencias intra</w:t>
      </w:r>
      <w:r w:rsidR="00D6059E">
        <w:rPr>
          <w:rFonts w:ascii="Arial" w:hAnsi="Arial"/>
          <w:color w:val="auto"/>
        </w:rPr>
        <w:noBreakHyphen/>
      </w:r>
      <w:r w:rsidR="00822E2D" w:rsidRPr="00F87E34">
        <w:rPr>
          <w:rFonts w:ascii="Arial" w:hAnsi="Arial"/>
          <w:color w:val="auto"/>
        </w:rPr>
        <w:t>anuales periódicas</w:t>
      </w:r>
      <w:r>
        <w:rPr>
          <w:rFonts w:ascii="Arial" w:hAnsi="Arial"/>
          <w:color w:val="auto"/>
        </w:rPr>
        <w:t>:</w:t>
      </w:r>
      <w:r w:rsidR="00822E2D" w:rsidRPr="00F87E34">
        <w:rPr>
          <w:rFonts w:ascii="Arial" w:hAnsi="Arial"/>
          <w:color w:val="auto"/>
        </w:rPr>
        <w:t xml:space="preserve"> su presencia dificulta diagnosticar </w:t>
      </w:r>
      <w:r>
        <w:rPr>
          <w:rFonts w:ascii="Arial" w:hAnsi="Arial"/>
          <w:color w:val="auto"/>
        </w:rPr>
        <w:t>y</w:t>
      </w:r>
      <w:r w:rsidR="00822E2D" w:rsidRPr="00F87E34">
        <w:rPr>
          <w:rFonts w:ascii="Arial" w:hAnsi="Arial"/>
          <w:color w:val="auto"/>
        </w:rPr>
        <w:t xml:space="preserve"> describir el comportamiento de una serie económica</w:t>
      </w:r>
      <w:r>
        <w:rPr>
          <w:rFonts w:ascii="Arial" w:hAnsi="Arial"/>
          <w:color w:val="auto"/>
        </w:rPr>
        <w:t>, pues no permite</w:t>
      </w:r>
      <w:r w:rsidR="00822E2D" w:rsidRPr="00F87E34">
        <w:rPr>
          <w:rFonts w:ascii="Arial" w:hAnsi="Arial"/>
          <w:color w:val="auto"/>
        </w:rPr>
        <w:t xml:space="preserve"> comparar adecuadamente un determinado mes con el inmediato anterior. </w:t>
      </w:r>
      <w:r w:rsidR="007F5187" w:rsidRPr="00F87E34">
        <w:rPr>
          <w:rFonts w:ascii="Arial" w:hAnsi="Arial"/>
          <w:color w:val="auto"/>
        </w:rPr>
        <w:t xml:space="preserve">Analizar la serie desestacionalizada ayuda </w:t>
      </w:r>
      <w:r w:rsidR="007F5187" w:rsidRPr="00F87E34">
        <w:rPr>
          <w:rFonts w:ascii="Arial" w:hAnsi="Arial"/>
          <w:color w:val="auto"/>
        </w:rPr>
        <w:lastRenderedPageBreak/>
        <w:t>a realizar un mejor diagnóstico y pronóstico de su evolución</w:t>
      </w:r>
      <w:r w:rsidR="007F5187">
        <w:rPr>
          <w:rFonts w:ascii="Arial" w:hAnsi="Arial"/>
          <w:color w:val="auto"/>
        </w:rPr>
        <w:t>, pues en el corto plazo,</w:t>
      </w:r>
      <w:r w:rsidR="007F5187" w:rsidRPr="00F87E34">
        <w:rPr>
          <w:rFonts w:ascii="Arial" w:hAnsi="Arial"/>
          <w:color w:val="auto"/>
        </w:rPr>
        <w:t xml:space="preserve"> identifica la posible dirección de los movimientos </w:t>
      </w:r>
      <w:r w:rsidR="007F5187">
        <w:rPr>
          <w:rFonts w:ascii="Arial" w:hAnsi="Arial"/>
          <w:color w:val="auto"/>
        </w:rPr>
        <w:t>de</w:t>
      </w:r>
      <w:r w:rsidR="007F5187" w:rsidRPr="00F87E34">
        <w:rPr>
          <w:rFonts w:ascii="Arial" w:hAnsi="Arial"/>
          <w:color w:val="auto"/>
        </w:rPr>
        <w:t xml:space="preserve"> la variable en cuestión</w:t>
      </w:r>
      <w:r w:rsidR="007F5187">
        <w:rPr>
          <w:rFonts w:ascii="Arial" w:hAnsi="Arial"/>
          <w:color w:val="auto"/>
        </w:rPr>
        <w:t>.</w:t>
      </w:r>
      <w:r w:rsidR="002E761C" w:rsidRPr="002E761C">
        <w:rPr>
          <w:rFonts w:ascii="Arial" w:hAnsi="Arial"/>
          <w:color w:val="auto"/>
        </w:rPr>
        <w:t xml:space="preserve"> </w:t>
      </w:r>
      <w:r w:rsidR="002E761C">
        <w:rPr>
          <w:rFonts w:ascii="Arial" w:hAnsi="Arial"/>
          <w:color w:val="auto"/>
        </w:rPr>
        <w:t>A</w:t>
      </w:r>
      <w:r w:rsidR="002E761C" w:rsidRPr="00F87E34">
        <w:rPr>
          <w:rFonts w:ascii="Arial" w:hAnsi="Arial"/>
          <w:color w:val="auto"/>
        </w:rPr>
        <w:t xml:space="preserve">l agregar la información de noviembre de los últimos años, el efecto del </w:t>
      </w:r>
      <w:r w:rsidR="002E761C">
        <w:rPr>
          <w:rFonts w:ascii="Arial" w:hAnsi="Arial"/>
          <w:color w:val="auto"/>
        </w:rPr>
        <w:t>«</w:t>
      </w:r>
      <w:r w:rsidR="002E761C" w:rsidRPr="00F87E34">
        <w:rPr>
          <w:rFonts w:ascii="Arial" w:hAnsi="Arial"/>
          <w:color w:val="auto"/>
        </w:rPr>
        <w:t>Buen Fin</w:t>
      </w:r>
      <w:r w:rsidR="002E761C">
        <w:rPr>
          <w:rFonts w:ascii="Arial" w:hAnsi="Arial"/>
          <w:color w:val="auto"/>
        </w:rPr>
        <w:t>»</w:t>
      </w:r>
      <w:r w:rsidR="002E761C" w:rsidRPr="00F87E34">
        <w:rPr>
          <w:rFonts w:ascii="Arial" w:hAnsi="Arial"/>
          <w:color w:val="auto"/>
        </w:rPr>
        <w:t xml:space="preserve"> se ha incorporado de forma gradual en el ajuste estacional de las ventas al por menor</w:t>
      </w:r>
      <w:r w:rsidR="002E761C" w:rsidRPr="00F87E34">
        <w:rPr>
          <w:rFonts w:ascii="Arial" w:hAnsi="Arial"/>
          <w:color w:val="000000" w:themeColor="text1"/>
        </w:rPr>
        <w:t>.</w:t>
      </w:r>
    </w:p>
    <w:p w14:paraId="5B93CFBB" w14:textId="7374C982" w:rsidR="00822E2D" w:rsidRPr="00F87E34" w:rsidRDefault="00822E2D" w:rsidP="0015603F">
      <w:pPr>
        <w:widowControl w:val="0"/>
        <w:spacing w:before="240"/>
        <w:rPr>
          <w:szCs w:val="20"/>
        </w:rPr>
      </w:pPr>
      <w:r w:rsidRPr="00F87E34">
        <w:rPr>
          <w:szCs w:val="20"/>
        </w:rPr>
        <w:t>Las series originales se ajustan estacional</w:t>
      </w:r>
      <w:r w:rsidR="00497972">
        <w:rPr>
          <w:szCs w:val="20"/>
        </w:rPr>
        <w:t>mente</w:t>
      </w:r>
      <w:r w:rsidRPr="00F87E34">
        <w:rPr>
          <w:szCs w:val="20"/>
        </w:rPr>
        <w:t xml:space="preserve"> mediante el paquete estadístico X</w:t>
      </w:r>
      <w:r w:rsidRPr="00F87E34">
        <w:rPr>
          <w:szCs w:val="20"/>
        </w:rPr>
        <w:noBreakHyphen/>
        <w:t>13ARIMA</w:t>
      </w:r>
      <w:r w:rsidRPr="00F87E34">
        <w:rPr>
          <w:szCs w:val="20"/>
        </w:rPr>
        <w:noBreakHyphen/>
        <w:t>SEATS. Para conocer la metodología</w:t>
      </w:r>
      <w:r w:rsidR="00392C10">
        <w:rPr>
          <w:szCs w:val="20"/>
        </w:rPr>
        <w:t>,</w:t>
      </w:r>
      <w:r w:rsidRPr="00F87E34">
        <w:rPr>
          <w:szCs w:val="20"/>
        </w:rPr>
        <w:t xml:space="preserve"> </w:t>
      </w:r>
      <w:r w:rsidR="008B62C5">
        <w:rPr>
          <w:szCs w:val="20"/>
        </w:rPr>
        <w:t>consúltese</w:t>
      </w:r>
      <w:r w:rsidRPr="00F87E34">
        <w:rPr>
          <w:szCs w:val="20"/>
        </w:rPr>
        <w:t xml:space="preserve"> la siguiente liga:</w:t>
      </w:r>
    </w:p>
    <w:p w14:paraId="50951445" w14:textId="77777777" w:rsidR="00822E2D" w:rsidRPr="00F87E34" w:rsidRDefault="00CB702B" w:rsidP="0015603F">
      <w:pPr>
        <w:pStyle w:val="parrafo1"/>
        <w:widowControl w:val="0"/>
        <w:spacing w:before="0"/>
        <w:ind w:left="0" w:right="0"/>
        <w:rPr>
          <w:rStyle w:val="Hipervnculo"/>
          <w:rFonts w:cs="Arial"/>
          <w:lang w:eastAsia="en-US"/>
        </w:rPr>
      </w:pPr>
      <w:hyperlink r:id="rId29" w:history="1">
        <w:r w:rsidR="00822E2D" w:rsidRPr="00F87E34">
          <w:rPr>
            <w:rStyle w:val="Hipervnculo"/>
            <w:rFonts w:cs="Arial"/>
            <w:lang w:eastAsia="en-US"/>
          </w:rPr>
          <w:t>https://www.inegi.org.mx/app/biblioteca/ficha.html?upc=702825099060</w:t>
        </w:r>
      </w:hyperlink>
    </w:p>
    <w:p w14:paraId="02378505" w14:textId="59FF12C0" w:rsidR="00822E2D" w:rsidRPr="00F87E34" w:rsidRDefault="00822E2D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noProof/>
          <w:color w:val="auto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6F6BE26" wp14:editId="10CB555E">
            <wp:simplePos x="0" y="0"/>
            <wp:positionH relativeFrom="column">
              <wp:posOffset>1614043</wp:posOffset>
            </wp:positionH>
            <wp:positionV relativeFrom="paragraph">
              <wp:posOffset>681990</wp:posOffset>
            </wp:positionV>
            <wp:extent cx="152400" cy="152400"/>
            <wp:effectExtent l="0" t="0" r="0" b="0"/>
            <wp:wrapNone/>
            <wp:docPr id="12" name="Imagen 1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543">
        <w:rPr>
          <w:rFonts w:ascii="Arial" w:hAnsi="Arial"/>
          <w:color w:val="auto"/>
        </w:rPr>
        <w:t>L</w:t>
      </w:r>
      <w:r w:rsidRPr="00F87E34">
        <w:rPr>
          <w:rFonts w:ascii="Arial" w:hAnsi="Arial"/>
          <w:color w:val="auto"/>
        </w:rPr>
        <w:t>as especificaciones de los modelos utilizados para realizar el ajuste estacional están disponibles en el Banco de Información Económica</w:t>
      </w:r>
      <w:r w:rsidR="001C47BD">
        <w:rPr>
          <w:rFonts w:ascii="Arial" w:hAnsi="Arial"/>
          <w:color w:val="auto"/>
        </w:rPr>
        <w:t xml:space="preserve"> (BIE)</w:t>
      </w:r>
      <w:r w:rsidR="00EA093F">
        <w:rPr>
          <w:rFonts w:ascii="Arial" w:hAnsi="Arial"/>
          <w:color w:val="auto"/>
        </w:rPr>
        <w:t>. Selecci</w:t>
      </w:r>
      <w:r w:rsidR="001C47BD">
        <w:rPr>
          <w:rFonts w:ascii="Arial" w:hAnsi="Arial"/>
          <w:color w:val="auto"/>
        </w:rPr>
        <w:t>one</w:t>
      </w:r>
      <w:r w:rsidRPr="00F87E34">
        <w:rPr>
          <w:rFonts w:ascii="Arial" w:hAnsi="Arial"/>
          <w:color w:val="auto"/>
        </w:rPr>
        <w:t xml:space="preserve"> </w:t>
      </w:r>
      <w:r w:rsidR="001C47BD" w:rsidRPr="001C47BD">
        <w:rPr>
          <w:rFonts w:ascii="Arial" w:hAnsi="Arial"/>
          <w:color w:val="auto"/>
        </w:rPr>
        <w:t xml:space="preserve">«Indicadores económicos de coyuntura, Encuesta </w:t>
      </w:r>
      <w:r w:rsidR="00B231B0">
        <w:rPr>
          <w:rFonts w:ascii="Arial" w:hAnsi="Arial"/>
          <w:color w:val="auto"/>
        </w:rPr>
        <w:t>M</w:t>
      </w:r>
      <w:r w:rsidR="001C47BD" w:rsidRPr="001C47BD">
        <w:rPr>
          <w:rFonts w:ascii="Arial" w:hAnsi="Arial"/>
          <w:color w:val="auto"/>
        </w:rPr>
        <w:t xml:space="preserve">ensual </w:t>
      </w:r>
      <w:r w:rsidR="001C47BD">
        <w:rPr>
          <w:rFonts w:ascii="Arial" w:hAnsi="Arial"/>
          <w:color w:val="auto"/>
        </w:rPr>
        <w:t xml:space="preserve">sobre </w:t>
      </w:r>
      <w:r w:rsidR="00B231B0">
        <w:rPr>
          <w:rFonts w:ascii="Arial" w:hAnsi="Arial"/>
          <w:color w:val="auto"/>
        </w:rPr>
        <w:t>E</w:t>
      </w:r>
      <w:r w:rsidR="001C47BD">
        <w:rPr>
          <w:rFonts w:ascii="Arial" w:hAnsi="Arial"/>
          <w:color w:val="auto"/>
        </w:rPr>
        <w:t>mpresas</w:t>
      </w:r>
      <w:r w:rsidR="001C47BD" w:rsidRPr="001C47BD">
        <w:rPr>
          <w:rFonts w:ascii="Arial" w:hAnsi="Arial"/>
          <w:color w:val="auto"/>
        </w:rPr>
        <w:t xml:space="preserve"> </w:t>
      </w:r>
      <w:r w:rsidR="00B231B0">
        <w:rPr>
          <w:rFonts w:ascii="Arial" w:hAnsi="Arial"/>
          <w:color w:val="auto"/>
        </w:rPr>
        <w:t>C</w:t>
      </w:r>
      <w:r w:rsidR="001C47BD">
        <w:rPr>
          <w:rFonts w:ascii="Arial" w:hAnsi="Arial"/>
          <w:color w:val="auto"/>
        </w:rPr>
        <w:t>omerciales</w:t>
      </w:r>
      <w:r w:rsidR="001C47BD" w:rsidRPr="001C47BD">
        <w:rPr>
          <w:rFonts w:ascii="Arial" w:hAnsi="Arial"/>
          <w:color w:val="auto"/>
        </w:rPr>
        <w:t xml:space="preserve">» </w:t>
      </w:r>
      <w:r w:rsidR="001C47BD">
        <w:rPr>
          <w:rFonts w:ascii="Arial" w:hAnsi="Arial"/>
          <w:color w:val="auto"/>
        </w:rPr>
        <w:t>y vaya a</w:t>
      </w:r>
      <w:r w:rsidRPr="00F87E34">
        <w:rPr>
          <w:rFonts w:ascii="Arial" w:hAnsi="Arial"/>
          <w:color w:val="auto"/>
        </w:rPr>
        <w:t xml:space="preserve">l icono de información  correspondiente a las </w:t>
      </w:r>
      <w:r w:rsidR="00E66DD7" w:rsidRPr="00E66DD7">
        <w:rPr>
          <w:rFonts w:ascii="Arial" w:hAnsi="Arial"/>
          <w:color w:val="auto"/>
        </w:rPr>
        <w:t>«</w:t>
      </w:r>
      <w:r w:rsidRPr="00F87E34">
        <w:rPr>
          <w:rFonts w:ascii="Arial" w:hAnsi="Arial"/>
          <w:color w:val="auto"/>
        </w:rPr>
        <w:t>series desestacionalizadas y de tendencia</w:t>
      </w:r>
      <w:r w:rsidRPr="00F87E34">
        <w:rPr>
          <w:rFonts w:ascii="Arial" w:hAnsi="Arial"/>
          <w:color w:val="auto"/>
        </w:rPr>
        <w:noBreakHyphen/>
        <w:t>ciclo</w:t>
      </w:r>
      <w:r w:rsidR="00E66DD7" w:rsidRPr="00E66DD7">
        <w:rPr>
          <w:rFonts w:ascii="Arial" w:hAnsi="Arial"/>
          <w:color w:val="auto"/>
        </w:rPr>
        <w:t>»</w:t>
      </w:r>
      <w:r w:rsidR="001C47BD">
        <w:rPr>
          <w:rFonts w:ascii="Arial" w:hAnsi="Arial"/>
          <w:color w:val="auto"/>
        </w:rPr>
        <w:t>.</w:t>
      </w:r>
    </w:p>
    <w:p w14:paraId="3BD1CEF6" w14:textId="40E14E5D" w:rsidR="00770BFA" w:rsidRPr="00F87E34" w:rsidRDefault="00E72EF6" w:rsidP="0015603F">
      <w:pPr>
        <w:pStyle w:val="p0"/>
        <w:keepLines w:val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M</w:t>
      </w:r>
      <w:r w:rsidR="00756572" w:rsidRPr="00F87E34">
        <w:rPr>
          <w:rFonts w:ascii="Arial" w:hAnsi="Arial"/>
          <w:color w:val="auto"/>
        </w:rPr>
        <w:t>ediante la EMEC</w:t>
      </w:r>
      <w:r>
        <w:rPr>
          <w:rFonts w:ascii="Arial" w:hAnsi="Arial"/>
          <w:color w:val="auto"/>
        </w:rPr>
        <w:t>,</w:t>
      </w:r>
      <w:r w:rsidRPr="00E72EF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el</w:t>
      </w:r>
      <w:r w:rsidRPr="00F87E34">
        <w:rPr>
          <w:rFonts w:ascii="Arial" w:hAnsi="Arial"/>
          <w:color w:val="auto"/>
        </w:rPr>
        <w:t xml:space="preserve"> INEGI</w:t>
      </w:r>
      <w:r w:rsidR="00756572">
        <w:rPr>
          <w:rFonts w:ascii="Arial" w:hAnsi="Arial"/>
          <w:color w:val="auto"/>
        </w:rPr>
        <w:t xml:space="preserve"> genera l</w:t>
      </w:r>
      <w:r w:rsidR="0026680B" w:rsidRPr="00F87E34">
        <w:rPr>
          <w:rFonts w:ascii="Arial" w:hAnsi="Arial"/>
          <w:color w:val="auto"/>
        </w:rPr>
        <w:t xml:space="preserve">a información contenida en este documento y </w:t>
      </w:r>
      <w:r w:rsidR="00756572">
        <w:rPr>
          <w:rFonts w:ascii="Arial" w:hAnsi="Arial"/>
          <w:color w:val="auto"/>
        </w:rPr>
        <w:t>la</w:t>
      </w:r>
      <w:r w:rsidR="0026680B" w:rsidRPr="00F87E34">
        <w:rPr>
          <w:rFonts w:ascii="Arial" w:hAnsi="Arial"/>
          <w:color w:val="auto"/>
        </w:rPr>
        <w:t xml:space="preserve"> da a conocer </w:t>
      </w:r>
      <w:r w:rsidR="00756572">
        <w:rPr>
          <w:rFonts w:ascii="Arial" w:hAnsi="Arial"/>
          <w:color w:val="auto"/>
        </w:rPr>
        <w:t>con base</w:t>
      </w:r>
      <w:r w:rsidR="0026680B" w:rsidRPr="00F87E34">
        <w:rPr>
          <w:rFonts w:ascii="Arial" w:hAnsi="Arial"/>
          <w:color w:val="auto"/>
        </w:rPr>
        <w:t xml:space="preserve"> en el Calendario de </w:t>
      </w:r>
      <w:r w:rsidR="00A41C2D" w:rsidRPr="00F87E34">
        <w:rPr>
          <w:rFonts w:ascii="Arial" w:hAnsi="Arial"/>
          <w:color w:val="auto"/>
        </w:rPr>
        <w:t>D</w:t>
      </w:r>
      <w:r w:rsidR="0026680B" w:rsidRPr="00F87E34">
        <w:rPr>
          <w:rFonts w:ascii="Arial" w:hAnsi="Arial"/>
          <w:color w:val="auto"/>
        </w:rPr>
        <w:t xml:space="preserve">ifusión de </w:t>
      </w:r>
      <w:r w:rsidR="00A41C2D" w:rsidRPr="00F87E34">
        <w:rPr>
          <w:rFonts w:ascii="Arial" w:hAnsi="Arial"/>
          <w:color w:val="auto"/>
        </w:rPr>
        <w:t>I</w:t>
      </w:r>
      <w:r w:rsidR="0026680B" w:rsidRPr="00F87E34">
        <w:rPr>
          <w:rFonts w:ascii="Arial" w:hAnsi="Arial"/>
          <w:color w:val="auto"/>
        </w:rPr>
        <w:t xml:space="preserve">nformación </w:t>
      </w:r>
      <w:r w:rsidR="00A41C2D" w:rsidRPr="00F87E34">
        <w:rPr>
          <w:rFonts w:ascii="Arial" w:hAnsi="Arial"/>
          <w:color w:val="auto"/>
        </w:rPr>
        <w:t>E</w:t>
      </w:r>
      <w:r w:rsidR="0026680B" w:rsidRPr="00F87E34">
        <w:rPr>
          <w:rFonts w:ascii="Arial" w:hAnsi="Arial"/>
          <w:color w:val="auto"/>
        </w:rPr>
        <w:t xml:space="preserve">stadística y </w:t>
      </w:r>
      <w:r w:rsidR="00A41C2D" w:rsidRPr="00F87E34">
        <w:rPr>
          <w:rFonts w:ascii="Arial" w:hAnsi="Arial"/>
          <w:color w:val="auto"/>
        </w:rPr>
        <w:t>G</w:t>
      </w:r>
      <w:r w:rsidR="0026680B" w:rsidRPr="00F87E34">
        <w:rPr>
          <w:rFonts w:ascii="Arial" w:hAnsi="Arial"/>
          <w:color w:val="auto"/>
        </w:rPr>
        <w:t>eográfica y de Interés Nacional</w:t>
      </w:r>
      <w:r w:rsidR="00770BFA" w:rsidRPr="00F87E34">
        <w:rPr>
          <w:rFonts w:ascii="Arial" w:hAnsi="Arial"/>
          <w:color w:val="auto"/>
        </w:rPr>
        <w:t>.</w:t>
      </w:r>
    </w:p>
    <w:p w14:paraId="3D3B36B0" w14:textId="3232DAB1" w:rsidR="00E66DD7" w:rsidRDefault="006144F9" w:rsidP="0015603F">
      <w:pPr>
        <w:pStyle w:val="p0"/>
        <w:keepLines w:val="0"/>
        <w:tabs>
          <w:tab w:val="left" w:pos="1218"/>
        </w:tabs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Todos los resultados </w:t>
      </w:r>
      <w:r w:rsidR="005E78FF">
        <w:rPr>
          <w:rFonts w:ascii="Arial" w:hAnsi="Arial"/>
          <w:color w:val="auto"/>
        </w:rPr>
        <w:t>pueden</w:t>
      </w:r>
      <w:r w:rsidR="005E78FF" w:rsidRPr="00F87E34">
        <w:rPr>
          <w:rFonts w:ascii="Arial" w:hAnsi="Arial"/>
          <w:color w:val="auto"/>
        </w:rPr>
        <w:t xml:space="preserve"> consulta</w:t>
      </w:r>
      <w:r w:rsidR="005E78FF">
        <w:rPr>
          <w:rFonts w:ascii="Arial" w:hAnsi="Arial"/>
          <w:color w:val="auto"/>
        </w:rPr>
        <w:t>r</w:t>
      </w:r>
      <w:r w:rsidR="00364F95">
        <w:rPr>
          <w:rFonts w:ascii="Arial" w:hAnsi="Arial"/>
          <w:color w:val="auto"/>
        </w:rPr>
        <w:t>se</w:t>
      </w:r>
      <w:r w:rsidR="005E78FF" w:rsidRPr="00F87E34">
        <w:rPr>
          <w:rFonts w:ascii="Arial" w:hAnsi="Arial"/>
          <w:color w:val="auto"/>
        </w:rPr>
        <w:t xml:space="preserve"> en la página del INEGI</w:t>
      </w:r>
      <w:r w:rsidR="00E66DD7">
        <w:rPr>
          <w:rFonts w:ascii="Arial" w:hAnsi="Arial"/>
          <w:color w:val="auto"/>
        </w:rPr>
        <w:t>, en las siguientes secciones:</w:t>
      </w:r>
      <w:r w:rsidR="00EC055C">
        <w:rPr>
          <w:rFonts w:ascii="Arial" w:hAnsi="Arial"/>
          <w:color w:val="auto"/>
        </w:rPr>
        <w:t xml:space="preserve"> </w:t>
      </w:r>
    </w:p>
    <w:p w14:paraId="3A9D642C" w14:textId="32ECFC75" w:rsidR="005E78FF" w:rsidRPr="00F87E34" w:rsidRDefault="005E78FF" w:rsidP="00B231B0">
      <w:pPr>
        <w:ind w:firstLine="284"/>
      </w:pPr>
      <w:r w:rsidRPr="00252168">
        <w:t>Tema:</w:t>
      </w:r>
      <w:r w:rsidRPr="00F87E34">
        <w:t xml:space="preserve"> </w:t>
      </w:r>
      <w:hyperlink r:id="rId31" w:history="1">
        <w:r w:rsidRPr="00291AED">
          <w:rPr>
            <w:rStyle w:val="Hipervnculo"/>
          </w:rPr>
          <w:t>https://www.inegi.org.mx/temas/comercioemp/</w:t>
        </w:r>
      </w:hyperlink>
    </w:p>
    <w:p w14:paraId="4318B1E5" w14:textId="489DD252" w:rsidR="005E78FF" w:rsidRPr="00F87E34" w:rsidRDefault="005E78FF" w:rsidP="00B231B0">
      <w:pPr>
        <w:ind w:firstLine="284"/>
      </w:pPr>
      <w:r w:rsidRPr="00F87E34">
        <w:t xml:space="preserve">Programa: </w:t>
      </w:r>
      <w:hyperlink r:id="rId32" w:history="1">
        <w:r w:rsidRPr="00F87E34">
          <w:rPr>
            <w:rStyle w:val="Hipervnculo"/>
          </w:rPr>
          <w:t>https://www.inegi.org.mx/programas/emec/2013/</w:t>
        </w:r>
      </w:hyperlink>
    </w:p>
    <w:p w14:paraId="61F97D85" w14:textId="1B64FB65" w:rsidR="0026680B" w:rsidRPr="00F87E34" w:rsidRDefault="005E78FF" w:rsidP="00B231B0">
      <w:pPr>
        <w:ind w:firstLine="284"/>
        <w:rPr>
          <w:snapToGrid w:val="0"/>
        </w:rPr>
      </w:pPr>
      <w:r w:rsidRPr="00F87E34">
        <w:t>B</w:t>
      </w:r>
      <w:r w:rsidR="0015603F">
        <w:t>IE</w:t>
      </w:r>
      <w:r w:rsidRPr="00F87E34">
        <w:t xml:space="preserve">: </w:t>
      </w:r>
      <w:hyperlink r:id="rId33" w:history="1">
        <w:r w:rsidR="00B231B0">
          <w:rPr>
            <w:rStyle w:val="Hipervnculo"/>
          </w:rPr>
          <w:t>https://www.inegi.org.mx/app/indicadores/?tm=0</w:t>
        </w:r>
      </w:hyperlink>
    </w:p>
    <w:sectPr w:rsidR="0026680B" w:rsidRPr="00F87E34" w:rsidSect="00521278">
      <w:headerReference w:type="default" r:id="rId34"/>
      <w:footerReference w:type="default" r:id="rId35"/>
      <w:pgSz w:w="12242" w:h="15842" w:code="119"/>
      <w:pgMar w:top="2552" w:right="1418" w:bottom="1134" w:left="1418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412A0" w14:textId="77777777" w:rsidR="00CB702B" w:rsidRDefault="00CB702B">
      <w:r>
        <w:separator/>
      </w:r>
    </w:p>
  </w:endnote>
  <w:endnote w:type="continuationSeparator" w:id="0">
    <w:p w14:paraId="31D84982" w14:textId="77777777" w:rsidR="00CB702B" w:rsidRDefault="00CB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E43A4" w14:textId="77777777" w:rsidR="00043766" w:rsidRPr="00975B1E" w:rsidRDefault="00043766" w:rsidP="00043766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58C5D619" w14:textId="77777777" w:rsidR="00043766" w:rsidRPr="007B4B63" w:rsidRDefault="00043766" w:rsidP="00043766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6AEE6" w14:textId="77777777" w:rsidR="00043766" w:rsidRPr="0068577C" w:rsidRDefault="00043766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68577C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C659F" w14:textId="77777777" w:rsidR="00CB702B" w:rsidRDefault="00CB702B">
      <w:r>
        <w:separator/>
      </w:r>
    </w:p>
  </w:footnote>
  <w:footnote w:type="continuationSeparator" w:id="0">
    <w:p w14:paraId="3676E03D" w14:textId="77777777" w:rsidR="00CB702B" w:rsidRDefault="00CB702B">
      <w:r>
        <w:continuationSeparator/>
      </w:r>
    </w:p>
  </w:footnote>
  <w:footnote w:id="1">
    <w:p w14:paraId="698259F8" w14:textId="77777777" w:rsidR="00043766" w:rsidRPr="003C3740" w:rsidRDefault="00043766" w:rsidP="003D467B">
      <w:pPr>
        <w:pStyle w:val="Textonotapie"/>
        <w:ind w:left="168" w:right="49" w:hanging="168"/>
        <w:rPr>
          <w:sz w:val="16"/>
        </w:rPr>
      </w:pPr>
      <w:r w:rsidRPr="00914A0F">
        <w:rPr>
          <w:rStyle w:val="Refdenotaalpie"/>
          <w:sz w:val="18"/>
          <w:szCs w:val="18"/>
        </w:rPr>
        <w:footnoteRef/>
      </w:r>
      <w:r w:rsidRPr="00914A0F">
        <w:tab/>
      </w:r>
      <w:r w:rsidRPr="00140D9C">
        <w:rPr>
          <w:sz w:val="16"/>
          <w:szCs w:val="16"/>
        </w:rPr>
        <w:t>La mayoría de las series económicas se ven afectadas por factores estacionales y de calendario. El ajuste de l</w:t>
      </w:r>
      <w:r>
        <w:rPr>
          <w:sz w:val="16"/>
          <w:szCs w:val="16"/>
        </w:rPr>
        <w:t>o</w:t>
      </w:r>
      <w:r w:rsidRPr="00140D9C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datos </w:t>
      </w:r>
      <w:r w:rsidRPr="00140D9C">
        <w:rPr>
          <w:sz w:val="16"/>
          <w:szCs w:val="16"/>
        </w:rPr>
        <w:t>por dichos factores permite obtener las cifras desestacionalizadas</w:t>
      </w:r>
      <w:r>
        <w:rPr>
          <w:sz w:val="16"/>
          <w:szCs w:val="16"/>
        </w:rPr>
        <w:t>. Su</w:t>
      </w:r>
      <w:r w:rsidRPr="00140D9C"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2">
    <w:p w14:paraId="48C26393" w14:textId="77777777" w:rsidR="00043766" w:rsidRDefault="00043766" w:rsidP="003D467B">
      <w:pPr>
        <w:pStyle w:val="Textonotapie"/>
        <w:ind w:left="168" w:right="49" w:hanging="168"/>
        <w:rPr>
          <w:sz w:val="16"/>
          <w:szCs w:val="16"/>
          <w:lang w:val="es-ES"/>
        </w:rPr>
      </w:pPr>
      <w:r w:rsidRPr="00914A0F">
        <w:rPr>
          <w:rStyle w:val="Refdenotaalpie"/>
          <w:sz w:val="18"/>
          <w:szCs w:val="18"/>
        </w:rPr>
        <w:footnoteRef/>
      </w:r>
      <w:r w:rsidRPr="00914A0F">
        <w:tab/>
      </w:r>
      <w:r w:rsidRPr="00914A0F">
        <w:rPr>
          <w:sz w:val="16"/>
          <w:szCs w:val="16"/>
          <w:lang w:val="es-ES"/>
        </w:rPr>
        <w:t>Se refiere al monto que obtuv</w:t>
      </w:r>
      <w:r>
        <w:rPr>
          <w:sz w:val="16"/>
          <w:szCs w:val="16"/>
          <w:lang w:val="es-ES"/>
        </w:rPr>
        <w:t>ieron</w:t>
      </w:r>
      <w:r w:rsidRPr="00914A0F">
        <w:rPr>
          <w:sz w:val="16"/>
          <w:szCs w:val="16"/>
          <w:lang w:val="es-ES"/>
        </w:rPr>
        <w:t xml:space="preserve"> la</w:t>
      </w:r>
      <w:r>
        <w:rPr>
          <w:sz w:val="16"/>
          <w:szCs w:val="16"/>
          <w:lang w:val="es-ES"/>
        </w:rPr>
        <w:t>s</w:t>
      </w:r>
      <w:r w:rsidRPr="00914A0F">
        <w:rPr>
          <w:sz w:val="16"/>
          <w:szCs w:val="16"/>
          <w:lang w:val="es-ES"/>
        </w:rPr>
        <w:t xml:space="preserve"> empresa</w:t>
      </w:r>
      <w:r>
        <w:rPr>
          <w:sz w:val="16"/>
          <w:szCs w:val="16"/>
          <w:lang w:val="es-ES"/>
        </w:rPr>
        <w:t>s</w:t>
      </w:r>
      <w:r w:rsidRPr="00914A0F">
        <w:rPr>
          <w:sz w:val="16"/>
          <w:szCs w:val="16"/>
          <w:lang w:val="es-ES"/>
        </w:rPr>
        <w:t xml:space="preserve"> por todas aquellas actividades de producción, comercialización o prestación de servicios que realiz</w:t>
      </w:r>
      <w:r>
        <w:rPr>
          <w:sz w:val="16"/>
          <w:szCs w:val="16"/>
          <w:lang w:val="es-ES"/>
        </w:rPr>
        <w:t>aron</w:t>
      </w:r>
      <w:r w:rsidRPr="00914A0F">
        <w:rPr>
          <w:sz w:val="16"/>
          <w:szCs w:val="16"/>
          <w:lang w:val="es-ES"/>
        </w:rPr>
        <w:t xml:space="preserve"> en el mes de referencia</w:t>
      </w:r>
      <w:r w:rsidRPr="003C3740">
        <w:rPr>
          <w:sz w:val="16"/>
          <w:szCs w:val="16"/>
          <w:lang w:val="es-ES"/>
        </w:rPr>
        <w:t xml:space="preserve">. </w:t>
      </w:r>
    </w:p>
    <w:p w14:paraId="6472C821" w14:textId="77777777" w:rsidR="00043766" w:rsidRDefault="00043766" w:rsidP="003D467B">
      <w:pPr>
        <w:pStyle w:val="Textonotapie"/>
        <w:ind w:left="168" w:hanging="168"/>
        <w:rPr>
          <w:sz w:val="16"/>
          <w:szCs w:val="16"/>
          <w:lang w:val="es-ES"/>
        </w:rPr>
      </w:pPr>
    </w:p>
    <w:p w14:paraId="22749001" w14:textId="77777777" w:rsidR="00043766" w:rsidRPr="003C3740" w:rsidRDefault="00043766" w:rsidP="003D467B">
      <w:pPr>
        <w:pStyle w:val="Textonotapie"/>
        <w:ind w:left="168" w:hanging="168"/>
        <w:rPr>
          <w:sz w:val="16"/>
          <w:szCs w:val="16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52D0F" w14:textId="047546C5" w:rsidR="00043766" w:rsidRPr="00306ECD" w:rsidRDefault="00043766" w:rsidP="00043766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6DD6215" wp14:editId="0608998C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922B53">
      <w:rPr>
        <w:b/>
        <w:color w:val="002060"/>
      </w:rPr>
      <w:t>595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635E8937" w14:textId="58D35F12" w:rsidR="00043766" w:rsidRPr="00306ECD" w:rsidRDefault="00043766" w:rsidP="00043766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OCTUBRE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CC2EB0E" w14:textId="77777777" w:rsidR="00043766" w:rsidRPr="00306ECD" w:rsidRDefault="00043766" w:rsidP="00043766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12</w:t>
    </w:r>
  </w:p>
  <w:p w14:paraId="1CC05D64" w14:textId="77777777" w:rsidR="00043766" w:rsidRDefault="00043766" w:rsidP="00043766">
    <w:pPr>
      <w:pStyle w:val="Encabezado"/>
      <w:ind w:right="49"/>
      <w:jc w:val="center"/>
    </w:pPr>
  </w:p>
  <w:p w14:paraId="1ACB8EFC" w14:textId="77777777" w:rsidR="00043766" w:rsidRDefault="00043766"/>
  <w:p w14:paraId="0E39223B" w14:textId="77777777" w:rsidR="00043766" w:rsidRDefault="000437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5C07" w14:textId="106B058F" w:rsidR="00043766" w:rsidRDefault="00043766" w:rsidP="003D467B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536F8885" wp14:editId="6BB1C9F0">
          <wp:extent cx="828000" cy="828000"/>
          <wp:effectExtent l="0" t="0" r="0" b="0"/>
          <wp:docPr id="10" name="Imagen 1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E386850"/>
    <w:multiLevelType w:val="hybridMultilevel"/>
    <w:tmpl w:val="03D8D1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0C7DE1"/>
    <w:multiLevelType w:val="hybridMultilevel"/>
    <w:tmpl w:val="F878B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6C2064AD"/>
    <w:multiLevelType w:val="hybridMultilevel"/>
    <w:tmpl w:val="2D40341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8AD5396"/>
    <w:multiLevelType w:val="hybridMultilevel"/>
    <w:tmpl w:val="BDD07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9"/>
  </w:num>
  <w:num w:numId="13">
    <w:abstractNumId w:val="20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4"/>
  </w:num>
  <w:num w:numId="20">
    <w:abstractNumId w:val="10"/>
  </w:num>
  <w:num w:numId="21">
    <w:abstractNumId w:val="7"/>
  </w:num>
  <w:num w:numId="22">
    <w:abstractNumId w:val="18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D1"/>
    <w:rsid w:val="0000043F"/>
    <w:rsid w:val="00000789"/>
    <w:rsid w:val="00000A97"/>
    <w:rsid w:val="00000BEA"/>
    <w:rsid w:val="00001390"/>
    <w:rsid w:val="0000180F"/>
    <w:rsid w:val="00001DBF"/>
    <w:rsid w:val="00002466"/>
    <w:rsid w:val="00002665"/>
    <w:rsid w:val="000026BE"/>
    <w:rsid w:val="000027BD"/>
    <w:rsid w:val="00002B26"/>
    <w:rsid w:val="000032AE"/>
    <w:rsid w:val="00003C25"/>
    <w:rsid w:val="00003C68"/>
    <w:rsid w:val="00004291"/>
    <w:rsid w:val="0000458A"/>
    <w:rsid w:val="000050C6"/>
    <w:rsid w:val="00005940"/>
    <w:rsid w:val="00006B5A"/>
    <w:rsid w:val="00006D26"/>
    <w:rsid w:val="000078B1"/>
    <w:rsid w:val="00007972"/>
    <w:rsid w:val="00007A1A"/>
    <w:rsid w:val="0001038F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3F6E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7F8"/>
    <w:rsid w:val="00020389"/>
    <w:rsid w:val="00021432"/>
    <w:rsid w:val="00021492"/>
    <w:rsid w:val="000216A3"/>
    <w:rsid w:val="000228C4"/>
    <w:rsid w:val="00022CA3"/>
    <w:rsid w:val="00022F65"/>
    <w:rsid w:val="000231F6"/>
    <w:rsid w:val="000247BB"/>
    <w:rsid w:val="00024F64"/>
    <w:rsid w:val="000260EE"/>
    <w:rsid w:val="00026B3C"/>
    <w:rsid w:val="00026B52"/>
    <w:rsid w:val="00027C7B"/>
    <w:rsid w:val="000300A4"/>
    <w:rsid w:val="00030480"/>
    <w:rsid w:val="0003065F"/>
    <w:rsid w:val="00030D10"/>
    <w:rsid w:val="00031231"/>
    <w:rsid w:val="000314D3"/>
    <w:rsid w:val="00031BCF"/>
    <w:rsid w:val="00032B16"/>
    <w:rsid w:val="00033603"/>
    <w:rsid w:val="0003363D"/>
    <w:rsid w:val="00033A14"/>
    <w:rsid w:val="0003447A"/>
    <w:rsid w:val="00034BC3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FF7"/>
    <w:rsid w:val="0004225C"/>
    <w:rsid w:val="00042A96"/>
    <w:rsid w:val="00043535"/>
    <w:rsid w:val="00043766"/>
    <w:rsid w:val="00043B32"/>
    <w:rsid w:val="00043E2B"/>
    <w:rsid w:val="00044296"/>
    <w:rsid w:val="000442BB"/>
    <w:rsid w:val="000442FD"/>
    <w:rsid w:val="00044699"/>
    <w:rsid w:val="00044700"/>
    <w:rsid w:val="00044781"/>
    <w:rsid w:val="00044C5E"/>
    <w:rsid w:val="0004596A"/>
    <w:rsid w:val="00045AF1"/>
    <w:rsid w:val="00045E9B"/>
    <w:rsid w:val="00046139"/>
    <w:rsid w:val="000465BF"/>
    <w:rsid w:val="000467A6"/>
    <w:rsid w:val="00046822"/>
    <w:rsid w:val="00046AB6"/>
    <w:rsid w:val="00046C2C"/>
    <w:rsid w:val="00046D06"/>
    <w:rsid w:val="000471CD"/>
    <w:rsid w:val="0004735D"/>
    <w:rsid w:val="0004777C"/>
    <w:rsid w:val="000478A1"/>
    <w:rsid w:val="000501E0"/>
    <w:rsid w:val="00050934"/>
    <w:rsid w:val="00050FB5"/>
    <w:rsid w:val="0005114E"/>
    <w:rsid w:val="00051C72"/>
    <w:rsid w:val="00051D1C"/>
    <w:rsid w:val="00051D9E"/>
    <w:rsid w:val="00052F04"/>
    <w:rsid w:val="00052F1E"/>
    <w:rsid w:val="000531A8"/>
    <w:rsid w:val="000536D2"/>
    <w:rsid w:val="00053B2C"/>
    <w:rsid w:val="00053EB7"/>
    <w:rsid w:val="00053EC5"/>
    <w:rsid w:val="00054A4F"/>
    <w:rsid w:val="00055047"/>
    <w:rsid w:val="00055332"/>
    <w:rsid w:val="00055B54"/>
    <w:rsid w:val="00056F51"/>
    <w:rsid w:val="000573F5"/>
    <w:rsid w:val="00057F37"/>
    <w:rsid w:val="000602B0"/>
    <w:rsid w:val="0006056C"/>
    <w:rsid w:val="00060F31"/>
    <w:rsid w:val="00061DEB"/>
    <w:rsid w:val="0006228A"/>
    <w:rsid w:val="00062D99"/>
    <w:rsid w:val="00063614"/>
    <w:rsid w:val="00063838"/>
    <w:rsid w:val="0006433F"/>
    <w:rsid w:val="000646BA"/>
    <w:rsid w:val="00064BBC"/>
    <w:rsid w:val="00064E9D"/>
    <w:rsid w:val="00064FDB"/>
    <w:rsid w:val="000650BA"/>
    <w:rsid w:val="00065106"/>
    <w:rsid w:val="000651F1"/>
    <w:rsid w:val="00065708"/>
    <w:rsid w:val="00065A07"/>
    <w:rsid w:val="00065BC1"/>
    <w:rsid w:val="00066638"/>
    <w:rsid w:val="000667F0"/>
    <w:rsid w:val="00066EA7"/>
    <w:rsid w:val="00066EBE"/>
    <w:rsid w:val="0007012A"/>
    <w:rsid w:val="0007017F"/>
    <w:rsid w:val="00070431"/>
    <w:rsid w:val="000707FF"/>
    <w:rsid w:val="00070864"/>
    <w:rsid w:val="0007145A"/>
    <w:rsid w:val="00071749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14C"/>
    <w:rsid w:val="00076234"/>
    <w:rsid w:val="000767F7"/>
    <w:rsid w:val="00076EE9"/>
    <w:rsid w:val="00077C0B"/>
    <w:rsid w:val="00077C46"/>
    <w:rsid w:val="0008000C"/>
    <w:rsid w:val="0008027F"/>
    <w:rsid w:val="0008084D"/>
    <w:rsid w:val="000814ED"/>
    <w:rsid w:val="0008175A"/>
    <w:rsid w:val="0008195B"/>
    <w:rsid w:val="000826F7"/>
    <w:rsid w:val="00082801"/>
    <w:rsid w:val="00082F11"/>
    <w:rsid w:val="000830D4"/>
    <w:rsid w:val="0008325D"/>
    <w:rsid w:val="000834DD"/>
    <w:rsid w:val="00084687"/>
    <w:rsid w:val="00084A57"/>
    <w:rsid w:val="00084BED"/>
    <w:rsid w:val="00084EDB"/>
    <w:rsid w:val="00084FF2"/>
    <w:rsid w:val="0008524D"/>
    <w:rsid w:val="00085572"/>
    <w:rsid w:val="000856E9"/>
    <w:rsid w:val="00086295"/>
    <w:rsid w:val="00086737"/>
    <w:rsid w:val="000874E1"/>
    <w:rsid w:val="0008756B"/>
    <w:rsid w:val="00087DAE"/>
    <w:rsid w:val="00087DB7"/>
    <w:rsid w:val="00087ECE"/>
    <w:rsid w:val="0009025D"/>
    <w:rsid w:val="0009045F"/>
    <w:rsid w:val="00090B42"/>
    <w:rsid w:val="00090B9C"/>
    <w:rsid w:val="00090D7B"/>
    <w:rsid w:val="00091474"/>
    <w:rsid w:val="000915F7"/>
    <w:rsid w:val="00092764"/>
    <w:rsid w:val="000928E7"/>
    <w:rsid w:val="0009292F"/>
    <w:rsid w:val="00092F4C"/>
    <w:rsid w:val="00094496"/>
    <w:rsid w:val="00094D76"/>
    <w:rsid w:val="000950E7"/>
    <w:rsid w:val="00095360"/>
    <w:rsid w:val="000955AA"/>
    <w:rsid w:val="000957BC"/>
    <w:rsid w:val="000964AE"/>
    <w:rsid w:val="00096737"/>
    <w:rsid w:val="00096967"/>
    <w:rsid w:val="00097C0A"/>
    <w:rsid w:val="00097D4F"/>
    <w:rsid w:val="000A0344"/>
    <w:rsid w:val="000A0823"/>
    <w:rsid w:val="000A1595"/>
    <w:rsid w:val="000A212D"/>
    <w:rsid w:val="000A21D6"/>
    <w:rsid w:val="000A2F4F"/>
    <w:rsid w:val="000A31EF"/>
    <w:rsid w:val="000A3354"/>
    <w:rsid w:val="000A3733"/>
    <w:rsid w:val="000A3B8F"/>
    <w:rsid w:val="000A43B0"/>
    <w:rsid w:val="000A53E6"/>
    <w:rsid w:val="000A574B"/>
    <w:rsid w:val="000A5B04"/>
    <w:rsid w:val="000A5E2A"/>
    <w:rsid w:val="000A643B"/>
    <w:rsid w:val="000A707A"/>
    <w:rsid w:val="000A78BA"/>
    <w:rsid w:val="000A7F2F"/>
    <w:rsid w:val="000B0710"/>
    <w:rsid w:val="000B13D0"/>
    <w:rsid w:val="000B1812"/>
    <w:rsid w:val="000B1C11"/>
    <w:rsid w:val="000B1D13"/>
    <w:rsid w:val="000B29B8"/>
    <w:rsid w:val="000B2A27"/>
    <w:rsid w:val="000B3679"/>
    <w:rsid w:val="000B433C"/>
    <w:rsid w:val="000B4A6A"/>
    <w:rsid w:val="000B50FB"/>
    <w:rsid w:val="000B515D"/>
    <w:rsid w:val="000B531F"/>
    <w:rsid w:val="000B5A74"/>
    <w:rsid w:val="000B5FA3"/>
    <w:rsid w:val="000B6AF4"/>
    <w:rsid w:val="000B6AF6"/>
    <w:rsid w:val="000B6CEC"/>
    <w:rsid w:val="000B6E8A"/>
    <w:rsid w:val="000C1051"/>
    <w:rsid w:val="000C1098"/>
    <w:rsid w:val="000C1F04"/>
    <w:rsid w:val="000C2892"/>
    <w:rsid w:val="000C2B3C"/>
    <w:rsid w:val="000C30D7"/>
    <w:rsid w:val="000C3105"/>
    <w:rsid w:val="000C34DD"/>
    <w:rsid w:val="000C37BC"/>
    <w:rsid w:val="000C4103"/>
    <w:rsid w:val="000C4185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DDA"/>
    <w:rsid w:val="000D0ED5"/>
    <w:rsid w:val="000D113E"/>
    <w:rsid w:val="000D1169"/>
    <w:rsid w:val="000D15C5"/>
    <w:rsid w:val="000D28A5"/>
    <w:rsid w:val="000D31C1"/>
    <w:rsid w:val="000D36B2"/>
    <w:rsid w:val="000D39FD"/>
    <w:rsid w:val="000D3A24"/>
    <w:rsid w:val="000D4833"/>
    <w:rsid w:val="000D49D2"/>
    <w:rsid w:val="000D4A88"/>
    <w:rsid w:val="000D4BBC"/>
    <w:rsid w:val="000D4D90"/>
    <w:rsid w:val="000D4E26"/>
    <w:rsid w:val="000D5176"/>
    <w:rsid w:val="000D54F0"/>
    <w:rsid w:val="000D5EDB"/>
    <w:rsid w:val="000D6746"/>
    <w:rsid w:val="000D6C0F"/>
    <w:rsid w:val="000D6F1E"/>
    <w:rsid w:val="000D7A95"/>
    <w:rsid w:val="000D7BBD"/>
    <w:rsid w:val="000D7E73"/>
    <w:rsid w:val="000E03C0"/>
    <w:rsid w:val="000E0654"/>
    <w:rsid w:val="000E10B7"/>
    <w:rsid w:val="000E15D1"/>
    <w:rsid w:val="000E1928"/>
    <w:rsid w:val="000E19B3"/>
    <w:rsid w:val="000E1FDA"/>
    <w:rsid w:val="000E2970"/>
    <w:rsid w:val="000E2F5B"/>
    <w:rsid w:val="000E378F"/>
    <w:rsid w:val="000E3CC1"/>
    <w:rsid w:val="000E5331"/>
    <w:rsid w:val="000E5526"/>
    <w:rsid w:val="000E5D6B"/>
    <w:rsid w:val="000E5FE0"/>
    <w:rsid w:val="000E6513"/>
    <w:rsid w:val="000E6D5D"/>
    <w:rsid w:val="000E7BD9"/>
    <w:rsid w:val="000F04B7"/>
    <w:rsid w:val="000F05D5"/>
    <w:rsid w:val="000F1DEB"/>
    <w:rsid w:val="000F2C78"/>
    <w:rsid w:val="000F3491"/>
    <w:rsid w:val="000F3ADD"/>
    <w:rsid w:val="000F3DE6"/>
    <w:rsid w:val="000F44E7"/>
    <w:rsid w:val="000F49F1"/>
    <w:rsid w:val="000F4C41"/>
    <w:rsid w:val="000F4FA7"/>
    <w:rsid w:val="000F536A"/>
    <w:rsid w:val="000F541D"/>
    <w:rsid w:val="000F5AD1"/>
    <w:rsid w:val="000F69C1"/>
    <w:rsid w:val="000F69FA"/>
    <w:rsid w:val="000F7577"/>
    <w:rsid w:val="000F7974"/>
    <w:rsid w:val="000F7ECD"/>
    <w:rsid w:val="000F7FB5"/>
    <w:rsid w:val="00100317"/>
    <w:rsid w:val="0010056E"/>
    <w:rsid w:val="001011EC"/>
    <w:rsid w:val="001017C1"/>
    <w:rsid w:val="00101A54"/>
    <w:rsid w:val="00101E92"/>
    <w:rsid w:val="00101F40"/>
    <w:rsid w:val="00101F61"/>
    <w:rsid w:val="001024C8"/>
    <w:rsid w:val="00103847"/>
    <w:rsid w:val="00103913"/>
    <w:rsid w:val="00105234"/>
    <w:rsid w:val="00105733"/>
    <w:rsid w:val="00105740"/>
    <w:rsid w:val="00105AA0"/>
    <w:rsid w:val="00105E2B"/>
    <w:rsid w:val="0010619C"/>
    <w:rsid w:val="001061DC"/>
    <w:rsid w:val="0010664D"/>
    <w:rsid w:val="00107284"/>
    <w:rsid w:val="00110510"/>
    <w:rsid w:val="0011076D"/>
    <w:rsid w:val="00110A4A"/>
    <w:rsid w:val="00110DB1"/>
    <w:rsid w:val="00110DF0"/>
    <w:rsid w:val="0011111A"/>
    <w:rsid w:val="001114D0"/>
    <w:rsid w:val="00111703"/>
    <w:rsid w:val="00111AA3"/>
    <w:rsid w:val="00111EB2"/>
    <w:rsid w:val="00111F29"/>
    <w:rsid w:val="00112A0B"/>
    <w:rsid w:val="00112C7F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F84"/>
    <w:rsid w:val="00117D7A"/>
    <w:rsid w:val="00120112"/>
    <w:rsid w:val="00120C37"/>
    <w:rsid w:val="00120DCB"/>
    <w:rsid w:val="00120EA1"/>
    <w:rsid w:val="0012181E"/>
    <w:rsid w:val="00122048"/>
    <w:rsid w:val="001228A0"/>
    <w:rsid w:val="0012296B"/>
    <w:rsid w:val="00123157"/>
    <w:rsid w:val="00123408"/>
    <w:rsid w:val="00123EFF"/>
    <w:rsid w:val="001241F7"/>
    <w:rsid w:val="00124D1A"/>
    <w:rsid w:val="001251AF"/>
    <w:rsid w:val="0012562E"/>
    <w:rsid w:val="00125654"/>
    <w:rsid w:val="00125D0D"/>
    <w:rsid w:val="00125D9D"/>
    <w:rsid w:val="001263E8"/>
    <w:rsid w:val="00126B6E"/>
    <w:rsid w:val="00127810"/>
    <w:rsid w:val="001301E6"/>
    <w:rsid w:val="001304F2"/>
    <w:rsid w:val="001305B7"/>
    <w:rsid w:val="00130C4C"/>
    <w:rsid w:val="001313EB"/>
    <w:rsid w:val="00131869"/>
    <w:rsid w:val="0013222E"/>
    <w:rsid w:val="001323BB"/>
    <w:rsid w:val="00132A32"/>
    <w:rsid w:val="001345AB"/>
    <w:rsid w:val="00134904"/>
    <w:rsid w:val="001349AB"/>
    <w:rsid w:val="00134F49"/>
    <w:rsid w:val="00134F4E"/>
    <w:rsid w:val="00134FB0"/>
    <w:rsid w:val="00134FBC"/>
    <w:rsid w:val="001350AC"/>
    <w:rsid w:val="001352EC"/>
    <w:rsid w:val="00135E0B"/>
    <w:rsid w:val="00135F34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1C8C"/>
    <w:rsid w:val="00142E09"/>
    <w:rsid w:val="0014377B"/>
    <w:rsid w:val="00143D3A"/>
    <w:rsid w:val="00144829"/>
    <w:rsid w:val="0014535F"/>
    <w:rsid w:val="00145C2D"/>
    <w:rsid w:val="00145F65"/>
    <w:rsid w:val="001460E0"/>
    <w:rsid w:val="001462E7"/>
    <w:rsid w:val="00146902"/>
    <w:rsid w:val="00146DFA"/>
    <w:rsid w:val="0014714F"/>
    <w:rsid w:val="00147278"/>
    <w:rsid w:val="0015018D"/>
    <w:rsid w:val="00150228"/>
    <w:rsid w:val="001502C3"/>
    <w:rsid w:val="001504E8"/>
    <w:rsid w:val="00150536"/>
    <w:rsid w:val="00150596"/>
    <w:rsid w:val="00150E7A"/>
    <w:rsid w:val="001532F7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5A48"/>
    <w:rsid w:val="0015603F"/>
    <w:rsid w:val="00156BEF"/>
    <w:rsid w:val="0015755C"/>
    <w:rsid w:val="001600C9"/>
    <w:rsid w:val="00160308"/>
    <w:rsid w:val="0016052B"/>
    <w:rsid w:val="00160867"/>
    <w:rsid w:val="00160957"/>
    <w:rsid w:val="00160B56"/>
    <w:rsid w:val="0016159C"/>
    <w:rsid w:val="00161833"/>
    <w:rsid w:val="00161E62"/>
    <w:rsid w:val="00162793"/>
    <w:rsid w:val="00162797"/>
    <w:rsid w:val="00162A20"/>
    <w:rsid w:val="00162C58"/>
    <w:rsid w:val="00163301"/>
    <w:rsid w:val="0016464B"/>
    <w:rsid w:val="001648BC"/>
    <w:rsid w:val="00164A84"/>
    <w:rsid w:val="00164CD1"/>
    <w:rsid w:val="001655BD"/>
    <w:rsid w:val="00165810"/>
    <w:rsid w:val="00165E36"/>
    <w:rsid w:val="00165F6B"/>
    <w:rsid w:val="0016614B"/>
    <w:rsid w:val="001665FD"/>
    <w:rsid w:val="00167A72"/>
    <w:rsid w:val="00167D2F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ECB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10"/>
    <w:rsid w:val="00177026"/>
    <w:rsid w:val="00177187"/>
    <w:rsid w:val="001773BC"/>
    <w:rsid w:val="00177648"/>
    <w:rsid w:val="00177EAB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034"/>
    <w:rsid w:val="001845FA"/>
    <w:rsid w:val="0018522B"/>
    <w:rsid w:val="001854A8"/>
    <w:rsid w:val="00185D40"/>
    <w:rsid w:val="00186C17"/>
    <w:rsid w:val="00190180"/>
    <w:rsid w:val="00190A43"/>
    <w:rsid w:val="00190D0B"/>
    <w:rsid w:val="001911C9"/>
    <w:rsid w:val="001912FB"/>
    <w:rsid w:val="00191608"/>
    <w:rsid w:val="00191664"/>
    <w:rsid w:val="00191A8C"/>
    <w:rsid w:val="00192065"/>
    <w:rsid w:val="0019276B"/>
    <w:rsid w:val="001941AA"/>
    <w:rsid w:val="00194F73"/>
    <w:rsid w:val="00194F86"/>
    <w:rsid w:val="0019579A"/>
    <w:rsid w:val="00195EC2"/>
    <w:rsid w:val="00195F99"/>
    <w:rsid w:val="00196B54"/>
    <w:rsid w:val="001A016C"/>
    <w:rsid w:val="001A0422"/>
    <w:rsid w:val="001A0556"/>
    <w:rsid w:val="001A102F"/>
    <w:rsid w:val="001A1A27"/>
    <w:rsid w:val="001A1ED0"/>
    <w:rsid w:val="001A2954"/>
    <w:rsid w:val="001A3152"/>
    <w:rsid w:val="001A35A6"/>
    <w:rsid w:val="001A368A"/>
    <w:rsid w:val="001A3714"/>
    <w:rsid w:val="001A3963"/>
    <w:rsid w:val="001A41DF"/>
    <w:rsid w:val="001A4222"/>
    <w:rsid w:val="001A43F5"/>
    <w:rsid w:val="001A4E0E"/>
    <w:rsid w:val="001A4E8C"/>
    <w:rsid w:val="001A4EF7"/>
    <w:rsid w:val="001A4F6E"/>
    <w:rsid w:val="001A5283"/>
    <w:rsid w:val="001A5ABD"/>
    <w:rsid w:val="001A5CE0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1B68"/>
    <w:rsid w:val="001B253D"/>
    <w:rsid w:val="001B277C"/>
    <w:rsid w:val="001B2C6A"/>
    <w:rsid w:val="001B2F19"/>
    <w:rsid w:val="001B35ED"/>
    <w:rsid w:val="001B369D"/>
    <w:rsid w:val="001B41BE"/>
    <w:rsid w:val="001B450E"/>
    <w:rsid w:val="001B46DB"/>
    <w:rsid w:val="001B4F75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0AE"/>
    <w:rsid w:val="001C212F"/>
    <w:rsid w:val="001C226A"/>
    <w:rsid w:val="001C236E"/>
    <w:rsid w:val="001C25AA"/>
    <w:rsid w:val="001C29E7"/>
    <w:rsid w:val="001C2E28"/>
    <w:rsid w:val="001C32C6"/>
    <w:rsid w:val="001C3BDD"/>
    <w:rsid w:val="001C3E2D"/>
    <w:rsid w:val="001C47BD"/>
    <w:rsid w:val="001C48C7"/>
    <w:rsid w:val="001C4A9E"/>
    <w:rsid w:val="001C5154"/>
    <w:rsid w:val="001C5BD0"/>
    <w:rsid w:val="001C63C5"/>
    <w:rsid w:val="001C6CAB"/>
    <w:rsid w:val="001C6CC1"/>
    <w:rsid w:val="001C7130"/>
    <w:rsid w:val="001C7E70"/>
    <w:rsid w:val="001D0068"/>
    <w:rsid w:val="001D01C6"/>
    <w:rsid w:val="001D05A9"/>
    <w:rsid w:val="001D092F"/>
    <w:rsid w:val="001D1AC6"/>
    <w:rsid w:val="001D1AEF"/>
    <w:rsid w:val="001D1D31"/>
    <w:rsid w:val="001D244E"/>
    <w:rsid w:val="001D24F1"/>
    <w:rsid w:val="001D2BBD"/>
    <w:rsid w:val="001D2F96"/>
    <w:rsid w:val="001D3AD1"/>
    <w:rsid w:val="001D3EF7"/>
    <w:rsid w:val="001D478B"/>
    <w:rsid w:val="001D4970"/>
    <w:rsid w:val="001D5403"/>
    <w:rsid w:val="001D5F02"/>
    <w:rsid w:val="001D6186"/>
    <w:rsid w:val="001D62AF"/>
    <w:rsid w:val="001D637E"/>
    <w:rsid w:val="001D643F"/>
    <w:rsid w:val="001D6652"/>
    <w:rsid w:val="001D69E5"/>
    <w:rsid w:val="001D6AE8"/>
    <w:rsid w:val="001D6B3D"/>
    <w:rsid w:val="001D7104"/>
    <w:rsid w:val="001E016D"/>
    <w:rsid w:val="001E01B3"/>
    <w:rsid w:val="001E075F"/>
    <w:rsid w:val="001E0933"/>
    <w:rsid w:val="001E0B42"/>
    <w:rsid w:val="001E14E8"/>
    <w:rsid w:val="001E1627"/>
    <w:rsid w:val="001E18BD"/>
    <w:rsid w:val="001E1DBA"/>
    <w:rsid w:val="001E1EF2"/>
    <w:rsid w:val="001E274D"/>
    <w:rsid w:val="001E290B"/>
    <w:rsid w:val="001E385F"/>
    <w:rsid w:val="001E39E4"/>
    <w:rsid w:val="001E3B8B"/>
    <w:rsid w:val="001E490C"/>
    <w:rsid w:val="001E4C68"/>
    <w:rsid w:val="001E50FD"/>
    <w:rsid w:val="001E5310"/>
    <w:rsid w:val="001E59DC"/>
    <w:rsid w:val="001E5DD7"/>
    <w:rsid w:val="001E5EEE"/>
    <w:rsid w:val="001E6129"/>
    <w:rsid w:val="001E7358"/>
    <w:rsid w:val="001E7777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50D"/>
    <w:rsid w:val="001F2740"/>
    <w:rsid w:val="001F2A04"/>
    <w:rsid w:val="001F2C3A"/>
    <w:rsid w:val="001F3531"/>
    <w:rsid w:val="001F3696"/>
    <w:rsid w:val="001F42FF"/>
    <w:rsid w:val="001F44B4"/>
    <w:rsid w:val="001F44D3"/>
    <w:rsid w:val="001F4510"/>
    <w:rsid w:val="001F5572"/>
    <w:rsid w:val="001F58D3"/>
    <w:rsid w:val="001F5C4E"/>
    <w:rsid w:val="001F65A4"/>
    <w:rsid w:val="001F65E0"/>
    <w:rsid w:val="001F6EE3"/>
    <w:rsid w:val="001F702F"/>
    <w:rsid w:val="001F7362"/>
    <w:rsid w:val="001F7AE9"/>
    <w:rsid w:val="001F7CFD"/>
    <w:rsid w:val="002009DA"/>
    <w:rsid w:val="002011D5"/>
    <w:rsid w:val="00201C2D"/>
    <w:rsid w:val="00203367"/>
    <w:rsid w:val="002042DC"/>
    <w:rsid w:val="00204438"/>
    <w:rsid w:val="002047A0"/>
    <w:rsid w:val="00204A44"/>
    <w:rsid w:val="00206147"/>
    <w:rsid w:val="002064F3"/>
    <w:rsid w:val="002069A8"/>
    <w:rsid w:val="00206EE7"/>
    <w:rsid w:val="0020789A"/>
    <w:rsid w:val="00207C83"/>
    <w:rsid w:val="00210869"/>
    <w:rsid w:val="002116AD"/>
    <w:rsid w:val="00211999"/>
    <w:rsid w:val="002123A4"/>
    <w:rsid w:val="002126CD"/>
    <w:rsid w:val="00213773"/>
    <w:rsid w:val="00213B0E"/>
    <w:rsid w:val="00213CBC"/>
    <w:rsid w:val="002141FB"/>
    <w:rsid w:val="002146CA"/>
    <w:rsid w:val="002147D6"/>
    <w:rsid w:val="00214D0B"/>
    <w:rsid w:val="0021575B"/>
    <w:rsid w:val="00215783"/>
    <w:rsid w:val="0021669B"/>
    <w:rsid w:val="00216876"/>
    <w:rsid w:val="00217E5F"/>
    <w:rsid w:val="0022018A"/>
    <w:rsid w:val="00220ADA"/>
    <w:rsid w:val="00220B7B"/>
    <w:rsid w:val="0022180E"/>
    <w:rsid w:val="00221E2B"/>
    <w:rsid w:val="002220BA"/>
    <w:rsid w:val="002227B3"/>
    <w:rsid w:val="00222960"/>
    <w:rsid w:val="00222CE3"/>
    <w:rsid w:val="002235D7"/>
    <w:rsid w:val="002239C4"/>
    <w:rsid w:val="00224617"/>
    <w:rsid w:val="00225591"/>
    <w:rsid w:val="00225690"/>
    <w:rsid w:val="0022574F"/>
    <w:rsid w:val="0022593A"/>
    <w:rsid w:val="00225B3F"/>
    <w:rsid w:val="00225B52"/>
    <w:rsid w:val="00225C9C"/>
    <w:rsid w:val="00225CE3"/>
    <w:rsid w:val="002260D7"/>
    <w:rsid w:val="00226B17"/>
    <w:rsid w:val="00226F30"/>
    <w:rsid w:val="0022712B"/>
    <w:rsid w:val="0022758C"/>
    <w:rsid w:val="002276A4"/>
    <w:rsid w:val="002276E6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2ADD"/>
    <w:rsid w:val="00233307"/>
    <w:rsid w:val="00233A7D"/>
    <w:rsid w:val="0023482B"/>
    <w:rsid w:val="0023482C"/>
    <w:rsid w:val="00234AA4"/>
    <w:rsid w:val="00234C7F"/>
    <w:rsid w:val="00234E62"/>
    <w:rsid w:val="00234F8F"/>
    <w:rsid w:val="00235CD9"/>
    <w:rsid w:val="0023658F"/>
    <w:rsid w:val="00236872"/>
    <w:rsid w:val="00236890"/>
    <w:rsid w:val="002368C0"/>
    <w:rsid w:val="00236CC2"/>
    <w:rsid w:val="00236CDE"/>
    <w:rsid w:val="0023763A"/>
    <w:rsid w:val="00237D7D"/>
    <w:rsid w:val="00240236"/>
    <w:rsid w:val="002404D1"/>
    <w:rsid w:val="002405C8"/>
    <w:rsid w:val="00240ECB"/>
    <w:rsid w:val="002415DA"/>
    <w:rsid w:val="00241857"/>
    <w:rsid w:val="0024285E"/>
    <w:rsid w:val="00242D86"/>
    <w:rsid w:val="00242F79"/>
    <w:rsid w:val="00242FA8"/>
    <w:rsid w:val="0024310E"/>
    <w:rsid w:val="00243204"/>
    <w:rsid w:val="00243AC5"/>
    <w:rsid w:val="00243B5C"/>
    <w:rsid w:val="0024405D"/>
    <w:rsid w:val="00244330"/>
    <w:rsid w:val="00244516"/>
    <w:rsid w:val="002449A0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2A"/>
    <w:rsid w:val="00250FD5"/>
    <w:rsid w:val="00251167"/>
    <w:rsid w:val="002511BA"/>
    <w:rsid w:val="00252168"/>
    <w:rsid w:val="00252199"/>
    <w:rsid w:val="002526B9"/>
    <w:rsid w:val="00252DD3"/>
    <w:rsid w:val="0025369E"/>
    <w:rsid w:val="0025394F"/>
    <w:rsid w:val="00253B97"/>
    <w:rsid w:val="002544CB"/>
    <w:rsid w:val="00254724"/>
    <w:rsid w:val="0025563F"/>
    <w:rsid w:val="00255D8E"/>
    <w:rsid w:val="00256584"/>
    <w:rsid w:val="00256B78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A6C"/>
    <w:rsid w:val="00261BF2"/>
    <w:rsid w:val="002629E2"/>
    <w:rsid w:val="00262BA8"/>
    <w:rsid w:val="00262BC8"/>
    <w:rsid w:val="00262C2C"/>
    <w:rsid w:val="002641D9"/>
    <w:rsid w:val="002643C5"/>
    <w:rsid w:val="00264917"/>
    <w:rsid w:val="002651EC"/>
    <w:rsid w:val="00265DC2"/>
    <w:rsid w:val="00266227"/>
    <w:rsid w:val="0026638C"/>
    <w:rsid w:val="0026680B"/>
    <w:rsid w:val="00266F00"/>
    <w:rsid w:val="002670EF"/>
    <w:rsid w:val="002671A2"/>
    <w:rsid w:val="002677D0"/>
    <w:rsid w:val="00267A38"/>
    <w:rsid w:val="00267EDC"/>
    <w:rsid w:val="00267F5F"/>
    <w:rsid w:val="00270867"/>
    <w:rsid w:val="00270965"/>
    <w:rsid w:val="00271E5D"/>
    <w:rsid w:val="00272082"/>
    <w:rsid w:val="0027349D"/>
    <w:rsid w:val="00273516"/>
    <w:rsid w:val="00273985"/>
    <w:rsid w:val="00273B82"/>
    <w:rsid w:val="00273B8A"/>
    <w:rsid w:val="00273E7A"/>
    <w:rsid w:val="00274372"/>
    <w:rsid w:val="0027475A"/>
    <w:rsid w:val="002750C5"/>
    <w:rsid w:val="00275671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44E"/>
    <w:rsid w:val="0028468D"/>
    <w:rsid w:val="0028470C"/>
    <w:rsid w:val="00284B5F"/>
    <w:rsid w:val="0028562F"/>
    <w:rsid w:val="0028596B"/>
    <w:rsid w:val="00285F22"/>
    <w:rsid w:val="00285FB9"/>
    <w:rsid w:val="00286219"/>
    <w:rsid w:val="00286A03"/>
    <w:rsid w:val="00286D20"/>
    <w:rsid w:val="00286D8A"/>
    <w:rsid w:val="002870B1"/>
    <w:rsid w:val="00287514"/>
    <w:rsid w:val="0028791B"/>
    <w:rsid w:val="00287E44"/>
    <w:rsid w:val="00287F79"/>
    <w:rsid w:val="002900A9"/>
    <w:rsid w:val="00290C43"/>
    <w:rsid w:val="00290C90"/>
    <w:rsid w:val="00291283"/>
    <w:rsid w:val="002916DB"/>
    <w:rsid w:val="0029190A"/>
    <w:rsid w:val="00291D6A"/>
    <w:rsid w:val="00293271"/>
    <w:rsid w:val="00293587"/>
    <w:rsid w:val="00293896"/>
    <w:rsid w:val="00293ED1"/>
    <w:rsid w:val="00293F81"/>
    <w:rsid w:val="0029407F"/>
    <w:rsid w:val="00294A06"/>
    <w:rsid w:val="00294FFB"/>
    <w:rsid w:val="00295357"/>
    <w:rsid w:val="002954FD"/>
    <w:rsid w:val="00296242"/>
    <w:rsid w:val="00296CE6"/>
    <w:rsid w:val="002973DF"/>
    <w:rsid w:val="002978A2"/>
    <w:rsid w:val="00297D6A"/>
    <w:rsid w:val="002A0190"/>
    <w:rsid w:val="002A0983"/>
    <w:rsid w:val="002A0AB4"/>
    <w:rsid w:val="002A0BF5"/>
    <w:rsid w:val="002A1128"/>
    <w:rsid w:val="002A12E5"/>
    <w:rsid w:val="002A158C"/>
    <w:rsid w:val="002A22D5"/>
    <w:rsid w:val="002A24EB"/>
    <w:rsid w:val="002A2C5E"/>
    <w:rsid w:val="002A2D66"/>
    <w:rsid w:val="002A37FC"/>
    <w:rsid w:val="002A428E"/>
    <w:rsid w:val="002A46FA"/>
    <w:rsid w:val="002A5227"/>
    <w:rsid w:val="002A5493"/>
    <w:rsid w:val="002A57BC"/>
    <w:rsid w:val="002A581C"/>
    <w:rsid w:val="002A7CC5"/>
    <w:rsid w:val="002B00FE"/>
    <w:rsid w:val="002B03EC"/>
    <w:rsid w:val="002B0E27"/>
    <w:rsid w:val="002B0E4C"/>
    <w:rsid w:val="002B10B6"/>
    <w:rsid w:val="002B10D3"/>
    <w:rsid w:val="002B1113"/>
    <w:rsid w:val="002B1867"/>
    <w:rsid w:val="002B1EA3"/>
    <w:rsid w:val="002B2A55"/>
    <w:rsid w:val="002B2CF1"/>
    <w:rsid w:val="002B2DA9"/>
    <w:rsid w:val="002B30C8"/>
    <w:rsid w:val="002B31FA"/>
    <w:rsid w:val="002B33D5"/>
    <w:rsid w:val="002B3A06"/>
    <w:rsid w:val="002B4552"/>
    <w:rsid w:val="002B4C84"/>
    <w:rsid w:val="002B5746"/>
    <w:rsid w:val="002B60A9"/>
    <w:rsid w:val="002B63D3"/>
    <w:rsid w:val="002B6815"/>
    <w:rsid w:val="002B6AB1"/>
    <w:rsid w:val="002B71D1"/>
    <w:rsid w:val="002B7D3C"/>
    <w:rsid w:val="002C0144"/>
    <w:rsid w:val="002C0CAC"/>
    <w:rsid w:val="002C1F28"/>
    <w:rsid w:val="002C254B"/>
    <w:rsid w:val="002C25DE"/>
    <w:rsid w:val="002C27E8"/>
    <w:rsid w:val="002C2ACB"/>
    <w:rsid w:val="002C2EE4"/>
    <w:rsid w:val="002C2F60"/>
    <w:rsid w:val="002C3CB7"/>
    <w:rsid w:val="002C41CB"/>
    <w:rsid w:val="002C5811"/>
    <w:rsid w:val="002C58F1"/>
    <w:rsid w:val="002C5A8C"/>
    <w:rsid w:val="002C5C58"/>
    <w:rsid w:val="002C6A1A"/>
    <w:rsid w:val="002C6B67"/>
    <w:rsid w:val="002C73EE"/>
    <w:rsid w:val="002C7660"/>
    <w:rsid w:val="002C7718"/>
    <w:rsid w:val="002C77DB"/>
    <w:rsid w:val="002C77F7"/>
    <w:rsid w:val="002C79D3"/>
    <w:rsid w:val="002C7A50"/>
    <w:rsid w:val="002C7CD4"/>
    <w:rsid w:val="002D0321"/>
    <w:rsid w:val="002D0952"/>
    <w:rsid w:val="002D0E7A"/>
    <w:rsid w:val="002D155B"/>
    <w:rsid w:val="002D1AD3"/>
    <w:rsid w:val="002D32A8"/>
    <w:rsid w:val="002D40A5"/>
    <w:rsid w:val="002D46CA"/>
    <w:rsid w:val="002D476C"/>
    <w:rsid w:val="002D48E1"/>
    <w:rsid w:val="002D4CA6"/>
    <w:rsid w:val="002D529D"/>
    <w:rsid w:val="002D61C8"/>
    <w:rsid w:val="002D629E"/>
    <w:rsid w:val="002D6AD3"/>
    <w:rsid w:val="002D6E9A"/>
    <w:rsid w:val="002D726B"/>
    <w:rsid w:val="002D75DB"/>
    <w:rsid w:val="002E0067"/>
    <w:rsid w:val="002E02D0"/>
    <w:rsid w:val="002E0489"/>
    <w:rsid w:val="002E04C0"/>
    <w:rsid w:val="002E0544"/>
    <w:rsid w:val="002E0C15"/>
    <w:rsid w:val="002E1177"/>
    <w:rsid w:val="002E1480"/>
    <w:rsid w:val="002E1DF4"/>
    <w:rsid w:val="002E2C3B"/>
    <w:rsid w:val="002E3C37"/>
    <w:rsid w:val="002E4BA7"/>
    <w:rsid w:val="002E4D3D"/>
    <w:rsid w:val="002E57C8"/>
    <w:rsid w:val="002E5CA7"/>
    <w:rsid w:val="002E668B"/>
    <w:rsid w:val="002E6BE2"/>
    <w:rsid w:val="002E6FF8"/>
    <w:rsid w:val="002E7235"/>
    <w:rsid w:val="002E761C"/>
    <w:rsid w:val="002E7DEA"/>
    <w:rsid w:val="002F0276"/>
    <w:rsid w:val="002F06D4"/>
    <w:rsid w:val="002F10E7"/>
    <w:rsid w:val="002F11F9"/>
    <w:rsid w:val="002F1274"/>
    <w:rsid w:val="002F13E0"/>
    <w:rsid w:val="002F16CB"/>
    <w:rsid w:val="002F1742"/>
    <w:rsid w:val="002F189D"/>
    <w:rsid w:val="002F1AB0"/>
    <w:rsid w:val="002F1CE6"/>
    <w:rsid w:val="002F1F70"/>
    <w:rsid w:val="002F3C64"/>
    <w:rsid w:val="002F4295"/>
    <w:rsid w:val="002F4431"/>
    <w:rsid w:val="002F47E7"/>
    <w:rsid w:val="002F4D9C"/>
    <w:rsid w:val="002F510D"/>
    <w:rsid w:val="002F55DA"/>
    <w:rsid w:val="002F580E"/>
    <w:rsid w:val="002F5F61"/>
    <w:rsid w:val="00300081"/>
    <w:rsid w:val="003000F0"/>
    <w:rsid w:val="0030023E"/>
    <w:rsid w:val="0030059B"/>
    <w:rsid w:val="00300FC5"/>
    <w:rsid w:val="00301277"/>
    <w:rsid w:val="003012FA"/>
    <w:rsid w:val="00301837"/>
    <w:rsid w:val="003019CD"/>
    <w:rsid w:val="0030341B"/>
    <w:rsid w:val="003034D2"/>
    <w:rsid w:val="0030373E"/>
    <w:rsid w:val="00303A1B"/>
    <w:rsid w:val="00303D47"/>
    <w:rsid w:val="00303DF0"/>
    <w:rsid w:val="003045BE"/>
    <w:rsid w:val="0030521F"/>
    <w:rsid w:val="00305F53"/>
    <w:rsid w:val="003060F3"/>
    <w:rsid w:val="0030612A"/>
    <w:rsid w:val="003064C4"/>
    <w:rsid w:val="003068EC"/>
    <w:rsid w:val="00306C01"/>
    <w:rsid w:val="003073B5"/>
    <w:rsid w:val="0030759B"/>
    <w:rsid w:val="003076C4"/>
    <w:rsid w:val="003079A6"/>
    <w:rsid w:val="003106C8"/>
    <w:rsid w:val="00310A57"/>
    <w:rsid w:val="00310E3F"/>
    <w:rsid w:val="00311270"/>
    <w:rsid w:val="0031175D"/>
    <w:rsid w:val="003119DD"/>
    <w:rsid w:val="00312297"/>
    <w:rsid w:val="00312326"/>
    <w:rsid w:val="00312A1F"/>
    <w:rsid w:val="00312DDE"/>
    <w:rsid w:val="00313367"/>
    <w:rsid w:val="0031354F"/>
    <w:rsid w:val="003136EF"/>
    <w:rsid w:val="00313893"/>
    <w:rsid w:val="00314614"/>
    <w:rsid w:val="00314739"/>
    <w:rsid w:val="00314773"/>
    <w:rsid w:val="00314F8A"/>
    <w:rsid w:val="003151F3"/>
    <w:rsid w:val="003152FA"/>
    <w:rsid w:val="003154DB"/>
    <w:rsid w:val="003156DB"/>
    <w:rsid w:val="003163FB"/>
    <w:rsid w:val="00316779"/>
    <w:rsid w:val="00316BCD"/>
    <w:rsid w:val="00317242"/>
    <w:rsid w:val="003173FA"/>
    <w:rsid w:val="00317DA5"/>
    <w:rsid w:val="00317DF9"/>
    <w:rsid w:val="003201C8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39DB"/>
    <w:rsid w:val="00324FF5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751"/>
    <w:rsid w:val="00330A9B"/>
    <w:rsid w:val="00330B86"/>
    <w:rsid w:val="00330DB5"/>
    <w:rsid w:val="00331306"/>
    <w:rsid w:val="00331659"/>
    <w:rsid w:val="003319C5"/>
    <w:rsid w:val="00331A58"/>
    <w:rsid w:val="003320F9"/>
    <w:rsid w:val="003327BD"/>
    <w:rsid w:val="003338C9"/>
    <w:rsid w:val="003338EB"/>
    <w:rsid w:val="00334446"/>
    <w:rsid w:val="0033444C"/>
    <w:rsid w:val="00334725"/>
    <w:rsid w:val="00334A38"/>
    <w:rsid w:val="00334AF1"/>
    <w:rsid w:val="0033515F"/>
    <w:rsid w:val="003353D5"/>
    <w:rsid w:val="00335797"/>
    <w:rsid w:val="00335A53"/>
    <w:rsid w:val="00336FA8"/>
    <w:rsid w:val="003376EC"/>
    <w:rsid w:val="003379A4"/>
    <w:rsid w:val="00337BB0"/>
    <w:rsid w:val="00337CB6"/>
    <w:rsid w:val="003403AE"/>
    <w:rsid w:val="003409BD"/>
    <w:rsid w:val="0034111B"/>
    <w:rsid w:val="0034244F"/>
    <w:rsid w:val="00342559"/>
    <w:rsid w:val="00342D1A"/>
    <w:rsid w:val="0034339B"/>
    <w:rsid w:val="003434BD"/>
    <w:rsid w:val="00343860"/>
    <w:rsid w:val="00343AB5"/>
    <w:rsid w:val="00344705"/>
    <w:rsid w:val="00344CEF"/>
    <w:rsid w:val="00344F44"/>
    <w:rsid w:val="0034511C"/>
    <w:rsid w:val="00345191"/>
    <w:rsid w:val="0034550A"/>
    <w:rsid w:val="00345512"/>
    <w:rsid w:val="00345B7B"/>
    <w:rsid w:val="0034620C"/>
    <w:rsid w:val="00346579"/>
    <w:rsid w:val="00346583"/>
    <w:rsid w:val="00346C50"/>
    <w:rsid w:val="003474B3"/>
    <w:rsid w:val="00347683"/>
    <w:rsid w:val="00347A1B"/>
    <w:rsid w:val="00347B5C"/>
    <w:rsid w:val="00347CA3"/>
    <w:rsid w:val="00347F9F"/>
    <w:rsid w:val="003504A0"/>
    <w:rsid w:val="003509A4"/>
    <w:rsid w:val="00351032"/>
    <w:rsid w:val="003513CE"/>
    <w:rsid w:val="0035149A"/>
    <w:rsid w:val="00351668"/>
    <w:rsid w:val="003516F2"/>
    <w:rsid w:val="00351D1A"/>
    <w:rsid w:val="00352775"/>
    <w:rsid w:val="00352F14"/>
    <w:rsid w:val="003530B3"/>
    <w:rsid w:val="0035546F"/>
    <w:rsid w:val="003554BD"/>
    <w:rsid w:val="003554CE"/>
    <w:rsid w:val="003559AD"/>
    <w:rsid w:val="00355E32"/>
    <w:rsid w:val="00356586"/>
    <w:rsid w:val="00356792"/>
    <w:rsid w:val="003571E2"/>
    <w:rsid w:val="0036034B"/>
    <w:rsid w:val="003607D7"/>
    <w:rsid w:val="00360A82"/>
    <w:rsid w:val="00361062"/>
    <w:rsid w:val="003610F5"/>
    <w:rsid w:val="003616F4"/>
    <w:rsid w:val="00361BC8"/>
    <w:rsid w:val="00362B5E"/>
    <w:rsid w:val="00363448"/>
    <w:rsid w:val="003638E9"/>
    <w:rsid w:val="003643A5"/>
    <w:rsid w:val="0036484D"/>
    <w:rsid w:val="00364D97"/>
    <w:rsid w:val="00364F95"/>
    <w:rsid w:val="0036533F"/>
    <w:rsid w:val="00365370"/>
    <w:rsid w:val="00365D24"/>
    <w:rsid w:val="003661C9"/>
    <w:rsid w:val="00366356"/>
    <w:rsid w:val="0036693A"/>
    <w:rsid w:val="00366947"/>
    <w:rsid w:val="00366AFA"/>
    <w:rsid w:val="00366C31"/>
    <w:rsid w:val="00366E4E"/>
    <w:rsid w:val="003676E5"/>
    <w:rsid w:val="003676EA"/>
    <w:rsid w:val="00367886"/>
    <w:rsid w:val="00367AD9"/>
    <w:rsid w:val="00367CC7"/>
    <w:rsid w:val="00367F19"/>
    <w:rsid w:val="00370219"/>
    <w:rsid w:val="0037051E"/>
    <w:rsid w:val="00370859"/>
    <w:rsid w:val="00370A0E"/>
    <w:rsid w:val="00371208"/>
    <w:rsid w:val="003718D9"/>
    <w:rsid w:val="0037207D"/>
    <w:rsid w:val="00372389"/>
    <w:rsid w:val="00372564"/>
    <w:rsid w:val="00372644"/>
    <w:rsid w:val="0037334A"/>
    <w:rsid w:val="003734B3"/>
    <w:rsid w:val="0037443B"/>
    <w:rsid w:val="00374D3E"/>
    <w:rsid w:val="00375820"/>
    <w:rsid w:val="00375907"/>
    <w:rsid w:val="00375B14"/>
    <w:rsid w:val="00375D85"/>
    <w:rsid w:val="00375FDA"/>
    <w:rsid w:val="003760FD"/>
    <w:rsid w:val="0037644B"/>
    <w:rsid w:val="003769D5"/>
    <w:rsid w:val="00377475"/>
    <w:rsid w:val="003774D9"/>
    <w:rsid w:val="00377A6A"/>
    <w:rsid w:val="00377A8C"/>
    <w:rsid w:val="0038054C"/>
    <w:rsid w:val="0038061C"/>
    <w:rsid w:val="00381168"/>
    <w:rsid w:val="00381591"/>
    <w:rsid w:val="00381E3D"/>
    <w:rsid w:val="003825F4"/>
    <w:rsid w:val="00382985"/>
    <w:rsid w:val="00382CDA"/>
    <w:rsid w:val="00383011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F5C"/>
    <w:rsid w:val="003866DC"/>
    <w:rsid w:val="00386891"/>
    <w:rsid w:val="00386A21"/>
    <w:rsid w:val="003872C5"/>
    <w:rsid w:val="0038735C"/>
    <w:rsid w:val="003874B4"/>
    <w:rsid w:val="00387631"/>
    <w:rsid w:val="00387745"/>
    <w:rsid w:val="00387823"/>
    <w:rsid w:val="00390044"/>
    <w:rsid w:val="003903FB"/>
    <w:rsid w:val="00390644"/>
    <w:rsid w:val="0039066F"/>
    <w:rsid w:val="00390D50"/>
    <w:rsid w:val="00390EAD"/>
    <w:rsid w:val="00390EAF"/>
    <w:rsid w:val="00391641"/>
    <w:rsid w:val="00391CBB"/>
    <w:rsid w:val="00391D90"/>
    <w:rsid w:val="00391DDE"/>
    <w:rsid w:val="0039208E"/>
    <w:rsid w:val="003923A6"/>
    <w:rsid w:val="0039257A"/>
    <w:rsid w:val="00392C10"/>
    <w:rsid w:val="0039304A"/>
    <w:rsid w:val="00393231"/>
    <w:rsid w:val="0039372B"/>
    <w:rsid w:val="0039383D"/>
    <w:rsid w:val="0039392C"/>
    <w:rsid w:val="00393AD3"/>
    <w:rsid w:val="00394D56"/>
    <w:rsid w:val="00394FE8"/>
    <w:rsid w:val="00395069"/>
    <w:rsid w:val="003955AD"/>
    <w:rsid w:val="00395A0A"/>
    <w:rsid w:val="003966D8"/>
    <w:rsid w:val="00396C46"/>
    <w:rsid w:val="003973DA"/>
    <w:rsid w:val="003977F3"/>
    <w:rsid w:val="00397BF1"/>
    <w:rsid w:val="003A03C5"/>
    <w:rsid w:val="003A0A67"/>
    <w:rsid w:val="003A1273"/>
    <w:rsid w:val="003A1596"/>
    <w:rsid w:val="003A1FEA"/>
    <w:rsid w:val="003A247D"/>
    <w:rsid w:val="003A344A"/>
    <w:rsid w:val="003A3622"/>
    <w:rsid w:val="003A36D4"/>
    <w:rsid w:val="003A3868"/>
    <w:rsid w:val="003A4074"/>
    <w:rsid w:val="003A4139"/>
    <w:rsid w:val="003A495B"/>
    <w:rsid w:val="003A4B2F"/>
    <w:rsid w:val="003A4C4A"/>
    <w:rsid w:val="003A4F9E"/>
    <w:rsid w:val="003A5033"/>
    <w:rsid w:val="003A53AA"/>
    <w:rsid w:val="003A57FD"/>
    <w:rsid w:val="003A5A98"/>
    <w:rsid w:val="003A5EEB"/>
    <w:rsid w:val="003A5EF6"/>
    <w:rsid w:val="003A6BF6"/>
    <w:rsid w:val="003A701E"/>
    <w:rsid w:val="003A7161"/>
    <w:rsid w:val="003A7200"/>
    <w:rsid w:val="003A72F1"/>
    <w:rsid w:val="003A75C6"/>
    <w:rsid w:val="003A79FF"/>
    <w:rsid w:val="003A7DFF"/>
    <w:rsid w:val="003A7F78"/>
    <w:rsid w:val="003B00E9"/>
    <w:rsid w:val="003B02DF"/>
    <w:rsid w:val="003B0A8B"/>
    <w:rsid w:val="003B0BA7"/>
    <w:rsid w:val="003B1083"/>
    <w:rsid w:val="003B12DB"/>
    <w:rsid w:val="003B1B8E"/>
    <w:rsid w:val="003B1C5D"/>
    <w:rsid w:val="003B1EAD"/>
    <w:rsid w:val="003B1F1C"/>
    <w:rsid w:val="003B23A8"/>
    <w:rsid w:val="003B2ED6"/>
    <w:rsid w:val="003B3812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9D0"/>
    <w:rsid w:val="003B6FBA"/>
    <w:rsid w:val="003B7B4D"/>
    <w:rsid w:val="003C0125"/>
    <w:rsid w:val="003C03F7"/>
    <w:rsid w:val="003C05CD"/>
    <w:rsid w:val="003C0FE5"/>
    <w:rsid w:val="003C1CAF"/>
    <w:rsid w:val="003C22D4"/>
    <w:rsid w:val="003C29AF"/>
    <w:rsid w:val="003C2AC8"/>
    <w:rsid w:val="003C3740"/>
    <w:rsid w:val="003C3F73"/>
    <w:rsid w:val="003C40A2"/>
    <w:rsid w:val="003C5519"/>
    <w:rsid w:val="003C5A97"/>
    <w:rsid w:val="003C60AF"/>
    <w:rsid w:val="003C616B"/>
    <w:rsid w:val="003C681D"/>
    <w:rsid w:val="003C6BED"/>
    <w:rsid w:val="003C7965"/>
    <w:rsid w:val="003C7D06"/>
    <w:rsid w:val="003C7EF7"/>
    <w:rsid w:val="003D0152"/>
    <w:rsid w:val="003D0BF3"/>
    <w:rsid w:val="003D0E1F"/>
    <w:rsid w:val="003D1182"/>
    <w:rsid w:val="003D1AE0"/>
    <w:rsid w:val="003D22DA"/>
    <w:rsid w:val="003D3779"/>
    <w:rsid w:val="003D3889"/>
    <w:rsid w:val="003D425A"/>
    <w:rsid w:val="003D467B"/>
    <w:rsid w:val="003D4866"/>
    <w:rsid w:val="003D507A"/>
    <w:rsid w:val="003D5729"/>
    <w:rsid w:val="003D6280"/>
    <w:rsid w:val="003D66CB"/>
    <w:rsid w:val="003D687A"/>
    <w:rsid w:val="003D6E45"/>
    <w:rsid w:val="003D7882"/>
    <w:rsid w:val="003D7A2D"/>
    <w:rsid w:val="003D7C91"/>
    <w:rsid w:val="003E043F"/>
    <w:rsid w:val="003E07F1"/>
    <w:rsid w:val="003E0E40"/>
    <w:rsid w:val="003E0E8C"/>
    <w:rsid w:val="003E113F"/>
    <w:rsid w:val="003E1418"/>
    <w:rsid w:val="003E4979"/>
    <w:rsid w:val="003E4B79"/>
    <w:rsid w:val="003E4B85"/>
    <w:rsid w:val="003E581F"/>
    <w:rsid w:val="003E5F16"/>
    <w:rsid w:val="003E634D"/>
    <w:rsid w:val="003E64BB"/>
    <w:rsid w:val="003E6AC1"/>
    <w:rsid w:val="003E704C"/>
    <w:rsid w:val="003E7EEA"/>
    <w:rsid w:val="003F01E7"/>
    <w:rsid w:val="003F18CF"/>
    <w:rsid w:val="003F1AAD"/>
    <w:rsid w:val="003F2BFE"/>
    <w:rsid w:val="003F3A44"/>
    <w:rsid w:val="003F3DAF"/>
    <w:rsid w:val="003F5F0A"/>
    <w:rsid w:val="003F6DF4"/>
    <w:rsid w:val="003F7022"/>
    <w:rsid w:val="003F7263"/>
    <w:rsid w:val="003F7A2D"/>
    <w:rsid w:val="003F7D77"/>
    <w:rsid w:val="003F7FAF"/>
    <w:rsid w:val="004000C8"/>
    <w:rsid w:val="0040089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9FF"/>
    <w:rsid w:val="004040E3"/>
    <w:rsid w:val="00404D4D"/>
    <w:rsid w:val="00404FC1"/>
    <w:rsid w:val="00405C30"/>
    <w:rsid w:val="00406E64"/>
    <w:rsid w:val="004075C7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6E4"/>
    <w:rsid w:val="00412EF3"/>
    <w:rsid w:val="004133CD"/>
    <w:rsid w:val="00413549"/>
    <w:rsid w:val="00414538"/>
    <w:rsid w:val="0041479C"/>
    <w:rsid w:val="00414D50"/>
    <w:rsid w:val="00414FBD"/>
    <w:rsid w:val="00416787"/>
    <w:rsid w:val="004203CA"/>
    <w:rsid w:val="004208D7"/>
    <w:rsid w:val="00420CA2"/>
    <w:rsid w:val="00420F52"/>
    <w:rsid w:val="00421878"/>
    <w:rsid w:val="004218AF"/>
    <w:rsid w:val="00421B63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16D"/>
    <w:rsid w:val="00425554"/>
    <w:rsid w:val="0042556A"/>
    <w:rsid w:val="00425B68"/>
    <w:rsid w:val="00425C9F"/>
    <w:rsid w:val="004262E5"/>
    <w:rsid w:val="004268A5"/>
    <w:rsid w:val="00427A53"/>
    <w:rsid w:val="00427F6A"/>
    <w:rsid w:val="004300E1"/>
    <w:rsid w:val="00430294"/>
    <w:rsid w:val="004309CF"/>
    <w:rsid w:val="00430B44"/>
    <w:rsid w:val="00430F27"/>
    <w:rsid w:val="0043104B"/>
    <w:rsid w:val="0043181D"/>
    <w:rsid w:val="004324A0"/>
    <w:rsid w:val="004328E4"/>
    <w:rsid w:val="00432937"/>
    <w:rsid w:val="00433166"/>
    <w:rsid w:val="00433460"/>
    <w:rsid w:val="00433D87"/>
    <w:rsid w:val="00433ECE"/>
    <w:rsid w:val="0043428A"/>
    <w:rsid w:val="00434657"/>
    <w:rsid w:val="004347A7"/>
    <w:rsid w:val="00434800"/>
    <w:rsid w:val="00434F9C"/>
    <w:rsid w:val="00435F09"/>
    <w:rsid w:val="00435F6F"/>
    <w:rsid w:val="0043650E"/>
    <w:rsid w:val="00436548"/>
    <w:rsid w:val="0043664D"/>
    <w:rsid w:val="00436C1A"/>
    <w:rsid w:val="00436C20"/>
    <w:rsid w:val="0043729C"/>
    <w:rsid w:val="004373A1"/>
    <w:rsid w:val="00440392"/>
    <w:rsid w:val="00440502"/>
    <w:rsid w:val="00440621"/>
    <w:rsid w:val="004412E5"/>
    <w:rsid w:val="004415FC"/>
    <w:rsid w:val="00441989"/>
    <w:rsid w:val="00442112"/>
    <w:rsid w:val="004426A2"/>
    <w:rsid w:val="00442822"/>
    <w:rsid w:val="004437F3"/>
    <w:rsid w:val="00443A3A"/>
    <w:rsid w:val="00443AE0"/>
    <w:rsid w:val="00443D1A"/>
    <w:rsid w:val="004442B1"/>
    <w:rsid w:val="004443FB"/>
    <w:rsid w:val="0044476D"/>
    <w:rsid w:val="004448CD"/>
    <w:rsid w:val="00445064"/>
    <w:rsid w:val="00445172"/>
    <w:rsid w:val="00445A32"/>
    <w:rsid w:val="00445B9A"/>
    <w:rsid w:val="004462CB"/>
    <w:rsid w:val="00447603"/>
    <w:rsid w:val="00447999"/>
    <w:rsid w:val="00447AC5"/>
    <w:rsid w:val="00447EAD"/>
    <w:rsid w:val="004504A7"/>
    <w:rsid w:val="00450899"/>
    <w:rsid w:val="004508B7"/>
    <w:rsid w:val="00450ECF"/>
    <w:rsid w:val="00450FE9"/>
    <w:rsid w:val="00451A7B"/>
    <w:rsid w:val="00451DBB"/>
    <w:rsid w:val="004522A6"/>
    <w:rsid w:val="004529D7"/>
    <w:rsid w:val="00452A11"/>
    <w:rsid w:val="00452EA0"/>
    <w:rsid w:val="0045370D"/>
    <w:rsid w:val="00453BF4"/>
    <w:rsid w:val="00453DF7"/>
    <w:rsid w:val="00454571"/>
    <w:rsid w:val="00454E2E"/>
    <w:rsid w:val="00455667"/>
    <w:rsid w:val="00455AFA"/>
    <w:rsid w:val="00456308"/>
    <w:rsid w:val="0045665A"/>
    <w:rsid w:val="004566BE"/>
    <w:rsid w:val="0045682E"/>
    <w:rsid w:val="004568B4"/>
    <w:rsid w:val="00457142"/>
    <w:rsid w:val="004573A4"/>
    <w:rsid w:val="00457493"/>
    <w:rsid w:val="00457519"/>
    <w:rsid w:val="00457958"/>
    <w:rsid w:val="00457A06"/>
    <w:rsid w:val="00457D38"/>
    <w:rsid w:val="0046115F"/>
    <w:rsid w:val="0046148D"/>
    <w:rsid w:val="00461535"/>
    <w:rsid w:val="00462301"/>
    <w:rsid w:val="004627CF"/>
    <w:rsid w:val="00462977"/>
    <w:rsid w:val="00462DBA"/>
    <w:rsid w:val="004635B7"/>
    <w:rsid w:val="00464027"/>
    <w:rsid w:val="004641CB"/>
    <w:rsid w:val="0046443B"/>
    <w:rsid w:val="00464BC7"/>
    <w:rsid w:val="00464C61"/>
    <w:rsid w:val="004651B8"/>
    <w:rsid w:val="00465580"/>
    <w:rsid w:val="00465972"/>
    <w:rsid w:val="00465E7E"/>
    <w:rsid w:val="00466BB5"/>
    <w:rsid w:val="004672E8"/>
    <w:rsid w:val="004677E9"/>
    <w:rsid w:val="0046784F"/>
    <w:rsid w:val="00467BD1"/>
    <w:rsid w:val="00470535"/>
    <w:rsid w:val="00470C10"/>
    <w:rsid w:val="00471183"/>
    <w:rsid w:val="0047123C"/>
    <w:rsid w:val="004714F6"/>
    <w:rsid w:val="0047289C"/>
    <w:rsid w:val="00472E22"/>
    <w:rsid w:val="00472F67"/>
    <w:rsid w:val="004739A1"/>
    <w:rsid w:val="004742D0"/>
    <w:rsid w:val="0047430D"/>
    <w:rsid w:val="00474371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0DE4"/>
    <w:rsid w:val="00481413"/>
    <w:rsid w:val="00481688"/>
    <w:rsid w:val="004817D3"/>
    <w:rsid w:val="004820E0"/>
    <w:rsid w:val="004822CA"/>
    <w:rsid w:val="00482979"/>
    <w:rsid w:val="00483F95"/>
    <w:rsid w:val="00484D20"/>
    <w:rsid w:val="004850C1"/>
    <w:rsid w:val="004852DC"/>
    <w:rsid w:val="00486577"/>
    <w:rsid w:val="00486751"/>
    <w:rsid w:val="00486F54"/>
    <w:rsid w:val="004871B4"/>
    <w:rsid w:val="004876DD"/>
    <w:rsid w:val="004905E4"/>
    <w:rsid w:val="004909D5"/>
    <w:rsid w:val="0049178A"/>
    <w:rsid w:val="00491C1D"/>
    <w:rsid w:val="00491DF1"/>
    <w:rsid w:val="0049231D"/>
    <w:rsid w:val="00492535"/>
    <w:rsid w:val="00493435"/>
    <w:rsid w:val="00494826"/>
    <w:rsid w:val="00494B28"/>
    <w:rsid w:val="004950F7"/>
    <w:rsid w:val="004953E1"/>
    <w:rsid w:val="00495FFF"/>
    <w:rsid w:val="00496A9F"/>
    <w:rsid w:val="00497358"/>
    <w:rsid w:val="00497641"/>
    <w:rsid w:val="00497972"/>
    <w:rsid w:val="00497C98"/>
    <w:rsid w:val="00497FA5"/>
    <w:rsid w:val="004A03B3"/>
    <w:rsid w:val="004A04D5"/>
    <w:rsid w:val="004A0D65"/>
    <w:rsid w:val="004A1AA2"/>
    <w:rsid w:val="004A1B07"/>
    <w:rsid w:val="004A2265"/>
    <w:rsid w:val="004A2E04"/>
    <w:rsid w:val="004A3226"/>
    <w:rsid w:val="004A32E9"/>
    <w:rsid w:val="004A399F"/>
    <w:rsid w:val="004A4096"/>
    <w:rsid w:val="004A4692"/>
    <w:rsid w:val="004A52F6"/>
    <w:rsid w:val="004A5D08"/>
    <w:rsid w:val="004A669F"/>
    <w:rsid w:val="004A6842"/>
    <w:rsid w:val="004A6A98"/>
    <w:rsid w:val="004A6BC3"/>
    <w:rsid w:val="004A718C"/>
    <w:rsid w:val="004A7DBE"/>
    <w:rsid w:val="004A7F94"/>
    <w:rsid w:val="004B08AC"/>
    <w:rsid w:val="004B0D88"/>
    <w:rsid w:val="004B0F7D"/>
    <w:rsid w:val="004B19DC"/>
    <w:rsid w:val="004B1F6C"/>
    <w:rsid w:val="004B206E"/>
    <w:rsid w:val="004B229E"/>
    <w:rsid w:val="004B290D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D94"/>
    <w:rsid w:val="004C0FB7"/>
    <w:rsid w:val="004C104B"/>
    <w:rsid w:val="004C1094"/>
    <w:rsid w:val="004C164A"/>
    <w:rsid w:val="004C1E8D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755"/>
    <w:rsid w:val="004C6A0D"/>
    <w:rsid w:val="004C6CC0"/>
    <w:rsid w:val="004C75FC"/>
    <w:rsid w:val="004D0836"/>
    <w:rsid w:val="004D1000"/>
    <w:rsid w:val="004D1417"/>
    <w:rsid w:val="004D1D27"/>
    <w:rsid w:val="004D2A4A"/>
    <w:rsid w:val="004D2EC3"/>
    <w:rsid w:val="004D2FF6"/>
    <w:rsid w:val="004D332F"/>
    <w:rsid w:val="004D3FD6"/>
    <w:rsid w:val="004D405F"/>
    <w:rsid w:val="004D55CA"/>
    <w:rsid w:val="004D570A"/>
    <w:rsid w:val="004D5A27"/>
    <w:rsid w:val="004D5F0E"/>
    <w:rsid w:val="004D6626"/>
    <w:rsid w:val="004D6758"/>
    <w:rsid w:val="004D68B1"/>
    <w:rsid w:val="004D6E04"/>
    <w:rsid w:val="004D707E"/>
    <w:rsid w:val="004D7907"/>
    <w:rsid w:val="004D7B1A"/>
    <w:rsid w:val="004E0830"/>
    <w:rsid w:val="004E0A24"/>
    <w:rsid w:val="004E169C"/>
    <w:rsid w:val="004E1BF0"/>
    <w:rsid w:val="004E1E6A"/>
    <w:rsid w:val="004E22A9"/>
    <w:rsid w:val="004E26AB"/>
    <w:rsid w:val="004E28E1"/>
    <w:rsid w:val="004E2B01"/>
    <w:rsid w:val="004E3065"/>
    <w:rsid w:val="004E3430"/>
    <w:rsid w:val="004E34C7"/>
    <w:rsid w:val="004E356A"/>
    <w:rsid w:val="004E375D"/>
    <w:rsid w:val="004E3850"/>
    <w:rsid w:val="004E3FC1"/>
    <w:rsid w:val="004E44CE"/>
    <w:rsid w:val="004E54DE"/>
    <w:rsid w:val="004E58EA"/>
    <w:rsid w:val="004E5F65"/>
    <w:rsid w:val="004E6981"/>
    <w:rsid w:val="004E6A0C"/>
    <w:rsid w:val="004E6C7A"/>
    <w:rsid w:val="004E7615"/>
    <w:rsid w:val="004E7CDF"/>
    <w:rsid w:val="004F078C"/>
    <w:rsid w:val="004F1324"/>
    <w:rsid w:val="004F1857"/>
    <w:rsid w:val="004F1C7D"/>
    <w:rsid w:val="004F1D24"/>
    <w:rsid w:val="004F21D2"/>
    <w:rsid w:val="004F23B6"/>
    <w:rsid w:val="004F2641"/>
    <w:rsid w:val="004F27F3"/>
    <w:rsid w:val="004F29B9"/>
    <w:rsid w:val="004F2B8E"/>
    <w:rsid w:val="004F2C85"/>
    <w:rsid w:val="004F32BF"/>
    <w:rsid w:val="004F33A8"/>
    <w:rsid w:val="004F3E6A"/>
    <w:rsid w:val="004F469D"/>
    <w:rsid w:val="004F5346"/>
    <w:rsid w:val="004F5C09"/>
    <w:rsid w:val="004F5E4E"/>
    <w:rsid w:val="004F63CC"/>
    <w:rsid w:val="004F64CA"/>
    <w:rsid w:val="004F6678"/>
    <w:rsid w:val="004F6B28"/>
    <w:rsid w:val="004F6C65"/>
    <w:rsid w:val="004F6D2E"/>
    <w:rsid w:val="004F72FA"/>
    <w:rsid w:val="004F7706"/>
    <w:rsid w:val="004F7F0F"/>
    <w:rsid w:val="004F7FBC"/>
    <w:rsid w:val="005001AE"/>
    <w:rsid w:val="005007E7"/>
    <w:rsid w:val="005012FC"/>
    <w:rsid w:val="00501EBE"/>
    <w:rsid w:val="00503551"/>
    <w:rsid w:val="00503F38"/>
    <w:rsid w:val="00504134"/>
    <w:rsid w:val="005043FC"/>
    <w:rsid w:val="00504A55"/>
    <w:rsid w:val="00505878"/>
    <w:rsid w:val="00505F08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5D5"/>
    <w:rsid w:val="00512D51"/>
    <w:rsid w:val="00512E95"/>
    <w:rsid w:val="00514674"/>
    <w:rsid w:val="00514676"/>
    <w:rsid w:val="0051477F"/>
    <w:rsid w:val="00514C46"/>
    <w:rsid w:val="00515BCF"/>
    <w:rsid w:val="00516083"/>
    <w:rsid w:val="0051635A"/>
    <w:rsid w:val="0051646E"/>
    <w:rsid w:val="005166C3"/>
    <w:rsid w:val="00516EA5"/>
    <w:rsid w:val="005179DA"/>
    <w:rsid w:val="00517E2A"/>
    <w:rsid w:val="00520C1C"/>
    <w:rsid w:val="00520CFD"/>
    <w:rsid w:val="00520F71"/>
    <w:rsid w:val="00521278"/>
    <w:rsid w:val="00521439"/>
    <w:rsid w:val="00522133"/>
    <w:rsid w:val="005226D1"/>
    <w:rsid w:val="0052292E"/>
    <w:rsid w:val="005232E0"/>
    <w:rsid w:val="0052373B"/>
    <w:rsid w:val="00523E00"/>
    <w:rsid w:val="0052439F"/>
    <w:rsid w:val="005243EB"/>
    <w:rsid w:val="00525230"/>
    <w:rsid w:val="00525789"/>
    <w:rsid w:val="00525890"/>
    <w:rsid w:val="005262A1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A84"/>
    <w:rsid w:val="00533EE8"/>
    <w:rsid w:val="0053417D"/>
    <w:rsid w:val="0053490C"/>
    <w:rsid w:val="0053523F"/>
    <w:rsid w:val="00535585"/>
    <w:rsid w:val="00536A58"/>
    <w:rsid w:val="00536AB4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48B9"/>
    <w:rsid w:val="00545136"/>
    <w:rsid w:val="005452C1"/>
    <w:rsid w:val="00545869"/>
    <w:rsid w:val="00545B42"/>
    <w:rsid w:val="0054612B"/>
    <w:rsid w:val="00546339"/>
    <w:rsid w:val="00546FF4"/>
    <w:rsid w:val="00547753"/>
    <w:rsid w:val="005479F5"/>
    <w:rsid w:val="00547D90"/>
    <w:rsid w:val="00550747"/>
    <w:rsid w:val="005508EF"/>
    <w:rsid w:val="005510E3"/>
    <w:rsid w:val="005511AF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CE5"/>
    <w:rsid w:val="0055400F"/>
    <w:rsid w:val="005548DD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86D"/>
    <w:rsid w:val="00561C64"/>
    <w:rsid w:val="0056218D"/>
    <w:rsid w:val="00562EAD"/>
    <w:rsid w:val="00562F81"/>
    <w:rsid w:val="00563222"/>
    <w:rsid w:val="005635BE"/>
    <w:rsid w:val="00563AEB"/>
    <w:rsid w:val="00564775"/>
    <w:rsid w:val="00565300"/>
    <w:rsid w:val="00565664"/>
    <w:rsid w:val="005662BF"/>
    <w:rsid w:val="00566C28"/>
    <w:rsid w:val="00566EBC"/>
    <w:rsid w:val="005672F8"/>
    <w:rsid w:val="00567500"/>
    <w:rsid w:val="0056753D"/>
    <w:rsid w:val="00567811"/>
    <w:rsid w:val="00567CDA"/>
    <w:rsid w:val="00570163"/>
    <w:rsid w:val="005701B3"/>
    <w:rsid w:val="005702BD"/>
    <w:rsid w:val="005704B1"/>
    <w:rsid w:val="00571A38"/>
    <w:rsid w:val="00572356"/>
    <w:rsid w:val="00572582"/>
    <w:rsid w:val="00572749"/>
    <w:rsid w:val="00573802"/>
    <w:rsid w:val="005739F4"/>
    <w:rsid w:val="00573A7F"/>
    <w:rsid w:val="00573EE1"/>
    <w:rsid w:val="0057406C"/>
    <w:rsid w:val="00575051"/>
    <w:rsid w:val="005758E3"/>
    <w:rsid w:val="00576D35"/>
    <w:rsid w:val="005773A7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66D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4BA2"/>
    <w:rsid w:val="00585988"/>
    <w:rsid w:val="00585C21"/>
    <w:rsid w:val="005871D0"/>
    <w:rsid w:val="005874CD"/>
    <w:rsid w:val="00587597"/>
    <w:rsid w:val="00590D18"/>
    <w:rsid w:val="00590EDD"/>
    <w:rsid w:val="00591988"/>
    <w:rsid w:val="005921C8"/>
    <w:rsid w:val="005922A3"/>
    <w:rsid w:val="0059239E"/>
    <w:rsid w:val="005924DB"/>
    <w:rsid w:val="00592875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B7B"/>
    <w:rsid w:val="00596020"/>
    <w:rsid w:val="0059619E"/>
    <w:rsid w:val="0059632F"/>
    <w:rsid w:val="00597503"/>
    <w:rsid w:val="00597799"/>
    <w:rsid w:val="005977F9"/>
    <w:rsid w:val="00597BA8"/>
    <w:rsid w:val="00597C53"/>
    <w:rsid w:val="00597FB2"/>
    <w:rsid w:val="005A01E7"/>
    <w:rsid w:val="005A02C8"/>
    <w:rsid w:val="005A03D4"/>
    <w:rsid w:val="005A09E5"/>
    <w:rsid w:val="005A1473"/>
    <w:rsid w:val="005A14D6"/>
    <w:rsid w:val="005A1926"/>
    <w:rsid w:val="005A19FF"/>
    <w:rsid w:val="005A1B5B"/>
    <w:rsid w:val="005A2074"/>
    <w:rsid w:val="005A24AE"/>
    <w:rsid w:val="005A3394"/>
    <w:rsid w:val="005A403A"/>
    <w:rsid w:val="005A43BE"/>
    <w:rsid w:val="005A4624"/>
    <w:rsid w:val="005A5011"/>
    <w:rsid w:val="005A508D"/>
    <w:rsid w:val="005A5C5C"/>
    <w:rsid w:val="005A60BA"/>
    <w:rsid w:val="005A6156"/>
    <w:rsid w:val="005A761B"/>
    <w:rsid w:val="005A7814"/>
    <w:rsid w:val="005B096F"/>
    <w:rsid w:val="005B0987"/>
    <w:rsid w:val="005B0FB5"/>
    <w:rsid w:val="005B1191"/>
    <w:rsid w:val="005B1205"/>
    <w:rsid w:val="005B1D3B"/>
    <w:rsid w:val="005B2088"/>
    <w:rsid w:val="005B22CB"/>
    <w:rsid w:val="005B2466"/>
    <w:rsid w:val="005B2BBB"/>
    <w:rsid w:val="005B2BF5"/>
    <w:rsid w:val="005B2FD3"/>
    <w:rsid w:val="005B3BE3"/>
    <w:rsid w:val="005B3DCC"/>
    <w:rsid w:val="005B41B3"/>
    <w:rsid w:val="005B4289"/>
    <w:rsid w:val="005B5926"/>
    <w:rsid w:val="005B5A74"/>
    <w:rsid w:val="005B5DBE"/>
    <w:rsid w:val="005B5F7D"/>
    <w:rsid w:val="005B5FCC"/>
    <w:rsid w:val="005B6007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592"/>
    <w:rsid w:val="005C12AC"/>
    <w:rsid w:val="005C1AA4"/>
    <w:rsid w:val="005C1C90"/>
    <w:rsid w:val="005C1CEF"/>
    <w:rsid w:val="005C352E"/>
    <w:rsid w:val="005C3964"/>
    <w:rsid w:val="005C428A"/>
    <w:rsid w:val="005C4330"/>
    <w:rsid w:val="005C4787"/>
    <w:rsid w:val="005C4BF5"/>
    <w:rsid w:val="005C50D1"/>
    <w:rsid w:val="005C5113"/>
    <w:rsid w:val="005C54B8"/>
    <w:rsid w:val="005C557C"/>
    <w:rsid w:val="005C56B7"/>
    <w:rsid w:val="005C5CDF"/>
    <w:rsid w:val="005C5EAF"/>
    <w:rsid w:val="005C677E"/>
    <w:rsid w:val="005C6CD0"/>
    <w:rsid w:val="005C7072"/>
    <w:rsid w:val="005C7554"/>
    <w:rsid w:val="005C785E"/>
    <w:rsid w:val="005C78D5"/>
    <w:rsid w:val="005D00B6"/>
    <w:rsid w:val="005D0D51"/>
    <w:rsid w:val="005D101F"/>
    <w:rsid w:val="005D1247"/>
    <w:rsid w:val="005D1D60"/>
    <w:rsid w:val="005D205D"/>
    <w:rsid w:val="005D2AAB"/>
    <w:rsid w:val="005D2F54"/>
    <w:rsid w:val="005D33D2"/>
    <w:rsid w:val="005D353D"/>
    <w:rsid w:val="005D3C52"/>
    <w:rsid w:val="005D3FD5"/>
    <w:rsid w:val="005D49E5"/>
    <w:rsid w:val="005D593D"/>
    <w:rsid w:val="005D63A5"/>
    <w:rsid w:val="005D6833"/>
    <w:rsid w:val="005D69A4"/>
    <w:rsid w:val="005D74F8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BC"/>
    <w:rsid w:val="005E3850"/>
    <w:rsid w:val="005E3EB4"/>
    <w:rsid w:val="005E40C8"/>
    <w:rsid w:val="005E43DF"/>
    <w:rsid w:val="005E48DE"/>
    <w:rsid w:val="005E527F"/>
    <w:rsid w:val="005E54CF"/>
    <w:rsid w:val="005E566F"/>
    <w:rsid w:val="005E64AF"/>
    <w:rsid w:val="005E6BE9"/>
    <w:rsid w:val="005E6F81"/>
    <w:rsid w:val="005E71A5"/>
    <w:rsid w:val="005E777B"/>
    <w:rsid w:val="005E78FF"/>
    <w:rsid w:val="005E7B96"/>
    <w:rsid w:val="005F03D5"/>
    <w:rsid w:val="005F0718"/>
    <w:rsid w:val="005F0860"/>
    <w:rsid w:val="005F14A7"/>
    <w:rsid w:val="005F1B20"/>
    <w:rsid w:val="005F1E18"/>
    <w:rsid w:val="005F2307"/>
    <w:rsid w:val="005F2639"/>
    <w:rsid w:val="005F27E0"/>
    <w:rsid w:val="005F29C0"/>
    <w:rsid w:val="005F2A66"/>
    <w:rsid w:val="005F2B32"/>
    <w:rsid w:val="005F3176"/>
    <w:rsid w:val="005F3549"/>
    <w:rsid w:val="005F3D8C"/>
    <w:rsid w:val="005F4DDB"/>
    <w:rsid w:val="005F54B4"/>
    <w:rsid w:val="005F5576"/>
    <w:rsid w:val="005F5A4E"/>
    <w:rsid w:val="005F5A6F"/>
    <w:rsid w:val="005F5C6D"/>
    <w:rsid w:val="005F5E8E"/>
    <w:rsid w:val="005F60E6"/>
    <w:rsid w:val="005F61DD"/>
    <w:rsid w:val="005F72CB"/>
    <w:rsid w:val="005F736F"/>
    <w:rsid w:val="005F764A"/>
    <w:rsid w:val="005F79EF"/>
    <w:rsid w:val="0060008E"/>
    <w:rsid w:val="0060045C"/>
    <w:rsid w:val="006005C1"/>
    <w:rsid w:val="00600ED9"/>
    <w:rsid w:val="006011A0"/>
    <w:rsid w:val="00602A78"/>
    <w:rsid w:val="00602BCA"/>
    <w:rsid w:val="0060305F"/>
    <w:rsid w:val="006034C7"/>
    <w:rsid w:val="00603802"/>
    <w:rsid w:val="0060381D"/>
    <w:rsid w:val="00603D08"/>
    <w:rsid w:val="00604617"/>
    <w:rsid w:val="00604730"/>
    <w:rsid w:val="006049CE"/>
    <w:rsid w:val="00604AE3"/>
    <w:rsid w:val="00604D1B"/>
    <w:rsid w:val="006052A3"/>
    <w:rsid w:val="006053D8"/>
    <w:rsid w:val="006057CF"/>
    <w:rsid w:val="00605895"/>
    <w:rsid w:val="006059A0"/>
    <w:rsid w:val="00605A1A"/>
    <w:rsid w:val="00606054"/>
    <w:rsid w:val="0060611E"/>
    <w:rsid w:val="00606295"/>
    <w:rsid w:val="006063E0"/>
    <w:rsid w:val="00606906"/>
    <w:rsid w:val="00606EE7"/>
    <w:rsid w:val="00606FAA"/>
    <w:rsid w:val="006078FD"/>
    <w:rsid w:val="00607C10"/>
    <w:rsid w:val="00610543"/>
    <w:rsid w:val="00610A0E"/>
    <w:rsid w:val="00610F47"/>
    <w:rsid w:val="00611B77"/>
    <w:rsid w:val="00611BA6"/>
    <w:rsid w:val="00612497"/>
    <w:rsid w:val="00612D19"/>
    <w:rsid w:val="0061330F"/>
    <w:rsid w:val="00613641"/>
    <w:rsid w:val="00614139"/>
    <w:rsid w:val="00614483"/>
    <w:rsid w:val="006144F9"/>
    <w:rsid w:val="0061478C"/>
    <w:rsid w:val="0061516E"/>
    <w:rsid w:val="006151BC"/>
    <w:rsid w:val="00615204"/>
    <w:rsid w:val="006154F0"/>
    <w:rsid w:val="00615CB8"/>
    <w:rsid w:val="00615E77"/>
    <w:rsid w:val="00616172"/>
    <w:rsid w:val="006162A3"/>
    <w:rsid w:val="00616543"/>
    <w:rsid w:val="00616A94"/>
    <w:rsid w:val="00616C7D"/>
    <w:rsid w:val="006170E3"/>
    <w:rsid w:val="0061735F"/>
    <w:rsid w:val="006205E1"/>
    <w:rsid w:val="006208EE"/>
    <w:rsid w:val="0062091D"/>
    <w:rsid w:val="00620C44"/>
    <w:rsid w:val="0062100E"/>
    <w:rsid w:val="006211A5"/>
    <w:rsid w:val="006212A7"/>
    <w:rsid w:val="006219BC"/>
    <w:rsid w:val="00621AC7"/>
    <w:rsid w:val="00621DD8"/>
    <w:rsid w:val="00622789"/>
    <w:rsid w:val="006233C1"/>
    <w:rsid w:val="00623854"/>
    <w:rsid w:val="00624649"/>
    <w:rsid w:val="0062499D"/>
    <w:rsid w:val="006249A7"/>
    <w:rsid w:val="006249D1"/>
    <w:rsid w:val="00624D4F"/>
    <w:rsid w:val="00625713"/>
    <w:rsid w:val="00625B22"/>
    <w:rsid w:val="00625C53"/>
    <w:rsid w:val="006261E8"/>
    <w:rsid w:val="00626415"/>
    <w:rsid w:val="00627357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625"/>
    <w:rsid w:val="00635AEB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43B2"/>
    <w:rsid w:val="00645210"/>
    <w:rsid w:val="00645933"/>
    <w:rsid w:val="006459B3"/>
    <w:rsid w:val="00645D57"/>
    <w:rsid w:val="00645EEC"/>
    <w:rsid w:val="00645F02"/>
    <w:rsid w:val="00646970"/>
    <w:rsid w:val="00646FDD"/>
    <w:rsid w:val="00647401"/>
    <w:rsid w:val="00647C38"/>
    <w:rsid w:val="00647C54"/>
    <w:rsid w:val="00647D39"/>
    <w:rsid w:val="006500A2"/>
    <w:rsid w:val="00650498"/>
    <w:rsid w:val="0065058D"/>
    <w:rsid w:val="00650C5E"/>
    <w:rsid w:val="00651147"/>
    <w:rsid w:val="0065131D"/>
    <w:rsid w:val="00651B06"/>
    <w:rsid w:val="00651DC1"/>
    <w:rsid w:val="00651FD6"/>
    <w:rsid w:val="0065234B"/>
    <w:rsid w:val="0065252C"/>
    <w:rsid w:val="00653AC4"/>
    <w:rsid w:val="00653C52"/>
    <w:rsid w:val="006540C1"/>
    <w:rsid w:val="00654642"/>
    <w:rsid w:val="0065468F"/>
    <w:rsid w:val="00654851"/>
    <w:rsid w:val="00654AF4"/>
    <w:rsid w:val="00654CB8"/>
    <w:rsid w:val="0065561D"/>
    <w:rsid w:val="0065565B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28CE"/>
    <w:rsid w:val="00662A70"/>
    <w:rsid w:val="00662AF9"/>
    <w:rsid w:val="00662C14"/>
    <w:rsid w:val="00662C97"/>
    <w:rsid w:val="00662CBB"/>
    <w:rsid w:val="00662F3E"/>
    <w:rsid w:val="0066398B"/>
    <w:rsid w:val="00663F53"/>
    <w:rsid w:val="00664719"/>
    <w:rsid w:val="0066486A"/>
    <w:rsid w:val="0066500B"/>
    <w:rsid w:val="0066527F"/>
    <w:rsid w:val="00666754"/>
    <w:rsid w:val="00666AEA"/>
    <w:rsid w:val="00667AA7"/>
    <w:rsid w:val="00667FB2"/>
    <w:rsid w:val="006700C2"/>
    <w:rsid w:val="006707B6"/>
    <w:rsid w:val="00670D2E"/>
    <w:rsid w:val="0067269F"/>
    <w:rsid w:val="006726CB"/>
    <w:rsid w:val="0067272F"/>
    <w:rsid w:val="00672F30"/>
    <w:rsid w:val="0067388B"/>
    <w:rsid w:val="00673BA4"/>
    <w:rsid w:val="00674C5D"/>
    <w:rsid w:val="00674ED8"/>
    <w:rsid w:val="00675793"/>
    <w:rsid w:val="00675880"/>
    <w:rsid w:val="00675B92"/>
    <w:rsid w:val="00675C5E"/>
    <w:rsid w:val="00676543"/>
    <w:rsid w:val="00676F0B"/>
    <w:rsid w:val="006772AB"/>
    <w:rsid w:val="006773D1"/>
    <w:rsid w:val="006773EC"/>
    <w:rsid w:val="006801BB"/>
    <w:rsid w:val="006802E3"/>
    <w:rsid w:val="00680545"/>
    <w:rsid w:val="00680CC6"/>
    <w:rsid w:val="006814DE"/>
    <w:rsid w:val="0068241B"/>
    <w:rsid w:val="00683889"/>
    <w:rsid w:val="006842A2"/>
    <w:rsid w:val="006844F1"/>
    <w:rsid w:val="006848BB"/>
    <w:rsid w:val="00684B65"/>
    <w:rsid w:val="00685075"/>
    <w:rsid w:val="00685339"/>
    <w:rsid w:val="00685597"/>
    <w:rsid w:val="0068577C"/>
    <w:rsid w:val="00686338"/>
    <w:rsid w:val="0068644A"/>
    <w:rsid w:val="006867CC"/>
    <w:rsid w:val="0068731C"/>
    <w:rsid w:val="006904AD"/>
    <w:rsid w:val="006905F1"/>
    <w:rsid w:val="006909F9"/>
    <w:rsid w:val="006912E6"/>
    <w:rsid w:val="0069132A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4B8"/>
    <w:rsid w:val="006956E0"/>
    <w:rsid w:val="00695D95"/>
    <w:rsid w:val="00695DDA"/>
    <w:rsid w:val="00696136"/>
    <w:rsid w:val="00696243"/>
    <w:rsid w:val="006962E6"/>
    <w:rsid w:val="00696566"/>
    <w:rsid w:val="0069657D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43EA"/>
    <w:rsid w:val="006A471A"/>
    <w:rsid w:val="006A4A94"/>
    <w:rsid w:val="006A5163"/>
    <w:rsid w:val="006A5290"/>
    <w:rsid w:val="006A55BF"/>
    <w:rsid w:val="006A777A"/>
    <w:rsid w:val="006A7AE9"/>
    <w:rsid w:val="006A7C4A"/>
    <w:rsid w:val="006A7C9D"/>
    <w:rsid w:val="006B0264"/>
    <w:rsid w:val="006B1D4D"/>
    <w:rsid w:val="006B1D76"/>
    <w:rsid w:val="006B1E59"/>
    <w:rsid w:val="006B2636"/>
    <w:rsid w:val="006B2826"/>
    <w:rsid w:val="006B2995"/>
    <w:rsid w:val="006B2F13"/>
    <w:rsid w:val="006B3EFD"/>
    <w:rsid w:val="006B40C8"/>
    <w:rsid w:val="006B472A"/>
    <w:rsid w:val="006B542B"/>
    <w:rsid w:val="006B549F"/>
    <w:rsid w:val="006B64B8"/>
    <w:rsid w:val="006B65CB"/>
    <w:rsid w:val="006B73DF"/>
    <w:rsid w:val="006B765D"/>
    <w:rsid w:val="006C03BA"/>
    <w:rsid w:val="006C0867"/>
    <w:rsid w:val="006C0986"/>
    <w:rsid w:val="006C12F3"/>
    <w:rsid w:val="006C166C"/>
    <w:rsid w:val="006C1C0D"/>
    <w:rsid w:val="006C215A"/>
    <w:rsid w:val="006C24C7"/>
    <w:rsid w:val="006C24D3"/>
    <w:rsid w:val="006C273C"/>
    <w:rsid w:val="006C374A"/>
    <w:rsid w:val="006C3A0F"/>
    <w:rsid w:val="006C479E"/>
    <w:rsid w:val="006C57FE"/>
    <w:rsid w:val="006C5AB5"/>
    <w:rsid w:val="006C5B70"/>
    <w:rsid w:val="006C6E36"/>
    <w:rsid w:val="006C704F"/>
    <w:rsid w:val="006C705E"/>
    <w:rsid w:val="006C7216"/>
    <w:rsid w:val="006C7266"/>
    <w:rsid w:val="006D01F3"/>
    <w:rsid w:val="006D045E"/>
    <w:rsid w:val="006D0B6D"/>
    <w:rsid w:val="006D1549"/>
    <w:rsid w:val="006D1666"/>
    <w:rsid w:val="006D1A5F"/>
    <w:rsid w:val="006D2182"/>
    <w:rsid w:val="006D381C"/>
    <w:rsid w:val="006D39EA"/>
    <w:rsid w:val="006D3CE0"/>
    <w:rsid w:val="006D406A"/>
    <w:rsid w:val="006D4801"/>
    <w:rsid w:val="006D487E"/>
    <w:rsid w:val="006D4A33"/>
    <w:rsid w:val="006D4D9C"/>
    <w:rsid w:val="006D53DF"/>
    <w:rsid w:val="006D54F7"/>
    <w:rsid w:val="006D5604"/>
    <w:rsid w:val="006D5CDA"/>
    <w:rsid w:val="006D73FD"/>
    <w:rsid w:val="006D7902"/>
    <w:rsid w:val="006D7C9D"/>
    <w:rsid w:val="006D7D85"/>
    <w:rsid w:val="006E045E"/>
    <w:rsid w:val="006E05AA"/>
    <w:rsid w:val="006E09A9"/>
    <w:rsid w:val="006E09E9"/>
    <w:rsid w:val="006E0A47"/>
    <w:rsid w:val="006E0B21"/>
    <w:rsid w:val="006E0E6E"/>
    <w:rsid w:val="006E171B"/>
    <w:rsid w:val="006E2018"/>
    <w:rsid w:val="006E2BA3"/>
    <w:rsid w:val="006E2C6D"/>
    <w:rsid w:val="006E33D2"/>
    <w:rsid w:val="006E374B"/>
    <w:rsid w:val="006E37B5"/>
    <w:rsid w:val="006E3830"/>
    <w:rsid w:val="006E3B50"/>
    <w:rsid w:val="006E44D3"/>
    <w:rsid w:val="006E4705"/>
    <w:rsid w:val="006E470D"/>
    <w:rsid w:val="006E49DF"/>
    <w:rsid w:val="006E4E81"/>
    <w:rsid w:val="006E50A1"/>
    <w:rsid w:val="006E58CF"/>
    <w:rsid w:val="006E6051"/>
    <w:rsid w:val="006E6241"/>
    <w:rsid w:val="006E645F"/>
    <w:rsid w:val="006E65F3"/>
    <w:rsid w:val="006E663A"/>
    <w:rsid w:val="006E6DB5"/>
    <w:rsid w:val="006E6DCD"/>
    <w:rsid w:val="006E6F23"/>
    <w:rsid w:val="006E6F3D"/>
    <w:rsid w:val="006E7FD7"/>
    <w:rsid w:val="006F008A"/>
    <w:rsid w:val="006F117D"/>
    <w:rsid w:val="006F1195"/>
    <w:rsid w:val="006F13F3"/>
    <w:rsid w:val="006F1DBD"/>
    <w:rsid w:val="006F1E00"/>
    <w:rsid w:val="006F2313"/>
    <w:rsid w:val="006F243A"/>
    <w:rsid w:val="006F301F"/>
    <w:rsid w:val="006F3C96"/>
    <w:rsid w:val="006F5847"/>
    <w:rsid w:val="006F5B1A"/>
    <w:rsid w:val="006F5F76"/>
    <w:rsid w:val="006F6790"/>
    <w:rsid w:val="00700821"/>
    <w:rsid w:val="007010A7"/>
    <w:rsid w:val="007011D1"/>
    <w:rsid w:val="007011D8"/>
    <w:rsid w:val="00701929"/>
    <w:rsid w:val="007021B1"/>
    <w:rsid w:val="0070263D"/>
    <w:rsid w:val="00702723"/>
    <w:rsid w:val="0070303A"/>
    <w:rsid w:val="0070328F"/>
    <w:rsid w:val="00704346"/>
    <w:rsid w:val="007043D3"/>
    <w:rsid w:val="00704464"/>
    <w:rsid w:val="00704527"/>
    <w:rsid w:val="0070522E"/>
    <w:rsid w:val="007057C7"/>
    <w:rsid w:val="007057D1"/>
    <w:rsid w:val="00705BD7"/>
    <w:rsid w:val="007061EC"/>
    <w:rsid w:val="00706461"/>
    <w:rsid w:val="00706717"/>
    <w:rsid w:val="007068C5"/>
    <w:rsid w:val="00706995"/>
    <w:rsid w:val="00706C3A"/>
    <w:rsid w:val="00706E1E"/>
    <w:rsid w:val="007071D4"/>
    <w:rsid w:val="007071EE"/>
    <w:rsid w:val="00707C37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2E16"/>
    <w:rsid w:val="007139BF"/>
    <w:rsid w:val="00713C11"/>
    <w:rsid w:val="00714358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529"/>
    <w:rsid w:val="00723F60"/>
    <w:rsid w:val="00724260"/>
    <w:rsid w:val="0072454A"/>
    <w:rsid w:val="007245B1"/>
    <w:rsid w:val="00724952"/>
    <w:rsid w:val="00724CD4"/>
    <w:rsid w:val="00724F45"/>
    <w:rsid w:val="00725011"/>
    <w:rsid w:val="00725AB1"/>
    <w:rsid w:val="00725D1A"/>
    <w:rsid w:val="00725DF3"/>
    <w:rsid w:val="00726400"/>
    <w:rsid w:val="00726B7D"/>
    <w:rsid w:val="00727285"/>
    <w:rsid w:val="00727380"/>
    <w:rsid w:val="00727D91"/>
    <w:rsid w:val="00727E44"/>
    <w:rsid w:val="00730152"/>
    <w:rsid w:val="007301B7"/>
    <w:rsid w:val="007305F2"/>
    <w:rsid w:val="0073065B"/>
    <w:rsid w:val="0073071A"/>
    <w:rsid w:val="00730DD2"/>
    <w:rsid w:val="007310E4"/>
    <w:rsid w:val="00731129"/>
    <w:rsid w:val="00731FA6"/>
    <w:rsid w:val="007320CE"/>
    <w:rsid w:val="00732732"/>
    <w:rsid w:val="0073397C"/>
    <w:rsid w:val="00734051"/>
    <w:rsid w:val="00734519"/>
    <w:rsid w:val="0073458B"/>
    <w:rsid w:val="00734B84"/>
    <w:rsid w:val="00734E36"/>
    <w:rsid w:val="007350DF"/>
    <w:rsid w:val="007352C8"/>
    <w:rsid w:val="00735EBF"/>
    <w:rsid w:val="007361C8"/>
    <w:rsid w:val="007365ED"/>
    <w:rsid w:val="00736927"/>
    <w:rsid w:val="0073719A"/>
    <w:rsid w:val="00737A41"/>
    <w:rsid w:val="00737A4B"/>
    <w:rsid w:val="00737EAA"/>
    <w:rsid w:val="00740008"/>
    <w:rsid w:val="0074056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12C"/>
    <w:rsid w:val="007444AE"/>
    <w:rsid w:val="007447C6"/>
    <w:rsid w:val="007449FE"/>
    <w:rsid w:val="00744CEC"/>
    <w:rsid w:val="00745698"/>
    <w:rsid w:val="00745A05"/>
    <w:rsid w:val="00745F8E"/>
    <w:rsid w:val="00746564"/>
    <w:rsid w:val="00746721"/>
    <w:rsid w:val="007469D9"/>
    <w:rsid w:val="00747741"/>
    <w:rsid w:val="007505F4"/>
    <w:rsid w:val="00750979"/>
    <w:rsid w:val="00751313"/>
    <w:rsid w:val="007514AA"/>
    <w:rsid w:val="00751760"/>
    <w:rsid w:val="007518C9"/>
    <w:rsid w:val="00751A4A"/>
    <w:rsid w:val="00751E97"/>
    <w:rsid w:val="00751EF1"/>
    <w:rsid w:val="0075218A"/>
    <w:rsid w:val="00752238"/>
    <w:rsid w:val="007526FB"/>
    <w:rsid w:val="00752DE0"/>
    <w:rsid w:val="00752E14"/>
    <w:rsid w:val="00753DA5"/>
    <w:rsid w:val="00754E53"/>
    <w:rsid w:val="0075502B"/>
    <w:rsid w:val="00755633"/>
    <w:rsid w:val="00755B6F"/>
    <w:rsid w:val="007562DF"/>
    <w:rsid w:val="00756572"/>
    <w:rsid w:val="00756A17"/>
    <w:rsid w:val="00756A1A"/>
    <w:rsid w:val="00756B41"/>
    <w:rsid w:val="00756D1B"/>
    <w:rsid w:val="007573A0"/>
    <w:rsid w:val="007576EC"/>
    <w:rsid w:val="00757957"/>
    <w:rsid w:val="00757F65"/>
    <w:rsid w:val="00760978"/>
    <w:rsid w:val="00760D42"/>
    <w:rsid w:val="007623B0"/>
    <w:rsid w:val="00762A7D"/>
    <w:rsid w:val="00763B9E"/>
    <w:rsid w:val="00764588"/>
    <w:rsid w:val="007648FE"/>
    <w:rsid w:val="00764A06"/>
    <w:rsid w:val="00764B39"/>
    <w:rsid w:val="00766009"/>
    <w:rsid w:val="007664EA"/>
    <w:rsid w:val="007667C4"/>
    <w:rsid w:val="007670FC"/>
    <w:rsid w:val="00767156"/>
    <w:rsid w:val="00767282"/>
    <w:rsid w:val="007678B9"/>
    <w:rsid w:val="00767DDD"/>
    <w:rsid w:val="00767F7F"/>
    <w:rsid w:val="007703EA"/>
    <w:rsid w:val="00770BFA"/>
    <w:rsid w:val="00770C49"/>
    <w:rsid w:val="0077130E"/>
    <w:rsid w:val="007713D7"/>
    <w:rsid w:val="00771BF6"/>
    <w:rsid w:val="0077249A"/>
    <w:rsid w:val="0077262C"/>
    <w:rsid w:val="00772A29"/>
    <w:rsid w:val="00773B3E"/>
    <w:rsid w:val="00773E65"/>
    <w:rsid w:val="007741B0"/>
    <w:rsid w:val="007745D3"/>
    <w:rsid w:val="007746DC"/>
    <w:rsid w:val="00774F5B"/>
    <w:rsid w:val="0077558B"/>
    <w:rsid w:val="00775601"/>
    <w:rsid w:val="007756E4"/>
    <w:rsid w:val="00775A59"/>
    <w:rsid w:val="007760C6"/>
    <w:rsid w:val="00776787"/>
    <w:rsid w:val="00776874"/>
    <w:rsid w:val="0077726C"/>
    <w:rsid w:val="00777AAB"/>
    <w:rsid w:val="00780045"/>
    <w:rsid w:val="00780FF9"/>
    <w:rsid w:val="007815E8"/>
    <w:rsid w:val="0078285C"/>
    <w:rsid w:val="00782B30"/>
    <w:rsid w:val="0078328E"/>
    <w:rsid w:val="0078352E"/>
    <w:rsid w:val="00783A36"/>
    <w:rsid w:val="007841AF"/>
    <w:rsid w:val="007845D4"/>
    <w:rsid w:val="00784CFC"/>
    <w:rsid w:val="00784DF0"/>
    <w:rsid w:val="00785A38"/>
    <w:rsid w:val="00785C2A"/>
    <w:rsid w:val="0078668F"/>
    <w:rsid w:val="00786703"/>
    <w:rsid w:val="0078700E"/>
    <w:rsid w:val="00787339"/>
    <w:rsid w:val="00787818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802"/>
    <w:rsid w:val="00793D45"/>
    <w:rsid w:val="007944FD"/>
    <w:rsid w:val="00795E20"/>
    <w:rsid w:val="00796084"/>
    <w:rsid w:val="00796787"/>
    <w:rsid w:val="007975BD"/>
    <w:rsid w:val="00797B7E"/>
    <w:rsid w:val="007A05A2"/>
    <w:rsid w:val="007A0CBB"/>
    <w:rsid w:val="007A10D6"/>
    <w:rsid w:val="007A12EE"/>
    <w:rsid w:val="007A138C"/>
    <w:rsid w:val="007A1834"/>
    <w:rsid w:val="007A1856"/>
    <w:rsid w:val="007A1E52"/>
    <w:rsid w:val="007A1ECC"/>
    <w:rsid w:val="007A2A4D"/>
    <w:rsid w:val="007A31B2"/>
    <w:rsid w:val="007A3629"/>
    <w:rsid w:val="007A385C"/>
    <w:rsid w:val="007A38F5"/>
    <w:rsid w:val="007A3D24"/>
    <w:rsid w:val="007A3EB2"/>
    <w:rsid w:val="007A484F"/>
    <w:rsid w:val="007A4860"/>
    <w:rsid w:val="007A4CAF"/>
    <w:rsid w:val="007A4D41"/>
    <w:rsid w:val="007A4F52"/>
    <w:rsid w:val="007A4F7B"/>
    <w:rsid w:val="007A61E4"/>
    <w:rsid w:val="007A704A"/>
    <w:rsid w:val="007A7242"/>
    <w:rsid w:val="007B0C14"/>
    <w:rsid w:val="007B12B0"/>
    <w:rsid w:val="007B1392"/>
    <w:rsid w:val="007B1785"/>
    <w:rsid w:val="007B180C"/>
    <w:rsid w:val="007B215A"/>
    <w:rsid w:val="007B22DC"/>
    <w:rsid w:val="007B24F0"/>
    <w:rsid w:val="007B34DC"/>
    <w:rsid w:val="007B3A98"/>
    <w:rsid w:val="007B4008"/>
    <w:rsid w:val="007B4421"/>
    <w:rsid w:val="007B44D3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203"/>
    <w:rsid w:val="007C1541"/>
    <w:rsid w:val="007C19DF"/>
    <w:rsid w:val="007C25F8"/>
    <w:rsid w:val="007C298E"/>
    <w:rsid w:val="007C347A"/>
    <w:rsid w:val="007C44DC"/>
    <w:rsid w:val="007C4545"/>
    <w:rsid w:val="007C45F7"/>
    <w:rsid w:val="007C46D1"/>
    <w:rsid w:val="007C47C2"/>
    <w:rsid w:val="007C4822"/>
    <w:rsid w:val="007C490A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A27"/>
    <w:rsid w:val="007C7E7C"/>
    <w:rsid w:val="007C7F4C"/>
    <w:rsid w:val="007D065E"/>
    <w:rsid w:val="007D077E"/>
    <w:rsid w:val="007D0A94"/>
    <w:rsid w:val="007D0B22"/>
    <w:rsid w:val="007D0BD6"/>
    <w:rsid w:val="007D0D5B"/>
    <w:rsid w:val="007D13BB"/>
    <w:rsid w:val="007D143D"/>
    <w:rsid w:val="007D25B9"/>
    <w:rsid w:val="007D2954"/>
    <w:rsid w:val="007D2BE8"/>
    <w:rsid w:val="007D3066"/>
    <w:rsid w:val="007D3F2A"/>
    <w:rsid w:val="007D421B"/>
    <w:rsid w:val="007D4490"/>
    <w:rsid w:val="007D4579"/>
    <w:rsid w:val="007D45DD"/>
    <w:rsid w:val="007D4738"/>
    <w:rsid w:val="007D4901"/>
    <w:rsid w:val="007D51EB"/>
    <w:rsid w:val="007D58BB"/>
    <w:rsid w:val="007D6835"/>
    <w:rsid w:val="007D6875"/>
    <w:rsid w:val="007D69FE"/>
    <w:rsid w:val="007D6A93"/>
    <w:rsid w:val="007D7CDE"/>
    <w:rsid w:val="007D7DC7"/>
    <w:rsid w:val="007E01AF"/>
    <w:rsid w:val="007E0772"/>
    <w:rsid w:val="007E0D31"/>
    <w:rsid w:val="007E0E04"/>
    <w:rsid w:val="007E0ECC"/>
    <w:rsid w:val="007E0EF9"/>
    <w:rsid w:val="007E17BD"/>
    <w:rsid w:val="007E1D68"/>
    <w:rsid w:val="007E21D9"/>
    <w:rsid w:val="007E2BDD"/>
    <w:rsid w:val="007E440D"/>
    <w:rsid w:val="007E45CA"/>
    <w:rsid w:val="007E48C0"/>
    <w:rsid w:val="007E5885"/>
    <w:rsid w:val="007E61B7"/>
    <w:rsid w:val="007E64B5"/>
    <w:rsid w:val="007E64FF"/>
    <w:rsid w:val="007E6F62"/>
    <w:rsid w:val="007E6FEA"/>
    <w:rsid w:val="007E756C"/>
    <w:rsid w:val="007E7C7B"/>
    <w:rsid w:val="007E7E0F"/>
    <w:rsid w:val="007E7F8F"/>
    <w:rsid w:val="007F014B"/>
    <w:rsid w:val="007F015E"/>
    <w:rsid w:val="007F1160"/>
    <w:rsid w:val="007F1197"/>
    <w:rsid w:val="007F21B0"/>
    <w:rsid w:val="007F2DE9"/>
    <w:rsid w:val="007F3225"/>
    <w:rsid w:val="007F341B"/>
    <w:rsid w:val="007F3682"/>
    <w:rsid w:val="007F393B"/>
    <w:rsid w:val="007F3AA2"/>
    <w:rsid w:val="007F3B45"/>
    <w:rsid w:val="007F3E3E"/>
    <w:rsid w:val="007F4A9E"/>
    <w:rsid w:val="007F4ABC"/>
    <w:rsid w:val="007F4D45"/>
    <w:rsid w:val="007F510F"/>
    <w:rsid w:val="007F5187"/>
    <w:rsid w:val="007F545B"/>
    <w:rsid w:val="007F59AE"/>
    <w:rsid w:val="007F59B2"/>
    <w:rsid w:val="007F6607"/>
    <w:rsid w:val="007F7865"/>
    <w:rsid w:val="007F797B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3D7F"/>
    <w:rsid w:val="00804558"/>
    <w:rsid w:val="008047AE"/>
    <w:rsid w:val="00804855"/>
    <w:rsid w:val="00804B21"/>
    <w:rsid w:val="00805483"/>
    <w:rsid w:val="0080585D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92F"/>
    <w:rsid w:val="00811B28"/>
    <w:rsid w:val="00812862"/>
    <w:rsid w:val="00812A7A"/>
    <w:rsid w:val="00812BB7"/>
    <w:rsid w:val="0081362B"/>
    <w:rsid w:val="0081375A"/>
    <w:rsid w:val="0081450B"/>
    <w:rsid w:val="0081467F"/>
    <w:rsid w:val="00815339"/>
    <w:rsid w:val="008154F1"/>
    <w:rsid w:val="0081591F"/>
    <w:rsid w:val="00815A37"/>
    <w:rsid w:val="00815A99"/>
    <w:rsid w:val="00815E13"/>
    <w:rsid w:val="00815E5B"/>
    <w:rsid w:val="008160D1"/>
    <w:rsid w:val="008162B3"/>
    <w:rsid w:val="0081640D"/>
    <w:rsid w:val="0081687A"/>
    <w:rsid w:val="008169A1"/>
    <w:rsid w:val="00816BDC"/>
    <w:rsid w:val="00816CE8"/>
    <w:rsid w:val="00820160"/>
    <w:rsid w:val="0082022B"/>
    <w:rsid w:val="00820BBC"/>
    <w:rsid w:val="00820E0E"/>
    <w:rsid w:val="00820E9A"/>
    <w:rsid w:val="00821237"/>
    <w:rsid w:val="008216DA"/>
    <w:rsid w:val="008217C3"/>
    <w:rsid w:val="00821868"/>
    <w:rsid w:val="008219B8"/>
    <w:rsid w:val="00821ECA"/>
    <w:rsid w:val="00822414"/>
    <w:rsid w:val="00822A29"/>
    <w:rsid w:val="00822CB9"/>
    <w:rsid w:val="00822E2C"/>
    <w:rsid w:val="00822E2D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427"/>
    <w:rsid w:val="00826565"/>
    <w:rsid w:val="008266A2"/>
    <w:rsid w:val="008267AE"/>
    <w:rsid w:val="008277F4"/>
    <w:rsid w:val="00827A74"/>
    <w:rsid w:val="00830B33"/>
    <w:rsid w:val="0083118A"/>
    <w:rsid w:val="00831284"/>
    <w:rsid w:val="00831784"/>
    <w:rsid w:val="00832727"/>
    <w:rsid w:val="00833196"/>
    <w:rsid w:val="00833718"/>
    <w:rsid w:val="008337C1"/>
    <w:rsid w:val="00834838"/>
    <w:rsid w:val="00834F23"/>
    <w:rsid w:val="008353B6"/>
    <w:rsid w:val="00835B40"/>
    <w:rsid w:val="00836A67"/>
    <w:rsid w:val="00836CEB"/>
    <w:rsid w:val="00837498"/>
    <w:rsid w:val="00840AB4"/>
    <w:rsid w:val="00840EAF"/>
    <w:rsid w:val="008416BF"/>
    <w:rsid w:val="008416FD"/>
    <w:rsid w:val="0084188F"/>
    <w:rsid w:val="00842659"/>
    <w:rsid w:val="0084284A"/>
    <w:rsid w:val="0084293A"/>
    <w:rsid w:val="0084354C"/>
    <w:rsid w:val="0084375D"/>
    <w:rsid w:val="0084416F"/>
    <w:rsid w:val="00844462"/>
    <w:rsid w:val="008449FE"/>
    <w:rsid w:val="00845515"/>
    <w:rsid w:val="00845520"/>
    <w:rsid w:val="00845FC4"/>
    <w:rsid w:val="008461B0"/>
    <w:rsid w:val="008469E9"/>
    <w:rsid w:val="00846AD6"/>
    <w:rsid w:val="00846C9F"/>
    <w:rsid w:val="00846D16"/>
    <w:rsid w:val="00846F4C"/>
    <w:rsid w:val="008474BA"/>
    <w:rsid w:val="008475E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CEC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76F"/>
    <w:rsid w:val="008568BB"/>
    <w:rsid w:val="00856E96"/>
    <w:rsid w:val="00857822"/>
    <w:rsid w:val="00857C93"/>
    <w:rsid w:val="0086028E"/>
    <w:rsid w:val="0086076D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673"/>
    <w:rsid w:val="008638FB"/>
    <w:rsid w:val="00863D6F"/>
    <w:rsid w:val="00864017"/>
    <w:rsid w:val="0086444C"/>
    <w:rsid w:val="008644B1"/>
    <w:rsid w:val="008645DD"/>
    <w:rsid w:val="008646B9"/>
    <w:rsid w:val="00864768"/>
    <w:rsid w:val="00864CDF"/>
    <w:rsid w:val="008658AB"/>
    <w:rsid w:val="00865B18"/>
    <w:rsid w:val="0086672E"/>
    <w:rsid w:val="00866CF2"/>
    <w:rsid w:val="008675EC"/>
    <w:rsid w:val="008679CD"/>
    <w:rsid w:val="008679CE"/>
    <w:rsid w:val="00867DA7"/>
    <w:rsid w:val="008700A1"/>
    <w:rsid w:val="008705A8"/>
    <w:rsid w:val="00870828"/>
    <w:rsid w:val="00870A16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6C"/>
    <w:rsid w:val="00874178"/>
    <w:rsid w:val="00874272"/>
    <w:rsid w:val="008743DF"/>
    <w:rsid w:val="00874C66"/>
    <w:rsid w:val="00874F67"/>
    <w:rsid w:val="00875F4F"/>
    <w:rsid w:val="008762D8"/>
    <w:rsid w:val="00876DC6"/>
    <w:rsid w:val="008772D9"/>
    <w:rsid w:val="00877B29"/>
    <w:rsid w:val="008808B9"/>
    <w:rsid w:val="00880929"/>
    <w:rsid w:val="00880B30"/>
    <w:rsid w:val="00880F1D"/>
    <w:rsid w:val="0088172A"/>
    <w:rsid w:val="00881F90"/>
    <w:rsid w:val="0088360D"/>
    <w:rsid w:val="008838C9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EA"/>
    <w:rsid w:val="00890139"/>
    <w:rsid w:val="008903B5"/>
    <w:rsid w:val="0089040D"/>
    <w:rsid w:val="008910F8"/>
    <w:rsid w:val="0089160E"/>
    <w:rsid w:val="00891E5D"/>
    <w:rsid w:val="008921B1"/>
    <w:rsid w:val="00892687"/>
    <w:rsid w:val="008928B8"/>
    <w:rsid w:val="00892F47"/>
    <w:rsid w:val="00893386"/>
    <w:rsid w:val="0089363C"/>
    <w:rsid w:val="00893657"/>
    <w:rsid w:val="00893671"/>
    <w:rsid w:val="008940E3"/>
    <w:rsid w:val="008941FB"/>
    <w:rsid w:val="00894565"/>
    <w:rsid w:val="008950D6"/>
    <w:rsid w:val="0089558F"/>
    <w:rsid w:val="00895B46"/>
    <w:rsid w:val="00896474"/>
    <w:rsid w:val="008967B4"/>
    <w:rsid w:val="00896C41"/>
    <w:rsid w:val="00896DBC"/>
    <w:rsid w:val="00897B59"/>
    <w:rsid w:val="00897C6C"/>
    <w:rsid w:val="00897D1A"/>
    <w:rsid w:val="008A00F6"/>
    <w:rsid w:val="008A0905"/>
    <w:rsid w:val="008A0B02"/>
    <w:rsid w:val="008A0E0D"/>
    <w:rsid w:val="008A1558"/>
    <w:rsid w:val="008A155C"/>
    <w:rsid w:val="008A180E"/>
    <w:rsid w:val="008A197C"/>
    <w:rsid w:val="008A2545"/>
    <w:rsid w:val="008A2636"/>
    <w:rsid w:val="008A35DB"/>
    <w:rsid w:val="008A3AF9"/>
    <w:rsid w:val="008A3FBE"/>
    <w:rsid w:val="008A4013"/>
    <w:rsid w:val="008A48D7"/>
    <w:rsid w:val="008A4C9C"/>
    <w:rsid w:val="008A5B6C"/>
    <w:rsid w:val="008A5DBC"/>
    <w:rsid w:val="008A6041"/>
    <w:rsid w:val="008A60F8"/>
    <w:rsid w:val="008A69FE"/>
    <w:rsid w:val="008A6EC7"/>
    <w:rsid w:val="008A6F36"/>
    <w:rsid w:val="008A7286"/>
    <w:rsid w:val="008A7B50"/>
    <w:rsid w:val="008B052B"/>
    <w:rsid w:val="008B0641"/>
    <w:rsid w:val="008B0EB7"/>
    <w:rsid w:val="008B1237"/>
    <w:rsid w:val="008B138E"/>
    <w:rsid w:val="008B1C78"/>
    <w:rsid w:val="008B1F87"/>
    <w:rsid w:val="008B2646"/>
    <w:rsid w:val="008B28BD"/>
    <w:rsid w:val="008B2E96"/>
    <w:rsid w:val="008B2F53"/>
    <w:rsid w:val="008B3006"/>
    <w:rsid w:val="008B3139"/>
    <w:rsid w:val="008B3B50"/>
    <w:rsid w:val="008B3D47"/>
    <w:rsid w:val="008B3DEB"/>
    <w:rsid w:val="008B44CB"/>
    <w:rsid w:val="008B46D2"/>
    <w:rsid w:val="008B4B23"/>
    <w:rsid w:val="008B4EE6"/>
    <w:rsid w:val="008B5253"/>
    <w:rsid w:val="008B538C"/>
    <w:rsid w:val="008B53D8"/>
    <w:rsid w:val="008B62C5"/>
    <w:rsid w:val="008B63BE"/>
    <w:rsid w:val="008B640E"/>
    <w:rsid w:val="008B6505"/>
    <w:rsid w:val="008B688D"/>
    <w:rsid w:val="008B70EE"/>
    <w:rsid w:val="008B715C"/>
    <w:rsid w:val="008B75B8"/>
    <w:rsid w:val="008C0612"/>
    <w:rsid w:val="008C09F6"/>
    <w:rsid w:val="008C0EAD"/>
    <w:rsid w:val="008C1442"/>
    <w:rsid w:val="008C14C5"/>
    <w:rsid w:val="008C1693"/>
    <w:rsid w:val="008C19D9"/>
    <w:rsid w:val="008C1A5E"/>
    <w:rsid w:val="008C1A81"/>
    <w:rsid w:val="008C1DA5"/>
    <w:rsid w:val="008C29FE"/>
    <w:rsid w:val="008C32CA"/>
    <w:rsid w:val="008C3967"/>
    <w:rsid w:val="008C431E"/>
    <w:rsid w:val="008C4CA9"/>
    <w:rsid w:val="008C534D"/>
    <w:rsid w:val="008C54BD"/>
    <w:rsid w:val="008C54C4"/>
    <w:rsid w:val="008C58B5"/>
    <w:rsid w:val="008C5B5E"/>
    <w:rsid w:val="008C5D1F"/>
    <w:rsid w:val="008C5EDE"/>
    <w:rsid w:val="008C6056"/>
    <w:rsid w:val="008C6628"/>
    <w:rsid w:val="008C69C9"/>
    <w:rsid w:val="008C6E38"/>
    <w:rsid w:val="008C6F75"/>
    <w:rsid w:val="008C7C18"/>
    <w:rsid w:val="008C7CC4"/>
    <w:rsid w:val="008D047D"/>
    <w:rsid w:val="008D0B4C"/>
    <w:rsid w:val="008D0E0B"/>
    <w:rsid w:val="008D0FC3"/>
    <w:rsid w:val="008D14C4"/>
    <w:rsid w:val="008D1964"/>
    <w:rsid w:val="008D1F1C"/>
    <w:rsid w:val="008D221A"/>
    <w:rsid w:val="008D24D6"/>
    <w:rsid w:val="008D24E1"/>
    <w:rsid w:val="008D3E6A"/>
    <w:rsid w:val="008D4520"/>
    <w:rsid w:val="008D53E2"/>
    <w:rsid w:val="008D5908"/>
    <w:rsid w:val="008D5AF1"/>
    <w:rsid w:val="008D65CE"/>
    <w:rsid w:val="008D6A6E"/>
    <w:rsid w:val="008D7575"/>
    <w:rsid w:val="008D781F"/>
    <w:rsid w:val="008D7DBE"/>
    <w:rsid w:val="008E02B7"/>
    <w:rsid w:val="008E20BE"/>
    <w:rsid w:val="008E241B"/>
    <w:rsid w:val="008E264E"/>
    <w:rsid w:val="008E2B7E"/>
    <w:rsid w:val="008E3096"/>
    <w:rsid w:val="008E330C"/>
    <w:rsid w:val="008E332F"/>
    <w:rsid w:val="008E36A1"/>
    <w:rsid w:val="008E3E27"/>
    <w:rsid w:val="008E3F30"/>
    <w:rsid w:val="008E4114"/>
    <w:rsid w:val="008E45EA"/>
    <w:rsid w:val="008E4A1A"/>
    <w:rsid w:val="008E5E01"/>
    <w:rsid w:val="008E639D"/>
    <w:rsid w:val="008E69A3"/>
    <w:rsid w:val="008E7CC9"/>
    <w:rsid w:val="008F02A1"/>
    <w:rsid w:val="008F0E69"/>
    <w:rsid w:val="008F12FF"/>
    <w:rsid w:val="008F2E5D"/>
    <w:rsid w:val="008F33EA"/>
    <w:rsid w:val="008F3D3E"/>
    <w:rsid w:val="008F3F31"/>
    <w:rsid w:val="008F464C"/>
    <w:rsid w:val="008F4655"/>
    <w:rsid w:val="008F4779"/>
    <w:rsid w:val="008F542B"/>
    <w:rsid w:val="008F5645"/>
    <w:rsid w:val="008F5670"/>
    <w:rsid w:val="008F5924"/>
    <w:rsid w:val="008F599F"/>
    <w:rsid w:val="008F6004"/>
    <w:rsid w:val="008F63DF"/>
    <w:rsid w:val="008F64E5"/>
    <w:rsid w:val="008F677E"/>
    <w:rsid w:val="008F72B1"/>
    <w:rsid w:val="008F7382"/>
    <w:rsid w:val="008F7C28"/>
    <w:rsid w:val="00900222"/>
    <w:rsid w:val="009002A0"/>
    <w:rsid w:val="0090034D"/>
    <w:rsid w:val="009006EA"/>
    <w:rsid w:val="00900EC7"/>
    <w:rsid w:val="00900FFC"/>
    <w:rsid w:val="009011F9"/>
    <w:rsid w:val="00901244"/>
    <w:rsid w:val="00901366"/>
    <w:rsid w:val="00901979"/>
    <w:rsid w:val="00902357"/>
    <w:rsid w:val="0090242A"/>
    <w:rsid w:val="00902C85"/>
    <w:rsid w:val="009030F7"/>
    <w:rsid w:val="009034D9"/>
    <w:rsid w:val="00904659"/>
    <w:rsid w:val="009046C9"/>
    <w:rsid w:val="009046F1"/>
    <w:rsid w:val="00904883"/>
    <w:rsid w:val="00904B0A"/>
    <w:rsid w:val="00904F84"/>
    <w:rsid w:val="009055DD"/>
    <w:rsid w:val="00906168"/>
    <w:rsid w:val="0090616A"/>
    <w:rsid w:val="00906527"/>
    <w:rsid w:val="00906BD9"/>
    <w:rsid w:val="00906EA0"/>
    <w:rsid w:val="00907F4C"/>
    <w:rsid w:val="0091006A"/>
    <w:rsid w:val="00910B57"/>
    <w:rsid w:val="009113D5"/>
    <w:rsid w:val="009113DD"/>
    <w:rsid w:val="0091148A"/>
    <w:rsid w:val="009116EC"/>
    <w:rsid w:val="009118F9"/>
    <w:rsid w:val="00912347"/>
    <w:rsid w:val="0091268D"/>
    <w:rsid w:val="009129C1"/>
    <w:rsid w:val="00913378"/>
    <w:rsid w:val="00913B74"/>
    <w:rsid w:val="00913EBB"/>
    <w:rsid w:val="0091401E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DB8"/>
    <w:rsid w:val="00920C09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2B25"/>
    <w:rsid w:val="00922B53"/>
    <w:rsid w:val="00922C7E"/>
    <w:rsid w:val="00924A6C"/>
    <w:rsid w:val="00924ED4"/>
    <w:rsid w:val="00924F63"/>
    <w:rsid w:val="00925C41"/>
    <w:rsid w:val="0092623B"/>
    <w:rsid w:val="00926C7F"/>
    <w:rsid w:val="009271AB"/>
    <w:rsid w:val="00927281"/>
    <w:rsid w:val="009273B8"/>
    <w:rsid w:val="00927A20"/>
    <w:rsid w:val="00930298"/>
    <w:rsid w:val="009302A6"/>
    <w:rsid w:val="00931325"/>
    <w:rsid w:val="009315F7"/>
    <w:rsid w:val="009319DC"/>
    <w:rsid w:val="00931AAD"/>
    <w:rsid w:val="00931E6D"/>
    <w:rsid w:val="00932D04"/>
    <w:rsid w:val="00932E9E"/>
    <w:rsid w:val="00933B8A"/>
    <w:rsid w:val="00934141"/>
    <w:rsid w:val="009341AA"/>
    <w:rsid w:val="0093429A"/>
    <w:rsid w:val="0093485F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6E7B"/>
    <w:rsid w:val="0093724D"/>
    <w:rsid w:val="009377A1"/>
    <w:rsid w:val="00940850"/>
    <w:rsid w:val="00940B1D"/>
    <w:rsid w:val="0094243B"/>
    <w:rsid w:val="009425EB"/>
    <w:rsid w:val="00942673"/>
    <w:rsid w:val="009428A4"/>
    <w:rsid w:val="00942B71"/>
    <w:rsid w:val="00943157"/>
    <w:rsid w:val="0094368C"/>
    <w:rsid w:val="00943893"/>
    <w:rsid w:val="00944312"/>
    <w:rsid w:val="009443DC"/>
    <w:rsid w:val="0094459E"/>
    <w:rsid w:val="00944AE2"/>
    <w:rsid w:val="0094526B"/>
    <w:rsid w:val="009456EB"/>
    <w:rsid w:val="00945E7E"/>
    <w:rsid w:val="00945E8F"/>
    <w:rsid w:val="009463FD"/>
    <w:rsid w:val="009467FD"/>
    <w:rsid w:val="00946B75"/>
    <w:rsid w:val="00946D2E"/>
    <w:rsid w:val="00946E64"/>
    <w:rsid w:val="009472F6"/>
    <w:rsid w:val="0094758C"/>
    <w:rsid w:val="0094783F"/>
    <w:rsid w:val="00947C82"/>
    <w:rsid w:val="00950B18"/>
    <w:rsid w:val="00950C55"/>
    <w:rsid w:val="00950CB3"/>
    <w:rsid w:val="00952224"/>
    <w:rsid w:val="0095267E"/>
    <w:rsid w:val="00952EBB"/>
    <w:rsid w:val="00952F24"/>
    <w:rsid w:val="00953211"/>
    <w:rsid w:val="009533B7"/>
    <w:rsid w:val="0095370E"/>
    <w:rsid w:val="00953B5D"/>
    <w:rsid w:val="00953D3D"/>
    <w:rsid w:val="00953F68"/>
    <w:rsid w:val="009543D8"/>
    <w:rsid w:val="009545D6"/>
    <w:rsid w:val="00954F67"/>
    <w:rsid w:val="00955294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29F"/>
    <w:rsid w:val="009615D7"/>
    <w:rsid w:val="009620CC"/>
    <w:rsid w:val="0096212C"/>
    <w:rsid w:val="00962D17"/>
    <w:rsid w:val="00963947"/>
    <w:rsid w:val="00963A13"/>
    <w:rsid w:val="00963D17"/>
    <w:rsid w:val="00963D45"/>
    <w:rsid w:val="009640B5"/>
    <w:rsid w:val="00964459"/>
    <w:rsid w:val="009657BA"/>
    <w:rsid w:val="009657D5"/>
    <w:rsid w:val="00965F9F"/>
    <w:rsid w:val="00965FB2"/>
    <w:rsid w:val="00966141"/>
    <w:rsid w:val="00966179"/>
    <w:rsid w:val="009662EC"/>
    <w:rsid w:val="009665DE"/>
    <w:rsid w:val="00966611"/>
    <w:rsid w:val="009669CC"/>
    <w:rsid w:val="00967655"/>
    <w:rsid w:val="009678F5"/>
    <w:rsid w:val="00970F12"/>
    <w:rsid w:val="009710BF"/>
    <w:rsid w:val="009711A5"/>
    <w:rsid w:val="00971874"/>
    <w:rsid w:val="00971B65"/>
    <w:rsid w:val="00971F83"/>
    <w:rsid w:val="00972061"/>
    <w:rsid w:val="0097245C"/>
    <w:rsid w:val="009725FE"/>
    <w:rsid w:val="0097282B"/>
    <w:rsid w:val="00972BE5"/>
    <w:rsid w:val="00972DAC"/>
    <w:rsid w:val="009730AD"/>
    <w:rsid w:val="009738A3"/>
    <w:rsid w:val="00973A35"/>
    <w:rsid w:val="009740EA"/>
    <w:rsid w:val="00974690"/>
    <w:rsid w:val="00974A1E"/>
    <w:rsid w:val="00974B8A"/>
    <w:rsid w:val="00974B9A"/>
    <w:rsid w:val="0097559A"/>
    <w:rsid w:val="0097577F"/>
    <w:rsid w:val="00975D48"/>
    <w:rsid w:val="00975E49"/>
    <w:rsid w:val="00976546"/>
    <w:rsid w:val="00976CB4"/>
    <w:rsid w:val="00976FCF"/>
    <w:rsid w:val="00977202"/>
    <w:rsid w:val="00977480"/>
    <w:rsid w:val="00977AEA"/>
    <w:rsid w:val="009808CF"/>
    <w:rsid w:val="00980AD0"/>
    <w:rsid w:val="00980BAC"/>
    <w:rsid w:val="00980DF0"/>
    <w:rsid w:val="00980F3F"/>
    <w:rsid w:val="00981289"/>
    <w:rsid w:val="00981D1C"/>
    <w:rsid w:val="00982214"/>
    <w:rsid w:val="009823D4"/>
    <w:rsid w:val="00982474"/>
    <w:rsid w:val="00982628"/>
    <w:rsid w:val="00983285"/>
    <w:rsid w:val="00983FBC"/>
    <w:rsid w:val="00984672"/>
    <w:rsid w:val="00984F97"/>
    <w:rsid w:val="0098569D"/>
    <w:rsid w:val="00985A09"/>
    <w:rsid w:val="00985C2E"/>
    <w:rsid w:val="00986277"/>
    <w:rsid w:val="009866A3"/>
    <w:rsid w:val="0098693D"/>
    <w:rsid w:val="009873C1"/>
    <w:rsid w:val="00987ECB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9AF"/>
    <w:rsid w:val="00993ED8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B68"/>
    <w:rsid w:val="00995C16"/>
    <w:rsid w:val="00995C24"/>
    <w:rsid w:val="0099625A"/>
    <w:rsid w:val="009965BC"/>
    <w:rsid w:val="0099662E"/>
    <w:rsid w:val="00997258"/>
    <w:rsid w:val="009972CB"/>
    <w:rsid w:val="00997C19"/>
    <w:rsid w:val="009A0415"/>
    <w:rsid w:val="009A04CD"/>
    <w:rsid w:val="009A177E"/>
    <w:rsid w:val="009A1AE9"/>
    <w:rsid w:val="009A1D07"/>
    <w:rsid w:val="009A22E6"/>
    <w:rsid w:val="009A2486"/>
    <w:rsid w:val="009A2690"/>
    <w:rsid w:val="009A2EC0"/>
    <w:rsid w:val="009A3307"/>
    <w:rsid w:val="009A3520"/>
    <w:rsid w:val="009A3547"/>
    <w:rsid w:val="009A395E"/>
    <w:rsid w:val="009A39FF"/>
    <w:rsid w:val="009A3CB5"/>
    <w:rsid w:val="009A3EAF"/>
    <w:rsid w:val="009A3F33"/>
    <w:rsid w:val="009A5501"/>
    <w:rsid w:val="009A5AE0"/>
    <w:rsid w:val="009A6621"/>
    <w:rsid w:val="009A6AEA"/>
    <w:rsid w:val="009A6CC5"/>
    <w:rsid w:val="009A7150"/>
    <w:rsid w:val="009A7661"/>
    <w:rsid w:val="009A7BC4"/>
    <w:rsid w:val="009B057D"/>
    <w:rsid w:val="009B05C1"/>
    <w:rsid w:val="009B08B3"/>
    <w:rsid w:val="009B0EA9"/>
    <w:rsid w:val="009B1F3A"/>
    <w:rsid w:val="009B2766"/>
    <w:rsid w:val="009B290B"/>
    <w:rsid w:val="009B32F0"/>
    <w:rsid w:val="009B3DE0"/>
    <w:rsid w:val="009B3EB4"/>
    <w:rsid w:val="009B3F21"/>
    <w:rsid w:val="009B42BE"/>
    <w:rsid w:val="009B543C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90A"/>
    <w:rsid w:val="009C0CF8"/>
    <w:rsid w:val="009C125A"/>
    <w:rsid w:val="009C1D57"/>
    <w:rsid w:val="009C1EB2"/>
    <w:rsid w:val="009C2675"/>
    <w:rsid w:val="009C2839"/>
    <w:rsid w:val="009C2DC4"/>
    <w:rsid w:val="009C3042"/>
    <w:rsid w:val="009C386A"/>
    <w:rsid w:val="009C3B12"/>
    <w:rsid w:val="009C3E9C"/>
    <w:rsid w:val="009C4A32"/>
    <w:rsid w:val="009C4C9A"/>
    <w:rsid w:val="009C5A10"/>
    <w:rsid w:val="009C63AB"/>
    <w:rsid w:val="009C69D0"/>
    <w:rsid w:val="009C69F4"/>
    <w:rsid w:val="009C6D92"/>
    <w:rsid w:val="009C7163"/>
    <w:rsid w:val="009C76AC"/>
    <w:rsid w:val="009C77A3"/>
    <w:rsid w:val="009C7DB8"/>
    <w:rsid w:val="009D1082"/>
    <w:rsid w:val="009D1C00"/>
    <w:rsid w:val="009D1D1E"/>
    <w:rsid w:val="009D20AC"/>
    <w:rsid w:val="009D20C9"/>
    <w:rsid w:val="009D21C8"/>
    <w:rsid w:val="009D26D8"/>
    <w:rsid w:val="009D30F9"/>
    <w:rsid w:val="009D3192"/>
    <w:rsid w:val="009D31C0"/>
    <w:rsid w:val="009D321F"/>
    <w:rsid w:val="009D322C"/>
    <w:rsid w:val="009D334F"/>
    <w:rsid w:val="009D347E"/>
    <w:rsid w:val="009D34BA"/>
    <w:rsid w:val="009D372A"/>
    <w:rsid w:val="009D3A26"/>
    <w:rsid w:val="009D3BAC"/>
    <w:rsid w:val="009D3EDD"/>
    <w:rsid w:val="009D48BA"/>
    <w:rsid w:val="009D4B7E"/>
    <w:rsid w:val="009D4C7B"/>
    <w:rsid w:val="009D4D48"/>
    <w:rsid w:val="009D4DC6"/>
    <w:rsid w:val="009D5106"/>
    <w:rsid w:val="009D5570"/>
    <w:rsid w:val="009D58F9"/>
    <w:rsid w:val="009D66B9"/>
    <w:rsid w:val="009D6B77"/>
    <w:rsid w:val="009D6CE1"/>
    <w:rsid w:val="009D7BC8"/>
    <w:rsid w:val="009E14B2"/>
    <w:rsid w:val="009E1D15"/>
    <w:rsid w:val="009E1DFA"/>
    <w:rsid w:val="009E23ED"/>
    <w:rsid w:val="009E26BC"/>
    <w:rsid w:val="009E2BC4"/>
    <w:rsid w:val="009E2FC7"/>
    <w:rsid w:val="009E322C"/>
    <w:rsid w:val="009E3352"/>
    <w:rsid w:val="009E3479"/>
    <w:rsid w:val="009E387D"/>
    <w:rsid w:val="009E453D"/>
    <w:rsid w:val="009E5013"/>
    <w:rsid w:val="009E56B0"/>
    <w:rsid w:val="009E5917"/>
    <w:rsid w:val="009E5CF7"/>
    <w:rsid w:val="009E6223"/>
    <w:rsid w:val="009E66C7"/>
    <w:rsid w:val="009E725F"/>
    <w:rsid w:val="009E79CF"/>
    <w:rsid w:val="009E7F2E"/>
    <w:rsid w:val="009F009C"/>
    <w:rsid w:val="009F0345"/>
    <w:rsid w:val="009F04F2"/>
    <w:rsid w:val="009F0A8F"/>
    <w:rsid w:val="009F231C"/>
    <w:rsid w:val="009F237D"/>
    <w:rsid w:val="009F2512"/>
    <w:rsid w:val="009F2C7D"/>
    <w:rsid w:val="009F311F"/>
    <w:rsid w:val="009F32AF"/>
    <w:rsid w:val="009F344F"/>
    <w:rsid w:val="009F40CE"/>
    <w:rsid w:val="009F4CDA"/>
    <w:rsid w:val="009F4D89"/>
    <w:rsid w:val="009F59BF"/>
    <w:rsid w:val="009F59D1"/>
    <w:rsid w:val="009F5F68"/>
    <w:rsid w:val="009F6905"/>
    <w:rsid w:val="009F776E"/>
    <w:rsid w:val="00A00F42"/>
    <w:rsid w:val="00A01519"/>
    <w:rsid w:val="00A0195A"/>
    <w:rsid w:val="00A02D3C"/>
    <w:rsid w:val="00A032EA"/>
    <w:rsid w:val="00A0408F"/>
    <w:rsid w:val="00A04868"/>
    <w:rsid w:val="00A04E68"/>
    <w:rsid w:val="00A05975"/>
    <w:rsid w:val="00A05EAA"/>
    <w:rsid w:val="00A0608D"/>
    <w:rsid w:val="00A060BE"/>
    <w:rsid w:val="00A0695E"/>
    <w:rsid w:val="00A06BEF"/>
    <w:rsid w:val="00A074BD"/>
    <w:rsid w:val="00A07D26"/>
    <w:rsid w:val="00A101B6"/>
    <w:rsid w:val="00A1036E"/>
    <w:rsid w:val="00A103D7"/>
    <w:rsid w:val="00A104A1"/>
    <w:rsid w:val="00A10D80"/>
    <w:rsid w:val="00A10FC7"/>
    <w:rsid w:val="00A11671"/>
    <w:rsid w:val="00A1187C"/>
    <w:rsid w:val="00A12CCC"/>
    <w:rsid w:val="00A12D1A"/>
    <w:rsid w:val="00A12E07"/>
    <w:rsid w:val="00A12F3D"/>
    <w:rsid w:val="00A1361B"/>
    <w:rsid w:val="00A13A4E"/>
    <w:rsid w:val="00A15566"/>
    <w:rsid w:val="00A1572D"/>
    <w:rsid w:val="00A15B2D"/>
    <w:rsid w:val="00A163CD"/>
    <w:rsid w:val="00A16778"/>
    <w:rsid w:val="00A16B57"/>
    <w:rsid w:val="00A20224"/>
    <w:rsid w:val="00A20D0C"/>
    <w:rsid w:val="00A21424"/>
    <w:rsid w:val="00A21997"/>
    <w:rsid w:val="00A22095"/>
    <w:rsid w:val="00A22110"/>
    <w:rsid w:val="00A2246F"/>
    <w:rsid w:val="00A229B7"/>
    <w:rsid w:val="00A23A98"/>
    <w:rsid w:val="00A24217"/>
    <w:rsid w:val="00A244E9"/>
    <w:rsid w:val="00A24622"/>
    <w:rsid w:val="00A246A3"/>
    <w:rsid w:val="00A259A8"/>
    <w:rsid w:val="00A25ABB"/>
    <w:rsid w:val="00A25E39"/>
    <w:rsid w:val="00A2626B"/>
    <w:rsid w:val="00A267CF"/>
    <w:rsid w:val="00A267F3"/>
    <w:rsid w:val="00A26827"/>
    <w:rsid w:val="00A26D47"/>
    <w:rsid w:val="00A26DA7"/>
    <w:rsid w:val="00A26F41"/>
    <w:rsid w:val="00A26F88"/>
    <w:rsid w:val="00A275D1"/>
    <w:rsid w:val="00A276B9"/>
    <w:rsid w:val="00A27B57"/>
    <w:rsid w:val="00A30B8E"/>
    <w:rsid w:val="00A313B3"/>
    <w:rsid w:val="00A31CFD"/>
    <w:rsid w:val="00A31D00"/>
    <w:rsid w:val="00A32051"/>
    <w:rsid w:val="00A32AE0"/>
    <w:rsid w:val="00A32B77"/>
    <w:rsid w:val="00A32BB4"/>
    <w:rsid w:val="00A32D36"/>
    <w:rsid w:val="00A3306E"/>
    <w:rsid w:val="00A33CCF"/>
    <w:rsid w:val="00A3404D"/>
    <w:rsid w:val="00A35D65"/>
    <w:rsid w:val="00A35FDD"/>
    <w:rsid w:val="00A36CF6"/>
    <w:rsid w:val="00A36EC5"/>
    <w:rsid w:val="00A374F3"/>
    <w:rsid w:val="00A3759D"/>
    <w:rsid w:val="00A37EDA"/>
    <w:rsid w:val="00A4035D"/>
    <w:rsid w:val="00A413A3"/>
    <w:rsid w:val="00A415C5"/>
    <w:rsid w:val="00A41C2D"/>
    <w:rsid w:val="00A43159"/>
    <w:rsid w:val="00A43270"/>
    <w:rsid w:val="00A45043"/>
    <w:rsid w:val="00A45355"/>
    <w:rsid w:val="00A4539E"/>
    <w:rsid w:val="00A45BE3"/>
    <w:rsid w:val="00A46080"/>
    <w:rsid w:val="00A461CB"/>
    <w:rsid w:val="00A4636B"/>
    <w:rsid w:val="00A46BA0"/>
    <w:rsid w:val="00A46C6C"/>
    <w:rsid w:val="00A46EB1"/>
    <w:rsid w:val="00A475E7"/>
    <w:rsid w:val="00A47A54"/>
    <w:rsid w:val="00A47C59"/>
    <w:rsid w:val="00A50405"/>
    <w:rsid w:val="00A50FEC"/>
    <w:rsid w:val="00A519F0"/>
    <w:rsid w:val="00A51FC3"/>
    <w:rsid w:val="00A522BF"/>
    <w:rsid w:val="00A532FC"/>
    <w:rsid w:val="00A53624"/>
    <w:rsid w:val="00A54676"/>
    <w:rsid w:val="00A5492C"/>
    <w:rsid w:val="00A54F72"/>
    <w:rsid w:val="00A553B0"/>
    <w:rsid w:val="00A565B6"/>
    <w:rsid w:val="00A567E2"/>
    <w:rsid w:val="00A56806"/>
    <w:rsid w:val="00A57F15"/>
    <w:rsid w:val="00A60066"/>
    <w:rsid w:val="00A60179"/>
    <w:rsid w:val="00A616D3"/>
    <w:rsid w:val="00A61782"/>
    <w:rsid w:val="00A61B4F"/>
    <w:rsid w:val="00A61FDA"/>
    <w:rsid w:val="00A63850"/>
    <w:rsid w:val="00A64787"/>
    <w:rsid w:val="00A648E9"/>
    <w:rsid w:val="00A64EE6"/>
    <w:rsid w:val="00A6654A"/>
    <w:rsid w:val="00A665D6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6E7"/>
    <w:rsid w:val="00A71E23"/>
    <w:rsid w:val="00A71FD1"/>
    <w:rsid w:val="00A720C2"/>
    <w:rsid w:val="00A7248F"/>
    <w:rsid w:val="00A72733"/>
    <w:rsid w:val="00A72958"/>
    <w:rsid w:val="00A72BC8"/>
    <w:rsid w:val="00A72C04"/>
    <w:rsid w:val="00A72C44"/>
    <w:rsid w:val="00A72FE2"/>
    <w:rsid w:val="00A73341"/>
    <w:rsid w:val="00A73BD3"/>
    <w:rsid w:val="00A748ED"/>
    <w:rsid w:val="00A75386"/>
    <w:rsid w:val="00A755BE"/>
    <w:rsid w:val="00A7593A"/>
    <w:rsid w:val="00A7597F"/>
    <w:rsid w:val="00A75D3F"/>
    <w:rsid w:val="00A7611F"/>
    <w:rsid w:val="00A768C8"/>
    <w:rsid w:val="00A76C21"/>
    <w:rsid w:val="00A77727"/>
    <w:rsid w:val="00A80AF3"/>
    <w:rsid w:val="00A8226A"/>
    <w:rsid w:val="00A82384"/>
    <w:rsid w:val="00A82501"/>
    <w:rsid w:val="00A82941"/>
    <w:rsid w:val="00A83139"/>
    <w:rsid w:val="00A834D6"/>
    <w:rsid w:val="00A83DBC"/>
    <w:rsid w:val="00A84746"/>
    <w:rsid w:val="00A847AE"/>
    <w:rsid w:val="00A84D2C"/>
    <w:rsid w:val="00A84D90"/>
    <w:rsid w:val="00A85084"/>
    <w:rsid w:val="00A855FE"/>
    <w:rsid w:val="00A85836"/>
    <w:rsid w:val="00A85DCE"/>
    <w:rsid w:val="00A85E79"/>
    <w:rsid w:val="00A85F29"/>
    <w:rsid w:val="00A8613B"/>
    <w:rsid w:val="00A86203"/>
    <w:rsid w:val="00A86D62"/>
    <w:rsid w:val="00A87073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6C"/>
    <w:rsid w:val="00A93738"/>
    <w:rsid w:val="00A94084"/>
    <w:rsid w:val="00A9446E"/>
    <w:rsid w:val="00A96852"/>
    <w:rsid w:val="00A96C21"/>
    <w:rsid w:val="00A97034"/>
    <w:rsid w:val="00A9791D"/>
    <w:rsid w:val="00A97B2E"/>
    <w:rsid w:val="00A97BF7"/>
    <w:rsid w:val="00A97D4A"/>
    <w:rsid w:val="00A97DB8"/>
    <w:rsid w:val="00AA0209"/>
    <w:rsid w:val="00AA03A6"/>
    <w:rsid w:val="00AA04C5"/>
    <w:rsid w:val="00AA1011"/>
    <w:rsid w:val="00AA1128"/>
    <w:rsid w:val="00AA1A7C"/>
    <w:rsid w:val="00AA1ADA"/>
    <w:rsid w:val="00AA1D1C"/>
    <w:rsid w:val="00AA20B3"/>
    <w:rsid w:val="00AA2115"/>
    <w:rsid w:val="00AA2A7D"/>
    <w:rsid w:val="00AA2A95"/>
    <w:rsid w:val="00AA2E63"/>
    <w:rsid w:val="00AA2E95"/>
    <w:rsid w:val="00AA2ECC"/>
    <w:rsid w:val="00AA38B3"/>
    <w:rsid w:val="00AA3A3E"/>
    <w:rsid w:val="00AA3B94"/>
    <w:rsid w:val="00AA3C4A"/>
    <w:rsid w:val="00AA3C94"/>
    <w:rsid w:val="00AA41D4"/>
    <w:rsid w:val="00AA4203"/>
    <w:rsid w:val="00AA4775"/>
    <w:rsid w:val="00AA488F"/>
    <w:rsid w:val="00AA5515"/>
    <w:rsid w:val="00AA561A"/>
    <w:rsid w:val="00AA567F"/>
    <w:rsid w:val="00AA583C"/>
    <w:rsid w:val="00AA59E9"/>
    <w:rsid w:val="00AA65CF"/>
    <w:rsid w:val="00AA6A88"/>
    <w:rsid w:val="00AA73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E7A"/>
    <w:rsid w:val="00AB212D"/>
    <w:rsid w:val="00AB27C5"/>
    <w:rsid w:val="00AB32C1"/>
    <w:rsid w:val="00AB3552"/>
    <w:rsid w:val="00AB38B2"/>
    <w:rsid w:val="00AB49C3"/>
    <w:rsid w:val="00AB55F8"/>
    <w:rsid w:val="00AB5964"/>
    <w:rsid w:val="00AB5DF2"/>
    <w:rsid w:val="00AB6164"/>
    <w:rsid w:val="00AB6C4D"/>
    <w:rsid w:val="00AB6E00"/>
    <w:rsid w:val="00AB7866"/>
    <w:rsid w:val="00AC10F4"/>
    <w:rsid w:val="00AC1D3B"/>
    <w:rsid w:val="00AC1E67"/>
    <w:rsid w:val="00AC226A"/>
    <w:rsid w:val="00AC246C"/>
    <w:rsid w:val="00AC2FB2"/>
    <w:rsid w:val="00AC32FB"/>
    <w:rsid w:val="00AC35C3"/>
    <w:rsid w:val="00AC383B"/>
    <w:rsid w:val="00AC3ADE"/>
    <w:rsid w:val="00AC3BEF"/>
    <w:rsid w:val="00AC3F58"/>
    <w:rsid w:val="00AC40DA"/>
    <w:rsid w:val="00AC4C92"/>
    <w:rsid w:val="00AC4E28"/>
    <w:rsid w:val="00AC4E71"/>
    <w:rsid w:val="00AC4F7E"/>
    <w:rsid w:val="00AC5700"/>
    <w:rsid w:val="00AC5A64"/>
    <w:rsid w:val="00AC7042"/>
    <w:rsid w:val="00AC752F"/>
    <w:rsid w:val="00AC766D"/>
    <w:rsid w:val="00AC7B8D"/>
    <w:rsid w:val="00AC7E49"/>
    <w:rsid w:val="00AD099F"/>
    <w:rsid w:val="00AD1C10"/>
    <w:rsid w:val="00AD2E7B"/>
    <w:rsid w:val="00AD2F8F"/>
    <w:rsid w:val="00AD3685"/>
    <w:rsid w:val="00AD3F4F"/>
    <w:rsid w:val="00AD403C"/>
    <w:rsid w:val="00AD4153"/>
    <w:rsid w:val="00AD44D5"/>
    <w:rsid w:val="00AD4838"/>
    <w:rsid w:val="00AD4A48"/>
    <w:rsid w:val="00AD4AE1"/>
    <w:rsid w:val="00AD4BF2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BC1"/>
    <w:rsid w:val="00AE0413"/>
    <w:rsid w:val="00AE05BF"/>
    <w:rsid w:val="00AE0929"/>
    <w:rsid w:val="00AE0D8D"/>
    <w:rsid w:val="00AE131D"/>
    <w:rsid w:val="00AE23C8"/>
    <w:rsid w:val="00AE265A"/>
    <w:rsid w:val="00AE308D"/>
    <w:rsid w:val="00AE36D1"/>
    <w:rsid w:val="00AE3DDB"/>
    <w:rsid w:val="00AE4A64"/>
    <w:rsid w:val="00AE5771"/>
    <w:rsid w:val="00AE59FC"/>
    <w:rsid w:val="00AE63A1"/>
    <w:rsid w:val="00AE63B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5C1"/>
    <w:rsid w:val="00AF23D9"/>
    <w:rsid w:val="00AF27A3"/>
    <w:rsid w:val="00AF290E"/>
    <w:rsid w:val="00AF29FA"/>
    <w:rsid w:val="00AF2A99"/>
    <w:rsid w:val="00AF3074"/>
    <w:rsid w:val="00AF37D5"/>
    <w:rsid w:val="00AF381B"/>
    <w:rsid w:val="00AF3F63"/>
    <w:rsid w:val="00AF4345"/>
    <w:rsid w:val="00AF463B"/>
    <w:rsid w:val="00AF4CC5"/>
    <w:rsid w:val="00AF5319"/>
    <w:rsid w:val="00AF608B"/>
    <w:rsid w:val="00AF671C"/>
    <w:rsid w:val="00AF6A59"/>
    <w:rsid w:val="00AF70A9"/>
    <w:rsid w:val="00AF7450"/>
    <w:rsid w:val="00AF7BDD"/>
    <w:rsid w:val="00AF7EE1"/>
    <w:rsid w:val="00B00396"/>
    <w:rsid w:val="00B004A3"/>
    <w:rsid w:val="00B00F8C"/>
    <w:rsid w:val="00B00FEC"/>
    <w:rsid w:val="00B0196F"/>
    <w:rsid w:val="00B02145"/>
    <w:rsid w:val="00B02A64"/>
    <w:rsid w:val="00B02C78"/>
    <w:rsid w:val="00B02F0C"/>
    <w:rsid w:val="00B03776"/>
    <w:rsid w:val="00B03AFB"/>
    <w:rsid w:val="00B03BFF"/>
    <w:rsid w:val="00B03ED8"/>
    <w:rsid w:val="00B0401D"/>
    <w:rsid w:val="00B042D2"/>
    <w:rsid w:val="00B04C48"/>
    <w:rsid w:val="00B04E8D"/>
    <w:rsid w:val="00B04F50"/>
    <w:rsid w:val="00B052DE"/>
    <w:rsid w:val="00B0542F"/>
    <w:rsid w:val="00B05531"/>
    <w:rsid w:val="00B05A05"/>
    <w:rsid w:val="00B05ACD"/>
    <w:rsid w:val="00B06495"/>
    <w:rsid w:val="00B064F1"/>
    <w:rsid w:val="00B06DA3"/>
    <w:rsid w:val="00B07372"/>
    <w:rsid w:val="00B10464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2E19"/>
    <w:rsid w:val="00B131C4"/>
    <w:rsid w:val="00B13204"/>
    <w:rsid w:val="00B13D2B"/>
    <w:rsid w:val="00B13F2E"/>
    <w:rsid w:val="00B14011"/>
    <w:rsid w:val="00B14793"/>
    <w:rsid w:val="00B15075"/>
    <w:rsid w:val="00B152B9"/>
    <w:rsid w:val="00B15774"/>
    <w:rsid w:val="00B15975"/>
    <w:rsid w:val="00B15DB9"/>
    <w:rsid w:val="00B1780E"/>
    <w:rsid w:val="00B17B26"/>
    <w:rsid w:val="00B17FB5"/>
    <w:rsid w:val="00B200D3"/>
    <w:rsid w:val="00B2060E"/>
    <w:rsid w:val="00B20DCF"/>
    <w:rsid w:val="00B20F8A"/>
    <w:rsid w:val="00B215EB"/>
    <w:rsid w:val="00B22522"/>
    <w:rsid w:val="00B2288A"/>
    <w:rsid w:val="00B231B0"/>
    <w:rsid w:val="00B23365"/>
    <w:rsid w:val="00B24D66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A3A"/>
    <w:rsid w:val="00B31293"/>
    <w:rsid w:val="00B31602"/>
    <w:rsid w:val="00B318FE"/>
    <w:rsid w:val="00B319FE"/>
    <w:rsid w:val="00B3232C"/>
    <w:rsid w:val="00B32508"/>
    <w:rsid w:val="00B331B8"/>
    <w:rsid w:val="00B33786"/>
    <w:rsid w:val="00B337A4"/>
    <w:rsid w:val="00B34725"/>
    <w:rsid w:val="00B34C3A"/>
    <w:rsid w:val="00B355F0"/>
    <w:rsid w:val="00B35656"/>
    <w:rsid w:val="00B3578C"/>
    <w:rsid w:val="00B36B9B"/>
    <w:rsid w:val="00B36D9E"/>
    <w:rsid w:val="00B36FC2"/>
    <w:rsid w:val="00B37311"/>
    <w:rsid w:val="00B373FB"/>
    <w:rsid w:val="00B37975"/>
    <w:rsid w:val="00B4106F"/>
    <w:rsid w:val="00B418AC"/>
    <w:rsid w:val="00B41BE7"/>
    <w:rsid w:val="00B424F7"/>
    <w:rsid w:val="00B42530"/>
    <w:rsid w:val="00B42568"/>
    <w:rsid w:val="00B428C5"/>
    <w:rsid w:val="00B4316E"/>
    <w:rsid w:val="00B4339F"/>
    <w:rsid w:val="00B4381B"/>
    <w:rsid w:val="00B4383C"/>
    <w:rsid w:val="00B4403D"/>
    <w:rsid w:val="00B4411A"/>
    <w:rsid w:val="00B4471B"/>
    <w:rsid w:val="00B45847"/>
    <w:rsid w:val="00B460A1"/>
    <w:rsid w:val="00B46275"/>
    <w:rsid w:val="00B464C7"/>
    <w:rsid w:val="00B4658A"/>
    <w:rsid w:val="00B4733F"/>
    <w:rsid w:val="00B4758E"/>
    <w:rsid w:val="00B47CBB"/>
    <w:rsid w:val="00B47F36"/>
    <w:rsid w:val="00B5076A"/>
    <w:rsid w:val="00B5083E"/>
    <w:rsid w:val="00B50ADB"/>
    <w:rsid w:val="00B50B1E"/>
    <w:rsid w:val="00B51604"/>
    <w:rsid w:val="00B51F64"/>
    <w:rsid w:val="00B52315"/>
    <w:rsid w:val="00B53B4E"/>
    <w:rsid w:val="00B53C5F"/>
    <w:rsid w:val="00B54BD8"/>
    <w:rsid w:val="00B5596C"/>
    <w:rsid w:val="00B5620F"/>
    <w:rsid w:val="00B569B2"/>
    <w:rsid w:val="00B56FBD"/>
    <w:rsid w:val="00B5715A"/>
    <w:rsid w:val="00B57327"/>
    <w:rsid w:val="00B57B33"/>
    <w:rsid w:val="00B6002D"/>
    <w:rsid w:val="00B6010B"/>
    <w:rsid w:val="00B61262"/>
    <w:rsid w:val="00B6210A"/>
    <w:rsid w:val="00B6220A"/>
    <w:rsid w:val="00B6264B"/>
    <w:rsid w:val="00B629F3"/>
    <w:rsid w:val="00B640CF"/>
    <w:rsid w:val="00B65828"/>
    <w:rsid w:val="00B65D7C"/>
    <w:rsid w:val="00B65E01"/>
    <w:rsid w:val="00B66141"/>
    <w:rsid w:val="00B6620C"/>
    <w:rsid w:val="00B662EB"/>
    <w:rsid w:val="00B665BB"/>
    <w:rsid w:val="00B66800"/>
    <w:rsid w:val="00B668CA"/>
    <w:rsid w:val="00B66AB0"/>
    <w:rsid w:val="00B677D7"/>
    <w:rsid w:val="00B67CD5"/>
    <w:rsid w:val="00B701CC"/>
    <w:rsid w:val="00B7095E"/>
    <w:rsid w:val="00B70C27"/>
    <w:rsid w:val="00B70ED8"/>
    <w:rsid w:val="00B70F84"/>
    <w:rsid w:val="00B710E0"/>
    <w:rsid w:val="00B713C9"/>
    <w:rsid w:val="00B7162D"/>
    <w:rsid w:val="00B71E56"/>
    <w:rsid w:val="00B72281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5E7"/>
    <w:rsid w:val="00B7591C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732"/>
    <w:rsid w:val="00B840BB"/>
    <w:rsid w:val="00B84C9F"/>
    <w:rsid w:val="00B8515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7AC"/>
    <w:rsid w:val="00B91F77"/>
    <w:rsid w:val="00B9257B"/>
    <w:rsid w:val="00B926AC"/>
    <w:rsid w:val="00B929DC"/>
    <w:rsid w:val="00B92E6B"/>
    <w:rsid w:val="00B93043"/>
    <w:rsid w:val="00B93075"/>
    <w:rsid w:val="00B93431"/>
    <w:rsid w:val="00B93500"/>
    <w:rsid w:val="00B93D97"/>
    <w:rsid w:val="00B94392"/>
    <w:rsid w:val="00B95200"/>
    <w:rsid w:val="00B955F5"/>
    <w:rsid w:val="00B95663"/>
    <w:rsid w:val="00B95806"/>
    <w:rsid w:val="00B95A36"/>
    <w:rsid w:val="00B95CCC"/>
    <w:rsid w:val="00B95F44"/>
    <w:rsid w:val="00B96D3C"/>
    <w:rsid w:val="00B97577"/>
    <w:rsid w:val="00B9781E"/>
    <w:rsid w:val="00B97A1F"/>
    <w:rsid w:val="00B97CCD"/>
    <w:rsid w:val="00BA0FE9"/>
    <w:rsid w:val="00BA139F"/>
    <w:rsid w:val="00BA1A0B"/>
    <w:rsid w:val="00BA1E85"/>
    <w:rsid w:val="00BA359B"/>
    <w:rsid w:val="00BA3A93"/>
    <w:rsid w:val="00BA4D05"/>
    <w:rsid w:val="00BA5165"/>
    <w:rsid w:val="00BA5599"/>
    <w:rsid w:val="00BA5A40"/>
    <w:rsid w:val="00BA5FD5"/>
    <w:rsid w:val="00BA62AB"/>
    <w:rsid w:val="00BA77BD"/>
    <w:rsid w:val="00BA7C17"/>
    <w:rsid w:val="00BA7E0B"/>
    <w:rsid w:val="00BB0DE3"/>
    <w:rsid w:val="00BB0E14"/>
    <w:rsid w:val="00BB0EA0"/>
    <w:rsid w:val="00BB0ED7"/>
    <w:rsid w:val="00BB10CD"/>
    <w:rsid w:val="00BB10F0"/>
    <w:rsid w:val="00BB122E"/>
    <w:rsid w:val="00BB1994"/>
    <w:rsid w:val="00BB25BB"/>
    <w:rsid w:val="00BB3BBC"/>
    <w:rsid w:val="00BB4A1B"/>
    <w:rsid w:val="00BB4A6F"/>
    <w:rsid w:val="00BB52B4"/>
    <w:rsid w:val="00BB56B1"/>
    <w:rsid w:val="00BB5759"/>
    <w:rsid w:val="00BB5A30"/>
    <w:rsid w:val="00BB5B98"/>
    <w:rsid w:val="00BB6B2F"/>
    <w:rsid w:val="00BB6B8B"/>
    <w:rsid w:val="00BB7BAC"/>
    <w:rsid w:val="00BC08D8"/>
    <w:rsid w:val="00BC08FC"/>
    <w:rsid w:val="00BC18E0"/>
    <w:rsid w:val="00BC202D"/>
    <w:rsid w:val="00BC213B"/>
    <w:rsid w:val="00BC2964"/>
    <w:rsid w:val="00BC3112"/>
    <w:rsid w:val="00BC3776"/>
    <w:rsid w:val="00BC3D8E"/>
    <w:rsid w:val="00BC3E7F"/>
    <w:rsid w:val="00BC41B5"/>
    <w:rsid w:val="00BC4734"/>
    <w:rsid w:val="00BC4C63"/>
    <w:rsid w:val="00BC54D1"/>
    <w:rsid w:val="00BC6308"/>
    <w:rsid w:val="00BC63FE"/>
    <w:rsid w:val="00BC640E"/>
    <w:rsid w:val="00BC666D"/>
    <w:rsid w:val="00BC67A4"/>
    <w:rsid w:val="00BC6B4D"/>
    <w:rsid w:val="00BC6C4F"/>
    <w:rsid w:val="00BC6E28"/>
    <w:rsid w:val="00BC76AA"/>
    <w:rsid w:val="00BD1290"/>
    <w:rsid w:val="00BD1CFB"/>
    <w:rsid w:val="00BD2B8F"/>
    <w:rsid w:val="00BD35B9"/>
    <w:rsid w:val="00BD36EC"/>
    <w:rsid w:val="00BD46B9"/>
    <w:rsid w:val="00BD4A52"/>
    <w:rsid w:val="00BD51CA"/>
    <w:rsid w:val="00BD5CD2"/>
    <w:rsid w:val="00BD60A9"/>
    <w:rsid w:val="00BD623B"/>
    <w:rsid w:val="00BD6385"/>
    <w:rsid w:val="00BD6B64"/>
    <w:rsid w:val="00BD719F"/>
    <w:rsid w:val="00BD77DE"/>
    <w:rsid w:val="00BD79C2"/>
    <w:rsid w:val="00BE1F2E"/>
    <w:rsid w:val="00BE1FA7"/>
    <w:rsid w:val="00BE2AD7"/>
    <w:rsid w:val="00BE2BAA"/>
    <w:rsid w:val="00BE4F8D"/>
    <w:rsid w:val="00BE57A9"/>
    <w:rsid w:val="00BE586F"/>
    <w:rsid w:val="00BE590A"/>
    <w:rsid w:val="00BE6E44"/>
    <w:rsid w:val="00BE716B"/>
    <w:rsid w:val="00BE770F"/>
    <w:rsid w:val="00BE778C"/>
    <w:rsid w:val="00BE7C4F"/>
    <w:rsid w:val="00BE7F74"/>
    <w:rsid w:val="00BF01D4"/>
    <w:rsid w:val="00BF0597"/>
    <w:rsid w:val="00BF1F70"/>
    <w:rsid w:val="00BF20FB"/>
    <w:rsid w:val="00BF2576"/>
    <w:rsid w:val="00BF2997"/>
    <w:rsid w:val="00BF3FAC"/>
    <w:rsid w:val="00BF47C5"/>
    <w:rsid w:val="00BF4C22"/>
    <w:rsid w:val="00BF4CD1"/>
    <w:rsid w:val="00BF4DD7"/>
    <w:rsid w:val="00BF51E4"/>
    <w:rsid w:val="00BF5ACF"/>
    <w:rsid w:val="00BF6043"/>
    <w:rsid w:val="00BF725E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E25"/>
    <w:rsid w:val="00C03041"/>
    <w:rsid w:val="00C03815"/>
    <w:rsid w:val="00C041F4"/>
    <w:rsid w:val="00C04C59"/>
    <w:rsid w:val="00C05004"/>
    <w:rsid w:val="00C0524E"/>
    <w:rsid w:val="00C05428"/>
    <w:rsid w:val="00C058A3"/>
    <w:rsid w:val="00C05E05"/>
    <w:rsid w:val="00C060B4"/>
    <w:rsid w:val="00C0711F"/>
    <w:rsid w:val="00C077E1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130"/>
    <w:rsid w:val="00C142EA"/>
    <w:rsid w:val="00C14741"/>
    <w:rsid w:val="00C14AD2"/>
    <w:rsid w:val="00C14CA5"/>
    <w:rsid w:val="00C153CA"/>
    <w:rsid w:val="00C15BE1"/>
    <w:rsid w:val="00C160D9"/>
    <w:rsid w:val="00C16B32"/>
    <w:rsid w:val="00C16FF1"/>
    <w:rsid w:val="00C17089"/>
    <w:rsid w:val="00C1715B"/>
    <w:rsid w:val="00C1750F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924"/>
    <w:rsid w:val="00C23BBD"/>
    <w:rsid w:val="00C2455C"/>
    <w:rsid w:val="00C24638"/>
    <w:rsid w:val="00C25FB1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570"/>
    <w:rsid w:val="00C32C1E"/>
    <w:rsid w:val="00C32D53"/>
    <w:rsid w:val="00C32F69"/>
    <w:rsid w:val="00C3312E"/>
    <w:rsid w:val="00C33CD5"/>
    <w:rsid w:val="00C340CF"/>
    <w:rsid w:val="00C34101"/>
    <w:rsid w:val="00C344ED"/>
    <w:rsid w:val="00C348FE"/>
    <w:rsid w:val="00C34FBC"/>
    <w:rsid w:val="00C35087"/>
    <w:rsid w:val="00C3523B"/>
    <w:rsid w:val="00C35947"/>
    <w:rsid w:val="00C36FFE"/>
    <w:rsid w:val="00C3795B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45E"/>
    <w:rsid w:val="00C44846"/>
    <w:rsid w:val="00C45A51"/>
    <w:rsid w:val="00C469E3"/>
    <w:rsid w:val="00C47155"/>
    <w:rsid w:val="00C47987"/>
    <w:rsid w:val="00C47CD2"/>
    <w:rsid w:val="00C47D56"/>
    <w:rsid w:val="00C510DE"/>
    <w:rsid w:val="00C513B4"/>
    <w:rsid w:val="00C536E4"/>
    <w:rsid w:val="00C538AE"/>
    <w:rsid w:val="00C53B4A"/>
    <w:rsid w:val="00C53C32"/>
    <w:rsid w:val="00C53E7A"/>
    <w:rsid w:val="00C54492"/>
    <w:rsid w:val="00C544B6"/>
    <w:rsid w:val="00C54601"/>
    <w:rsid w:val="00C54E26"/>
    <w:rsid w:val="00C555EB"/>
    <w:rsid w:val="00C557C0"/>
    <w:rsid w:val="00C55BC9"/>
    <w:rsid w:val="00C56733"/>
    <w:rsid w:val="00C56A84"/>
    <w:rsid w:val="00C575E8"/>
    <w:rsid w:val="00C5777E"/>
    <w:rsid w:val="00C57913"/>
    <w:rsid w:val="00C57EB0"/>
    <w:rsid w:val="00C60984"/>
    <w:rsid w:val="00C60E33"/>
    <w:rsid w:val="00C6111A"/>
    <w:rsid w:val="00C61801"/>
    <w:rsid w:val="00C618DF"/>
    <w:rsid w:val="00C62EEA"/>
    <w:rsid w:val="00C63268"/>
    <w:rsid w:val="00C63E97"/>
    <w:rsid w:val="00C6455A"/>
    <w:rsid w:val="00C64813"/>
    <w:rsid w:val="00C65030"/>
    <w:rsid w:val="00C652A1"/>
    <w:rsid w:val="00C655E4"/>
    <w:rsid w:val="00C65738"/>
    <w:rsid w:val="00C6590A"/>
    <w:rsid w:val="00C65FFB"/>
    <w:rsid w:val="00C6610D"/>
    <w:rsid w:val="00C66663"/>
    <w:rsid w:val="00C66850"/>
    <w:rsid w:val="00C668D8"/>
    <w:rsid w:val="00C66AB6"/>
    <w:rsid w:val="00C66BCD"/>
    <w:rsid w:val="00C66E74"/>
    <w:rsid w:val="00C67029"/>
    <w:rsid w:val="00C670D6"/>
    <w:rsid w:val="00C702C6"/>
    <w:rsid w:val="00C70B38"/>
    <w:rsid w:val="00C70B43"/>
    <w:rsid w:val="00C71616"/>
    <w:rsid w:val="00C71A56"/>
    <w:rsid w:val="00C729D1"/>
    <w:rsid w:val="00C730CC"/>
    <w:rsid w:val="00C74A66"/>
    <w:rsid w:val="00C7532A"/>
    <w:rsid w:val="00C753D4"/>
    <w:rsid w:val="00C75721"/>
    <w:rsid w:val="00C760A6"/>
    <w:rsid w:val="00C762B7"/>
    <w:rsid w:val="00C76464"/>
    <w:rsid w:val="00C76825"/>
    <w:rsid w:val="00C77C4B"/>
    <w:rsid w:val="00C77D50"/>
    <w:rsid w:val="00C805F6"/>
    <w:rsid w:val="00C80DC6"/>
    <w:rsid w:val="00C815E4"/>
    <w:rsid w:val="00C81CFF"/>
    <w:rsid w:val="00C8290C"/>
    <w:rsid w:val="00C82C7A"/>
    <w:rsid w:val="00C833BA"/>
    <w:rsid w:val="00C83C2C"/>
    <w:rsid w:val="00C8415F"/>
    <w:rsid w:val="00C841FE"/>
    <w:rsid w:val="00C847A9"/>
    <w:rsid w:val="00C8512B"/>
    <w:rsid w:val="00C858C8"/>
    <w:rsid w:val="00C85976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388D"/>
    <w:rsid w:val="00C93D17"/>
    <w:rsid w:val="00C94EF3"/>
    <w:rsid w:val="00C952A9"/>
    <w:rsid w:val="00C9534F"/>
    <w:rsid w:val="00C95E98"/>
    <w:rsid w:val="00C95F67"/>
    <w:rsid w:val="00C961C0"/>
    <w:rsid w:val="00C965E4"/>
    <w:rsid w:val="00C9739A"/>
    <w:rsid w:val="00C97860"/>
    <w:rsid w:val="00CA13BF"/>
    <w:rsid w:val="00CA13F7"/>
    <w:rsid w:val="00CA1463"/>
    <w:rsid w:val="00CA14DE"/>
    <w:rsid w:val="00CA1DC9"/>
    <w:rsid w:val="00CA2057"/>
    <w:rsid w:val="00CA22F1"/>
    <w:rsid w:val="00CA2A57"/>
    <w:rsid w:val="00CA2C4B"/>
    <w:rsid w:val="00CA30A9"/>
    <w:rsid w:val="00CA35EC"/>
    <w:rsid w:val="00CA376C"/>
    <w:rsid w:val="00CA3D36"/>
    <w:rsid w:val="00CA3EC4"/>
    <w:rsid w:val="00CA4249"/>
    <w:rsid w:val="00CA4991"/>
    <w:rsid w:val="00CA4A1E"/>
    <w:rsid w:val="00CA4EF3"/>
    <w:rsid w:val="00CA575F"/>
    <w:rsid w:val="00CA6F7C"/>
    <w:rsid w:val="00CA6F8A"/>
    <w:rsid w:val="00CA75F4"/>
    <w:rsid w:val="00CA7D1B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BF"/>
    <w:rsid w:val="00CB4DA4"/>
    <w:rsid w:val="00CB557A"/>
    <w:rsid w:val="00CB6108"/>
    <w:rsid w:val="00CB644A"/>
    <w:rsid w:val="00CB702B"/>
    <w:rsid w:val="00CB7071"/>
    <w:rsid w:val="00CB74F0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08"/>
    <w:rsid w:val="00CC21F9"/>
    <w:rsid w:val="00CC2B9C"/>
    <w:rsid w:val="00CC326E"/>
    <w:rsid w:val="00CC38EE"/>
    <w:rsid w:val="00CC566D"/>
    <w:rsid w:val="00CC6405"/>
    <w:rsid w:val="00CC6AA6"/>
    <w:rsid w:val="00CC6ACF"/>
    <w:rsid w:val="00CC722F"/>
    <w:rsid w:val="00CC726E"/>
    <w:rsid w:val="00CC7476"/>
    <w:rsid w:val="00CC75EE"/>
    <w:rsid w:val="00CC7785"/>
    <w:rsid w:val="00CD087C"/>
    <w:rsid w:val="00CD0BAE"/>
    <w:rsid w:val="00CD1017"/>
    <w:rsid w:val="00CD129C"/>
    <w:rsid w:val="00CD12BA"/>
    <w:rsid w:val="00CD181E"/>
    <w:rsid w:val="00CD2C45"/>
    <w:rsid w:val="00CD387C"/>
    <w:rsid w:val="00CD474C"/>
    <w:rsid w:val="00CD49B6"/>
    <w:rsid w:val="00CD52E8"/>
    <w:rsid w:val="00CD5589"/>
    <w:rsid w:val="00CD5CCC"/>
    <w:rsid w:val="00CD6B16"/>
    <w:rsid w:val="00CD6B5E"/>
    <w:rsid w:val="00CD7422"/>
    <w:rsid w:val="00CD76B9"/>
    <w:rsid w:val="00CD7E7A"/>
    <w:rsid w:val="00CE01D8"/>
    <w:rsid w:val="00CE0950"/>
    <w:rsid w:val="00CE0FC5"/>
    <w:rsid w:val="00CE11D8"/>
    <w:rsid w:val="00CE1648"/>
    <w:rsid w:val="00CE1A90"/>
    <w:rsid w:val="00CE1B83"/>
    <w:rsid w:val="00CE1C5C"/>
    <w:rsid w:val="00CE1CA9"/>
    <w:rsid w:val="00CE1D26"/>
    <w:rsid w:val="00CE1E07"/>
    <w:rsid w:val="00CE2567"/>
    <w:rsid w:val="00CE2A65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C5C"/>
    <w:rsid w:val="00CE72F6"/>
    <w:rsid w:val="00CE7FE3"/>
    <w:rsid w:val="00CE7FF2"/>
    <w:rsid w:val="00CF0E5A"/>
    <w:rsid w:val="00CF0E8B"/>
    <w:rsid w:val="00CF1090"/>
    <w:rsid w:val="00CF12DA"/>
    <w:rsid w:val="00CF1AB9"/>
    <w:rsid w:val="00CF1B03"/>
    <w:rsid w:val="00CF1B1E"/>
    <w:rsid w:val="00CF1DEE"/>
    <w:rsid w:val="00CF1E58"/>
    <w:rsid w:val="00CF1F79"/>
    <w:rsid w:val="00CF2B1C"/>
    <w:rsid w:val="00CF2B8E"/>
    <w:rsid w:val="00CF35B6"/>
    <w:rsid w:val="00CF39B2"/>
    <w:rsid w:val="00CF3E3D"/>
    <w:rsid w:val="00CF3F86"/>
    <w:rsid w:val="00CF4060"/>
    <w:rsid w:val="00CF52EB"/>
    <w:rsid w:val="00CF585D"/>
    <w:rsid w:val="00CF5CA8"/>
    <w:rsid w:val="00CF72BD"/>
    <w:rsid w:val="00CF767E"/>
    <w:rsid w:val="00CF7873"/>
    <w:rsid w:val="00CF78C0"/>
    <w:rsid w:val="00D015A8"/>
    <w:rsid w:val="00D024F9"/>
    <w:rsid w:val="00D027F9"/>
    <w:rsid w:val="00D032AA"/>
    <w:rsid w:val="00D03A3E"/>
    <w:rsid w:val="00D03A5B"/>
    <w:rsid w:val="00D03B1A"/>
    <w:rsid w:val="00D03E97"/>
    <w:rsid w:val="00D040BB"/>
    <w:rsid w:val="00D056E9"/>
    <w:rsid w:val="00D05CB6"/>
    <w:rsid w:val="00D05CF8"/>
    <w:rsid w:val="00D06325"/>
    <w:rsid w:val="00D07684"/>
    <w:rsid w:val="00D076A6"/>
    <w:rsid w:val="00D07F59"/>
    <w:rsid w:val="00D103FF"/>
    <w:rsid w:val="00D104B2"/>
    <w:rsid w:val="00D10986"/>
    <w:rsid w:val="00D111BC"/>
    <w:rsid w:val="00D115FC"/>
    <w:rsid w:val="00D11BB2"/>
    <w:rsid w:val="00D12C8B"/>
    <w:rsid w:val="00D12F1F"/>
    <w:rsid w:val="00D13207"/>
    <w:rsid w:val="00D13358"/>
    <w:rsid w:val="00D1342C"/>
    <w:rsid w:val="00D13809"/>
    <w:rsid w:val="00D13AE6"/>
    <w:rsid w:val="00D142FA"/>
    <w:rsid w:val="00D14873"/>
    <w:rsid w:val="00D14C06"/>
    <w:rsid w:val="00D14DAF"/>
    <w:rsid w:val="00D14E77"/>
    <w:rsid w:val="00D1564A"/>
    <w:rsid w:val="00D156E5"/>
    <w:rsid w:val="00D15AF0"/>
    <w:rsid w:val="00D16024"/>
    <w:rsid w:val="00D16747"/>
    <w:rsid w:val="00D16BA9"/>
    <w:rsid w:val="00D175C7"/>
    <w:rsid w:val="00D17E09"/>
    <w:rsid w:val="00D20886"/>
    <w:rsid w:val="00D209C5"/>
    <w:rsid w:val="00D20F34"/>
    <w:rsid w:val="00D2187E"/>
    <w:rsid w:val="00D2211E"/>
    <w:rsid w:val="00D22E00"/>
    <w:rsid w:val="00D23712"/>
    <w:rsid w:val="00D251E6"/>
    <w:rsid w:val="00D259B0"/>
    <w:rsid w:val="00D25F4C"/>
    <w:rsid w:val="00D26097"/>
    <w:rsid w:val="00D261C5"/>
    <w:rsid w:val="00D26391"/>
    <w:rsid w:val="00D2651B"/>
    <w:rsid w:val="00D2699D"/>
    <w:rsid w:val="00D2710F"/>
    <w:rsid w:val="00D27747"/>
    <w:rsid w:val="00D27BF7"/>
    <w:rsid w:val="00D30729"/>
    <w:rsid w:val="00D30EAF"/>
    <w:rsid w:val="00D314F6"/>
    <w:rsid w:val="00D31A4F"/>
    <w:rsid w:val="00D31D6C"/>
    <w:rsid w:val="00D31D99"/>
    <w:rsid w:val="00D32083"/>
    <w:rsid w:val="00D32B3C"/>
    <w:rsid w:val="00D32CDD"/>
    <w:rsid w:val="00D32E0D"/>
    <w:rsid w:val="00D3314E"/>
    <w:rsid w:val="00D3326D"/>
    <w:rsid w:val="00D33977"/>
    <w:rsid w:val="00D34097"/>
    <w:rsid w:val="00D34374"/>
    <w:rsid w:val="00D34AAD"/>
    <w:rsid w:val="00D3544C"/>
    <w:rsid w:val="00D3591C"/>
    <w:rsid w:val="00D35B70"/>
    <w:rsid w:val="00D3719F"/>
    <w:rsid w:val="00D371C8"/>
    <w:rsid w:val="00D37742"/>
    <w:rsid w:val="00D4061B"/>
    <w:rsid w:val="00D406D5"/>
    <w:rsid w:val="00D40F25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40F"/>
    <w:rsid w:val="00D46DBF"/>
    <w:rsid w:val="00D46F26"/>
    <w:rsid w:val="00D472FC"/>
    <w:rsid w:val="00D47591"/>
    <w:rsid w:val="00D47982"/>
    <w:rsid w:val="00D5022C"/>
    <w:rsid w:val="00D50F4A"/>
    <w:rsid w:val="00D51089"/>
    <w:rsid w:val="00D512E6"/>
    <w:rsid w:val="00D52173"/>
    <w:rsid w:val="00D5228C"/>
    <w:rsid w:val="00D52743"/>
    <w:rsid w:val="00D52E06"/>
    <w:rsid w:val="00D53650"/>
    <w:rsid w:val="00D543D2"/>
    <w:rsid w:val="00D5459F"/>
    <w:rsid w:val="00D54859"/>
    <w:rsid w:val="00D553C7"/>
    <w:rsid w:val="00D5648F"/>
    <w:rsid w:val="00D5651D"/>
    <w:rsid w:val="00D566C2"/>
    <w:rsid w:val="00D56981"/>
    <w:rsid w:val="00D57B21"/>
    <w:rsid w:val="00D57B9A"/>
    <w:rsid w:val="00D60190"/>
    <w:rsid w:val="00D602D3"/>
    <w:rsid w:val="00D6059E"/>
    <w:rsid w:val="00D605A5"/>
    <w:rsid w:val="00D606A0"/>
    <w:rsid w:val="00D607F6"/>
    <w:rsid w:val="00D60A2F"/>
    <w:rsid w:val="00D60DAB"/>
    <w:rsid w:val="00D61A8A"/>
    <w:rsid w:val="00D62369"/>
    <w:rsid w:val="00D623AA"/>
    <w:rsid w:val="00D62591"/>
    <w:rsid w:val="00D62A24"/>
    <w:rsid w:val="00D62FAC"/>
    <w:rsid w:val="00D635B0"/>
    <w:rsid w:val="00D636F2"/>
    <w:rsid w:val="00D637A9"/>
    <w:rsid w:val="00D63BE1"/>
    <w:rsid w:val="00D65280"/>
    <w:rsid w:val="00D65847"/>
    <w:rsid w:val="00D6616F"/>
    <w:rsid w:val="00D664F1"/>
    <w:rsid w:val="00D6699B"/>
    <w:rsid w:val="00D7009E"/>
    <w:rsid w:val="00D70B3B"/>
    <w:rsid w:val="00D70C63"/>
    <w:rsid w:val="00D710C5"/>
    <w:rsid w:val="00D7132D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EC5"/>
    <w:rsid w:val="00D74660"/>
    <w:rsid w:val="00D74797"/>
    <w:rsid w:val="00D74968"/>
    <w:rsid w:val="00D749D2"/>
    <w:rsid w:val="00D74D9B"/>
    <w:rsid w:val="00D750A2"/>
    <w:rsid w:val="00D75650"/>
    <w:rsid w:val="00D756E8"/>
    <w:rsid w:val="00D75E97"/>
    <w:rsid w:val="00D8000D"/>
    <w:rsid w:val="00D801EB"/>
    <w:rsid w:val="00D805CD"/>
    <w:rsid w:val="00D80747"/>
    <w:rsid w:val="00D8099F"/>
    <w:rsid w:val="00D809FF"/>
    <w:rsid w:val="00D80E48"/>
    <w:rsid w:val="00D810F2"/>
    <w:rsid w:val="00D81285"/>
    <w:rsid w:val="00D81B9A"/>
    <w:rsid w:val="00D822C6"/>
    <w:rsid w:val="00D824C0"/>
    <w:rsid w:val="00D82890"/>
    <w:rsid w:val="00D843D6"/>
    <w:rsid w:val="00D85237"/>
    <w:rsid w:val="00D85475"/>
    <w:rsid w:val="00D85487"/>
    <w:rsid w:val="00D8550C"/>
    <w:rsid w:val="00D85A2F"/>
    <w:rsid w:val="00D86605"/>
    <w:rsid w:val="00D86C22"/>
    <w:rsid w:val="00D87433"/>
    <w:rsid w:val="00D8797F"/>
    <w:rsid w:val="00D87BDC"/>
    <w:rsid w:val="00D9006D"/>
    <w:rsid w:val="00D90406"/>
    <w:rsid w:val="00D9096B"/>
    <w:rsid w:val="00D90D1C"/>
    <w:rsid w:val="00D90D5C"/>
    <w:rsid w:val="00D90ED4"/>
    <w:rsid w:val="00D90F6A"/>
    <w:rsid w:val="00D90FF0"/>
    <w:rsid w:val="00D91838"/>
    <w:rsid w:val="00D920E8"/>
    <w:rsid w:val="00D92722"/>
    <w:rsid w:val="00D92BF2"/>
    <w:rsid w:val="00D93016"/>
    <w:rsid w:val="00D93295"/>
    <w:rsid w:val="00D9335B"/>
    <w:rsid w:val="00D93DAF"/>
    <w:rsid w:val="00D941AE"/>
    <w:rsid w:val="00D94E5E"/>
    <w:rsid w:val="00D94F2C"/>
    <w:rsid w:val="00D9542A"/>
    <w:rsid w:val="00D957CF"/>
    <w:rsid w:val="00D95CC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AD4"/>
    <w:rsid w:val="00DA1DA8"/>
    <w:rsid w:val="00DA22C1"/>
    <w:rsid w:val="00DA24B0"/>
    <w:rsid w:val="00DA2582"/>
    <w:rsid w:val="00DA2694"/>
    <w:rsid w:val="00DA3B5E"/>
    <w:rsid w:val="00DA3CF1"/>
    <w:rsid w:val="00DA449A"/>
    <w:rsid w:val="00DA4B0E"/>
    <w:rsid w:val="00DA50E4"/>
    <w:rsid w:val="00DA590B"/>
    <w:rsid w:val="00DA5BEB"/>
    <w:rsid w:val="00DA6BFD"/>
    <w:rsid w:val="00DA6D82"/>
    <w:rsid w:val="00DA7423"/>
    <w:rsid w:val="00DA7645"/>
    <w:rsid w:val="00DA7E15"/>
    <w:rsid w:val="00DA7FC8"/>
    <w:rsid w:val="00DB0044"/>
    <w:rsid w:val="00DB0284"/>
    <w:rsid w:val="00DB02FF"/>
    <w:rsid w:val="00DB10BD"/>
    <w:rsid w:val="00DB1379"/>
    <w:rsid w:val="00DB1433"/>
    <w:rsid w:val="00DB197C"/>
    <w:rsid w:val="00DB1AAF"/>
    <w:rsid w:val="00DB1DB6"/>
    <w:rsid w:val="00DB252C"/>
    <w:rsid w:val="00DB26B5"/>
    <w:rsid w:val="00DB273A"/>
    <w:rsid w:val="00DB3AA0"/>
    <w:rsid w:val="00DB3C49"/>
    <w:rsid w:val="00DB41B9"/>
    <w:rsid w:val="00DB42C2"/>
    <w:rsid w:val="00DB444B"/>
    <w:rsid w:val="00DB4628"/>
    <w:rsid w:val="00DB4714"/>
    <w:rsid w:val="00DB4788"/>
    <w:rsid w:val="00DB4A48"/>
    <w:rsid w:val="00DB4B85"/>
    <w:rsid w:val="00DB4D04"/>
    <w:rsid w:val="00DB510A"/>
    <w:rsid w:val="00DB5178"/>
    <w:rsid w:val="00DB5386"/>
    <w:rsid w:val="00DB5ABE"/>
    <w:rsid w:val="00DB6292"/>
    <w:rsid w:val="00DB640A"/>
    <w:rsid w:val="00DB67E7"/>
    <w:rsid w:val="00DB68BB"/>
    <w:rsid w:val="00DB7F10"/>
    <w:rsid w:val="00DC1524"/>
    <w:rsid w:val="00DC1889"/>
    <w:rsid w:val="00DC1CA3"/>
    <w:rsid w:val="00DC2332"/>
    <w:rsid w:val="00DC2A33"/>
    <w:rsid w:val="00DC3214"/>
    <w:rsid w:val="00DC3579"/>
    <w:rsid w:val="00DC3CC2"/>
    <w:rsid w:val="00DC3E0F"/>
    <w:rsid w:val="00DC43AE"/>
    <w:rsid w:val="00DC466F"/>
    <w:rsid w:val="00DC4841"/>
    <w:rsid w:val="00DC4B77"/>
    <w:rsid w:val="00DC4F97"/>
    <w:rsid w:val="00DC51EE"/>
    <w:rsid w:val="00DC5533"/>
    <w:rsid w:val="00DC5770"/>
    <w:rsid w:val="00DC59D7"/>
    <w:rsid w:val="00DC63D7"/>
    <w:rsid w:val="00DC65CE"/>
    <w:rsid w:val="00DC6E13"/>
    <w:rsid w:val="00DC6E1B"/>
    <w:rsid w:val="00DC7EBE"/>
    <w:rsid w:val="00DC7FD5"/>
    <w:rsid w:val="00DD0020"/>
    <w:rsid w:val="00DD12EF"/>
    <w:rsid w:val="00DD158F"/>
    <w:rsid w:val="00DD16FB"/>
    <w:rsid w:val="00DD235A"/>
    <w:rsid w:val="00DD2381"/>
    <w:rsid w:val="00DD2B1D"/>
    <w:rsid w:val="00DD302D"/>
    <w:rsid w:val="00DD3821"/>
    <w:rsid w:val="00DD3882"/>
    <w:rsid w:val="00DD391B"/>
    <w:rsid w:val="00DD45D3"/>
    <w:rsid w:val="00DD48F3"/>
    <w:rsid w:val="00DD4E0C"/>
    <w:rsid w:val="00DD52C9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104"/>
    <w:rsid w:val="00DE463C"/>
    <w:rsid w:val="00DE47DF"/>
    <w:rsid w:val="00DE4D21"/>
    <w:rsid w:val="00DE556C"/>
    <w:rsid w:val="00DE5EA6"/>
    <w:rsid w:val="00DE5F41"/>
    <w:rsid w:val="00DE61FB"/>
    <w:rsid w:val="00DE6B6A"/>
    <w:rsid w:val="00DE730F"/>
    <w:rsid w:val="00DE731D"/>
    <w:rsid w:val="00DE7A1D"/>
    <w:rsid w:val="00DF0A8D"/>
    <w:rsid w:val="00DF0E97"/>
    <w:rsid w:val="00DF11F0"/>
    <w:rsid w:val="00DF12A4"/>
    <w:rsid w:val="00DF1956"/>
    <w:rsid w:val="00DF1A7B"/>
    <w:rsid w:val="00DF1AD2"/>
    <w:rsid w:val="00DF1C90"/>
    <w:rsid w:val="00DF1D62"/>
    <w:rsid w:val="00DF2170"/>
    <w:rsid w:val="00DF2FC2"/>
    <w:rsid w:val="00DF3D62"/>
    <w:rsid w:val="00DF572E"/>
    <w:rsid w:val="00DF5743"/>
    <w:rsid w:val="00DF596A"/>
    <w:rsid w:val="00DF5A6D"/>
    <w:rsid w:val="00DF64C6"/>
    <w:rsid w:val="00DF64F0"/>
    <w:rsid w:val="00DF65C0"/>
    <w:rsid w:val="00DF6DA6"/>
    <w:rsid w:val="00DF708D"/>
    <w:rsid w:val="00DF7EB8"/>
    <w:rsid w:val="00E0031E"/>
    <w:rsid w:val="00E00FD5"/>
    <w:rsid w:val="00E01956"/>
    <w:rsid w:val="00E01CF2"/>
    <w:rsid w:val="00E02047"/>
    <w:rsid w:val="00E023E5"/>
    <w:rsid w:val="00E02837"/>
    <w:rsid w:val="00E04347"/>
    <w:rsid w:val="00E0443C"/>
    <w:rsid w:val="00E04B4F"/>
    <w:rsid w:val="00E066E8"/>
    <w:rsid w:val="00E06FD6"/>
    <w:rsid w:val="00E074C1"/>
    <w:rsid w:val="00E07B79"/>
    <w:rsid w:val="00E07CDC"/>
    <w:rsid w:val="00E1006A"/>
    <w:rsid w:val="00E105B9"/>
    <w:rsid w:val="00E1079E"/>
    <w:rsid w:val="00E10F6A"/>
    <w:rsid w:val="00E1101B"/>
    <w:rsid w:val="00E112FA"/>
    <w:rsid w:val="00E12298"/>
    <w:rsid w:val="00E12CED"/>
    <w:rsid w:val="00E13191"/>
    <w:rsid w:val="00E13D2C"/>
    <w:rsid w:val="00E13D90"/>
    <w:rsid w:val="00E13EE3"/>
    <w:rsid w:val="00E148CD"/>
    <w:rsid w:val="00E14E22"/>
    <w:rsid w:val="00E14FF5"/>
    <w:rsid w:val="00E15713"/>
    <w:rsid w:val="00E16580"/>
    <w:rsid w:val="00E16682"/>
    <w:rsid w:val="00E1678A"/>
    <w:rsid w:val="00E17549"/>
    <w:rsid w:val="00E17751"/>
    <w:rsid w:val="00E17BAE"/>
    <w:rsid w:val="00E17E85"/>
    <w:rsid w:val="00E17E99"/>
    <w:rsid w:val="00E2002A"/>
    <w:rsid w:val="00E2055A"/>
    <w:rsid w:val="00E21C45"/>
    <w:rsid w:val="00E21F2D"/>
    <w:rsid w:val="00E22A26"/>
    <w:rsid w:val="00E22C7F"/>
    <w:rsid w:val="00E22DD9"/>
    <w:rsid w:val="00E2336E"/>
    <w:rsid w:val="00E23655"/>
    <w:rsid w:val="00E23AB9"/>
    <w:rsid w:val="00E23AC4"/>
    <w:rsid w:val="00E23ED2"/>
    <w:rsid w:val="00E247EE"/>
    <w:rsid w:val="00E24EF0"/>
    <w:rsid w:val="00E256F7"/>
    <w:rsid w:val="00E25995"/>
    <w:rsid w:val="00E25D57"/>
    <w:rsid w:val="00E26257"/>
    <w:rsid w:val="00E264AD"/>
    <w:rsid w:val="00E27074"/>
    <w:rsid w:val="00E27E1C"/>
    <w:rsid w:val="00E300F2"/>
    <w:rsid w:val="00E31800"/>
    <w:rsid w:val="00E31966"/>
    <w:rsid w:val="00E3203D"/>
    <w:rsid w:val="00E32AE4"/>
    <w:rsid w:val="00E32D6A"/>
    <w:rsid w:val="00E33396"/>
    <w:rsid w:val="00E335C5"/>
    <w:rsid w:val="00E33D24"/>
    <w:rsid w:val="00E33E8E"/>
    <w:rsid w:val="00E34706"/>
    <w:rsid w:val="00E34ABC"/>
    <w:rsid w:val="00E34ED4"/>
    <w:rsid w:val="00E350F2"/>
    <w:rsid w:val="00E351ED"/>
    <w:rsid w:val="00E35580"/>
    <w:rsid w:val="00E3635D"/>
    <w:rsid w:val="00E36470"/>
    <w:rsid w:val="00E36630"/>
    <w:rsid w:val="00E36DD5"/>
    <w:rsid w:val="00E3751A"/>
    <w:rsid w:val="00E377A6"/>
    <w:rsid w:val="00E4005E"/>
    <w:rsid w:val="00E40A1E"/>
    <w:rsid w:val="00E41969"/>
    <w:rsid w:val="00E41CF2"/>
    <w:rsid w:val="00E41D23"/>
    <w:rsid w:val="00E4297F"/>
    <w:rsid w:val="00E438F7"/>
    <w:rsid w:val="00E43E29"/>
    <w:rsid w:val="00E43EE5"/>
    <w:rsid w:val="00E44ACD"/>
    <w:rsid w:val="00E44CB9"/>
    <w:rsid w:val="00E45343"/>
    <w:rsid w:val="00E4582A"/>
    <w:rsid w:val="00E45B97"/>
    <w:rsid w:val="00E46059"/>
    <w:rsid w:val="00E466D3"/>
    <w:rsid w:val="00E46852"/>
    <w:rsid w:val="00E46AB1"/>
    <w:rsid w:val="00E46B49"/>
    <w:rsid w:val="00E476C1"/>
    <w:rsid w:val="00E479FF"/>
    <w:rsid w:val="00E506C9"/>
    <w:rsid w:val="00E51392"/>
    <w:rsid w:val="00E515B1"/>
    <w:rsid w:val="00E51662"/>
    <w:rsid w:val="00E51EC2"/>
    <w:rsid w:val="00E5269A"/>
    <w:rsid w:val="00E5333D"/>
    <w:rsid w:val="00E535D1"/>
    <w:rsid w:val="00E536FC"/>
    <w:rsid w:val="00E53AA6"/>
    <w:rsid w:val="00E53C6C"/>
    <w:rsid w:val="00E53CB2"/>
    <w:rsid w:val="00E53D6A"/>
    <w:rsid w:val="00E54898"/>
    <w:rsid w:val="00E55558"/>
    <w:rsid w:val="00E55680"/>
    <w:rsid w:val="00E55BB8"/>
    <w:rsid w:val="00E56344"/>
    <w:rsid w:val="00E571CF"/>
    <w:rsid w:val="00E57E87"/>
    <w:rsid w:val="00E60733"/>
    <w:rsid w:val="00E60DE1"/>
    <w:rsid w:val="00E61076"/>
    <w:rsid w:val="00E612D8"/>
    <w:rsid w:val="00E61812"/>
    <w:rsid w:val="00E62CF0"/>
    <w:rsid w:val="00E62D31"/>
    <w:rsid w:val="00E62E5D"/>
    <w:rsid w:val="00E633C8"/>
    <w:rsid w:val="00E64517"/>
    <w:rsid w:val="00E65073"/>
    <w:rsid w:val="00E65E8C"/>
    <w:rsid w:val="00E66265"/>
    <w:rsid w:val="00E66800"/>
    <w:rsid w:val="00E66D78"/>
    <w:rsid w:val="00E66DD7"/>
    <w:rsid w:val="00E673C1"/>
    <w:rsid w:val="00E67C5C"/>
    <w:rsid w:val="00E67E55"/>
    <w:rsid w:val="00E70504"/>
    <w:rsid w:val="00E70783"/>
    <w:rsid w:val="00E70E05"/>
    <w:rsid w:val="00E71198"/>
    <w:rsid w:val="00E71651"/>
    <w:rsid w:val="00E71E4F"/>
    <w:rsid w:val="00E72486"/>
    <w:rsid w:val="00E724EF"/>
    <w:rsid w:val="00E7264E"/>
    <w:rsid w:val="00E72651"/>
    <w:rsid w:val="00E72EF6"/>
    <w:rsid w:val="00E7303B"/>
    <w:rsid w:val="00E73957"/>
    <w:rsid w:val="00E73C90"/>
    <w:rsid w:val="00E73D3A"/>
    <w:rsid w:val="00E7412C"/>
    <w:rsid w:val="00E743A1"/>
    <w:rsid w:val="00E74BC5"/>
    <w:rsid w:val="00E74ED9"/>
    <w:rsid w:val="00E74F05"/>
    <w:rsid w:val="00E74F06"/>
    <w:rsid w:val="00E7518B"/>
    <w:rsid w:val="00E7593F"/>
    <w:rsid w:val="00E76497"/>
    <w:rsid w:val="00E765E0"/>
    <w:rsid w:val="00E76C33"/>
    <w:rsid w:val="00E8011B"/>
    <w:rsid w:val="00E801FE"/>
    <w:rsid w:val="00E80768"/>
    <w:rsid w:val="00E80E1E"/>
    <w:rsid w:val="00E80EB1"/>
    <w:rsid w:val="00E82135"/>
    <w:rsid w:val="00E82862"/>
    <w:rsid w:val="00E82CA0"/>
    <w:rsid w:val="00E82E17"/>
    <w:rsid w:val="00E84AD4"/>
    <w:rsid w:val="00E84E2F"/>
    <w:rsid w:val="00E8534F"/>
    <w:rsid w:val="00E854EA"/>
    <w:rsid w:val="00E85EC9"/>
    <w:rsid w:val="00E86BAE"/>
    <w:rsid w:val="00E876A3"/>
    <w:rsid w:val="00E87DC5"/>
    <w:rsid w:val="00E903A5"/>
    <w:rsid w:val="00E90A19"/>
    <w:rsid w:val="00E90A4D"/>
    <w:rsid w:val="00E91460"/>
    <w:rsid w:val="00E915F1"/>
    <w:rsid w:val="00E91C42"/>
    <w:rsid w:val="00E92341"/>
    <w:rsid w:val="00E93599"/>
    <w:rsid w:val="00E93635"/>
    <w:rsid w:val="00E93BF3"/>
    <w:rsid w:val="00E94F06"/>
    <w:rsid w:val="00E95243"/>
    <w:rsid w:val="00E953D6"/>
    <w:rsid w:val="00E956CB"/>
    <w:rsid w:val="00E95968"/>
    <w:rsid w:val="00E95BE2"/>
    <w:rsid w:val="00E960B8"/>
    <w:rsid w:val="00E96AEE"/>
    <w:rsid w:val="00E96D1C"/>
    <w:rsid w:val="00E977CB"/>
    <w:rsid w:val="00E977CE"/>
    <w:rsid w:val="00E97990"/>
    <w:rsid w:val="00E97ADD"/>
    <w:rsid w:val="00E97D2F"/>
    <w:rsid w:val="00E97EA7"/>
    <w:rsid w:val="00E97FB1"/>
    <w:rsid w:val="00EA0514"/>
    <w:rsid w:val="00EA093F"/>
    <w:rsid w:val="00EA0B54"/>
    <w:rsid w:val="00EA1266"/>
    <w:rsid w:val="00EA1514"/>
    <w:rsid w:val="00EA16E1"/>
    <w:rsid w:val="00EA1767"/>
    <w:rsid w:val="00EA1D3A"/>
    <w:rsid w:val="00EA1F8E"/>
    <w:rsid w:val="00EA2360"/>
    <w:rsid w:val="00EA272B"/>
    <w:rsid w:val="00EA274B"/>
    <w:rsid w:val="00EA276F"/>
    <w:rsid w:val="00EA2AA3"/>
    <w:rsid w:val="00EA2F5D"/>
    <w:rsid w:val="00EA301E"/>
    <w:rsid w:val="00EA37F7"/>
    <w:rsid w:val="00EA3BA1"/>
    <w:rsid w:val="00EA449C"/>
    <w:rsid w:val="00EA4F1E"/>
    <w:rsid w:val="00EA4F7D"/>
    <w:rsid w:val="00EA5F9C"/>
    <w:rsid w:val="00EA633B"/>
    <w:rsid w:val="00EA659C"/>
    <w:rsid w:val="00EA694F"/>
    <w:rsid w:val="00EA7206"/>
    <w:rsid w:val="00EA7C32"/>
    <w:rsid w:val="00EB0A68"/>
    <w:rsid w:val="00EB0E6A"/>
    <w:rsid w:val="00EB0FE6"/>
    <w:rsid w:val="00EB11EB"/>
    <w:rsid w:val="00EB16EB"/>
    <w:rsid w:val="00EB182C"/>
    <w:rsid w:val="00EB19D9"/>
    <w:rsid w:val="00EB2287"/>
    <w:rsid w:val="00EB243B"/>
    <w:rsid w:val="00EB269D"/>
    <w:rsid w:val="00EB30E8"/>
    <w:rsid w:val="00EB344E"/>
    <w:rsid w:val="00EB45D7"/>
    <w:rsid w:val="00EB47B3"/>
    <w:rsid w:val="00EB4926"/>
    <w:rsid w:val="00EB4B58"/>
    <w:rsid w:val="00EB4DDC"/>
    <w:rsid w:val="00EB4E5F"/>
    <w:rsid w:val="00EB5197"/>
    <w:rsid w:val="00EB5629"/>
    <w:rsid w:val="00EB5734"/>
    <w:rsid w:val="00EB65AF"/>
    <w:rsid w:val="00EB72B4"/>
    <w:rsid w:val="00EB75EB"/>
    <w:rsid w:val="00EB7605"/>
    <w:rsid w:val="00EB76CB"/>
    <w:rsid w:val="00EC0005"/>
    <w:rsid w:val="00EC055C"/>
    <w:rsid w:val="00EC089D"/>
    <w:rsid w:val="00EC0DD3"/>
    <w:rsid w:val="00EC101A"/>
    <w:rsid w:val="00EC101F"/>
    <w:rsid w:val="00EC1394"/>
    <w:rsid w:val="00EC20D7"/>
    <w:rsid w:val="00EC226A"/>
    <w:rsid w:val="00EC229B"/>
    <w:rsid w:val="00EC235C"/>
    <w:rsid w:val="00EC28DD"/>
    <w:rsid w:val="00EC2EE6"/>
    <w:rsid w:val="00EC3012"/>
    <w:rsid w:val="00EC3713"/>
    <w:rsid w:val="00EC37A0"/>
    <w:rsid w:val="00EC3FA5"/>
    <w:rsid w:val="00EC404D"/>
    <w:rsid w:val="00EC4F34"/>
    <w:rsid w:val="00EC5503"/>
    <w:rsid w:val="00EC552D"/>
    <w:rsid w:val="00EC5B93"/>
    <w:rsid w:val="00EC774B"/>
    <w:rsid w:val="00EC7C27"/>
    <w:rsid w:val="00ED1308"/>
    <w:rsid w:val="00ED13EB"/>
    <w:rsid w:val="00ED1462"/>
    <w:rsid w:val="00ED14A1"/>
    <w:rsid w:val="00ED17FA"/>
    <w:rsid w:val="00ED1856"/>
    <w:rsid w:val="00ED24B6"/>
    <w:rsid w:val="00ED25D2"/>
    <w:rsid w:val="00ED35C0"/>
    <w:rsid w:val="00ED36CC"/>
    <w:rsid w:val="00ED3F38"/>
    <w:rsid w:val="00ED4051"/>
    <w:rsid w:val="00ED4124"/>
    <w:rsid w:val="00ED4D0D"/>
    <w:rsid w:val="00ED5030"/>
    <w:rsid w:val="00ED547D"/>
    <w:rsid w:val="00ED596C"/>
    <w:rsid w:val="00ED5986"/>
    <w:rsid w:val="00ED5ACF"/>
    <w:rsid w:val="00EE0174"/>
    <w:rsid w:val="00EE01D1"/>
    <w:rsid w:val="00EE083C"/>
    <w:rsid w:val="00EE0D6A"/>
    <w:rsid w:val="00EE12E9"/>
    <w:rsid w:val="00EE13A7"/>
    <w:rsid w:val="00EE2B3E"/>
    <w:rsid w:val="00EE2B55"/>
    <w:rsid w:val="00EE2D03"/>
    <w:rsid w:val="00EE3341"/>
    <w:rsid w:val="00EE3445"/>
    <w:rsid w:val="00EE407D"/>
    <w:rsid w:val="00EE4436"/>
    <w:rsid w:val="00EE4BBE"/>
    <w:rsid w:val="00EE546C"/>
    <w:rsid w:val="00EE563D"/>
    <w:rsid w:val="00EE5DFC"/>
    <w:rsid w:val="00EE5E6F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C11"/>
    <w:rsid w:val="00EF1D2F"/>
    <w:rsid w:val="00EF1D66"/>
    <w:rsid w:val="00EF20C3"/>
    <w:rsid w:val="00EF212E"/>
    <w:rsid w:val="00EF231B"/>
    <w:rsid w:val="00EF2449"/>
    <w:rsid w:val="00EF2467"/>
    <w:rsid w:val="00EF256C"/>
    <w:rsid w:val="00EF2E41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DD8"/>
    <w:rsid w:val="00EF7683"/>
    <w:rsid w:val="00F00159"/>
    <w:rsid w:val="00F008C1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733"/>
    <w:rsid w:val="00F058AD"/>
    <w:rsid w:val="00F0595E"/>
    <w:rsid w:val="00F05A7B"/>
    <w:rsid w:val="00F06033"/>
    <w:rsid w:val="00F06454"/>
    <w:rsid w:val="00F06A19"/>
    <w:rsid w:val="00F06CB2"/>
    <w:rsid w:val="00F06E72"/>
    <w:rsid w:val="00F07C8A"/>
    <w:rsid w:val="00F07D8B"/>
    <w:rsid w:val="00F104D0"/>
    <w:rsid w:val="00F10840"/>
    <w:rsid w:val="00F1163D"/>
    <w:rsid w:val="00F116E1"/>
    <w:rsid w:val="00F11E4F"/>
    <w:rsid w:val="00F1272B"/>
    <w:rsid w:val="00F12A01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8EC"/>
    <w:rsid w:val="00F15D2C"/>
    <w:rsid w:val="00F16582"/>
    <w:rsid w:val="00F16B9D"/>
    <w:rsid w:val="00F16CE1"/>
    <w:rsid w:val="00F16F06"/>
    <w:rsid w:val="00F17125"/>
    <w:rsid w:val="00F179EF"/>
    <w:rsid w:val="00F17E02"/>
    <w:rsid w:val="00F17E22"/>
    <w:rsid w:val="00F20017"/>
    <w:rsid w:val="00F20776"/>
    <w:rsid w:val="00F20970"/>
    <w:rsid w:val="00F21051"/>
    <w:rsid w:val="00F2106E"/>
    <w:rsid w:val="00F2122C"/>
    <w:rsid w:val="00F21514"/>
    <w:rsid w:val="00F21AE7"/>
    <w:rsid w:val="00F21B8E"/>
    <w:rsid w:val="00F21CAF"/>
    <w:rsid w:val="00F221A0"/>
    <w:rsid w:val="00F223BD"/>
    <w:rsid w:val="00F223EA"/>
    <w:rsid w:val="00F22D52"/>
    <w:rsid w:val="00F22EE2"/>
    <w:rsid w:val="00F2305F"/>
    <w:rsid w:val="00F232DA"/>
    <w:rsid w:val="00F23613"/>
    <w:rsid w:val="00F238E5"/>
    <w:rsid w:val="00F242B4"/>
    <w:rsid w:val="00F24874"/>
    <w:rsid w:val="00F24980"/>
    <w:rsid w:val="00F24B20"/>
    <w:rsid w:val="00F24BEA"/>
    <w:rsid w:val="00F24EF6"/>
    <w:rsid w:val="00F25A7A"/>
    <w:rsid w:val="00F25C36"/>
    <w:rsid w:val="00F25C9C"/>
    <w:rsid w:val="00F26145"/>
    <w:rsid w:val="00F26264"/>
    <w:rsid w:val="00F26345"/>
    <w:rsid w:val="00F2634C"/>
    <w:rsid w:val="00F26432"/>
    <w:rsid w:val="00F26D6D"/>
    <w:rsid w:val="00F27FD6"/>
    <w:rsid w:val="00F30616"/>
    <w:rsid w:val="00F319CF"/>
    <w:rsid w:val="00F319F9"/>
    <w:rsid w:val="00F32AF9"/>
    <w:rsid w:val="00F33909"/>
    <w:rsid w:val="00F33B96"/>
    <w:rsid w:val="00F346B1"/>
    <w:rsid w:val="00F34753"/>
    <w:rsid w:val="00F3484E"/>
    <w:rsid w:val="00F34E84"/>
    <w:rsid w:val="00F34FB3"/>
    <w:rsid w:val="00F35B9E"/>
    <w:rsid w:val="00F35F60"/>
    <w:rsid w:val="00F36323"/>
    <w:rsid w:val="00F3654F"/>
    <w:rsid w:val="00F366D6"/>
    <w:rsid w:val="00F36F16"/>
    <w:rsid w:val="00F37507"/>
    <w:rsid w:val="00F40042"/>
    <w:rsid w:val="00F415F2"/>
    <w:rsid w:val="00F41B50"/>
    <w:rsid w:val="00F42037"/>
    <w:rsid w:val="00F423F6"/>
    <w:rsid w:val="00F42415"/>
    <w:rsid w:val="00F424D3"/>
    <w:rsid w:val="00F4284C"/>
    <w:rsid w:val="00F443B0"/>
    <w:rsid w:val="00F444E7"/>
    <w:rsid w:val="00F447EA"/>
    <w:rsid w:val="00F44943"/>
    <w:rsid w:val="00F453DF"/>
    <w:rsid w:val="00F4588A"/>
    <w:rsid w:val="00F45CB5"/>
    <w:rsid w:val="00F4737E"/>
    <w:rsid w:val="00F47D5F"/>
    <w:rsid w:val="00F47E5F"/>
    <w:rsid w:val="00F50623"/>
    <w:rsid w:val="00F511EE"/>
    <w:rsid w:val="00F51D28"/>
    <w:rsid w:val="00F51E4D"/>
    <w:rsid w:val="00F531CA"/>
    <w:rsid w:val="00F533F9"/>
    <w:rsid w:val="00F539AC"/>
    <w:rsid w:val="00F53D94"/>
    <w:rsid w:val="00F541CE"/>
    <w:rsid w:val="00F5420D"/>
    <w:rsid w:val="00F54768"/>
    <w:rsid w:val="00F547F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177"/>
    <w:rsid w:val="00F626F5"/>
    <w:rsid w:val="00F629DE"/>
    <w:rsid w:val="00F638B4"/>
    <w:rsid w:val="00F6394E"/>
    <w:rsid w:val="00F63A6E"/>
    <w:rsid w:val="00F6424F"/>
    <w:rsid w:val="00F643C2"/>
    <w:rsid w:val="00F64A0B"/>
    <w:rsid w:val="00F6557B"/>
    <w:rsid w:val="00F65BA0"/>
    <w:rsid w:val="00F666B5"/>
    <w:rsid w:val="00F67275"/>
    <w:rsid w:val="00F6784B"/>
    <w:rsid w:val="00F67EF9"/>
    <w:rsid w:val="00F7026D"/>
    <w:rsid w:val="00F70C14"/>
    <w:rsid w:val="00F713B8"/>
    <w:rsid w:val="00F713E2"/>
    <w:rsid w:val="00F7187B"/>
    <w:rsid w:val="00F718A4"/>
    <w:rsid w:val="00F71D8E"/>
    <w:rsid w:val="00F72698"/>
    <w:rsid w:val="00F72770"/>
    <w:rsid w:val="00F728AA"/>
    <w:rsid w:val="00F72AD3"/>
    <w:rsid w:val="00F72C8A"/>
    <w:rsid w:val="00F72CA8"/>
    <w:rsid w:val="00F72D90"/>
    <w:rsid w:val="00F741FA"/>
    <w:rsid w:val="00F7430B"/>
    <w:rsid w:val="00F745D9"/>
    <w:rsid w:val="00F74B18"/>
    <w:rsid w:val="00F7523E"/>
    <w:rsid w:val="00F759D4"/>
    <w:rsid w:val="00F759D7"/>
    <w:rsid w:val="00F7609A"/>
    <w:rsid w:val="00F7665F"/>
    <w:rsid w:val="00F76924"/>
    <w:rsid w:val="00F76C4F"/>
    <w:rsid w:val="00F76F6B"/>
    <w:rsid w:val="00F76FD6"/>
    <w:rsid w:val="00F77293"/>
    <w:rsid w:val="00F77C33"/>
    <w:rsid w:val="00F77D71"/>
    <w:rsid w:val="00F808F0"/>
    <w:rsid w:val="00F80927"/>
    <w:rsid w:val="00F819B9"/>
    <w:rsid w:val="00F819E1"/>
    <w:rsid w:val="00F820E2"/>
    <w:rsid w:val="00F822A0"/>
    <w:rsid w:val="00F82F3E"/>
    <w:rsid w:val="00F83914"/>
    <w:rsid w:val="00F83A8B"/>
    <w:rsid w:val="00F83B2E"/>
    <w:rsid w:val="00F84099"/>
    <w:rsid w:val="00F8412E"/>
    <w:rsid w:val="00F843F7"/>
    <w:rsid w:val="00F8476D"/>
    <w:rsid w:val="00F85501"/>
    <w:rsid w:val="00F856DE"/>
    <w:rsid w:val="00F85851"/>
    <w:rsid w:val="00F86769"/>
    <w:rsid w:val="00F8676D"/>
    <w:rsid w:val="00F86C16"/>
    <w:rsid w:val="00F8798B"/>
    <w:rsid w:val="00F87E34"/>
    <w:rsid w:val="00F9034D"/>
    <w:rsid w:val="00F90624"/>
    <w:rsid w:val="00F907AF"/>
    <w:rsid w:val="00F90E09"/>
    <w:rsid w:val="00F91CBC"/>
    <w:rsid w:val="00F91E36"/>
    <w:rsid w:val="00F922ED"/>
    <w:rsid w:val="00F93340"/>
    <w:rsid w:val="00F934C9"/>
    <w:rsid w:val="00F93A0A"/>
    <w:rsid w:val="00F94A71"/>
    <w:rsid w:val="00F94CCA"/>
    <w:rsid w:val="00F9535C"/>
    <w:rsid w:val="00F95780"/>
    <w:rsid w:val="00F95EFB"/>
    <w:rsid w:val="00F9624E"/>
    <w:rsid w:val="00F96453"/>
    <w:rsid w:val="00F96923"/>
    <w:rsid w:val="00F96E26"/>
    <w:rsid w:val="00F970DB"/>
    <w:rsid w:val="00F9738C"/>
    <w:rsid w:val="00F9766C"/>
    <w:rsid w:val="00FA008C"/>
    <w:rsid w:val="00FA0431"/>
    <w:rsid w:val="00FA0577"/>
    <w:rsid w:val="00FA086C"/>
    <w:rsid w:val="00FA0870"/>
    <w:rsid w:val="00FA0FFB"/>
    <w:rsid w:val="00FA1441"/>
    <w:rsid w:val="00FA203F"/>
    <w:rsid w:val="00FA36B9"/>
    <w:rsid w:val="00FA38A1"/>
    <w:rsid w:val="00FA3C01"/>
    <w:rsid w:val="00FA3F41"/>
    <w:rsid w:val="00FA4A3B"/>
    <w:rsid w:val="00FA62C1"/>
    <w:rsid w:val="00FA6B17"/>
    <w:rsid w:val="00FA7860"/>
    <w:rsid w:val="00FB0060"/>
    <w:rsid w:val="00FB012F"/>
    <w:rsid w:val="00FB0185"/>
    <w:rsid w:val="00FB0A08"/>
    <w:rsid w:val="00FB0AD3"/>
    <w:rsid w:val="00FB0D58"/>
    <w:rsid w:val="00FB185F"/>
    <w:rsid w:val="00FB21EE"/>
    <w:rsid w:val="00FB2506"/>
    <w:rsid w:val="00FB306B"/>
    <w:rsid w:val="00FB360F"/>
    <w:rsid w:val="00FB3784"/>
    <w:rsid w:val="00FB4F25"/>
    <w:rsid w:val="00FB50C2"/>
    <w:rsid w:val="00FB529D"/>
    <w:rsid w:val="00FB56C5"/>
    <w:rsid w:val="00FB57EF"/>
    <w:rsid w:val="00FB59E5"/>
    <w:rsid w:val="00FB5FB0"/>
    <w:rsid w:val="00FB6F0E"/>
    <w:rsid w:val="00FB7A5B"/>
    <w:rsid w:val="00FC06BF"/>
    <w:rsid w:val="00FC0AE4"/>
    <w:rsid w:val="00FC0E21"/>
    <w:rsid w:val="00FC126D"/>
    <w:rsid w:val="00FC1694"/>
    <w:rsid w:val="00FC1CF2"/>
    <w:rsid w:val="00FC2124"/>
    <w:rsid w:val="00FC2576"/>
    <w:rsid w:val="00FC2681"/>
    <w:rsid w:val="00FC2A8A"/>
    <w:rsid w:val="00FC2E45"/>
    <w:rsid w:val="00FC2E4F"/>
    <w:rsid w:val="00FC351E"/>
    <w:rsid w:val="00FC35DE"/>
    <w:rsid w:val="00FC4398"/>
    <w:rsid w:val="00FC4B62"/>
    <w:rsid w:val="00FC4BA2"/>
    <w:rsid w:val="00FC4FB0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7F"/>
    <w:rsid w:val="00FC7186"/>
    <w:rsid w:val="00FC742F"/>
    <w:rsid w:val="00FC7C89"/>
    <w:rsid w:val="00FD0962"/>
    <w:rsid w:val="00FD0F61"/>
    <w:rsid w:val="00FD1215"/>
    <w:rsid w:val="00FD1280"/>
    <w:rsid w:val="00FD143C"/>
    <w:rsid w:val="00FD1946"/>
    <w:rsid w:val="00FD1D9C"/>
    <w:rsid w:val="00FD2965"/>
    <w:rsid w:val="00FD2A64"/>
    <w:rsid w:val="00FD2CC3"/>
    <w:rsid w:val="00FD2D60"/>
    <w:rsid w:val="00FD3CF7"/>
    <w:rsid w:val="00FD3D61"/>
    <w:rsid w:val="00FD436D"/>
    <w:rsid w:val="00FD491D"/>
    <w:rsid w:val="00FD49DB"/>
    <w:rsid w:val="00FD5062"/>
    <w:rsid w:val="00FD53CE"/>
    <w:rsid w:val="00FD5AFE"/>
    <w:rsid w:val="00FD5C14"/>
    <w:rsid w:val="00FD61E9"/>
    <w:rsid w:val="00FD6EF3"/>
    <w:rsid w:val="00FD764D"/>
    <w:rsid w:val="00FD7B35"/>
    <w:rsid w:val="00FD7C6C"/>
    <w:rsid w:val="00FD7CDC"/>
    <w:rsid w:val="00FD7F20"/>
    <w:rsid w:val="00FE01A6"/>
    <w:rsid w:val="00FE02F8"/>
    <w:rsid w:val="00FE05BF"/>
    <w:rsid w:val="00FE0BA6"/>
    <w:rsid w:val="00FE1445"/>
    <w:rsid w:val="00FE153E"/>
    <w:rsid w:val="00FE18EF"/>
    <w:rsid w:val="00FE1CE2"/>
    <w:rsid w:val="00FE1DFC"/>
    <w:rsid w:val="00FE1E6A"/>
    <w:rsid w:val="00FE235B"/>
    <w:rsid w:val="00FE263D"/>
    <w:rsid w:val="00FE27FE"/>
    <w:rsid w:val="00FE2852"/>
    <w:rsid w:val="00FE2CBB"/>
    <w:rsid w:val="00FE2F5F"/>
    <w:rsid w:val="00FE393B"/>
    <w:rsid w:val="00FE4608"/>
    <w:rsid w:val="00FE4826"/>
    <w:rsid w:val="00FE5DD2"/>
    <w:rsid w:val="00FE5FD1"/>
    <w:rsid w:val="00FE66DF"/>
    <w:rsid w:val="00FE6845"/>
    <w:rsid w:val="00FE6AD1"/>
    <w:rsid w:val="00FE78FD"/>
    <w:rsid w:val="00FE7BA2"/>
    <w:rsid w:val="00FF0336"/>
    <w:rsid w:val="00FF0586"/>
    <w:rsid w:val="00FF09BD"/>
    <w:rsid w:val="00FF0BD6"/>
    <w:rsid w:val="00FF1744"/>
    <w:rsid w:val="00FF2265"/>
    <w:rsid w:val="00FF3496"/>
    <w:rsid w:val="00FF3CA1"/>
    <w:rsid w:val="00FF4177"/>
    <w:rsid w:val="00FF4675"/>
    <w:rsid w:val="00FF48C8"/>
    <w:rsid w:val="00FF5024"/>
    <w:rsid w:val="00FF5A0D"/>
    <w:rsid w:val="00FF5DF1"/>
    <w:rsid w:val="00FF7932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  <o:shapelayout v:ext="edit">
      <o:idmap v:ext="edit" data="1"/>
    </o:shapelayout>
  </w:shapeDefaults>
  <w:decimalSymbol w:val="."/>
  <w:listSeparator w:val=","/>
  <w14:docId w14:val="507D4AAA"/>
  <w15:docId w15:val="{88043DB6-3611-4090-9F25-A681E34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"/>
    <w:next w:val="p0"/>
    <w:rsid w:val="00467BD1"/>
    <w:pPr>
      <w:keepLines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parrafo1">
    <w:name w:val="parrafo1"/>
    <w:basedOn w:val="p0"/>
    <w:rsid w:val="003A5EF6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0D5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39F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42530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D2D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D6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D60"/>
    <w:rPr>
      <w:rFonts w:ascii="Arial" w:hAnsi="Arial" w:cs="Arial"/>
      <w:b/>
      <w:bCs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521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A449A"/>
    <w:pPr>
      <w:jc w:val="left"/>
    </w:pPr>
    <w:rPr>
      <w:rFonts w:ascii="Calibri" w:eastAsiaTheme="minorHAnsi" w:hAnsi="Calibri" w:cs="Calibri"/>
      <w:sz w:val="22"/>
      <w:szCs w:val="22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467B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26" Type="http://schemas.openxmlformats.org/officeDocument/2006/relationships/chart" Target="charts/chart6.xml"/><Relationship Id="rId21" Type="http://schemas.openxmlformats.org/officeDocument/2006/relationships/header" Target="header1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5.xml"/><Relationship Id="rId33" Type="http://schemas.openxmlformats.org/officeDocument/2006/relationships/hyperlink" Target="https://www.inegi.org.mx/app/indicadores/?tm=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29" Type="http://schemas.openxmlformats.org/officeDocument/2006/relationships/hyperlink" Target="https://www.inegi.org.mx/app/biblioteca/ficha.html?upc=7028250990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4.xml"/><Relationship Id="rId32" Type="http://schemas.openxmlformats.org/officeDocument/2006/relationships/hyperlink" Target="https://www.inegi.org.mx/programas/emec/2013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fontTable" Target="fontTable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temas/comercioemp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openxmlformats.org/officeDocument/2006/relationships/chart" Target="charts/chart7.xml"/><Relationship Id="rId30" Type="http://schemas.openxmlformats.org/officeDocument/2006/relationships/image" Target="media/image7.gif"/><Relationship Id="rId35" Type="http://schemas.openxmlformats.org/officeDocument/2006/relationships/footer" Target="footer2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8169261904761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6350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Tendencia-Ciclo.xlsx]Datos'!$C$114:$C$185</c:f>
              <c:numCache>
                <c:formatCode>0.0_)</c:formatCode>
                <c:ptCount val="68"/>
                <c:pt idx="0">
                  <c:v>107.9845053758</c:v>
                </c:pt>
                <c:pt idx="1">
                  <c:v>107.510041992403</c:v>
                </c:pt>
                <c:pt idx="2">
                  <c:v>106.64914051721701</c:v>
                </c:pt>
                <c:pt idx="3">
                  <c:v>107.16326659293399</c:v>
                </c:pt>
                <c:pt idx="4">
                  <c:v>106.278759738655</c:v>
                </c:pt>
                <c:pt idx="5">
                  <c:v>106.81418110300601</c:v>
                </c:pt>
                <c:pt idx="6">
                  <c:v>107.51510358864699</c:v>
                </c:pt>
                <c:pt idx="7">
                  <c:v>108.309768318324</c:v>
                </c:pt>
                <c:pt idx="8">
                  <c:v>107.50963314410301</c:v>
                </c:pt>
                <c:pt idx="9">
                  <c:v>107.63050439281</c:v>
                </c:pt>
                <c:pt idx="10">
                  <c:v>107.93714557515599</c:v>
                </c:pt>
                <c:pt idx="11">
                  <c:v>108.79920699758</c:v>
                </c:pt>
                <c:pt idx="12">
                  <c:v>108.415277894022</c:v>
                </c:pt>
                <c:pt idx="13">
                  <c:v>109.09970195609399</c:v>
                </c:pt>
                <c:pt idx="14">
                  <c:v>110.664136944791</c:v>
                </c:pt>
                <c:pt idx="15">
                  <c:v>110.45571771801301</c:v>
                </c:pt>
                <c:pt idx="16">
                  <c:v>111.289939189525</c:v>
                </c:pt>
                <c:pt idx="17">
                  <c:v>111.506810163075</c:v>
                </c:pt>
                <c:pt idx="18">
                  <c:v>109.89391209857099</c:v>
                </c:pt>
                <c:pt idx="19">
                  <c:v>110.603589523615</c:v>
                </c:pt>
                <c:pt idx="20">
                  <c:v>110.897195464383</c:v>
                </c:pt>
                <c:pt idx="21">
                  <c:v>112.771688197572</c:v>
                </c:pt>
                <c:pt idx="22">
                  <c:v>109.503318718625</c:v>
                </c:pt>
                <c:pt idx="23">
                  <c:v>106.748369638862</c:v>
                </c:pt>
                <c:pt idx="24">
                  <c:v>108.612447796306</c:v>
                </c:pt>
                <c:pt idx="25">
                  <c:v>108.219238684922</c:v>
                </c:pt>
                <c:pt idx="26">
                  <c:v>107.438293346988</c:v>
                </c:pt>
                <c:pt idx="27">
                  <c:v>107.94121702487099</c:v>
                </c:pt>
                <c:pt idx="28">
                  <c:v>107.27410922842201</c:v>
                </c:pt>
                <c:pt idx="29">
                  <c:v>108.149929354351</c:v>
                </c:pt>
                <c:pt idx="30">
                  <c:v>107.687559933561</c:v>
                </c:pt>
                <c:pt idx="31">
                  <c:v>107.95481996443699</c:v>
                </c:pt>
                <c:pt idx="32">
                  <c:v>107.43141657308399</c:v>
                </c:pt>
                <c:pt idx="33">
                  <c:v>106.142814866508</c:v>
                </c:pt>
                <c:pt idx="34">
                  <c:v>105.91574932477801</c:v>
                </c:pt>
                <c:pt idx="35">
                  <c:v>105.63947379173</c:v>
                </c:pt>
                <c:pt idx="36">
                  <c:v>106.44434980355</c:v>
                </c:pt>
                <c:pt idx="37">
                  <c:v>105.400175295579</c:v>
                </c:pt>
                <c:pt idx="38">
                  <c:v>103.969468516863</c:v>
                </c:pt>
                <c:pt idx="39">
                  <c:v>85.735180365158797</c:v>
                </c:pt>
                <c:pt idx="40">
                  <c:v>81.612526494981296</c:v>
                </c:pt>
                <c:pt idx="41">
                  <c:v>90.933891014161105</c:v>
                </c:pt>
                <c:pt idx="42">
                  <c:v>95.889829861459901</c:v>
                </c:pt>
                <c:pt idx="43">
                  <c:v>97.639251701251496</c:v>
                </c:pt>
                <c:pt idx="44">
                  <c:v>99.160219178193799</c:v>
                </c:pt>
                <c:pt idx="45">
                  <c:v>100.73967822573501</c:v>
                </c:pt>
                <c:pt idx="46">
                  <c:v>102.196830580366</c:v>
                </c:pt>
                <c:pt idx="47">
                  <c:v>103.812846385472</c:v>
                </c:pt>
                <c:pt idx="48">
                  <c:v>104.812287322931</c:v>
                </c:pt>
                <c:pt idx="49">
                  <c:v>106.60273968482301</c:v>
                </c:pt>
                <c:pt idx="50">
                  <c:v>108.738785915276</c:v>
                </c:pt>
                <c:pt idx="51">
                  <c:v>108.71403375733099</c:v>
                </c:pt>
                <c:pt idx="52">
                  <c:v>109.693455645436</c:v>
                </c:pt>
                <c:pt idx="53">
                  <c:v>110.290805950088</c:v>
                </c:pt>
                <c:pt idx="54">
                  <c:v>111.501996165478</c:v>
                </c:pt>
                <c:pt idx="55">
                  <c:v>111.38802655585</c:v>
                </c:pt>
                <c:pt idx="56">
                  <c:v>112.07877832019101</c:v>
                </c:pt>
                <c:pt idx="57">
                  <c:v>112.810991171883</c:v>
                </c:pt>
                <c:pt idx="58">
                  <c:v>113.23811551339099</c:v>
                </c:pt>
                <c:pt idx="59">
                  <c:v>113.110844266979</c:v>
                </c:pt>
                <c:pt idx="60">
                  <c:v>114.126822122969</c:v>
                </c:pt>
                <c:pt idx="61">
                  <c:v>114.137682867091</c:v>
                </c:pt>
                <c:pt idx="62">
                  <c:v>116.735742672786</c:v>
                </c:pt>
                <c:pt idx="63">
                  <c:v>115.905823989524</c:v>
                </c:pt>
                <c:pt idx="64">
                  <c:v>115.92246077436999</c:v>
                </c:pt>
                <c:pt idx="65">
                  <c:v>115.737815163584</c:v>
                </c:pt>
                <c:pt idx="66">
                  <c:v>115.369759484494</c:v>
                </c:pt>
                <c:pt idx="67">
                  <c:v>114.244456822182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77-4A64-A71B-05E0C78E3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477492480"/>
        <c:axId val="477490912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Tendencia-Ciclo.xlsx]Datos'!$D$114:$D$185</c:f>
              <c:numCache>
                <c:formatCode>0.0_)</c:formatCode>
                <c:ptCount val="68"/>
                <c:pt idx="0">
                  <c:v>107.35437195489099</c:v>
                </c:pt>
                <c:pt idx="1">
                  <c:v>107.26295031400601</c:v>
                </c:pt>
                <c:pt idx="2">
                  <c:v>107.09348182189601</c:v>
                </c:pt>
                <c:pt idx="3">
                  <c:v>106.946389894365</c:v>
                </c:pt>
                <c:pt idx="4">
                  <c:v>106.90265690767799</c:v>
                </c:pt>
                <c:pt idx="5">
                  <c:v>107.000286378277</c:v>
                </c:pt>
                <c:pt idx="6">
                  <c:v>107.21229274352299</c:v>
                </c:pt>
                <c:pt idx="7">
                  <c:v>107.463804585285</c:v>
                </c:pt>
                <c:pt idx="8">
                  <c:v>107.668419426466</c:v>
                </c:pt>
                <c:pt idx="9">
                  <c:v>107.85115601164</c:v>
                </c:pt>
                <c:pt idx="10">
                  <c:v>108.073487098103</c:v>
                </c:pt>
                <c:pt idx="11">
                  <c:v>108.394287493031</c:v>
                </c:pt>
                <c:pt idx="12">
                  <c:v>108.88589857893901</c:v>
                </c:pt>
                <c:pt idx="13">
                  <c:v>109.50321138267699</c:v>
                </c:pt>
                <c:pt idx="14">
                  <c:v>110.120776785904</c:v>
                </c:pt>
                <c:pt idx="15">
                  <c:v>110.632463995093</c:v>
                </c:pt>
                <c:pt idx="16">
                  <c:v>110.985913326839</c:v>
                </c:pt>
                <c:pt idx="17">
                  <c:v>111.14091513893899</c:v>
                </c:pt>
                <c:pt idx="18">
                  <c:v>111.08978516754701</c:v>
                </c:pt>
                <c:pt idx="19">
                  <c:v>110.861903936402</c:v>
                </c:pt>
                <c:pt idx="20">
                  <c:v>110.533804046795</c:v>
                </c:pt>
                <c:pt idx="21">
                  <c:v>110.11774502259</c:v>
                </c:pt>
                <c:pt idx="22">
                  <c:v>109.632333339512</c:v>
                </c:pt>
                <c:pt idx="23">
                  <c:v>109.10845912747401</c:v>
                </c:pt>
                <c:pt idx="24">
                  <c:v>108.590755340421</c:v>
                </c:pt>
                <c:pt idx="25">
                  <c:v>108.14846825839901</c:v>
                </c:pt>
                <c:pt idx="26">
                  <c:v>107.85993917678699</c:v>
                </c:pt>
                <c:pt idx="27">
                  <c:v>107.750856355962</c:v>
                </c:pt>
                <c:pt idx="28">
                  <c:v>107.759802631187</c:v>
                </c:pt>
                <c:pt idx="29">
                  <c:v>107.789214341442</c:v>
                </c:pt>
                <c:pt idx="30">
                  <c:v>107.724199798859</c:v>
                </c:pt>
                <c:pt idx="31">
                  <c:v>107.49145840376001</c:v>
                </c:pt>
                <c:pt idx="32">
                  <c:v>107.118352374796</c:v>
                </c:pt>
                <c:pt idx="33">
                  <c:v>106.66380950473599</c:v>
                </c:pt>
                <c:pt idx="34">
                  <c:v>106.172768690512</c:v>
                </c:pt>
                <c:pt idx="35">
                  <c:v>105.693843523637</c:v>
                </c:pt>
                <c:pt idx="36">
                  <c:v>105.274684215557</c:v>
                </c:pt>
                <c:pt idx="37">
                  <c:v>104.91129777422</c:v>
                </c:pt>
                <c:pt idx="38">
                  <c:v>104.612907936189</c:v>
                </c:pt>
                <c:pt idx="39">
                  <c:v>96.103504236293105</c:v>
                </c:pt>
                <c:pt idx="40">
                  <c:v>96.093781225755293</c:v>
                </c:pt>
                <c:pt idx="41">
                  <c:v>96.369595366662494</c:v>
                </c:pt>
                <c:pt idx="42">
                  <c:v>96.991483064096897</c:v>
                </c:pt>
                <c:pt idx="43">
                  <c:v>97.943497359619499</c:v>
                </c:pt>
                <c:pt idx="44">
                  <c:v>99.146379993529493</c:v>
                </c:pt>
                <c:pt idx="45">
                  <c:v>100.553131702295</c:v>
                </c:pt>
                <c:pt idx="46">
                  <c:v>102.106474292808</c:v>
                </c:pt>
                <c:pt idx="47">
                  <c:v>103.69898741697</c:v>
                </c:pt>
                <c:pt idx="48">
                  <c:v>105.210191240108</c:v>
                </c:pt>
                <c:pt idx="49">
                  <c:v>106.602266304982</c:v>
                </c:pt>
                <c:pt idx="50">
                  <c:v>107.84160357549599</c:v>
                </c:pt>
                <c:pt idx="51">
                  <c:v>108.90029365898999</c:v>
                </c:pt>
                <c:pt idx="52">
                  <c:v>109.77182197587901</c:v>
                </c:pt>
                <c:pt idx="53">
                  <c:v>110.49620991409699</c:v>
                </c:pt>
                <c:pt idx="54">
                  <c:v>111.10993594833801</c:v>
                </c:pt>
                <c:pt idx="55">
                  <c:v>111.66080413713701</c:v>
                </c:pt>
                <c:pt idx="56">
                  <c:v>112.166565264773</c:v>
                </c:pt>
                <c:pt idx="57">
                  <c:v>112.617822269746</c:v>
                </c:pt>
                <c:pt idx="58">
                  <c:v>113.041595328874</c:v>
                </c:pt>
                <c:pt idx="59">
                  <c:v>113.508145817261</c:v>
                </c:pt>
                <c:pt idx="60">
                  <c:v>114.03985499704</c:v>
                </c:pt>
                <c:pt idx="61">
                  <c:v>114.594382615125</c:v>
                </c:pt>
                <c:pt idx="62">
                  <c:v>115.09827208992201</c:v>
                </c:pt>
                <c:pt idx="63">
                  <c:v>115.470950739703</c:v>
                </c:pt>
                <c:pt idx="64">
                  <c:v>115.65737847866301</c:v>
                </c:pt>
                <c:pt idx="65">
                  <c:v>115.680140878519</c:v>
                </c:pt>
                <c:pt idx="66">
                  <c:v>115.64836423156299</c:v>
                </c:pt>
                <c:pt idx="67">
                  <c:v>115.71067357153299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77-4A64-A71B-05E0C78E3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7492480"/>
        <c:axId val="477490912"/>
      </c:lineChart>
      <c:catAx>
        <c:axId val="477492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0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77490912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2480"/>
        <c:crosses val="autoZero"/>
        <c:crossBetween val="between"/>
        <c:majorUnit val="10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490131578947365"/>
          <c:w val="0.912406629318394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531944444444438E-2"/>
          <c:y val="4.9618650793650791E-2"/>
          <c:w val="0.92694814814814808"/>
          <c:h val="0.8189035714285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Tendencia-Ciclo.xlsx]Datos'!$E$114:$E$185</c:f>
              <c:numCache>
                <c:formatCode>0.0_)</c:formatCode>
                <c:ptCount val="68"/>
                <c:pt idx="0">
                  <c:v>112.38299981298999</c:v>
                </c:pt>
                <c:pt idx="1">
                  <c:v>112.284399515158</c:v>
                </c:pt>
                <c:pt idx="2">
                  <c:v>111.29946396085801</c:v>
                </c:pt>
                <c:pt idx="3">
                  <c:v>111.687864587888</c:v>
                </c:pt>
                <c:pt idx="4">
                  <c:v>111.537152468587</c:v>
                </c:pt>
                <c:pt idx="5">
                  <c:v>111.46566722973201</c:v>
                </c:pt>
                <c:pt idx="6">
                  <c:v>111.482515179852</c:v>
                </c:pt>
                <c:pt idx="7">
                  <c:v>111.111467202014</c:v>
                </c:pt>
                <c:pt idx="8">
                  <c:v>110.395681823258</c:v>
                </c:pt>
                <c:pt idx="9">
                  <c:v>111.60774252296299</c:v>
                </c:pt>
                <c:pt idx="10">
                  <c:v>111.040508942708</c:v>
                </c:pt>
                <c:pt idx="11">
                  <c:v>112.039796427231</c:v>
                </c:pt>
                <c:pt idx="12">
                  <c:v>112.025569850132</c:v>
                </c:pt>
                <c:pt idx="13">
                  <c:v>112.24716130900499</c:v>
                </c:pt>
                <c:pt idx="14">
                  <c:v>113.390690356063</c:v>
                </c:pt>
                <c:pt idx="15">
                  <c:v>112.825494062019</c:v>
                </c:pt>
                <c:pt idx="16">
                  <c:v>113.128793730501</c:v>
                </c:pt>
                <c:pt idx="17">
                  <c:v>113.97007327280799</c:v>
                </c:pt>
                <c:pt idx="18">
                  <c:v>113.94040436112201</c:v>
                </c:pt>
                <c:pt idx="19">
                  <c:v>113.60255233025001</c:v>
                </c:pt>
                <c:pt idx="20">
                  <c:v>113.99201612002</c:v>
                </c:pt>
                <c:pt idx="21">
                  <c:v>114.339740301037</c:v>
                </c:pt>
                <c:pt idx="22">
                  <c:v>114.193566030637</c:v>
                </c:pt>
                <c:pt idx="23">
                  <c:v>111.851741363202</c:v>
                </c:pt>
                <c:pt idx="24">
                  <c:v>114.716173617317</c:v>
                </c:pt>
                <c:pt idx="25">
                  <c:v>115.76619911704201</c:v>
                </c:pt>
                <c:pt idx="26">
                  <c:v>114.528627817917</c:v>
                </c:pt>
                <c:pt idx="27">
                  <c:v>115.056548438284</c:v>
                </c:pt>
                <c:pt idx="28">
                  <c:v>115.66913681020699</c:v>
                </c:pt>
                <c:pt idx="29">
                  <c:v>116.10138278842599</c:v>
                </c:pt>
                <c:pt idx="30">
                  <c:v>116.20555133815</c:v>
                </c:pt>
                <c:pt idx="31">
                  <c:v>116.49855422180499</c:v>
                </c:pt>
                <c:pt idx="32">
                  <c:v>116.52196036417899</c:v>
                </c:pt>
                <c:pt idx="33">
                  <c:v>115.374638782207</c:v>
                </c:pt>
                <c:pt idx="34">
                  <c:v>115.96608672665501</c:v>
                </c:pt>
                <c:pt idx="35">
                  <c:v>115.65325404709201</c:v>
                </c:pt>
                <c:pt idx="36">
                  <c:v>116.523940546527</c:v>
                </c:pt>
                <c:pt idx="37">
                  <c:v>114.295568792192</c:v>
                </c:pt>
                <c:pt idx="38">
                  <c:v>111.79658021803</c:v>
                </c:pt>
                <c:pt idx="39">
                  <c:v>87.403902661613401</c:v>
                </c:pt>
                <c:pt idx="40">
                  <c:v>88.1209319841183</c:v>
                </c:pt>
                <c:pt idx="41">
                  <c:v>96.695192196142997</c:v>
                </c:pt>
                <c:pt idx="42">
                  <c:v>102.582733645131</c:v>
                </c:pt>
                <c:pt idx="43">
                  <c:v>105.545457486473</c:v>
                </c:pt>
                <c:pt idx="44">
                  <c:v>107.60581736749501</c:v>
                </c:pt>
                <c:pt idx="45">
                  <c:v>107.41533612538301</c:v>
                </c:pt>
                <c:pt idx="46">
                  <c:v>110.27302112501999</c:v>
                </c:pt>
                <c:pt idx="47">
                  <c:v>109.11900300853399</c:v>
                </c:pt>
                <c:pt idx="48">
                  <c:v>108.545486462235</c:v>
                </c:pt>
                <c:pt idx="49">
                  <c:v>110.510003321787</c:v>
                </c:pt>
                <c:pt idx="50">
                  <c:v>113.878137505233</c:v>
                </c:pt>
                <c:pt idx="51">
                  <c:v>113.493768267782</c:v>
                </c:pt>
                <c:pt idx="52">
                  <c:v>113.540321589699</c:v>
                </c:pt>
                <c:pt idx="53">
                  <c:v>113.590488965006</c:v>
                </c:pt>
                <c:pt idx="54">
                  <c:v>112.80334049546499</c:v>
                </c:pt>
                <c:pt idx="55">
                  <c:v>113.60575483800901</c:v>
                </c:pt>
                <c:pt idx="56">
                  <c:v>113.959564565189</c:v>
                </c:pt>
                <c:pt idx="57">
                  <c:v>114.28725441079899</c:v>
                </c:pt>
                <c:pt idx="58">
                  <c:v>114.996097264776</c:v>
                </c:pt>
                <c:pt idx="59">
                  <c:v>115.168996175411</c:v>
                </c:pt>
                <c:pt idx="60">
                  <c:v>116.137077603721</c:v>
                </c:pt>
                <c:pt idx="61">
                  <c:v>117.33249865243999</c:v>
                </c:pt>
                <c:pt idx="62">
                  <c:v>117.834189567933</c:v>
                </c:pt>
                <c:pt idx="63">
                  <c:v>118.320124037403</c:v>
                </c:pt>
                <c:pt idx="64">
                  <c:v>118.80450294638401</c:v>
                </c:pt>
                <c:pt idx="65">
                  <c:v>118.44675885047199</c:v>
                </c:pt>
                <c:pt idx="66">
                  <c:v>119.30076103273601</c:v>
                </c:pt>
                <c:pt idx="67">
                  <c:v>118.83302653781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3F-48FF-A884-467713D4B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717096784"/>
        <c:axId val="717099528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Tendencia-Ciclo.xlsx]Datos'!$F$114:$F$185</c:f>
              <c:numCache>
                <c:formatCode>0.0_)</c:formatCode>
                <c:ptCount val="68"/>
                <c:pt idx="0">
                  <c:v>112.66117026344099</c:v>
                </c:pt>
                <c:pt idx="1">
                  <c:v>112.236719887297</c:v>
                </c:pt>
                <c:pt idx="2">
                  <c:v>111.882987158566</c:v>
                </c:pt>
                <c:pt idx="3">
                  <c:v>111.625370380625</c:v>
                </c:pt>
                <c:pt idx="4">
                  <c:v>111.45917037279899</c:v>
                </c:pt>
                <c:pt idx="5">
                  <c:v>111.330051395925</c:v>
                </c:pt>
                <c:pt idx="6">
                  <c:v>111.21592453608901</c:v>
                </c:pt>
                <c:pt idx="7">
                  <c:v>111.128147213011</c:v>
                </c:pt>
                <c:pt idx="8">
                  <c:v>111.098783250007</c:v>
                </c:pt>
                <c:pt idx="9">
                  <c:v>111.18187172152</c:v>
                </c:pt>
                <c:pt idx="10">
                  <c:v>111.41128393833201</c:v>
                </c:pt>
                <c:pt idx="11">
                  <c:v>111.734884079248</c:v>
                </c:pt>
                <c:pt idx="12">
                  <c:v>112.10188819963599</c:v>
                </c:pt>
                <c:pt idx="13">
                  <c:v>112.475881612512</c:v>
                </c:pt>
                <c:pt idx="14">
                  <c:v>112.82258093741</c:v>
                </c:pt>
                <c:pt idx="15">
                  <c:v>113.127209356091</c:v>
                </c:pt>
                <c:pt idx="16">
                  <c:v>113.391985329829</c:v>
                </c:pt>
                <c:pt idx="17">
                  <c:v>113.606292441237</c:v>
                </c:pt>
                <c:pt idx="18">
                  <c:v>113.77944841358899</c:v>
                </c:pt>
                <c:pt idx="19">
                  <c:v>113.90500859954</c:v>
                </c:pt>
                <c:pt idx="20">
                  <c:v>114.021334498857</c:v>
                </c:pt>
                <c:pt idx="21">
                  <c:v>114.136667781326</c:v>
                </c:pt>
                <c:pt idx="22">
                  <c:v>114.239892662165</c:v>
                </c:pt>
                <c:pt idx="23">
                  <c:v>114.35710671637401</c:v>
                </c:pt>
                <c:pt idx="24">
                  <c:v>114.500259007504</c:v>
                </c:pt>
                <c:pt idx="25">
                  <c:v>114.676411020872</c:v>
                </c:pt>
                <c:pt idx="26">
                  <c:v>114.914950385759</c:v>
                </c:pt>
                <c:pt idx="27">
                  <c:v>115.248673366752</c:v>
                </c:pt>
                <c:pt idx="28">
                  <c:v>115.618969859407</c:v>
                </c:pt>
                <c:pt idx="29">
                  <c:v>115.949363549563</c:v>
                </c:pt>
                <c:pt idx="30">
                  <c:v>116.19158682387</c:v>
                </c:pt>
                <c:pt idx="31">
                  <c:v>116.30290544303701</c:v>
                </c:pt>
                <c:pt idx="32">
                  <c:v>116.254174528238</c:v>
                </c:pt>
                <c:pt idx="33">
                  <c:v>116.060258878952</c:v>
                </c:pt>
                <c:pt idx="34">
                  <c:v>115.740798426387</c:v>
                </c:pt>
                <c:pt idx="35">
                  <c:v>115.303547683901</c:v>
                </c:pt>
                <c:pt idx="36">
                  <c:v>114.770512682324</c:v>
                </c:pt>
                <c:pt idx="37">
                  <c:v>114.205882727676</c:v>
                </c:pt>
                <c:pt idx="38">
                  <c:v>113.72183210407</c:v>
                </c:pt>
                <c:pt idx="39">
                  <c:v>103.255838035821</c:v>
                </c:pt>
                <c:pt idx="40">
                  <c:v>103.325058240947</c:v>
                </c:pt>
                <c:pt idx="41">
                  <c:v>103.75885717100699</c:v>
                </c:pt>
                <c:pt idx="42">
                  <c:v>104.48499305663201</c:v>
                </c:pt>
                <c:pt idx="43">
                  <c:v>105.408328871447</c:v>
                </c:pt>
                <c:pt idx="44">
                  <c:v>106.41057771667499</c:v>
                </c:pt>
                <c:pt idx="45">
                  <c:v>107.389535077996</c:v>
                </c:pt>
                <c:pt idx="46">
                  <c:v>108.329647465636</c:v>
                </c:pt>
                <c:pt idx="47">
                  <c:v>109.26799100485501</c:v>
                </c:pt>
                <c:pt idx="48">
                  <c:v>110.24021740340299</c:v>
                </c:pt>
                <c:pt idx="49">
                  <c:v>111.21260793924399</c:v>
                </c:pt>
                <c:pt idx="50">
                  <c:v>112.089798338656</c:v>
                </c:pt>
                <c:pt idx="51">
                  <c:v>112.77638634130901</c:v>
                </c:pt>
                <c:pt idx="52">
                  <c:v>113.221175743213</c:v>
                </c:pt>
                <c:pt idx="53">
                  <c:v>113.461422475077</c:v>
                </c:pt>
                <c:pt idx="54">
                  <c:v>113.581412156748</c:v>
                </c:pt>
                <c:pt idx="55">
                  <c:v>113.690962806274</c:v>
                </c:pt>
                <c:pt idx="56">
                  <c:v>113.902758423069</c:v>
                </c:pt>
                <c:pt idx="57">
                  <c:v>114.296369833908</c:v>
                </c:pt>
                <c:pt idx="58">
                  <c:v>114.859597501198</c:v>
                </c:pt>
                <c:pt idx="59">
                  <c:v>115.549979946368</c:v>
                </c:pt>
                <c:pt idx="60">
                  <c:v>116.295289878906</c:v>
                </c:pt>
                <c:pt idx="61">
                  <c:v>117.036139129353</c:v>
                </c:pt>
                <c:pt idx="62">
                  <c:v>117.696766275828</c:v>
                </c:pt>
                <c:pt idx="63">
                  <c:v>118.206724188542</c:v>
                </c:pt>
                <c:pt idx="64">
                  <c:v>118.54779545256901</c:v>
                </c:pt>
                <c:pt idx="65">
                  <c:v>118.781130957301</c:v>
                </c:pt>
                <c:pt idx="66">
                  <c:v>119.01225278674301</c:v>
                </c:pt>
                <c:pt idx="67">
                  <c:v>119.329364985723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3F-48FF-A884-467713D4B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784"/>
        <c:axId val="717099528"/>
      </c:lineChart>
      <c:catAx>
        <c:axId val="717096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9528"/>
        <c:scaling>
          <c:orientation val="minMax"/>
          <c:max val="122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6784"/>
        <c:crosses val="autoZero"/>
        <c:crossBetween val="between"/>
        <c:majorUnit val="5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6050070028011484E-2"/>
          <c:y val="0.95347564313084165"/>
          <c:w val="0.9072138188608776"/>
          <c:h val="4.324028461959495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8169261904761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6350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Tendencia-Ciclo.xlsx]Datos'!$C$114:$C$185</c:f>
              <c:numCache>
                <c:formatCode>0.0_)</c:formatCode>
                <c:ptCount val="68"/>
                <c:pt idx="0">
                  <c:v>107.9845053758</c:v>
                </c:pt>
                <c:pt idx="1">
                  <c:v>107.510041992403</c:v>
                </c:pt>
                <c:pt idx="2">
                  <c:v>106.64914051721701</c:v>
                </c:pt>
                <c:pt idx="3">
                  <c:v>107.16326659293399</c:v>
                </c:pt>
                <c:pt idx="4">
                  <c:v>106.278759738655</c:v>
                </c:pt>
                <c:pt idx="5">
                  <c:v>106.81418110300601</c:v>
                </c:pt>
                <c:pt idx="6">
                  <c:v>107.51510358864699</c:v>
                </c:pt>
                <c:pt idx="7">
                  <c:v>108.309768318324</c:v>
                </c:pt>
                <c:pt idx="8">
                  <c:v>107.50963314410301</c:v>
                </c:pt>
                <c:pt idx="9">
                  <c:v>107.63050439281</c:v>
                </c:pt>
                <c:pt idx="10">
                  <c:v>107.93714557515599</c:v>
                </c:pt>
                <c:pt idx="11">
                  <c:v>108.79920699758</c:v>
                </c:pt>
                <c:pt idx="12">
                  <c:v>108.415277894022</c:v>
                </c:pt>
                <c:pt idx="13">
                  <c:v>109.09970195609399</c:v>
                </c:pt>
                <c:pt idx="14">
                  <c:v>110.664136944791</c:v>
                </c:pt>
                <c:pt idx="15">
                  <c:v>110.45571771801301</c:v>
                </c:pt>
                <c:pt idx="16">
                  <c:v>111.289939189525</c:v>
                </c:pt>
                <c:pt idx="17">
                  <c:v>111.506810163075</c:v>
                </c:pt>
                <c:pt idx="18">
                  <c:v>109.89391209857099</c:v>
                </c:pt>
                <c:pt idx="19">
                  <c:v>110.603589523615</c:v>
                </c:pt>
                <c:pt idx="20">
                  <c:v>110.897195464383</c:v>
                </c:pt>
                <c:pt idx="21">
                  <c:v>112.771688197572</c:v>
                </c:pt>
                <c:pt idx="22">
                  <c:v>109.503318718625</c:v>
                </c:pt>
                <c:pt idx="23">
                  <c:v>106.748369638862</c:v>
                </c:pt>
                <c:pt idx="24">
                  <c:v>108.612447796306</c:v>
                </c:pt>
                <c:pt idx="25">
                  <c:v>108.219238684922</c:v>
                </c:pt>
                <c:pt idx="26">
                  <c:v>107.438293346988</c:v>
                </c:pt>
                <c:pt idx="27">
                  <c:v>107.94121702487099</c:v>
                </c:pt>
                <c:pt idx="28">
                  <c:v>107.27410922842201</c:v>
                </c:pt>
                <c:pt idx="29">
                  <c:v>108.149929354351</c:v>
                </c:pt>
                <c:pt idx="30">
                  <c:v>107.687559933561</c:v>
                </c:pt>
                <c:pt idx="31">
                  <c:v>107.95481996443699</c:v>
                </c:pt>
                <c:pt idx="32">
                  <c:v>107.43141657308399</c:v>
                </c:pt>
                <c:pt idx="33">
                  <c:v>106.142814866508</c:v>
                </c:pt>
                <c:pt idx="34">
                  <c:v>105.91574932477801</c:v>
                </c:pt>
                <c:pt idx="35">
                  <c:v>105.63947379173</c:v>
                </c:pt>
                <c:pt idx="36">
                  <c:v>106.44434980355</c:v>
                </c:pt>
                <c:pt idx="37">
                  <c:v>105.400175295579</c:v>
                </c:pt>
                <c:pt idx="38">
                  <c:v>103.969468516863</c:v>
                </c:pt>
                <c:pt idx="39">
                  <c:v>85.735180365158797</c:v>
                </c:pt>
                <c:pt idx="40">
                  <c:v>81.612526494981296</c:v>
                </c:pt>
                <c:pt idx="41">
                  <c:v>90.933891014161105</c:v>
                </c:pt>
                <c:pt idx="42">
                  <c:v>95.889829861459901</c:v>
                </c:pt>
                <c:pt idx="43">
                  <c:v>97.639251701251496</c:v>
                </c:pt>
                <c:pt idx="44">
                  <c:v>99.160219178193799</c:v>
                </c:pt>
                <c:pt idx="45">
                  <c:v>100.73967822573501</c:v>
                </c:pt>
                <c:pt idx="46">
                  <c:v>102.196830580366</c:v>
                </c:pt>
                <c:pt idx="47">
                  <c:v>103.812846385472</c:v>
                </c:pt>
                <c:pt idx="48">
                  <c:v>104.812287322931</c:v>
                </c:pt>
                <c:pt idx="49">
                  <c:v>106.60273968482301</c:v>
                </c:pt>
                <c:pt idx="50">
                  <c:v>108.738785915276</c:v>
                </c:pt>
                <c:pt idx="51">
                  <c:v>108.71403375733099</c:v>
                </c:pt>
                <c:pt idx="52">
                  <c:v>109.693455645436</c:v>
                </c:pt>
                <c:pt idx="53">
                  <c:v>110.290805950088</c:v>
                </c:pt>
                <c:pt idx="54">
                  <c:v>111.501996165478</c:v>
                </c:pt>
                <c:pt idx="55">
                  <c:v>111.38802655585</c:v>
                </c:pt>
                <c:pt idx="56">
                  <c:v>112.07877832019101</c:v>
                </c:pt>
                <c:pt idx="57">
                  <c:v>112.810991171883</c:v>
                </c:pt>
                <c:pt idx="58">
                  <c:v>113.23811551339099</c:v>
                </c:pt>
                <c:pt idx="59">
                  <c:v>113.110844266979</c:v>
                </c:pt>
                <c:pt idx="60">
                  <c:v>114.126822122969</c:v>
                </c:pt>
                <c:pt idx="61">
                  <c:v>114.137682867091</c:v>
                </c:pt>
                <c:pt idx="62">
                  <c:v>116.735742672786</c:v>
                </c:pt>
                <c:pt idx="63">
                  <c:v>115.905823989524</c:v>
                </c:pt>
                <c:pt idx="64">
                  <c:v>115.92246077436999</c:v>
                </c:pt>
                <c:pt idx="65">
                  <c:v>115.737815163584</c:v>
                </c:pt>
                <c:pt idx="66">
                  <c:v>115.369759484494</c:v>
                </c:pt>
                <c:pt idx="67">
                  <c:v>114.244456822182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88-438C-B561-88F2F8EE17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477492480"/>
        <c:axId val="477490912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Tendencia-Ciclo.xlsx]Datos'!$D$114:$D$185</c:f>
              <c:numCache>
                <c:formatCode>0.0_)</c:formatCode>
                <c:ptCount val="68"/>
                <c:pt idx="0">
                  <c:v>107.35437195489099</c:v>
                </c:pt>
                <c:pt idx="1">
                  <c:v>107.26295031400601</c:v>
                </c:pt>
                <c:pt idx="2">
                  <c:v>107.09348182189601</c:v>
                </c:pt>
                <c:pt idx="3">
                  <c:v>106.946389894365</c:v>
                </c:pt>
                <c:pt idx="4">
                  <c:v>106.90265690767799</c:v>
                </c:pt>
                <c:pt idx="5">
                  <c:v>107.000286378277</c:v>
                </c:pt>
                <c:pt idx="6">
                  <c:v>107.21229274352299</c:v>
                </c:pt>
                <c:pt idx="7">
                  <c:v>107.463804585285</c:v>
                </c:pt>
                <c:pt idx="8">
                  <c:v>107.668419426466</c:v>
                </c:pt>
                <c:pt idx="9">
                  <c:v>107.85115601164</c:v>
                </c:pt>
                <c:pt idx="10">
                  <c:v>108.073487098103</c:v>
                </c:pt>
                <c:pt idx="11">
                  <c:v>108.394287493031</c:v>
                </c:pt>
                <c:pt idx="12">
                  <c:v>108.88589857893901</c:v>
                </c:pt>
                <c:pt idx="13">
                  <c:v>109.50321138267699</c:v>
                </c:pt>
                <c:pt idx="14">
                  <c:v>110.120776785904</c:v>
                </c:pt>
                <c:pt idx="15">
                  <c:v>110.632463995093</c:v>
                </c:pt>
                <c:pt idx="16">
                  <c:v>110.985913326839</c:v>
                </c:pt>
                <c:pt idx="17">
                  <c:v>111.14091513893899</c:v>
                </c:pt>
                <c:pt idx="18">
                  <c:v>111.08978516754701</c:v>
                </c:pt>
                <c:pt idx="19">
                  <c:v>110.861903936402</c:v>
                </c:pt>
                <c:pt idx="20">
                  <c:v>110.533804046795</c:v>
                </c:pt>
                <c:pt idx="21">
                  <c:v>110.11774502259</c:v>
                </c:pt>
                <c:pt idx="22">
                  <c:v>109.632333339512</c:v>
                </c:pt>
                <c:pt idx="23">
                  <c:v>109.10845912747401</c:v>
                </c:pt>
                <c:pt idx="24">
                  <c:v>108.590755340421</c:v>
                </c:pt>
                <c:pt idx="25">
                  <c:v>108.14846825839901</c:v>
                </c:pt>
                <c:pt idx="26">
                  <c:v>107.85993917678699</c:v>
                </c:pt>
                <c:pt idx="27">
                  <c:v>107.750856355962</c:v>
                </c:pt>
                <c:pt idx="28">
                  <c:v>107.759802631187</c:v>
                </c:pt>
                <c:pt idx="29">
                  <c:v>107.789214341442</c:v>
                </c:pt>
                <c:pt idx="30">
                  <c:v>107.724199798859</c:v>
                </c:pt>
                <c:pt idx="31">
                  <c:v>107.49145840376001</c:v>
                </c:pt>
                <c:pt idx="32">
                  <c:v>107.118352374796</c:v>
                </c:pt>
                <c:pt idx="33">
                  <c:v>106.66380950473599</c:v>
                </c:pt>
                <c:pt idx="34">
                  <c:v>106.172768690512</c:v>
                </c:pt>
                <c:pt idx="35">
                  <c:v>105.693843523637</c:v>
                </c:pt>
                <c:pt idx="36">
                  <c:v>105.274684215557</c:v>
                </c:pt>
                <c:pt idx="37">
                  <c:v>104.91129777422</c:v>
                </c:pt>
                <c:pt idx="38">
                  <c:v>104.612907936189</c:v>
                </c:pt>
                <c:pt idx="39">
                  <c:v>96.103504236293105</c:v>
                </c:pt>
                <c:pt idx="40">
                  <c:v>96.093781225755293</c:v>
                </c:pt>
                <c:pt idx="41">
                  <c:v>96.369595366662494</c:v>
                </c:pt>
                <c:pt idx="42">
                  <c:v>96.991483064096897</c:v>
                </c:pt>
                <c:pt idx="43">
                  <c:v>97.943497359619499</c:v>
                </c:pt>
                <c:pt idx="44">
                  <c:v>99.146379993529493</c:v>
                </c:pt>
                <c:pt idx="45">
                  <c:v>100.553131702295</c:v>
                </c:pt>
                <c:pt idx="46">
                  <c:v>102.106474292808</c:v>
                </c:pt>
                <c:pt idx="47">
                  <c:v>103.69898741697</c:v>
                </c:pt>
                <c:pt idx="48">
                  <c:v>105.210191240108</c:v>
                </c:pt>
                <c:pt idx="49">
                  <c:v>106.602266304982</c:v>
                </c:pt>
                <c:pt idx="50">
                  <c:v>107.84160357549599</c:v>
                </c:pt>
                <c:pt idx="51">
                  <c:v>108.90029365898999</c:v>
                </c:pt>
                <c:pt idx="52">
                  <c:v>109.77182197587901</c:v>
                </c:pt>
                <c:pt idx="53">
                  <c:v>110.49620991409699</c:v>
                </c:pt>
                <c:pt idx="54">
                  <c:v>111.10993594833801</c:v>
                </c:pt>
                <c:pt idx="55">
                  <c:v>111.66080413713701</c:v>
                </c:pt>
                <c:pt idx="56">
                  <c:v>112.166565264773</c:v>
                </c:pt>
                <c:pt idx="57">
                  <c:v>112.617822269746</c:v>
                </c:pt>
                <c:pt idx="58">
                  <c:v>113.041595328874</c:v>
                </c:pt>
                <c:pt idx="59">
                  <c:v>113.508145817261</c:v>
                </c:pt>
                <c:pt idx="60">
                  <c:v>114.03985499704</c:v>
                </c:pt>
                <c:pt idx="61">
                  <c:v>114.594382615125</c:v>
                </c:pt>
                <c:pt idx="62">
                  <c:v>115.09827208992201</c:v>
                </c:pt>
                <c:pt idx="63">
                  <c:v>115.470950739703</c:v>
                </c:pt>
                <c:pt idx="64">
                  <c:v>115.65737847866301</c:v>
                </c:pt>
                <c:pt idx="65">
                  <c:v>115.680140878519</c:v>
                </c:pt>
                <c:pt idx="66">
                  <c:v>115.64836423156299</c:v>
                </c:pt>
                <c:pt idx="67">
                  <c:v>115.71067357153299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88-438C-B561-88F2F8EE17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7492480"/>
        <c:axId val="477490912"/>
      </c:lineChart>
      <c:catAx>
        <c:axId val="477492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0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77490912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2480"/>
        <c:crosses val="autoZero"/>
        <c:crossBetween val="between"/>
        <c:majorUnit val="10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490131578947365"/>
          <c:w val="0.912406629318394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71527777777781E-2"/>
          <c:y val="5.1247378508283412E-2"/>
          <c:w val="0.92280486111111104"/>
          <c:h val="0.818901587301587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C3D69B"/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Tendencia-Ciclo.xlsx]Datos'!$G$114:$G$185</c:f>
              <c:numCache>
                <c:formatCode>0.0_)</c:formatCode>
                <c:ptCount val="68"/>
                <c:pt idx="0">
                  <c:v>108.94671642863401</c:v>
                </c:pt>
                <c:pt idx="1">
                  <c:v>107.853233060975</c:v>
                </c:pt>
                <c:pt idx="2">
                  <c:v>108.035911204009</c:v>
                </c:pt>
                <c:pt idx="3">
                  <c:v>108.01155393395</c:v>
                </c:pt>
                <c:pt idx="4">
                  <c:v>108.43463807572699</c:v>
                </c:pt>
                <c:pt idx="5">
                  <c:v>108.77878488058199</c:v>
                </c:pt>
                <c:pt idx="6">
                  <c:v>110.954812583136</c:v>
                </c:pt>
                <c:pt idx="7">
                  <c:v>111.17893337851901</c:v>
                </c:pt>
                <c:pt idx="8">
                  <c:v>111.547910452439</c:v>
                </c:pt>
                <c:pt idx="9">
                  <c:v>111.55931073423901</c:v>
                </c:pt>
                <c:pt idx="10">
                  <c:v>111.850179617693</c:v>
                </c:pt>
                <c:pt idx="11">
                  <c:v>112.03001141799599</c:v>
                </c:pt>
                <c:pt idx="12">
                  <c:v>112.40172188768901</c:v>
                </c:pt>
                <c:pt idx="13">
                  <c:v>112.9102356688</c:v>
                </c:pt>
                <c:pt idx="14">
                  <c:v>113.157407293418</c:v>
                </c:pt>
                <c:pt idx="15">
                  <c:v>113.670058921712</c:v>
                </c:pt>
                <c:pt idx="16">
                  <c:v>114.658921789329</c:v>
                </c:pt>
                <c:pt idx="17">
                  <c:v>114.31821143835499</c:v>
                </c:pt>
                <c:pt idx="18">
                  <c:v>114.80998911657301</c:v>
                </c:pt>
                <c:pt idx="19">
                  <c:v>114.91312408285999</c:v>
                </c:pt>
                <c:pt idx="20">
                  <c:v>114.775262939236</c:v>
                </c:pt>
                <c:pt idx="21">
                  <c:v>115.269672996951</c:v>
                </c:pt>
                <c:pt idx="22">
                  <c:v>115.474886632853</c:v>
                </c:pt>
                <c:pt idx="23">
                  <c:v>115.859265149244</c:v>
                </c:pt>
                <c:pt idx="24">
                  <c:v>116.00262645522</c:v>
                </c:pt>
                <c:pt idx="25">
                  <c:v>116.151467727114</c:v>
                </c:pt>
                <c:pt idx="26">
                  <c:v>116.54556766987101</c:v>
                </c:pt>
                <c:pt idx="27">
                  <c:v>116.80133016158</c:v>
                </c:pt>
                <c:pt idx="28">
                  <c:v>117.263700115232</c:v>
                </c:pt>
                <c:pt idx="29">
                  <c:v>117.568179583843</c:v>
                </c:pt>
                <c:pt idx="30">
                  <c:v>117.47717656003201</c:v>
                </c:pt>
                <c:pt idx="31">
                  <c:v>117.083981753917</c:v>
                </c:pt>
                <c:pt idx="32">
                  <c:v>117.11086397291901</c:v>
                </c:pt>
                <c:pt idx="33">
                  <c:v>117.18381858682</c:v>
                </c:pt>
                <c:pt idx="34">
                  <c:v>117.29088063656199</c:v>
                </c:pt>
                <c:pt idx="35">
                  <c:v>117.42572067155599</c:v>
                </c:pt>
                <c:pt idx="36">
                  <c:v>117.57940650572399</c:v>
                </c:pt>
                <c:pt idx="37">
                  <c:v>117.467190646657</c:v>
                </c:pt>
                <c:pt idx="38">
                  <c:v>117.224727690286</c:v>
                </c:pt>
                <c:pt idx="39">
                  <c:v>115.31816860614801</c:v>
                </c:pt>
                <c:pt idx="40">
                  <c:v>114.641613754389</c:v>
                </c:pt>
                <c:pt idx="41">
                  <c:v>114.319140850778</c:v>
                </c:pt>
                <c:pt idx="42">
                  <c:v>114.269302617497</c:v>
                </c:pt>
                <c:pt idx="43">
                  <c:v>114.221726152424</c:v>
                </c:pt>
                <c:pt idx="44">
                  <c:v>114.451422632104</c:v>
                </c:pt>
                <c:pt idx="45">
                  <c:v>114.63090978273701</c:v>
                </c:pt>
                <c:pt idx="46">
                  <c:v>114.37390685956299</c:v>
                </c:pt>
                <c:pt idx="47">
                  <c:v>114.632220296244</c:v>
                </c:pt>
                <c:pt idx="48">
                  <c:v>114.842957045449</c:v>
                </c:pt>
                <c:pt idx="49">
                  <c:v>115.049745366178</c:v>
                </c:pt>
                <c:pt idx="50">
                  <c:v>115.880110490148</c:v>
                </c:pt>
                <c:pt idx="51">
                  <c:v>115.703978282934</c:v>
                </c:pt>
                <c:pt idx="52">
                  <c:v>116.249431452053</c:v>
                </c:pt>
                <c:pt idx="53">
                  <c:v>116.595988073817</c:v>
                </c:pt>
                <c:pt idx="54">
                  <c:v>116.552862383879</c:v>
                </c:pt>
                <c:pt idx="55">
                  <c:v>117.299521718362</c:v>
                </c:pt>
                <c:pt idx="56">
                  <c:v>117.370411532031</c:v>
                </c:pt>
                <c:pt idx="57">
                  <c:v>117.60761795246199</c:v>
                </c:pt>
                <c:pt idx="58">
                  <c:v>118.02552435083901</c:v>
                </c:pt>
                <c:pt idx="59">
                  <c:v>117.57373809722399</c:v>
                </c:pt>
                <c:pt idx="60">
                  <c:v>117.60791546326401</c:v>
                </c:pt>
                <c:pt idx="61">
                  <c:v>117.82092325379899</c:v>
                </c:pt>
                <c:pt idx="62">
                  <c:v>118.14349908277499</c:v>
                </c:pt>
                <c:pt idx="63">
                  <c:v>118.220662834621</c:v>
                </c:pt>
                <c:pt idx="64">
                  <c:v>118.10822627272999</c:v>
                </c:pt>
                <c:pt idx="65">
                  <c:v>118.198371001159</c:v>
                </c:pt>
                <c:pt idx="66">
                  <c:v>118.264617979082</c:v>
                </c:pt>
                <c:pt idx="67">
                  <c:v>118.45606302098101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EB-4BC2-BA59-D06181B596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17098352"/>
        <c:axId val="717097176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Tendencia-Ciclo.xlsx]Datos'!$H$114:$H$185</c:f>
              <c:numCache>
                <c:formatCode>0.0_)</c:formatCode>
                <c:ptCount val="68"/>
                <c:pt idx="0">
                  <c:v>108.27261657072199</c:v>
                </c:pt>
                <c:pt idx="1">
                  <c:v>108.142157512171</c:v>
                </c:pt>
                <c:pt idx="2">
                  <c:v>108.037694563839</c:v>
                </c:pt>
                <c:pt idx="3">
                  <c:v>108.148496854052</c:v>
                </c:pt>
                <c:pt idx="4">
                  <c:v>108.58707142343199</c:v>
                </c:pt>
                <c:pt idx="5">
                  <c:v>109.347083796883</c:v>
                </c:pt>
                <c:pt idx="6">
                  <c:v>110.21891155778199</c:v>
                </c:pt>
                <c:pt idx="7">
                  <c:v>110.958376926611</c:v>
                </c:pt>
                <c:pt idx="8">
                  <c:v>111.43193621941199</c:v>
                </c:pt>
                <c:pt idx="9">
                  <c:v>111.678874217008</c:v>
                </c:pt>
                <c:pt idx="10">
                  <c:v>111.858618763286</c:v>
                </c:pt>
                <c:pt idx="11">
                  <c:v>112.092964569497</c:v>
                </c:pt>
                <c:pt idx="12">
                  <c:v>112.42130694894</c:v>
                </c:pt>
                <c:pt idx="13">
                  <c:v>112.82210640042599</c:v>
                </c:pt>
                <c:pt idx="14">
                  <c:v>113.243108925968</c:v>
                </c:pt>
                <c:pt idx="15">
                  <c:v>113.668387929868</c:v>
                </c:pt>
                <c:pt idx="16">
                  <c:v>114.081474457021</c:v>
                </c:pt>
                <c:pt idx="17">
                  <c:v>114.42653526469</c:v>
                </c:pt>
                <c:pt idx="18">
                  <c:v>114.672292842907</c:v>
                </c:pt>
                <c:pt idx="19">
                  <c:v>114.834620550716</c:v>
                </c:pt>
                <c:pt idx="20">
                  <c:v>114.999653586854</c:v>
                </c:pt>
                <c:pt idx="21">
                  <c:v>115.22033351419201</c:v>
                </c:pt>
                <c:pt idx="22">
                  <c:v>115.48462257445</c:v>
                </c:pt>
                <c:pt idx="23">
                  <c:v>115.76388093374101</c:v>
                </c:pt>
                <c:pt idx="24">
                  <c:v>116.003866154389</c:v>
                </c:pt>
                <c:pt idx="25">
                  <c:v>116.233130100967</c:v>
                </c:pt>
                <c:pt idx="26">
                  <c:v>116.531791085446</c:v>
                </c:pt>
                <c:pt idx="27">
                  <c:v>116.898329088686</c:v>
                </c:pt>
                <c:pt idx="28">
                  <c:v>117.232161623232</c:v>
                </c:pt>
                <c:pt idx="29">
                  <c:v>117.40250710724899</c:v>
                </c:pt>
                <c:pt idx="30">
                  <c:v>117.38303174939701</c:v>
                </c:pt>
                <c:pt idx="31">
                  <c:v>117.25892352113701</c:v>
                </c:pt>
                <c:pt idx="32">
                  <c:v>117.154940119297</c:v>
                </c:pt>
                <c:pt idx="33">
                  <c:v>117.17574624495001</c:v>
                </c:pt>
                <c:pt idx="34">
                  <c:v>117.30654939996499</c:v>
                </c:pt>
                <c:pt idx="35">
                  <c:v>117.44684617332901</c:v>
                </c:pt>
                <c:pt idx="36">
                  <c:v>117.516912848386</c:v>
                </c:pt>
                <c:pt idx="37">
                  <c:v>117.45131537456299</c:v>
                </c:pt>
                <c:pt idx="38">
                  <c:v>117.19484048285599</c:v>
                </c:pt>
                <c:pt idx="39">
                  <c:v>115.193768724207</c:v>
                </c:pt>
                <c:pt idx="40">
                  <c:v>114.753891268231</c:v>
                </c:pt>
                <c:pt idx="41">
                  <c:v>114.409263863719</c:v>
                </c:pt>
                <c:pt idx="42">
                  <c:v>114.260110286962</c:v>
                </c:pt>
                <c:pt idx="43">
                  <c:v>114.28684933445901</c:v>
                </c:pt>
                <c:pt idx="44">
                  <c:v>114.386707511758</c:v>
                </c:pt>
                <c:pt idx="45">
                  <c:v>114.474286838315</c:v>
                </c:pt>
                <c:pt idx="46">
                  <c:v>114.54656277746101</c:v>
                </c:pt>
                <c:pt idx="47">
                  <c:v>114.64884771940601</c:v>
                </c:pt>
                <c:pt idx="48">
                  <c:v>114.816546141559</c:v>
                </c:pt>
                <c:pt idx="49">
                  <c:v>115.077079281845</c:v>
                </c:pt>
                <c:pt idx="50">
                  <c:v>115.412965256782</c:v>
                </c:pt>
                <c:pt idx="51">
                  <c:v>115.784402649787</c:v>
                </c:pt>
                <c:pt idx="52">
                  <c:v>116.18793472102401</c:v>
                </c:pt>
                <c:pt idx="53">
                  <c:v>116.580008371798</c:v>
                </c:pt>
                <c:pt idx="54">
                  <c:v>116.925848441992</c:v>
                </c:pt>
                <c:pt idx="55">
                  <c:v>117.217495964346</c:v>
                </c:pt>
                <c:pt idx="56">
                  <c:v>117.43635500282799</c:v>
                </c:pt>
                <c:pt idx="57">
                  <c:v>117.56859672547201</c:v>
                </c:pt>
                <c:pt idx="58">
                  <c:v>117.61062182808401</c:v>
                </c:pt>
                <c:pt idx="59">
                  <c:v>117.63132026678601</c:v>
                </c:pt>
                <c:pt idx="60">
                  <c:v>117.71333429186799</c:v>
                </c:pt>
                <c:pt idx="61">
                  <c:v>117.85986371907499</c:v>
                </c:pt>
                <c:pt idx="62">
                  <c:v>118.02861741349901</c:v>
                </c:pt>
                <c:pt idx="63">
                  <c:v>118.14249989483601</c:v>
                </c:pt>
                <c:pt idx="64">
                  <c:v>118.17817399683599</c:v>
                </c:pt>
                <c:pt idx="65">
                  <c:v>118.21853840457</c:v>
                </c:pt>
                <c:pt idx="66">
                  <c:v>118.313595774389</c:v>
                </c:pt>
                <c:pt idx="67">
                  <c:v>118.459693106635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EB-4BC2-BA59-D06181B596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8352"/>
        <c:axId val="717097176"/>
      </c:lineChart>
      <c:catAx>
        <c:axId val="7170983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717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7176"/>
        <c:scaling>
          <c:orientation val="minMax"/>
          <c:max val="120"/>
          <c:min val="10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8352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5783263888888903"/>
          <c:w val="0.90647759103641457"/>
          <c:h val="4.0522743055555553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5.4987406805342323E-2"/>
          <c:w val="0.92509467592592598"/>
          <c:h val="0.81102460317460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Tendencia-Ciclo.xlsx]Datos'!$K$5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Tendencia-Ciclo.xlsx]Datos'!$K$114:$K$185</c:f>
              <c:numCache>
                <c:formatCode>0.0</c:formatCode>
                <c:ptCount val="68"/>
                <c:pt idx="0">
                  <c:v>105.454521233026</c:v>
                </c:pt>
                <c:pt idx="1">
                  <c:v>105.515108901052</c:v>
                </c:pt>
                <c:pt idx="2">
                  <c:v>105.81909807968</c:v>
                </c:pt>
                <c:pt idx="3">
                  <c:v>107.125519449717</c:v>
                </c:pt>
                <c:pt idx="4">
                  <c:v>105.940499965973</c:v>
                </c:pt>
                <c:pt idx="5">
                  <c:v>106.49567702895899</c:v>
                </c:pt>
                <c:pt idx="6">
                  <c:v>106.412052651419</c:v>
                </c:pt>
                <c:pt idx="7">
                  <c:v>104.156016218452</c:v>
                </c:pt>
                <c:pt idx="8">
                  <c:v>105.43983128638099</c:v>
                </c:pt>
                <c:pt idx="9">
                  <c:v>104.90365533015</c:v>
                </c:pt>
                <c:pt idx="10">
                  <c:v>104.523319471588</c:v>
                </c:pt>
                <c:pt idx="11">
                  <c:v>106.563996458069</c:v>
                </c:pt>
                <c:pt idx="12">
                  <c:v>105.545164920727</c:v>
                </c:pt>
                <c:pt idx="13">
                  <c:v>104.373766411632</c:v>
                </c:pt>
                <c:pt idx="14">
                  <c:v>106.020634678425</c:v>
                </c:pt>
                <c:pt idx="15">
                  <c:v>106.026716519652</c:v>
                </c:pt>
                <c:pt idx="16">
                  <c:v>106.430796749278</c:v>
                </c:pt>
                <c:pt idx="17">
                  <c:v>107.562735549076</c:v>
                </c:pt>
                <c:pt idx="18">
                  <c:v>107.21022919524501</c:v>
                </c:pt>
                <c:pt idx="19">
                  <c:v>107.27417167285</c:v>
                </c:pt>
                <c:pt idx="20">
                  <c:v>107.27769934459999</c:v>
                </c:pt>
                <c:pt idx="21">
                  <c:v>106.593848738221</c:v>
                </c:pt>
                <c:pt idx="22">
                  <c:v>111.143789263305</c:v>
                </c:pt>
                <c:pt idx="23">
                  <c:v>107.02021211157999</c:v>
                </c:pt>
                <c:pt idx="24">
                  <c:v>105.993471389897</c:v>
                </c:pt>
                <c:pt idx="25">
                  <c:v>105.88989910398899</c:v>
                </c:pt>
                <c:pt idx="26">
                  <c:v>103.45318178206099</c:v>
                </c:pt>
                <c:pt idx="27">
                  <c:v>102.472816413441</c:v>
                </c:pt>
                <c:pt idx="28">
                  <c:v>104.31707331135</c:v>
                </c:pt>
                <c:pt idx="29">
                  <c:v>103.15301834652701</c:v>
                </c:pt>
                <c:pt idx="30">
                  <c:v>104.022139640991</c:v>
                </c:pt>
                <c:pt idx="31">
                  <c:v>105.73181524474001</c:v>
                </c:pt>
                <c:pt idx="32">
                  <c:v>104.15216323160701</c:v>
                </c:pt>
                <c:pt idx="33">
                  <c:v>106.16705191608099</c:v>
                </c:pt>
                <c:pt idx="34">
                  <c:v>105.642174896781</c:v>
                </c:pt>
                <c:pt idx="35">
                  <c:v>103.80292649157801</c:v>
                </c:pt>
                <c:pt idx="36">
                  <c:v>102.897992182168</c:v>
                </c:pt>
                <c:pt idx="37">
                  <c:v>102.840546586531</c:v>
                </c:pt>
                <c:pt idx="38">
                  <c:v>102.62431687741901</c:v>
                </c:pt>
                <c:pt idx="39">
                  <c:v>103.938760523768</c:v>
                </c:pt>
                <c:pt idx="40">
                  <c:v>99.643833734032796</c:v>
                </c:pt>
                <c:pt idx="41">
                  <c:v>101.986869590841</c:v>
                </c:pt>
                <c:pt idx="42">
                  <c:v>101.906196830231</c:v>
                </c:pt>
                <c:pt idx="43">
                  <c:v>102.919842070797</c:v>
                </c:pt>
                <c:pt idx="44">
                  <c:v>104.84256603471</c:v>
                </c:pt>
                <c:pt idx="45">
                  <c:v>103.10206789059799</c:v>
                </c:pt>
                <c:pt idx="46">
                  <c:v>106.105092742689</c:v>
                </c:pt>
                <c:pt idx="47">
                  <c:v>106.29912295092601</c:v>
                </c:pt>
                <c:pt idx="48">
                  <c:v>105.847023158157</c:v>
                </c:pt>
                <c:pt idx="49">
                  <c:v>105.33155179454199</c:v>
                </c:pt>
                <c:pt idx="50">
                  <c:v>105.871362615278</c:v>
                </c:pt>
                <c:pt idx="51">
                  <c:v>105.51997563381001</c:v>
                </c:pt>
                <c:pt idx="52">
                  <c:v>106.571175354671</c:v>
                </c:pt>
                <c:pt idx="53">
                  <c:v>111.28196756372</c:v>
                </c:pt>
                <c:pt idx="54">
                  <c:v>106.166338063127</c:v>
                </c:pt>
                <c:pt idx="55">
                  <c:v>105.49490123432599</c:v>
                </c:pt>
                <c:pt idx="56">
                  <c:v>104.206789493591</c:v>
                </c:pt>
                <c:pt idx="57">
                  <c:v>104.263517937985</c:v>
                </c:pt>
                <c:pt idx="58">
                  <c:v>103.478847681411</c:v>
                </c:pt>
                <c:pt idx="59">
                  <c:v>103.03584572203999</c:v>
                </c:pt>
                <c:pt idx="60">
                  <c:v>104.431513095399</c:v>
                </c:pt>
                <c:pt idx="61">
                  <c:v>104.926885705941</c:v>
                </c:pt>
                <c:pt idx="62">
                  <c:v>105.171537777414</c:v>
                </c:pt>
                <c:pt idx="63">
                  <c:v>105.636694796824</c:v>
                </c:pt>
                <c:pt idx="64">
                  <c:v>104.59680918783999</c:v>
                </c:pt>
                <c:pt idx="65">
                  <c:v>102.920027779805</c:v>
                </c:pt>
                <c:pt idx="66">
                  <c:v>103.319664450461</c:v>
                </c:pt>
                <c:pt idx="67">
                  <c:v>102.801044461638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D8-414C-BD00-3680FFC69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17096392"/>
        <c:axId val="717098744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Tendencia-Ciclo.xlsx]Datos'!$L$5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Tendencia-Ciclo.xlsx]Datos'!$L$114:$L$185</c:f>
              <c:numCache>
                <c:formatCode>0.0</c:formatCode>
                <c:ptCount val="68"/>
                <c:pt idx="0">
                  <c:v>105.448069501606</c:v>
                </c:pt>
                <c:pt idx="1">
                  <c:v>105.746106860978</c:v>
                </c:pt>
                <c:pt idx="2">
                  <c:v>106.060754258614</c:v>
                </c:pt>
                <c:pt idx="3">
                  <c:v>106.274240572184</c:v>
                </c:pt>
                <c:pt idx="4">
                  <c:v>106.324529504596</c:v>
                </c:pt>
                <c:pt idx="5">
                  <c:v>106.156961122723</c:v>
                </c:pt>
                <c:pt idx="6">
                  <c:v>105.81675322535401</c:v>
                </c:pt>
                <c:pt idx="7">
                  <c:v>105.44787868076099</c:v>
                </c:pt>
                <c:pt idx="8">
                  <c:v>105.139309772046</c:v>
                </c:pt>
                <c:pt idx="9">
                  <c:v>104.95900366174099</c:v>
                </c:pt>
                <c:pt idx="10">
                  <c:v>104.91695810966399</c:v>
                </c:pt>
                <c:pt idx="11">
                  <c:v>104.968672827201</c:v>
                </c:pt>
                <c:pt idx="12">
                  <c:v>105.12901118428999</c:v>
                </c:pt>
                <c:pt idx="13">
                  <c:v>105.37947699037601</c:v>
                </c:pt>
                <c:pt idx="14">
                  <c:v>105.722920174154</c:v>
                </c:pt>
                <c:pt idx="15">
                  <c:v>106.169463233841</c:v>
                </c:pt>
                <c:pt idx="16">
                  <c:v>106.61284431143</c:v>
                </c:pt>
                <c:pt idx="17">
                  <c:v>106.97614545953201</c:v>
                </c:pt>
                <c:pt idx="18">
                  <c:v>107.214728252532</c:v>
                </c:pt>
                <c:pt idx="19">
                  <c:v>107.289151976306</c:v>
                </c:pt>
                <c:pt idx="20">
                  <c:v>107.26837210090299</c:v>
                </c:pt>
                <c:pt idx="21">
                  <c:v>107.18114162861001</c:v>
                </c:pt>
                <c:pt idx="22">
                  <c:v>106.93119870703499</c:v>
                </c:pt>
                <c:pt idx="23">
                  <c:v>106.506154470251</c:v>
                </c:pt>
                <c:pt idx="24">
                  <c:v>105.89929808279101</c:v>
                </c:pt>
                <c:pt idx="25">
                  <c:v>105.13584432277</c:v>
                </c:pt>
                <c:pt idx="26">
                  <c:v>104.41240795664299</c:v>
                </c:pt>
                <c:pt idx="27">
                  <c:v>103.877705287833</c:v>
                </c:pt>
                <c:pt idx="28">
                  <c:v>103.661182562901</c:v>
                </c:pt>
                <c:pt idx="29">
                  <c:v>103.83465196999499</c:v>
                </c:pt>
                <c:pt idx="30">
                  <c:v>104.292629729467</c:v>
                </c:pt>
                <c:pt idx="31">
                  <c:v>104.805661747785</c:v>
                </c:pt>
                <c:pt idx="32">
                  <c:v>105.13600504914</c:v>
                </c:pt>
                <c:pt idx="33">
                  <c:v>105.120956109433</c:v>
                </c:pt>
                <c:pt idx="34">
                  <c:v>104.796386906187</c:v>
                </c:pt>
                <c:pt idx="35">
                  <c:v>104.24503659854901</c:v>
                </c:pt>
                <c:pt idx="36">
                  <c:v>103.60384970237401</c:v>
                </c:pt>
                <c:pt idx="37">
                  <c:v>103.024629343556</c:v>
                </c:pt>
                <c:pt idx="38">
                  <c:v>102.546829365544</c:v>
                </c:pt>
                <c:pt idx="39">
                  <c:v>102.238930803061</c:v>
                </c:pt>
                <c:pt idx="40">
                  <c:v>102.138184575091</c:v>
                </c:pt>
                <c:pt idx="41">
                  <c:v>102.216547620249</c:v>
                </c:pt>
                <c:pt idx="42">
                  <c:v>102.53769697302999</c:v>
                </c:pt>
                <c:pt idx="43">
                  <c:v>103.15079182199401</c:v>
                </c:pt>
                <c:pt idx="44">
                  <c:v>103.957174022936</c:v>
                </c:pt>
                <c:pt idx="45">
                  <c:v>104.774490467017</c:v>
                </c:pt>
                <c:pt idx="46">
                  <c:v>105.403115622596</c:v>
                </c:pt>
                <c:pt idx="47">
                  <c:v>105.742688451295</c:v>
                </c:pt>
                <c:pt idx="48">
                  <c:v>105.86515900566</c:v>
                </c:pt>
                <c:pt idx="49">
                  <c:v>105.90704337202899</c:v>
                </c:pt>
                <c:pt idx="50">
                  <c:v>105.99751047215</c:v>
                </c:pt>
                <c:pt idx="51">
                  <c:v>106.130228693345</c:v>
                </c:pt>
                <c:pt idx="52">
                  <c:v>106.22800786410799</c:v>
                </c:pt>
                <c:pt idx="53">
                  <c:v>106.206036526985</c:v>
                </c:pt>
                <c:pt idx="54">
                  <c:v>105.908379353801</c:v>
                </c:pt>
                <c:pt idx="55">
                  <c:v>105.33926199692399</c:v>
                </c:pt>
                <c:pt idx="56">
                  <c:v>104.65740723067501</c:v>
                </c:pt>
                <c:pt idx="57">
                  <c:v>104.077447526692</c:v>
                </c:pt>
                <c:pt idx="58">
                  <c:v>103.793611418091</c:v>
                </c:pt>
                <c:pt idx="59">
                  <c:v>103.900748212785</c:v>
                </c:pt>
                <c:pt idx="60">
                  <c:v>104.268669902602</c:v>
                </c:pt>
                <c:pt idx="61">
                  <c:v>104.67762466372</c:v>
                </c:pt>
                <c:pt idx="62">
                  <c:v>104.910960121586</c:v>
                </c:pt>
                <c:pt idx="63">
                  <c:v>104.843981655256</c:v>
                </c:pt>
                <c:pt idx="64">
                  <c:v>104.480552550738</c:v>
                </c:pt>
                <c:pt idx="65">
                  <c:v>103.917274720191</c:v>
                </c:pt>
                <c:pt idx="66">
                  <c:v>103.33515766896301</c:v>
                </c:pt>
                <c:pt idx="67">
                  <c:v>102.88364205144801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D8-414C-BD00-3680FFC69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392"/>
        <c:axId val="717098744"/>
      </c:lineChart>
      <c:catAx>
        <c:axId val="7170963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87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8744"/>
        <c:scaling>
          <c:orientation val="minMax"/>
          <c:max val="112"/>
          <c:min val="9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6392"/>
        <c:crosses val="autoZero"/>
        <c:crossBetween val="between"/>
        <c:majorUnit val="2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54930555555555E-2"/>
          <c:y val="0.95065782578344848"/>
          <c:w val="0.93245075757575757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531944444444438E-2"/>
          <c:y val="4.9618650793650791E-2"/>
          <c:w val="0.92694814814814808"/>
          <c:h val="0.8189035714285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Tendencia-Ciclo.xlsx]Datos'!$E$114:$E$185</c:f>
              <c:numCache>
                <c:formatCode>0.0_)</c:formatCode>
                <c:ptCount val="68"/>
                <c:pt idx="0">
                  <c:v>112.38299981298999</c:v>
                </c:pt>
                <c:pt idx="1">
                  <c:v>112.284399515158</c:v>
                </c:pt>
                <c:pt idx="2">
                  <c:v>111.29946396085801</c:v>
                </c:pt>
                <c:pt idx="3">
                  <c:v>111.687864587888</c:v>
                </c:pt>
                <c:pt idx="4">
                  <c:v>111.537152468587</c:v>
                </c:pt>
                <c:pt idx="5">
                  <c:v>111.46566722973201</c:v>
                </c:pt>
                <c:pt idx="6">
                  <c:v>111.482515179852</c:v>
                </c:pt>
                <c:pt idx="7">
                  <c:v>111.111467202014</c:v>
                </c:pt>
                <c:pt idx="8">
                  <c:v>110.395681823258</c:v>
                </c:pt>
                <c:pt idx="9">
                  <c:v>111.60774252296299</c:v>
                </c:pt>
                <c:pt idx="10">
                  <c:v>111.040508942708</c:v>
                </c:pt>
                <c:pt idx="11">
                  <c:v>112.039796427231</c:v>
                </c:pt>
                <c:pt idx="12">
                  <c:v>112.025569850132</c:v>
                </c:pt>
                <c:pt idx="13">
                  <c:v>112.24716130900499</c:v>
                </c:pt>
                <c:pt idx="14">
                  <c:v>113.390690356063</c:v>
                </c:pt>
                <c:pt idx="15">
                  <c:v>112.825494062019</c:v>
                </c:pt>
                <c:pt idx="16">
                  <c:v>113.128793730501</c:v>
                </c:pt>
                <c:pt idx="17">
                  <c:v>113.97007327280799</c:v>
                </c:pt>
                <c:pt idx="18">
                  <c:v>113.94040436112201</c:v>
                </c:pt>
                <c:pt idx="19">
                  <c:v>113.60255233025001</c:v>
                </c:pt>
                <c:pt idx="20">
                  <c:v>113.99201612002</c:v>
                </c:pt>
                <c:pt idx="21">
                  <c:v>114.339740301037</c:v>
                </c:pt>
                <c:pt idx="22">
                  <c:v>114.193566030637</c:v>
                </c:pt>
                <c:pt idx="23">
                  <c:v>111.851741363202</c:v>
                </c:pt>
                <c:pt idx="24">
                  <c:v>114.716173617317</c:v>
                </c:pt>
                <c:pt idx="25">
                  <c:v>115.76619911704201</c:v>
                </c:pt>
                <c:pt idx="26">
                  <c:v>114.528627817917</c:v>
                </c:pt>
                <c:pt idx="27">
                  <c:v>115.056548438284</c:v>
                </c:pt>
                <c:pt idx="28">
                  <c:v>115.66913681020699</c:v>
                </c:pt>
                <c:pt idx="29">
                  <c:v>116.10138278842599</c:v>
                </c:pt>
                <c:pt idx="30">
                  <c:v>116.20555133815</c:v>
                </c:pt>
                <c:pt idx="31">
                  <c:v>116.49855422180499</c:v>
                </c:pt>
                <c:pt idx="32">
                  <c:v>116.52196036417899</c:v>
                </c:pt>
                <c:pt idx="33">
                  <c:v>115.374638782207</c:v>
                </c:pt>
                <c:pt idx="34">
                  <c:v>115.96608672665501</c:v>
                </c:pt>
                <c:pt idx="35">
                  <c:v>115.65325404709201</c:v>
                </c:pt>
                <c:pt idx="36">
                  <c:v>116.523940546527</c:v>
                </c:pt>
                <c:pt idx="37">
                  <c:v>114.295568792192</c:v>
                </c:pt>
                <c:pt idx="38">
                  <c:v>111.79658021803</c:v>
                </c:pt>
                <c:pt idx="39">
                  <c:v>87.403902661613401</c:v>
                </c:pt>
                <c:pt idx="40">
                  <c:v>88.1209319841183</c:v>
                </c:pt>
                <c:pt idx="41">
                  <c:v>96.695192196142997</c:v>
                </c:pt>
                <c:pt idx="42">
                  <c:v>102.582733645131</c:v>
                </c:pt>
                <c:pt idx="43">
                  <c:v>105.545457486473</c:v>
                </c:pt>
                <c:pt idx="44">
                  <c:v>107.60581736749501</c:v>
                </c:pt>
                <c:pt idx="45">
                  <c:v>107.41533612538301</c:v>
                </c:pt>
                <c:pt idx="46">
                  <c:v>110.27302112501999</c:v>
                </c:pt>
                <c:pt idx="47">
                  <c:v>109.11900300853399</c:v>
                </c:pt>
                <c:pt idx="48">
                  <c:v>108.545486462235</c:v>
                </c:pt>
                <c:pt idx="49">
                  <c:v>110.510003321787</c:v>
                </c:pt>
                <c:pt idx="50">
                  <c:v>113.878137505233</c:v>
                </c:pt>
                <c:pt idx="51">
                  <c:v>113.493768267782</c:v>
                </c:pt>
                <c:pt idx="52">
                  <c:v>113.540321589699</c:v>
                </c:pt>
                <c:pt idx="53">
                  <c:v>113.590488965006</c:v>
                </c:pt>
                <c:pt idx="54">
                  <c:v>112.80334049546499</c:v>
                </c:pt>
                <c:pt idx="55">
                  <c:v>113.60575483800901</c:v>
                </c:pt>
                <c:pt idx="56">
                  <c:v>113.959564565189</c:v>
                </c:pt>
                <c:pt idx="57">
                  <c:v>114.28725441079899</c:v>
                </c:pt>
                <c:pt idx="58">
                  <c:v>114.996097264776</c:v>
                </c:pt>
                <c:pt idx="59">
                  <c:v>115.168996175411</c:v>
                </c:pt>
                <c:pt idx="60">
                  <c:v>116.137077603721</c:v>
                </c:pt>
                <c:pt idx="61">
                  <c:v>117.33249865243999</c:v>
                </c:pt>
                <c:pt idx="62">
                  <c:v>117.834189567933</c:v>
                </c:pt>
                <c:pt idx="63">
                  <c:v>118.320124037403</c:v>
                </c:pt>
                <c:pt idx="64">
                  <c:v>118.80450294638401</c:v>
                </c:pt>
                <c:pt idx="65">
                  <c:v>118.44675885047199</c:v>
                </c:pt>
                <c:pt idx="66">
                  <c:v>119.30076103273601</c:v>
                </c:pt>
                <c:pt idx="67">
                  <c:v>118.83302653781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29-439A-8854-6DC51B0F8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717096784"/>
        <c:axId val="717099528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Tendencia-Ciclo.xlsx]Datos'!$F$114:$F$185</c:f>
              <c:numCache>
                <c:formatCode>0.0_)</c:formatCode>
                <c:ptCount val="68"/>
                <c:pt idx="0">
                  <c:v>112.66117026344099</c:v>
                </c:pt>
                <c:pt idx="1">
                  <c:v>112.236719887297</c:v>
                </c:pt>
                <c:pt idx="2">
                  <c:v>111.882987158566</c:v>
                </c:pt>
                <c:pt idx="3">
                  <c:v>111.625370380625</c:v>
                </c:pt>
                <c:pt idx="4">
                  <c:v>111.45917037279899</c:v>
                </c:pt>
                <c:pt idx="5">
                  <c:v>111.330051395925</c:v>
                </c:pt>
                <c:pt idx="6">
                  <c:v>111.21592453608901</c:v>
                </c:pt>
                <c:pt idx="7">
                  <c:v>111.128147213011</c:v>
                </c:pt>
                <c:pt idx="8">
                  <c:v>111.098783250007</c:v>
                </c:pt>
                <c:pt idx="9">
                  <c:v>111.18187172152</c:v>
                </c:pt>
                <c:pt idx="10">
                  <c:v>111.41128393833201</c:v>
                </c:pt>
                <c:pt idx="11">
                  <c:v>111.734884079248</c:v>
                </c:pt>
                <c:pt idx="12">
                  <c:v>112.10188819963599</c:v>
                </c:pt>
                <c:pt idx="13">
                  <c:v>112.475881612512</c:v>
                </c:pt>
                <c:pt idx="14">
                  <c:v>112.82258093741</c:v>
                </c:pt>
                <c:pt idx="15">
                  <c:v>113.127209356091</c:v>
                </c:pt>
                <c:pt idx="16">
                  <c:v>113.391985329829</c:v>
                </c:pt>
                <c:pt idx="17">
                  <c:v>113.606292441237</c:v>
                </c:pt>
                <c:pt idx="18">
                  <c:v>113.77944841358899</c:v>
                </c:pt>
                <c:pt idx="19">
                  <c:v>113.90500859954</c:v>
                </c:pt>
                <c:pt idx="20">
                  <c:v>114.021334498857</c:v>
                </c:pt>
                <c:pt idx="21">
                  <c:v>114.136667781326</c:v>
                </c:pt>
                <c:pt idx="22">
                  <c:v>114.239892662165</c:v>
                </c:pt>
                <c:pt idx="23">
                  <c:v>114.35710671637401</c:v>
                </c:pt>
                <c:pt idx="24">
                  <c:v>114.500259007504</c:v>
                </c:pt>
                <c:pt idx="25">
                  <c:v>114.676411020872</c:v>
                </c:pt>
                <c:pt idx="26">
                  <c:v>114.914950385759</c:v>
                </c:pt>
                <c:pt idx="27">
                  <c:v>115.248673366752</c:v>
                </c:pt>
                <c:pt idx="28">
                  <c:v>115.618969859407</c:v>
                </c:pt>
                <c:pt idx="29">
                  <c:v>115.949363549563</c:v>
                </c:pt>
                <c:pt idx="30">
                  <c:v>116.19158682387</c:v>
                </c:pt>
                <c:pt idx="31">
                  <c:v>116.30290544303701</c:v>
                </c:pt>
                <c:pt idx="32">
                  <c:v>116.254174528238</c:v>
                </c:pt>
                <c:pt idx="33">
                  <c:v>116.060258878952</c:v>
                </c:pt>
                <c:pt idx="34">
                  <c:v>115.740798426387</c:v>
                </c:pt>
                <c:pt idx="35">
                  <c:v>115.303547683901</c:v>
                </c:pt>
                <c:pt idx="36">
                  <c:v>114.770512682324</c:v>
                </c:pt>
                <c:pt idx="37">
                  <c:v>114.205882727676</c:v>
                </c:pt>
                <c:pt idx="38">
                  <c:v>113.72183210407</c:v>
                </c:pt>
                <c:pt idx="39">
                  <c:v>103.255838035821</c:v>
                </c:pt>
                <c:pt idx="40">
                  <c:v>103.325058240947</c:v>
                </c:pt>
                <c:pt idx="41">
                  <c:v>103.75885717100699</c:v>
                </c:pt>
                <c:pt idx="42">
                  <c:v>104.48499305663201</c:v>
                </c:pt>
                <c:pt idx="43">
                  <c:v>105.408328871447</c:v>
                </c:pt>
                <c:pt idx="44">
                  <c:v>106.41057771667499</c:v>
                </c:pt>
                <c:pt idx="45">
                  <c:v>107.389535077996</c:v>
                </c:pt>
                <c:pt idx="46">
                  <c:v>108.329647465636</c:v>
                </c:pt>
                <c:pt idx="47">
                  <c:v>109.26799100485501</c:v>
                </c:pt>
                <c:pt idx="48">
                  <c:v>110.24021740340299</c:v>
                </c:pt>
                <c:pt idx="49">
                  <c:v>111.21260793924399</c:v>
                </c:pt>
                <c:pt idx="50">
                  <c:v>112.089798338656</c:v>
                </c:pt>
                <c:pt idx="51">
                  <c:v>112.77638634130901</c:v>
                </c:pt>
                <c:pt idx="52">
                  <c:v>113.221175743213</c:v>
                </c:pt>
                <c:pt idx="53">
                  <c:v>113.461422475077</c:v>
                </c:pt>
                <c:pt idx="54">
                  <c:v>113.581412156748</c:v>
                </c:pt>
                <c:pt idx="55">
                  <c:v>113.690962806274</c:v>
                </c:pt>
                <c:pt idx="56">
                  <c:v>113.902758423069</c:v>
                </c:pt>
                <c:pt idx="57">
                  <c:v>114.296369833908</c:v>
                </c:pt>
                <c:pt idx="58">
                  <c:v>114.859597501198</c:v>
                </c:pt>
                <c:pt idx="59">
                  <c:v>115.549979946368</c:v>
                </c:pt>
                <c:pt idx="60">
                  <c:v>116.295289878906</c:v>
                </c:pt>
                <c:pt idx="61">
                  <c:v>117.036139129353</c:v>
                </c:pt>
                <c:pt idx="62">
                  <c:v>117.696766275828</c:v>
                </c:pt>
                <c:pt idx="63">
                  <c:v>118.206724188542</c:v>
                </c:pt>
                <c:pt idx="64">
                  <c:v>118.54779545256901</c:v>
                </c:pt>
                <c:pt idx="65">
                  <c:v>118.781130957301</c:v>
                </c:pt>
                <c:pt idx="66">
                  <c:v>119.01225278674301</c:v>
                </c:pt>
                <c:pt idx="67">
                  <c:v>119.329364985723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29-439A-8854-6DC51B0F8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784"/>
        <c:axId val="717099528"/>
      </c:lineChart>
      <c:catAx>
        <c:axId val="717096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9528"/>
        <c:scaling>
          <c:orientation val="minMax"/>
          <c:max val="122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6784"/>
        <c:crosses val="autoZero"/>
        <c:crossBetween val="between"/>
        <c:majorUnit val="5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6050070028011484E-2"/>
          <c:y val="0.95347564313084165"/>
          <c:w val="0.9072138188608776"/>
          <c:h val="4.324028461959495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92361111111118E-2"/>
          <c:y val="4.6352937919360231E-2"/>
          <c:w val="0.92927499999999974"/>
          <c:h val="0.82868960534633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C3D69B"/>
                </a:gs>
                <a:gs pos="90000">
                  <a:srgbClr val="00B050"/>
                </a:gs>
              </a:gsLst>
              <a:lin ang="0" scaled="1"/>
            </a:gradFill>
            <a:ln w="0">
              <a:solidFill>
                <a:srgbClr val="006600"/>
              </a:solidFill>
              <a:prstDash val="solid"/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Tendencia-Ciclo.xlsx]Datos'!$I$114:$I$185</c:f>
              <c:numCache>
                <c:formatCode>0.0_)</c:formatCode>
                <c:ptCount val="68"/>
                <c:pt idx="0">
                  <c:v>103.003301884099</c:v>
                </c:pt>
                <c:pt idx="1">
                  <c:v>102.825439471799</c:v>
                </c:pt>
                <c:pt idx="2">
                  <c:v>102.787141394702</c:v>
                </c:pt>
                <c:pt idx="3">
                  <c:v>102.90720348514</c:v>
                </c:pt>
                <c:pt idx="4">
                  <c:v>103.071442159905</c:v>
                </c:pt>
                <c:pt idx="5">
                  <c:v>103.46231101356599</c:v>
                </c:pt>
                <c:pt idx="6">
                  <c:v>103.646187423764</c:v>
                </c:pt>
                <c:pt idx="7">
                  <c:v>103.851571628682</c:v>
                </c:pt>
                <c:pt idx="8">
                  <c:v>104.25451152207</c:v>
                </c:pt>
                <c:pt idx="9">
                  <c:v>104.341970998062</c:v>
                </c:pt>
                <c:pt idx="10">
                  <c:v>104.326467087209</c:v>
                </c:pt>
                <c:pt idx="11">
                  <c:v>103.603735964729</c:v>
                </c:pt>
                <c:pt idx="12">
                  <c:v>104.41868392586601</c:v>
                </c:pt>
                <c:pt idx="13">
                  <c:v>104.181590421148</c:v>
                </c:pt>
                <c:pt idx="14">
                  <c:v>105.692995883743</c:v>
                </c:pt>
                <c:pt idx="15">
                  <c:v>105.704024781904</c:v>
                </c:pt>
                <c:pt idx="16">
                  <c:v>105.222866676976</c:v>
                </c:pt>
                <c:pt idx="17">
                  <c:v>105.11124395096699</c:v>
                </c:pt>
                <c:pt idx="18">
                  <c:v>105.01259368024699</c:v>
                </c:pt>
                <c:pt idx="19">
                  <c:v>105.061871481132</c:v>
                </c:pt>
                <c:pt idx="20">
                  <c:v>104.436514717977</c:v>
                </c:pt>
                <c:pt idx="21">
                  <c:v>104.22734334451999</c:v>
                </c:pt>
                <c:pt idx="22">
                  <c:v>104.827519574549</c:v>
                </c:pt>
                <c:pt idx="23">
                  <c:v>104.879767812674</c:v>
                </c:pt>
                <c:pt idx="24">
                  <c:v>104.34538170626401</c:v>
                </c:pt>
                <c:pt idx="25">
                  <c:v>104.469584264163</c:v>
                </c:pt>
                <c:pt idx="26">
                  <c:v>104.165057315944</c:v>
                </c:pt>
                <c:pt idx="27">
                  <c:v>104.58141679737</c:v>
                </c:pt>
                <c:pt idx="28">
                  <c:v>104.951146596055</c:v>
                </c:pt>
                <c:pt idx="29">
                  <c:v>105.04725670166501</c:v>
                </c:pt>
                <c:pt idx="30">
                  <c:v>104.92985782604801</c:v>
                </c:pt>
                <c:pt idx="31">
                  <c:v>105.115088544505</c:v>
                </c:pt>
                <c:pt idx="32">
                  <c:v>105.140024515487</c:v>
                </c:pt>
                <c:pt idx="33">
                  <c:v>104.433787075819</c:v>
                </c:pt>
                <c:pt idx="34">
                  <c:v>104.66639430838499</c:v>
                </c:pt>
                <c:pt idx="35">
                  <c:v>104.945488348417</c:v>
                </c:pt>
                <c:pt idx="36">
                  <c:v>104.591086671425</c:v>
                </c:pt>
                <c:pt idx="37">
                  <c:v>104.428911476045</c:v>
                </c:pt>
                <c:pt idx="38">
                  <c:v>104.131818376786</c:v>
                </c:pt>
                <c:pt idx="39">
                  <c:v>95.096420133493595</c:v>
                </c:pt>
                <c:pt idx="40">
                  <c:v>96.035971714238002</c:v>
                </c:pt>
                <c:pt idx="41">
                  <c:v>96.456313690363203</c:v>
                </c:pt>
                <c:pt idx="42">
                  <c:v>97.490307316688103</c:v>
                </c:pt>
                <c:pt idx="43">
                  <c:v>98.1305698596138</c:v>
                </c:pt>
                <c:pt idx="44">
                  <c:v>99.749613114137404</c:v>
                </c:pt>
                <c:pt idx="45">
                  <c:v>99.7357599168554</c:v>
                </c:pt>
                <c:pt idx="46">
                  <c:v>99.761778933261795</c:v>
                </c:pt>
                <c:pt idx="47">
                  <c:v>99.262434558689705</c:v>
                </c:pt>
                <c:pt idx="48">
                  <c:v>100.203483725027</c:v>
                </c:pt>
                <c:pt idx="49">
                  <c:v>100.204965335518</c:v>
                </c:pt>
                <c:pt idx="50">
                  <c:v>100.159139990884</c:v>
                </c:pt>
                <c:pt idx="51">
                  <c:v>99.869670175764895</c:v>
                </c:pt>
                <c:pt idx="52">
                  <c:v>99.790291006166299</c:v>
                </c:pt>
                <c:pt idx="53">
                  <c:v>99.672471208890599</c:v>
                </c:pt>
                <c:pt idx="54">
                  <c:v>99.809408580590002</c:v>
                </c:pt>
                <c:pt idx="55">
                  <c:v>99.510602362862201</c:v>
                </c:pt>
                <c:pt idx="56">
                  <c:v>99.607364628845104</c:v>
                </c:pt>
                <c:pt idx="57">
                  <c:v>99.606042026039006</c:v>
                </c:pt>
                <c:pt idx="58">
                  <c:v>99.256741212272502</c:v>
                </c:pt>
                <c:pt idx="59">
                  <c:v>99.023977279529404</c:v>
                </c:pt>
                <c:pt idx="60">
                  <c:v>98.887503715001998</c:v>
                </c:pt>
                <c:pt idx="61">
                  <c:v>98.870332986960705</c:v>
                </c:pt>
                <c:pt idx="62">
                  <c:v>98.855793549170599</c:v>
                </c:pt>
                <c:pt idx="63">
                  <c:v>98.774477941123607</c:v>
                </c:pt>
                <c:pt idx="64">
                  <c:v>98.709018654912398</c:v>
                </c:pt>
                <c:pt idx="65">
                  <c:v>98.6842751162648</c:v>
                </c:pt>
                <c:pt idx="66">
                  <c:v>98.558696681134194</c:v>
                </c:pt>
                <c:pt idx="67">
                  <c:v>98.665683559233401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4E-4CD4-90F6-680AF71C9D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81612568"/>
        <c:axId val="481614136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Tendencia-Ciclo.xlsx]Datos'!$J$114:$J$185</c:f>
              <c:numCache>
                <c:formatCode>0.0_)</c:formatCode>
                <c:ptCount val="68"/>
                <c:pt idx="0">
                  <c:v>102.814204126557</c:v>
                </c:pt>
                <c:pt idx="1">
                  <c:v>102.842584914808</c:v>
                </c:pt>
                <c:pt idx="2">
                  <c:v>102.88661806875901</c:v>
                </c:pt>
                <c:pt idx="3">
                  <c:v>102.984631189567</c:v>
                </c:pt>
                <c:pt idx="4">
                  <c:v>103.155487266168</c:v>
                </c:pt>
                <c:pt idx="5">
                  <c:v>103.383654993158</c:v>
                </c:pt>
                <c:pt idx="6">
                  <c:v>103.64957115145999</c:v>
                </c:pt>
                <c:pt idx="7">
                  <c:v>103.89940980848699</c:v>
                </c:pt>
                <c:pt idx="8">
                  <c:v>104.097682874976</c:v>
                </c:pt>
                <c:pt idx="9">
                  <c:v>104.246461187527</c:v>
                </c:pt>
                <c:pt idx="10">
                  <c:v>104.380589959782</c:v>
                </c:pt>
                <c:pt idx="11">
                  <c:v>104.535564020645</c:v>
                </c:pt>
                <c:pt idx="12">
                  <c:v>104.72381991269501</c:v>
                </c:pt>
                <c:pt idx="13">
                  <c:v>104.9233295344</c:v>
                </c:pt>
                <c:pt idx="14">
                  <c:v>105.109953378727</c:v>
                </c:pt>
                <c:pt idx="15">
                  <c:v>105.237966577618</c:v>
                </c:pt>
                <c:pt idx="16">
                  <c:v>105.256984974093</c:v>
                </c:pt>
                <c:pt idx="17">
                  <c:v>105.16998100890299</c:v>
                </c:pt>
                <c:pt idx="18">
                  <c:v>105.021835802006</c:v>
                </c:pt>
                <c:pt idx="19">
                  <c:v>104.861361043223</c:v>
                </c:pt>
                <c:pt idx="20">
                  <c:v>104.727350300303</c:v>
                </c:pt>
                <c:pt idx="21">
                  <c:v>104.62468059418001</c:v>
                </c:pt>
                <c:pt idx="22">
                  <c:v>104.544667405601</c:v>
                </c:pt>
                <c:pt idx="23">
                  <c:v>104.483601007041</c:v>
                </c:pt>
                <c:pt idx="24">
                  <c:v>104.460512492308</c:v>
                </c:pt>
                <c:pt idx="25">
                  <c:v>104.48253189020799</c:v>
                </c:pt>
                <c:pt idx="26">
                  <c:v>104.54923909449001</c:v>
                </c:pt>
                <c:pt idx="27">
                  <c:v>104.660225485726</c:v>
                </c:pt>
                <c:pt idx="28">
                  <c:v>104.811000174105</c:v>
                </c:pt>
                <c:pt idx="29">
                  <c:v>104.951053851041</c:v>
                </c:pt>
                <c:pt idx="30">
                  <c:v>105.036893820125</c:v>
                </c:pt>
                <c:pt idx="31">
                  <c:v>105.06009661682199</c:v>
                </c:pt>
                <c:pt idx="32">
                  <c:v>105.030273651483</c:v>
                </c:pt>
                <c:pt idx="33">
                  <c:v>104.953897176862</c:v>
                </c:pt>
                <c:pt idx="34">
                  <c:v>104.843617854786</c:v>
                </c:pt>
                <c:pt idx="35">
                  <c:v>104.70815839973299</c:v>
                </c:pt>
                <c:pt idx="36">
                  <c:v>104.557096443137</c:v>
                </c:pt>
                <c:pt idx="37">
                  <c:v>104.41111389406601</c:v>
                </c:pt>
                <c:pt idx="38">
                  <c:v>104.289210836267</c:v>
                </c:pt>
                <c:pt idx="39">
                  <c:v>99.849961917408507</c:v>
                </c:pt>
                <c:pt idx="40">
                  <c:v>99.792743843330797</c:v>
                </c:pt>
                <c:pt idx="41">
                  <c:v>99.764077515073694</c:v>
                </c:pt>
                <c:pt idx="42">
                  <c:v>99.748822489711799</c:v>
                </c:pt>
                <c:pt idx="43">
                  <c:v>99.736812934190596</c:v>
                </c:pt>
                <c:pt idx="44">
                  <c:v>99.742809301361305</c:v>
                </c:pt>
                <c:pt idx="45">
                  <c:v>99.787350927536195</c:v>
                </c:pt>
                <c:pt idx="46">
                  <c:v>99.873959684730295</c:v>
                </c:pt>
                <c:pt idx="47">
                  <c:v>99.977749340951505</c:v>
                </c:pt>
                <c:pt idx="48">
                  <c:v>100.059088792569</c:v>
                </c:pt>
                <c:pt idx="49">
                  <c:v>100.091108808173</c:v>
                </c:pt>
                <c:pt idx="50">
                  <c:v>100.05914413773</c:v>
                </c:pt>
                <c:pt idx="51">
                  <c:v>99.970972487684406</c:v>
                </c:pt>
                <c:pt idx="52">
                  <c:v>99.860835834973201</c:v>
                </c:pt>
                <c:pt idx="53">
                  <c:v>99.764699419110599</c:v>
                </c:pt>
                <c:pt idx="54">
                  <c:v>99.695127727556297</c:v>
                </c:pt>
                <c:pt idx="55">
                  <c:v>99.633239269385598</c:v>
                </c:pt>
                <c:pt idx="56">
                  <c:v>99.547597831475997</c:v>
                </c:pt>
                <c:pt idx="57">
                  <c:v>99.424643659633105</c:v>
                </c:pt>
                <c:pt idx="58">
                  <c:v>99.272423806959907</c:v>
                </c:pt>
                <c:pt idx="59">
                  <c:v>99.115854595162602</c:v>
                </c:pt>
                <c:pt idx="60">
                  <c:v>98.979292127078494</c:v>
                </c:pt>
                <c:pt idx="61">
                  <c:v>98.873872092266893</c:v>
                </c:pt>
                <c:pt idx="62">
                  <c:v>98.799178810887597</c:v>
                </c:pt>
                <c:pt idx="63">
                  <c:v>98.752083237269503</c:v>
                </c:pt>
                <c:pt idx="64">
                  <c:v>98.711866464989797</c:v>
                </c:pt>
                <c:pt idx="65">
                  <c:v>98.672204522530805</c:v>
                </c:pt>
                <c:pt idx="66">
                  <c:v>98.637689462584106</c:v>
                </c:pt>
                <c:pt idx="67">
                  <c:v>98.611464057627401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4E-4CD4-90F6-680AF71C9D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612568"/>
        <c:axId val="481614136"/>
      </c:lineChart>
      <c:catAx>
        <c:axId val="4816125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8161413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81614136"/>
        <c:scaling>
          <c:orientation val="minMax"/>
          <c:max val="108"/>
          <c:min val="92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81612568"/>
        <c:crosses val="autoZero"/>
        <c:crossBetween val="between"/>
        <c:majorUnit val="2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532407407407402E-2"/>
          <c:y val="0.96557909037515743"/>
          <c:w val="0.91166059757236217"/>
          <c:h val="3.4420833333333338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92361111111118E-2"/>
          <c:y val="4.5483219658243042E-2"/>
          <c:w val="0.92400833333333332"/>
          <c:h val="0.81716587301587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Tendencia-Ciclo.xlsx]Datos'!$M$5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Tendencia-Ciclo.xlsx]Datos'!$M$114:$M$185</c:f>
              <c:numCache>
                <c:formatCode>0.0</c:formatCode>
                <c:ptCount val="68"/>
                <c:pt idx="0">
                  <c:v>107.94833885992099</c:v>
                </c:pt>
                <c:pt idx="1">
                  <c:v>107.313641031218</c:v>
                </c:pt>
                <c:pt idx="2">
                  <c:v>109.435888367495</c:v>
                </c:pt>
                <c:pt idx="3">
                  <c:v>107.777985248975</c:v>
                </c:pt>
                <c:pt idx="4">
                  <c:v>108.07258376452</c:v>
                </c:pt>
                <c:pt idx="5">
                  <c:v>108.670076661767</c:v>
                </c:pt>
                <c:pt idx="6">
                  <c:v>107.720425261137</c:v>
                </c:pt>
                <c:pt idx="7">
                  <c:v>108.592996768622</c:v>
                </c:pt>
                <c:pt idx="8">
                  <c:v>107.806198470994</c:v>
                </c:pt>
                <c:pt idx="9">
                  <c:v>108.302185464342</c:v>
                </c:pt>
                <c:pt idx="10">
                  <c:v>108.14890398436999</c:v>
                </c:pt>
                <c:pt idx="11">
                  <c:v>110.66685731014999</c:v>
                </c:pt>
                <c:pt idx="12">
                  <c:v>108.654191866194</c:v>
                </c:pt>
                <c:pt idx="13">
                  <c:v>109.532438958227</c:v>
                </c:pt>
                <c:pt idx="14">
                  <c:v>109.366684562131</c:v>
                </c:pt>
                <c:pt idx="15">
                  <c:v>109.623345442755</c:v>
                </c:pt>
                <c:pt idx="16">
                  <c:v>108.865533344349</c:v>
                </c:pt>
                <c:pt idx="17">
                  <c:v>109.53750743862101</c:v>
                </c:pt>
                <c:pt idx="18">
                  <c:v>109.104010478246</c:v>
                </c:pt>
                <c:pt idx="19">
                  <c:v>109.40535185077501</c:v>
                </c:pt>
                <c:pt idx="20">
                  <c:v>110.490609067901</c:v>
                </c:pt>
                <c:pt idx="21">
                  <c:v>109.82327176632501</c:v>
                </c:pt>
                <c:pt idx="22">
                  <c:v>110.24323249003599</c:v>
                </c:pt>
                <c:pt idx="23">
                  <c:v>111.00821405401901</c:v>
                </c:pt>
                <c:pt idx="24">
                  <c:v>112.002016054935</c:v>
                </c:pt>
                <c:pt idx="25">
                  <c:v>113.443787354397</c:v>
                </c:pt>
                <c:pt idx="26">
                  <c:v>113.207614185189</c:v>
                </c:pt>
                <c:pt idx="27">
                  <c:v>113.271277054614</c:v>
                </c:pt>
                <c:pt idx="28">
                  <c:v>112.90926269065901</c:v>
                </c:pt>
                <c:pt idx="29">
                  <c:v>113.61561476479901</c:v>
                </c:pt>
                <c:pt idx="30">
                  <c:v>112.678030842928</c:v>
                </c:pt>
                <c:pt idx="31">
                  <c:v>114.443238237553</c:v>
                </c:pt>
                <c:pt idx="32">
                  <c:v>115.08445229991401</c:v>
                </c:pt>
                <c:pt idx="33">
                  <c:v>115.266245976474</c:v>
                </c:pt>
                <c:pt idx="34">
                  <c:v>115.502498279958</c:v>
                </c:pt>
                <c:pt idx="35">
                  <c:v>115.76813230690399</c:v>
                </c:pt>
                <c:pt idx="36">
                  <c:v>116.00957419535</c:v>
                </c:pt>
                <c:pt idx="37">
                  <c:v>115.998461331614</c:v>
                </c:pt>
                <c:pt idx="38">
                  <c:v>115.563496907868</c:v>
                </c:pt>
                <c:pt idx="39">
                  <c:v>114.56145210499101</c:v>
                </c:pt>
                <c:pt idx="40">
                  <c:v>112.20191553231</c:v>
                </c:pt>
                <c:pt idx="41">
                  <c:v>113.116872923461</c:v>
                </c:pt>
                <c:pt idx="42">
                  <c:v>112.70409082434399</c:v>
                </c:pt>
                <c:pt idx="43">
                  <c:v>113.90284343979199</c:v>
                </c:pt>
                <c:pt idx="44">
                  <c:v>113.291360429509</c:v>
                </c:pt>
                <c:pt idx="45">
                  <c:v>114.03193622423299</c:v>
                </c:pt>
                <c:pt idx="46">
                  <c:v>114.401123497485</c:v>
                </c:pt>
                <c:pt idx="47">
                  <c:v>118.098137236859</c:v>
                </c:pt>
                <c:pt idx="48">
                  <c:v>113.206355721976</c:v>
                </c:pt>
                <c:pt idx="49">
                  <c:v>113.033200615992</c:v>
                </c:pt>
                <c:pt idx="50">
                  <c:v>114.023175269848</c:v>
                </c:pt>
                <c:pt idx="51">
                  <c:v>113.67976923456899</c:v>
                </c:pt>
                <c:pt idx="52">
                  <c:v>120.742925941057</c:v>
                </c:pt>
                <c:pt idx="53">
                  <c:v>115.924722094543</c:v>
                </c:pt>
                <c:pt idx="54">
                  <c:v>116.660829172322</c:v>
                </c:pt>
                <c:pt idx="55">
                  <c:v>115.920777451554</c:v>
                </c:pt>
                <c:pt idx="56">
                  <c:v>115.99390585930701</c:v>
                </c:pt>
                <c:pt idx="57">
                  <c:v>116.53435939400801</c:v>
                </c:pt>
                <c:pt idx="58">
                  <c:v>117.535115973681</c:v>
                </c:pt>
                <c:pt idx="59">
                  <c:v>117.12121368990999</c:v>
                </c:pt>
                <c:pt idx="60">
                  <c:v>118.298908626658</c:v>
                </c:pt>
                <c:pt idx="61">
                  <c:v>118.20169537625399</c:v>
                </c:pt>
                <c:pt idx="62">
                  <c:v>115.889064804393</c:v>
                </c:pt>
                <c:pt idx="63">
                  <c:v>120.73508428522899</c:v>
                </c:pt>
                <c:pt idx="64">
                  <c:v>125.012529857045</c:v>
                </c:pt>
                <c:pt idx="65">
                  <c:v>120.644771000074</c:v>
                </c:pt>
                <c:pt idx="66">
                  <c:v>122.051646565952</c:v>
                </c:pt>
                <c:pt idx="67">
                  <c:v>120.68482427380999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8F-49FF-8725-68324458E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81612176"/>
        <c:axId val="483190616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Tendencia-Ciclo.xlsx]Datos'!$N$5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Tendencia-Ciclo.xlsx]Datos'!$N$114:$N$185</c:f>
              <c:numCache>
                <c:formatCode>0.0</c:formatCode>
                <c:ptCount val="68"/>
                <c:pt idx="0">
                  <c:v>108.349336642182</c:v>
                </c:pt>
                <c:pt idx="1">
                  <c:v>108.176465584897</c:v>
                </c:pt>
                <c:pt idx="2">
                  <c:v>108.084628236882</c:v>
                </c:pt>
                <c:pt idx="3">
                  <c:v>108.06888567969</c:v>
                </c:pt>
                <c:pt idx="4">
                  <c:v>108.102524739217</c:v>
                </c:pt>
                <c:pt idx="5">
                  <c:v>108.138683864383</c:v>
                </c:pt>
                <c:pt idx="6">
                  <c:v>108.150766907072</c:v>
                </c:pt>
                <c:pt idx="7">
                  <c:v>108.14125133504101</c:v>
                </c:pt>
                <c:pt idx="8">
                  <c:v>108.159529053032</c:v>
                </c:pt>
                <c:pt idx="9">
                  <c:v>108.236002660144</c:v>
                </c:pt>
                <c:pt idx="10">
                  <c:v>108.412243583915</c:v>
                </c:pt>
                <c:pt idx="11">
                  <c:v>108.669401308334</c:v>
                </c:pt>
                <c:pt idx="12">
                  <c:v>108.946367518472</c:v>
                </c:pt>
                <c:pt idx="13">
                  <c:v>109.171026031313</c:v>
                </c:pt>
                <c:pt idx="14">
                  <c:v>109.29415796417901</c:v>
                </c:pt>
                <c:pt idx="15">
                  <c:v>109.32099234884301</c:v>
                </c:pt>
                <c:pt idx="16">
                  <c:v>109.32037108429201</c:v>
                </c:pt>
                <c:pt idx="17">
                  <c:v>109.334354061261</c:v>
                </c:pt>
                <c:pt idx="18">
                  <c:v>109.399446410236</c:v>
                </c:pt>
                <c:pt idx="19">
                  <c:v>109.526998686928</c:v>
                </c:pt>
                <c:pt idx="20">
                  <c:v>109.76380958065</c:v>
                </c:pt>
                <c:pt idx="21">
                  <c:v>110.134465397463</c:v>
                </c:pt>
                <c:pt idx="22">
                  <c:v>110.661233803451</c:v>
                </c:pt>
                <c:pt idx="23">
                  <c:v>111.29228057447899</c:v>
                </c:pt>
                <c:pt idx="24">
                  <c:v>111.957091535765</c:v>
                </c:pt>
                <c:pt idx="25">
                  <c:v>112.53393253778</c:v>
                </c:pt>
                <c:pt idx="26">
                  <c:v>112.95451923259</c:v>
                </c:pt>
                <c:pt idx="27">
                  <c:v>113.211816198137</c:v>
                </c:pt>
                <c:pt idx="28">
                  <c:v>113.375196623767</c:v>
                </c:pt>
                <c:pt idx="29">
                  <c:v>113.57902429291001</c:v>
                </c:pt>
                <c:pt idx="30">
                  <c:v>113.897395321879</c:v>
                </c:pt>
                <c:pt idx="31">
                  <c:v>114.329397599326</c:v>
                </c:pt>
                <c:pt idx="32">
                  <c:v>114.813208641671</c:v>
                </c:pt>
                <c:pt idx="33">
                  <c:v>115.272538200716</c:v>
                </c:pt>
                <c:pt idx="34">
                  <c:v>115.645377410533</c:v>
                </c:pt>
                <c:pt idx="35">
                  <c:v>115.873789099951</c:v>
                </c:pt>
                <c:pt idx="36">
                  <c:v>115.908440050427</c:v>
                </c:pt>
                <c:pt idx="37">
                  <c:v>115.678659551306</c:v>
                </c:pt>
                <c:pt idx="38">
                  <c:v>115.220695074663</c:v>
                </c:pt>
                <c:pt idx="39">
                  <c:v>114.608213318152</c:v>
                </c:pt>
                <c:pt idx="40">
                  <c:v>113.97941479359299</c:v>
                </c:pt>
                <c:pt idx="41">
                  <c:v>113.50796681841101</c:v>
                </c:pt>
                <c:pt idx="42">
                  <c:v>113.316819809245</c:v>
                </c:pt>
                <c:pt idx="43">
                  <c:v>113.39865477197699</c:v>
                </c:pt>
                <c:pt idx="44">
                  <c:v>113.605985550463</c:v>
                </c:pt>
                <c:pt idx="45">
                  <c:v>113.784982478297</c:v>
                </c:pt>
                <c:pt idx="46">
                  <c:v>113.80902553639901</c:v>
                </c:pt>
                <c:pt idx="47">
                  <c:v>113.697672754184</c:v>
                </c:pt>
                <c:pt idx="48">
                  <c:v>113.57182492778701</c:v>
                </c:pt>
                <c:pt idx="49">
                  <c:v>113.61766214078099</c:v>
                </c:pt>
                <c:pt idx="50">
                  <c:v>113.934572543296</c:v>
                </c:pt>
                <c:pt idx="51">
                  <c:v>114.469883910286</c:v>
                </c:pt>
                <c:pt idx="52">
                  <c:v>115.092605693824</c:v>
                </c:pt>
                <c:pt idx="53">
                  <c:v>115.650084468849</c:v>
                </c:pt>
                <c:pt idx="54">
                  <c:v>116.036283610838</c:v>
                </c:pt>
                <c:pt idx="55">
                  <c:v>116.278295793784</c:v>
                </c:pt>
                <c:pt idx="56">
                  <c:v>116.46343904742101</c:v>
                </c:pt>
                <c:pt idx="57">
                  <c:v>116.67033466694301</c:v>
                </c:pt>
                <c:pt idx="58">
                  <c:v>116.97963762863201</c:v>
                </c:pt>
                <c:pt idx="59">
                  <c:v>117.46473666156299</c:v>
                </c:pt>
                <c:pt idx="60">
                  <c:v>118.06385374695699</c:v>
                </c:pt>
                <c:pt idx="61">
                  <c:v>118.75663187938601</c:v>
                </c:pt>
                <c:pt idx="62">
                  <c:v>119.472447353492</c:v>
                </c:pt>
                <c:pt idx="63">
                  <c:v>120.146748421013</c:v>
                </c:pt>
                <c:pt idx="64">
                  <c:v>120.699522373067</c:v>
                </c:pt>
                <c:pt idx="65">
                  <c:v>121.06775221023599</c:v>
                </c:pt>
                <c:pt idx="66">
                  <c:v>121.25704984312701</c:v>
                </c:pt>
                <c:pt idx="67">
                  <c:v>121.362367857881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8F-49FF-8725-68324458E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612176"/>
        <c:axId val="483190616"/>
      </c:lineChart>
      <c:catAx>
        <c:axId val="481612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831906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83190616"/>
        <c:scaling>
          <c:orientation val="minMax"/>
          <c:max val="127"/>
          <c:min val="102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81612176"/>
        <c:crosses val="autoZero"/>
        <c:crossBetween val="between"/>
        <c:majorUnit val="3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883425925925926E-2"/>
          <c:y val="0.94845248288941053"/>
          <c:w val="0.9072138188608776"/>
          <c:h val="4.826323314500644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DDC5-54EA-4EF7-AA60-B66CADEA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21</TotalTime>
  <Pages>12</Pages>
  <Words>2419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Empresas Comerciales</vt:lpstr>
    </vt:vector>
  </TitlesOfParts>
  <Company>INEGI</Company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Empresas Comerciales</dc:title>
  <dc:subject/>
  <dc:creator>INEGI</dc:creator>
  <cp:keywords>Ingreso por suministro de bienes y servicios Personla ocupado total Remuneraciones reales</cp:keywords>
  <cp:lastModifiedBy>GUILLEN MEDINA MOISES</cp:lastModifiedBy>
  <cp:revision>27</cp:revision>
  <cp:lastPrinted>2022-09-20T16:57:00Z</cp:lastPrinted>
  <dcterms:created xsi:type="dcterms:W3CDTF">2022-10-20T15:32:00Z</dcterms:created>
  <dcterms:modified xsi:type="dcterms:W3CDTF">2022-10-21T00:07:00Z</dcterms:modified>
  <cp:category>Encuesta Nacional de Ocupación y Empleo</cp:category>
  <cp:version>1</cp:version>
</cp:coreProperties>
</file>