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18B" w14:textId="77777777" w:rsidR="00515958" w:rsidRPr="003973E2" w:rsidRDefault="00515958" w:rsidP="00515958">
      <w:pPr>
        <w:spacing w:after="0" w:line="240" w:lineRule="auto"/>
        <w:ind w:left="-567" w:right="-518"/>
        <w:jc w:val="right"/>
        <w:rPr>
          <w:rFonts w:ascii="Montserrat Medium" w:hAnsi="Montserrat Medium" w:cs="Arial"/>
          <w:b/>
          <w:sz w:val="18"/>
          <w:szCs w:val="18"/>
        </w:rPr>
      </w:pPr>
      <w:bookmarkStart w:id="0" w:name="_Hlk112344162"/>
      <w:bookmarkEnd w:id="0"/>
      <w:r w:rsidRPr="003973E2">
        <w:rPr>
          <w:rFonts w:ascii="Montserrat Medium" w:hAnsi="Montserrat Medium" w:cs="Arial"/>
          <w:b/>
          <w:sz w:val="18"/>
          <w:szCs w:val="18"/>
        </w:rPr>
        <w:t>Comunicado de prensa conjunto CNBV-INEGI</w:t>
      </w:r>
    </w:p>
    <w:p w14:paraId="20C7B6FC" w14:textId="77777777" w:rsidR="00515958" w:rsidRPr="003973E2" w:rsidRDefault="00515958" w:rsidP="00515958">
      <w:pPr>
        <w:spacing w:after="0" w:line="240" w:lineRule="auto"/>
        <w:ind w:left="-567" w:right="-518"/>
        <w:jc w:val="right"/>
        <w:rPr>
          <w:rFonts w:ascii="Montserrat Medium" w:hAnsi="Montserrat Medium" w:cs="Arial"/>
          <w:bCs/>
          <w:sz w:val="18"/>
          <w:szCs w:val="18"/>
        </w:rPr>
      </w:pPr>
      <w:r w:rsidRPr="003973E2">
        <w:rPr>
          <w:rFonts w:ascii="Montserrat Medium" w:hAnsi="Montserrat Medium" w:cs="Arial"/>
          <w:bCs/>
          <w:sz w:val="18"/>
          <w:szCs w:val="18"/>
        </w:rPr>
        <w:t>Ciudad de México, 29 de agosto de 2022</w:t>
      </w:r>
    </w:p>
    <w:p w14:paraId="28C3B432" w14:textId="77777777" w:rsidR="00515958" w:rsidRPr="003973E2" w:rsidRDefault="00515958" w:rsidP="00515958">
      <w:pPr>
        <w:spacing w:after="0" w:line="240" w:lineRule="auto"/>
        <w:ind w:left="-567" w:right="-518"/>
        <w:jc w:val="center"/>
        <w:rPr>
          <w:rFonts w:ascii="Montserrat Medium" w:hAnsi="Montserrat Medium" w:cs="Arial"/>
          <w:b/>
          <w:sz w:val="24"/>
          <w:szCs w:val="24"/>
        </w:rPr>
      </w:pPr>
    </w:p>
    <w:p w14:paraId="76E4A30D" w14:textId="77777777" w:rsidR="00515958" w:rsidRPr="003973E2" w:rsidRDefault="00515958" w:rsidP="00515958">
      <w:pPr>
        <w:spacing w:after="0" w:line="240" w:lineRule="auto"/>
        <w:ind w:left="-567" w:right="-518"/>
        <w:jc w:val="center"/>
        <w:rPr>
          <w:rFonts w:ascii="Montserrat Medium" w:hAnsi="Montserrat Medium" w:cs="Arial"/>
          <w:b/>
          <w:sz w:val="24"/>
          <w:szCs w:val="24"/>
        </w:rPr>
      </w:pPr>
      <w:r w:rsidRPr="003973E2">
        <w:rPr>
          <w:rFonts w:ascii="Montserrat Medium" w:hAnsi="Montserrat Medium" w:cs="Arial"/>
          <w:b/>
          <w:sz w:val="24"/>
          <w:szCs w:val="24"/>
        </w:rPr>
        <w:t xml:space="preserve">ENCUESTA NACIONAL DE FINANCIAMIENTO DE LAS EMPRESAS </w:t>
      </w:r>
    </w:p>
    <w:p w14:paraId="3C500F1A" w14:textId="77777777" w:rsidR="00515958" w:rsidRPr="003973E2" w:rsidRDefault="00515958" w:rsidP="00515958">
      <w:pPr>
        <w:spacing w:after="0" w:line="240" w:lineRule="auto"/>
        <w:ind w:left="-567" w:right="-518"/>
        <w:jc w:val="center"/>
        <w:rPr>
          <w:rFonts w:ascii="Montserrat Medium" w:hAnsi="Montserrat Medium" w:cs="Arial"/>
          <w:b/>
          <w:sz w:val="24"/>
          <w:szCs w:val="24"/>
        </w:rPr>
      </w:pPr>
      <w:r w:rsidRPr="003973E2">
        <w:rPr>
          <w:rFonts w:ascii="Montserrat Medium" w:hAnsi="Montserrat Medium" w:cs="Arial"/>
          <w:b/>
          <w:sz w:val="24"/>
          <w:szCs w:val="24"/>
        </w:rPr>
        <w:t>(ENAFIN) 2021</w:t>
      </w:r>
    </w:p>
    <w:p w14:paraId="66602924" w14:textId="77777777" w:rsidR="00515958" w:rsidRPr="003973E2" w:rsidRDefault="00515958" w:rsidP="00515958">
      <w:pPr>
        <w:spacing w:after="0" w:line="240" w:lineRule="auto"/>
        <w:jc w:val="center"/>
        <w:rPr>
          <w:rFonts w:ascii="Montserrat Medium" w:hAnsi="Montserrat Medium" w:cs="Arial"/>
          <w:b/>
          <w:sz w:val="24"/>
          <w:szCs w:val="24"/>
        </w:rPr>
      </w:pPr>
    </w:p>
    <w:p w14:paraId="12173BF9" w14:textId="77777777" w:rsidR="00515958" w:rsidRPr="003973E2" w:rsidRDefault="00515958" w:rsidP="00515958">
      <w:pPr>
        <w:pStyle w:val="Prrafodelista"/>
        <w:numPr>
          <w:ilvl w:val="0"/>
          <w:numId w:val="1"/>
        </w:numPr>
        <w:spacing w:after="0" w:line="240" w:lineRule="auto"/>
        <w:ind w:left="426" w:right="191" w:hanging="284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La ENAFIN 2021 contiene información detallada sobre la demanda de crédito de las empresas, así como del uso de productos y servicios financieros.</w:t>
      </w:r>
    </w:p>
    <w:p w14:paraId="20647688" w14:textId="77777777" w:rsidR="00515958" w:rsidRPr="003973E2" w:rsidRDefault="00515958" w:rsidP="00515958">
      <w:pPr>
        <w:pStyle w:val="Prrafodelista"/>
        <w:numPr>
          <w:ilvl w:val="0"/>
          <w:numId w:val="1"/>
        </w:numPr>
        <w:spacing w:after="0" w:line="240" w:lineRule="auto"/>
        <w:ind w:left="426" w:right="191" w:hanging="284"/>
        <w:jc w:val="both"/>
      </w:pPr>
      <w:r w:rsidRPr="003973E2">
        <w:rPr>
          <w:rFonts w:ascii="Montserrat Medium" w:hAnsi="Montserrat Medium" w:cs="Arial"/>
          <w:sz w:val="24"/>
          <w:szCs w:val="24"/>
        </w:rPr>
        <w:t>Con esta edición, la encuesta genera información para el diseño de políticas públicas que permitan atender los problemas de acceso al sistema financiero e incentiven la demanda de financiamiento.</w:t>
      </w:r>
    </w:p>
    <w:p w14:paraId="4924064A" w14:textId="77777777" w:rsidR="00515958" w:rsidRPr="003973E2" w:rsidRDefault="00515958" w:rsidP="00515958">
      <w:pPr>
        <w:pStyle w:val="Prrafodelista"/>
        <w:spacing w:after="0" w:line="240" w:lineRule="auto"/>
        <w:ind w:left="0" w:right="191"/>
        <w:jc w:val="both"/>
        <w:rPr>
          <w:rFonts w:ascii="Montserrat Medium" w:hAnsi="Montserrat Medium"/>
          <w:b/>
        </w:rPr>
      </w:pPr>
    </w:p>
    <w:p w14:paraId="06121848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La Comisión Nacional Bancaria y de Valores (CNBV) y el Instituto Nacional de Estadística y Geografía (INEGI) presentan los resultados de la tercera Encuesta Nacional de Financiamiento de las Empresas (ENAFIN)</w:t>
      </w:r>
    </w:p>
    <w:p w14:paraId="7F3A3BFF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781CAE87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El objetivo de la Encuesta Nacional de Financiamiento de las Empresas (ENAFIN) 2021 es obtener información sobre las necesidades, fuentes, condiciones y posibles barreras que las empresas enfrentan para acceder al financiamiento y otros productos y servicios financieros en México.</w:t>
      </w:r>
    </w:p>
    <w:p w14:paraId="7F606BD9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311658F2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La ENAFIN 2021 tiene representatividad nacional y por tamaño de empresa (micro, entre seis a diez personas empleadas), pequeña, mediana y grande; por sector de actividad económica (construcción, manufacturas, comercio y servicios privados no financieros, incluyendo transportes) y por tamaño de localidad (entre 50,000 y 499,999 habitantes y con 500,000 habitantes y más).</w:t>
      </w:r>
    </w:p>
    <w:p w14:paraId="415F1228" w14:textId="77777777" w:rsidR="00515958" w:rsidRPr="003973E2" w:rsidRDefault="00515958" w:rsidP="00515958">
      <w:pPr>
        <w:spacing w:after="0" w:line="240" w:lineRule="auto"/>
        <w:ind w:right="-658"/>
        <w:jc w:val="both"/>
        <w:rPr>
          <w:rFonts w:ascii="Montserrat Medium" w:hAnsi="Montserrat Medium" w:cs="Arial"/>
          <w:sz w:val="24"/>
          <w:szCs w:val="24"/>
        </w:rPr>
      </w:pPr>
    </w:p>
    <w:p w14:paraId="774864FD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 xml:space="preserve">El periodo de captación de la información fue del 2 de agosto al 30 de septiembre del año pasado. La información se recopiló mediante entrevistas diferidas: 72% de estas se obtuvo por internet. En esta ocasión, la encuesta incluye una serie de preguntas referentes a las afectaciones derivadas de la pandemia por Covid-19. </w:t>
      </w:r>
    </w:p>
    <w:p w14:paraId="2F5743A9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41CB66B6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El periodo de referencia de la Encuesta es el año 2020; y para algunos temas, los cuales señalan en la misma, el año 2019, e incorpora cifras del 2021 al mes de la entrevista.</w:t>
      </w:r>
    </w:p>
    <w:p w14:paraId="3330366D" w14:textId="77777777" w:rsidR="00515958" w:rsidRPr="003973E2" w:rsidRDefault="00515958" w:rsidP="00515958">
      <w:pPr>
        <w:spacing w:after="0" w:line="240" w:lineRule="auto"/>
        <w:ind w:right="-658"/>
        <w:jc w:val="both"/>
        <w:rPr>
          <w:rFonts w:ascii="Montserrat Medium" w:hAnsi="Montserrat Medium" w:cs="Arial"/>
          <w:sz w:val="24"/>
          <w:szCs w:val="24"/>
        </w:rPr>
      </w:pPr>
    </w:p>
    <w:p w14:paraId="5BA4B310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  <w:r w:rsidRPr="003973E2">
        <w:rPr>
          <w:rFonts w:ascii="Montserrat Medium" w:hAnsi="Montserrat Medium" w:cs="Arial"/>
          <w:b/>
          <w:bCs/>
          <w:smallCaps/>
          <w:sz w:val="24"/>
          <w:szCs w:val="24"/>
        </w:rPr>
        <w:t>Tenencia y uso de productos y servicios financieros</w:t>
      </w:r>
    </w:p>
    <w:p w14:paraId="587640E2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</w:p>
    <w:p w14:paraId="095FF541" w14:textId="3FE62ECA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 xml:space="preserve">En México, nueve de cada diez pequeñas y medianas empresas (pymes) contaban con al menos un producto o servicio bancario, cifra que se incrementa hasta 96 % para las empresas grandes. De éstas, 84% tenía al menos una cuenta de depósito; </w:t>
      </w:r>
      <w:r w:rsidRPr="003973E2">
        <w:rPr>
          <w:rFonts w:ascii="Montserrat Medium" w:hAnsi="Montserrat Medium" w:cs="Arial"/>
          <w:sz w:val="24"/>
          <w:szCs w:val="24"/>
        </w:rPr>
        <w:lastRenderedPageBreak/>
        <w:t>más del 90% medianas y grandes contaba con este producto financiero. La cuenta empresarial con chequera fue el producto más común en este segmento. Por otra parte, alrededor del 90% de las empresas grandes y medianas reportaron haber contratado alguna póliza de seguro desde el inicio de sus operaciones y solo 41% de las microempresas manifestó haber contratado uno, en alguna ocasión.</w:t>
      </w:r>
    </w:p>
    <w:p w14:paraId="415066B3" w14:textId="2BE895FA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4480C1AF" w14:textId="6755E8D6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En cuanto al arrendamiento financiero, 13% de las empresas reportó haber hecho uso de uno en alguna ocasión y solo 3% ha utilizado el factoraje.</w:t>
      </w:r>
    </w:p>
    <w:p w14:paraId="1A933C8E" w14:textId="0A08653D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1D86CF3B" w14:textId="3E7D0E89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  <w:r w:rsidRPr="003973E2">
        <w:rPr>
          <w:rFonts w:ascii="Montserrat Medium" w:hAnsi="Montserrat Medium" w:cs="Arial"/>
          <w:b/>
          <w:bCs/>
          <w:smallCaps/>
          <w:sz w:val="24"/>
          <w:szCs w:val="24"/>
        </w:rPr>
        <w:t>Financiamiento empresarial</w:t>
      </w:r>
    </w:p>
    <w:p w14:paraId="57C8D463" w14:textId="5847CCA3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</w:p>
    <w:p w14:paraId="4E88BE85" w14:textId="59DEFC04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Entre 2015 y 2021, el porcentaje de empresas que han solicitado financiamiento desde su inicio de operaciones pasó de 40% a 47%, mientras que 43% ha contado con financiamiento en alguna ocasión. Dos de cada tres empresas que solicitaron financiamiento, acudieron a la banca comercial para realizar su primera solicitud. Los proveedores fueron la segunda fuente más recurrida en la primera solicitud (19%).</w:t>
      </w:r>
    </w:p>
    <w:p w14:paraId="6F01C503" w14:textId="79FC8C5E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31EFF5FB" w14:textId="0B6D3164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En 2020, una de cada cuatro empresas reportó tener financiamiento activo, porcentaje menor a lo reportado en 2017</w:t>
      </w:r>
      <w:r w:rsidR="007D2FE9" w:rsidRPr="003973E2">
        <w:rPr>
          <w:rFonts w:ascii="Montserrat Medium" w:hAnsi="Montserrat Medium" w:cs="Arial"/>
          <w:sz w:val="24"/>
          <w:szCs w:val="24"/>
        </w:rPr>
        <w:t xml:space="preserve"> </w:t>
      </w:r>
      <w:r w:rsidRPr="003973E2">
        <w:rPr>
          <w:rFonts w:ascii="Montserrat Medium" w:hAnsi="Montserrat Medium" w:cs="Arial"/>
          <w:sz w:val="24"/>
          <w:szCs w:val="24"/>
        </w:rPr>
        <w:t>(27%) y en 2014 (31%). De las microempresas, 20% reportó tener uno.</w:t>
      </w:r>
    </w:p>
    <w:p w14:paraId="5DBC7B9E" w14:textId="37CFD813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22DF49A5" w14:textId="14B3BE33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En el mismo año, 64% de las empresas con financiamiento en moneda nacional tenían crédito con la banca comercial y 34% con sus proveedores, lo que, en relación con 2017, representó un incremento en la participación de estos últimos y una disminución de la banca.</w:t>
      </w:r>
    </w:p>
    <w:p w14:paraId="6B191256" w14:textId="5D88412A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3BE14D73" w14:textId="65D244B3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bookmarkStart w:id="1" w:name="_Hlk111627731"/>
      <w:r w:rsidRPr="003973E2">
        <w:rPr>
          <w:rFonts w:ascii="Montserrat Medium" w:hAnsi="Montserrat Medium" w:cs="Arial"/>
          <w:sz w:val="24"/>
          <w:szCs w:val="24"/>
        </w:rPr>
        <w:t xml:space="preserve">El porcentaje de las empresas que reportó, nunca haber solicitado financiamiento, fue del 53%. Los principales motivos para no hacerlo fueron: </w:t>
      </w:r>
      <w:r w:rsidRPr="003973E2">
        <w:rPr>
          <w:rFonts w:ascii="Montserrat Medium" w:hAnsi="Montserrat Medium" w:cs="Arial"/>
          <w:i/>
          <w:sz w:val="24"/>
          <w:szCs w:val="24"/>
        </w:rPr>
        <w:t>ser autosuficiente o contar con otros medios</w:t>
      </w:r>
      <w:r w:rsidRPr="003973E2">
        <w:rPr>
          <w:rFonts w:ascii="Montserrat Medium" w:hAnsi="Montserrat Medium" w:cs="Arial"/>
          <w:sz w:val="24"/>
          <w:szCs w:val="24"/>
        </w:rPr>
        <w:t xml:space="preserve"> (34%), </w:t>
      </w:r>
      <w:r w:rsidRPr="003973E2">
        <w:rPr>
          <w:rFonts w:ascii="Montserrat Medium" w:hAnsi="Montserrat Medium" w:cs="Arial"/>
          <w:i/>
          <w:sz w:val="24"/>
          <w:szCs w:val="24"/>
        </w:rPr>
        <w:t>no le interesa</w:t>
      </w:r>
      <w:r w:rsidRPr="003973E2">
        <w:rPr>
          <w:rFonts w:ascii="Montserrat Medium" w:hAnsi="Montserrat Medium" w:cs="Arial"/>
          <w:sz w:val="24"/>
          <w:szCs w:val="24"/>
        </w:rPr>
        <w:t xml:space="preserve"> (29%) y </w:t>
      </w:r>
      <w:r w:rsidRPr="003973E2">
        <w:rPr>
          <w:rFonts w:ascii="Montserrat Medium" w:hAnsi="Montserrat Medium" w:cs="Arial"/>
          <w:i/>
          <w:sz w:val="24"/>
          <w:szCs w:val="24"/>
        </w:rPr>
        <w:t>el alto costo del crédito</w:t>
      </w:r>
      <w:r w:rsidRPr="003973E2">
        <w:rPr>
          <w:rFonts w:ascii="Montserrat Medium" w:hAnsi="Montserrat Medium" w:cs="Arial"/>
          <w:sz w:val="24"/>
          <w:szCs w:val="24"/>
        </w:rPr>
        <w:t xml:space="preserve"> (18%).</w:t>
      </w:r>
    </w:p>
    <w:p w14:paraId="4D65174F" w14:textId="2BC2DDEE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3A3C0612" w14:textId="06ADAE15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 xml:space="preserve">Entre los factores que las empresas consideran que limitan mucho su acceso al financiamiento, los de mayor frecuencia fueron: </w:t>
      </w:r>
      <w:r w:rsidRPr="003973E2">
        <w:rPr>
          <w:rFonts w:ascii="Montserrat Medium" w:hAnsi="Montserrat Medium" w:cs="Arial"/>
          <w:i/>
          <w:sz w:val="24"/>
          <w:szCs w:val="24"/>
        </w:rPr>
        <w:t>tasa de interés alta</w:t>
      </w:r>
      <w:r w:rsidRPr="003973E2">
        <w:rPr>
          <w:rFonts w:ascii="Montserrat Medium" w:hAnsi="Montserrat Medium" w:cs="Arial"/>
          <w:sz w:val="24"/>
          <w:szCs w:val="24"/>
        </w:rPr>
        <w:t xml:space="preserve"> (62%), seguido de los </w:t>
      </w:r>
      <w:r w:rsidRPr="003973E2">
        <w:rPr>
          <w:rFonts w:ascii="Montserrat Medium" w:hAnsi="Montserrat Medium" w:cs="Arial"/>
          <w:i/>
          <w:sz w:val="24"/>
          <w:szCs w:val="24"/>
        </w:rPr>
        <w:t>muchos requisitos solicitados</w:t>
      </w:r>
      <w:r w:rsidRPr="003973E2">
        <w:rPr>
          <w:rFonts w:ascii="Montserrat Medium" w:hAnsi="Montserrat Medium" w:cs="Arial"/>
          <w:sz w:val="24"/>
          <w:szCs w:val="24"/>
        </w:rPr>
        <w:t xml:space="preserve"> (39%) y la </w:t>
      </w:r>
      <w:r w:rsidRPr="003973E2">
        <w:rPr>
          <w:rFonts w:ascii="Montserrat Medium" w:hAnsi="Montserrat Medium" w:cs="Arial"/>
          <w:i/>
          <w:sz w:val="24"/>
          <w:szCs w:val="24"/>
        </w:rPr>
        <w:t>cantidad y dificultad de los trámites</w:t>
      </w:r>
      <w:r w:rsidRPr="003973E2">
        <w:rPr>
          <w:rFonts w:ascii="Montserrat Medium" w:hAnsi="Montserrat Medium" w:cs="Arial"/>
          <w:sz w:val="24"/>
          <w:szCs w:val="24"/>
        </w:rPr>
        <w:t xml:space="preserve"> (33%).</w:t>
      </w:r>
    </w:p>
    <w:p w14:paraId="2BC1A83F" w14:textId="123028B2" w:rsidR="00515958" w:rsidRPr="003973E2" w:rsidRDefault="00515958" w:rsidP="00515958">
      <w:pPr>
        <w:spacing w:after="0" w:line="240" w:lineRule="auto"/>
        <w:ind w:right="-658"/>
        <w:jc w:val="both"/>
        <w:rPr>
          <w:rFonts w:ascii="Montserrat Medium" w:hAnsi="Montserrat Medium" w:cs="Arial"/>
          <w:sz w:val="20"/>
          <w:szCs w:val="20"/>
        </w:rPr>
      </w:pPr>
    </w:p>
    <w:p w14:paraId="5F16B845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19E923C7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5C388F01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3C2CD0FF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15B7265D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08DEC5D7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0D5D0111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623050A8" w14:textId="655873BD" w:rsidR="00515958" w:rsidRPr="003973E2" w:rsidRDefault="00515958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  <w:r w:rsidRPr="003973E2">
        <w:rPr>
          <w:rFonts w:ascii="Montserrat Medium" w:hAnsi="Montserrat Medium" w:cs="Arial"/>
          <w:sz w:val="20"/>
          <w:szCs w:val="20"/>
        </w:rPr>
        <w:lastRenderedPageBreak/>
        <w:t>Gráfica 1</w:t>
      </w:r>
    </w:p>
    <w:p w14:paraId="72932FD2" w14:textId="1D67E36A" w:rsidR="00515958" w:rsidRPr="003973E2" w:rsidRDefault="00515958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b/>
          <w:smallCaps/>
        </w:rPr>
      </w:pPr>
      <w:r w:rsidRPr="003973E2">
        <w:rPr>
          <w:rFonts w:ascii="Montserrat Medium" w:hAnsi="Montserrat Medium" w:cs="Arial"/>
          <w:b/>
          <w:smallCaps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86056F0" wp14:editId="1F20899A">
            <wp:simplePos x="0" y="0"/>
            <wp:positionH relativeFrom="column">
              <wp:posOffset>339090</wp:posOffset>
            </wp:positionH>
            <wp:positionV relativeFrom="paragraph">
              <wp:posOffset>214630</wp:posOffset>
            </wp:positionV>
            <wp:extent cx="4590415" cy="2362200"/>
            <wp:effectExtent l="19050" t="19050" r="19685" b="19050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3E2">
        <w:rPr>
          <w:rFonts w:ascii="Montserrat Medium" w:hAnsi="Montserrat Medium" w:cs="Arial"/>
          <w:b/>
          <w:smallCaps/>
        </w:rPr>
        <w:t>Factores que han limitado mucho el acceso al financiamiento</w:t>
      </w:r>
    </w:p>
    <w:p w14:paraId="0E2C6D77" w14:textId="77777777" w:rsidR="00C21123" w:rsidRDefault="00C21123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</w:p>
    <w:p w14:paraId="402CE2A1" w14:textId="1AAD874E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  <w:r w:rsidRPr="003973E2">
        <w:rPr>
          <w:rFonts w:ascii="Montserrat Medium" w:hAnsi="Montserrat Medium" w:cs="Arial"/>
          <w:b/>
          <w:bCs/>
          <w:smallCaps/>
          <w:sz w:val="24"/>
          <w:szCs w:val="24"/>
        </w:rPr>
        <w:t xml:space="preserve">Medio de pago, mecanismos de venta y uso de infraestructura </w:t>
      </w:r>
    </w:p>
    <w:p w14:paraId="14FF195A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</w:p>
    <w:p w14:paraId="197C4386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Aunque el efectivo aún es el medio de cobro más aceptado (79%), 72% de las empresas aceptó pagos con transferencias electrónicas y 45%, pagos con tarjetas de crédito o débito. Este último tuvo un incremento de diez puntos porcentuales desde 2018.</w:t>
      </w:r>
    </w:p>
    <w:p w14:paraId="4F373D80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153F3ED4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De las empresas, 70% utiliza el efectivo como medio de pago; sin embargo, el uso de páginas de internet y aplicaciones móviles para realizar pagos se extendió a 53% y a 21% de las empresas, respectivamente.</w:t>
      </w:r>
    </w:p>
    <w:p w14:paraId="365A1100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384AF981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 xml:space="preserve">Las empresas utilizan tanto canales de acceso físico como digitales para realizar sus operaciones financieras. Alrededor de ocho de cada diez empresas acuden a una sucursal para realizar sus operaciones financieras y seis de cada diez utilizan las páginas de internet de alguna institución financiera. Desde 2015, el uso de cajeros y corresponsales casi se triplicó. </w:t>
      </w:r>
    </w:p>
    <w:p w14:paraId="2F528ECC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0D3D0626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  <w:r w:rsidRPr="003973E2">
        <w:rPr>
          <w:rFonts w:ascii="Montserrat Medium" w:hAnsi="Montserrat Medium" w:cs="Arial"/>
          <w:b/>
          <w:bCs/>
          <w:smallCaps/>
          <w:sz w:val="24"/>
          <w:szCs w:val="24"/>
        </w:rPr>
        <w:t>Conocimiento del sistema financiero</w:t>
      </w:r>
    </w:p>
    <w:p w14:paraId="792191B4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</w:p>
    <w:p w14:paraId="1F7301E8" w14:textId="3E4B9184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De las empresas, 95% conocía o escuchó hablar de la banca comercial y 51% sobre la banca de desarrollo. Menos de 40% de las empresas conocía las entidades del sector popular como las Sociedades Cooperativas de Ahorro y Préstamo (SOCAP) o las Sociedades Financieras Populares (SOFIPO).</w:t>
      </w:r>
    </w:p>
    <w:p w14:paraId="1A1CDE47" w14:textId="77777777" w:rsidR="00515958" w:rsidRPr="003973E2" w:rsidRDefault="00515958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17DE1A96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4EE7DFFC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06EAABB5" w14:textId="77777777" w:rsidR="009E2FBD" w:rsidRDefault="009E2FBD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</w:p>
    <w:p w14:paraId="6087F7B9" w14:textId="3088B092" w:rsidR="00515958" w:rsidRPr="003973E2" w:rsidRDefault="00515958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sz w:val="20"/>
          <w:szCs w:val="20"/>
        </w:rPr>
      </w:pPr>
      <w:r w:rsidRPr="003973E2">
        <w:rPr>
          <w:rFonts w:ascii="Montserrat Medium" w:hAnsi="Montserrat Medium" w:cs="Arial"/>
          <w:sz w:val="20"/>
          <w:szCs w:val="20"/>
        </w:rPr>
        <w:t>Gráfica 2</w:t>
      </w:r>
    </w:p>
    <w:p w14:paraId="5B375B4F" w14:textId="77777777" w:rsidR="00515958" w:rsidRPr="003973E2" w:rsidRDefault="00515958" w:rsidP="00515958">
      <w:pPr>
        <w:spacing w:after="0" w:line="240" w:lineRule="auto"/>
        <w:ind w:left="-567" w:right="-658"/>
        <w:jc w:val="center"/>
        <w:rPr>
          <w:rFonts w:ascii="Montserrat Medium" w:hAnsi="Montserrat Medium" w:cs="Arial"/>
          <w:b/>
          <w:smallCaps/>
        </w:rPr>
      </w:pPr>
      <w:r w:rsidRPr="003973E2">
        <w:rPr>
          <w:rFonts w:ascii="Montserrat Medium" w:hAnsi="Montserrat Medium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4119DD6" wp14:editId="52E0D017">
            <wp:simplePos x="0" y="0"/>
            <wp:positionH relativeFrom="page">
              <wp:posOffset>735965</wp:posOffset>
            </wp:positionH>
            <wp:positionV relativeFrom="paragraph">
              <wp:posOffset>349250</wp:posOffset>
            </wp:positionV>
            <wp:extent cx="6352540" cy="3047365"/>
            <wp:effectExtent l="19050" t="19050" r="10160" b="19685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047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3E2">
        <w:rPr>
          <w:rFonts w:ascii="Montserrat Medium" w:hAnsi="Montserrat Medium" w:cs="Arial"/>
          <w:b/>
          <w:smallCaps/>
        </w:rPr>
        <w:t>Conocimiento sobre los diferentes tipos de instituciones financieras</w:t>
      </w:r>
    </w:p>
    <w:p w14:paraId="75B6BD23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7E82E6F1" w14:textId="4EA27F36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 xml:space="preserve">Aunque 83% de las empresas conocía las bolsas de valores y 74% las casas de bolsa, solo 19% de ellas reportaron conocer las posibilidades de financiamiento y obtención de capital a través del sector bursátil. Solo 3% manifestó interés en participar. Por su parte, dos de cada diez empresas en el país conocían o escucharon sobre el sector de tecnologías financieras (Fintech). </w:t>
      </w:r>
    </w:p>
    <w:p w14:paraId="7EE295DF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559C829F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  <w:r w:rsidRPr="003973E2">
        <w:rPr>
          <w:rFonts w:ascii="Montserrat Medium" w:hAnsi="Montserrat Medium" w:cs="Arial"/>
          <w:b/>
          <w:bCs/>
          <w:smallCaps/>
          <w:sz w:val="24"/>
          <w:szCs w:val="24"/>
        </w:rPr>
        <w:t>Impacto de la pandemia por Covid-19 en los servicios financieros</w:t>
      </w:r>
    </w:p>
    <w:p w14:paraId="704BFC47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b/>
          <w:bCs/>
          <w:smallCaps/>
          <w:sz w:val="24"/>
          <w:szCs w:val="24"/>
        </w:rPr>
      </w:pPr>
    </w:p>
    <w:p w14:paraId="2E1A2CED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Para hacer frente a las afectaciones de la pandemia por Covid-19, tres de cada diez empresas renegociaron o aplazaron los pagos a proveedores, 14% pidió créditos a conocidos y 10% solicitó un nuevo financiamiento a instituciones financieras.</w:t>
      </w:r>
    </w:p>
    <w:p w14:paraId="3D3A40C3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7ED3494F" w14:textId="4E94596F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El cierre de sucursales financieras lo sufrió 23% de las empresas y solo 13% reportó experimentar aumento en costos y comisiones de sus productos financieros.</w:t>
      </w:r>
    </w:p>
    <w:p w14:paraId="0AB05F0D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5F9C1184" w14:textId="1ECDA08A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En 2020, como resultado de las restricciones para contener la pandemia por Covid-19</w:t>
      </w:r>
      <w:r w:rsidR="009617AB">
        <w:rPr>
          <w:rFonts w:ascii="Montserrat Medium" w:hAnsi="Montserrat Medium" w:cs="Arial"/>
          <w:sz w:val="24"/>
          <w:szCs w:val="24"/>
        </w:rPr>
        <w:t xml:space="preserve">, el </w:t>
      </w:r>
      <w:r w:rsidRPr="003973E2">
        <w:rPr>
          <w:rFonts w:ascii="Montserrat Medium" w:hAnsi="Montserrat Medium" w:cs="Arial"/>
          <w:sz w:val="24"/>
          <w:szCs w:val="24"/>
        </w:rPr>
        <w:t>38% de las empresas adoptó el uso de redes sociales y 26% usó páginas de internet propias para vender y promocionar productos.</w:t>
      </w:r>
    </w:p>
    <w:p w14:paraId="0158ECFE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4B887F4D" w14:textId="77777777" w:rsidR="00515958" w:rsidRPr="003973E2" w:rsidRDefault="00515958" w:rsidP="00515958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Montserrat Medium" w:hAnsi="Montserrat Medium" w:cs="Arial"/>
          <w:b/>
          <w:sz w:val="24"/>
          <w:szCs w:val="24"/>
        </w:rPr>
      </w:pPr>
      <w:r w:rsidRPr="003973E2">
        <w:rPr>
          <w:rFonts w:ascii="Montserrat Medium" w:hAnsi="Montserrat Medium" w:cs="Arial"/>
          <w:b/>
          <w:sz w:val="24"/>
          <w:szCs w:val="24"/>
        </w:rPr>
        <w:lastRenderedPageBreak/>
        <w:t>Difusión de la Encuesta Nacional de Financiamiento de las Empresas (ENAFIN) 2021.</w:t>
      </w:r>
    </w:p>
    <w:p w14:paraId="4E887B33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64EB2ABE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2CD3A559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  <w:r w:rsidRPr="003973E2">
        <w:rPr>
          <w:rFonts w:ascii="Montserrat Medium" w:hAnsi="Montserrat Medium" w:cs="Arial"/>
          <w:sz w:val="24"/>
          <w:szCs w:val="24"/>
        </w:rPr>
        <w:t>La información completa de la ENAFIN 2021 se encuentra disponible en:</w:t>
      </w:r>
    </w:p>
    <w:p w14:paraId="4E7B1781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p w14:paraId="63419756" w14:textId="77777777" w:rsidR="00515958" w:rsidRPr="003973E2" w:rsidRDefault="00000000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color w:val="0070C0"/>
          <w:sz w:val="24"/>
          <w:szCs w:val="24"/>
        </w:rPr>
      </w:pPr>
      <w:hyperlink r:id="rId10" w:history="1">
        <w:r w:rsidR="00515958" w:rsidRPr="003973E2">
          <w:rPr>
            <w:rStyle w:val="Hipervnculo"/>
            <w:rFonts w:ascii="Montserrat Medium" w:hAnsi="Montserrat Medium" w:cs="Arial"/>
            <w:sz w:val="24"/>
            <w:szCs w:val="24"/>
          </w:rPr>
          <w:t>https://www.gob.mx/cnbv/acciones-y-programas/encuesta-nacional-de-financiamiento-de-las-empresas-enafin-2021</w:t>
        </w:r>
      </w:hyperlink>
      <w:r w:rsidR="00515958" w:rsidRPr="003973E2">
        <w:rPr>
          <w:rFonts w:ascii="Montserrat Medium" w:hAnsi="Montserrat Medium" w:cs="Arial"/>
          <w:color w:val="0070C0"/>
          <w:sz w:val="24"/>
          <w:szCs w:val="24"/>
        </w:rPr>
        <w:t xml:space="preserve"> </w:t>
      </w:r>
    </w:p>
    <w:p w14:paraId="6657B886" w14:textId="77777777" w:rsidR="00515958" w:rsidRPr="003973E2" w:rsidRDefault="00515958" w:rsidP="00515958">
      <w:pPr>
        <w:spacing w:after="0" w:line="240" w:lineRule="auto"/>
        <w:ind w:left="-567" w:right="-658"/>
        <w:jc w:val="both"/>
        <w:rPr>
          <w:rFonts w:ascii="Montserrat Medium" w:hAnsi="Montserrat Medium" w:cs="Arial"/>
          <w:sz w:val="24"/>
          <w:szCs w:val="24"/>
        </w:rPr>
      </w:pPr>
    </w:p>
    <w:bookmarkEnd w:id="1"/>
    <w:p w14:paraId="4E4ED74D" w14:textId="77777777" w:rsidR="00515958" w:rsidRPr="00DD349A" w:rsidRDefault="00515958" w:rsidP="00515958">
      <w:pPr>
        <w:spacing w:after="0" w:line="240" w:lineRule="auto"/>
        <w:ind w:left="-567" w:right="-660"/>
        <w:jc w:val="both"/>
        <w:rPr>
          <w:rFonts w:ascii="Montserrat Medium" w:hAnsi="Montserrat Medium" w:cs="Arial"/>
          <w:sz w:val="24"/>
          <w:szCs w:val="24"/>
        </w:rPr>
      </w:pPr>
      <w:r w:rsidRPr="003973E2">
        <w:fldChar w:fldCharType="begin"/>
      </w:r>
      <w:r w:rsidRPr="00DD349A">
        <w:rPr>
          <w:rFonts w:ascii="Montserrat Medium" w:hAnsi="Montserrat Medium"/>
        </w:rPr>
        <w:instrText xml:space="preserve"> HYPERLINK "https://www.inegi.org.mx/programas/enafin/2021/" </w:instrText>
      </w:r>
      <w:r w:rsidRPr="003973E2">
        <w:fldChar w:fldCharType="separate"/>
      </w:r>
      <w:r w:rsidRPr="00DD349A">
        <w:rPr>
          <w:rStyle w:val="Hipervnculo"/>
          <w:rFonts w:ascii="Montserrat Medium" w:hAnsi="Montserrat Medium" w:cs="Arial"/>
          <w:bCs/>
          <w:sz w:val="24"/>
          <w:szCs w:val="24"/>
        </w:rPr>
        <w:t>https://www.inegi.org.mx/programas/enafin/2021/</w:t>
      </w:r>
      <w:r w:rsidRPr="003973E2">
        <w:rPr>
          <w:rStyle w:val="Hipervnculo"/>
          <w:rFonts w:ascii="Montserrat Medium" w:hAnsi="Montserrat Medium" w:cs="Arial"/>
          <w:b/>
          <w:bCs/>
          <w:sz w:val="24"/>
          <w:szCs w:val="24"/>
        </w:rPr>
        <w:fldChar w:fldCharType="end"/>
      </w:r>
      <w:r w:rsidRPr="00DD349A">
        <w:rPr>
          <w:rFonts w:ascii="Montserrat Medium" w:hAnsi="Montserrat Medium" w:cs="Arial"/>
          <w:b/>
          <w:bCs/>
          <w:sz w:val="24"/>
          <w:szCs w:val="24"/>
        </w:rPr>
        <w:t xml:space="preserve"> </w:t>
      </w:r>
    </w:p>
    <w:p w14:paraId="41A69105" w14:textId="77777777" w:rsidR="00515958" w:rsidRPr="00DD349A" w:rsidRDefault="00515958" w:rsidP="00515958">
      <w:pPr>
        <w:spacing w:after="0" w:line="240" w:lineRule="auto"/>
        <w:ind w:left="-567" w:right="-660"/>
        <w:jc w:val="both"/>
        <w:rPr>
          <w:rFonts w:ascii="Montserrat Medium" w:hAnsi="Montserrat Medium" w:cs="Arial"/>
          <w:sz w:val="24"/>
          <w:szCs w:val="24"/>
        </w:rPr>
      </w:pPr>
    </w:p>
    <w:p w14:paraId="2E1643CF" w14:textId="77777777" w:rsidR="00515958" w:rsidRPr="00DD349A" w:rsidRDefault="00515958" w:rsidP="00515958">
      <w:pPr>
        <w:spacing w:after="0" w:line="240" w:lineRule="auto"/>
        <w:ind w:left="-567" w:right="-660"/>
        <w:jc w:val="both"/>
        <w:rPr>
          <w:rFonts w:ascii="Montserrat Medium" w:hAnsi="Montserrat Medium" w:cs="Arial"/>
          <w:sz w:val="24"/>
          <w:szCs w:val="24"/>
        </w:rPr>
      </w:pPr>
    </w:p>
    <w:p w14:paraId="2734319F" w14:textId="77777777" w:rsidR="00515958" w:rsidRPr="003973E2" w:rsidRDefault="00515958" w:rsidP="00515958">
      <w:pPr>
        <w:spacing w:after="0" w:line="240" w:lineRule="auto"/>
        <w:ind w:right="-658"/>
        <w:jc w:val="center"/>
        <w:rPr>
          <w:rFonts w:ascii="Montserrat Medium" w:hAnsi="Montserrat Medium"/>
          <w:sz w:val="24"/>
          <w:szCs w:val="24"/>
        </w:rPr>
        <w:sectPr w:rsidR="00515958" w:rsidRPr="003973E2" w:rsidSect="00515958">
          <w:headerReference w:type="default" r:id="rId11"/>
          <w:footerReference w:type="default" r:id="rId12"/>
          <w:type w:val="continuous"/>
          <w:pgSz w:w="12240" w:h="15840"/>
          <w:pgMar w:top="1843" w:right="1701" w:bottom="1417" w:left="1701" w:header="708" w:footer="354" w:gutter="0"/>
          <w:cols w:space="708"/>
          <w:docGrid w:linePitch="360"/>
        </w:sectPr>
      </w:pPr>
      <w:proofErr w:type="spellStart"/>
      <w:r w:rsidRPr="003973E2">
        <w:rPr>
          <w:rFonts w:ascii="Montserrat Medium" w:hAnsi="Montserrat Medium"/>
          <w:sz w:val="24"/>
          <w:szCs w:val="24"/>
        </w:rPr>
        <w:t>ooOoo</w:t>
      </w:r>
      <w:proofErr w:type="spellEnd"/>
    </w:p>
    <w:p w14:paraId="63377A29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24F9873F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3763F9D1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1B1C5A30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471DF0D4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1BECE932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20A03706" w14:textId="77777777" w:rsidR="00515958" w:rsidRPr="003973E2" w:rsidRDefault="00515958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4861DDBC" w14:textId="6D844F5C" w:rsidR="00161A84" w:rsidRPr="003973E2" w:rsidRDefault="00161A84" w:rsidP="00515958">
      <w:pPr>
        <w:spacing w:after="0" w:line="240" w:lineRule="auto"/>
        <w:ind w:right="-658"/>
        <w:rPr>
          <w:rFonts w:ascii="Arial" w:hAnsi="Arial" w:cs="Arial"/>
          <w:b/>
          <w:sz w:val="24"/>
          <w:szCs w:val="24"/>
        </w:rPr>
      </w:pPr>
    </w:p>
    <w:p w14:paraId="5F82BD58" w14:textId="77777777" w:rsidR="001A422D" w:rsidRPr="003973E2" w:rsidRDefault="001A422D" w:rsidP="00A66747">
      <w:pPr>
        <w:spacing w:after="0" w:line="240" w:lineRule="auto"/>
        <w:ind w:right="-658"/>
        <w:rPr>
          <w:rFonts w:ascii="Arial" w:hAnsi="Arial" w:cs="Arial"/>
          <w:b/>
          <w:sz w:val="24"/>
          <w:szCs w:val="24"/>
        </w:rPr>
      </w:pPr>
    </w:p>
    <w:p w14:paraId="5C25A752" w14:textId="77777777" w:rsidR="001A422D" w:rsidRPr="003973E2" w:rsidRDefault="001A422D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6E64DBDF" w14:textId="77777777" w:rsidR="001A422D" w:rsidRPr="003973E2" w:rsidRDefault="001A422D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6573D001" w14:textId="77777777" w:rsidR="001A422D" w:rsidRPr="003973E2" w:rsidRDefault="001A422D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080625C6" w14:textId="77777777" w:rsidR="009E2FBD" w:rsidRDefault="009E2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BA6A50" w14:textId="7B04F3B3" w:rsidR="00457E4E" w:rsidRPr="003973E2" w:rsidRDefault="00035872" w:rsidP="00035872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  <w:r w:rsidRPr="003973E2">
        <w:rPr>
          <w:rFonts w:ascii="Arial" w:hAnsi="Arial" w:cs="Arial"/>
          <w:b/>
          <w:sz w:val="24"/>
          <w:szCs w:val="24"/>
        </w:rPr>
        <w:lastRenderedPageBreak/>
        <w:t>ANEXO</w:t>
      </w:r>
    </w:p>
    <w:p w14:paraId="037263ED" w14:textId="77777777" w:rsidR="00035872" w:rsidRPr="003973E2" w:rsidRDefault="00035872" w:rsidP="00712AF4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</w:p>
    <w:p w14:paraId="05AF668F" w14:textId="1C503FBA" w:rsidR="00457E4E" w:rsidRPr="003973E2" w:rsidRDefault="00035872" w:rsidP="00712AF4">
      <w:pPr>
        <w:spacing w:after="0" w:line="240" w:lineRule="auto"/>
        <w:ind w:left="-567" w:right="-658"/>
        <w:jc w:val="center"/>
        <w:rPr>
          <w:rFonts w:ascii="Arial" w:hAnsi="Arial" w:cs="Arial"/>
          <w:b/>
          <w:sz w:val="24"/>
          <w:szCs w:val="24"/>
        </w:rPr>
      </w:pPr>
      <w:r w:rsidRPr="003973E2">
        <w:rPr>
          <w:rFonts w:ascii="Arial" w:hAnsi="Arial" w:cs="Arial"/>
          <w:b/>
          <w:sz w:val="24"/>
          <w:szCs w:val="24"/>
        </w:rPr>
        <w:t>NOTA TÉCNICA</w:t>
      </w:r>
    </w:p>
    <w:p w14:paraId="2DC89883" w14:textId="77777777" w:rsidR="006E20E0" w:rsidRPr="003973E2" w:rsidRDefault="006E20E0" w:rsidP="00FE1E0E">
      <w:pPr>
        <w:spacing w:after="0" w:line="240" w:lineRule="auto"/>
        <w:ind w:right="-518"/>
        <w:rPr>
          <w:rFonts w:ascii="Arial" w:hAnsi="Arial" w:cs="Arial"/>
          <w:sz w:val="24"/>
          <w:szCs w:val="24"/>
        </w:rPr>
      </w:pPr>
    </w:p>
    <w:p w14:paraId="038F989C" w14:textId="31F0A2F1" w:rsidR="006E20E0" w:rsidRPr="003973E2" w:rsidRDefault="006E20E0" w:rsidP="006E20E0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E</w:t>
      </w:r>
      <w:r w:rsidRPr="003973E2">
        <w:rPr>
          <w:rFonts w:ascii="Arial" w:hAnsi="Arial" w:cs="Arial"/>
          <w:iCs/>
          <w:sz w:val="24"/>
          <w:szCs w:val="24"/>
        </w:rPr>
        <w:t xml:space="preserve">l </w:t>
      </w:r>
      <w:r w:rsidRPr="003973E2">
        <w:rPr>
          <w:rFonts w:ascii="Arial" w:hAnsi="Arial" w:cs="Arial"/>
          <w:sz w:val="24"/>
          <w:szCs w:val="24"/>
        </w:rPr>
        <w:t>INEGI y la</w:t>
      </w:r>
      <w:r w:rsidR="00D121E6" w:rsidRPr="003973E2">
        <w:rPr>
          <w:rFonts w:ascii="Arial" w:hAnsi="Arial" w:cs="Arial"/>
          <w:sz w:val="24"/>
          <w:szCs w:val="24"/>
        </w:rPr>
        <w:t xml:space="preserve"> </w:t>
      </w:r>
      <w:r w:rsidRPr="003973E2">
        <w:rPr>
          <w:rFonts w:ascii="Arial" w:hAnsi="Arial" w:cs="Arial"/>
          <w:sz w:val="24"/>
          <w:szCs w:val="24"/>
        </w:rPr>
        <w:t>CNBV presentan los resultados de la ENAFIN 2021, realizada durante el segundo semestre de 2021.</w:t>
      </w:r>
    </w:p>
    <w:p w14:paraId="36DE42EF" w14:textId="77777777" w:rsidR="006E20E0" w:rsidRPr="003973E2" w:rsidRDefault="006E20E0" w:rsidP="006E20E0">
      <w:pPr>
        <w:spacing w:after="0" w:line="240" w:lineRule="auto"/>
        <w:ind w:left="-567" w:right="-518"/>
        <w:rPr>
          <w:rFonts w:ascii="Arial" w:hAnsi="Arial" w:cs="Arial"/>
          <w:sz w:val="24"/>
          <w:szCs w:val="24"/>
        </w:rPr>
      </w:pPr>
    </w:p>
    <w:p w14:paraId="07BA8F63" w14:textId="7C1768E2" w:rsidR="006E20E0" w:rsidRPr="003973E2" w:rsidRDefault="006E20E0" w:rsidP="006E20E0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Con esta encuesta, el INEGI recaba información estadística que permite identificar las necesidades, fuentes y condiciones de acceso al financiamiento, así como el uso del financiamiento y los servicios financieros de las empresas en México</w:t>
      </w:r>
      <w:r w:rsidR="00D121E6" w:rsidRPr="003973E2">
        <w:rPr>
          <w:rFonts w:ascii="Arial" w:hAnsi="Arial" w:cs="Arial"/>
          <w:sz w:val="24"/>
          <w:szCs w:val="24"/>
        </w:rPr>
        <w:t>. Lo anterior</w:t>
      </w:r>
      <w:r w:rsidRPr="003973E2">
        <w:rPr>
          <w:rFonts w:ascii="Arial" w:hAnsi="Arial" w:cs="Arial"/>
          <w:sz w:val="24"/>
          <w:szCs w:val="24"/>
        </w:rPr>
        <w:t>, dando continuidad al estudio</w:t>
      </w:r>
      <w:r w:rsidR="00D121E6" w:rsidRPr="003973E2">
        <w:rPr>
          <w:rFonts w:ascii="Arial" w:hAnsi="Arial" w:cs="Arial"/>
          <w:sz w:val="24"/>
          <w:szCs w:val="24"/>
        </w:rPr>
        <w:t xml:space="preserve"> que iniciaron </w:t>
      </w:r>
      <w:r w:rsidRPr="003973E2">
        <w:rPr>
          <w:rFonts w:ascii="Arial" w:hAnsi="Arial" w:cs="Arial"/>
          <w:sz w:val="24"/>
          <w:szCs w:val="24"/>
        </w:rPr>
        <w:t xml:space="preserve">la 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>ENAFIN 2015 y la ENAFIN 2018.</w:t>
      </w:r>
    </w:p>
    <w:p w14:paraId="1B1B8429" w14:textId="77777777" w:rsidR="006E20E0" w:rsidRPr="003973E2" w:rsidRDefault="006E20E0" w:rsidP="006E20E0">
      <w:pPr>
        <w:spacing w:after="0" w:line="240" w:lineRule="auto"/>
        <w:ind w:left="-567" w:right="-518"/>
        <w:rPr>
          <w:rFonts w:ascii="Arial" w:hAnsi="Arial" w:cs="Arial"/>
          <w:sz w:val="24"/>
          <w:szCs w:val="24"/>
        </w:rPr>
      </w:pPr>
    </w:p>
    <w:p w14:paraId="09A9DF68" w14:textId="51D377BB" w:rsidR="006E20E0" w:rsidRPr="003973E2" w:rsidRDefault="006E20E0" w:rsidP="006E20E0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El tamaño de muestra calculado a partir de un diseño probabilístico y estratificado permite obtener resultados por gran sector de actividad económica; construcción, manufacturas, comercio y servicios privados no financieros; por tamaño de empresa; 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 xml:space="preserve">micro con </w:t>
      </w:r>
      <w:r w:rsidR="00B955C7" w:rsidRPr="003973E2">
        <w:rPr>
          <w:rFonts w:ascii="Arial" w:hAnsi="Arial" w:cs="Arial"/>
          <w:color w:val="000000" w:themeColor="text1"/>
          <w:sz w:val="24"/>
          <w:szCs w:val="24"/>
        </w:rPr>
        <w:t>seis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D121E6" w:rsidRPr="003973E2">
        <w:rPr>
          <w:rFonts w:ascii="Arial" w:hAnsi="Arial" w:cs="Arial"/>
          <w:color w:val="000000" w:themeColor="text1"/>
          <w:sz w:val="24"/>
          <w:szCs w:val="24"/>
        </w:rPr>
        <w:t>diez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 xml:space="preserve"> personas ocupadas, pequeñas, medianas y grandes, así como por tamaño de localidades: </w:t>
      </w:r>
      <w:r w:rsidR="00B955C7" w:rsidRPr="003973E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>50</w:t>
      </w:r>
      <w:r w:rsidR="00B8520B" w:rsidRPr="003973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>000 a 499</w:t>
      </w:r>
      <w:r w:rsidR="00B8520B" w:rsidRPr="003973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>999 habitantes y 500</w:t>
      </w:r>
      <w:r w:rsidR="00B8520B" w:rsidRPr="003973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3973E2">
        <w:rPr>
          <w:rFonts w:ascii="Arial" w:hAnsi="Arial" w:cs="Arial"/>
          <w:color w:val="000000" w:themeColor="text1"/>
          <w:sz w:val="24"/>
          <w:szCs w:val="24"/>
        </w:rPr>
        <w:t xml:space="preserve">000 y más habitantes. </w:t>
      </w:r>
    </w:p>
    <w:p w14:paraId="1A351E03" w14:textId="77777777" w:rsidR="00242F71" w:rsidRPr="003973E2" w:rsidRDefault="00242F71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C51C652" w14:textId="73C62502" w:rsidR="006E20E0" w:rsidRPr="003973E2" w:rsidRDefault="00B955C7" w:rsidP="00B955C7">
      <w:pPr>
        <w:autoSpaceDE w:val="0"/>
        <w:autoSpaceDN w:val="0"/>
        <w:adjustRightInd w:val="0"/>
        <w:spacing w:after="0" w:line="240" w:lineRule="auto"/>
        <w:ind w:left="-567" w:right="-518"/>
        <w:outlineLvl w:val="0"/>
        <w:rPr>
          <w:rFonts w:ascii="Arial Negrita" w:hAnsi="Arial Negrita" w:cs="Arial"/>
          <w:b/>
          <w:smallCaps/>
          <w:sz w:val="24"/>
          <w:szCs w:val="24"/>
        </w:rPr>
      </w:pPr>
      <w:r w:rsidRPr="003973E2">
        <w:rPr>
          <w:rFonts w:ascii="Arial Negrita" w:hAnsi="Arial Negrita" w:cs="Arial"/>
          <w:b/>
          <w:smallCaps/>
          <w:sz w:val="24"/>
          <w:szCs w:val="24"/>
        </w:rPr>
        <w:t>Principales resultados</w:t>
      </w:r>
    </w:p>
    <w:p w14:paraId="10567D9E" w14:textId="77777777" w:rsidR="00242F71" w:rsidRPr="003973E2" w:rsidRDefault="00242F71" w:rsidP="006E20E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sz w:val="26"/>
          <w:szCs w:val="26"/>
        </w:rPr>
      </w:pPr>
    </w:p>
    <w:p w14:paraId="208285B4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3973E2">
        <w:rPr>
          <w:rFonts w:ascii="Arial" w:hAnsi="Arial" w:cs="Arial"/>
          <w:b/>
          <w:sz w:val="24"/>
          <w:szCs w:val="24"/>
        </w:rPr>
        <w:t>Características de las empresas</w:t>
      </w:r>
    </w:p>
    <w:p w14:paraId="4A4FFDDE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/>
          <w:sz w:val="26"/>
          <w:szCs w:val="26"/>
        </w:rPr>
      </w:pPr>
    </w:p>
    <w:p w14:paraId="79CAFF51" w14:textId="7BA83CCD" w:rsidR="006E20E0" w:rsidRPr="003973E2" w:rsidRDefault="00D121E6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noProof/>
          <w:sz w:val="24"/>
          <w:szCs w:val="24"/>
          <w:lang w:eastAsia="es-MX"/>
        </w:rPr>
      </w:pPr>
      <w:r w:rsidRPr="003973E2">
        <w:rPr>
          <w:rFonts w:ascii="Arial" w:hAnsi="Arial" w:cs="Arial"/>
          <w:noProof/>
          <w:sz w:val="24"/>
          <w:szCs w:val="24"/>
          <w:lang w:eastAsia="es-MX"/>
        </w:rPr>
        <w:t xml:space="preserve">De las empresas, 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34.1% tiene </w:t>
      </w:r>
      <w:r w:rsidR="006E20E0" w:rsidRPr="003973E2">
        <w:rPr>
          <w:rFonts w:ascii="Arial" w:hAnsi="Arial" w:cs="Arial"/>
          <w:i/>
          <w:noProof/>
          <w:sz w:val="24"/>
          <w:szCs w:val="24"/>
          <w:lang w:eastAsia="es-MX"/>
        </w:rPr>
        <w:t>21 años y más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 en operación, seguido por 31.5% que se encuentra entre </w:t>
      </w:r>
      <w:r w:rsidR="006E20E0" w:rsidRPr="003973E2">
        <w:rPr>
          <w:rFonts w:ascii="Arial" w:hAnsi="Arial" w:cs="Arial"/>
          <w:i/>
          <w:noProof/>
          <w:sz w:val="24"/>
          <w:szCs w:val="24"/>
          <w:lang w:eastAsia="es-MX"/>
        </w:rPr>
        <w:t>11 y 20 años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 operando. </w:t>
      </w:r>
      <w:r w:rsidRPr="003973E2">
        <w:rPr>
          <w:rFonts w:ascii="Arial" w:hAnsi="Arial" w:cs="Arial"/>
          <w:noProof/>
          <w:sz w:val="24"/>
          <w:szCs w:val="24"/>
          <w:lang w:eastAsia="es-MX"/>
        </w:rPr>
        <w:t>S</w:t>
      </w:r>
      <w:r w:rsidR="00446665" w:rsidRPr="003973E2">
        <w:rPr>
          <w:rFonts w:ascii="Arial" w:hAnsi="Arial" w:cs="Arial"/>
          <w:noProof/>
          <w:sz w:val="24"/>
          <w:szCs w:val="24"/>
          <w:lang w:eastAsia="es-MX"/>
        </w:rPr>
        <w:t>o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lo 3.9% de las empresas tiene </w:t>
      </w:r>
      <w:r w:rsidR="006E20E0" w:rsidRPr="003973E2">
        <w:rPr>
          <w:rFonts w:ascii="Arial" w:hAnsi="Arial" w:cs="Arial"/>
          <w:i/>
          <w:noProof/>
          <w:sz w:val="24"/>
          <w:szCs w:val="24"/>
          <w:lang w:eastAsia="es-MX"/>
        </w:rPr>
        <w:t>dos años o menos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 de haber iniciado operaciones. </w:t>
      </w:r>
      <w:r w:rsidRPr="003973E2">
        <w:rPr>
          <w:rFonts w:ascii="Arial" w:hAnsi="Arial" w:cs="Arial"/>
          <w:noProof/>
          <w:sz w:val="24"/>
          <w:szCs w:val="24"/>
          <w:lang w:eastAsia="es-MX"/>
        </w:rPr>
        <w:t>Alguna persona física es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 propietaria </w:t>
      </w:r>
      <w:r w:rsidRPr="003973E2">
        <w:rPr>
          <w:rFonts w:ascii="Arial" w:hAnsi="Arial" w:cs="Arial"/>
          <w:noProof/>
          <w:sz w:val="24"/>
          <w:szCs w:val="24"/>
          <w:lang w:eastAsia="es-MX"/>
        </w:rPr>
        <w:t>de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 xml:space="preserve"> 44.1</w:t>
      </w:r>
      <w:r w:rsidRPr="003973E2">
        <w:rPr>
          <w:rFonts w:ascii="Arial" w:hAnsi="Arial" w:cs="Arial"/>
          <w:noProof/>
          <w:sz w:val="24"/>
          <w:szCs w:val="24"/>
          <w:lang w:eastAsia="es-MX"/>
        </w:rPr>
        <w:t>% de las empresas</w:t>
      </w:r>
      <w:r w:rsidR="006E20E0" w:rsidRPr="003973E2">
        <w:rPr>
          <w:rFonts w:ascii="Arial" w:hAnsi="Arial" w:cs="Arial"/>
          <w:noProof/>
          <w:sz w:val="24"/>
          <w:szCs w:val="24"/>
          <w:lang w:eastAsia="es-MX"/>
        </w:rPr>
        <w:t>.</w:t>
      </w:r>
    </w:p>
    <w:p w14:paraId="7BB1C62D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noProof/>
          <w:sz w:val="24"/>
          <w:szCs w:val="24"/>
          <w:lang w:eastAsia="es-MX"/>
        </w:rPr>
      </w:pPr>
    </w:p>
    <w:p w14:paraId="6E0CA10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</w:t>
      </w:r>
    </w:p>
    <w:p w14:paraId="48450C3F" w14:textId="4AB48A27" w:rsidR="00C82655" w:rsidRPr="003973E2" w:rsidRDefault="00C82655" w:rsidP="00C82655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Edad promedio de las empresas y tipo de propietario(a)</w:t>
      </w:r>
      <w:r w:rsidRPr="003973E2">
        <w:rPr>
          <w:rFonts w:ascii="Arial" w:hAnsi="Arial" w:cs="Arial"/>
          <w:b/>
          <w:bCs/>
          <w:smallCaps/>
          <w:lang w:val="es-ES_tradnl"/>
        </w:rPr>
        <w:t xml:space="preserve"> en 2021</w:t>
      </w:r>
    </w:p>
    <w:p w14:paraId="3003727C" w14:textId="534DEAD4" w:rsidR="00065410" w:rsidRPr="003973E2" w:rsidRDefault="00065410" w:rsidP="00AA6B4B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</w:rPr>
      </w:pPr>
      <w:r w:rsidRPr="003973E2">
        <w:rPr>
          <w:noProof/>
        </w:rPr>
        <w:drawing>
          <wp:inline distT="0" distB="0" distL="0" distR="0" wp14:anchorId="575DAB64" wp14:editId="5892B8EA">
            <wp:extent cx="5136101" cy="2466975"/>
            <wp:effectExtent l="0" t="0" r="7620" b="0"/>
            <wp:docPr id="57" name="Imagen 57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 descr="Gráfico, Gráfico circular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9013" cy="24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61EA" w14:textId="733C8E27" w:rsidR="000830B2" w:rsidRPr="003973E2" w:rsidRDefault="000830B2" w:rsidP="00B8520B">
      <w:pPr>
        <w:autoSpaceDE w:val="0"/>
        <w:autoSpaceDN w:val="0"/>
        <w:adjustRightInd w:val="0"/>
        <w:spacing w:after="0" w:line="240" w:lineRule="auto"/>
        <w:ind w:left="-567" w:right="-518" w:firstLine="993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 xml:space="preserve">Nota: </w:t>
      </w:r>
      <w:r w:rsidR="00F81191" w:rsidRPr="003973E2">
        <w:rPr>
          <w:rFonts w:ascii="Arial" w:hAnsi="Arial" w:cs="Arial"/>
          <w:bCs/>
          <w:sz w:val="16"/>
          <w:szCs w:val="16"/>
        </w:rPr>
        <w:t xml:space="preserve">referencia </w:t>
      </w:r>
      <w:r w:rsidRPr="003973E2">
        <w:rPr>
          <w:rFonts w:ascii="Arial" w:hAnsi="Arial" w:cs="Arial"/>
          <w:bCs/>
          <w:sz w:val="16"/>
          <w:szCs w:val="16"/>
        </w:rPr>
        <w:t>al momento de la entrevista.</w:t>
      </w:r>
    </w:p>
    <w:p w14:paraId="0D54916A" w14:textId="1A235E74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</w:rPr>
      </w:pPr>
      <w:r w:rsidRPr="003973E2">
        <w:rPr>
          <w:rFonts w:ascii="Arial" w:hAnsi="Arial" w:cs="Arial"/>
          <w:bCs/>
          <w:sz w:val="24"/>
        </w:rPr>
        <w:lastRenderedPageBreak/>
        <w:t>En la mayoría de las empresas</w:t>
      </w:r>
      <w:r w:rsidR="00D121E6" w:rsidRPr="003973E2">
        <w:rPr>
          <w:rFonts w:ascii="Arial" w:hAnsi="Arial" w:cs="Arial"/>
          <w:bCs/>
          <w:sz w:val="24"/>
        </w:rPr>
        <w:t xml:space="preserve"> (61.2%)</w:t>
      </w:r>
      <w:r w:rsidRPr="003973E2">
        <w:rPr>
          <w:rFonts w:ascii="Arial" w:hAnsi="Arial" w:cs="Arial"/>
          <w:bCs/>
          <w:sz w:val="24"/>
        </w:rPr>
        <w:t>, la persona que toma las decisiones es</w:t>
      </w:r>
      <w:r w:rsidRPr="003973E2">
        <w:rPr>
          <w:rFonts w:ascii="Arial" w:hAnsi="Arial" w:cs="Arial"/>
          <w:bCs/>
          <w:i/>
          <w:sz w:val="24"/>
        </w:rPr>
        <w:t xml:space="preserve"> </w:t>
      </w:r>
      <w:r w:rsidR="00D121E6" w:rsidRPr="003973E2">
        <w:rPr>
          <w:rFonts w:ascii="Arial" w:hAnsi="Arial" w:cs="Arial"/>
          <w:bCs/>
          <w:i/>
          <w:sz w:val="24"/>
        </w:rPr>
        <w:t xml:space="preserve">la o el </w:t>
      </w:r>
      <w:r w:rsidRPr="003973E2">
        <w:rPr>
          <w:rFonts w:ascii="Arial" w:hAnsi="Arial" w:cs="Arial"/>
          <w:bCs/>
          <w:i/>
          <w:sz w:val="24"/>
        </w:rPr>
        <w:t>director general o gerente</w:t>
      </w:r>
      <w:r w:rsidR="00D121E6" w:rsidRPr="003973E2">
        <w:rPr>
          <w:rFonts w:ascii="Arial" w:hAnsi="Arial" w:cs="Arial"/>
          <w:bCs/>
          <w:sz w:val="24"/>
        </w:rPr>
        <w:t>. E</w:t>
      </w:r>
      <w:r w:rsidRPr="003973E2">
        <w:rPr>
          <w:rFonts w:ascii="Arial" w:hAnsi="Arial" w:cs="Arial"/>
          <w:bCs/>
          <w:sz w:val="24"/>
        </w:rPr>
        <w:t xml:space="preserve">n segundo </w:t>
      </w:r>
      <w:r w:rsidR="004D1698" w:rsidRPr="003973E2">
        <w:rPr>
          <w:rFonts w:ascii="Arial" w:hAnsi="Arial" w:cs="Arial"/>
          <w:bCs/>
          <w:sz w:val="24"/>
        </w:rPr>
        <w:t xml:space="preserve">lugar, </w:t>
      </w:r>
      <w:r w:rsidR="00D121E6" w:rsidRPr="003973E2">
        <w:rPr>
          <w:rFonts w:ascii="Arial" w:hAnsi="Arial" w:cs="Arial"/>
          <w:bCs/>
          <w:sz w:val="24"/>
        </w:rPr>
        <w:t xml:space="preserve">están </w:t>
      </w:r>
      <w:r w:rsidR="00D121E6" w:rsidRPr="003973E2">
        <w:rPr>
          <w:rFonts w:ascii="Arial" w:hAnsi="Arial" w:cs="Arial"/>
          <w:bCs/>
          <w:i/>
          <w:sz w:val="24"/>
        </w:rPr>
        <w:t>las o</w:t>
      </w:r>
      <w:r w:rsidRPr="003973E2">
        <w:rPr>
          <w:rFonts w:ascii="Arial" w:hAnsi="Arial" w:cs="Arial"/>
          <w:bCs/>
          <w:i/>
          <w:sz w:val="24"/>
        </w:rPr>
        <w:t xml:space="preserve"> los socios o fundador</w:t>
      </w:r>
      <w:r w:rsidR="00D121E6" w:rsidRPr="003973E2">
        <w:rPr>
          <w:rFonts w:ascii="Arial" w:hAnsi="Arial" w:cs="Arial"/>
          <w:bCs/>
          <w:i/>
          <w:sz w:val="24"/>
        </w:rPr>
        <w:t>es</w:t>
      </w:r>
      <w:r w:rsidRPr="003973E2">
        <w:rPr>
          <w:rFonts w:ascii="Arial" w:hAnsi="Arial" w:cs="Arial"/>
          <w:bCs/>
          <w:sz w:val="24"/>
        </w:rPr>
        <w:t xml:space="preserve"> con 19.9</w:t>
      </w:r>
      <w:r w:rsidR="00B955C7" w:rsidRPr="003973E2">
        <w:rPr>
          <w:rFonts w:ascii="Arial" w:hAnsi="Arial" w:cs="Arial"/>
          <w:bCs/>
          <w:sz w:val="24"/>
        </w:rPr>
        <w:t xml:space="preserve"> </w:t>
      </w:r>
      <w:r w:rsidR="00D121E6" w:rsidRPr="003973E2">
        <w:rPr>
          <w:rFonts w:ascii="Arial" w:hAnsi="Arial" w:cs="Arial"/>
          <w:bCs/>
          <w:sz w:val="24"/>
        </w:rPr>
        <w:t>por ciento</w:t>
      </w:r>
      <w:r w:rsidRPr="003973E2">
        <w:rPr>
          <w:rFonts w:ascii="Arial" w:hAnsi="Arial" w:cs="Arial"/>
          <w:bCs/>
          <w:sz w:val="24"/>
        </w:rPr>
        <w:t>. En 79.4% de las empresas, quien</w:t>
      </w:r>
      <w:r w:rsidR="00D121E6" w:rsidRPr="003973E2">
        <w:rPr>
          <w:rFonts w:ascii="Arial" w:hAnsi="Arial" w:cs="Arial"/>
          <w:bCs/>
          <w:sz w:val="24"/>
        </w:rPr>
        <w:t xml:space="preserve"> suele</w:t>
      </w:r>
      <w:r w:rsidRPr="003973E2">
        <w:rPr>
          <w:rFonts w:ascii="Arial" w:hAnsi="Arial" w:cs="Arial"/>
          <w:bCs/>
          <w:sz w:val="24"/>
        </w:rPr>
        <w:t xml:space="preserve"> toma</w:t>
      </w:r>
      <w:r w:rsidR="00D121E6" w:rsidRPr="003973E2">
        <w:rPr>
          <w:rFonts w:ascii="Arial" w:hAnsi="Arial" w:cs="Arial"/>
          <w:bCs/>
          <w:sz w:val="24"/>
        </w:rPr>
        <w:t xml:space="preserve">r </w:t>
      </w:r>
      <w:r w:rsidRPr="003973E2">
        <w:rPr>
          <w:rFonts w:ascii="Arial" w:hAnsi="Arial" w:cs="Arial"/>
          <w:bCs/>
          <w:sz w:val="24"/>
        </w:rPr>
        <w:t xml:space="preserve">las decisiones es hombre. </w:t>
      </w:r>
    </w:p>
    <w:p w14:paraId="005B44B6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</w:rPr>
      </w:pPr>
    </w:p>
    <w:p w14:paraId="4867AC3E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2</w:t>
      </w:r>
    </w:p>
    <w:p w14:paraId="75D9AD92" w14:textId="705A604C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Persona que toma principalmente</w:t>
      </w:r>
      <w:r w:rsidR="00B955C7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las decisiones en 2021</w:t>
      </w:r>
    </w:p>
    <w:p w14:paraId="1F99E40E" w14:textId="4DE59DA4" w:rsidR="00FE66A5" w:rsidRPr="003973E2" w:rsidRDefault="00FE66A5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  <w:sz w:val="24"/>
          <w:szCs w:val="24"/>
          <w:lang w:val="es-ES_tradnl"/>
        </w:rPr>
      </w:pPr>
      <w:r w:rsidRPr="003973E2">
        <w:rPr>
          <w:noProof/>
        </w:rPr>
        <w:drawing>
          <wp:inline distT="0" distB="0" distL="0" distR="0" wp14:anchorId="7A7D7C40" wp14:editId="33E8989A">
            <wp:extent cx="4852800" cy="2592000"/>
            <wp:effectExtent l="0" t="0" r="5080" b="0"/>
            <wp:docPr id="5" name="Imagen 5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circular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28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FB79" w14:textId="0C6D8EE2" w:rsidR="00804AEF" w:rsidRPr="003973E2" w:rsidRDefault="00804AEF" w:rsidP="00804AEF">
      <w:pPr>
        <w:autoSpaceDE w:val="0"/>
        <w:autoSpaceDN w:val="0"/>
        <w:adjustRightInd w:val="0"/>
        <w:spacing w:after="0" w:line="240" w:lineRule="auto"/>
        <w:ind w:left="-567" w:right="-518" w:firstLine="1276"/>
        <w:jc w:val="both"/>
        <w:outlineLvl w:val="0"/>
        <w:rPr>
          <w:rFonts w:ascii="Arial" w:hAnsi="Arial" w:cs="Arial"/>
          <w:bCs/>
          <w:sz w:val="16"/>
          <w:szCs w:val="16"/>
        </w:rPr>
      </w:pPr>
      <w:bookmarkStart w:id="2" w:name="_Hlk111889596"/>
      <w:r w:rsidRPr="003973E2">
        <w:rPr>
          <w:rFonts w:ascii="Arial" w:hAnsi="Arial" w:cs="Arial"/>
          <w:bCs/>
          <w:sz w:val="16"/>
          <w:szCs w:val="16"/>
        </w:rPr>
        <w:t xml:space="preserve">Nota: </w:t>
      </w:r>
      <w:r w:rsidR="005445D9" w:rsidRPr="003973E2">
        <w:rPr>
          <w:rFonts w:ascii="Arial" w:hAnsi="Arial" w:cs="Arial"/>
          <w:bCs/>
          <w:sz w:val="16"/>
          <w:szCs w:val="16"/>
        </w:rPr>
        <w:t xml:space="preserve">referencia </w:t>
      </w:r>
      <w:r w:rsidRPr="003973E2">
        <w:rPr>
          <w:rFonts w:ascii="Arial" w:hAnsi="Arial" w:cs="Arial"/>
          <w:bCs/>
          <w:sz w:val="16"/>
          <w:szCs w:val="16"/>
        </w:rPr>
        <w:t>al momento de la entrevista.</w:t>
      </w:r>
    </w:p>
    <w:p w14:paraId="49734957" w14:textId="77777777" w:rsidR="00FA3A3D" w:rsidRPr="003973E2" w:rsidRDefault="00FA3A3D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00347D16" w14:textId="559DBBCE" w:rsidR="006E20E0" w:rsidRPr="003973E2" w:rsidRDefault="00D121E6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>D</w:t>
      </w:r>
      <w:r w:rsidR="006E20E0" w:rsidRPr="003973E2">
        <w:rPr>
          <w:rFonts w:ascii="Arial" w:hAnsi="Arial" w:cs="Arial"/>
          <w:bCs/>
          <w:sz w:val="24"/>
          <w:szCs w:val="24"/>
        </w:rPr>
        <w:t>e las personas que toman las decisiones en la empresa</w:t>
      </w:r>
      <w:r w:rsidRPr="003973E2">
        <w:rPr>
          <w:rFonts w:ascii="Arial" w:hAnsi="Arial" w:cs="Arial"/>
          <w:bCs/>
          <w:sz w:val="24"/>
          <w:szCs w:val="24"/>
        </w:rPr>
        <w:t xml:space="preserve">, 65.6% cuenta con </w:t>
      </w:r>
      <w:r w:rsidRPr="003973E2">
        <w:rPr>
          <w:rFonts w:ascii="Arial" w:hAnsi="Arial" w:cs="Arial"/>
          <w:bCs/>
          <w:i/>
          <w:sz w:val="24"/>
          <w:szCs w:val="24"/>
        </w:rPr>
        <w:t>educación superior,</w:t>
      </w:r>
      <w:bookmarkEnd w:id="2"/>
      <w:r w:rsidR="006E20E0" w:rsidRPr="003973E2">
        <w:rPr>
          <w:rFonts w:ascii="Arial" w:hAnsi="Arial" w:cs="Arial"/>
          <w:bCs/>
          <w:sz w:val="24"/>
          <w:szCs w:val="24"/>
        </w:rPr>
        <w:t xml:space="preserve"> 22.3% con </w:t>
      </w:r>
      <w:r w:rsidR="006E20E0" w:rsidRPr="003973E2">
        <w:rPr>
          <w:rFonts w:ascii="Arial" w:hAnsi="Arial" w:cs="Arial"/>
          <w:bCs/>
          <w:i/>
          <w:sz w:val="24"/>
          <w:szCs w:val="24"/>
        </w:rPr>
        <w:t>educación media superior</w:t>
      </w:r>
      <w:r w:rsidRPr="003973E2">
        <w:rPr>
          <w:rFonts w:ascii="Arial" w:hAnsi="Arial" w:cs="Arial"/>
          <w:bCs/>
          <w:i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sz w:val="24"/>
          <w:szCs w:val="24"/>
        </w:rPr>
        <w:t xml:space="preserve">y 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11.4% con </w:t>
      </w:r>
      <w:r w:rsidR="006E20E0" w:rsidRPr="003973E2">
        <w:rPr>
          <w:rFonts w:ascii="Arial" w:hAnsi="Arial" w:cs="Arial"/>
          <w:bCs/>
          <w:i/>
          <w:sz w:val="24"/>
          <w:szCs w:val="24"/>
        </w:rPr>
        <w:t>educación básica</w:t>
      </w:r>
      <w:r w:rsidRPr="003973E2">
        <w:rPr>
          <w:rFonts w:ascii="Arial" w:hAnsi="Arial" w:cs="Arial"/>
          <w:bCs/>
          <w:i/>
          <w:sz w:val="24"/>
          <w:szCs w:val="24"/>
        </w:rPr>
        <w:t xml:space="preserve">. </w:t>
      </w:r>
      <w:r w:rsidRPr="003973E2">
        <w:rPr>
          <w:rFonts w:ascii="Arial" w:hAnsi="Arial" w:cs="Arial"/>
          <w:bCs/>
          <w:sz w:val="24"/>
          <w:szCs w:val="24"/>
        </w:rPr>
        <w:t>Solo</w:t>
      </w:r>
      <w:r w:rsidRPr="003973E2">
        <w:rPr>
          <w:rFonts w:ascii="Arial" w:hAnsi="Arial" w:cs="Arial"/>
          <w:bCs/>
          <w:i/>
          <w:sz w:val="24"/>
          <w:szCs w:val="24"/>
        </w:rPr>
        <w:t xml:space="preserve"> 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0.7% </w:t>
      </w:r>
      <w:r w:rsidRPr="003973E2">
        <w:rPr>
          <w:rFonts w:ascii="Arial" w:hAnsi="Arial" w:cs="Arial"/>
          <w:bCs/>
          <w:sz w:val="24"/>
          <w:szCs w:val="24"/>
        </w:rPr>
        <w:t>de quienes toman decisiones r</w:t>
      </w:r>
      <w:r w:rsidR="006E20E0" w:rsidRPr="003973E2">
        <w:rPr>
          <w:rFonts w:ascii="Arial" w:hAnsi="Arial" w:cs="Arial"/>
          <w:bCs/>
          <w:sz w:val="24"/>
          <w:szCs w:val="24"/>
        </w:rPr>
        <w:t>eport</w:t>
      </w:r>
      <w:r w:rsidR="00446665" w:rsidRPr="003973E2">
        <w:rPr>
          <w:rFonts w:ascii="Arial" w:hAnsi="Arial" w:cs="Arial"/>
          <w:bCs/>
          <w:sz w:val="24"/>
          <w:szCs w:val="24"/>
        </w:rPr>
        <w:t>ó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i/>
          <w:sz w:val="24"/>
          <w:szCs w:val="24"/>
        </w:rPr>
        <w:t>no tener instrucción</w:t>
      </w:r>
      <w:r w:rsidR="006E20E0" w:rsidRPr="003973E2">
        <w:rPr>
          <w:rFonts w:ascii="Arial" w:hAnsi="Arial" w:cs="Arial"/>
          <w:bCs/>
          <w:sz w:val="24"/>
          <w:szCs w:val="24"/>
        </w:rPr>
        <w:t>.</w:t>
      </w:r>
    </w:p>
    <w:p w14:paraId="78AF5416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/>
          <w:sz w:val="26"/>
          <w:szCs w:val="26"/>
        </w:rPr>
      </w:pPr>
    </w:p>
    <w:p w14:paraId="7939B871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3</w:t>
      </w:r>
    </w:p>
    <w:p w14:paraId="7732B608" w14:textId="4B9389E8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Nivel de estudios de quien</w:t>
      </w:r>
      <w:r w:rsidR="00446665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toma las decisiones en 2021</w:t>
      </w:r>
    </w:p>
    <w:p w14:paraId="665FB039" w14:textId="1382FF4C" w:rsidR="00485829" w:rsidRPr="003973E2" w:rsidRDefault="00485829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180EC6BB" wp14:editId="5B959444">
            <wp:extent cx="3489101" cy="2457450"/>
            <wp:effectExtent l="0" t="0" r="0" b="0"/>
            <wp:docPr id="6" name="Imagen 6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circular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3623" cy="247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3976" w14:textId="620F1D89" w:rsidR="00A95CEF" w:rsidRPr="003973E2" w:rsidRDefault="00A95CEF" w:rsidP="00515958">
      <w:pPr>
        <w:autoSpaceDE w:val="0"/>
        <w:autoSpaceDN w:val="0"/>
        <w:adjustRightInd w:val="0"/>
        <w:spacing w:after="0" w:line="240" w:lineRule="auto"/>
        <w:ind w:left="-567" w:right="-518" w:firstLine="2127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 xml:space="preserve">Nota: </w:t>
      </w:r>
      <w:r w:rsidR="005445D9" w:rsidRPr="003973E2">
        <w:rPr>
          <w:rFonts w:ascii="Arial" w:hAnsi="Arial" w:cs="Arial"/>
          <w:bCs/>
          <w:sz w:val="16"/>
          <w:szCs w:val="16"/>
        </w:rPr>
        <w:t xml:space="preserve">referencia </w:t>
      </w:r>
      <w:r w:rsidRPr="003973E2">
        <w:rPr>
          <w:rFonts w:ascii="Arial" w:hAnsi="Arial" w:cs="Arial"/>
          <w:bCs/>
          <w:sz w:val="16"/>
          <w:szCs w:val="16"/>
        </w:rPr>
        <w:t>al momento de la entrevista.</w:t>
      </w:r>
    </w:p>
    <w:p w14:paraId="683EF171" w14:textId="588F57B6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lastRenderedPageBreak/>
        <w:t xml:space="preserve">El </w:t>
      </w:r>
      <w:r w:rsidR="00D121E6" w:rsidRPr="003973E2">
        <w:rPr>
          <w:rFonts w:ascii="Arial" w:hAnsi="Arial" w:cs="Arial"/>
          <w:bCs/>
          <w:sz w:val="24"/>
          <w:szCs w:val="24"/>
        </w:rPr>
        <w:t>porcentaje de empresa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s que llevó a cabo al menos una acción de planeación financiera fue </w:t>
      </w:r>
      <w:r w:rsidRPr="003973E2">
        <w:rPr>
          <w:rFonts w:ascii="Arial" w:hAnsi="Arial" w:cs="Arial"/>
          <w:bCs/>
          <w:sz w:val="24"/>
          <w:szCs w:val="24"/>
        </w:rPr>
        <w:t>68.7</w:t>
      </w:r>
      <w:r w:rsidR="00446665" w:rsidRPr="003973E2">
        <w:rPr>
          <w:rFonts w:ascii="Arial" w:hAnsi="Arial" w:cs="Arial"/>
          <w:bCs/>
          <w:sz w:val="24"/>
          <w:szCs w:val="24"/>
        </w:rPr>
        <w:t xml:space="preserve"> </w:t>
      </w:r>
      <w:r w:rsidR="00406134" w:rsidRPr="003973E2">
        <w:rPr>
          <w:rFonts w:ascii="Arial" w:hAnsi="Arial" w:cs="Arial"/>
          <w:bCs/>
          <w:sz w:val="24"/>
          <w:szCs w:val="24"/>
        </w:rPr>
        <w:t>por ciento.</w:t>
      </w:r>
      <w:r w:rsidRPr="003973E2">
        <w:rPr>
          <w:rFonts w:ascii="Arial" w:hAnsi="Arial" w:cs="Arial"/>
          <w:bCs/>
          <w:sz w:val="24"/>
          <w:szCs w:val="24"/>
        </w:rPr>
        <w:t xml:space="preserve"> De </w:t>
      </w:r>
      <w:r w:rsidR="00446665" w:rsidRPr="003973E2">
        <w:rPr>
          <w:rFonts w:ascii="Arial" w:hAnsi="Arial" w:cs="Arial"/>
          <w:bCs/>
          <w:sz w:val="24"/>
          <w:szCs w:val="24"/>
        </w:rPr>
        <w:t>es</w:t>
      </w:r>
      <w:r w:rsidR="00406134" w:rsidRPr="003973E2">
        <w:rPr>
          <w:rFonts w:ascii="Arial" w:hAnsi="Arial" w:cs="Arial"/>
          <w:bCs/>
          <w:sz w:val="24"/>
          <w:szCs w:val="24"/>
        </w:rPr>
        <w:t>te</w:t>
      </w:r>
      <w:r w:rsidR="00446665" w:rsidRPr="003973E2">
        <w:rPr>
          <w:rFonts w:ascii="Arial" w:hAnsi="Arial" w:cs="Arial"/>
          <w:bCs/>
          <w:sz w:val="24"/>
          <w:szCs w:val="24"/>
        </w:rPr>
        <w:t>,</w:t>
      </w:r>
      <w:r w:rsidRPr="003973E2">
        <w:rPr>
          <w:rFonts w:ascii="Arial" w:hAnsi="Arial" w:cs="Arial"/>
          <w:bCs/>
          <w:sz w:val="24"/>
          <w:szCs w:val="24"/>
        </w:rPr>
        <w:t xml:space="preserve"> 74% realizó </w:t>
      </w:r>
      <w:r w:rsidRPr="003973E2">
        <w:rPr>
          <w:rFonts w:ascii="Arial" w:hAnsi="Arial" w:cs="Arial"/>
          <w:bCs/>
          <w:i/>
          <w:sz w:val="24"/>
          <w:szCs w:val="24"/>
        </w:rPr>
        <w:t>pronósticos de ventas y rentabilidad para los siguientes 12 meses</w:t>
      </w:r>
      <w:r w:rsidRPr="003973E2">
        <w:rPr>
          <w:rFonts w:ascii="Arial" w:hAnsi="Arial" w:cs="Arial"/>
          <w:bCs/>
          <w:sz w:val="24"/>
          <w:szCs w:val="24"/>
        </w:rPr>
        <w:t>,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sz w:val="24"/>
          <w:szCs w:val="24"/>
        </w:rPr>
        <w:t xml:space="preserve">71.2% tuvo una </w:t>
      </w:r>
      <w:r w:rsidRPr="003973E2">
        <w:rPr>
          <w:rFonts w:ascii="Arial" w:hAnsi="Arial" w:cs="Arial"/>
          <w:bCs/>
          <w:i/>
          <w:sz w:val="24"/>
          <w:szCs w:val="24"/>
        </w:rPr>
        <w:t>estrategia para definir y administrar el nivel de endeudamiento</w:t>
      </w:r>
      <w:r w:rsidRPr="003973E2">
        <w:rPr>
          <w:rFonts w:ascii="Arial" w:hAnsi="Arial" w:cs="Arial"/>
          <w:bCs/>
          <w:sz w:val="24"/>
          <w:szCs w:val="24"/>
        </w:rPr>
        <w:t xml:space="preserve"> y 70.4% estableció </w:t>
      </w:r>
      <w:r w:rsidRPr="003973E2">
        <w:rPr>
          <w:rFonts w:ascii="Arial" w:hAnsi="Arial" w:cs="Arial"/>
          <w:bCs/>
          <w:i/>
          <w:sz w:val="24"/>
          <w:szCs w:val="24"/>
        </w:rPr>
        <w:t>metas a largo plazo</w:t>
      </w:r>
      <w:r w:rsidRPr="003973E2">
        <w:rPr>
          <w:rFonts w:ascii="Arial" w:hAnsi="Arial" w:cs="Arial"/>
          <w:bCs/>
          <w:sz w:val="24"/>
          <w:szCs w:val="24"/>
        </w:rPr>
        <w:t xml:space="preserve"> (más de un año) asignando responsables y realizando esfuerzos activos para alcanzarlas.</w:t>
      </w:r>
    </w:p>
    <w:p w14:paraId="51C15956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018D178E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4</w:t>
      </w:r>
    </w:p>
    <w:p w14:paraId="0CB07263" w14:textId="77FCD11B" w:rsidR="006E20E0" w:rsidRPr="003973E2" w:rsidRDefault="006E20E0" w:rsidP="00446665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Acciones que se llevaron a cabo para la planeación en 2021</w:t>
      </w:r>
      <w:r w:rsidR="00446665" w:rsidRPr="003973E2">
        <w:rPr>
          <w:rFonts w:ascii="Arial" w:hAnsi="Arial" w:cs="Arial"/>
          <w:b/>
          <w:bCs/>
          <w:smallCaps/>
        </w:rPr>
        <w:t xml:space="preserve"> </w:t>
      </w:r>
    </w:p>
    <w:p w14:paraId="27E540E7" w14:textId="0617E0FF" w:rsidR="00B94EAE" w:rsidRPr="003973E2" w:rsidRDefault="00B94EAE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5FAD4BF4" wp14:editId="7117A0DE">
            <wp:extent cx="5612130" cy="2307590"/>
            <wp:effectExtent l="0" t="0" r="7620" b="0"/>
            <wp:docPr id="29" name="Imagen 29" descr="Gráfico, Gráfico de barras, Gráfico en casca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Gráfico, Gráfico de barras, Gráfico en cascad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2AED" w14:textId="2CFEC5DF" w:rsidR="006E20E0" w:rsidRPr="003973E2" w:rsidRDefault="00A8610A" w:rsidP="00A8610A">
      <w:pPr>
        <w:autoSpaceDE w:val="0"/>
        <w:autoSpaceDN w:val="0"/>
        <w:adjustRightInd w:val="0"/>
        <w:spacing w:after="0" w:line="240" w:lineRule="auto"/>
        <w:ind w:left="-567" w:right="-518" w:firstLine="1134"/>
        <w:outlineLvl w:val="0"/>
        <w:rPr>
          <w:rFonts w:ascii="Arial" w:hAnsi="Arial" w:cs="Arial"/>
          <w:smallCaps/>
          <w:sz w:val="24"/>
          <w:szCs w:val="24"/>
        </w:rPr>
      </w:pPr>
      <w:r w:rsidRPr="003973E2">
        <w:rPr>
          <w:rFonts w:ascii="Arial" w:hAnsi="Arial" w:cs="Arial"/>
          <w:sz w:val="16"/>
          <w:szCs w:val="16"/>
          <w:lang w:val="es-ES_tradnl"/>
        </w:rPr>
        <w:t>*Los porcentajes no suman 100% porque las empresas podían seleccionar más de una acción.</w:t>
      </w:r>
    </w:p>
    <w:p w14:paraId="655F4EC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145D61B7" w14:textId="0B146A34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>En</w:t>
      </w:r>
      <w:r w:rsidR="00446665" w:rsidRPr="003973E2">
        <w:rPr>
          <w:rFonts w:ascii="Arial" w:hAnsi="Arial" w:cs="Arial"/>
          <w:bCs/>
          <w:sz w:val="24"/>
          <w:szCs w:val="24"/>
        </w:rPr>
        <w:t xml:space="preserve"> 2020, </w:t>
      </w:r>
      <w:r w:rsidRPr="003973E2">
        <w:rPr>
          <w:rFonts w:ascii="Arial" w:hAnsi="Arial" w:cs="Arial"/>
          <w:bCs/>
          <w:sz w:val="24"/>
          <w:szCs w:val="24"/>
        </w:rPr>
        <w:t>los factores que afectaro</w:t>
      </w:r>
      <w:r w:rsidR="00446665" w:rsidRPr="003973E2">
        <w:rPr>
          <w:rFonts w:ascii="Arial" w:hAnsi="Arial" w:cs="Arial"/>
          <w:bCs/>
          <w:sz w:val="24"/>
          <w:szCs w:val="24"/>
        </w:rPr>
        <w:t>n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="00C43DD6" w:rsidRPr="003973E2">
        <w:rPr>
          <w:rFonts w:ascii="Arial" w:hAnsi="Arial" w:cs="Arial"/>
          <w:bCs/>
          <w:sz w:val="24"/>
          <w:szCs w:val="24"/>
        </w:rPr>
        <w:t xml:space="preserve">más </w:t>
      </w:r>
      <w:r w:rsidRPr="003973E2">
        <w:rPr>
          <w:rFonts w:ascii="Arial" w:hAnsi="Arial" w:cs="Arial"/>
          <w:bCs/>
          <w:sz w:val="24"/>
          <w:szCs w:val="24"/>
        </w:rPr>
        <w:t xml:space="preserve">el crecimiento de las empresas 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fueron: </w:t>
      </w:r>
      <w:r w:rsidRPr="003973E2">
        <w:rPr>
          <w:rFonts w:ascii="Arial" w:hAnsi="Arial" w:cs="Arial"/>
          <w:bCs/>
          <w:i/>
          <w:sz w:val="24"/>
          <w:szCs w:val="24"/>
        </w:rPr>
        <w:t>la situación económica del país</w:t>
      </w:r>
      <w:r w:rsidRPr="003973E2">
        <w:rPr>
          <w:rFonts w:ascii="Arial" w:hAnsi="Arial" w:cs="Arial"/>
          <w:bCs/>
          <w:sz w:val="24"/>
          <w:szCs w:val="24"/>
        </w:rPr>
        <w:t xml:space="preserve"> con 61.7%, </w:t>
      </w:r>
      <w:r w:rsidRPr="003973E2">
        <w:rPr>
          <w:rFonts w:ascii="Arial" w:hAnsi="Arial" w:cs="Arial"/>
          <w:bCs/>
          <w:i/>
          <w:sz w:val="24"/>
          <w:szCs w:val="24"/>
        </w:rPr>
        <w:t>falta de apoyos del gobierno</w:t>
      </w:r>
      <w:r w:rsidRPr="003973E2">
        <w:rPr>
          <w:rFonts w:ascii="Arial" w:hAnsi="Arial" w:cs="Arial"/>
          <w:bCs/>
          <w:sz w:val="24"/>
          <w:szCs w:val="24"/>
        </w:rPr>
        <w:t xml:space="preserve"> con 44.7%, </w:t>
      </w:r>
      <w:r w:rsidRPr="003973E2">
        <w:rPr>
          <w:rFonts w:ascii="Arial" w:hAnsi="Arial" w:cs="Arial"/>
          <w:bCs/>
          <w:i/>
          <w:sz w:val="24"/>
          <w:szCs w:val="24"/>
        </w:rPr>
        <w:t>restricciones a su actividad o cierres temporales</w:t>
      </w:r>
      <w:r w:rsidRPr="003973E2">
        <w:rPr>
          <w:rFonts w:ascii="Arial" w:hAnsi="Arial" w:cs="Arial"/>
          <w:bCs/>
          <w:sz w:val="24"/>
          <w:szCs w:val="24"/>
        </w:rPr>
        <w:t xml:space="preserve"> con 44.4% y </w:t>
      </w:r>
      <w:r w:rsidRPr="003973E2">
        <w:rPr>
          <w:rFonts w:ascii="Arial" w:hAnsi="Arial" w:cs="Arial"/>
          <w:bCs/>
          <w:i/>
          <w:sz w:val="24"/>
          <w:szCs w:val="24"/>
        </w:rPr>
        <w:t>bajo poder adquisitivo de los clientes</w:t>
      </w:r>
      <w:r w:rsidRPr="003973E2">
        <w:rPr>
          <w:rFonts w:ascii="Arial" w:hAnsi="Arial" w:cs="Arial"/>
          <w:bCs/>
          <w:sz w:val="24"/>
          <w:szCs w:val="24"/>
        </w:rPr>
        <w:t xml:space="preserve"> con </w:t>
      </w:r>
      <w:r w:rsidR="003F644D" w:rsidRPr="003973E2">
        <w:rPr>
          <w:rFonts w:ascii="Arial" w:hAnsi="Arial" w:cs="Arial"/>
          <w:bCs/>
          <w:sz w:val="24"/>
          <w:szCs w:val="24"/>
        </w:rPr>
        <w:t xml:space="preserve">             </w:t>
      </w:r>
      <w:r w:rsidRPr="003973E2">
        <w:rPr>
          <w:rFonts w:ascii="Arial" w:hAnsi="Arial" w:cs="Arial"/>
          <w:bCs/>
          <w:sz w:val="24"/>
          <w:szCs w:val="24"/>
        </w:rPr>
        <w:t>44.2</w:t>
      </w:r>
      <w:r w:rsidR="003F644D" w:rsidRPr="003973E2">
        <w:rPr>
          <w:rFonts w:ascii="Arial" w:hAnsi="Arial" w:cs="Arial"/>
          <w:bCs/>
          <w:sz w:val="24"/>
          <w:szCs w:val="24"/>
        </w:rPr>
        <w:t xml:space="preserve"> por ciento</w:t>
      </w:r>
      <w:r w:rsidRPr="003973E2">
        <w:rPr>
          <w:rFonts w:ascii="Arial" w:hAnsi="Arial" w:cs="Arial"/>
          <w:bCs/>
          <w:sz w:val="24"/>
          <w:szCs w:val="24"/>
        </w:rPr>
        <w:t>.</w:t>
      </w:r>
    </w:p>
    <w:p w14:paraId="5D7A58E9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39B1BBA9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5</w:t>
      </w:r>
    </w:p>
    <w:p w14:paraId="2A068970" w14:textId="6AFC8A65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 xml:space="preserve">Factores que afectaron </w:t>
      </w:r>
      <w:r w:rsidR="000F0963" w:rsidRPr="003973E2">
        <w:rPr>
          <w:rFonts w:ascii="Arial" w:hAnsi="Arial" w:cs="Arial"/>
          <w:b/>
          <w:bCs/>
          <w:smallCaps/>
        </w:rPr>
        <w:t xml:space="preserve">más </w:t>
      </w:r>
      <w:r w:rsidRPr="003973E2">
        <w:rPr>
          <w:rFonts w:ascii="Arial" w:hAnsi="Arial" w:cs="Arial"/>
          <w:b/>
          <w:bCs/>
          <w:smallCaps/>
        </w:rPr>
        <w:t>el crecimiento</w:t>
      </w:r>
      <w:r w:rsidRPr="003973E2">
        <w:rPr>
          <w:rFonts w:ascii="Arial" w:hAnsi="Arial" w:cs="Arial"/>
          <w:b/>
          <w:bCs/>
          <w:smallCaps/>
          <w:lang w:val="es-ES_tradnl"/>
        </w:rPr>
        <w:t xml:space="preserve"> de las empresas en 2020</w:t>
      </w:r>
    </w:p>
    <w:p w14:paraId="57D357F1" w14:textId="3C96B839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973E2">
        <w:rPr>
          <w:rFonts w:ascii="Arial" w:hAnsi="Arial" w:cs="Arial"/>
          <w:b/>
          <w:noProof/>
          <w:sz w:val="26"/>
          <w:szCs w:val="26"/>
          <w:lang w:eastAsia="es-MX"/>
        </w:rPr>
        <w:drawing>
          <wp:inline distT="0" distB="0" distL="0" distR="0" wp14:anchorId="548F0149" wp14:editId="6DED8F08">
            <wp:extent cx="5324475" cy="2215116"/>
            <wp:effectExtent l="0" t="0" r="0" b="0"/>
            <wp:docPr id="22" name="Imagen 22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08" cy="22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929D" w14:textId="7308A069" w:rsidR="006E20E0" w:rsidRPr="003973E2" w:rsidRDefault="003F644D" w:rsidP="00FE1E0E">
      <w:pPr>
        <w:autoSpaceDE w:val="0"/>
        <w:autoSpaceDN w:val="0"/>
        <w:adjustRightInd w:val="0"/>
        <w:spacing w:after="0" w:line="240" w:lineRule="auto"/>
        <w:ind w:left="-567" w:right="-518" w:firstLine="851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Nota: </w:t>
      </w:r>
      <w:r w:rsidR="006E20E0" w:rsidRPr="003973E2">
        <w:rPr>
          <w:rFonts w:ascii="Arial" w:hAnsi="Arial" w:cs="Arial"/>
          <w:bCs/>
          <w:sz w:val="16"/>
          <w:szCs w:val="16"/>
          <w:lang w:val="es-ES_tradnl"/>
        </w:rPr>
        <w:t xml:space="preserve">Los porcentajes no suman </w:t>
      </w:r>
      <w:r w:rsidR="00DD262C" w:rsidRPr="003973E2">
        <w:rPr>
          <w:rFonts w:ascii="Arial" w:hAnsi="Arial" w:cs="Arial"/>
          <w:bCs/>
          <w:sz w:val="16"/>
          <w:szCs w:val="16"/>
          <w:lang w:val="es-ES_tradnl"/>
        </w:rPr>
        <w:t xml:space="preserve">100% </w:t>
      </w:r>
      <w:r w:rsidR="00406134" w:rsidRPr="003973E2">
        <w:rPr>
          <w:rFonts w:ascii="Arial" w:hAnsi="Arial" w:cs="Arial"/>
          <w:bCs/>
          <w:sz w:val="16"/>
          <w:szCs w:val="16"/>
          <w:lang w:val="es-ES_tradnl"/>
        </w:rPr>
        <w:t>por</w:t>
      </w:r>
      <w:r w:rsidR="006E20E0" w:rsidRPr="003973E2">
        <w:rPr>
          <w:rFonts w:ascii="Arial" w:hAnsi="Arial" w:cs="Arial"/>
          <w:bCs/>
          <w:sz w:val="16"/>
          <w:szCs w:val="16"/>
          <w:lang w:val="es-ES_tradnl"/>
        </w:rPr>
        <w:t>que las empresas podían seleccionar más de un factor.</w:t>
      </w:r>
    </w:p>
    <w:p w14:paraId="5C442829" w14:textId="32835C89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3973E2">
        <w:rPr>
          <w:rFonts w:ascii="Arial" w:hAnsi="Arial" w:cs="Arial"/>
          <w:b/>
          <w:sz w:val="24"/>
          <w:szCs w:val="24"/>
        </w:rPr>
        <w:lastRenderedPageBreak/>
        <w:t>Financiamiento de las empresas</w:t>
      </w:r>
    </w:p>
    <w:p w14:paraId="3DC5947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5FDCB44D" w14:textId="5AC002D5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3" w:name="_Hlk112082990"/>
      <w:r w:rsidRPr="003973E2">
        <w:rPr>
          <w:rFonts w:ascii="Arial" w:hAnsi="Arial" w:cs="Arial"/>
          <w:bCs/>
          <w:sz w:val="24"/>
          <w:szCs w:val="24"/>
        </w:rPr>
        <w:t xml:space="preserve">Desde el inicio de </w:t>
      </w:r>
      <w:r w:rsidR="003F644D" w:rsidRPr="003973E2">
        <w:rPr>
          <w:rFonts w:ascii="Arial" w:hAnsi="Arial" w:cs="Arial"/>
          <w:bCs/>
          <w:sz w:val="24"/>
          <w:szCs w:val="24"/>
        </w:rPr>
        <w:t xml:space="preserve">sus </w:t>
      </w:r>
      <w:r w:rsidRPr="003973E2">
        <w:rPr>
          <w:rFonts w:ascii="Arial" w:hAnsi="Arial" w:cs="Arial"/>
          <w:bCs/>
          <w:sz w:val="24"/>
          <w:szCs w:val="24"/>
        </w:rPr>
        <w:t xml:space="preserve">operaciones, 46.6% de las empresas </w:t>
      </w:r>
      <w:r w:rsidRPr="003973E2">
        <w:rPr>
          <w:rFonts w:ascii="Arial" w:hAnsi="Arial" w:cs="Arial"/>
          <w:bCs/>
          <w:i/>
          <w:sz w:val="24"/>
          <w:szCs w:val="24"/>
        </w:rPr>
        <w:t>ha solicitado</w:t>
      </w:r>
      <w:r w:rsidRPr="003973E2">
        <w:rPr>
          <w:rFonts w:ascii="Arial" w:hAnsi="Arial" w:cs="Arial"/>
          <w:bCs/>
          <w:sz w:val="24"/>
          <w:szCs w:val="24"/>
        </w:rPr>
        <w:t xml:space="preserve"> algún financiamiento con un banco, institución financiera, proveedor u otro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 y</w:t>
      </w:r>
      <w:r w:rsidRPr="003973E2">
        <w:rPr>
          <w:rFonts w:ascii="Arial" w:hAnsi="Arial" w:cs="Arial"/>
          <w:bCs/>
          <w:sz w:val="24"/>
          <w:szCs w:val="24"/>
        </w:rPr>
        <w:t xml:space="preserve"> 43.2% </w:t>
      </w:r>
      <w:r w:rsidR="00406134" w:rsidRPr="003973E2">
        <w:rPr>
          <w:rFonts w:ascii="Arial" w:hAnsi="Arial" w:cs="Arial"/>
          <w:bCs/>
          <w:i/>
          <w:sz w:val="24"/>
          <w:szCs w:val="24"/>
        </w:rPr>
        <w:t>lo</w:t>
      </w:r>
      <w:r w:rsidRPr="003973E2">
        <w:rPr>
          <w:rFonts w:ascii="Arial" w:hAnsi="Arial" w:cs="Arial"/>
          <w:bCs/>
          <w:i/>
          <w:sz w:val="24"/>
          <w:szCs w:val="24"/>
        </w:rPr>
        <w:t xml:space="preserve"> ha </w:t>
      </w:r>
      <w:r w:rsidR="00406134" w:rsidRPr="003973E2">
        <w:rPr>
          <w:rFonts w:ascii="Arial" w:hAnsi="Arial" w:cs="Arial"/>
          <w:bCs/>
          <w:i/>
          <w:sz w:val="24"/>
          <w:szCs w:val="24"/>
        </w:rPr>
        <w:t>ob</w:t>
      </w:r>
      <w:r w:rsidRPr="003973E2">
        <w:rPr>
          <w:rFonts w:ascii="Arial" w:hAnsi="Arial" w:cs="Arial"/>
          <w:bCs/>
          <w:i/>
          <w:sz w:val="24"/>
          <w:szCs w:val="24"/>
        </w:rPr>
        <w:t>tenido</w:t>
      </w:r>
      <w:r w:rsidRPr="003973E2">
        <w:rPr>
          <w:rFonts w:ascii="Arial" w:hAnsi="Arial" w:cs="Arial"/>
          <w:bCs/>
          <w:sz w:val="24"/>
          <w:szCs w:val="24"/>
        </w:rPr>
        <w:t xml:space="preserve">.  </w:t>
      </w:r>
    </w:p>
    <w:bookmarkEnd w:id="3"/>
    <w:p w14:paraId="30FDD47A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b/>
          <w:sz w:val="26"/>
          <w:szCs w:val="26"/>
        </w:rPr>
      </w:pPr>
    </w:p>
    <w:p w14:paraId="14CD126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6</w:t>
      </w:r>
    </w:p>
    <w:p w14:paraId="2D0D94EF" w14:textId="4F8EDB1C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Solicitud de financiamiento</w:t>
      </w:r>
      <w:r w:rsidR="000F0963" w:rsidRPr="003973E2">
        <w:rPr>
          <w:rFonts w:ascii="Arial" w:hAnsi="Arial" w:cs="Arial"/>
          <w:b/>
          <w:bCs/>
          <w:smallCaps/>
        </w:rPr>
        <w:t xml:space="preserve"> histórica</w:t>
      </w:r>
      <w:r w:rsidR="003F644D" w:rsidRPr="003973E2">
        <w:rPr>
          <w:rFonts w:ascii="Arial" w:hAnsi="Arial" w:cs="Arial"/>
          <w:b/>
          <w:bCs/>
          <w:smallCaps/>
        </w:rPr>
        <w:t>, d</w:t>
      </w:r>
      <w:r w:rsidRPr="003973E2">
        <w:rPr>
          <w:rFonts w:ascii="Arial" w:hAnsi="Arial" w:cs="Arial"/>
          <w:b/>
          <w:bCs/>
          <w:smallCaps/>
        </w:rPr>
        <w:t>esde el inicio de operaciones</w:t>
      </w:r>
    </w:p>
    <w:p w14:paraId="5D4C1F2E" w14:textId="1F620824" w:rsidR="009207C0" w:rsidRPr="003973E2" w:rsidRDefault="009207C0" w:rsidP="00A45149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973E2">
        <w:rPr>
          <w:noProof/>
        </w:rPr>
        <w:drawing>
          <wp:inline distT="0" distB="0" distL="0" distR="0" wp14:anchorId="0EDF0CD9" wp14:editId="3F53DD7F">
            <wp:extent cx="4301196" cy="2286000"/>
            <wp:effectExtent l="0" t="0" r="4445" b="0"/>
            <wp:docPr id="56" name="Imagen 56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 descr="Gráfico, Gráfico de rectángulos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7025" cy="22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5B23" w14:textId="77777777" w:rsidR="00977756" w:rsidRPr="003973E2" w:rsidRDefault="00977756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4" w:name="_Hlk112083035"/>
    </w:p>
    <w:p w14:paraId="76B765BC" w14:textId="0CFFB5E5" w:rsidR="006E20E0" w:rsidRPr="003973E2" w:rsidRDefault="00293799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 xml:space="preserve">Del total de empresas que han solicitado financiamiento en alguna ocasión, el </w:t>
      </w:r>
      <w:r w:rsidR="006E20E0" w:rsidRPr="003973E2">
        <w:rPr>
          <w:rFonts w:ascii="Arial" w:hAnsi="Arial" w:cs="Arial"/>
          <w:bCs/>
          <w:sz w:val="24"/>
          <w:szCs w:val="24"/>
        </w:rPr>
        <w:t>30.1% solicitó</w:t>
      </w:r>
      <w:bookmarkEnd w:id="4"/>
      <w:r w:rsidR="004A2CF5" w:rsidRPr="003973E2">
        <w:rPr>
          <w:rFonts w:ascii="Arial" w:hAnsi="Arial" w:cs="Arial"/>
          <w:bCs/>
          <w:sz w:val="24"/>
          <w:szCs w:val="24"/>
        </w:rPr>
        <w:t xml:space="preserve"> en 2021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. 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Con base en el </w:t>
      </w:r>
      <w:r w:rsidR="006E20E0" w:rsidRPr="003973E2">
        <w:rPr>
          <w:rFonts w:ascii="Arial" w:hAnsi="Arial" w:cs="Arial"/>
          <w:bCs/>
          <w:sz w:val="24"/>
          <w:szCs w:val="24"/>
        </w:rPr>
        <w:t>tamaño</w:t>
      </w:r>
      <w:r w:rsidR="003F644D" w:rsidRPr="003973E2">
        <w:rPr>
          <w:rFonts w:ascii="Arial" w:hAnsi="Arial" w:cs="Arial"/>
          <w:bCs/>
          <w:sz w:val="24"/>
          <w:szCs w:val="24"/>
        </w:rPr>
        <w:t xml:space="preserve"> de 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las </w:t>
      </w:r>
      <w:r w:rsidR="003F644D" w:rsidRPr="003973E2">
        <w:rPr>
          <w:rFonts w:ascii="Arial" w:hAnsi="Arial" w:cs="Arial"/>
          <w:bCs/>
          <w:sz w:val="24"/>
          <w:szCs w:val="24"/>
        </w:rPr>
        <w:t>empresa</w:t>
      </w:r>
      <w:r w:rsidR="00406134" w:rsidRPr="003973E2">
        <w:rPr>
          <w:rFonts w:ascii="Arial" w:hAnsi="Arial" w:cs="Arial"/>
          <w:bCs/>
          <w:sz w:val="24"/>
          <w:szCs w:val="24"/>
        </w:rPr>
        <w:t>s</w:t>
      </w:r>
      <w:r w:rsidR="006E20E0" w:rsidRPr="003973E2">
        <w:rPr>
          <w:rFonts w:ascii="Arial" w:hAnsi="Arial" w:cs="Arial"/>
          <w:bCs/>
          <w:sz w:val="24"/>
          <w:szCs w:val="24"/>
        </w:rPr>
        <w:t>, 45.3% de las grandes, 44.3% de las medianas y 30.6% de las pequeñas realiz</w:t>
      </w:r>
      <w:r w:rsidR="00406134" w:rsidRPr="003973E2">
        <w:rPr>
          <w:rFonts w:ascii="Arial" w:hAnsi="Arial" w:cs="Arial"/>
          <w:bCs/>
          <w:sz w:val="24"/>
          <w:szCs w:val="24"/>
        </w:rPr>
        <w:t>aron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alguna solicitud de crédito</w:t>
      </w:r>
      <w:r w:rsidR="00CA3E10" w:rsidRPr="003973E2">
        <w:rPr>
          <w:rFonts w:ascii="Arial" w:hAnsi="Arial" w:cs="Arial"/>
          <w:bCs/>
          <w:sz w:val="24"/>
          <w:szCs w:val="24"/>
        </w:rPr>
        <w:t xml:space="preserve"> en 2021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. </w:t>
      </w:r>
      <w:bookmarkStart w:id="5" w:name="_Hlk112083087"/>
      <w:r w:rsidR="00406134" w:rsidRPr="003973E2">
        <w:rPr>
          <w:rFonts w:ascii="Arial" w:hAnsi="Arial" w:cs="Arial"/>
          <w:bCs/>
          <w:sz w:val="24"/>
          <w:szCs w:val="24"/>
        </w:rPr>
        <w:t xml:space="preserve">En el mismo año, 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24.5% 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de las microempresas </w:t>
      </w:r>
      <w:r w:rsidR="006E20E0" w:rsidRPr="003973E2">
        <w:rPr>
          <w:rFonts w:ascii="Arial" w:hAnsi="Arial" w:cs="Arial"/>
          <w:bCs/>
          <w:sz w:val="24"/>
          <w:szCs w:val="24"/>
        </w:rPr>
        <w:t>realizó alguna solicitud de financiamiento.</w:t>
      </w:r>
      <w:bookmarkEnd w:id="5"/>
    </w:p>
    <w:p w14:paraId="74C6C958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right="-518"/>
        <w:jc w:val="both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0927230B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7</w:t>
      </w:r>
    </w:p>
    <w:p w14:paraId="3D780A07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lang w:val="es-ES_tradnl"/>
        </w:rPr>
      </w:pPr>
      <w:r w:rsidRPr="003973E2">
        <w:rPr>
          <w:rFonts w:ascii="Arial" w:hAnsi="Arial" w:cs="Arial"/>
          <w:b/>
          <w:bCs/>
          <w:smallCaps/>
        </w:rPr>
        <w:t>Solicitud de financiamiento en 2021</w:t>
      </w:r>
    </w:p>
    <w:p w14:paraId="72959C62" w14:textId="7FB06B2A" w:rsidR="00DB3CF7" w:rsidRPr="003973E2" w:rsidRDefault="00DB3CF7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  <w:lang w:val="es-ES_tradnl"/>
        </w:rPr>
      </w:pPr>
      <w:r w:rsidRPr="003973E2">
        <w:rPr>
          <w:noProof/>
        </w:rPr>
        <w:drawing>
          <wp:inline distT="0" distB="0" distL="0" distR="0" wp14:anchorId="4A81312D" wp14:editId="7A44ACEF">
            <wp:extent cx="5076000" cy="2534400"/>
            <wp:effectExtent l="0" t="0" r="0" b="0"/>
            <wp:docPr id="32" name="Imagen 32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Gráfico, Gráfico de barras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2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FD8E" w14:textId="2D5D0B19" w:rsidR="006E19C5" w:rsidRPr="003973E2" w:rsidRDefault="006E19C5" w:rsidP="005B5788">
      <w:pPr>
        <w:autoSpaceDE w:val="0"/>
        <w:autoSpaceDN w:val="0"/>
        <w:adjustRightInd w:val="0"/>
        <w:ind w:left="709" w:right="-518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>Nota: periodo de referencia de enero a agosto/septiembre de 2021.</w:t>
      </w:r>
    </w:p>
    <w:p w14:paraId="0A7F9726" w14:textId="203DC28B" w:rsidR="006E20E0" w:rsidRPr="003973E2" w:rsidRDefault="006E20E0" w:rsidP="003F644D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noProof/>
          <w:sz w:val="24"/>
          <w:szCs w:val="24"/>
          <w:lang w:eastAsia="es-MX"/>
        </w:rPr>
      </w:pPr>
      <w:bookmarkStart w:id="6" w:name="_Hlk112083169"/>
      <w:r w:rsidRPr="003973E2">
        <w:rPr>
          <w:rFonts w:ascii="Arial" w:hAnsi="Arial" w:cs="Arial"/>
          <w:bCs/>
          <w:sz w:val="24"/>
          <w:szCs w:val="24"/>
        </w:rPr>
        <w:lastRenderedPageBreak/>
        <w:t xml:space="preserve">En 2021, la fuente a la que más acudieron las empresas para realizar alguna solicitud de crédito o financiamiento fue la </w:t>
      </w:r>
      <w:r w:rsidRPr="003973E2">
        <w:rPr>
          <w:rFonts w:ascii="Arial" w:hAnsi="Arial" w:cs="Arial"/>
          <w:bCs/>
          <w:i/>
          <w:sz w:val="24"/>
          <w:szCs w:val="24"/>
        </w:rPr>
        <w:t>banca comercial</w:t>
      </w:r>
      <w:r w:rsidRPr="003973E2">
        <w:rPr>
          <w:rFonts w:ascii="Arial" w:hAnsi="Arial" w:cs="Arial"/>
          <w:bCs/>
          <w:sz w:val="24"/>
          <w:szCs w:val="24"/>
        </w:rPr>
        <w:t xml:space="preserve"> con 67</w:t>
      </w:r>
      <w:r w:rsidR="003F644D" w:rsidRPr="003973E2">
        <w:rPr>
          <w:rFonts w:ascii="Arial" w:hAnsi="Arial" w:cs="Arial"/>
          <w:bCs/>
          <w:sz w:val="24"/>
          <w:szCs w:val="24"/>
        </w:rPr>
        <w:t xml:space="preserve"> </w:t>
      </w:r>
      <w:r w:rsidR="00406134" w:rsidRPr="003973E2">
        <w:rPr>
          <w:rFonts w:ascii="Arial" w:hAnsi="Arial" w:cs="Arial"/>
          <w:bCs/>
          <w:sz w:val="24"/>
          <w:szCs w:val="24"/>
        </w:rPr>
        <w:t>por ciento. La siguieron</w:t>
      </w:r>
      <w:bookmarkEnd w:id="6"/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i/>
          <w:sz w:val="24"/>
          <w:szCs w:val="24"/>
        </w:rPr>
        <w:t>proveedores</w:t>
      </w:r>
      <w:r w:rsidRPr="003973E2">
        <w:rPr>
          <w:rFonts w:ascii="Arial" w:hAnsi="Arial" w:cs="Arial"/>
          <w:bCs/>
          <w:sz w:val="24"/>
          <w:szCs w:val="24"/>
        </w:rPr>
        <w:t xml:space="preserve"> con 45.8%, </w:t>
      </w:r>
      <w:r w:rsidRPr="003973E2">
        <w:rPr>
          <w:rFonts w:ascii="Arial" w:hAnsi="Arial" w:cs="Arial"/>
          <w:bCs/>
          <w:i/>
          <w:sz w:val="24"/>
          <w:szCs w:val="24"/>
        </w:rPr>
        <w:t>familiares o amistades</w:t>
      </w:r>
      <w:r w:rsidRPr="003973E2">
        <w:rPr>
          <w:rFonts w:ascii="Arial" w:hAnsi="Arial" w:cs="Arial"/>
          <w:bCs/>
          <w:sz w:val="24"/>
          <w:szCs w:val="24"/>
        </w:rPr>
        <w:t xml:space="preserve"> con 10% y 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con </w:t>
      </w:r>
      <w:r w:rsidR="00C73032" w:rsidRPr="003973E2">
        <w:rPr>
          <w:rFonts w:ascii="Arial" w:hAnsi="Arial" w:cs="Arial"/>
          <w:bCs/>
          <w:sz w:val="24"/>
          <w:szCs w:val="24"/>
        </w:rPr>
        <w:t>9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% </w:t>
      </w:r>
      <w:r w:rsidRPr="003973E2">
        <w:rPr>
          <w:rFonts w:ascii="Arial" w:hAnsi="Arial" w:cs="Arial"/>
          <w:bCs/>
          <w:sz w:val="24"/>
          <w:szCs w:val="24"/>
        </w:rPr>
        <w:t xml:space="preserve">las </w:t>
      </w:r>
      <w:r w:rsidRPr="003973E2">
        <w:rPr>
          <w:rFonts w:ascii="Arial" w:hAnsi="Arial" w:cs="Arial"/>
          <w:bCs/>
          <w:i/>
          <w:sz w:val="24"/>
          <w:szCs w:val="24"/>
        </w:rPr>
        <w:t>instituciones financieras no bancaria</w:t>
      </w:r>
      <w:r w:rsidR="00406134" w:rsidRPr="003973E2">
        <w:rPr>
          <w:rFonts w:ascii="Arial" w:hAnsi="Arial" w:cs="Arial"/>
          <w:bCs/>
          <w:i/>
          <w:sz w:val="24"/>
          <w:szCs w:val="24"/>
        </w:rPr>
        <w:t>s.</w:t>
      </w:r>
    </w:p>
    <w:p w14:paraId="77EE1B15" w14:textId="77777777" w:rsidR="00072B04" w:rsidRPr="003973E2" w:rsidRDefault="00072B04" w:rsidP="00FE1E0E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noProof/>
          <w:sz w:val="24"/>
          <w:szCs w:val="24"/>
          <w:lang w:eastAsia="es-MX"/>
        </w:rPr>
      </w:pPr>
    </w:p>
    <w:p w14:paraId="5BD646A6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8</w:t>
      </w:r>
    </w:p>
    <w:p w14:paraId="199B561D" w14:textId="2D9CBD5D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Fuentes con las que se realizó la solicitud</w:t>
      </w:r>
      <w:r w:rsidR="003F644D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de financiamiento en 2021</w:t>
      </w:r>
    </w:p>
    <w:p w14:paraId="308E201E" w14:textId="19E112C3" w:rsidR="0096517D" w:rsidRPr="003973E2" w:rsidRDefault="0096517D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0C5089F6" wp14:editId="699825B0">
            <wp:extent cx="5036400" cy="2340000"/>
            <wp:effectExtent l="0" t="0" r="0" b="3175"/>
            <wp:docPr id="33" name="Imagen 3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Gráfico&#10;&#10;Descripción generada automá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369F" w14:textId="77777777" w:rsidR="00766247" w:rsidRPr="003973E2" w:rsidRDefault="00766247" w:rsidP="00766247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>Nota: periodo de referencia de enero a agosto/septiembre de 2021.</w:t>
      </w:r>
    </w:p>
    <w:p w14:paraId="4E099F5B" w14:textId="56FE40CB" w:rsidR="00786AE3" w:rsidRPr="003973E2" w:rsidRDefault="00786AE3" w:rsidP="00786AE3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Los porcentajes no suman 100% porque las empresas podían seleccionar más de una fuente.</w:t>
      </w:r>
    </w:p>
    <w:p w14:paraId="3CCE8EB5" w14:textId="62335746" w:rsidR="006E20E0" w:rsidRPr="003973E2" w:rsidRDefault="00786AE3" w:rsidP="00786AE3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La opción «Otra» incluye: Instituciones de financiamiento colectivo (crowdfunding).</w:t>
      </w:r>
    </w:p>
    <w:p w14:paraId="2845AC7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3F56543" w14:textId="340CA9CF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 xml:space="preserve">En 2021 </w:t>
      </w:r>
      <w:r w:rsidR="00643516" w:rsidRPr="003973E2">
        <w:rPr>
          <w:rFonts w:ascii="Arial" w:hAnsi="Arial" w:cs="Arial"/>
          <w:bCs/>
          <w:sz w:val="24"/>
          <w:szCs w:val="24"/>
        </w:rPr>
        <w:t>se solicitaron</w:t>
      </w:r>
      <w:r w:rsidRPr="003973E2">
        <w:rPr>
          <w:rFonts w:ascii="Arial" w:hAnsi="Arial" w:cs="Arial"/>
          <w:bCs/>
          <w:sz w:val="24"/>
          <w:szCs w:val="24"/>
        </w:rPr>
        <w:t xml:space="preserve"> 181</w:t>
      </w:r>
      <w:r w:rsidR="00C47DCB" w:rsidRPr="003973E2">
        <w:rPr>
          <w:rFonts w:ascii="Arial" w:hAnsi="Arial" w:cs="Arial"/>
          <w:bCs/>
          <w:sz w:val="24"/>
          <w:szCs w:val="24"/>
        </w:rPr>
        <w:t>,</w:t>
      </w:r>
      <w:r w:rsidRPr="003973E2">
        <w:rPr>
          <w:rFonts w:ascii="Arial" w:hAnsi="Arial" w:cs="Arial"/>
          <w:bCs/>
          <w:sz w:val="24"/>
          <w:szCs w:val="24"/>
        </w:rPr>
        <w:t>777</w:t>
      </w:r>
      <w:r w:rsidR="00643516" w:rsidRPr="003973E2">
        <w:rPr>
          <w:rFonts w:ascii="Arial" w:hAnsi="Arial" w:cs="Arial"/>
          <w:bCs/>
          <w:sz w:val="24"/>
          <w:szCs w:val="24"/>
        </w:rPr>
        <w:t xml:space="preserve"> créditos. </w:t>
      </w:r>
      <w:r w:rsidR="00406134" w:rsidRPr="003973E2">
        <w:rPr>
          <w:rFonts w:ascii="Arial" w:hAnsi="Arial" w:cs="Arial"/>
          <w:bCs/>
          <w:sz w:val="24"/>
          <w:szCs w:val="24"/>
        </w:rPr>
        <w:t>La</w:t>
      </w:r>
      <w:r w:rsidR="00643516" w:rsidRPr="003973E2">
        <w:rPr>
          <w:rFonts w:ascii="Arial" w:hAnsi="Arial" w:cs="Arial"/>
          <w:bCs/>
          <w:sz w:val="24"/>
          <w:szCs w:val="24"/>
        </w:rPr>
        <w:t xml:space="preserve">s </w:t>
      </w:r>
      <w:r w:rsidRPr="003973E2">
        <w:rPr>
          <w:rFonts w:ascii="Arial" w:hAnsi="Arial" w:cs="Arial"/>
          <w:bCs/>
          <w:sz w:val="24"/>
          <w:szCs w:val="24"/>
        </w:rPr>
        <w:t>solicitudes fueron realizadas por 39</w:t>
      </w:r>
      <w:r w:rsidR="00C47DCB" w:rsidRPr="003973E2">
        <w:rPr>
          <w:rFonts w:ascii="Arial" w:hAnsi="Arial" w:cs="Arial"/>
          <w:bCs/>
          <w:sz w:val="24"/>
          <w:szCs w:val="24"/>
        </w:rPr>
        <w:t>,</w:t>
      </w:r>
      <w:r w:rsidRPr="003973E2">
        <w:rPr>
          <w:rFonts w:ascii="Arial" w:hAnsi="Arial" w:cs="Arial"/>
          <w:bCs/>
          <w:sz w:val="24"/>
          <w:szCs w:val="24"/>
        </w:rPr>
        <w:t>385 empresas. Del total de créditos solicitados, 95%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 se</w:t>
      </w:r>
      <w:r w:rsidRPr="003973E2">
        <w:rPr>
          <w:rFonts w:ascii="Arial" w:hAnsi="Arial" w:cs="Arial"/>
          <w:bCs/>
          <w:sz w:val="24"/>
          <w:szCs w:val="24"/>
        </w:rPr>
        <w:t xml:space="preserve"> aprob</w:t>
      </w:r>
      <w:r w:rsidR="00406134" w:rsidRPr="003973E2">
        <w:rPr>
          <w:rFonts w:ascii="Arial" w:hAnsi="Arial" w:cs="Arial"/>
          <w:bCs/>
          <w:sz w:val="24"/>
          <w:szCs w:val="24"/>
        </w:rPr>
        <w:t>ó</w:t>
      </w:r>
      <w:r w:rsidRPr="003973E2">
        <w:rPr>
          <w:rFonts w:ascii="Arial" w:hAnsi="Arial" w:cs="Arial"/>
          <w:bCs/>
          <w:sz w:val="24"/>
          <w:szCs w:val="24"/>
        </w:rPr>
        <w:t xml:space="preserve"> y 5%</w:t>
      </w:r>
      <w:r w:rsidR="00643516" w:rsidRPr="003973E2">
        <w:rPr>
          <w:rFonts w:ascii="Arial" w:hAnsi="Arial" w:cs="Arial"/>
          <w:bCs/>
          <w:sz w:val="24"/>
          <w:szCs w:val="24"/>
        </w:rPr>
        <w:t>,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="00406134" w:rsidRPr="003973E2">
        <w:rPr>
          <w:rFonts w:ascii="Arial" w:hAnsi="Arial" w:cs="Arial"/>
          <w:bCs/>
          <w:sz w:val="24"/>
          <w:szCs w:val="24"/>
        </w:rPr>
        <w:t>no</w:t>
      </w:r>
      <w:r w:rsidRPr="003973E2">
        <w:rPr>
          <w:rFonts w:ascii="Arial" w:hAnsi="Arial" w:cs="Arial"/>
          <w:bCs/>
          <w:sz w:val="24"/>
          <w:szCs w:val="24"/>
        </w:rPr>
        <w:t xml:space="preserve">. </w:t>
      </w:r>
      <w:r w:rsidR="00643516" w:rsidRPr="003973E2">
        <w:rPr>
          <w:rFonts w:ascii="Arial" w:hAnsi="Arial" w:cs="Arial"/>
          <w:bCs/>
          <w:sz w:val="24"/>
          <w:szCs w:val="24"/>
        </w:rPr>
        <w:t>A 5</w:t>
      </w:r>
      <w:r w:rsidR="00C47DCB" w:rsidRPr="003973E2">
        <w:rPr>
          <w:rFonts w:ascii="Arial" w:hAnsi="Arial" w:cs="Arial"/>
          <w:bCs/>
          <w:sz w:val="24"/>
          <w:szCs w:val="24"/>
        </w:rPr>
        <w:t>,</w:t>
      </w:r>
      <w:r w:rsidR="00643516" w:rsidRPr="003973E2">
        <w:rPr>
          <w:rFonts w:ascii="Arial" w:hAnsi="Arial" w:cs="Arial"/>
          <w:bCs/>
          <w:sz w:val="24"/>
          <w:szCs w:val="24"/>
        </w:rPr>
        <w:t xml:space="preserve">304 empresas </w:t>
      </w:r>
      <w:r w:rsidRPr="003973E2">
        <w:rPr>
          <w:rFonts w:ascii="Arial" w:hAnsi="Arial" w:cs="Arial"/>
          <w:bCs/>
          <w:sz w:val="24"/>
          <w:szCs w:val="24"/>
        </w:rPr>
        <w:t>se les rechazó al menos una solicitud de crédito o financiamiento.</w:t>
      </w:r>
    </w:p>
    <w:p w14:paraId="483A78A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outlineLvl w:val="0"/>
        <w:rPr>
          <w:rFonts w:ascii="Arial" w:hAnsi="Arial" w:cs="Arial"/>
          <w:bCs/>
          <w:sz w:val="24"/>
          <w:szCs w:val="24"/>
        </w:rPr>
      </w:pPr>
    </w:p>
    <w:p w14:paraId="0632A8A9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9</w:t>
      </w:r>
    </w:p>
    <w:p w14:paraId="607D0BA6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Número de créditos solicitados en 2021</w:t>
      </w:r>
    </w:p>
    <w:p w14:paraId="6C1963A7" w14:textId="479C44B6" w:rsidR="00542004" w:rsidRPr="003973E2" w:rsidRDefault="00542004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29DA05D9" wp14:editId="0CEACE4C">
            <wp:extent cx="5385600" cy="2340000"/>
            <wp:effectExtent l="0" t="0" r="5715" b="3175"/>
            <wp:docPr id="34" name="Imagen 34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Gráfico, Gráfico circular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56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4936" w14:textId="77777777" w:rsidR="008F6420" w:rsidRPr="003973E2" w:rsidRDefault="008F6420" w:rsidP="008F6420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>Nota: periodo de referencia de enero a agosto/septiembre de 2021.</w:t>
      </w:r>
    </w:p>
    <w:p w14:paraId="4DC4FEE4" w14:textId="532BE668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lastRenderedPageBreak/>
        <w:t xml:space="preserve">En 2021, los principales motivos de rechazo de la solicitud de crédito de mayor monto 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para las empresas </w:t>
      </w:r>
      <w:r w:rsidRPr="003973E2">
        <w:rPr>
          <w:rFonts w:ascii="Arial" w:hAnsi="Arial" w:cs="Arial"/>
          <w:bCs/>
          <w:sz w:val="24"/>
          <w:szCs w:val="24"/>
        </w:rPr>
        <w:t>fueron</w:t>
      </w:r>
      <w:r w:rsidR="00406134" w:rsidRPr="003973E2">
        <w:rPr>
          <w:rFonts w:ascii="Arial" w:hAnsi="Arial" w:cs="Arial"/>
          <w:bCs/>
          <w:sz w:val="24"/>
          <w:szCs w:val="24"/>
        </w:rPr>
        <w:t>: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i/>
          <w:sz w:val="24"/>
          <w:szCs w:val="24"/>
        </w:rPr>
        <w:t>la baja capacidad de pago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="00406134" w:rsidRPr="003973E2">
        <w:rPr>
          <w:rFonts w:ascii="Arial" w:hAnsi="Arial" w:cs="Arial"/>
          <w:bCs/>
          <w:sz w:val="24"/>
          <w:szCs w:val="24"/>
        </w:rPr>
        <w:t>(</w:t>
      </w:r>
      <w:r w:rsidRPr="003973E2">
        <w:rPr>
          <w:rFonts w:ascii="Arial" w:hAnsi="Arial" w:cs="Arial"/>
          <w:bCs/>
          <w:sz w:val="24"/>
          <w:szCs w:val="24"/>
        </w:rPr>
        <w:t>19.7%</w:t>
      </w:r>
      <w:r w:rsidR="00406134" w:rsidRPr="003973E2">
        <w:rPr>
          <w:rFonts w:ascii="Arial" w:hAnsi="Arial" w:cs="Arial"/>
          <w:bCs/>
          <w:sz w:val="24"/>
          <w:szCs w:val="24"/>
        </w:rPr>
        <w:t xml:space="preserve">), </w:t>
      </w:r>
      <w:r w:rsidR="00406134" w:rsidRPr="003973E2">
        <w:rPr>
          <w:rFonts w:ascii="Arial" w:hAnsi="Arial" w:cs="Arial"/>
          <w:bCs/>
          <w:i/>
          <w:sz w:val="24"/>
          <w:szCs w:val="24"/>
        </w:rPr>
        <w:t>no se indicó un motivo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="00406134" w:rsidRPr="003973E2">
        <w:rPr>
          <w:rFonts w:ascii="Arial" w:hAnsi="Arial" w:cs="Arial"/>
          <w:bCs/>
          <w:sz w:val="24"/>
          <w:szCs w:val="24"/>
        </w:rPr>
        <w:t>(</w:t>
      </w:r>
      <w:r w:rsidRPr="003973E2">
        <w:rPr>
          <w:rFonts w:ascii="Arial" w:hAnsi="Arial" w:cs="Arial"/>
          <w:bCs/>
          <w:sz w:val="24"/>
          <w:szCs w:val="24"/>
        </w:rPr>
        <w:t>18.7%</w:t>
      </w:r>
      <w:r w:rsidR="00406134" w:rsidRPr="003973E2">
        <w:rPr>
          <w:rFonts w:ascii="Arial" w:hAnsi="Arial" w:cs="Arial"/>
          <w:bCs/>
          <w:sz w:val="24"/>
          <w:szCs w:val="24"/>
        </w:rPr>
        <w:t>)</w:t>
      </w:r>
      <w:r w:rsidRPr="003973E2">
        <w:rPr>
          <w:rFonts w:ascii="Arial" w:hAnsi="Arial" w:cs="Arial"/>
          <w:bCs/>
          <w:sz w:val="24"/>
          <w:szCs w:val="24"/>
        </w:rPr>
        <w:t xml:space="preserve"> y a 12% de las empresas se les </w:t>
      </w:r>
      <w:r w:rsidR="00716E4C" w:rsidRPr="003973E2">
        <w:rPr>
          <w:rFonts w:ascii="Arial" w:hAnsi="Arial" w:cs="Arial"/>
          <w:bCs/>
          <w:sz w:val="24"/>
          <w:szCs w:val="24"/>
        </w:rPr>
        <w:t>neg</w:t>
      </w:r>
      <w:r w:rsidRPr="003973E2">
        <w:rPr>
          <w:rFonts w:ascii="Arial" w:hAnsi="Arial" w:cs="Arial"/>
          <w:bCs/>
          <w:sz w:val="24"/>
          <w:szCs w:val="24"/>
        </w:rPr>
        <w:t xml:space="preserve">ó </w:t>
      </w:r>
      <w:r w:rsidR="00716E4C" w:rsidRPr="003973E2">
        <w:rPr>
          <w:rFonts w:ascii="Arial" w:hAnsi="Arial" w:cs="Arial"/>
          <w:bCs/>
          <w:sz w:val="24"/>
          <w:szCs w:val="24"/>
        </w:rPr>
        <w:t xml:space="preserve">el crédito </w:t>
      </w:r>
      <w:r w:rsidRPr="003973E2">
        <w:rPr>
          <w:rFonts w:ascii="Arial" w:hAnsi="Arial" w:cs="Arial"/>
          <w:bCs/>
          <w:sz w:val="24"/>
          <w:szCs w:val="24"/>
        </w:rPr>
        <w:t xml:space="preserve">por </w:t>
      </w:r>
      <w:r w:rsidRPr="003973E2">
        <w:rPr>
          <w:rFonts w:ascii="Arial" w:hAnsi="Arial" w:cs="Arial"/>
          <w:bCs/>
          <w:i/>
          <w:sz w:val="24"/>
          <w:szCs w:val="24"/>
        </w:rPr>
        <w:t>no tener historial crediticio</w:t>
      </w:r>
      <w:r w:rsidRPr="003973E2">
        <w:rPr>
          <w:rFonts w:ascii="Arial" w:hAnsi="Arial" w:cs="Arial"/>
          <w:bCs/>
          <w:sz w:val="24"/>
          <w:szCs w:val="24"/>
        </w:rPr>
        <w:t>.</w:t>
      </w:r>
    </w:p>
    <w:p w14:paraId="1973407B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757D6561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10</w:t>
      </w:r>
    </w:p>
    <w:p w14:paraId="66A72B01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Motivo principal del rechazo en 2021*</w:t>
      </w:r>
    </w:p>
    <w:p w14:paraId="5F058C61" w14:textId="280DD133" w:rsidR="00643516" w:rsidRPr="003973E2" w:rsidRDefault="009737C3" w:rsidP="009737C3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noProof/>
        </w:rPr>
        <w:drawing>
          <wp:inline distT="0" distB="0" distL="0" distR="0" wp14:anchorId="597770F7" wp14:editId="7FC2E4D2">
            <wp:extent cx="4510800" cy="2340000"/>
            <wp:effectExtent l="0" t="0" r="4445" b="3175"/>
            <wp:docPr id="35" name="Imagen 35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Gráfico, Gráfico circular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08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78DD" w14:textId="77777777" w:rsidR="005971FB" w:rsidRPr="003973E2" w:rsidRDefault="005971FB" w:rsidP="005971FB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>Nota: periodo de referencia de enero a agosto/septiembre de 2021.</w:t>
      </w:r>
    </w:p>
    <w:p w14:paraId="74B05B1F" w14:textId="77777777" w:rsidR="0014500D" w:rsidRPr="003973E2" w:rsidRDefault="0014500D" w:rsidP="0014500D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La opción «Otros» incluye: no pudo comprobar ingresos, no tenía un plan de negocios y la empresa es de nueva creación.</w:t>
      </w:r>
    </w:p>
    <w:p w14:paraId="2CA4A3AE" w14:textId="0F65352B" w:rsidR="0014500D" w:rsidRPr="003973E2" w:rsidRDefault="0014500D" w:rsidP="0014500D">
      <w:pPr>
        <w:autoSpaceDE w:val="0"/>
        <w:autoSpaceDN w:val="0"/>
        <w:adjustRightInd w:val="0"/>
        <w:spacing w:after="0" w:line="240" w:lineRule="auto"/>
        <w:ind w:left="709" w:right="-518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*Del crédito de mayor monto</w:t>
      </w:r>
    </w:p>
    <w:p w14:paraId="1EF894A0" w14:textId="69BD349A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  <w:szCs w:val="24"/>
          <w:lang w:val="es-ES_tradnl"/>
        </w:rPr>
      </w:pPr>
    </w:p>
    <w:p w14:paraId="51273FA4" w14:textId="21EC01D0" w:rsidR="00FB4E1F" w:rsidRPr="003973E2" w:rsidRDefault="006E20E0" w:rsidP="00FB4E1F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 xml:space="preserve">Al momento de las entrevistas, 23% de las empresas señaló que han considerado solicitar un crédito durante los siguientes </w:t>
      </w:r>
      <w:r w:rsidR="00643516" w:rsidRPr="003973E2">
        <w:rPr>
          <w:rFonts w:ascii="Arial" w:hAnsi="Arial" w:cs="Arial"/>
          <w:bCs/>
          <w:sz w:val="24"/>
          <w:szCs w:val="24"/>
        </w:rPr>
        <w:t>12</w:t>
      </w:r>
      <w:r w:rsidRPr="003973E2">
        <w:rPr>
          <w:rFonts w:ascii="Arial" w:hAnsi="Arial" w:cs="Arial"/>
          <w:bCs/>
          <w:sz w:val="24"/>
          <w:szCs w:val="24"/>
        </w:rPr>
        <w:t xml:space="preserve"> meses. Por tamaño de empresa, 24.5% de las grandes,</w:t>
      </w:r>
      <w:r w:rsidR="00DD66B3" w:rsidRPr="003973E2">
        <w:rPr>
          <w:rFonts w:ascii="Arial" w:hAnsi="Arial" w:cs="Arial"/>
          <w:bCs/>
          <w:sz w:val="24"/>
          <w:szCs w:val="24"/>
        </w:rPr>
        <w:t xml:space="preserve"> </w:t>
      </w:r>
      <w:r w:rsidR="00515958" w:rsidRPr="003973E2">
        <w:rPr>
          <w:rFonts w:ascii="Arial" w:hAnsi="Arial" w:cs="Arial"/>
          <w:bCs/>
          <w:sz w:val="24"/>
          <w:szCs w:val="24"/>
        </w:rPr>
        <w:t xml:space="preserve">    </w:t>
      </w:r>
      <w:r w:rsidR="00DD66B3" w:rsidRPr="003973E2">
        <w:rPr>
          <w:rFonts w:ascii="Arial" w:hAnsi="Arial" w:cs="Arial"/>
          <w:bCs/>
          <w:sz w:val="24"/>
          <w:szCs w:val="24"/>
        </w:rPr>
        <w:t>32.5</w:t>
      </w:r>
      <w:r w:rsidR="00FB4E1F" w:rsidRPr="003973E2">
        <w:rPr>
          <w:rFonts w:ascii="Arial" w:hAnsi="Arial" w:cs="Arial"/>
          <w:bCs/>
          <w:sz w:val="24"/>
          <w:szCs w:val="24"/>
        </w:rPr>
        <w:t>%</w:t>
      </w:r>
      <w:r w:rsidR="00716E4C" w:rsidRPr="003973E2">
        <w:rPr>
          <w:rFonts w:ascii="Arial" w:hAnsi="Arial" w:cs="Arial"/>
          <w:bCs/>
          <w:sz w:val="24"/>
          <w:szCs w:val="24"/>
        </w:rPr>
        <w:t xml:space="preserve"> </w:t>
      </w:r>
      <w:r w:rsidR="00FB4E1F" w:rsidRPr="003973E2">
        <w:rPr>
          <w:rFonts w:ascii="Arial" w:hAnsi="Arial" w:cs="Arial"/>
          <w:bCs/>
          <w:sz w:val="24"/>
          <w:szCs w:val="24"/>
        </w:rPr>
        <w:t>de las medianas, 24.5% de las pequeñas y 20.6% de las microempresas consideró solicitar un crédito dentro de los siguientes 12 meses.</w:t>
      </w:r>
    </w:p>
    <w:p w14:paraId="131ADB34" w14:textId="66D964BD" w:rsidR="000A28A8" w:rsidRPr="003973E2" w:rsidRDefault="000A28A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75AFE8E0" w14:textId="3AEA3F92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11</w:t>
      </w:r>
    </w:p>
    <w:p w14:paraId="43630438" w14:textId="27FDE8FB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Empresas que han considerado solicitar un crédito</w:t>
      </w:r>
      <w:r w:rsidR="00E154D6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 xml:space="preserve">durante los siguientes </w:t>
      </w:r>
      <w:r w:rsidR="00B1229A" w:rsidRPr="003973E2">
        <w:rPr>
          <w:rFonts w:ascii="Arial" w:hAnsi="Arial" w:cs="Arial"/>
          <w:b/>
          <w:bCs/>
          <w:smallCaps/>
        </w:rPr>
        <w:t>12</w:t>
      </w:r>
      <w:r w:rsidRPr="003973E2">
        <w:rPr>
          <w:rFonts w:ascii="Arial" w:hAnsi="Arial" w:cs="Arial"/>
          <w:b/>
          <w:bCs/>
          <w:smallCaps/>
        </w:rPr>
        <w:t xml:space="preserve"> meses</w:t>
      </w:r>
    </w:p>
    <w:p w14:paraId="08B709E6" w14:textId="77777777" w:rsidR="001F1C9C" w:rsidRPr="003973E2" w:rsidRDefault="006D6567" w:rsidP="00515958">
      <w:pPr>
        <w:autoSpaceDE w:val="0"/>
        <w:autoSpaceDN w:val="0"/>
        <w:adjustRightInd w:val="0"/>
        <w:spacing w:after="0" w:line="240" w:lineRule="auto"/>
        <w:ind w:left="-567" w:right="-516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46F49550" wp14:editId="44641B49">
            <wp:extent cx="4725278" cy="2190750"/>
            <wp:effectExtent l="0" t="0" r="0" b="0"/>
            <wp:docPr id="36" name="Imagen 36" descr="Gráfico, Gráfico de barras, Gráfico en casca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Gráfico, Gráfico de barras, Gráfico en cascada&#10;&#10;Descripción generada automá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50858" cy="22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4437" w14:textId="4D60B1AF" w:rsidR="001F1C9C" w:rsidRPr="003973E2" w:rsidRDefault="001F1C9C" w:rsidP="001F1C9C">
      <w:pPr>
        <w:autoSpaceDE w:val="0"/>
        <w:autoSpaceDN w:val="0"/>
        <w:adjustRightInd w:val="0"/>
        <w:ind w:left="-567" w:right="-518" w:firstLine="1276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Nota: </w:t>
      </w:r>
      <w:r w:rsidR="005971FB" w:rsidRPr="003973E2">
        <w:rPr>
          <w:rFonts w:ascii="Arial" w:hAnsi="Arial" w:cs="Arial"/>
          <w:bCs/>
          <w:sz w:val="16"/>
          <w:szCs w:val="16"/>
          <w:lang w:val="es-ES_tradnl"/>
        </w:rPr>
        <w:t xml:space="preserve">referencia </w:t>
      </w:r>
      <w:r w:rsidRPr="003973E2">
        <w:rPr>
          <w:rFonts w:ascii="Arial" w:hAnsi="Arial" w:cs="Arial"/>
          <w:bCs/>
          <w:sz w:val="16"/>
          <w:szCs w:val="16"/>
          <w:lang w:val="es-ES_tradnl"/>
        </w:rPr>
        <w:t>al momento de la entrevista.</w:t>
      </w:r>
    </w:p>
    <w:p w14:paraId="5FE928CD" w14:textId="3B8C7FA6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lastRenderedPageBreak/>
        <w:t xml:space="preserve">De las empresas que consideraron solicitar algún crédito durante los </w:t>
      </w:r>
      <w:r w:rsidR="00643516" w:rsidRPr="003973E2">
        <w:rPr>
          <w:rFonts w:ascii="Arial" w:hAnsi="Arial" w:cs="Arial"/>
          <w:bCs/>
          <w:sz w:val="24"/>
          <w:szCs w:val="24"/>
        </w:rPr>
        <w:t>12</w:t>
      </w:r>
      <w:r w:rsidRPr="003973E2">
        <w:rPr>
          <w:rFonts w:ascii="Arial" w:hAnsi="Arial" w:cs="Arial"/>
          <w:bCs/>
          <w:sz w:val="24"/>
          <w:szCs w:val="24"/>
        </w:rPr>
        <w:t xml:space="preserve"> meses posteriores al mes de la entrevista, 49.5% mencionó que lo utilizaría para </w:t>
      </w:r>
      <w:r w:rsidRPr="003973E2">
        <w:rPr>
          <w:rFonts w:ascii="Arial" w:hAnsi="Arial" w:cs="Arial"/>
          <w:bCs/>
          <w:i/>
          <w:sz w:val="24"/>
          <w:szCs w:val="24"/>
        </w:rPr>
        <w:t>invertir en capital fijo o tecnología para la producción</w:t>
      </w:r>
      <w:r w:rsidRPr="003973E2">
        <w:rPr>
          <w:rFonts w:ascii="Arial" w:hAnsi="Arial" w:cs="Arial"/>
          <w:bCs/>
          <w:sz w:val="24"/>
          <w:szCs w:val="24"/>
        </w:rPr>
        <w:t xml:space="preserve">, 43.1% indicó que </w:t>
      </w:r>
      <w:r w:rsidRPr="003973E2">
        <w:rPr>
          <w:rFonts w:ascii="Arial" w:hAnsi="Arial" w:cs="Arial"/>
          <w:bCs/>
          <w:i/>
          <w:sz w:val="24"/>
          <w:szCs w:val="24"/>
        </w:rPr>
        <w:t>pagaría deudas o compromisos financieros</w:t>
      </w:r>
      <w:r w:rsidRPr="003973E2">
        <w:rPr>
          <w:rFonts w:ascii="Arial" w:hAnsi="Arial" w:cs="Arial"/>
          <w:bCs/>
          <w:sz w:val="24"/>
          <w:szCs w:val="24"/>
        </w:rPr>
        <w:t xml:space="preserve">. </w:t>
      </w:r>
      <w:r w:rsidR="00716E4C" w:rsidRPr="003973E2">
        <w:rPr>
          <w:rFonts w:ascii="Arial" w:hAnsi="Arial" w:cs="Arial"/>
          <w:bCs/>
          <w:sz w:val="24"/>
          <w:szCs w:val="24"/>
        </w:rPr>
        <w:t xml:space="preserve">La respuesta: </w:t>
      </w:r>
      <w:r w:rsidR="00716E4C" w:rsidRPr="003973E2">
        <w:rPr>
          <w:rFonts w:ascii="Arial" w:hAnsi="Arial" w:cs="Arial"/>
          <w:bCs/>
          <w:i/>
          <w:iCs/>
          <w:sz w:val="24"/>
          <w:szCs w:val="24"/>
        </w:rPr>
        <w:t>expandir el negocio o abrir nuevas sucursales</w:t>
      </w:r>
      <w:r w:rsidR="00716E4C" w:rsidRPr="003973E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16E4C" w:rsidRPr="003973E2">
        <w:rPr>
          <w:rFonts w:ascii="Arial" w:hAnsi="Arial" w:cs="Arial"/>
          <w:bCs/>
          <w:sz w:val="24"/>
          <w:szCs w:val="24"/>
        </w:rPr>
        <w:t>la</w:t>
      </w:r>
      <w:proofErr w:type="gramEnd"/>
      <w:r w:rsidR="00716E4C" w:rsidRPr="003973E2">
        <w:rPr>
          <w:rFonts w:ascii="Arial" w:hAnsi="Arial" w:cs="Arial"/>
          <w:bCs/>
          <w:sz w:val="24"/>
          <w:szCs w:val="24"/>
        </w:rPr>
        <w:t xml:space="preserve"> dio </w:t>
      </w:r>
      <w:r w:rsidRPr="003973E2">
        <w:rPr>
          <w:rFonts w:ascii="Arial" w:hAnsi="Arial" w:cs="Arial"/>
          <w:bCs/>
          <w:sz w:val="24"/>
          <w:szCs w:val="24"/>
        </w:rPr>
        <w:t xml:space="preserve">40.9% de las empresas y </w:t>
      </w:r>
      <w:r w:rsidR="00716E4C" w:rsidRPr="003973E2">
        <w:rPr>
          <w:rFonts w:ascii="Arial" w:hAnsi="Arial" w:cs="Arial"/>
          <w:bCs/>
          <w:sz w:val="24"/>
          <w:szCs w:val="24"/>
        </w:rPr>
        <w:t xml:space="preserve">    </w:t>
      </w:r>
      <w:r w:rsidRPr="003973E2">
        <w:rPr>
          <w:rFonts w:ascii="Arial" w:hAnsi="Arial" w:cs="Arial"/>
          <w:bCs/>
          <w:sz w:val="24"/>
          <w:szCs w:val="24"/>
        </w:rPr>
        <w:t xml:space="preserve">19.9% </w:t>
      </w:r>
      <w:r w:rsidRPr="003973E2">
        <w:rPr>
          <w:rFonts w:ascii="Arial" w:hAnsi="Arial" w:cs="Arial"/>
          <w:bCs/>
          <w:i/>
          <w:sz w:val="24"/>
          <w:szCs w:val="24"/>
        </w:rPr>
        <w:t>afrontaría pérdidas de ejercicios fiscales anteriores</w:t>
      </w:r>
      <w:r w:rsidRPr="003973E2">
        <w:rPr>
          <w:rFonts w:ascii="Arial" w:hAnsi="Arial" w:cs="Arial"/>
          <w:bCs/>
          <w:sz w:val="24"/>
          <w:szCs w:val="24"/>
        </w:rPr>
        <w:t xml:space="preserve">. </w:t>
      </w:r>
    </w:p>
    <w:p w14:paraId="126EEF54" w14:textId="77777777" w:rsidR="00072B04" w:rsidRPr="003973E2" w:rsidRDefault="00072B04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3E4791A9" w14:textId="40EF0D05" w:rsidR="006E20E0" w:rsidRPr="003973E2" w:rsidRDefault="006E20E0" w:rsidP="00C078AF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12</w:t>
      </w:r>
    </w:p>
    <w:p w14:paraId="5AABD5E3" w14:textId="15B20EF6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Usos que</w:t>
      </w:r>
      <w:r w:rsidR="002F60A2" w:rsidRPr="003973E2">
        <w:rPr>
          <w:rFonts w:ascii="Arial" w:hAnsi="Arial" w:cs="Arial"/>
          <w:b/>
          <w:bCs/>
          <w:smallCaps/>
        </w:rPr>
        <w:t xml:space="preserve"> le</w:t>
      </w:r>
      <w:r w:rsidRPr="003973E2">
        <w:rPr>
          <w:rFonts w:ascii="Arial" w:hAnsi="Arial" w:cs="Arial"/>
          <w:b/>
          <w:bCs/>
          <w:smallCaps/>
        </w:rPr>
        <w:t xml:space="preserve"> darían al crédito</w:t>
      </w:r>
    </w:p>
    <w:p w14:paraId="057112A3" w14:textId="79E1F59B" w:rsidR="00914EEF" w:rsidRPr="003973E2" w:rsidRDefault="00914EEF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0E924927" wp14:editId="04006F68">
            <wp:extent cx="4032000" cy="2052000"/>
            <wp:effectExtent l="0" t="0" r="6985" b="5715"/>
            <wp:docPr id="37" name="Imagen 37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Gráfico, Gráfico de barras&#10;&#10;Descripción generada automá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AE24" w14:textId="7DCC9766" w:rsidR="00634E55" w:rsidRPr="003973E2" w:rsidRDefault="00634E55" w:rsidP="00634E55">
      <w:pPr>
        <w:autoSpaceDE w:val="0"/>
        <w:autoSpaceDN w:val="0"/>
        <w:adjustRightInd w:val="0"/>
        <w:spacing w:after="0" w:line="240" w:lineRule="auto"/>
        <w:ind w:left="709" w:right="-518"/>
        <w:jc w:val="both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Nota:</w:t>
      </w:r>
      <w:r w:rsidR="00F052C9" w:rsidRPr="003973E2">
        <w:rPr>
          <w:rFonts w:ascii="Arial" w:hAnsi="Arial" w:cs="Arial"/>
          <w:bCs/>
          <w:sz w:val="16"/>
          <w:szCs w:val="16"/>
          <w:lang w:val="es-ES_tradnl"/>
        </w:rPr>
        <w:t xml:space="preserve"> referencia</w:t>
      </w: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 al momento de la entrevista.</w:t>
      </w:r>
    </w:p>
    <w:p w14:paraId="1EB22D3B" w14:textId="01DEAF78" w:rsidR="00C078AF" w:rsidRPr="003973E2" w:rsidRDefault="00634E55" w:rsidP="00634E55">
      <w:pPr>
        <w:autoSpaceDE w:val="0"/>
        <w:autoSpaceDN w:val="0"/>
        <w:adjustRightInd w:val="0"/>
        <w:spacing w:after="0" w:line="240" w:lineRule="auto"/>
        <w:ind w:left="709" w:right="-51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Los porcentajes no suman 100% porque las empresas podían seleccionar más de un uso.</w:t>
      </w:r>
    </w:p>
    <w:p w14:paraId="60EA21C8" w14:textId="77777777" w:rsidR="00C078AF" w:rsidRPr="003973E2" w:rsidRDefault="00C078AF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6648F25" w14:textId="2DD35009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973E2">
        <w:rPr>
          <w:rFonts w:ascii="Arial" w:hAnsi="Arial" w:cs="Arial"/>
          <w:b/>
          <w:bCs/>
          <w:sz w:val="24"/>
          <w:szCs w:val="24"/>
        </w:rPr>
        <w:t>Servicios bancarios y financieros 2021</w:t>
      </w:r>
    </w:p>
    <w:p w14:paraId="0AD46ACB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</w:p>
    <w:p w14:paraId="1211940A" w14:textId="09CE5EF0" w:rsidR="006E20E0" w:rsidRPr="003973E2" w:rsidRDefault="00716E4C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>De las empresas,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56.2% señaló que sí ha contratado pólizas de seguro alguna vez desde su inicio de operaciones. De 43.8% de las empresas que nunca ha contratado una póliza de seguro, 36.2% indicó que la razón principal para no hacerlo es que </w:t>
      </w:r>
      <w:r w:rsidR="006E20E0" w:rsidRPr="003973E2">
        <w:rPr>
          <w:rFonts w:ascii="Arial" w:hAnsi="Arial" w:cs="Arial"/>
          <w:bCs/>
          <w:i/>
          <w:sz w:val="24"/>
          <w:szCs w:val="24"/>
        </w:rPr>
        <w:t>no le interesa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, 35.3% señaló que </w:t>
      </w:r>
      <w:r w:rsidR="006E20E0" w:rsidRPr="003973E2">
        <w:rPr>
          <w:rFonts w:ascii="Arial" w:hAnsi="Arial" w:cs="Arial"/>
          <w:bCs/>
          <w:i/>
          <w:sz w:val="24"/>
          <w:szCs w:val="24"/>
        </w:rPr>
        <w:t>son caros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y 27.5% dijo que </w:t>
      </w:r>
      <w:r w:rsidR="006E20E0" w:rsidRPr="003973E2">
        <w:rPr>
          <w:rFonts w:ascii="Arial" w:hAnsi="Arial" w:cs="Arial"/>
          <w:bCs/>
          <w:i/>
          <w:sz w:val="24"/>
          <w:szCs w:val="24"/>
        </w:rPr>
        <w:t>no lo necesitaba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ya que el riesgo en la empresa es bajo. </w:t>
      </w:r>
    </w:p>
    <w:p w14:paraId="4768F024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FD16AE0" w14:textId="05C2BAB6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 xml:space="preserve">Gráfica 13 </w:t>
      </w:r>
    </w:p>
    <w:p w14:paraId="05A2CC4B" w14:textId="6624E4AF" w:rsidR="006E20E0" w:rsidRPr="003973E2" w:rsidRDefault="006E20E0" w:rsidP="00FE1E0E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rFonts w:ascii="Arial" w:hAnsi="Arial" w:cs="Arial"/>
          <w:b/>
          <w:bCs/>
          <w:smallCaps/>
          <w:lang w:val="es-ES_tradnl"/>
        </w:rPr>
        <w:t xml:space="preserve">Pólizas </w:t>
      </w:r>
      <w:r w:rsidR="00716E4C" w:rsidRPr="003973E2">
        <w:rPr>
          <w:rFonts w:ascii="Arial" w:hAnsi="Arial" w:cs="Arial"/>
          <w:b/>
          <w:bCs/>
          <w:smallCaps/>
          <w:lang w:val="es-ES_tradnl"/>
        </w:rPr>
        <w:t>de seguros</w:t>
      </w:r>
      <w:r w:rsidR="002F60A2" w:rsidRPr="003973E2">
        <w:rPr>
          <w:rFonts w:ascii="Arial" w:hAnsi="Arial" w:cs="Arial"/>
          <w:b/>
          <w:bCs/>
          <w:smallCaps/>
          <w:lang w:val="es-ES_tradnl"/>
        </w:rPr>
        <w:t xml:space="preserve"> históricas</w:t>
      </w:r>
      <w:r w:rsidR="00DD262C" w:rsidRPr="003973E2">
        <w:rPr>
          <w:rFonts w:ascii="Arial" w:hAnsi="Arial" w:cs="Arial"/>
          <w:b/>
          <w:bCs/>
          <w:smallCaps/>
          <w:lang w:val="es-ES_tradnl"/>
        </w:rPr>
        <w:t>, d</w:t>
      </w:r>
      <w:r w:rsidRPr="003973E2">
        <w:rPr>
          <w:rFonts w:ascii="Arial" w:hAnsi="Arial" w:cs="Arial"/>
          <w:b/>
          <w:bCs/>
          <w:smallCaps/>
          <w:lang w:val="es-ES_tradnl"/>
        </w:rPr>
        <w:t>esde el inicio de operaciones</w:t>
      </w:r>
    </w:p>
    <w:p w14:paraId="43822646" w14:textId="076DD692" w:rsidR="003B7494" w:rsidRPr="003973E2" w:rsidRDefault="005920D2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1BCD4601" wp14:editId="23F3F876">
            <wp:extent cx="4760901" cy="1845310"/>
            <wp:effectExtent l="0" t="0" r="1905" b="2540"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&#10;&#10;Descripción generada automáticament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90140" cy="185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FBA0" w14:textId="50EF2802" w:rsidR="006E20E0" w:rsidRPr="003973E2" w:rsidRDefault="006E20E0" w:rsidP="00A31FD5">
      <w:pPr>
        <w:autoSpaceDE w:val="0"/>
        <w:autoSpaceDN w:val="0"/>
        <w:adjustRightInd w:val="0"/>
        <w:spacing w:after="0" w:line="240" w:lineRule="auto"/>
        <w:ind w:left="-567" w:right="-518" w:firstLine="851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*Los porcentajes no suman </w:t>
      </w:r>
      <w:r w:rsidR="00DD262C" w:rsidRPr="003973E2">
        <w:rPr>
          <w:rFonts w:ascii="Arial" w:hAnsi="Arial" w:cs="Arial"/>
          <w:bCs/>
          <w:sz w:val="16"/>
          <w:szCs w:val="16"/>
          <w:lang w:val="es-ES_tradnl"/>
        </w:rPr>
        <w:t xml:space="preserve">100% </w:t>
      </w:r>
      <w:r w:rsidR="00716E4C" w:rsidRPr="003973E2">
        <w:rPr>
          <w:rFonts w:ascii="Arial" w:hAnsi="Arial" w:cs="Arial"/>
          <w:bCs/>
          <w:sz w:val="16"/>
          <w:szCs w:val="16"/>
          <w:lang w:val="es-ES_tradnl"/>
        </w:rPr>
        <w:t>por</w:t>
      </w:r>
      <w:r w:rsidRPr="003973E2">
        <w:rPr>
          <w:rFonts w:ascii="Arial" w:hAnsi="Arial" w:cs="Arial"/>
          <w:bCs/>
          <w:sz w:val="16"/>
          <w:szCs w:val="16"/>
          <w:lang w:val="es-ES_tradnl"/>
        </w:rPr>
        <w:t>que las empresas podían seleccionar más de un factor.</w:t>
      </w:r>
    </w:p>
    <w:p w14:paraId="5A8A51D6" w14:textId="1E34D84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lastRenderedPageBreak/>
        <w:t>Respecto al servicio de arrendamiento financiero,</w:t>
      </w:r>
      <w:r w:rsidR="00DD262C"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sz w:val="24"/>
          <w:szCs w:val="24"/>
        </w:rPr>
        <w:t>13.3% de las empresas lo ha utilizado alguna vez desde su inicio de operaciones.</w:t>
      </w:r>
      <w:r w:rsidR="00C47DCB" w:rsidRPr="003973E2">
        <w:rPr>
          <w:rFonts w:ascii="Arial" w:hAnsi="Arial" w:cs="Arial"/>
          <w:bCs/>
          <w:sz w:val="24"/>
          <w:szCs w:val="24"/>
        </w:rPr>
        <w:t xml:space="preserve"> </w:t>
      </w:r>
      <w:r w:rsidR="00716E4C" w:rsidRPr="003973E2">
        <w:rPr>
          <w:rFonts w:ascii="Arial" w:hAnsi="Arial" w:cs="Arial"/>
          <w:bCs/>
          <w:sz w:val="24"/>
          <w:szCs w:val="24"/>
        </w:rPr>
        <w:t>En cuanto a las empresas que nunca lo han utilizado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="00716E4C" w:rsidRPr="003973E2">
        <w:rPr>
          <w:rFonts w:ascii="Arial" w:hAnsi="Arial" w:cs="Arial"/>
          <w:bCs/>
          <w:sz w:val="24"/>
          <w:szCs w:val="24"/>
        </w:rPr>
        <w:t>(</w:t>
      </w:r>
      <w:r w:rsidRPr="003973E2">
        <w:rPr>
          <w:rFonts w:ascii="Arial" w:hAnsi="Arial" w:cs="Arial"/>
          <w:bCs/>
          <w:sz w:val="24"/>
          <w:szCs w:val="24"/>
        </w:rPr>
        <w:t>86.7%</w:t>
      </w:r>
      <w:r w:rsidR="00716E4C" w:rsidRPr="003973E2">
        <w:rPr>
          <w:rFonts w:ascii="Arial" w:hAnsi="Arial" w:cs="Arial"/>
          <w:bCs/>
          <w:sz w:val="24"/>
          <w:szCs w:val="24"/>
        </w:rPr>
        <w:t>)</w:t>
      </w:r>
      <w:r w:rsidRPr="003973E2">
        <w:rPr>
          <w:rFonts w:ascii="Arial" w:hAnsi="Arial" w:cs="Arial"/>
          <w:bCs/>
          <w:sz w:val="24"/>
          <w:szCs w:val="24"/>
        </w:rPr>
        <w:t xml:space="preserve">, 48.2% señaló que </w:t>
      </w:r>
      <w:r w:rsidRPr="003973E2">
        <w:rPr>
          <w:rFonts w:ascii="Arial" w:hAnsi="Arial" w:cs="Arial"/>
          <w:bCs/>
          <w:i/>
          <w:sz w:val="24"/>
          <w:szCs w:val="24"/>
        </w:rPr>
        <w:t>no le interesa</w:t>
      </w:r>
      <w:r w:rsidRPr="003973E2">
        <w:rPr>
          <w:rFonts w:ascii="Arial" w:hAnsi="Arial" w:cs="Arial"/>
          <w:bCs/>
          <w:sz w:val="24"/>
          <w:szCs w:val="24"/>
        </w:rPr>
        <w:t xml:space="preserve">, 45.5% </w:t>
      </w:r>
      <w:r w:rsidRPr="003973E2">
        <w:rPr>
          <w:rFonts w:ascii="Arial" w:hAnsi="Arial" w:cs="Arial"/>
          <w:bCs/>
          <w:i/>
          <w:sz w:val="24"/>
          <w:szCs w:val="24"/>
        </w:rPr>
        <w:t>no lo necesita</w:t>
      </w:r>
      <w:r w:rsidRPr="003973E2">
        <w:rPr>
          <w:rFonts w:ascii="Arial" w:hAnsi="Arial" w:cs="Arial"/>
          <w:bCs/>
          <w:sz w:val="24"/>
          <w:szCs w:val="24"/>
        </w:rPr>
        <w:t xml:space="preserve"> y 19.5% dijo </w:t>
      </w:r>
      <w:r w:rsidRPr="003973E2">
        <w:rPr>
          <w:rFonts w:ascii="Arial" w:hAnsi="Arial" w:cs="Arial"/>
          <w:bCs/>
          <w:i/>
          <w:sz w:val="24"/>
          <w:szCs w:val="24"/>
        </w:rPr>
        <w:t>desconocer cómo funciona este esquema</w:t>
      </w:r>
      <w:r w:rsidRPr="003973E2">
        <w:rPr>
          <w:rFonts w:ascii="Arial" w:hAnsi="Arial" w:cs="Arial"/>
          <w:bCs/>
          <w:sz w:val="24"/>
          <w:szCs w:val="24"/>
        </w:rPr>
        <w:t xml:space="preserve">. </w:t>
      </w:r>
    </w:p>
    <w:p w14:paraId="07725523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4838E3C0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14</w:t>
      </w:r>
    </w:p>
    <w:p w14:paraId="366DE3B3" w14:textId="7993C05D" w:rsidR="006E20E0" w:rsidRPr="003973E2" w:rsidRDefault="006E20E0" w:rsidP="005E2D14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rFonts w:ascii="Arial" w:hAnsi="Arial" w:cs="Arial"/>
          <w:b/>
          <w:bCs/>
          <w:smallCaps/>
          <w:lang w:val="es-ES_tradnl"/>
        </w:rPr>
        <w:t>Arrendamiento financiero</w:t>
      </w:r>
      <w:r w:rsidR="00661787" w:rsidRPr="003973E2">
        <w:rPr>
          <w:rFonts w:ascii="Arial" w:hAnsi="Arial" w:cs="Arial"/>
          <w:b/>
          <w:bCs/>
          <w:smallCaps/>
          <w:lang w:val="es-ES_tradnl"/>
        </w:rPr>
        <w:t xml:space="preserve"> histórico</w:t>
      </w:r>
      <w:r w:rsidR="00665783" w:rsidRPr="003973E2">
        <w:rPr>
          <w:rFonts w:ascii="Arial" w:hAnsi="Arial" w:cs="Arial"/>
          <w:b/>
          <w:bCs/>
          <w:smallCaps/>
          <w:lang w:val="es-ES_tradnl"/>
        </w:rPr>
        <w:t>, d</w:t>
      </w:r>
      <w:r w:rsidRPr="003973E2">
        <w:rPr>
          <w:rFonts w:ascii="Arial" w:hAnsi="Arial" w:cs="Arial"/>
          <w:b/>
          <w:bCs/>
          <w:smallCaps/>
          <w:lang w:val="es-ES_tradnl"/>
        </w:rPr>
        <w:t>esde el inicio de operaciones</w:t>
      </w:r>
    </w:p>
    <w:p w14:paraId="12C1F292" w14:textId="0293EB02" w:rsidR="006E20E0" w:rsidRPr="003973E2" w:rsidRDefault="005E2D14" w:rsidP="00515958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16"/>
          <w:szCs w:val="16"/>
        </w:rPr>
      </w:pPr>
      <w:r w:rsidRPr="003973E2">
        <w:rPr>
          <w:noProof/>
        </w:rPr>
        <w:drawing>
          <wp:inline distT="0" distB="0" distL="0" distR="0" wp14:anchorId="7FAB4C51" wp14:editId="419CE185">
            <wp:extent cx="5886827" cy="2247900"/>
            <wp:effectExtent l="0" t="0" r="0" b="0"/>
            <wp:docPr id="43" name="Imagen 4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 descr="Gráfico&#10;&#10;Descripción generada automá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94564" cy="22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248B" w14:textId="6C59ED3D" w:rsidR="006E20E0" w:rsidRPr="003973E2" w:rsidRDefault="006E20E0" w:rsidP="00FE1E0E">
      <w:pPr>
        <w:autoSpaceDE w:val="0"/>
        <w:autoSpaceDN w:val="0"/>
        <w:adjustRightInd w:val="0"/>
        <w:spacing w:after="0" w:line="240" w:lineRule="auto"/>
        <w:ind w:left="-567" w:right="-518" w:firstLine="851"/>
        <w:jc w:val="both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*Los porcentajes no suman </w:t>
      </w:r>
      <w:r w:rsidR="00665783" w:rsidRPr="003973E2">
        <w:rPr>
          <w:rFonts w:ascii="Arial" w:hAnsi="Arial" w:cs="Arial"/>
          <w:bCs/>
          <w:sz w:val="16"/>
          <w:szCs w:val="16"/>
          <w:lang w:val="es-ES_tradnl"/>
        </w:rPr>
        <w:t>100%</w:t>
      </w: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 </w:t>
      </w:r>
      <w:r w:rsidR="00716E4C" w:rsidRPr="003973E2">
        <w:rPr>
          <w:rFonts w:ascii="Arial" w:hAnsi="Arial" w:cs="Arial"/>
          <w:bCs/>
          <w:sz w:val="16"/>
          <w:szCs w:val="16"/>
          <w:lang w:val="es-ES_tradnl"/>
        </w:rPr>
        <w:t>por</w:t>
      </w:r>
      <w:r w:rsidRPr="003973E2">
        <w:rPr>
          <w:rFonts w:ascii="Arial" w:hAnsi="Arial" w:cs="Arial"/>
          <w:bCs/>
          <w:sz w:val="16"/>
          <w:szCs w:val="16"/>
          <w:lang w:val="es-ES_tradnl"/>
        </w:rPr>
        <w:t>que las empresas podían seleccionar más de un factor.</w:t>
      </w:r>
    </w:p>
    <w:p w14:paraId="2672B2B7" w14:textId="623A659D" w:rsidR="00715826" w:rsidRPr="003973E2" w:rsidRDefault="00715826" w:rsidP="00FE1E0E">
      <w:pPr>
        <w:autoSpaceDE w:val="0"/>
        <w:autoSpaceDN w:val="0"/>
        <w:adjustRightInd w:val="0"/>
        <w:spacing w:after="0" w:line="240" w:lineRule="auto"/>
        <w:ind w:left="-567" w:right="-518" w:firstLine="851"/>
        <w:jc w:val="both"/>
        <w:outlineLvl w:val="0"/>
        <w:rPr>
          <w:rFonts w:ascii="Arial" w:hAnsi="Arial" w:cs="Arial"/>
          <w:bCs/>
          <w:sz w:val="24"/>
          <w:szCs w:val="24"/>
          <w:lang w:val="es-ES_tradnl"/>
        </w:rPr>
      </w:pPr>
    </w:p>
    <w:p w14:paraId="08829EAC" w14:textId="27C53DC3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7" w:name="_Hlk112083957"/>
      <w:r w:rsidRPr="003973E2">
        <w:rPr>
          <w:rFonts w:ascii="Arial" w:hAnsi="Arial" w:cs="Arial"/>
          <w:bCs/>
          <w:sz w:val="24"/>
          <w:szCs w:val="24"/>
        </w:rPr>
        <w:t xml:space="preserve">En 2021, los dos principales medios que las empresas utilizaron para realizar sus operaciones financieras fueron: la </w:t>
      </w:r>
      <w:r w:rsidRPr="003973E2">
        <w:rPr>
          <w:rFonts w:ascii="Arial" w:hAnsi="Arial" w:cs="Arial"/>
          <w:bCs/>
          <w:i/>
          <w:sz w:val="24"/>
          <w:szCs w:val="24"/>
        </w:rPr>
        <w:t>sucursal</w:t>
      </w:r>
      <w:r w:rsidR="00665783" w:rsidRPr="003973E2">
        <w:rPr>
          <w:rFonts w:ascii="Arial" w:hAnsi="Arial" w:cs="Arial"/>
          <w:bCs/>
          <w:i/>
          <w:sz w:val="24"/>
          <w:szCs w:val="24"/>
        </w:rPr>
        <w:t xml:space="preserve"> bancaria</w:t>
      </w:r>
      <w:r w:rsidRPr="003973E2">
        <w:rPr>
          <w:rFonts w:ascii="Arial" w:hAnsi="Arial" w:cs="Arial"/>
          <w:bCs/>
          <w:sz w:val="24"/>
          <w:szCs w:val="24"/>
        </w:rPr>
        <w:t xml:space="preserve"> y la </w:t>
      </w:r>
      <w:r w:rsidRPr="003973E2">
        <w:rPr>
          <w:rFonts w:ascii="Arial" w:hAnsi="Arial" w:cs="Arial"/>
          <w:bCs/>
          <w:i/>
          <w:sz w:val="24"/>
          <w:szCs w:val="24"/>
        </w:rPr>
        <w:t xml:space="preserve">página de </w:t>
      </w:r>
      <w:r w:rsidR="007D5ED5" w:rsidRPr="003973E2">
        <w:rPr>
          <w:rFonts w:ascii="Arial" w:hAnsi="Arial" w:cs="Arial"/>
          <w:bCs/>
          <w:i/>
          <w:sz w:val="24"/>
          <w:szCs w:val="24"/>
        </w:rPr>
        <w:t>I</w:t>
      </w:r>
      <w:r w:rsidRPr="003973E2">
        <w:rPr>
          <w:rFonts w:ascii="Arial" w:hAnsi="Arial" w:cs="Arial"/>
          <w:bCs/>
          <w:i/>
          <w:sz w:val="24"/>
          <w:szCs w:val="24"/>
        </w:rPr>
        <w:t xml:space="preserve">nternet de </w:t>
      </w:r>
      <w:r w:rsidR="00665783" w:rsidRPr="003973E2">
        <w:rPr>
          <w:rFonts w:ascii="Arial" w:hAnsi="Arial" w:cs="Arial"/>
          <w:bCs/>
          <w:i/>
          <w:sz w:val="24"/>
          <w:szCs w:val="24"/>
        </w:rPr>
        <w:t>l</w:t>
      </w:r>
      <w:r w:rsidRPr="003973E2">
        <w:rPr>
          <w:rFonts w:ascii="Arial" w:hAnsi="Arial" w:cs="Arial"/>
          <w:bCs/>
          <w:i/>
          <w:sz w:val="24"/>
          <w:szCs w:val="24"/>
        </w:rPr>
        <w:t>a institución financiera</w:t>
      </w:r>
      <w:r w:rsidRPr="003973E2">
        <w:rPr>
          <w:rFonts w:ascii="Arial" w:hAnsi="Arial" w:cs="Arial"/>
          <w:bCs/>
          <w:sz w:val="24"/>
          <w:szCs w:val="24"/>
        </w:rPr>
        <w:t>, con 78.9% y 60.4% de las empresas</w:t>
      </w:r>
      <w:r w:rsidR="00665783" w:rsidRPr="003973E2">
        <w:rPr>
          <w:rFonts w:ascii="Arial" w:hAnsi="Arial" w:cs="Arial"/>
          <w:bCs/>
          <w:sz w:val="24"/>
          <w:szCs w:val="24"/>
        </w:rPr>
        <w:t>,</w:t>
      </w:r>
      <w:r w:rsidRPr="003973E2">
        <w:rPr>
          <w:rFonts w:ascii="Arial" w:hAnsi="Arial" w:cs="Arial"/>
          <w:bCs/>
          <w:sz w:val="24"/>
          <w:szCs w:val="24"/>
        </w:rPr>
        <w:t xml:space="preserve"> respectivamente. </w:t>
      </w:r>
      <w:r w:rsidR="00716E4C" w:rsidRPr="003973E2">
        <w:rPr>
          <w:rFonts w:ascii="Arial" w:hAnsi="Arial" w:cs="Arial"/>
          <w:bCs/>
          <w:sz w:val="24"/>
          <w:szCs w:val="24"/>
        </w:rPr>
        <w:t>Por su parte,</w:t>
      </w:r>
      <w:r w:rsidRPr="003973E2">
        <w:rPr>
          <w:rFonts w:ascii="Arial" w:hAnsi="Arial" w:cs="Arial"/>
          <w:bCs/>
          <w:sz w:val="24"/>
          <w:szCs w:val="24"/>
        </w:rPr>
        <w:t xml:space="preserve"> 35% indicó que las realiza a través de alguna </w:t>
      </w:r>
      <w:r w:rsidRPr="003973E2">
        <w:rPr>
          <w:rFonts w:ascii="Arial" w:hAnsi="Arial" w:cs="Arial"/>
          <w:bCs/>
          <w:i/>
          <w:sz w:val="24"/>
          <w:szCs w:val="24"/>
        </w:rPr>
        <w:t>aplicación para dispositivos móviles</w:t>
      </w:r>
      <w:r w:rsidRPr="003973E2">
        <w:rPr>
          <w:rFonts w:ascii="Arial" w:hAnsi="Arial" w:cs="Arial"/>
          <w:bCs/>
          <w:sz w:val="24"/>
          <w:szCs w:val="24"/>
        </w:rPr>
        <w:t xml:space="preserve"> y 34.7%</w:t>
      </w:r>
      <w:r w:rsidR="00665783" w:rsidRPr="003973E2">
        <w:rPr>
          <w:rFonts w:ascii="Arial" w:hAnsi="Arial" w:cs="Arial"/>
          <w:bCs/>
          <w:sz w:val="24"/>
          <w:szCs w:val="24"/>
        </w:rPr>
        <w:t>,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="00410261" w:rsidRPr="003973E2">
        <w:rPr>
          <w:rFonts w:ascii="Arial" w:hAnsi="Arial" w:cs="Arial"/>
          <w:bCs/>
          <w:sz w:val="24"/>
          <w:szCs w:val="24"/>
        </w:rPr>
        <w:t>mediante</w:t>
      </w:r>
      <w:r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i/>
          <w:sz w:val="24"/>
          <w:szCs w:val="24"/>
        </w:rPr>
        <w:t>cajeros automáticos</w:t>
      </w:r>
      <w:r w:rsidRPr="003973E2">
        <w:rPr>
          <w:rFonts w:ascii="Arial" w:hAnsi="Arial" w:cs="Arial"/>
          <w:bCs/>
          <w:sz w:val="24"/>
          <w:szCs w:val="24"/>
        </w:rPr>
        <w:t>.</w:t>
      </w:r>
    </w:p>
    <w:bookmarkEnd w:id="7"/>
    <w:p w14:paraId="160DEC7A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F35BC71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15</w:t>
      </w:r>
    </w:p>
    <w:p w14:paraId="61F51D44" w14:textId="0D837C95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Medios por los que las empresas realizaron</w:t>
      </w:r>
      <w:r w:rsidR="00665783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operaciones financieras en 2021</w:t>
      </w:r>
    </w:p>
    <w:p w14:paraId="13709F29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rFonts w:ascii="Arial" w:hAnsi="Arial" w:cs="Arial"/>
          <w:b/>
          <w:bCs/>
          <w:smallCaps/>
          <w:noProof/>
          <w:sz w:val="24"/>
          <w:szCs w:val="24"/>
          <w:lang w:eastAsia="es-MX"/>
        </w:rPr>
        <w:drawing>
          <wp:inline distT="0" distB="0" distL="0" distR="0" wp14:anchorId="55DD8951" wp14:editId="5467A8D8">
            <wp:extent cx="5810250" cy="2339875"/>
            <wp:effectExtent l="0" t="0" r="0" b="3810"/>
            <wp:docPr id="46" name="Imagen 46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57" cy="23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B302" w14:textId="546ACE9C" w:rsidR="00C300CC" w:rsidRPr="003973E2" w:rsidRDefault="00C300CC" w:rsidP="00F81E1F">
      <w:pPr>
        <w:autoSpaceDE w:val="0"/>
        <w:autoSpaceDN w:val="0"/>
        <w:adjustRightInd w:val="0"/>
        <w:spacing w:after="0" w:line="240" w:lineRule="auto"/>
        <w:ind w:left="709" w:right="-518" w:hanging="709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 xml:space="preserve">Nota: </w:t>
      </w:r>
      <w:r w:rsidR="006229FB" w:rsidRPr="003973E2">
        <w:rPr>
          <w:rFonts w:ascii="Arial" w:hAnsi="Arial" w:cs="Arial"/>
          <w:bCs/>
          <w:sz w:val="16"/>
          <w:szCs w:val="16"/>
          <w:lang w:val="es-ES_tradnl"/>
        </w:rPr>
        <w:t xml:space="preserve">referencia </w:t>
      </w:r>
      <w:r w:rsidRPr="003973E2">
        <w:rPr>
          <w:rFonts w:ascii="Arial" w:hAnsi="Arial" w:cs="Arial"/>
          <w:bCs/>
          <w:sz w:val="16"/>
          <w:szCs w:val="16"/>
          <w:lang w:val="es-ES_tradnl"/>
        </w:rPr>
        <w:t>al momento de la entrevista.</w:t>
      </w:r>
    </w:p>
    <w:p w14:paraId="467D2110" w14:textId="099B29FF" w:rsidR="006E20E0" w:rsidRPr="003973E2" w:rsidRDefault="00C300CC" w:rsidP="00F81E1F">
      <w:pPr>
        <w:autoSpaceDE w:val="0"/>
        <w:autoSpaceDN w:val="0"/>
        <w:adjustRightInd w:val="0"/>
        <w:spacing w:after="0" w:line="240" w:lineRule="auto"/>
        <w:ind w:left="709" w:right="-518" w:hanging="709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Los porcentajes no suman 100% porque las empresas podían seleccionar más de un medio.</w:t>
      </w:r>
    </w:p>
    <w:p w14:paraId="7253232F" w14:textId="737C6932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973E2">
        <w:rPr>
          <w:rFonts w:ascii="Arial" w:hAnsi="Arial" w:cs="Arial"/>
          <w:b/>
          <w:bCs/>
          <w:sz w:val="24"/>
          <w:szCs w:val="24"/>
        </w:rPr>
        <w:lastRenderedPageBreak/>
        <w:t>Servicios bancarios y financieros</w:t>
      </w:r>
      <w:r w:rsidR="00665783" w:rsidRPr="003973E2">
        <w:rPr>
          <w:rFonts w:ascii="Arial" w:hAnsi="Arial" w:cs="Arial"/>
          <w:b/>
          <w:bCs/>
          <w:sz w:val="24"/>
          <w:szCs w:val="24"/>
        </w:rPr>
        <w:t xml:space="preserve"> (</w:t>
      </w:r>
      <w:r w:rsidR="00072B04" w:rsidRPr="003973E2">
        <w:rPr>
          <w:rFonts w:ascii="Arial" w:hAnsi="Arial" w:cs="Arial"/>
          <w:b/>
          <w:bCs/>
          <w:sz w:val="24"/>
          <w:szCs w:val="24"/>
        </w:rPr>
        <w:t>c</w:t>
      </w:r>
      <w:r w:rsidRPr="003973E2">
        <w:rPr>
          <w:rFonts w:ascii="Arial" w:hAnsi="Arial" w:cs="Arial"/>
          <w:b/>
          <w:bCs/>
          <w:sz w:val="24"/>
          <w:szCs w:val="24"/>
        </w:rPr>
        <w:t>omparativo 2017 y 2020</w:t>
      </w:r>
      <w:r w:rsidR="00665783" w:rsidRPr="003973E2">
        <w:rPr>
          <w:rFonts w:ascii="Arial" w:hAnsi="Arial" w:cs="Arial"/>
          <w:b/>
          <w:bCs/>
          <w:sz w:val="24"/>
          <w:szCs w:val="24"/>
        </w:rPr>
        <w:t>)</w:t>
      </w:r>
    </w:p>
    <w:p w14:paraId="7A79B8C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</w:p>
    <w:p w14:paraId="2AB1DFE4" w14:textId="314F9F66" w:rsidR="006E20E0" w:rsidRPr="003973E2" w:rsidRDefault="00410261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>L</w:t>
      </w:r>
      <w:r w:rsidR="00665783" w:rsidRPr="003973E2">
        <w:rPr>
          <w:rFonts w:ascii="Arial" w:hAnsi="Arial" w:cs="Arial"/>
          <w:bCs/>
          <w:sz w:val="24"/>
          <w:szCs w:val="24"/>
        </w:rPr>
        <w:t xml:space="preserve">as empresas que usaron </w:t>
      </w:r>
      <w:r w:rsidR="006E20E0" w:rsidRPr="003973E2">
        <w:rPr>
          <w:rFonts w:ascii="Arial" w:hAnsi="Arial" w:cs="Arial"/>
          <w:bCs/>
          <w:i/>
          <w:iCs/>
          <w:sz w:val="24"/>
          <w:szCs w:val="24"/>
        </w:rPr>
        <w:t xml:space="preserve">efectivo </w:t>
      </w:r>
      <w:r w:rsidR="006E20E0" w:rsidRPr="003973E2">
        <w:rPr>
          <w:rFonts w:ascii="Arial" w:hAnsi="Arial" w:cs="Arial"/>
          <w:bCs/>
          <w:sz w:val="24"/>
          <w:szCs w:val="24"/>
        </w:rPr>
        <w:t>como medio para realizar sus gastos o pagos pas</w:t>
      </w:r>
      <w:r w:rsidR="00665783" w:rsidRPr="003973E2">
        <w:rPr>
          <w:rFonts w:ascii="Arial" w:hAnsi="Arial" w:cs="Arial"/>
          <w:bCs/>
          <w:sz w:val="24"/>
          <w:szCs w:val="24"/>
        </w:rPr>
        <w:t>aron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de 65.3% en 2017 a 69.5% en 2020</w:t>
      </w:r>
      <w:r w:rsidR="00072B04" w:rsidRPr="003973E2">
        <w:rPr>
          <w:rFonts w:ascii="Arial" w:hAnsi="Arial" w:cs="Arial"/>
          <w:bCs/>
          <w:sz w:val="24"/>
          <w:szCs w:val="24"/>
        </w:rPr>
        <w:t>. E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l uso de </w:t>
      </w:r>
      <w:r w:rsidR="006E20E0" w:rsidRPr="003973E2">
        <w:rPr>
          <w:rFonts w:ascii="Arial" w:hAnsi="Arial" w:cs="Arial"/>
          <w:bCs/>
          <w:i/>
          <w:iCs/>
          <w:sz w:val="24"/>
          <w:szCs w:val="24"/>
        </w:rPr>
        <w:t>cheques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disminuyó de 69.1 a 50.2% y el uso de </w:t>
      </w:r>
      <w:r w:rsidR="006E20E0" w:rsidRPr="003973E2">
        <w:rPr>
          <w:rFonts w:ascii="Arial" w:hAnsi="Arial" w:cs="Arial"/>
          <w:bCs/>
          <w:i/>
          <w:iCs/>
          <w:sz w:val="24"/>
          <w:szCs w:val="24"/>
        </w:rPr>
        <w:t>tarjeta de débito empresarial</w:t>
      </w:r>
      <w:r w:rsidR="006E20E0" w:rsidRPr="003973E2">
        <w:rPr>
          <w:rFonts w:ascii="Arial" w:hAnsi="Arial" w:cs="Arial"/>
          <w:bCs/>
          <w:sz w:val="24"/>
          <w:szCs w:val="24"/>
        </w:rPr>
        <w:t xml:space="preserve"> incrementó de 9.4% en 2017 a 18.9% en 2020.</w:t>
      </w:r>
    </w:p>
    <w:p w14:paraId="497B540A" w14:textId="77777777" w:rsidR="006233AD" w:rsidRPr="003973E2" w:rsidRDefault="006233AD" w:rsidP="006E20E0">
      <w:pPr>
        <w:autoSpaceDE w:val="0"/>
        <w:autoSpaceDN w:val="0"/>
        <w:adjustRightInd w:val="0"/>
        <w:spacing w:after="0" w:line="240" w:lineRule="auto"/>
        <w:ind w:right="-518"/>
        <w:outlineLvl w:val="0"/>
        <w:rPr>
          <w:rFonts w:ascii="Arial" w:hAnsi="Arial" w:cs="Arial"/>
          <w:bCs/>
          <w:sz w:val="24"/>
          <w:szCs w:val="24"/>
        </w:rPr>
      </w:pPr>
    </w:p>
    <w:p w14:paraId="2C01951C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 xml:space="preserve">Gráfica 16 </w:t>
      </w:r>
    </w:p>
    <w:p w14:paraId="73D1704D" w14:textId="04F8243E" w:rsidR="0073315E" w:rsidRPr="003973E2" w:rsidRDefault="0073315E" w:rsidP="0073315E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  <w:lang w:val="es-ES_tradnl"/>
        </w:rPr>
        <w:t>Principales medios que utilizaron las empresas para realizar sus gastos en 2017 y 2020</w:t>
      </w:r>
    </w:p>
    <w:p w14:paraId="333205F9" w14:textId="4DF36E24" w:rsidR="005E2D14" w:rsidRPr="003973E2" w:rsidRDefault="005E2D14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3973E2">
        <w:rPr>
          <w:noProof/>
        </w:rPr>
        <w:drawing>
          <wp:inline distT="0" distB="0" distL="0" distR="0" wp14:anchorId="6BB3EAAA" wp14:editId="1B130C73">
            <wp:extent cx="5187600" cy="2192400"/>
            <wp:effectExtent l="0" t="0" r="0" b="0"/>
            <wp:docPr id="44" name="Imagen 44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 descr="Gráfico, Gráfico de barras&#10;&#10;Descripción generada automáticament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876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D35B" w14:textId="56A2DA94" w:rsidR="00072B04" w:rsidRPr="003973E2" w:rsidRDefault="00072B04" w:rsidP="00072B04">
      <w:pPr>
        <w:autoSpaceDE w:val="0"/>
        <w:autoSpaceDN w:val="0"/>
        <w:adjustRightInd w:val="0"/>
        <w:spacing w:after="0" w:line="240" w:lineRule="auto"/>
        <w:ind w:right="-518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 xml:space="preserve">Nota: </w:t>
      </w:r>
      <w:r w:rsidR="006E20E0" w:rsidRPr="003973E2">
        <w:rPr>
          <w:rFonts w:ascii="Arial" w:hAnsi="Arial" w:cs="Arial"/>
          <w:bCs/>
          <w:sz w:val="16"/>
          <w:szCs w:val="16"/>
        </w:rPr>
        <w:t>Los porcentajes no suman</w:t>
      </w:r>
      <w:r w:rsidRPr="003973E2">
        <w:rPr>
          <w:rFonts w:ascii="Arial" w:hAnsi="Arial" w:cs="Arial"/>
          <w:bCs/>
          <w:sz w:val="16"/>
          <w:szCs w:val="16"/>
        </w:rPr>
        <w:t xml:space="preserve"> 100% </w:t>
      </w:r>
      <w:r w:rsidR="00410261" w:rsidRPr="003973E2">
        <w:rPr>
          <w:rFonts w:ascii="Arial" w:hAnsi="Arial" w:cs="Arial"/>
          <w:bCs/>
          <w:sz w:val="16"/>
          <w:szCs w:val="16"/>
        </w:rPr>
        <w:t>por</w:t>
      </w:r>
      <w:r w:rsidR="006E20E0" w:rsidRPr="003973E2">
        <w:rPr>
          <w:rFonts w:ascii="Arial" w:hAnsi="Arial" w:cs="Arial"/>
          <w:bCs/>
          <w:sz w:val="16"/>
          <w:szCs w:val="16"/>
        </w:rPr>
        <w:t>que las empresas podían seleccionar más de un medio.</w:t>
      </w:r>
    </w:p>
    <w:p w14:paraId="5FB89E9E" w14:textId="77777777" w:rsidR="00B91A00" w:rsidRPr="003973E2" w:rsidRDefault="00B91A0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</w:p>
    <w:p w14:paraId="6746A672" w14:textId="241218F0" w:rsidR="007D5ED5" w:rsidRPr="003973E2" w:rsidRDefault="007D5ED5" w:rsidP="007D5ED5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 xml:space="preserve">Los principales medios utilizados por las empresas para realizar sus gastos en 2020 fueron el </w:t>
      </w:r>
      <w:r w:rsidRPr="003973E2">
        <w:rPr>
          <w:rFonts w:ascii="Arial" w:hAnsi="Arial" w:cs="Arial"/>
          <w:bCs/>
          <w:i/>
          <w:iCs/>
          <w:sz w:val="24"/>
          <w:szCs w:val="24"/>
        </w:rPr>
        <w:t>uso de efectivo</w:t>
      </w:r>
      <w:r w:rsidRPr="003973E2">
        <w:rPr>
          <w:rFonts w:ascii="Arial" w:hAnsi="Arial" w:cs="Arial"/>
          <w:bCs/>
          <w:sz w:val="24"/>
          <w:szCs w:val="24"/>
        </w:rPr>
        <w:t xml:space="preserve"> señalado por el 69.5% de las empresas, a través de </w:t>
      </w:r>
      <w:r w:rsidRPr="003973E2">
        <w:rPr>
          <w:rFonts w:ascii="Arial" w:hAnsi="Arial" w:cs="Arial"/>
          <w:bCs/>
          <w:i/>
          <w:iCs/>
          <w:sz w:val="24"/>
          <w:szCs w:val="24"/>
        </w:rPr>
        <w:t xml:space="preserve">páginas de </w:t>
      </w:r>
      <w:r w:rsidR="00F81E1F" w:rsidRPr="003973E2">
        <w:rPr>
          <w:rFonts w:ascii="Arial" w:hAnsi="Arial" w:cs="Arial"/>
          <w:bCs/>
          <w:i/>
          <w:iCs/>
          <w:sz w:val="24"/>
          <w:szCs w:val="24"/>
        </w:rPr>
        <w:t>i</w:t>
      </w:r>
      <w:r w:rsidRPr="003973E2">
        <w:rPr>
          <w:rFonts w:ascii="Arial" w:hAnsi="Arial" w:cs="Arial"/>
          <w:bCs/>
          <w:i/>
          <w:iCs/>
          <w:sz w:val="24"/>
          <w:szCs w:val="24"/>
        </w:rPr>
        <w:t>nternet</w:t>
      </w:r>
      <w:r w:rsidR="00A66183" w:rsidRPr="003973E2">
        <w:rPr>
          <w:rFonts w:ascii="Arial" w:hAnsi="Arial" w:cs="Arial"/>
          <w:bCs/>
          <w:sz w:val="24"/>
          <w:szCs w:val="24"/>
        </w:rPr>
        <w:t xml:space="preserve"> con un 53.1% y el 50.2% de las empresas realiz</w:t>
      </w:r>
      <w:r w:rsidR="00DE27C6" w:rsidRPr="003973E2">
        <w:rPr>
          <w:rFonts w:ascii="Arial" w:hAnsi="Arial" w:cs="Arial"/>
          <w:bCs/>
          <w:sz w:val="24"/>
          <w:szCs w:val="24"/>
        </w:rPr>
        <w:t>ó</w:t>
      </w:r>
      <w:r w:rsidR="00A66183" w:rsidRPr="003973E2">
        <w:rPr>
          <w:rFonts w:ascii="Arial" w:hAnsi="Arial" w:cs="Arial"/>
          <w:bCs/>
          <w:sz w:val="24"/>
          <w:szCs w:val="24"/>
        </w:rPr>
        <w:t xml:space="preserve"> sus gastos a través de </w:t>
      </w:r>
      <w:r w:rsidR="00A66183" w:rsidRPr="003973E2">
        <w:rPr>
          <w:rFonts w:ascii="Arial" w:hAnsi="Arial" w:cs="Arial"/>
          <w:bCs/>
          <w:i/>
          <w:iCs/>
          <w:sz w:val="24"/>
          <w:szCs w:val="24"/>
        </w:rPr>
        <w:t>cheques</w:t>
      </w:r>
      <w:r w:rsidR="00A66183" w:rsidRPr="003973E2">
        <w:rPr>
          <w:rFonts w:ascii="Arial" w:hAnsi="Arial" w:cs="Arial"/>
          <w:bCs/>
          <w:sz w:val="24"/>
          <w:szCs w:val="24"/>
        </w:rPr>
        <w:t xml:space="preserve">. </w:t>
      </w:r>
    </w:p>
    <w:p w14:paraId="196B002C" w14:textId="77777777" w:rsidR="00B91A00" w:rsidRPr="003973E2" w:rsidRDefault="00B91A0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</w:p>
    <w:p w14:paraId="67603D01" w14:textId="77777777" w:rsidR="00161A84" w:rsidRPr="003973E2" w:rsidRDefault="00161A84" w:rsidP="00B91A0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5BAAB29D" w14:textId="755F62DA" w:rsidR="00B91A00" w:rsidRPr="003973E2" w:rsidRDefault="00B91A00" w:rsidP="00B91A0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17</w:t>
      </w:r>
    </w:p>
    <w:p w14:paraId="2F37CA59" w14:textId="02AD1561" w:rsidR="00B91A00" w:rsidRPr="003973E2" w:rsidRDefault="00B91A00" w:rsidP="00B91A0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lang w:val="es-ES_tradnl"/>
        </w:rPr>
      </w:pPr>
      <w:r w:rsidRPr="003973E2">
        <w:rPr>
          <w:rFonts w:ascii="Arial" w:hAnsi="Arial" w:cs="Arial"/>
          <w:b/>
          <w:bCs/>
          <w:smallCaps/>
          <w:lang w:val="es-ES_tradnl"/>
        </w:rPr>
        <w:t>Medios que utilizaron las empresas para realizar sus gastos en 2020</w:t>
      </w:r>
    </w:p>
    <w:p w14:paraId="2C6523B4" w14:textId="59798BB4" w:rsidR="00D410A3" w:rsidRPr="003973E2" w:rsidRDefault="00D410A3" w:rsidP="00B91A0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noProof/>
        </w:rPr>
        <w:drawing>
          <wp:inline distT="0" distB="0" distL="0" distR="0" wp14:anchorId="26F16B42" wp14:editId="2FF6283C">
            <wp:extent cx="5695200" cy="2282400"/>
            <wp:effectExtent l="0" t="0" r="1270" b="3810"/>
            <wp:docPr id="58" name="Imagen 58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 descr="Gráfico, Gráfico de barras&#10;&#10;Descripción generada automáticament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CB21" w14:textId="65537F22" w:rsidR="00D86FEB" w:rsidRPr="003973E2" w:rsidRDefault="00D86FEB" w:rsidP="00D86FEB">
      <w:pPr>
        <w:autoSpaceDE w:val="0"/>
        <w:autoSpaceDN w:val="0"/>
        <w:adjustRightInd w:val="0"/>
        <w:spacing w:after="0" w:line="240" w:lineRule="auto"/>
        <w:ind w:right="-518"/>
        <w:outlineLvl w:val="0"/>
        <w:rPr>
          <w:rFonts w:ascii="Arial" w:hAnsi="Arial" w:cs="Arial"/>
          <w:bCs/>
          <w:sz w:val="16"/>
          <w:szCs w:val="16"/>
        </w:rPr>
      </w:pPr>
      <w:r w:rsidRPr="003973E2">
        <w:rPr>
          <w:rFonts w:ascii="Arial" w:hAnsi="Arial" w:cs="Arial"/>
          <w:bCs/>
          <w:sz w:val="16"/>
          <w:szCs w:val="16"/>
        </w:rPr>
        <w:t>Nota: Los porcentajes no suman 100% porque las empresas podían seleccionar más de un medio.</w:t>
      </w:r>
    </w:p>
    <w:p w14:paraId="2212F3DF" w14:textId="137FB4CE" w:rsidR="006E20E0" w:rsidRPr="003973E2" w:rsidRDefault="00EF1987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En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2020, 45.4% de las empresas acept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pagos con tarjeta, lo </w:t>
      </w:r>
      <w:r w:rsidR="00410261" w:rsidRPr="003973E2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representó un aumento de más de </w:t>
      </w:r>
      <w:r w:rsidR="00410261" w:rsidRPr="003973E2">
        <w:rPr>
          <w:rFonts w:ascii="Arial" w:hAnsi="Arial" w:cs="Arial"/>
          <w:bCs/>
          <w:color w:val="000000" w:themeColor="text1"/>
          <w:sz w:val="24"/>
          <w:szCs w:val="24"/>
        </w:rPr>
        <w:t>diez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puntos porcentuales en comparación con 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lo </w:t>
      </w:r>
      <w:r w:rsidR="00410261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que se 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>report</w:t>
      </w:r>
      <w:r w:rsidR="00410261" w:rsidRPr="003973E2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en 2017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(35.2%)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C2285DB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760636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18</w:t>
      </w:r>
    </w:p>
    <w:p w14:paraId="44F136A3" w14:textId="0330CECA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Empresas que aceptaron pagos con</w:t>
      </w:r>
      <w:r w:rsidR="00EF1987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tarjeta</w:t>
      </w:r>
      <w:r w:rsidR="005973BA" w:rsidRPr="003973E2">
        <w:rPr>
          <w:rFonts w:ascii="Arial" w:hAnsi="Arial" w:cs="Arial"/>
          <w:b/>
          <w:bCs/>
          <w:smallCaps/>
        </w:rPr>
        <w:t xml:space="preserve"> en 2017 y 2020</w:t>
      </w:r>
    </w:p>
    <w:p w14:paraId="4F8337AC" w14:textId="6214A229" w:rsidR="00972DE4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smallCaps/>
          <w:noProof/>
          <w:sz w:val="24"/>
          <w:szCs w:val="24"/>
          <w:lang w:eastAsia="es-MX"/>
        </w:rPr>
      </w:pPr>
      <w:r w:rsidRPr="003973E2">
        <w:rPr>
          <w:noProof/>
        </w:rPr>
        <w:t xml:space="preserve"> </w:t>
      </w:r>
      <w:r w:rsidR="00972DE4" w:rsidRPr="003973E2">
        <w:rPr>
          <w:noProof/>
        </w:rPr>
        <w:drawing>
          <wp:inline distT="0" distB="0" distL="0" distR="0" wp14:anchorId="2ED175C1" wp14:editId="25116CD1">
            <wp:extent cx="6148800" cy="2401200"/>
            <wp:effectExtent l="0" t="0" r="4445" b="0"/>
            <wp:docPr id="48" name="Imagen 4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 descr="Gráfico&#10;&#10;Descripción generada automáticament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488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9D50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</w:p>
    <w:p w14:paraId="3A13BAD9" w14:textId="0FBA5C84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sz w:val="24"/>
          <w:szCs w:val="24"/>
        </w:rPr>
        <w:t xml:space="preserve">Entre los medios o dispositivos utilizados para realizar los cobros con tarjeta, el uso de la </w:t>
      </w:r>
      <w:r w:rsidRPr="003973E2">
        <w:rPr>
          <w:rFonts w:ascii="Arial" w:hAnsi="Arial" w:cs="Arial"/>
          <w:bCs/>
          <w:i/>
          <w:sz w:val="24"/>
          <w:szCs w:val="24"/>
        </w:rPr>
        <w:t>terminal punto de venta</w:t>
      </w:r>
      <w:r w:rsidRPr="003973E2">
        <w:rPr>
          <w:rFonts w:ascii="Arial" w:hAnsi="Arial" w:cs="Arial"/>
          <w:bCs/>
          <w:sz w:val="24"/>
          <w:szCs w:val="24"/>
        </w:rPr>
        <w:t xml:space="preserve"> (TPV) disminuyó de 96.1% en 2017 a 90.8% en 2020, pero </w:t>
      </w:r>
      <w:r w:rsidR="00410261" w:rsidRPr="003973E2">
        <w:rPr>
          <w:rFonts w:ascii="Arial" w:hAnsi="Arial" w:cs="Arial"/>
          <w:bCs/>
          <w:sz w:val="24"/>
          <w:szCs w:val="24"/>
        </w:rPr>
        <w:t xml:space="preserve">aún es </w:t>
      </w:r>
      <w:r w:rsidRPr="003973E2">
        <w:rPr>
          <w:rFonts w:ascii="Arial" w:hAnsi="Arial" w:cs="Arial"/>
          <w:bCs/>
          <w:sz w:val="24"/>
          <w:szCs w:val="24"/>
        </w:rPr>
        <w:t>el medio</w:t>
      </w:r>
      <w:r w:rsidR="00410261" w:rsidRPr="003973E2">
        <w:rPr>
          <w:rFonts w:ascii="Arial" w:hAnsi="Arial" w:cs="Arial"/>
          <w:bCs/>
          <w:sz w:val="24"/>
          <w:szCs w:val="24"/>
        </w:rPr>
        <w:t xml:space="preserve"> que más se</w:t>
      </w:r>
      <w:r w:rsidRPr="003973E2">
        <w:rPr>
          <w:rFonts w:ascii="Arial" w:hAnsi="Arial" w:cs="Arial"/>
          <w:bCs/>
          <w:sz w:val="24"/>
          <w:szCs w:val="24"/>
        </w:rPr>
        <w:t xml:space="preserve"> utiliza.</w:t>
      </w:r>
      <w:r w:rsidR="00410261" w:rsidRPr="003973E2">
        <w:rPr>
          <w:rFonts w:ascii="Arial" w:hAnsi="Arial" w:cs="Arial"/>
          <w:bCs/>
          <w:sz w:val="24"/>
          <w:szCs w:val="24"/>
        </w:rPr>
        <w:t xml:space="preserve"> E</w:t>
      </w:r>
      <w:r w:rsidRPr="003973E2">
        <w:rPr>
          <w:rFonts w:ascii="Arial" w:hAnsi="Arial" w:cs="Arial"/>
          <w:bCs/>
          <w:sz w:val="24"/>
          <w:szCs w:val="24"/>
        </w:rPr>
        <w:t xml:space="preserve">l uso de </w:t>
      </w:r>
      <w:r w:rsidRPr="003973E2">
        <w:rPr>
          <w:rFonts w:ascii="Arial" w:hAnsi="Arial" w:cs="Arial"/>
          <w:bCs/>
          <w:i/>
          <w:sz w:val="24"/>
          <w:szCs w:val="24"/>
        </w:rPr>
        <w:t>lectores de tarjeta</w:t>
      </w:r>
      <w:r w:rsidRPr="003973E2">
        <w:rPr>
          <w:rFonts w:ascii="Arial" w:hAnsi="Arial" w:cs="Arial"/>
          <w:bCs/>
          <w:sz w:val="24"/>
          <w:szCs w:val="24"/>
        </w:rPr>
        <w:t xml:space="preserve"> aumentó de</w:t>
      </w:r>
      <w:r w:rsidR="00410261" w:rsidRPr="003973E2">
        <w:rPr>
          <w:rFonts w:ascii="Arial" w:hAnsi="Arial" w:cs="Arial"/>
          <w:bCs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sz w:val="24"/>
          <w:szCs w:val="24"/>
        </w:rPr>
        <w:t xml:space="preserve">5.2% en 2017 a 18.9% en 2020 y el </w:t>
      </w:r>
      <w:r w:rsidRPr="003973E2">
        <w:rPr>
          <w:rFonts w:ascii="Arial" w:hAnsi="Arial" w:cs="Arial"/>
          <w:bCs/>
          <w:i/>
          <w:sz w:val="24"/>
          <w:szCs w:val="24"/>
        </w:rPr>
        <w:t>uso de celulares para cobro</w:t>
      </w:r>
      <w:r w:rsidRPr="003973E2">
        <w:rPr>
          <w:rFonts w:ascii="Arial" w:hAnsi="Arial" w:cs="Arial"/>
          <w:bCs/>
          <w:sz w:val="24"/>
          <w:szCs w:val="24"/>
        </w:rPr>
        <w:t xml:space="preserve"> incrementó de 1.1% en 2017 a 18.6% en 2020.</w:t>
      </w:r>
    </w:p>
    <w:p w14:paraId="6F584F34" w14:textId="77777777" w:rsidR="00EF1987" w:rsidRPr="003973E2" w:rsidRDefault="00EF1987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21F3F7B7" w14:textId="73B12EAB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19</w:t>
      </w:r>
    </w:p>
    <w:p w14:paraId="013A61A6" w14:textId="4E0FCFDC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Medios o dispositivos electrónicos que utilizaron para</w:t>
      </w:r>
      <w:r w:rsidR="00EF1987" w:rsidRPr="003973E2">
        <w:rPr>
          <w:rFonts w:ascii="Arial" w:hAnsi="Arial" w:cs="Arial"/>
          <w:b/>
          <w:bCs/>
          <w:smallCaps/>
        </w:rPr>
        <w:t xml:space="preserve"> </w:t>
      </w:r>
      <w:r w:rsidR="007B7A7C" w:rsidRPr="003973E2">
        <w:rPr>
          <w:rFonts w:ascii="Arial" w:hAnsi="Arial" w:cs="Arial"/>
          <w:b/>
          <w:bCs/>
          <w:smallCaps/>
        </w:rPr>
        <w:t xml:space="preserve">los </w:t>
      </w:r>
      <w:r w:rsidRPr="003973E2">
        <w:rPr>
          <w:rFonts w:ascii="Arial" w:hAnsi="Arial" w:cs="Arial"/>
          <w:b/>
          <w:bCs/>
          <w:smallCaps/>
        </w:rPr>
        <w:t>cobros con tarjeta</w:t>
      </w:r>
      <w:r w:rsidR="00472781" w:rsidRPr="003973E2">
        <w:rPr>
          <w:rFonts w:ascii="Arial" w:hAnsi="Arial" w:cs="Arial"/>
          <w:b/>
          <w:bCs/>
          <w:smallCaps/>
        </w:rPr>
        <w:t xml:space="preserve"> en 2017 y 2020</w:t>
      </w:r>
      <w:r w:rsidRPr="003973E2">
        <w:rPr>
          <w:rFonts w:ascii="Arial" w:hAnsi="Arial" w:cs="Arial"/>
          <w:b/>
          <w:bCs/>
          <w:smallCaps/>
        </w:rPr>
        <w:t xml:space="preserve"> </w:t>
      </w:r>
    </w:p>
    <w:p w14:paraId="2BB88B6F" w14:textId="414D2B3B" w:rsidR="00777518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smallCaps/>
          <w:noProof/>
          <w:sz w:val="24"/>
          <w:szCs w:val="24"/>
          <w:lang w:eastAsia="es-MX"/>
        </w:rPr>
      </w:pPr>
      <w:r w:rsidRPr="003973E2">
        <w:rPr>
          <w:noProof/>
        </w:rPr>
        <w:t xml:space="preserve"> </w:t>
      </w:r>
      <w:r w:rsidR="00777518" w:rsidRPr="003973E2">
        <w:rPr>
          <w:noProof/>
        </w:rPr>
        <w:drawing>
          <wp:inline distT="0" distB="0" distL="0" distR="0" wp14:anchorId="15F12984" wp14:editId="105F503F">
            <wp:extent cx="5746718" cy="2600325"/>
            <wp:effectExtent l="0" t="0" r="6985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2773" cy="26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13CE" w14:textId="0F42474D" w:rsidR="006E20E0" w:rsidRPr="003973E2" w:rsidRDefault="00EF1987" w:rsidP="00F81E1F">
      <w:pPr>
        <w:overflowPunct w:val="0"/>
        <w:spacing w:after="0" w:line="240" w:lineRule="auto"/>
        <w:ind w:left="-567" w:right="-518" w:firstLine="567"/>
        <w:rPr>
          <w:rFonts w:ascii="Times New Roman" w:eastAsia="Times New Roman" w:hAnsi="Times New Roman"/>
          <w:sz w:val="18"/>
          <w:szCs w:val="18"/>
          <w:lang w:eastAsia="es-MX"/>
        </w:rPr>
      </w:pP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 xml:space="preserve">Nota: 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 xml:space="preserve">Los porcentajes no suman </w:t>
      </w: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 xml:space="preserve">100 % </w:t>
      </w:r>
      <w:r w:rsidR="00410261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por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que las empresas podían seleccionar más de un medio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8"/>
          <w:szCs w:val="18"/>
          <w:lang w:eastAsia="es-MX"/>
        </w:rPr>
        <w:t>.</w:t>
      </w:r>
    </w:p>
    <w:p w14:paraId="4411A76E" w14:textId="629159A0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Entre los principales factores por los que las empresas no aceptaron pagos con tarjeta se encuentra que 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solo aceptan transferencias</w:t>
      </w:r>
      <w:r w:rsidR="00EF1987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. Este motivo 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>lo señal</w:t>
      </w:r>
      <w:r w:rsidR="00EF1987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ó 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31.8% 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de las empresas 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en 2017 y 30.9% en 2020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a respuesta 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prefi</w:t>
      </w:r>
      <w:r w:rsidR="002863F2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ere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n</w:t>
      </w:r>
      <w:proofErr w:type="gramEnd"/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efectivo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incremen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>tó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de 17.7% en 2017 a 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29.4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% en 2020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el 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costo alto por aceptar pagos con tarjeta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>lo mencionó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13.9% en 2017 </w:t>
      </w:r>
      <w:r w:rsidR="00FB4262" w:rsidRPr="003973E2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18.8% en 2020.</w:t>
      </w:r>
    </w:p>
    <w:p w14:paraId="7450FA81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1A71502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20</w:t>
      </w:r>
    </w:p>
    <w:p w14:paraId="1454D651" w14:textId="30817F2C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rFonts w:ascii="Arial" w:hAnsi="Arial" w:cs="Arial"/>
          <w:b/>
          <w:bCs/>
          <w:smallCaps/>
        </w:rPr>
        <w:t>Factores por los que las empresas no aceptaron</w:t>
      </w:r>
      <w:r w:rsidR="00EF1987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pagos con tarjeta</w:t>
      </w:r>
      <w:r w:rsidR="005733C3" w:rsidRPr="003973E2">
        <w:rPr>
          <w:rFonts w:ascii="Arial" w:hAnsi="Arial" w:cs="Arial"/>
          <w:b/>
          <w:bCs/>
          <w:smallCaps/>
        </w:rPr>
        <w:t xml:space="preserve"> en 2017 y 2020</w:t>
      </w:r>
    </w:p>
    <w:p w14:paraId="26C558E5" w14:textId="3B11CC45" w:rsidR="00DC2E2D" w:rsidRPr="003973E2" w:rsidRDefault="00DC2E2D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sz w:val="24"/>
          <w:szCs w:val="24"/>
        </w:rPr>
      </w:pPr>
      <w:r w:rsidRPr="003973E2">
        <w:rPr>
          <w:noProof/>
        </w:rPr>
        <w:drawing>
          <wp:inline distT="0" distB="0" distL="0" distR="0" wp14:anchorId="34D65419" wp14:editId="6F5C4E6B">
            <wp:extent cx="5646053" cy="2505075"/>
            <wp:effectExtent l="0" t="0" r="0" b="0"/>
            <wp:docPr id="3" name="Imagen 3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barras&#10;&#10;Descripción generada automáticament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48799" cy="250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EB0D" w14:textId="5742A970" w:rsidR="006E20E0" w:rsidRPr="003973E2" w:rsidRDefault="00EF1987" w:rsidP="00FE1E0E">
      <w:pPr>
        <w:overflowPunct w:val="0"/>
        <w:spacing w:after="0" w:line="240" w:lineRule="auto"/>
        <w:ind w:left="-567" w:right="-518" w:firstLine="851"/>
        <w:rPr>
          <w:rFonts w:ascii="Times New Roman" w:eastAsia="Times New Roman" w:hAnsi="Times New Roman"/>
          <w:sz w:val="18"/>
          <w:szCs w:val="18"/>
          <w:lang w:eastAsia="es-MX"/>
        </w:rPr>
      </w:pP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 xml:space="preserve">Nota: 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 xml:space="preserve">Los porcentajes no suman </w:t>
      </w: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100%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 xml:space="preserve"> </w:t>
      </w:r>
      <w:r w:rsidR="00FB4262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por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que las empresas podían seleccionar más de un factor</w:t>
      </w:r>
      <w:r w:rsidR="006E20E0" w:rsidRPr="003973E2">
        <w:rPr>
          <w:rFonts w:ascii="Arial" w:eastAsia="Helvetica Neue Medium" w:hAnsi="Arial" w:cs="Arial"/>
          <w:bCs/>
          <w:color w:val="000000"/>
          <w:position w:val="1"/>
          <w:sz w:val="18"/>
          <w:szCs w:val="18"/>
          <w:lang w:eastAsia="es-MX"/>
        </w:rPr>
        <w:t>.</w:t>
      </w:r>
    </w:p>
    <w:p w14:paraId="3052553E" w14:textId="77777777" w:rsidR="00B060EF" w:rsidRPr="003973E2" w:rsidRDefault="00B060EF" w:rsidP="004F396A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</w:p>
    <w:p w14:paraId="30B0FD96" w14:textId="55E0D3DC" w:rsidR="004F396A" w:rsidRPr="003973E2" w:rsidRDefault="004F396A" w:rsidP="004F396A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En 2020, el principal medio por los que las empresas aceptaron pagos de sus clientes fue el </w:t>
      </w:r>
      <w:r w:rsidRPr="003973E2">
        <w:rPr>
          <w:rFonts w:ascii="Arial" w:hAnsi="Arial" w:cs="Arial"/>
          <w:i/>
          <w:sz w:val="24"/>
          <w:szCs w:val="24"/>
        </w:rPr>
        <w:t>efectivo</w:t>
      </w:r>
      <w:r w:rsidRPr="003973E2">
        <w:rPr>
          <w:rFonts w:ascii="Arial" w:hAnsi="Arial" w:cs="Arial"/>
          <w:sz w:val="24"/>
          <w:szCs w:val="24"/>
        </w:rPr>
        <w:t xml:space="preserve"> (78.9%). Lo siguieron las </w:t>
      </w:r>
      <w:r w:rsidRPr="003973E2">
        <w:rPr>
          <w:rFonts w:ascii="Arial" w:hAnsi="Arial" w:cs="Arial"/>
          <w:i/>
          <w:sz w:val="24"/>
          <w:szCs w:val="24"/>
        </w:rPr>
        <w:t>transferencias electrónicas</w:t>
      </w:r>
      <w:r w:rsidRPr="003973E2">
        <w:rPr>
          <w:rFonts w:ascii="Arial" w:hAnsi="Arial" w:cs="Arial"/>
          <w:sz w:val="24"/>
          <w:szCs w:val="24"/>
        </w:rPr>
        <w:t xml:space="preserve"> (72.3%)</w:t>
      </w:r>
      <w:r w:rsidR="007D1A6E" w:rsidRPr="003973E2">
        <w:rPr>
          <w:rFonts w:ascii="Arial" w:hAnsi="Arial" w:cs="Arial"/>
          <w:sz w:val="24"/>
          <w:szCs w:val="24"/>
        </w:rPr>
        <w:t xml:space="preserve"> y los </w:t>
      </w:r>
      <w:r w:rsidR="007D1A6E" w:rsidRPr="003973E2">
        <w:rPr>
          <w:rFonts w:ascii="Arial" w:hAnsi="Arial" w:cs="Arial"/>
          <w:i/>
          <w:iCs/>
          <w:sz w:val="24"/>
          <w:szCs w:val="24"/>
        </w:rPr>
        <w:t>cheques</w:t>
      </w:r>
      <w:r w:rsidR="00853D58" w:rsidRPr="003973E2">
        <w:rPr>
          <w:rFonts w:ascii="Arial" w:hAnsi="Arial" w:cs="Arial"/>
          <w:i/>
          <w:iCs/>
          <w:sz w:val="24"/>
          <w:szCs w:val="24"/>
        </w:rPr>
        <w:t xml:space="preserve"> </w:t>
      </w:r>
      <w:r w:rsidR="007D1A6E" w:rsidRPr="003973E2">
        <w:rPr>
          <w:rFonts w:ascii="Arial" w:hAnsi="Arial" w:cs="Arial"/>
          <w:sz w:val="24"/>
          <w:szCs w:val="24"/>
        </w:rPr>
        <w:t>(47.1</w:t>
      </w:r>
      <w:r w:rsidR="00626FD7" w:rsidRPr="003973E2">
        <w:rPr>
          <w:rFonts w:ascii="Arial" w:hAnsi="Arial" w:cs="Arial"/>
          <w:sz w:val="24"/>
          <w:szCs w:val="24"/>
        </w:rPr>
        <w:t>%</w:t>
      </w:r>
      <w:r w:rsidR="007D1A6E" w:rsidRPr="003973E2">
        <w:rPr>
          <w:rFonts w:ascii="Arial" w:hAnsi="Arial" w:cs="Arial"/>
          <w:sz w:val="24"/>
          <w:szCs w:val="24"/>
        </w:rPr>
        <w:t>).</w:t>
      </w:r>
    </w:p>
    <w:p w14:paraId="14D6CCDD" w14:textId="77777777" w:rsidR="001C3B14" w:rsidRPr="003973E2" w:rsidRDefault="001C3B14" w:rsidP="004F396A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5CD386CF" w14:textId="7B857538" w:rsidR="004F396A" w:rsidRPr="003973E2" w:rsidRDefault="004F396A" w:rsidP="004F396A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 xml:space="preserve">Gráfica </w:t>
      </w:r>
      <w:r w:rsidR="000B5A3F" w:rsidRPr="003973E2">
        <w:rPr>
          <w:rFonts w:ascii="Arial" w:hAnsi="Arial" w:cs="Arial"/>
          <w:bCs/>
          <w:sz w:val="20"/>
          <w:szCs w:val="20"/>
        </w:rPr>
        <w:t>21</w:t>
      </w:r>
    </w:p>
    <w:p w14:paraId="06EBDE56" w14:textId="2005AD37" w:rsidR="004F396A" w:rsidRPr="003973E2" w:rsidRDefault="00E209F2" w:rsidP="00E209F2">
      <w:pPr>
        <w:overflowPunct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Principales medios por los que las empresas aceptaron pagos de sus clientes en 2020*</w:t>
      </w:r>
    </w:p>
    <w:p w14:paraId="4B530A34" w14:textId="12E69066" w:rsidR="00023B08" w:rsidRPr="003973E2" w:rsidRDefault="00023B08" w:rsidP="00E209F2">
      <w:pPr>
        <w:overflowPunct w:val="0"/>
        <w:spacing w:after="0" w:line="240" w:lineRule="auto"/>
        <w:ind w:left="-567" w:right="-518"/>
        <w:jc w:val="center"/>
        <w:rPr>
          <w:rFonts w:ascii="Arial" w:eastAsia="Helvetica Neue Medium" w:hAnsi="Arial" w:cs="Arial"/>
          <w:bCs/>
          <w:color w:val="000000"/>
          <w:position w:val="1"/>
          <w:sz w:val="18"/>
          <w:szCs w:val="18"/>
          <w:lang w:eastAsia="es-MX"/>
        </w:rPr>
      </w:pPr>
      <w:r w:rsidRPr="003973E2">
        <w:rPr>
          <w:noProof/>
        </w:rPr>
        <w:drawing>
          <wp:inline distT="0" distB="0" distL="0" distR="0" wp14:anchorId="323E65A2" wp14:editId="2F3EB2C9">
            <wp:extent cx="4981575" cy="2230557"/>
            <wp:effectExtent l="0" t="0" r="0" b="0"/>
            <wp:docPr id="50" name="Imagen 50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 descr="Gráfico, Gráfico de barras&#10;&#10;Descripción generada automáticament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08248" cy="22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D4E8E" w14:textId="09C4E907" w:rsidR="004F396A" w:rsidRPr="003973E2" w:rsidRDefault="004F396A" w:rsidP="00A31FD5">
      <w:pPr>
        <w:overflowPunct w:val="0"/>
        <w:spacing w:after="0" w:line="240" w:lineRule="auto"/>
        <w:ind w:left="-567" w:right="-518" w:firstLine="993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Nota: Los porcentajes no suman 100% porque las empresas podían seleccionar más de un medio.</w:t>
      </w:r>
    </w:p>
    <w:p w14:paraId="767B51BC" w14:textId="3CA2F97C" w:rsidR="004F396A" w:rsidRPr="003973E2" w:rsidRDefault="004F396A" w:rsidP="00A31FD5">
      <w:pPr>
        <w:overflowPunct w:val="0"/>
        <w:spacing w:after="0" w:line="240" w:lineRule="auto"/>
        <w:ind w:left="-567" w:right="-518" w:firstLine="993"/>
        <w:rPr>
          <w:rFonts w:ascii="Arial" w:hAnsi="Arial" w:cs="Arial"/>
          <w:bCs/>
          <w:sz w:val="16"/>
          <w:szCs w:val="16"/>
          <w:lang w:val="es-ES_tradnl"/>
        </w:rPr>
      </w:pPr>
      <w:r w:rsidRPr="003973E2">
        <w:rPr>
          <w:rFonts w:ascii="Arial" w:hAnsi="Arial" w:cs="Arial"/>
          <w:bCs/>
          <w:sz w:val="16"/>
          <w:szCs w:val="16"/>
          <w:lang w:val="es-ES_tradnl"/>
        </w:rPr>
        <w:t>*En un mes típico de 2020.</w:t>
      </w:r>
    </w:p>
    <w:p w14:paraId="7F9C56A3" w14:textId="4C8FC8D8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973E2">
        <w:rPr>
          <w:rFonts w:ascii="Arial" w:hAnsi="Arial" w:cs="Arial"/>
          <w:b/>
          <w:bCs/>
          <w:sz w:val="24"/>
          <w:szCs w:val="24"/>
        </w:rPr>
        <w:lastRenderedPageBreak/>
        <w:t xml:space="preserve">Impacto por </w:t>
      </w:r>
      <w:r w:rsidR="00FB4262" w:rsidRPr="003973E2">
        <w:rPr>
          <w:rFonts w:ascii="Arial" w:hAnsi="Arial" w:cs="Arial"/>
          <w:b/>
          <w:bCs/>
          <w:sz w:val="24"/>
          <w:szCs w:val="24"/>
        </w:rPr>
        <w:t xml:space="preserve">la </w:t>
      </w:r>
      <w:r w:rsidRPr="003973E2">
        <w:rPr>
          <w:rFonts w:ascii="Arial" w:hAnsi="Arial" w:cs="Arial"/>
          <w:b/>
          <w:bCs/>
          <w:sz w:val="24"/>
          <w:szCs w:val="24"/>
        </w:rPr>
        <w:t>COVID-19 en las empresas</w:t>
      </w:r>
    </w:p>
    <w:p w14:paraId="2BB4B2B0" w14:textId="77777777" w:rsidR="006E20E0" w:rsidRPr="003973E2" w:rsidRDefault="006E20E0" w:rsidP="00515958">
      <w:pPr>
        <w:autoSpaceDE w:val="0"/>
        <w:autoSpaceDN w:val="0"/>
        <w:adjustRightInd w:val="0"/>
        <w:spacing w:after="0" w:line="240" w:lineRule="auto"/>
        <w:ind w:left="-567" w:right="-516"/>
        <w:jc w:val="center"/>
        <w:outlineLvl w:val="0"/>
        <w:rPr>
          <w:rFonts w:ascii="Arial" w:hAnsi="Arial" w:cs="Arial"/>
          <w:b/>
          <w:bCs/>
          <w:smallCaps/>
          <w:color w:val="FF0000"/>
          <w:sz w:val="24"/>
          <w:szCs w:val="24"/>
        </w:rPr>
      </w:pPr>
    </w:p>
    <w:p w14:paraId="15B1ACE8" w14:textId="6F6972CF" w:rsidR="001C1542" w:rsidRPr="003973E2" w:rsidRDefault="00FB4262" w:rsidP="00FE1E0E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Como consecuencia de la contingencia por la COVID-19 en 2021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>30.2% de las empresas realiz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acciones financieras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E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>ntre las principales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falta de pago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 proveedores por 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ausencia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de ingresos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con 60.7%, 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pagar cargos moratorios por atrasos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con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44.8% y 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no pagar créditos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con 16.8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por ciento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A0733F8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63BB905B" w14:textId="414EE07F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2</w:t>
      </w:r>
      <w:r w:rsidR="000B5A3F" w:rsidRPr="003973E2">
        <w:rPr>
          <w:rFonts w:ascii="Arial" w:hAnsi="Arial" w:cs="Arial"/>
          <w:bCs/>
          <w:sz w:val="20"/>
          <w:szCs w:val="20"/>
        </w:rPr>
        <w:t>2</w:t>
      </w:r>
    </w:p>
    <w:p w14:paraId="3C06F9E3" w14:textId="0040A4EB" w:rsidR="002863F2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</w:rPr>
      </w:pPr>
      <w:r w:rsidRPr="003973E2">
        <w:rPr>
          <w:rFonts w:ascii="Arial" w:hAnsi="Arial" w:cs="Arial"/>
          <w:b/>
          <w:bCs/>
          <w:smallCaps/>
        </w:rPr>
        <w:t>Acciones financieras realizadas por las</w:t>
      </w:r>
      <w:r w:rsidR="002863F2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empresas por la contingencia en 2021</w:t>
      </w:r>
    </w:p>
    <w:p w14:paraId="0A0C343D" w14:textId="624A1ABB" w:rsidR="004C2419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noProof/>
        </w:rPr>
        <w:t xml:space="preserve"> </w:t>
      </w:r>
      <w:r w:rsidR="004C2419" w:rsidRPr="003973E2">
        <w:rPr>
          <w:noProof/>
        </w:rPr>
        <w:drawing>
          <wp:inline distT="0" distB="0" distL="0" distR="0" wp14:anchorId="627FEB8D" wp14:editId="4B037D33">
            <wp:extent cx="5292000" cy="2160000"/>
            <wp:effectExtent l="0" t="0" r="4445" b="0"/>
            <wp:docPr id="54" name="Imagen 5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 descr="Gráfico&#10;&#10;Descripción generada automáticament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574E" w14:textId="77777777" w:rsidR="00553944" w:rsidRPr="003973E2" w:rsidRDefault="00553944" w:rsidP="00553944">
      <w:pPr>
        <w:overflowPunct w:val="0"/>
        <w:spacing w:after="0" w:line="240" w:lineRule="auto"/>
        <w:ind w:left="284" w:right="-518"/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</w:pP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Nota: periodo de referencia de enero a agosto/septiembre de 2021.</w:t>
      </w:r>
    </w:p>
    <w:p w14:paraId="7A18C7B9" w14:textId="356B328E" w:rsidR="006E20E0" w:rsidRPr="003973E2" w:rsidRDefault="00FD16A0" w:rsidP="00BF252F">
      <w:pPr>
        <w:overflowPunct w:val="0"/>
        <w:spacing w:after="0" w:line="240" w:lineRule="auto"/>
        <w:ind w:left="284" w:right="-518"/>
        <w:rPr>
          <w:rFonts w:ascii="Times New Roman" w:eastAsia="Times New Roman" w:hAnsi="Times New Roman"/>
          <w:sz w:val="16"/>
          <w:szCs w:val="16"/>
          <w:lang w:eastAsia="es-MX"/>
        </w:rPr>
      </w:pP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*Los porcentajes no suman 100 % porque las empresas podían seleccionar más de una acción.</w:t>
      </w:r>
    </w:p>
    <w:p w14:paraId="223F0A0A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770E451" w14:textId="60961D46" w:rsidR="006E20E0" w:rsidRPr="003973E2" w:rsidRDefault="00FB4262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>Para poder continuar o mejorar su operación e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>n 2021,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68.4% de las empresas realiz</w:t>
      </w:r>
      <w:r w:rsidR="002863F2" w:rsidRPr="003973E2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>acciones</w:t>
      </w:r>
      <w:r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; </w:t>
      </w:r>
      <w:r w:rsidR="00707264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y de estas, 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53.5% 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usó las redes sociales para comercializar o promocionarse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15958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40.6% 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aplic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ó descuentos o dio facilidades de pagos a</w:t>
      </w:r>
      <w:r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las y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los clientes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y 40.2% </w:t>
      </w:r>
      <w:r w:rsidR="006E20E0" w:rsidRPr="003973E2">
        <w:rPr>
          <w:rFonts w:ascii="Arial" w:hAnsi="Arial" w:cs="Arial"/>
          <w:bCs/>
          <w:i/>
          <w:color w:val="000000" w:themeColor="text1"/>
          <w:sz w:val="24"/>
          <w:szCs w:val="24"/>
        </w:rPr>
        <w:t>trabajó en modalidad a distancia.</w:t>
      </w:r>
      <w:r w:rsidR="006E20E0" w:rsidRPr="003973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6D72106" w14:textId="77777777" w:rsidR="00FB4262" w:rsidRPr="003973E2" w:rsidRDefault="00FB4262" w:rsidP="006E20E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bCs/>
          <w:sz w:val="24"/>
          <w:szCs w:val="24"/>
        </w:rPr>
      </w:pPr>
    </w:p>
    <w:p w14:paraId="587B83A9" w14:textId="1BD78161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b/>
          <w:bCs/>
          <w:smallCaps/>
          <w:sz w:val="20"/>
          <w:szCs w:val="20"/>
        </w:rPr>
      </w:pPr>
      <w:r w:rsidRPr="003973E2">
        <w:rPr>
          <w:rFonts w:ascii="Arial" w:hAnsi="Arial" w:cs="Arial"/>
          <w:bCs/>
          <w:sz w:val="20"/>
          <w:szCs w:val="20"/>
        </w:rPr>
        <w:t>Gráfica 2</w:t>
      </w:r>
      <w:r w:rsidR="000B5A3F" w:rsidRPr="003973E2">
        <w:rPr>
          <w:rFonts w:ascii="Arial" w:hAnsi="Arial" w:cs="Arial"/>
          <w:bCs/>
          <w:sz w:val="20"/>
          <w:szCs w:val="20"/>
        </w:rPr>
        <w:t>3</w:t>
      </w:r>
    </w:p>
    <w:p w14:paraId="0C3B5678" w14:textId="1F841618" w:rsidR="006E20E0" w:rsidRPr="003973E2" w:rsidRDefault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3973E2">
        <w:rPr>
          <w:rFonts w:ascii="Arial" w:hAnsi="Arial" w:cs="Arial"/>
          <w:b/>
          <w:bCs/>
          <w:smallCaps/>
        </w:rPr>
        <w:t>Acciones realizadas por las empresas para</w:t>
      </w:r>
      <w:r w:rsidR="002863F2" w:rsidRPr="003973E2">
        <w:rPr>
          <w:rFonts w:ascii="Arial" w:hAnsi="Arial" w:cs="Arial"/>
          <w:b/>
          <w:bCs/>
          <w:smallCaps/>
        </w:rPr>
        <w:t xml:space="preserve"> </w:t>
      </w:r>
      <w:r w:rsidRPr="003973E2">
        <w:rPr>
          <w:rFonts w:ascii="Arial" w:hAnsi="Arial" w:cs="Arial"/>
          <w:b/>
          <w:bCs/>
          <w:smallCaps/>
        </w:rPr>
        <w:t>continuar o mejorar su operación en 2021</w:t>
      </w:r>
    </w:p>
    <w:p w14:paraId="01F3E606" w14:textId="5A92F6D3" w:rsidR="00660679" w:rsidRPr="003973E2" w:rsidRDefault="003D78FD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smallCaps/>
          <w:noProof/>
          <w:sz w:val="24"/>
          <w:szCs w:val="24"/>
          <w:lang w:eastAsia="es-MX"/>
        </w:rPr>
      </w:pPr>
      <w:r w:rsidRPr="003973E2">
        <w:rPr>
          <w:noProof/>
        </w:rPr>
        <w:drawing>
          <wp:inline distT="0" distB="0" distL="0" distR="0" wp14:anchorId="5313D238" wp14:editId="2BB7AFE8">
            <wp:extent cx="5010150" cy="2014717"/>
            <wp:effectExtent l="0" t="0" r="0" b="508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78889" cy="20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2D1AF" w14:textId="77777777" w:rsidR="00553944" w:rsidRPr="003973E2" w:rsidRDefault="00553944" w:rsidP="00553944">
      <w:pPr>
        <w:autoSpaceDE w:val="0"/>
        <w:autoSpaceDN w:val="0"/>
        <w:adjustRightInd w:val="0"/>
        <w:spacing w:after="0" w:line="240" w:lineRule="auto"/>
        <w:ind w:right="-518"/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</w:pP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Nota: periodo de referencia de enero a agosto/septiembre de 2021.</w:t>
      </w:r>
    </w:p>
    <w:p w14:paraId="06B612C8" w14:textId="79EDEE21" w:rsidR="00FC28D4" w:rsidRPr="003973E2" w:rsidRDefault="00FC28D4" w:rsidP="00F5037B">
      <w:pPr>
        <w:autoSpaceDE w:val="0"/>
        <w:autoSpaceDN w:val="0"/>
        <w:adjustRightInd w:val="0"/>
        <w:spacing w:after="0" w:line="240" w:lineRule="auto"/>
        <w:ind w:right="-518"/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</w:pPr>
      <w:r w:rsidRPr="003973E2">
        <w:rPr>
          <w:rFonts w:ascii="Arial" w:eastAsia="Helvetica Neue Medium" w:hAnsi="Arial" w:cs="Arial"/>
          <w:bCs/>
          <w:color w:val="000000"/>
          <w:position w:val="1"/>
          <w:sz w:val="16"/>
          <w:szCs w:val="16"/>
          <w:lang w:eastAsia="es-MX"/>
        </w:rPr>
        <w:t>*Los porcentajes no suman 100% porque las empresas podían seleccionar más de una acción.</w:t>
      </w:r>
    </w:p>
    <w:p w14:paraId="37636C18" w14:textId="3838A3DE" w:rsidR="006E20E0" w:rsidRPr="003973E2" w:rsidRDefault="00FB4262" w:rsidP="0076520D">
      <w:pPr>
        <w:autoSpaceDE w:val="0"/>
        <w:autoSpaceDN w:val="0"/>
        <w:adjustRightInd w:val="0"/>
        <w:spacing w:after="0" w:line="240" w:lineRule="auto"/>
        <w:ind w:left="-567" w:right="-518"/>
        <w:rPr>
          <w:rFonts w:ascii="Arial Negrita" w:hAnsi="Arial Negrita" w:cs="Arial"/>
          <w:b/>
          <w:smallCaps/>
          <w:sz w:val="24"/>
          <w:szCs w:val="24"/>
        </w:rPr>
      </w:pPr>
      <w:r w:rsidRPr="003973E2">
        <w:rPr>
          <w:rFonts w:ascii="Arial Negrita" w:hAnsi="Arial Negrita" w:cs="Arial"/>
          <w:b/>
          <w:smallCaps/>
          <w:sz w:val="24"/>
          <w:szCs w:val="24"/>
        </w:rPr>
        <w:lastRenderedPageBreak/>
        <w:t>Nota</w:t>
      </w:r>
      <w:r w:rsidR="006E20E0" w:rsidRPr="003973E2">
        <w:rPr>
          <w:rFonts w:ascii="Arial Negrita" w:hAnsi="Arial Negrita" w:cs="Arial"/>
          <w:b/>
          <w:smallCaps/>
          <w:sz w:val="24"/>
          <w:szCs w:val="24"/>
        </w:rPr>
        <w:t xml:space="preserve"> metodológic</w:t>
      </w:r>
      <w:r w:rsidRPr="003973E2">
        <w:rPr>
          <w:rFonts w:ascii="Arial Negrita" w:hAnsi="Arial Negrita" w:cs="Arial"/>
          <w:b/>
          <w:smallCaps/>
          <w:sz w:val="24"/>
          <w:szCs w:val="24"/>
        </w:rPr>
        <w:t>a</w:t>
      </w:r>
    </w:p>
    <w:p w14:paraId="573E27DB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sz w:val="24"/>
          <w:szCs w:val="24"/>
        </w:rPr>
      </w:pPr>
    </w:p>
    <w:p w14:paraId="068BDBA5" w14:textId="02A7F2D8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La unidad de observación en la ENAFIN 2021 es la empresa, la cual puede integra</w:t>
      </w:r>
      <w:r w:rsidR="00FB4262" w:rsidRPr="003973E2">
        <w:rPr>
          <w:rFonts w:ascii="Arial" w:hAnsi="Arial" w:cs="Arial"/>
          <w:sz w:val="24"/>
          <w:szCs w:val="24"/>
        </w:rPr>
        <w:t>rse</w:t>
      </w:r>
      <w:r w:rsidRPr="003973E2">
        <w:rPr>
          <w:rFonts w:ascii="Arial" w:hAnsi="Arial" w:cs="Arial"/>
          <w:sz w:val="24"/>
          <w:szCs w:val="24"/>
        </w:rPr>
        <w:t xml:space="preserve"> por uno o más establecimientos bajo la misma denominación o razón social. </w:t>
      </w:r>
      <w:r w:rsidR="00FB4262" w:rsidRPr="003973E2">
        <w:rPr>
          <w:rFonts w:ascii="Arial" w:hAnsi="Arial" w:cs="Arial"/>
          <w:sz w:val="24"/>
          <w:szCs w:val="24"/>
        </w:rPr>
        <w:t>La empresa s</w:t>
      </w:r>
      <w:r w:rsidRPr="003973E2">
        <w:rPr>
          <w:rFonts w:ascii="Arial" w:hAnsi="Arial" w:cs="Arial"/>
          <w:sz w:val="24"/>
          <w:szCs w:val="24"/>
        </w:rPr>
        <w:t xml:space="preserve">e ubica en la entidad federativa donde se encuentra la matriz o, en su defecto, donde se localiza </w:t>
      </w:r>
      <w:r w:rsidR="00FB4262" w:rsidRPr="003973E2">
        <w:rPr>
          <w:rFonts w:ascii="Arial" w:hAnsi="Arial" w:cs="Arial"/>
          <w:sz w:val="24"/>
          <w:szCs w:val="24"/>
        </w:rPr>
        <w:t>e</w:t>
      </w:r>
      <w:r w:rsidRPr="003973E2">
        <w:rPr>
          <w:rFonts w:ascii="Arial" w:hAnsi="Arial" w:cs="Arial"/>
          <w:sz w:val="24"/>
          <w:szCs w:val="24"/>
        </w:rPr>
        <w:t>l establecimiento con mayor personal ocupado.</w:t>
      </w:r>
    </w:p>
    <w:p w14:paraId="3E760FAD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</w:p>
    <w:p w14:paraId="5244254E" w14:textId="5A6C5E58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outlineLvl w:val="0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Las empresas se clasificaron en cuatro grupos de acuerdo con la variable de personal ocupado según los criterios establecidos </w:t>
      </w:r>
      <w:r w:rsidR="00FB4262" w:rsidRPr="003973E2">
        <w:rPr>
          <w:rFonts w:ascii="Arial" w:hAnsi="Arial" w:cs="Arial"/>
          <w:sz w:val="24"/>
          <w:szCs w:val="24"/>
        </w:rPr>
        <w:t>de</w:t>
      </w:r>
      <w:r w:rsidRPr="003973E2">
        <w:rPr>
          <w:rFonts w:ascii="Arial" w:hAnsi="Arial" w:cs="Arial"/>
          <w:sz w:val="24"/>
          <w:szCs w:val="24"/>
        </w:rPr>
        <w:t xml:space="preserve"> la Secretaria de Economía. Conviene señalar que, en el caso de las microempresas, la ENAFIN s</w:t>
      </w:r>
      <w:r w:rsidR="00FB4262" w:rsidRPr="003973E2">
        <w:rPr>
          <w:rFonts w:ascii="Arial" w:hAnsi="Arial" w:cs="Arial"/>
          <w:sz w:val="24"/>
          <w:szCs w:val="24"/>
        </w:rPr>
        <w:t>o</w:t>
      </w:r>
      <w:r w:rsidRPr="003973E2">
        <w:rPr>
          <w:rFonts w:ascii="Arial" w:hAnsi="Arial" w:cs="Arial"/>
          <w:sz w:val="24"/>
          <w:szCs w:val="24"/>
        </w:rPr>
        <w:t xml:space="preserve">lo considera a las que tienen de </w:t>
      </w:r>
      <w:r w:rsidR="0076520D" w:rsidRPr="003973E2">
        <w:rPr>
          <w:rFonts w:ascii="Arial" w:hAnsi="Arial" w:cs="Arial"/>
          <w:sz w:val="24"/>
          <w:szCs w:val="24"/>
        </w:rPr>
        <w:t>seis</w:t>
      </w:r>
      <w:r w:rsidRPr="003973E2">
        <w:rPr>
          <w:rFonts w:ascii="Arial" w:hAnsi="Arial" w:cs="Arial"/>
          <w:sz w:val="24"/>
          <w:szCs w:val="24"/>
        </w:rPr>
        <w:t xml:space="preserve"> a </w:t>
      </w:r>
      <w:r w:rsidR="00FB4262" w:rsidRPr="003973E2">
        <w:rPr>
          <w:rFonts w:ascii="Arial" w:hAnsi="Arial" w:cs="Arial"/>
          <w:sz w:val="24"/>
          <w:szCs w:val="24"/>
        </w:rPr>
        <w:t>diez</w:t>
      </w:r>
      <w:r w:rsidRPr="003973E2">
        <w:rPr>
          <w:rFonts w:ascii="Arial" w:hAnsi="Arial" w:cs="Arial"/>
          <w:sz w:val="24"/>
          <w:szCs w:val="24"/>
        </w:rPr>
        <w:t xml:space="preserve"> personas ocupadas.</w:t>
      </w:r>
    </w:p>
    <w:p w14:paraId="1B5809CA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outlineLvl w:val="0"/>
        <w:rPr>
          <w:rFonts w:ascii="Arial" w:hAnsi="Arial" w:cs="Arial"/>
          <w:sz w:val="20"/>
          <w:szCs w:val="20"/>
        </w:rPr>
      </w:pPr>
      <w:r w:rsidRPr="003973E2">
        <w:rPr>
          <w:rFonts w:ascii="Arial" w:hAnsi="Arial" w:cs="Arial"/>
          <w:sz w:val="20"/>
          <w:szCs w:val="20"/>
        </w:rPr>
        <w:t>Cuadro 1</w:t>
      </w:r>
    </w:p>
    <w:p w14:paraId="1B7C45CE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smallCaps/>
        </w:rPr>
      </w:pPr>
      <w:r w:rsidRPr="003973E2">
        <w:rPr>
          <w:rFonts w:ascii="Arial" w:hAnsi="Arial" w:cs="Arial"/>
          <w:b/>
          <w:smallCaps/>
        </w:rPr>
        <w:t>Estratificación de las empresas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884"/>
        <w:gridCol w:w="2050"/>
        <w:gridCol w:w="1696"/>
      </w:tblGrid>
      <w:tr w:rsidR="006E20E0" w:rsidRPr="003973E2" w14:paraId="19DB8665" w14:textId="77777777" w:rsidTr="00643516">
        <w:trPr>
          <w:jc w:val="center"/>
        </w:trPr>
        <w:tc>
          <w:tcPr>
            <w:tcW w:w="2471" w:type="dxa"/>
            <w:vMerge w:val="restart"/>
            <w:shd w:val="clear" w:color="auto" w:fill="DEEAF6"/>
            <w:vAlign w:val="center"/>
          </w:tcPr>
          <w:p w14:paraId="098EA4E4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</w:rPr>
            </w:pPr>
            <w:r w:rsidRPr="003973E2">
              <w:rPr>
                <w:rFonts w:ascii="Arial" w:hAnsi="Arial" w:cs="Arial"/>
                <w:b/>
              </w:rPr>
              <w:t>Estrato</w:t>
            </w:r>
          </w:p>
        </w:tc>
        <w:tc>
          <w:tcPr>
            <w:tcW w:w="5630" w:type="dxa"/>
            <w:gridSpan w:val="3"/>
            <w:shd w:val="clear" w:color="auto" w:fill="DEEAF6"/>
            <w:vAlign w:val="center"/>
          </w:tcPr>
          <w:p w14:paraId="40586305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</w:rPr>
            </w:pPr>
            <w:r w:rsidRPr="003973E2">
              <w:rPr>
                <w:rFonts w:ascii="Arial" w:hAnsi="Arial" w:cs="Arial"/>
                <w:b/>
              </w:rPr>
              <w:t>Rango de personal ocupado</w:t>
            </w:r>
          </w:p>
        </w:tc>
      </w:tr>
      <w:tr w:rsidR="006E20E0" w:rsidRPr="003973E2" w14:paraId="47555239" w14:textId="77777777" w:rsidTr="00643516">
        <w:trPr>
          <w:jc w:val="center"/>
        </w:trPr>
        <w:tc>
          <w:tcPr>
            <w:tcW w:w="2471" w:type="dxa"/>
            <w:vMerge/>
            <w:shd w:val="clear" w:color="auto" w:fill="DEEAF6"/>
          </w:tcPr>
          <w:p w14:paraId="15BF806C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both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DEEAF6"/>
            <w:vAlign w:val="center"/>
          </w:tcPr>
          <w:p w14:paraId="6EAE7DC2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</w:rPr>
            </w:pPr>
            <w:r w:rsidRPr="003973E2">
              <w:rPr>
                <w:rFonts w:ascii="Arial" w:hAnsi="Arial" w:cs="Arial"/>
                <w:b/>
              </w:rPr>
              <w:t>Industria</w:t>
            </w:r>
          </w:p>
        </w:tc>
        <w:tc>
          <w:tcPr>
            <w:tcW w:w="2050" w:type="dxa"/>
            <w:shd w:val="clear" w:color="auto" w:fill="DEEAF6"/>
            <w:vAlign w:val="center"/>
          </w:tcPr>
          <w:p w14:paraId="371B631A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</w:rPr>
            </w:pPr>
            <w:r w:rsidRPr="003973E2">
              <w:rPr>
                <w:rFonts w:ascii="Arial" w:hAnsi="Arial" w:cs="Arial"/>
                <w:b/>
              </w:rPr>
              <w:t>Comercio</w:t>
            </w:r>
          </w:p>
        </w:tc>
        <w:tc>
          <w:tcPr>
            <w:tcW w:w="1696" w:type="dxa"/>
            <w:shd w:val="clear" w:color="auto" w:fill="DEEAF6"/>
            <w:vAlign w:val="center"/>
          </w:tcPr>
          <w:p w14:paraId="30B5BE61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</w:rPr>
            </w:pPr>
            <w:r w:rsidRPr="003973E2">
              <w:rPr>
                <w:rFonts w:ascii="Arial" w:hAnsi="Arial" w:cs="Arial"/>
                <w:b/>
              </w:rPr>
              <w:t>Servicios</w:t>
            </w:r>
          </w:p>
        </w:tc>
      </w:tr>
      <w:tr w:rsidR="006E20E0" w:rsidRPr="003973E2" w14:paraId="5E5B360E" w14:textId="77777777" w:rsidTr="00643516">
        <w:trPr>
          <w:jc w:val="center"/>
        </w:trPr>
        <w:tc>
          <w:tcPr>
            <w:tcW w:w="2471" w:type="dxa"/>
            <w:shd w:val="clear" w:color="auto" w:fill="auto"/>
          </w:tcPr>
          <w:p w14:paraId="2F403D62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Grande</w:t>
            </w:r>
          </w:p>
        </w:tc>
        <w:tc>
          <w:tcPr>
            <w:tcW w:w="1884" w:type="dxa"/>
            <w:shd w:val="clear" w:color="auto" w:fill="auto"/>
          </w:tcPr>
          <w:p w14:paraId="4E7FA8ED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251 y más</w:t>
            </w:r>
          </w:p>
        </w:tc>
        <w:tc>
          <w:tcPr>
            <w:tcW w:w="2050" w:type="dxa"/>
            <w:shd w:val="clear" w:color="auto" w:fill="auto"/>
          </w:tcPr>
          <w:p w14:paraId="12805B26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101 y más</w:t>
            </w:r>
          </w:p>
        </w:tc>
        <w:tc>
          <w:tcPr>
            <w:tcW w:w="1696" w:type="dxa"/>
            <w:shd w:val="clear" w:color="auto" w:fill="auto"/>
          </w:tcPr>
          <w:p w14:paraId="61358C7B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101 y más</w:t>
            </w:r>
          </w:p>
        </w:tc>
      </w:tr>
      <w:tr w:rsidR="006E20E0" w:rsidRPr="003973E2" w14:paraId="1B62BF0F" w14:textId="77777777" w:rsidTr="00643516">
        <w:trPr>
          <w:jc w:val="center"/>
        </w:trPr>
        <w:tc>
          <w:tcPr>
            <w:tcW w:w="2471" w:type="dxa"/>
            <w:shd w:val="clear" w:color="auto" w:fill="auto"/>
          </w:tcPr>
          <w:p w14:paraId="6C359C16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Mediana</w:t>
            </w:r>
          </w:p>
        </w:tc>
        <w:tc>
          <w:tcPr>
            <w:tcW w:w="1884" w:type="dxa"/>
            <w:shd w:val="clear" w:color="auto" w:fill="auto"/>
          </w:tcPr>
          <w:p w14:paraId="5FB1F280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51 a 250</w:t>
            </w:r>
          </w:p>
        </w:tc>
        <w:tc>
          <w:tcPr>
            <w:tcW w:w="2050" w:type="dxa"/>
            <w:shd w:val="clear" w:color="auto" w:fill="auto"/>
          </w:tcPr>
          <w:p w14:paraId="48B0F1BD" w14:textId="77777777" w:rsidR="006E20E0" w:rsidRPr="003973E2" w:rsidRDefault="006E20E0" w:rsidP="00643516">
            <w:pPr>
              <w:spacing w:after="0" w:line="240" w:lineRule="auto"/>
              <w:ind w:left="-567" w:right="-518"/>
              <w:jc w:val="center"/>
            </w:pPr>
            <w:r w:rsidRPr="003973E2">
              <w:rPr>
                <w:rFonts w:ascii="Arial" w:hAnsi="Arial" w:cs="Arial"/>
              </w:rPr>
              <w:t>31 a 100</w:t>
            </w:r>
          </w:p>
        </w:tc>
        <w:tc>
          <w:tcPr>
            <w:tcW w:w="1696" w:type="dxa"/>
            <w:shd w:val="clear" w:color="auto" w:fill="auto"/>
          </w:tcPr>
          <w:p w14:paraId="4736C650" w14:textId="77777777" w:rsidR="006E20E0" w:rsidRPr="003973E2" w:rsidRDefault="006E20E0" w:rsidP="00643516">
            <w:pPr>
              <w:spacing w:after="0" w:line="240" w:lineRule="auto"/>
              <w:ind w:left="-567" w:right="-518"/>
              <w:jc w:val="center"/>
            </w:pPr>
            <w:r w:rsidRPr="003973E2">
              <w:rPr>
                <w:rFonts w:ascii="Arial" w:hAnsi="Arial" w:cs="Arial"/>
              </w:rPr>
              <w:t>51 a 100</w:t>
            </w:r>
          </w:p>
        </w:tc>
      </w:tr>
      <w:tr w:rsidR="006E20E0" w:rsidRPr="003973E2" w14:paraId="2D3F8029" w14:textId="77777777" w:rsidTr="00643516">
        <w:trPr>
          <w:jc w:val="center"/>
        </w:trPr>
        <w:tc>
          <w:tcPr>
            <w:tcW w:w="2471" w:type="dxa"/>
            <w:shd w:val="clear" w:color="auto" w:fill="auto"/>
          </w:tcPr>
          <w:p w14:paraId="36486DAE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Pequeña</w:t>
            </w:r>
          </w:p>
        </w:tc>
        <w:tc>
          <w:tcPr>
            <w:tcW w:w="1884" w:type="dxa"/>
            <w:shd w:val="clear" w:color="auto" w:fill="auto"/>
          </w:tcPr>
          <w:p w14:paraId="13A46DC7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11 a 50</w:t>
            </w:r>
          </w:p>
        </w:tc>
        <w:tc>
          <w:tcPr>
            <w:tcW w:w="2050" w:type="dxa"/>
            <w:shd w:val="clear" w:color="auto" w:fill="auto"/>
          </w:tcPr>
          <w:p w14:paraId="26141C4C" w14:textId="77777777" w:rsidR="006E20E0" w:rsidRPr="003973E2" w:rsidRDefault="006E20E0" w:rsidP="00643516">
            <w:pPr>
              <w:spacing w:after="0" w:line="240" w:lineRule="auto"/>
              <w:ind w:left="-567" w:right="-518"/>
              <w:jc w:val="center"/>
            </w:pPr>
            <w:r w:rsidRPr="003973E2">
              <w:rPr>
                <w:rFonts w:ascii="Arial" w:hAnsi="Arial" w:cs="Arial"/>
              </w:rPr>
              <w:t>11 a 30</w:t>
            </w:r>
          </w:p>
        </w:tc>
        <w:tc>
          <w:tcPr>
            <w:tcW w:w="1696" w:type="dxa"/>
            <w:shd w:val="clear" w:color="auto" w:fill="auto"/>
          </w:tcPr>
          <w:p w14:paraId="6C8E6181" w14:textId="77777777" w:rsidR="006E20E0" w:rsidRPr="003973E2" w:rsidRDefault="006E20E0" w:rsidP="00643516">
            <w:pPr>
              <w:spacing w:after="0" w:line="240" w:lineRule="auto"/>
              <w:ind w:left="-567" w:right="-518"/>
              <w:jc w:val="center"/>
            </w:pPr>
            <w:r w:rsidRPr="003973E2">
              <w:rPr>
                <w:rFonts w:ascii="Arial" w:hAnsi="Arial" w:cs="Arial"/>
              </w:rPr>
              <w:t>11 a 50</w:t>
            </w:r>
          </w:p>
        </w:tc>
      </w:tr>
      <w:tr w:rsidR="006E20E0" w:rsidRPr="003973E2" w14:paraId="4E1D0809" w14:textId="77777777" w:rsidTr="00643516">
        <w:trPr>
          <w:jc w:val="center"/>
        </w:trPr>
        <w:tc>
          <w:tcPr>
            <w:tcW w:w="2471" w:type="dxa"/>
            <w:shd w:val="clear" w:color="auto" w:fill="auto"/>
          </w:tcPr>
          <w:p w14:paraId="782466C1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Micro</w:t>
            </w:r>
          </w:p>
        </w:tc>
        <w:tc>
          <w:tcPr>
            <w:tcW w:w="1884" w:type="dxa"/>
            <w:shd w:val="clear" w:color="auto" w:fill="auto"/>
          </w:tcPr>
          <w:p w14:paraId="2786ED5B" w14:textId="77777777" w:rsidR="006E20E0" w:rsidRPr="003973E2" w:rsidRDefault="006E20E0" w:rsidP="00643516">
            <w:pPr>
              <w:autoSpaceDE w:val="0"/>
              <w:autoSpaceDN w:val="0"/>
              <w:adjustRightInd w:val="0"/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6 a 10</w:t>
            </w:r>
          </w:p>
        </w:tc>
        <w:tc>
          <w:tcPr>
            <w:tcW w:w="2050" w:type="dxa"/>
            <w:shd w:val="clear" w:color="auto" w:fill="auto"/>
          </w:tcPr>
          <w:p w14:paraId="7E4C7D9E" w14:textId="77777777" w:rsidR="006E20E0" w:rsidRPr="003973E2" w:rsidRDefault="006E20E0" w:rsidP="00643516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6 a 10</w:t>
            </w:r>
          </w:p>
        </w:tc>
        <w:tc>
          <w:tcPr>
            <w:tcW w:w="1696" w:type="dxa"/>
            <w:shd w:val="clear" w:color="auto" w:fill="auto"/>
          </w:tcPr>
          <w:p w14:paraId="577C1421" w14:textId="77777777" w:rsidR="006E20E0" w:rsidRPr="003973E2" w:rsidRDefault="006E20E0" w:rsidP="00643516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</w:rPr>
            </w:pPr>
            <w:r w:rsidRPr="003973E2">
              <w:rPr>
                <w:rFonts w:ascii="Arial" w:hAnsi="Arial" w:cs="Arial"/>
              </w:rPr>
              <w:t>6 a 10</w:t>
            </w:r>
          </w:p>
        </w:tc>
      </w:tr>
    </w:tbl>
    <w:p w14:paraId="4ACA1723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8551C74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45E679B3" w14:textId="0D8A19E7" w:rsidR="006E20E0" w:rsidRPr="003973E2" w:rsidRDefault="00FB4262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L</w:t>
      </w:r>
      <w:r w:rsidR="006E20E0" w:rsidRPr="003973E2">
        <w:rPr>
          <w:rFonts w:ascii="Arial" w:hAnsi="Arial" w:cs="Arial"/>
          <w:sz w:val="24"/>
          <w:szCs w:val="24"/>
        </w:rPr>
        <w:t>a encuesta se centra en las empresas ubicadas en localidades de 50</w:t>
      </w:r>
      <w:r w:rsidR="00626FD7" w:rsidRPr="003973E2">
        <w:rPr>
          <w:rFonts w:ascii="Arial" w:hAnsi="Arial" w:cs="Arial"/>
          <w:sz w:val="24"/>
          <w:szCs w:val="24"/>
        </w:rPr>
        <w:t>,</w:t>
      </w:r>
      <w:r w:rsidR="006E20E0" w:rsidRPr="003973E2">
        <w:rPr>
          <w:rFonts w:ascii="Arial" w:hAnsi="Arial" w:cs="Arial"/>
          <w:sz w:val="24"/>
          <w:szCs w:val="24"/>
        </w:rPr>
        <w:t xml:space="preserve">000 habitantes y más, que pertenecen a los sectores económicos de construcción, manufacturas, comercio y servicios privados no financieros, de acuerdo con el Sistema de Clasificación Industrial de América del Norte </w:t>
      </w:r>
      <w:r w:rsidR="0076520D" w:rsidRPr="003973E2">
        <w:rPr>
          <w:rFonts w:ascii="Arial" w:hAnsi="Arial" w:cs="Arial"/>
          <w:sz w:val="24"/>
          <w:szCs w:val="24"/>
        </w:rPr>
        <w:t>(</w:t>
      </w:r>
      <w:r w:rsidR="006E20E0" w:rsidRPr="003973E2">
        <w:rPr>
          <w:rFonts w:ascii="Arial" w:hAnsi="Arial" w:cs="Arial"/>
          <w:sz w:val="24"/>
          <w:szCs w:val="24"/>
        </w:rPr>
        <w:t>SCIAN</w:t>
      </w:r>
      <w:r w:rsidR="0076520D" w:rsidRPr="003973E2">
        <w:rPr>
          <w:rFonts w:ascii="Arial" w:hAnsi="Arial" w:cs="Arial"/>
          <w:sz w:val="24"/>
          <w:szCs w:val="24"/>
        </w:rPr>
        <w:t>)</w:t>
      </w:r>
      <w:r w:rsidR="006E20E0" w:rsidRPr="003973E2">
        <w:rPr>
          <w:rFonts w:ascii="Arial" w:hAnsi="Arial" w:cs="Arial"/>
          <w:sz w:val="24"/>
          <w:szCs w:val="24"/>
        </w:rPr>
        <w:t xml:space="preserve"> 2018.</w:t>
      </w:r>
    </w:p>
    <w:p w14:paraId="35D795A7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A950867" w14:textId="57D6646A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La ENAFIN 2021 permite obtener resultados a nivel nacional, </w:t>
      </w:r>
      <w:r w:rsidR="00FB4262" w:rsidRPr="003973E2">
        <w:rPr>
          <w:rFonts w:ascii="Arial" w:hAnsi="Arial" w:cs="Arial"/>
          <w:sz w:val="24"/>
          <w:szCs w:val="24"/>
        </w:rPr>
        <w:t>que</w:t>
      </w:r>
      <w:r w:rsidRPr="003973E2">
        <w:rPr>
          <w:rFonts w:ascii="Arial" w:hAnsi="Arial" w:cs="Arial"/>
          <w:sz w:val="24"/>
          <w:szCs w:val="24"/>
        </w:rPr>
        <w:t xml:space="preserve"> se pueden desagregar según tamaño de empresa, sector de actividad económica o tamaño de localidad.</w:t>
      </w:r>
    </w:p>
    <w:p w14:paraId="32701E00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123BC3E3" w14:textId="14055339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La cobertura temática abarca las características de la empresa, el financiamiento y las solicitudes de crédito, las aportaciones al capital y reservas, así como los servicios bancarios y financieros y el impacto por </w:t>
      </w:r>
      <w:r w:rsidR="0076520D" w:rsidRPr="003973E2">
        <w:rPr>
          <w:rFonts w:ascii="Arial" w:hAnsi="Arial" w:cs="Arial"/>
          <w:sz w:val="24"/>
          <w:szCs w:val="24"/>
        </w:rPr>
        <w:t xml:space="preserve">la </w:t>
      </w:r>
      <w:r w:rsidRPr="003973E2">
        <w:rPr>
          <w:rFonts w:ascii="Arial" w:hAnsi="Arial" w:cs="Arial"/>
          <w:sz w:val="24"/>
          <w:szCs w:val="24"/>
        </w:rPr>
        <w:t xml:space="preserve">COVID-19 en la empresa. La información se captó de agosto a septiembre de 2021, principalmente vía internet, y en menor proporción </w:t>
      </w:r>
      <w:r w:rsidR="008A0C6F" w:rsidRPr="003973E2">
        <w:rPr>
          <w:rFonts w:ascii="Arial" w:hAnsi="Arial" w:cs="Arial"/>
          <w:sz w:val="24"/>
          <w:szCs w:val="24"/>
        </w:rPr>
        <w:t>mediante</w:t>
      </w:r>
      <w:r w:rsidRPr="003973E2">
        <w:rPr>
          <w:rFonts w:ascii="Arial" w:hAnsi="Arial" w:cs="Arial"/>
          <w:sz w:val="24"/>
          <w:szCs w:val="24"/>
        </w:rPr>
        <w:t xml:space="preserve"> entrevistas diferidas </w:t>
      </w:r>
      <w:r w:rsidR="008A0C6F" w:rsidRPr="003973E2">
        <w:rPr>
          <w:rFonts w:ascii="Arial" w:hAnsi="Arial" w:cs="Arial"/>
          <w:sz w:val="24"/>
          <w:szCs w:val="24"/>
        </w:rPr>
        <w:t>con</w:t>
      </w:r>
      <w:r w:rsidRPr="003973E2">
        <w:rPr>
          <w:rFonts w:ascii="Arial" w:hAnsi="Arial" w:cs="Arial"/>
          <w:sz w:val="24"/>
          <w:szCs w:val="24"/>
        </w:rPr>
        <w:t xml:space="preserve"> cuestionarios impresos.</w:t>
      </w:r>
    </w:p>
    <w:p w14:paraId="19D6A5CC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5AA33DC7" w14:textId="2B5665B5" w:rsidR="006E20E0" w:rsidRPr="003973E2" w:rsidRDefault="006E20E0" w:rsidP="006E20E0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El periodo de referencia de la ENAFIN 2021 es el año 2020; para algunos temas </w:t>
      </w:r>
      <w:r w:rsidR="008A0C6F" w:rsidRPr="003973E2">
        <w:rPr>
          <w:rFonts w:ascii="Arial" w:hAnsi="Arial" w:cs="Arial"/>
          <w:sz w:val="24"/>
          <w:szCs w:val="24"/>
        </w:rPr>
        <w:t xml:space="preserve">es </w:t>
      </w:r>
      <w:r w:rsidRPr="003973E2">
        <w:rPr>
          <w:rFonts w:ascii="Arial" w:hAnsi="Arial" w:cs="Arial"/>
          <w:sz w:val="24"/>
          <w:szCs w:val="24"/>
        </w:rPr>
        <w:t xml:space="preserve">el año 2019, e incorpora cifras de 2021 al mes de la entrevista. </w:t>
      </w:r>
    </w:p>
    <w:p w14:paraId="4385DDC0" w14:textId="77777777" w:rsidR="006E20E0" w:rsidRPr="003973E2" w:rsidRDefault="006E20E0" w:rsidP="006E20E0">
      <w:pPr>
        <w:spacing w:after="0" w:line="240" w:lineRule="auto"/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 xml:space="preserve"> </w:t>
      </w:r>
    </w:p>
    <w:p w14:paraId="304A8099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 Negrita" w:hAnsi="Arial Negrita" w:cs="Arial"/>
          <w:b/>
          <w:smallCaps/>
          <w:sz w:val="24"/>
          <w:szCs w:val="24"/>
        </w:rPr>
      </w:pPr>
    </w:p>
    <w:p w14:paraId="3031FC97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 Negrita" w:hAnsi="Arial Negrita" w:cs="Arial"/>
          <w:b/>
          <w:smallCaps/>
          <w:sz w:val="24"/>
          <w:szCs w:val="24"/>
        </w:rPr>
      </w:pPr>
    </w:p>
    <w:p w14:paraId="7C8E968D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 Negrita" w:hAnsi="Arial Negrita" w:cs="Arial"/>
          <w:b/>
          <w:smallCaps/>
          <w:sz w:val="24"/>
          <w:szCs w:val="24"/>
        </w:rPr>
      </w:pPr>
    </w:p>
    <w:p w14:paraId="7F15AD34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 Negrita" w:hAnsi="Arial Negrita" w:cs="Arial"/>
          <w:b/>
          <w:smallCaps/>
          <w:sz w:val="24"/>
          <w:szCs w:val="24"/>
        </w:rPr>
      </w:pPr>
    </w:p>
    <w:p w14:paraId="64EB0E1D" w14:textId="77777777" w:rsidR="00515958" w:rsidRPr="003973E2" w:rsidRDefault="00515958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 Negrita" w:hAnsi="Arial Negrita" w:cs="Arial"/>
          <w:b/>
          <w:smallCaps/>
          <w:sz w:val="24"/>
          <w:szCs w:val="24"/>
        </w:rPr>
      </w:pPr>
    </w:p>
    <w:p w14:paraId="0198DC28" w14:textId="7DA2AD9B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 Negrita" w:hAnsi="Arial Negrita" w:cs="Arial"/>
          <w:b/>
          <w:smallCaps/>
          <w:sz w:val="24"/>
          <w:szCs w:val="24"/>
        </w:rPr>
      </w:pPr>
      <w:r w:rsidRPr="003973E2">
        <w:rPr>
          <w:rFonts w:ascii="Arial Negrita" w:hAnsi="Arial Negrita" w:cs="Arial"/>
          <w:b/>
          <w:smallCaps/>
          <w:sz w:val="24"/>
          <w:szCs w:val="24"/>
        </w:rPr>
        <w:lastRenderedPageBreak/>
        <w:t>Diseño estadístico</w:t>
      </w:r>
    </w:p>
    <w:p w14:paraId="60428FFE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49AFC95" w14:textId="1388DDF2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El esquema de muestreo de la ENAFIN es probabilístico y estratificado</w:t>
      </w:r>
      <w:r w:rsidR="008A0C6F" w:rsidRPr="003973E2">
        <w:rPr>
          <w:rFonts w:ascii="Arial" w:hAnsi="Arial" w:cs="Arial"/>
          <w:sz w:val="24"/>
          <w:szCs w:val="24"/>
        </w:rPr>
        <w:t>. L</w:t>
      </w:r>
      <w:r w:rsidRPr="003973E2">
        <w:rPr>
          <w:rFonts w:ascii="Arial" w:hAnsi="Arial" w:cs="Arial"/>
          <w:sz w:val="24"/>
          <w:szCs w:val="24"/>
        </w:rPr>
        <w:t xml:space="preserve">as unidades económicas se seleccionaron a partir de un marco </w:t>
      </w:r>
      <w:r w:rsidR="008A0C6F" w:rsidRPr="003973E2">
        <w:rPr>
          <w:rFonts w:ascii="Arial" w:hAnsi="Arial" w:cs="Arial"/>
          <w:sz w:val="24"/>
          <w:szCs w:val="24"/>
        </w:rPr>
        <w:t>de</w:t>
      </w:r>
      <w:r w:rsidRPr="003973E2">
        <w:rPr>
          <w:rFonts w:ascii="Arial" w:hAnsi="Arial" w:cs="Arial"/>
          <w:sz w:val="24"/>
          <w:szCs w:val="24"/>
        </w:rPr>
        <w:t xml:space="preserve"> 280</w:t>
      </w:r>
      <w:r w:rsidR="00626FD7" w:rsidRPr="003973E2">
        <w:rPr>
          <w:rFonts w:ascii="Arial" w:hAnsi="Arial" w:cs="Arial"/>
          <w:sz w:val="24"/>
          <w:szCs w:val="24"/>
        </w:rPr>
        <w:t>,</w:t>
      </w:r>
      <w:r w:rsidRPr="003973E2">
        <w:rPr>
          <w:rFonts w:ascii="Arial" w:hAnsi="Arial" w:cs="Arial"/>
          <w:sz w:val="24"/>
          <w:szCs w:val="24"/>
        </w:rPr>
        <w:t xml:space="preserve">489 empresas de </w:t>
      </w:r>
      <w:r w:rsidR="0076520D" w:rsidRPr="003973E2">
        <w:rPr>
          <w:rFonts w:ascii="Arial" w:hAnsi="Arial" w:cs="Arial"/>
          <w:sz w:val="24"/>
          <w:szCs w:val="24"/>
        </w:rPr>
        <w:t>seis</w:t>
      </w:r>
      <w:r w:rsidRPr="003973E2">
        <w:rPr>
          <w:rFonts w:ascii="Arial" w:hAnsi="Arial" w:cs="Arial"/>
          <w:sz w:val="24"/>
          <w:szCs w:val="24"/>
        </w:rPr>
        <w:t xml:space="preserve"> o más personas ocupadas provenientes del Registro Estadístico de Negocios de México, cuya </w:t>
      </w:r>
      <w:r w:rsidR="0074441C" w:rsidRPr="003973E2">
        <w:rPr>
          <w:rFonts w:ascii="Arial" w:hAnsi="Arial" w:cs="Arial"/>
          <w:sz w:val="24"/>
          <w:szCs w:val="24"/>
        </w:rPr>
        <w:t>actividad económica corresp</w:t>
      </w:r>
      <w:r w:rsidR="008A0C6F" w:rsidRPr="003973E2">
        <w:rPr>
          <w:rFonts w:ascii="Arial" w:hAnsi="Arial" w:cs="Arial"/>
          <w:sz w:val="24"/>
          <w:szCs w:val="24"/>
        </w:rPr>
        <w:t>ondiera</w:t>
      </w:r>
      <w:r w:rsidR="0074441C" w:rsidRPr="003973E2">
        <w:rPr>
          <w:rFonts w:ascii="Arial" w:hAnsi="Arial" w:cs="Arial"/>
          <w:sz w:val="24"/>
          <w:szCs w:val="24"/>
        </w:rPr>
        <w:t xml:space="preserve"> </w:t>
      </w:r>
      <w:r w:rsidRPr="003973E2">
        <w:rPr>
          <w:rFonts w:ascii="Arial" w:hAnsi="Arial" w:cs="Arial"/>
          <w:sz w:val="24"/>
          <w:szCs w:val="24"/>
        </w:rPr>
        <w:t xml:space="preserve">a los sectores de </w:t>
      </w:r>
      <w:r w:rsidR="0074441C" w:rsidRPr="003973E2">
        <w:rPr>
          <w:rFonts w:ascii="Arial" w:hAnsi="Arial" w:cs="Arial"/>
          <w:sz w:val="24"/>
          <w:szCs w:val="24"/>
        </w:rPr>
        <w:t>la co</w:t>
      </w:r>
      <w:r w:rsidRPr="003973E2">
        <w:rPr>
          <w:rFonts w:ascii="Arial" w:hAnsi="Arial" w:cs="Arial"/>
          <w:sz w:val="24"/>
          <w:szCs w:val="24"/>
        </w:rPr>
        <w:t xml:space="preserve">nstrucción, manufacturas, comercio y servicios privados no financieros </w:t>
      </w:r>
      <w:r w:rsidR="008A0C6F" w:rsidRPr="003973E2">
        <w:rPr>
          <w:rFonts w:ascii="Arial" w:hAnsi="Arial" w:cs="Arial"/>
          <w:sz w:val="24"/>
          <w:szCs w:val="24"/>
        </w:rPr>
        <w:t xml:space="preserve">y </w:t>
      </w:r>
      <w:r w:rsidRPr="003973E2">
        <w:rPr>
          <w:rFonts w:ascii="Arial" w:hAnsi="Arial" w:cs="Arial"/>
          <w:sz w:val="24"/>
          <w:szCs w:val="24"/>
        </w:rPr>
        <w:t>que se ubicar</w:t>
      </w:r>
      <w:r w:rsidR="008A0C6F" w:rsidRPr="003973E2">
        <w:rPr>
          <w:rFonts w:ascii="Arial" w:hAnsi="Arial" w:cs="Arial"/>
          <w:sz w:val="24"/>
          <w:szCs w:val="24"/>
        </w:rPr>
        <w:t>a</w:t>
      </w:r>
      <w:r w:rsidRPr="003973E2">
        <w:rPr>
          <w:rFonts w:ascii="Arial" w:hAnsi="Arial" w:cs="Arial"/>
          <w:sz w:val="24"/>
          <w:szCs w:val="24"/>
        </w:rPr>
        <w:t>n en localidades de 50</w:t>
      </w:r>
      <w:r w:rsidR="00626FD7" w:rsidRPr="003973E2">
        <w:rPr>
          <w:rFonts w:ascii="Arial" w:hAnsi="Arial" w:cs="Arial"/>
          <w:sz w:val="24"/>
          <w:szCs w:val="24"/>
        </w:rPr>
        <w:t>,</w:t>
      </w:r>
      <w:r w:rsidRPr="003973E2">
        <w:rPr>
          <w:rFonts w:ascii="Arial" w:hAnsi="Arial" w:cs="Arial"/>
          <w:sz w:val="24"/>
          <w:szCs w:val="24"/>
        </w:rPr>
        <w:t xml:space="preserve">000 y más habitantes. </w:t>
      </w:r>
    </w:p>
    <w:p w14:paraId="78D8C85A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0624F38D" w14:textId="3B12D892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El tamaño de muestra fue de 4</w:t>
      </w:r>
      <w:r w:rsidR="00626FD7" w:rsidRPr="003973E2">
        <w:rPr>
          <w:rFonts w:ascii="Arial" w:hAnsi="Arial" w:cs="Arial"/>
          <w:sz w:val="24"/>
          <w:szCs w:val="24"/>
        </w:rPr>
        <w:t>,</w:t>
      </w:r>
      <w:r w:rsidRPr="003973E2">
        <w:rPr>
          <w:rFonts w:ascii="Arial" w:hAnsi="Arial" w:cs="Arial"/>
          <w:sz w:val="24"/>
          <w:szCs w:val="24"/>
        </w:rPr>
        <w:t>595 empresas. Para cada dominio, se calcularon tamaños de muestra para estimar un</w:t>
      </w:r>
      <w:r w:rsidR="008A0C6F" w:rsidRPr="003973E2">
        <w:rPr>
          <w:rFonts w:ascii="Arial" w:hAnsi="Arial" w:cs="Arial"/>
          <w:sz w:val="24"/>
          <w:szCs w:val="24"/>
        </w:rPr>
        <w:t xml:space="preserve"> porcentaje</w:t>
      </w:r>
      <w:r w:rsidRPr="003973E2">
        <w:rPr>
          <w:rFonts w:ascii="Arial" w:hAnsi="Arial" w:cs="Arial"/>
          <w:sz w:val="24"/>
          <w:szCs w:val="24"/>
        </w:rPr>
        <w:t xml:space="preserve"> con un nivel de confianza de 95%, error relativo de 12%, y tasa de no respuesta esperada de 25</w:t>
      </w:r>
      <w:r w:rsidR="0076520D" w:rsidRPr="003973E2">
        <w:rPr>
          <w:rFonts w:ascii="Arial" w:hAnsi="Arial" w:cs="Arial"/>
          <w:sz w:val="24"/>
          <w:szCs w:val="24"/>
        </w:rPr>
        <w:t xml:space="preserve"> por ciento</w:t>
      </w:r>
      <w:r w:rsidRPr="003973E2">
        <w:rPr>
          <w:rFonts w:ascii="Arial" w:hAnsi="Arial" w:cs="Arial"/>
          <w:sz w:val="24"/>
          <w:szCs w:val="24"/>
        </w:rPr>
        <w:t xml:space="preserve">. </w:t>
      </w:r>
      <w:r w:rsidR="008A0C6F" w:rsidRPr="003973E2">
        <w:rPr>
          <w:rFonts w:ascii="Arial" w:hAnsi="Arial" w:cs="Arial"/>
          <w:sz w:val="24"/>
          <w:szCs w:val="24"/>
        </w:rPr>
        <w:t xml:space="preserve">El porcentaje </w:t>
      </w:r>
      <w:r w:rsidRPr="003973E2">
        <w:rPr>
          <w:rFonts w:ascii="Arial" w:hAnsi="Arial" w:cs="Arial"/>
          <w:sz w:val="24"/>
          <w:szCs w:val="24"/>
        </w:rPr>
        <w:t>se obtuvo de los resultados definitivos de los Censos Económicos 2019, a partir de la variable relacionada con la obtención de créditos, préstamos o financiamiento para la operación de los negocios.</w:t>
      </w:r>
    </w:p>
    <w:p w14:paraId="52A00E23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6C85E965" w14:textId="58EB3651" w:rsidR="006E20E0" w:rsidRPr="003973E2" w:rsidRDefault="008A0C6F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3973E2">
        <w:rPr>
          <w:rFonts w:ascii="Arial" w:hAnsi="Arial" w:cs="Arial"/>
          <w:sz w:val="24"/>
          <w:szCs w:val="24"/>
        </w:rPr>
        <w:t>Toda l</w:t>
      </w:r>
      <w:r w:rsidR="006E20E0" w:rsidRPr="003973E2">
        <w:rPr>
          <w:rFonts w:ascii="Arial" w:hAnsi="Arial" w:cs="Arial"/>
          <w:sz w:val="24"/>
          <w:szCs w:val="24"/>
        </w:rPr>
        <w:t xml:space="preserve">a información de la ENAFIN 2021, se encuentra disponible en: </w:t>
      </w:r>
    </w:p>
    <w:p w14:paraId="6857AB0B" w14:textId="77777777" w:rsidR="006E20E0" w:rsidRPr="003973E2" w:rsidRDefault="006E20E0" w:rsidP="006E20E0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0649BFCF" w14:textId="77777777" w:rsidR="006E20E0" w:rsidRPr="003973E2" w:rsidRDefault="00000000" w:rsidP="006E20E0">
      <w:pPr>
        <w:ind w:left="-567" w:right="-660"/>
        <w:jc w:val="both"/>
        <w:rPr>
          <w:rFonts w:ascii="Arial" w:hAnsi="Arial" w:cs="Arial"/>
          <w:sz w:val="24"/>
          <w:szCs w:val="24"/>
        </w:rPr>
      </w:pPr>
      <w:hyperlink r:id="rId36" w:history="1">
        <w:r w:rsidR="006E20E0" w:rsidRPr="003973E2">
          <w:rPr>
            <w:rStyle w:val="Hipervnculo"/>
            <w:rFonts w:ascii="Arial" w:hAnsi="Arial" w:cs="Arial"/>
            <w:bCs/>
            <w:sz w:val="24"/>
            <w:szCs w:val="24"/>
          </w:rPr>
          <w:t>https://www.inegi.org.mx/programas/enafin/2021/</w:t>
        </w:r>
      </w:hyperlink>
      <w:r w:rsidR="006E20E0" w:rsidRPr="003973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C0AD79" w14:textId="77777777" w:rsidR="00515958" w:rsidRPr="007D2FE9" w:rsidRDefault="00000000" w:rsidP="00515958">
      <w:pPr>
        <w:spacing w:after="0" w:line="240" w:lineRule="auto"/>
        <w:ind w:left="-567" w:right="-658"/>
        <w:jc w:val="both"/>
        <w:rPr>
          <w:rFonts w:ascii="Arial" w:hAnsi="Arial" w:cs="Arial"/>
          <w:color w:val="0070C0"/>
          <w:sz w:val="24"/>
          <w:szCs w:val="24"/>
        </w:rPr>
      </w:pPr>
      <w:hyperlink r:id="rId37" w:history="1">
        <w:r w:rsidR="00515958" w:rsidRPr="003973E2">
          <w:rPr>
            <w:rStyle w:val="Hipervnculo"/>
            <w:rFonts w:ascii="Arial" w:hAnsi="Arial" w:cs="Arial"/>
            <w:sz w:val="24"/>
            <w:szCs w:val="24"/>
          </w:rPr>
          <w:t>https://www.gob.mx/cnbv/acciones-y-programas/encuesta-nacional-de-financiamiento-de-las-empresas-enafin-2021</w:t>
        </w:r>
      </w:hyperlink>
      <w:r w:rsidR="00515958" w:rsidRPr="007D2FE9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393551E1" w14:textId="77777777" w:rsidR="006E20E0" w:rsidRPr="00712AF4" w:rsidRDefault="006E20E0" w:rsidP="00FE1E0E">
      <w:pPr>
        <w:spacing w:after="0" w:line="240" w:lineRule="auto"/>
        <w:ind w:right="-658"/>
        <w:jc w:val="both"/>
        <w:rPr>
          <w:rFonts w:ascii="Arial" w:hAnsi="Arial" w:cs="Arial"/>
          <w:b/>
          <w:sz w:val="24"/>
          <w:szCs w:val="24"/>
        </w:rPr>
      </w:pPr>
    </w:p>
    <w:sectPr w:rsidR="006E20E0" w:rsidRPr="00712AF4" w:rsidSect="00515958">
      <w:headerReference w:type="default" r:id="rId38"/>
      <w:type w:val="continuous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E45E" w14:textId="77777777" w:rsidR="00AC5543" w:rsidRDefault="00AC5543" w:rsidP="000626F6">
      <w:pPr>
        <w:spacing w:after="0" w:line="240" w:lineRule="auto"/>
      </w:pPr>
      <w:r>
        <w:separator/>
      </w:r>
    </w:p>
  </w:endnote>
  <w:endnote w:type="continuationSeparator" w:id="0">
    <w:p w14:paraId="3F0107E8" w14:textId="77777777" w:rsidR="00AC5543" w:rsidRDefault="00AC5543" w:rsidP="000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Helvetica Neue Medium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7DF3" w14:textId="77777777" w:rsidR="00515958" w:rsidRDefault="00515958">
    <w:pPr>
      <w:pStyle w:val="Piedepgina"/>
    </w:pPr>
  </w:p>
  <w:p w14:paraId="70B3A043" w14:textId="77777777" w:rsidR="00515958" w:rsidRDefault="00515958">
    <w:pPr>
      <w:pStyle w:val="Piedepgina"/>
    </w:pPr>
    <w:r>
      <w:rPr>
        <w:noProof/>
        <w:lang w:eastAsia="es-MX"/>
      </w:rPr>
      <w:drawing>
        <wp:inline distT="0" distB="0" distL="0" distR="0" wp14:anchorId="1827D8BE" wp14:editId="4BB2AEEA">
          <wp:extent cx="5467527" cy="746760"/>
          <wp:effectExtent l="0" t="0" r="0" b="0"/>
          <wp:docPr id="20" name="Imagen 20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4" t="88428" r="4988" b="2232"/>
                  <a:stretch/>
                </pic:blipFill>
                <pic:spPr bwMode="auto">
                  <a:xfrm>
                    <a:off x="0" y="0"/>
                    <a:ext cx="5474967" cy="74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8FAF" w14:textId="77777777" w:rsidR="00AC5543" w:rsidRDefault="00AC5543" w:rsidP="000626F6">
      <w:pPr>
        <w:spacing w:after="0" w:line="240" w:lineRule="auto"/>
      </w:pPr>
      <w:r>
        <w:separator/>
      </w:r>
    </w:p>
  </w:footnote>
  <w:footnote w:type="continuationSeparator" w:id="0">
    <w:p w14:paraId="763F0FB3" w14:textId="77777777" w:rsidR="00AC5543" w:rsidRDefault="00AC5543" w:rsidP="0006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E8C9" w14:textId="77777777" w:rsidR="00515958" w:rsidRDefault="00515958" w:rsidP="00A06A13">
    <w:pPr>
      <w:tabs>
        <w:tab w:val="left" w:pos="5103"/>
        <w:tab w:val="left" w:pos="6812"/>
      </w:tabs>
      <w:spacing w:after="0" w:line="240" w:lineRule="auto"/>
      <w:ind w:right="-518"/>
      <w:rPr>
        <w:rFonts w:ascii="Arial" w:hAnsi="Arial"/>
        <w:b/>
        <w:color w:val="002060"/>
        <w:sz w:val="24"/>
      </w:rPr>
    </w:pPr>
    <w:r w:rsidRPr="00CE3882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58ECAF4A" wp14:editId="0B0DA239">
          <wp:simplePos x="0" y="0"/>
          <wp:positionH relativeFrom="margin">
            <wp:posOffset>4806315</wp:posOffset>
          </wp:positionH>
          <wp:positionV relativeFrom="paragraph">
            <wp:posOffset>107634</wp:posOffset>
          </wp:positionV>
          <wp:extent cx="433151" cy="423862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1" r="-1191"/>
                  <a:stretch/>
                </pic:blipFill>
                <pic:spPr bwMode="auto">
                  <a:xfrm>
                    <a:off x="0" y="0"/>
                    <a:ext cx="435677" cy="42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5150D3F" wp14:editId="33A9E7A1">
          <wp:simplePos x="0" y="0"/>
          <wp:positionH relativeFrom="margin">
            <wp:align>left</wp:align>
          </wp:positionH>
          <wp:positionV relativeFrom="paragraph">
            <wp:posOffset>63183</wp:posOffset>
          </wp:positionV>
          <wp:extent cx="4348163" cy="494678"/>
          <wp:effectExtent l="0" t="0" r="0" b="635"/>
          <wp:wrapNone/>
          <wp:docPr id="19" name="Imagen 19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 con confianza media"/>
                  <pic:cNvPicPr/>
                </pic:nvPicPr>
                <pic:blipFill rotWithShape="1">
                  <a:blip r:embed="rId2"/>
                  <a:srcRect l="6388" t="6392" r="32901" b="88264"/>
                  <a:stretch/>
                </pic:blipFill>
                <pic:spPr bwMode="auto">
                  <a:xfrm>
                    <a:off x="0" y="0"/>
                    <a:ext cx="4348163" cy="494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E261D" w14:textId="77777777" w:rsidR="00515958" w:rsidRDefault="00515958" w:rsidP="00A06A13">
    <w:pPr>
      <w:tabs>
        <w:tab w:val="left" w:pos="5103"/>
        <w:tab w:val="left" w:pos="6812"/>
      </w:tabs>
      <w:spacing w:after="0" w:line="240" w:lineRule="auto"/>
      <w:ind w:right="-518"/>
      <w:rPr>
        <w:rFonts w:ascii="Arial" w:hAnsi="Arial"/>
        <w:b/>
        <w:color w:val="002060"/>
        <w:sz w:val="24"/>
      </w:rPr>
    </w:pPr>
  </w:p>
  <w:p w14:paraId="0048D7C4" w14:textId="77777777" w:rsidR="00515958" w:rsidRDefault="00515958" w:rsidP="00300D3E">
    <w:pPr>
      <w:tabs>
        <w:tab w:val="left" w:pos="5103"/>
      </w:tabs>
      <w:spacing w:after="0" w:line="240" w:lineRule="auto"/>
      <w:ind w:right="-518"/>
      <w:rPr>
        <w:rFonts w:ascii="Arial" w:hAnsi="Arial"/>
        <w:b/>
        <w:color w:val="002060"/>
        <w:sz w:val="24"/>
      </w:rPr>
    </w:pPr>
  </w:p>
  <w:p w14:paraId="058A3AA5" w14:textId="77777777" w:rsidR="00515958" w:rsidRDefault="00515958" w:rsidP="00300D3E">
    <w:pPr>
      <w:tabs>
        <w:tab w:val="left" w:pos="5103"/>
        <w:tab w:val="left" w:pos="6812"/>
      </w:tabs>
      <w:spacing w:after="0" w:line="240" w:lineRule="auto"/>
      <w:ind w:right="-5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479F" w14:textId="236F3495" w:rsidR="00D121E6" w:rsidRDefault="00515958" w:rsidP="00712AF4">
    <w:pPr>
      <w:tabs>
        <w:tab w:val="left" w:pos="5103"/>
      </w:tabs>
      <w:spacing w:after="0" w:line="240" w:lineRule="auto"/>
      <w:ind w:left="-567" w:right="-518"/>
      <w:jc w:val="center"/>
      <w:rPr>
        <w:rFonts w:ascii="Arial" w:hAnsi="Arial"/>
        <w:b/>
        <w:color w:val="002060"/>
        <w:sz w:val="24"/>
      </w:rPr>
    </w:pPr>
    <w:r w:rsidRPr="00CE3882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0BECF0B" wp14:editId="34A0218A">
          <wp:simplePos x="0" y="0"/>
          <wp:positionH relativeFrom="margin">
            <wp:posOffset>4894580</wp:posOffset>
          </wp:positionH>
          <wp:positionV relativeFrom="margin">
            <wp:posOffset>-692150</wp:posOffset>
          </wp:positionV>
          <wp:extent cx="570230" cy="558800"/>
          <wp:effectExtent l="0" t="0" r="127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1" r="-1191"/>
                  <a:stretch/>
                </pic:blipFill>
                <pic:spPr bwMode="auto">
                  <a:xfrm>
                    <a:off x="0" y="0"/>
                    <a:ext cx="57023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EC7751B" wp14:editId="1ACA26A4">
          <wp:simplePos x="0" y="0"/>
          <wp:positionH relativeFrom="page">
            <wp:posOffset>866775</wp:posOffset>
          </wp:positionH>
          <wp:positionV relativeFrom="paragraph">
            <wp:posOffset>26670</wp:posOffset>
          </wp:positionV>
          <wp:extent cx="4914900" cy="559386"/>
          <wp:effectExtent l="0" t="0" r="0" b="0"/>
          <wp:wrapNone/>
          <wp:docPr id="31" name="Imagen 31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 con confianza media"/>
                  <pic:cNvPicPr/>
                </pic:nvPicPr>
                <pic:blipFill rotWithShape="1">
                  <a:blip r:embed="rId2"/>
                  <a:srcRect l="6388" t="6392" r="32901" b="88264"/>
                  <a:stretch/>
                </pic:blipFill>
                <pic:spPr bwMode="auto">
                  <a:xfrm>
                    <a:off x="0" y="0"/>
                    <a:ext cx="4914900" cy="559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D448B" w14:textId="64D29BEC" w:rsidR="00D121E6" w:rsidRDefault="00D121E6" w:rsidP="00712AF4">
    <w:pPr>
      <w:tabs>
        <w:tab w:val="left" w:pos="5103"/>
        <w:tab w:val="left" w:pos="5955"/>
      </w:tabs>
      <w:spacing w:after="0" w:line="240" w:lineRule="auto"/>
      <w:ind w:left="-567" w:right="-518"/>
      <w:rPr>
        <w:rFonts w:ascii="Arial" w:hAnsi="Arial"/>
        <w:b/>
        <w:color w:val="002060"/>
        <w:sz w:val="24"/>
      </w:rPr>
    </w:pPr>
    <w:r>
      <w:rPr>
        <w:rFonts w:ascii="Arial" w:hAnsi="Arial"/>
        <w:b/>
        <w:color w:val="002060"/>
        <w:sz w:val="24"/>
      </w:rPr>
      <w:tab/>
    </w:r>
    <w:r>
      <w:rPr>
        <w:rFonts w:ascii="Arial" w:hAnsi="Arial"/>
        <w:b/>
        <w:color w:val="002060"/>
        <w:sz w:val="24"/>
      </w:rPr>
      <w:tab/>
    </w:r>
  </w:p>
  <w:p w14:paraId="310719F8" w14:textId="18CB8AB3" w:rsidR="00D121E6" w:rsidRPr="00515958" w:rsidRDefault="00D121E6" w:rsidP="00515958">
    <w:pPr>
      <w:tabs>
        <w:tab w:val="left" w:pos="5103"/>
        <w:tab w:val="left" w:pos="6812"/>
      </w:tabs>
      <w:spacing w:after="0" w:line="240" w:lineRule="auto"/>
      <w:ind w:left="-567" w:right="-518"/>
      <w:rPr>
        <w:rFonts w:ascii="Arial" w:hAnsi="Arial"/>
        <w:b/>
        <w:color w:val="002060"/>
        <w:sz w:val="24"/>
      </w:rPr>
    </w:pPr>
    <w:r>
      <w:rPr>
        <w:rFonts w:ascii="Arial" w:hAnsi="Arial"/>
        <w:b/>
        <w:color w:val="002060"/>
        <w:sz w:val="24"/>
      </w:rPr>
      <w:tab/>
    </w:r>
    <w:r>
      <w:rPr>
        <w:rFonts w:ascii="Arial" w:hAnsi="Arial"/>
        <w:b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E9"/>
    <w:multiLevelType w:val="hybridMultilevel"/>
    <w:tmpl w:val="0602D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8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3D"/>
    <w:rsid w:val="00002312"/>
    <w:rsid w:val="000162FB"/>
    <w:rsid w:val="00023B08"/>
    <w:rsid w:val="000252B8"/>
    <w:rsid w:val="00025BC3"/>
    <w:rsid w:val="00025C19"/>
    <w:rsid w:val="0002648A"/>
    <w:rsid w:val="00035872"/>
    <w:rsid w:val="0005068E"/>
    <w:rsid w:val="000626F6"/>
    <w:rsid w:val="00065410"/>
    <w:rsid w:val="000709D2"/>
    <w:rsid w:val="00072B04"/>
    <w:rsid w:val="00073BCD"/>
    <w:rsid w:val="00081E33"/>
    <w:rsid w:val="000830B2"/>
    <w:rsid w:val="000A0DAD"/>
    <w:rsid w:val="000A28A8"/>
    <w:rsid w:val="000B2352"/>
    <w:rsid w:val="000B3D50"/>
    <w:rsid w:val="000B5A3F"/>
    <w:rsid w:val="000E0D8E"/>
    <w:rsid w:val="000F0963"/>
    <w:rsid w:val="000F6518"/>
    <w:rsid w:val="000F7AA1"/>
    <w:rsid w:val="001021BC"/>
    <w:rsid w:val="00103671"/>
    <w:rsid w:val="00110F42"/>
    <w:rsid w:val="00132DA9"/>
    <w:rsid w:val="00135213"/>
    <w:rsid w:val="00135874"/>
    <w:rsid w:val="0014318E"/>
    <w:rsid w:val="0014500D"/>
    <w:rsid w:val="0015466F"/>
    <w:rsid w:val="00161A84"/>
    <w:rsid w:val="0019288A"/>
    <w:rsid w:val="001A08F9"/>
    <w:rsid w:val="001A3C07"/>
    <w:rsid w:val="001A422D"/>
    <w:rsid w:val="001B5EC0"/>
    <w:rsid w:val="001B7612"/>
    <w:rsid w:val="001C1542"/>
    <w:rsid w:val="001C1CF6"/>
    <w:rsid w:val="001C3B14"/>
    <w:rsid w:val="001C5BF8"/>
    <w:rsid w:val="001C72D7"/>
    <w:rsid w:val="001E3091"/>
    <w:rsid w:val="001F1C9C"/>
    <w:rsid w:val="001F21F4"/>
    <w:rsid w:val="001F3FA5"/>
    <w:rsid w:val="00204DF5"/>
    <w:rsid w:val="002054A3"/>
    <w:rsid w:val="002067DB"/>
    <w:rsid w:val="002068B3"/>
    <w:rsid w:val="00213153"/>
    <w:rsid w:val="00221BC4"/>
    <w:rsid w:val="002330A0"/>
    <w:rsid w:val="002361F4"/>
    <w:rsid w:val="00242F71"/>
    <w:rsid w:val="002735BE"/>
    <w:rsid w:val="002863F2"/>
    <w:rsid w:val="00291AF9"/>
    <w:rsid w:val="00293799"/>
    <w:rsid w:val="00295F2A"/>
    <w:rsid w:val="002A731D"/>
    <w:rsid w:val="002B4737"/>
    <w:rsid w:val="002C167F"/>
    <w:rsid w:val="002D15C2"/>
    <w:rsid w:val="002E1C19"/>
    <w:rsid w:val="002F16AD"/>
    <w:rsid w:val="002F60A2"/>
    <w:rsid w:val="0031489A"/>
    <w:rsid w:val="00324E49"/>
    <w:rsid w:val="00327D3E"/>
    <w:rsid w:val="00335A85"/>
    <w:rsid w:val="00336579"/>
    <w:rsid w:val="003406F0"/>
    <w:rsid w:val="00361B67"/>
    <w:rsid w:val="003704DB"/>
    <w:rsid w:val="00376445"/>
    <w:rsid w:val="003773CB"/>
    <w:rsid w:val="00384CFA"/>
    <w:rsid w:val="003973E2"/>
    <w:rsid w:val="003B7494"/>
    <w:rsid w:val="003C00A2"/>
    <w:rsid w:val="003D78FD"/>
    <w:rsid w:val="003E4101"/>
    <w:rsid w:val="003F1B01"/>
    <w:rsid w:val="003F644D"/>
    <w:rsid w:val="004009CC"/>
    <w:rsid w:val="00400B99"/>
    <w:rsid w:val="00406134"/>
    <w:rsid w:val="004072CF"/>
    <w:rsid w:val="004075CC"/>
    <w:rsid w:val="00407BDB"/>
    <w:rsid w:val="00410261"/>
    <w:rsid w:val="0043785A"/>
    <w:rsid w:val="00446665"/>
    <w:rsid w:val="00446798"/>
    <w:rsid w:val="00451687"/>
    <w:rsid w:val="00457E4E"/>
    <w:rsid w:val="00472781"/>
    <w:rsid w:val="0047723A"/>
    <w:rsid w:val="00485829"/>
    <w:rsid w:val="004971A0"/>
    <w:rsid w:val="00497F68"/>
    <w:rsid w:val="004A2CF5"/>
    <w:rsid w:val="004B2593"/>
    <w:rsid w:val="004B29E8"/>
    <w:rsid w:val="004B2C4E"/>
    <w:rsid w:val="004B36FB"/>
    <w:rsid w:val="004C1955"/>
    <w:rsid w:val="004C2419"/>
    <w:rsid w:val="004D1698"/>
    <w:rsid w:val="004E1222"/>
    <w:rsid w:val="004F396A"/>
    <w:rsid w:val="00503770"/>
    <w:rsid w:val="00511FAC"/>
    <w:rsid w:val="00515958"/>
    <w:rsid w:val="00535463"/>
    <w:rsid w:val="00542004"/>
    <w:rsid w:val="005445D9"/>
    <w:rsid w:val="00547B6E"/>
    <w:rsid w:val="00553944"/>
    <w:rsid w:val="00553B10"/>
    <w:rsid w:val="00557B3E"/>
    <w:rsid w:val="005716DC"/>
    <w:rsid w:val="005733C3"/>
    <w:rsid w:val="00577BA5"/>
    <w:rsid w:val="005846FE"/>
    <w:rsid w:val="00591B88"/>
    <w:rsid w:val="005920D2"/>
    <w:rsid w:val="005971FB"/>
    <w:rsid w:val="005973BA"/>
    <w:rsid w:val="005A29F9"/>
    <w:rsid w:val="005A5E09"/>
    <w:rsid w:val="005B137A"/>
    <w:rsid w:val="005B5788"/>
    <w:rsid w:val="005C17C0"/>
    <w:rsid w:val="005C7BDB"/>
    <w:rsid w:val="005D6EE6"/>
    <w:rsid w:val="005D7003"/>
    <w:rsid w:val="005E2D14"/>
    <w:rsid w:val="005E3FC7"/>
    <w:rsid w:val="005E5EB2"/>
    <w:rsid w:val="005F3923"/>
    <w:rsid w:val="00617C3D"/>
    <w:rsid w:val="006205FE"/>
    <w:rsid w:val="006229FB"/>
    <w:rsid w:val="006233AD"/>
    <w:rsid w:val="00625C18"/>
    <w:rsid w:val="00626FD7"/>
    <w:rsid w:val="006336C9"/>
    <w:rsid w:val="00634E55"/>
    <w:rsid w:val="00635D94"/>
    <w:rsid w:val="00643516"/>
    <w:rsid w:val="006568B2"/>
    <w:rsid w:val="00660679"/>
    <w:rsid w:val="00661787"/>
    <w:rsid w:val="00665783"/>
    <w:rsid w:val="00673CF6"/>
    <w:rsid w:val="00673DD9"/>
    <w:rsid w:val="00673FE0"/>
    <w:rsid w:val="00675A12"/>
    <w:rsid w:val="0069613B"/>
    <w:rsid w:val="006A28C6"/>
    <w:rsid w:val="006A649D"/>
    <w:rsid w:val="006B4521"/>
    <w:rsid w:val="006C0004"/>
    <w:rsid w:val="006C16EC"/>
    <w:rsid w:val="006C4410"/>
    <w:rsid w:val="006D3970"/>
    <w:rsid w:val="006D4125"/>
    <w:rsid w:val="006D51FE"/>
    <w:rsid w:val="006D522F"/>
    <w:rsid w:val="006D5D38"/>
    <w:rsid w:val="006D6567"/>
    <w:rsid w:val="006E04AD"/>
    <w:rsid w:val="006E19C5"/>
    <w:rsid w:val="006E20E0"/>
    <w:rsid w:val="006F05D9"/>
    <w:rsid w:val="006F45E8"/>
    <w:rsid w:val="00700C35"/>
    <w:rsid w:val="007056EB"/>
    <w:rsid w:val="00707264"/>
    <w:rsid w:val="007112B1"/>
    <w:rsid w:val="007125A0"/>
    <w:rsid w:val="00712AF4"/>
    <w:rsid w:val="00715826"/>
    <w:rsid w:val="00716E4C"/>
    <w:rsid w:val="00725179"/>
    <w:rsid w:val="0073315E"/>
    <w:rsid w:val="007411EF"/>
    <w:rsid w:val="0074238E"/>
    <w:rsid w:val="0074441C"/>
    <w:rsid w:val="00751B1E"/>
    <w:rsid w:val="00755655"/>
    <w:rsid w:val="0076210E"/>
    <w:rsid w:val="0076520D"/>
    <w:rsid w:val="00766247"/>
    <w:rsid w:val="0077394B"/>
    <w:rsid w:val="00777518"/>
    <w:rsid w:val="00782B88"/>
    <w:rsid w:val="00786AE3"/>
    <w:rsid w:val="007A76E5"/>
    <w:rsid w:val="007B06BE"/>
    <w:rsid w:val="007B7A7C"/>
    <w:rsid w:val="007C3CF5"/>
    <w:rsid w:val="007C7CBE"/>
    <w:rsid w:val="007D017F"/>
    <w:rsid w:val="007D1A6E"/>
    <w:rsid w:val="007D2FE9"/>
    <w:rsid w:val="007D5ED5"/>
    <w:rsid w:val="007F34DF"/>
    <w:rsid w:val="00804AEF"/>
    <w:rsid w:val="0082324B"/>
    <w:rsid w:val="00823ED4"/>
    <w:rsid w:val="008248D5"/>
    <w:rsid w:val="008338D2"/>
    <w:rsid w:val="00853D58"/>
    <w:rsid w:val="0086350D"/>
    <w:rsid w:val="008709C4"/>
    <w:rsid w:val="00882712"/>
    <w:rsid w:val="00885E02"/>
    <w:rsid w:val="00892F89"/>
    <w:rsid w:val="008A0C6F"/>
    <w:rsid w:val="008A220B"/>
    <w:rsid w:val="008A50C5"/>
    <w:rsid w:val="008A57FE"/>
    <w:rsid w:val="008B075D"/>
    <w:rsid w:val="008E2B6D"/>
    <w:rsid w:val="008E4298"/>
    <w:rsid w:val="008F6420"/>
    <w:rsid w:val="00907927"/>
    <w:rsid w:val="00914EEF"/>
    <w:rsid w:val="009207C0"/>
    <w:rsid w:val="0092371E"/>
    <w:rsid w:val="00926F0F"/>
    <w:rsid w:val="009337DC"/>
    <w:rsid w:val="009617AB"/>
    <w:rsid w:val="0096517D"/>
    <w:rsid w:val="00972DE4"/>
    <w:rsid w:val="009737C3"/>
    <w:rsid w:val="00977708"/>
    <w:rsid w:val="00977756"/>
    <w:rsid w:val="00993DD4"/>
    <w:rsid w:val="00996252"/>
    <w:rsid w:val="00997537"/>
    <w:rsid w:val="009A1638"/>
    <w:rsid w:val="009A1FBD"/>
    <w:rsid w:val="009A2D24"/>
    <w:rsid w:val="009E2FBD"/>
    <w:rsid w:val="009F102C"/>
    <w:rsid w:val="00A0611F"/>
    <w:rsid w:val="00A101FC"/>
    <w:rsid w:val="00A20ABF"/>
    <w:rsid w:val="00A31FD5"/>
    <w:rsid w:val="00A45149"/>
    <w:rsid w:val="00A52315"/>
    <w:rsid w:val="00A66183"/>
    <w:rsid w:val="00A66747"/>
    <w:rsid w:val="00A71435"/>
    <w:rsid w:val="00A726E4"/>
    <w:rsid w:val="00A81AB7"/>
    <w:rsid w:val="00A8610A"/>
    <w:rsid w:val="00A86EF6"/>
    <w:rsid w:val="00A931F8"/>
    <w:rsid w:val="00A95CEF"/>
    <w:rsid w:val="00AA30CB"/>
    <w:rsid w:val="00AA5941"/>
    <w:rsid w:val="00AA6B4B"/>
    <w:rsid w:val="00AB1083"/>
    <w:rsid w:val="00AC5543"/>
    <w:rsid w:val="00AD37ED"/>
    <w:rsid w:val="00AF5CE5"/>
    <w:rsid w:val="00AF5D2D"/>
    <w:rsid w:val="00B05EEC"/>
    <w:rsid w:val="00B060EF"/>
    <w:rsid w:val="00B1229A"/>
    <w:rsid w:val="00B41361"/>
    <w:rsid w:val="00B46833"/>
    <w:rsid w:val="00B70FFA"/>
    <w:rsid w:val="00B71860"/>
    <w:rsid w:val="00B821AE"/>
    <w:rsid w:val="00B84787"/>
    <w:rsid w:val="00B8500D"/>
    <w:rsid w:val="00B8520B"/>
    <w:rsid w:val="00B9181B"/>
    <w:rsid w:val="00B91A00"/>
    <w:rsid w:val="00B91F8D"/>
    <w:rsid w:val="00B94EAE"/>
    <w:rsid w:val="00B955C7"/>
    <w:rsid w:val="00BA2A5E"/>
    <w:rsid w:val="00BA45CE"/>
    <w:rsid w:val="00BA5239"/>
    <w:rsid w:val="00BB0A6B"/>
    <w:rsid w:val="00BB4421"/>
    <w:rsid w:val="00BB7320"/>
    <w:rsid w:val="00BC347C"/>
    <w:rsid w:val="00BE12C6"/>
    <w:rsid w:val="00BE4661"/>
    <w:rsid w:val="00BF252F"/>
    <w:rsid w:val="00BF4A56"/>
    <w:rsid w:val="00BF547C"/>
    <w:rsid w:val="00BF5AB0"/>
    <w:rsid w:val="00C00834"/>
    <w:rsid w:val="00C01D39"/>
    <w:rsid w:val="00C078AF"/>
    <w:rsid w:val="00C07F57"/>
    <w:rsid w:val="00C14C10"/>
    <w:rsid w:val="00C16564"/>
    <w:rsid w:val="00C21123"/>
    <w:rsid w:val="00C265AF"/>
    <w:rsid w:val="00C300CC"/>
    <w:rsid w:val="00C37A4C"/>
    <w:rsid w:val="00C40163"/>
    <w:rsid w:val="00C41C49"/>
    <w:rsid w:val="00C43DD6"/>
    <w:rsid w:val="00C47DCB"/>
    <w:rsid w:val="00C61F2E"/>
    <w:rsid w:val="00C6636D"/>
    <w:rsid w:val="00C73032"/>
    <w:rsid w:val="00C82655"/>
    <w:rsid w:val="00C97521"/>
    <w:rsid w:val="00CA3E10"/>
    <w:rsid w:val="00CA6733"/>
    <w:rsid w:val="00CB50C4"/>
    <w:rsid w:val="00CC026A"/>
    <w:rsid w:val="00CC5CBA"/>
    <w:rsid w:val="00CD5F62"/>
    <w:rsid w:val="00D10030"/>
    <w:rsid w:val="00D121E6"/>
    <w:rsid w:val="00D13071"/>
    <w:rsid w:val="00D17225"/>
    <w:rsid w:val="00D25DE9"/>
    <w:rsid w:val="00D32B1A"/>
    <w:rsid w:val="00D410A3"/>
    <w:rsid w:val="00D76A98"/>
    <w:rsid w:val="00D77E35"/>
    <w:rsid w:val="00D86FEB"/>
    <w:rsid w:val="00D92B24"/>
    <w:rsid w:val="00D93159"/>
    <w:rsid w:val="00D93967"/>
    <w:rsid w:val="00DB3CF7"/>
    <w:rsid w:val="00DB61DA"/>
    <w:rsid w:val="00DC181B"/>
    <w:rsid w:val="00DC2E2D"/>
    <w:rsid w:val="00DD21EE"/>
    <w:rsid w:val="00DD262C"/>
    <w:rsid w:val="00DD349A"/>
    <w:rsid w:val="00DD66B3"/>
    <w:rsid w:val="00DE1727"/>
    <w:rsid w:val="00DE27C6"/>
    <w:rsid w:val="00E154D6"/>
    <w:rsid w:val="00E209F2"/>
    <w:rsid w:val="00E24A97"/>
    <w:rsid w:val="00E25BB0"/>
    <w:rsid w:val="00E2763D"/>
    <w:rsid w:val="00E347CA"/>
    <w:rsid w:val="00E42B80"/>
    <w:rsid w:val="00E43C6E"/>
    <w:rsid w:val="00E457E9"/>
    <w:rsid w:val="00E4789E"/>
    <w:rsid w:val="00E73F92"/>
    <w:rsid w:val="00E7589D"/>
    <w:rsid w:val="00E82A54"/>
    <w:rsid w:val="00E83038"/>
    <w:rsid w:val="00E8309C"/>
    <w:rsid w:val="00E85B4A"/>
    <w:rsid w:val="00EB0456"/>
    <w:rsid w:val="00EF1987"/>
    <w:rsid w:val="00F0007E"/>
    <w:rsid w:val="00F02A78"/>
    <w:rsid w:val="00F052C9"/>
    <w:rsid w:val="00F06D77"/>
    <w:rsid w:val="00F1420B"/>
    <w:rsid w:val="00F5037B"/>
    <w:rsid w:val="00F54CBF"/>
    <w:rsid w:val="00F55A99"/>
    <w:rsid w:val="00F6343E"/>
    <w:rsid w:val="00F65A6C"/>
    <w:rsid w:val="00F728AE"/>
    <w:rsid w:val="00F728B2"/>
    <w:rsid w:val="00F75FC7"/>
    <w:rsid w:val="00F81191"/>
    <w:rsid w:val="00F81E1F"/>
    <w:rsid w:val="00FA3A3D"/>
    <w:rsid w:val="00FA3DB2"/>
    <w:rsid w:val="00FB4262"/>
    <w:rsid w:val="00FB4E1F"/>
    <w:rsid w:val="00FC043D"/>
    <w:rsid w:val="00FC28D4"/>
    <w:rsid w:val="00FC77B9"/>
    <w:rsid w:val="00FD16A0"/>
    <w:rsid w:val="00FD432A"/>
    <w:rsid w:val="00FD6EDC"/>
    <w:rsid w:val="00FE1E0E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386F1"/>
  <w15:chartTrackingRefBased/>
  <w15:docId w15:val="{6802458D-1609-4E89-9F88-A0125EF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5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D4125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000000" w:themeColor="text1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2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qFormat/>
    <w:rsid w:val="008248D5"/>
    <w:pPr>
      <w:spacing w:after="0" w:line="240" w:lineRule="auto"/>
      <w:jc w:val="both"/>
    </w:pPr>
    <w:rPr>
      <w:rFonts w:ascii="Montserrat" w:hAnsi="Montserrat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48D5"/>
    <w:rPr>
      <w:rFonts w:ascii="Montserrat" w:hAnsi="Montserrat"/>
      <w:sz w:val="16"/>
      <w:szCs w:val="20"/>
    </w:rPr>
  </w:style>
  <w:style w:type="paragraph" w:styleId="Subttulo">
    <w:name w:val="Subtitle"/>
    <w:basedOn w:val="Ttulo2"/>
    <w:next w:val="Normal"/>
    <w:link w:val="SubttuloCar"/>
    <w:autoRedefine/>
    <w:uiPriority w:val="11"/>
    <w:qFormat/>
    <w:rsid w:val="001021BC"/>
    <w:pPr>
      <w:numPr>
        <w:ilvl w:val="1"/>
      </w:numPr>
      <w:spacing w:line="240" w:lineRule="auto"/>
      <w:jc w:val="both"/>
    </w:pPr>
    <w:rPr>
      <w:rFonts w:ascii="Montserrat" w:eastAsiaTheme="minorEastAsia" w:hAnsi="Montserrat"/>
      <w:i/>
      <w:color w:val="000000" w:themeColor="tex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1BC"/>
    <w:rPr>
      <w:rFonts w:ascii="Montserrat" w:eastAsiaTheme="minorEastAsia" w:hAnsi="Montserrat" w:cstheme="majorBidi"/>
      <w:i/>
      <w:color w:val="000000" w:themeColor="text1"/>
      <w:spacing w:val="15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4125"/>
    <w:rPr>
      <w:rFonts w:ascii="Montserrat" w:eastAsiaTheme="majorEastAsia" w:hAnsi="Montserrat" w:cstheme="majorBidi"/>
      <w:b/>
      <w:color w:val="000000" w:themeColor="text1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21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17C3D"/>
    <w:pPr>
      <w:ind w:left="720"/>
      <w:contextualSpacing/>
    </w:pPr>
  </w:style>
  <w:style w:type="paragraph" w:styleId="Revisin">
    <w:name w:val="Revision"/>
    <w:hidden/>
    <w:uiPriority w:val="99"/>
    <w:semiHidden/>
    <w:rsid w:val="00D9396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0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0C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0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C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2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F6"/>
  </w:style>
  <w:style w:type="paragraph" w:styleId="Piedepgina">
    <w:name w:val="footer"/>
    <w:basedOn w:val="Normal"/>
    <w:link w:val="PiedepginaCar"/>
    <w:uiPriority w:val="99"/>
    <w:unhideWhenUsed/>
    <w:rsid w:val="00062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6F6"/>
  </w:style>
  <w:style w:type="paragraph" w:styleId="Textodeglobo">
    <w:name w:val="Balloon Text"/>
    <w:basedOn w:val="Normal"/>
    <w:link w:val="TextodegloboCar"/>
    <w:uiPriority w:val="99"/>
    <w:semiHidden/>
    <w:unhideWhenUsed/>
    <w:rsid w:val="000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F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5872"/>
    <w:rPr>
      <w:color w:val="0563C1"/>
      <w:u w:val="single"/>
    </w:rPr>
  </w:style>
  <w:style w:type="paragraph" w:customStyle="1" w:styleId="Ningnestilodeprrafo">
    <w:name w:val="[Ningún estilo de párrafo]"/>
    <w:basedOn w:val="Normal"/>
    <w:rsid w:val="00035872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eastAsia="es-MX"/>
    </w:rPr>
  </w:style>
  <w:style w:type="character" w:customStyle="1" w:styleId="texto">
    <w:name w:val="texto"/>
    <w:uiPriority w:val="99"/>
    <w:rsid w:val="00035872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03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58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https://www.gob.mx/cnbv/acciones-y-programas/encuesta-nacional-de-financiamiento-de-las-empresas-enafin-202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www.inegi.org.mx/programas/enafin/2021/" TargetMode="External"/><Relationship Id="rId10" Type="http://schemas.openxmlformats.org/officeDocument/2006/relationships/hyperlink" Target="https://www.gob.mx/cnbv/acciones-y-programas/encuesta-nacional-de-financiamiento-de-las-empresas-enafin-2021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125C-A0D9-45CB-B588-D33194B3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3398</Words>
  <Characters>18693</Characters>
  <Application>Microsoft Office Word</Application>
  <DocSecurity>0</DocSecurity>
  <Lines>155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CNBV- DGEE</dc:creator>
  <cp:keywords/>
  <dc:description/>
  <cp:lastModifiedBy>MORONES RUIZ FABIOLA CRISTINA</cp:lastModifiedBy>
  <cp:revision>6</cp:revision>
  <cp:lastPrinted>2022-08-29T13:25:00Z</cp:lastPrinted>
  <dcterms:created xsi:type="dcterms:W3CDTF">2022-08-29T13:18:00Z</dcterms:created>
  <dcterms:modified xsi:type="dcterms:W3CDTF">2022-08-29T13:26:00Z</dcterms:modified>
</cp:coreProperties>
</file>