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F6B4" w14:textId="0A06FC4F" w:rsidR="00DD4A55" w:rsidRPr="005646CD" w:rsidRDefault="00DD4A55" w:rsidP="003F2720">
      <w:pPr>
        <w:spacing w:before="78" w:after="0" w:line="240" w:lineRule="auto"/>
        <w:ind w:left="720" w:right="155" w:hanging="720"/>
        <w:jc w:val="right"/>
        <w:rPr>
          <w:rFonts w:ascii="Montserrat SemiBold" w:hAnsi="Montserrat SemiBold"/>
          <w:b/>
          <w:sz w:val="16"/>
        </w:rPr>
      </w:pPr>
      <w:r w:rsidRPr="005646CD">
        <w:rPr>
          <w:rFonts w:ascii="Montserrat SemiBold" w:hAnsi="Montserrat SemiBold"/>
          <w:b/>
          <w:sz w:val="16"/>
        </w:rPr>
        <w:t>Ciudad</w:t>
      </w:r>
      <w:r w:rsidRPr="005646CD">
        <w:rPr>
          <w:rFonts w:ascii="Montserrat SemiBold" w:hAnsi="Montserrat SemiBold"/>
          <w:b/>
          <w:spacing w:val="-12"/>
          <w:sz w:val="16"/>
        </w:rPr>
        <w:t xml:space="preserve"> </w:t>
      </w:r>
      <w:r w:rsidRPr="005646CD">
        <w:rPr>
          <w:rFonts w:ascii="Montserrat SemiBold" w:hAnsi="Montserrat SemiBold"/>
          <w:b/>
          <w:sz w:val="16"/>
        </w:rPr>
        <w:t>de</w:t>
      </w:r>
      <w:r w:rsidRPr="005646CD">
        <w:rPr>
          <w:rFonts w:ascii="Montserrat SemiBold" w:hAnsi="Montserrat SemiBold"/>
          <w:b/>
          <w:spacing w:val="-9"/>
          <w:sz w:val="16"/>
        </w:rPr>
        <w:t xml:space="preserve"> </w:t>
      </w:r>
      <w:r w:rsidRPr="005646CD">
        <w:rPr>
          <w:rFonts w:ascii="Montserrat SemiBold" w:hAnsi="Montserrat SemiBold"/>
          <w:b/>
          <w:sz w:val="16"/>
        </w:rPr>
        <w:t>México,</w:t>
      </w:r>
      <w:r w:rsidRPr="005646CD">
        <w:rPr>
          <w:rFonts w:ascii="Montserrat SemiBold" w:hAnsi="Montserrat SemiBold"/>
          <w:b/>
          <w:spacing w:val="-10"/>
          <w:sz w:val="16"/>
        </w:rPr>
        <w:t xml:space="preserve"> </w:t>
      </w:r>
      <w:r>
        <w:rPr>
          <w:rFonts w:ascii="Montserrat SemiBold" w:hAnsi="Montserrat SemiBold"/>
          <w:b/>
          <w:spacing w:val="-10"/>
          <w:sz w:val="16"/>
        </w:rPr>
        <w:t>11</w:t>
      </w:r>
      <w:r>
        <w:rPr>
          <w:rFonts w:ascii="Montserrat SemiBold" w:hAnsi="Montserrat SemiBold"/>
          <w:b/>
          <w:sz w:val="16"/>
        </w:rPr>
        <w:t xml:space="preserve"> </w:t>
      </w:r>
      <w:r w:rsidRPr="005646CD">
        <w:rPr>
          <w:rFonts w:ascii="Montserrat SemiBold" w:hAnsi="Montserrat SemiBold"/>
          <w:b/>
          <w:sz w:val="16"/>
        </w:rPr>
        <w:t>de</w:t>
      </w:r>
      <w:r w:rsidRPr="005646CD">
        <w:rPr>
          <w:rFonts w:ascii="Montserrat SemiBold" w:hAnsi="Montserrat SemiBold"/>
          <w:b/>
          <w:spacing w:val="-9"/>
          <w:sz w:val="16"/>
        </w:rPr>
        <w:t xml:space="preserve"> </w:t>
      </w:r>
      <w:r>
        <w:rPr>
          <w:rFonts w:ascii="Montserrat SemiBold" w:hAnsi="Montserrat SemiBold"/>
          <w:b/>
          <w:spacing w:val="-9"/>
          <w:sz w:val="16"/>
        </w:rPr>
        <w:t>mayo</w:t>
      </w:r>
      <w:r w:rsidRPr="005646CD">
        <w:rPr>
          <w:rFonts w:ascii="Montserrat SemiBold" w:hAnsi="Montserrat SemiBold"/>
          <w:b/>
          <w:spacing w:val="-10"/>
          <w:sz w:val="16"/>
        </w:rPr>
        <w:t xml:space="preserve"> </w:t>
      </w:r>
      <w:r w:rsidRPr="005646CD">
        <w:rPr>
          <w:rFonts w:ascii="Montserrat SemiBold" w:hAnsi="Montserrat SemiBold"/>
          <w:b/>
          <w:sz w:val="16"/>
        </w:rPr>
        <w:t>de</w:t>
      </w:r>
      <w:r w:rsidRPr="005646CD">
        <w:rPr>
          <w:rFonts w:ascii="Montserrat SemiBold" w:hAnsi="Montserrat SemiBold"/>
          <w:b/>
          <w:spacing w:val="-8"/>
          <w:sz w:val="16"/>
        </w:rPr>
        <w:t xml:space="preserve"> </w:t>
      </w:r>
      <w:r>
        <w:rPr>
          <w:rFonts w:ascii="Montserrat SemiBold" w:hAnsi="Montserrat SemiBold"/>
          <w:b/>
          <w:sz w:val="16"/>
        </w:rPr>
        <w:t>2022</w:t>
      </w:r>
      <w:r w:rsidRPr="005646CD">
        <w:rPr>
          <w:rFonts w:ascii="Montserrat SemiBold" w:hAnsi="Montserrat SemiBold"/>
          <w:b/>
          <w:sz w:val="16"/>
        </w:rPr>
        <w:t>.</w:t>
      </w:r>
    </w:p>
    <w:p w14:paraId="35674982" w14:textId="4B42A566" w:rsidR="00DD4A55" w:rsidRPr="005646CD" w:rsidRDefault="00DD4A55" w:rsidP="003F2720">
      <w:pPr>
        <w:spacing w:after="0" w:line="240" w:lineRule="auto"/>
        <w:ind w:left="7371" w:hanging="141"/>
        <w:rPr>
          <w:sz w:val="16"/>
        </w:rPr>
      </w:pPr>
      <w:r w:rsidRPr="005646CD">
        <w:rPr>
          <w:sz w:val="16"/>
        </w:rPr>
        <w:t>Comunicado de prensa No.</w:t>
      </w:r>
      <w:r w:rsidRPr="00B805AF">
        <w:rPr>
          <w:sz w:val="16"/>
        </w:rPr>
        <w:t xml:space="preserve"> </w:t>
      </w:r>
      <w:r w:rsidR="009230F2">
        <w:rPr>
          <w:sz w:val="16"/>
        </w:rPr>
        <w:t>256</w:t>
      </w:r>
    </w:p>
    <w:p w14:paraId="49858455" w14:textId="77777777" w:rsidR="00DD4A55" w:rsidRDefault="00DD4A55" w:rsidP="001825EB">
      <w:pPr>
        <w:spacing w:after="80" w:line="276" w:lineRule="auto"/>
        <w:jc w:val="center"/>
        <w:rPr>
          <w:rFonts w:ascii="Montserrat" w:hAnsi="Montserrat" w:cs="Arial"/>
          <w:b/>
        </w:rPr>
      </w:pPr>
    </w:p>
    <w:p w14:paraId="6545EFC4" w14:textId="65026AF3" w:rsidR="001825EB" w:rsidRPr="003F2720" w:rsidRDefault="001825EB" w:rsidP="003F2720">
      <w:pPr>
        <w:spacing w:after="0" w:line="240" w:lineRule="auto"/>
        <w:ind w:left="1418" w:hanging="1024"/>
        <w:jc w:val="center"/>
        <w:rPr>
          <w:rFonts w:ascii="Montserrat SemiBold" w:eastAsia="MS Gothic" w:hAnsi="Montserrat SemiBold" w:cs="Times New Roman"/>
          <w:bCs/>
          <w:color w:val="000000"/>
          <w:sz w:val="20"/>
          <w:szCs w:val="26"/>
          <w:lang w:val="es-ES_tradnl" w:eastAsia="es-ES"/>
        </w:rPr>
      </w:pPr>
      <w:r w:rsidRPr="003F2720">
        <w:rPr>
          <w:rFonts w:ascii="Montserrat SemiBold" w:eastAsia="MS Gothic" w:hAnsi="Montserrat SemiBold" w:cs="Times New Roman"/>
          <w:bCs/>
          <w:color w:val="000000"/>
          <w:sz w:val="20"/>
          <w:szCs w:val="26"/>
          <w:lang w:val="es-ES_tradnl" w:eastAsia="es-ES"/>
        </w:rPr>
        <w:t>ENCUESTA NACIONAL DE INCLUSIÓN FINANCIERA (ENIF), 2021</w:t>
      </w:r>
    </w:p>
    <w:p w14:paraId="64CB67CB" w14:textId="77777777" w:rsidR="00C843FF" w:rsidRPr="003F2720" w:rsidRDefault="00C843FF" w:rsidP="001825EB">
      <w:pPr>
        <w:spacing w:after="80" w:line="276" w:lineRule="auto"/>
        <w:jc w:val="center"/>
        <w:rPr>
          <w:rFonts w:ascii="Montserrat" w:hAnsi="Montserrat" w:cs="Arial"/>
          <w:b/>
        </w:rPr>
      </w:pPr>
    </w:p>
    <w:p w14:paraId="3FD85EAD" w14:textId="77777777" w:rsidR="003F2720" w:rsidRDefault="003F2720" w:rsidP="003F2720">
      <w:pPr>
        <w:pStyle w:val="Ttulo3"/>
        <w:numPr>
          <w:ilvl w:val="0"/>
          <w:numId w:val="10"/>
        </w:numPr>
        <w:ind w:left="284" w:right="142" w:hanging="284"/>
        <w:mirrorIndents/>
        <w:rPr>
          <w:color w:val="000000" w:themeColor="text1"/>
          <w:szCs w:val="18"/>
        </w:rPr>
      </w:pPr>
      <w:r w:rsidRPr="003F2720">
        <w:rPr>
          <w:color w:val="000000" w:themeColor="text1"/>
          <w:szCs w:val="18"/>
        </w:rPr>
        <w:t xml:space="preserve">El objetivo de esta encuesta es generar información estadística e indicadores oficiales a nivel nacional, regional y por tamaño de localidad que les permita a las autoridades financieras hacer diagnósticos, diseñar políticas públicas y establecer metas en materia de inclusión y educación financiera. </w:t>
      </w:r>
    </w:p>
    <w:p w14:paraId="39C5B3A7" w14:textId="6051DEAC" w:rsidR="001825EB" w:rsidRPr="003F2720" w:rsidRDefault="00414DAB" w:rsidP="003F2720">
      <w:pPr>
        <w:pStyle w:val="Ttulo3"/>
        <w:numPr>
          <w:ilvl w:val="0"/>
          <w:numId w:val="10"/>
        </w:numPr>
        <w:ind w:left="284" w:right="142" w:hanging="284"/>
        <w:mirrorIndents/>
        <w:rPr>
          <w:color w:val="000000" w:themeColor="text1"/>
          <w:szCs w:val="18"/>
        </w:rPr>
      </w:pPr>
      <w:r w:rsidRPr="003F2720">
        <w:rPr>
          <w:color w:val="000000" w:themeColor="text1"/>
          <w:szCs w:val="18"/>
        </w:rPr>
        <w:t xml:space="preserve">En 2021, </w:t>
      </w:r>
      <w:r w:rsidR="001825EB" w:rsidRPr="003F2720">
        <w:rPr>
          <w:color w:val="000000" w:themeColor="text1"/>
          <w:szCs w:val="18"/>
        </w:rPr>
        <w:t>56.7 millones</w:t>
      </w:r>
      <w:r w:rsidR="001B3AC9" w:rsidRPr="003F2720">
        <w:rPr>
          <w:color w:val="000000" w:themeColor="text1"/>
          <w:szCs w:val="18"/>
        </w:rPr>
        <w:t xml:space="preserve"> de personas de 18 a 70 años en </w:t>
      </w:r>
      <w:r w:rsidR="004A4EB9" w:rsidRPr="003F2720">
        <w:rPr>
          <w:color w:val="000000" w:themeColor="text1"/>
          <w:szCs w:val="18"/>
        </w:rPr>
        <w:t>México</w:t>
      </w:r>
      <w:r w:rsidR="001B3AC9" w:rsidRPr="003F2720">
        <w:rPr>
          <w:color w:val="000000" w:themeColor="text1"/>
          <w:szCs w:val="18"/>
        </w:rPr>
        <w:t xml:space="preserve"> (67.8%) </w:t>
      </w:r>
      <w:r w:rsidR="00EA4FF9" w:rsidRPr="003F2720">
        <w:rPr>
          <w:color w:val="000000" w:themeColor="text1"/>
          <w:szCs w:val="18"/>
        </w:rPr>
        <w:t xml:space="preserve">tenían </w:t>
      </w:r>
      <w:r w:rsidR="001825EB" w:rsidRPr="003F2720">
        <w:rPr>
          <w:color w:val="000000" w:themeColor="text1"/>
          <w:szCs w:val="18"/>
        </w:rPr>
        <w:t xml:space="preserve">algún tipo de producto financiero formal (cuenta de </w:t>
      </w:r>
      <w:r w:rsidR="00FD771D" w:rsidRPr="003F2720">
        <w:rPr>
          <w:color w:val="000000" w:themeColor="text1"/>
          <w:szCs w:val="18"/>
        </w:rPr>
        <w:t>ahorro</w:t>
      </w:r>
      <w:r w:rsidR="001825EB" w:rsidRPr="003F2720">
        <w:rPr>
          <w:color w:val="000000" w:themeColor="text1"/>
          <w:szCs w:val="18"/>
        </w:rPr>
        <w:t xml:space="preserve">, crédito, seguro o </w:t>
      </w:r>
      <w:r w:rsidR="004E526C" w:rsidRPr="003F2720">
        <w:rPr>
          <w:color w:val="000000" w:themeColor="text1"/>
          <w:szCs w:val="18"/>
        </w:rPr>
        <w:t>A</w:t>
      </w:r>
      <w:r w:rsidR="001825EB" w:rsidRPr="003F2720">
        <w:rPr>
          <w:color w:val="000000" w:themeColor="text1"/>
          <w:szCs w:val="18"/>
        </w:rPr>
        <w:t xml:space="preserve">fore). </w:t>
      </w:r>
      <w:r w:rsidR="00B03ACF" w:rsidRPr="003F2720">
        <w:rPr>
          <w:color w:val="000000" w:themeColor="text1"/>
          <w:szCs w:val="18"/>
        </w:rPr>
        <w:t>En 2018,</w:t>
      </w:r>
      <w:r w:rsidR="00433C93" w:rsidRPr="003F2720">
        <w:rPr>
          <w:color w:val="000000" w:themeColor="text1"/>
          <w:szCs w:val="18"/>
        </w:rPr>
        <w:t xml:space="preserve"> </w:t>
      </w:r>
      <w:r w:rsidR="00D74803" w:rsidRPr="003F2720">
        <w:rPr>
          <w:color w:val="000000" w:themeColor="text1"/>
          <w:szCs w:val="18"/>
        </w:rPr>
        <w:t xml:space="preserve">la cifra era de </w:t>
      </w:r>
      <w:r w:rsidR="00B03ACF" w:rsidRPr="003F2720">
        <w:rPr>
          <w:color w:val="000000" w:themeColor="text1"/>
          <w:szCs w:val="18"/>
        </w:rPr>
        <w:t>54.0 millones de personas.</w:t>
      </w:r>
    </w:p>
    <w:p w14:paraId="7089E063" w14:textId="34A60FBF" w:rsidR="003B07F7" w:rsidRPr="003F2720" w:rsidRDefault="00D74803" w:rsidP="003F2720">
      <w:pPr>
        <w:pStyle w:val="Ttulo3"/>
        <w:numPr>
          <w:ilvl w:val="0"/>
          <w:numId w:val="10"/>
        </w:numPr>
        <w:ind w:left="284" w:right="142" w:hanging="284"/>
        <w:mirrorIndents/>
        <w:rPr>
          <w:color w:val="000000" w:themeColor="text1"/>
          <w:szCs w:val="18"/>
        </w:rPr>
      </w:pPr>
      <w:r w:rsidRPr="003F2720">
        <w:rPr>
          <w:color w:val="000000" w:themeColor="text1"/>
          <w:szCs w:val="18"/>
        </w:rPr>
        <w:t>El</w:t>
      </w:r>
      <w:r w:rsidR="001B3AC9" w:rsidRPr="003F2720">
        <w:rPr>
          <w:color w:val="000000" w:themeColor="text1"/>
          <w:szCs w:val="18"/>
        </w:rPr>
        <w:t xml:space="preserve"> 61.9% de las mujeres</w:t>
      </w:r>
      <w:r w:rsidRPr="003F2720">
        <w:rPr>
          <w:color w:val="000000" w:themeColor="text1"/>
          <w:szCs w:val="18"/>
        </w:rPr>
        <w:t xml:space="preserve"> y 74.3% de los hombres</w:t>
      </w:r>
      <w:r w:rsidR="001B3AC9" w:rsidRPr="003F2720">
        <w:rPr>
          <w:color w:val="000000" w:themeColor="text1"/>
          <w:szCs w:val="18"/>
        </w:rPr>
        <w:t xml:space="preserve"> </w:t>
      </w:r>
      <w:r w:rsidR="004A4EB9" w:rsidRPr="003F2720">
        <w:rPr>
          <w:color w:val="000000" w:themeColor="text1"/>
          <w:szCs w:val="18"/>
        </w:rPr>
        <w:t>en México c</w:t>
      </w:r>
      <w:r w:rsidR="00065EA1" w:rsidRPr="003F2720">
        <w:rPr>
          <w:color w:val="000000" w:themeColor="text1"/>
          <w:szCs w:val="18"/>
        </w:rPr>
        <w:t>ontaba</w:t>
      </w:r>
      <w:r w:rsidR="004A4EB9" w:rsidRPr="003F2720">
        <w:rPr>
          <w:color w:val="000000" w:themeColor="text1"/>
          <w:szCs w:val="18"/>
        </w:rPr>
        <w:t xml:space="preserve">n con </w:t>
      </w:r>
      <w:r w:rsidR="001B3AC9" w:rsidRPr="003F2720">
        <w:rPr>
          <w:color w:val="000000" w:themeColor="text1"/>
          <w:szCs w:val="18"/>
        </w:rPr>
        <w:t>al menos un producto financiero formal</w:t>
      </w:r>
      <w:r w:rsidR="007669DE">
        <w:rPr>
          <w:color w:val="000000" w:themeColor="text1"/>
          <w:szCs w:val="18"/>
        </w:rPr>
        <w:t xml:space="preserve"> en 2021</w:t>
      </w:r>
      <w:r w:rsidR="001B3AC9" w:rsidRPr="003F2720">
        <w:rPr>
          <w:color w:val="000000" w:themeColor="text1"/>
          <w:szCs w:val="18"/>
        </w:rPr>
        <w:t>.</w:t>
      </w:r>
    </w:p>
    <w:p w14:paraId="21601C6C" w14:textId="1A1B2EE3" w:rsidR="00433C93" w:rsidRPr="003F2720" w:rsidRDefault="00FC66D3" w:rsidP="003F2720">
      <w:pPr>
        <w:pStyle w:val="Ttulo3"/>
        <w:numPr>
          <w:ilvl w:val="0"/>
          <w:numId w:val="10"/>
        </w:numPr>
        <w:ind w:left="284" w:right="142" w:hanging="284"/>
        <w:mirrorIndents/>
        <w:rPr>
          <w:color w:val="000000" w:themeColor="text1"/>
          <w:szCs w:val="18"/>
        </w:rPr>
      </w:pPr>
      <w:r w:rsidRPr="003F2720">
        <w:rPr>
          <w:color w:val="000000" w:themeColor="text1"/>
          <w:szCs w:val="18"/>
        </w:rPr>
        <w:t>Considerando la tenencia de productos financieros formales y segmentando p</w:t>
      </w:r>
      <w:r w:rsidR="00D74803" w:rsidRPr="003F2720">
        <w:rPr>
          <w:color w:val="000000" w:themeColor="text1"/>
          <w:szCs w:val="18"/>
        </w:rPr>
        <w:t>or regiones</w:t>
      </w:r>
      <w:r w:rsidR="00D74803" w:rsidRPr="00497365">
        <w:rPr>
          <w:color w:val="000000" w:themeColor="text1"/>
          <w:szCs w:val="18"/>
          <w:vertAlign w:val="superscript"/>
        </w:rPr>
        <w:footnoteReference w:id="2"/>
      </w:r>
      <w:r w:rsidR="00D74803" w:rsidRPr="003F2720">
        <w:rPr>
          <w:color w:val="000000" w:themeColor="text1"/>
          <w:szCs w:val="18"/>
        </w:rPr>
        <w:t xml:space="preserve">, </w:t>
      </w:r>
      <w:r w:rsidRPr="003F2720">
        <w:rPr>
          <w:color w:val="000000" w:themeColor="text1"/>
          <w:szCs w:val="18"/>
        </w:rPr>
        <w:t>se observ</w:t>
      </w:r>
      <w:r w:rsidR="008217C9" w:rsidRPr="003F2720">
        <w:rPr>
          <w:color w:val="000000" w:themeColor="text1"/>
          <w:szCs w:val="18"/>
        </w:rPr>
        <w:t>ó</w:t>
      </w:r>
      <w:r w:rsidRPr="003F2720">
        <w:rPr>
          <w:color w:val="000000" w:themeColor="text1"/>
          <w:szCs w:val="18"/>
        </w:rPr>
        <w:t xml:space="preserve"> que </w:t>
      </w:r>
      <w:r w:rsidR="00D74803" w:rsidRPr="003F2720">
        <w:rPr>
          <w:color w:val="000000" w:themeColor="text1"/>
          <w:szCs w:val="18"/>
        </w:rPr>
        <w:t>la</w:t>
      </w:r>
      <w:r w:rsidRPr="003F2720">
        <w:rPr>
          <w:color w:val="000000" w:themeColor="text1"/>
          <w:szCs w:val="18"/>
        </w:rPr>
        <w:t xml:space="preserve"> regi</w:t>
      </w:r>
      <w:r w:rsidR="0075513F" w:rsidRPr="003F2720">
        <w:rPr>
          <w:color w:val="000000" w:themeColor="text1"/>
          <w:szCs w:val="18"/>
        </w:rPr>
        <w:t>ón</w:t>
      </w:r>
      <w:r w:rsidR="00E46347" w:rsidRPr="003F2720">
        <w:rPr>
          <w:color w:val="000000" w:themeColor="text1"/>
          <w:szCs w:val="18"/>
        </w:rPr>
        <w:t xml:space="preserve"> </w:t>
      </w:r>
      <w:r w:rsidR="00443E6C" w:rsidRPr="003F2720">
        <w:rPr>
          <w:color w:val="000000" w:themeColor="text1"/>
          <w:szCs w:val="18"/>
        </w:rPr>
        <w:t xml:space="preserve">Noreste </w:t>
      </w:r>
      <w:r w:rsidR="00721022" w:rsidRPr="003F2720">
        <w:rPr>
          <w:color w:val="000000" w:themeColor="text1"/>
          <w:szCs w:val="18"/>
        </w:rPr>
        <w:t>t</w:t>
      </w:r>
      <w:r w:rsidR="00FA3B3B" w:rsidRPr="003F2720">
        <w:rPr>
          <w:color w:val="000000" w:themeColor="text1"/>
          <w:szCs w:val="18"/>
        </w:rPr>
        <w:t>uvo</w:t>
      </w:r>
      <w:r w:rsidR="00721022" w:rsidRPr="003F2720">
        <w:rPr>
          <w:color w:val="000000" w:themeColor="text1"/>
          <w:szCs w:val="18"/>
        </w:rPr>
        <w:t xml:space="preserve"> el porcentaje más alto</w:t>
      </w:r>
      <w:r w:rsidR="002824A0" w:rsidRPr="003F2720">
        <w:rPr>
          <w:color w:val="000000" w:themeColor="text1"/>
          <w:szCs w:val="18"/>
        </w:rPr>
        <w:t xml:space="preserve"> de tenencia de estos productos</w:t>
      </w:r>
      <w:r w:rsidR="00721022" w:rsidRPr="003F2720">
        <w:rPr>
          <w:color w:val="000000" w:themeColor="text1"/>
          <w:szCs w:val="18"/>
        </w:rPr>
        <w:t xml:space="preserve"> </w:t>
      </w:r>
      <w:r w:rsidR="003E1B09" w:rsidRPr="003F2720">
        <w:rPr>
          <w:color w:val="000000" w:themeColor="text1"/>
          <w:szCs w:val="18"/>
        </w:rPr>
        <w:t xml:space="preserve">en el país </w:t>
      </w:r>
      <w:r w:rsidR="00B03ACF" w:rsidRPr="003F2720">
        <w:rPr>
          <w:color w:val="000000" w:themeColor="text1"/>
          <w:szCs w:val="18"/>
        </w:rPr>
        <w:t>(</w:t>
      </w:r>
      <w:r w:rsidR="00443E6C" w:rsidRPr="003F2720">
        <w:rPr>
          <w:color w:val="000000" w:themeColor="text1"/>
          <w:szCs w:val="18"/>
        </w:rPr>
        <w:t>77%</w:t>
      </w:r>
      <w:r w:rsidR="00B03ACF" w:rsidRPr="003F2720">
        <w:rPr>
          <w:color w:val="000000" w:themeColor="text1"/>
          <w:szCs w:val="18"/>
        </w:rPr>
        <w:t>)</w:t>
      </w:r>
      <w:r w:rsidR="00443E6C" w:rsidRPr="003F2720">
        <w:rPr>
          <w:color w:val="000000" w:themeColor="text1"/>
          <w:szCs w:val="18"/>
        </w:rPr>
        <w:t>, seguid</w:t>
      </w:r>
      <w:r w:rsidR="00FA3B3B" w:rsidRPr="003F2720">
        <w:rPr>
          <w:color w:val="000000" w:themeColor="text1"/>
          <w:szCs w:val="18"/>
        </w:rPr>
        <w:t>a</w:t>
      </w:r>
      <w:r w:rsidR="00443E6C" w:rsidRPr="003F2720">
        <w:rPr>
          <w:color w:val="000000" w:themeColor="text1"/>
          <w:szCs w:val="18"/>
        </w:rPr>
        <w:t xml:space="preserve"> de </w:t>
      </w:r>
      <w:r w:rsidR="00721022" w:rsidRPr="003F2720">
        <w:rPr>
          <w:color w:val="000000" w:themeColor="text1"/>
          <w:szCs w:val="18"/>
        </w:rPr>
        <w:t>la</w:t>
      </w:r>
      <w:r w:rsidR="00443E6C" w:rsidRPr="003F2720">
        <w:rPr>
          <w:color w:val="000000" w:themeColor="text1"/>
          <w:szCs w:val="18"/>
        </w:rPr>
        <w:t xml:space="preserve"> Noroeste </w:t>
      </w:r>
      <w:r w:rsidR="00B03ACF" w:rsidRPr="003F2720">
        <w:rPr>
          <w:color w:val="000000" w:themeColor="text1"/>
          <w:szCs w:val="18"/>
        </w:rPr>
        <w:t>(</w:t>
      </w:r>
      <w:r w:rsidR="00721022" w:rsidRPr="003F2720">
        <w:rPr>
          <w:color w:val="000000" w:themeColor="text1"/>
          <w:szCs w:val="18"/>
        </w:rPr>
        <w:t>75.7%</w:t>
      </w:r>
      <w:r w:rsidR="00B03ACF" w:rsidRPr="003F2720">
        <w:rPr>
          <w:color w:val="000000" w:themeColor="text1"/>
          <w:szCs w:val="18"/>
        </w:rPr>
        <w:t>)</w:t>
      </w:r>
      <w:r w:rsidR="00F248A2" w:rsidRPr="003F2720">
        <w:rPr>
          <w:color w:val="000000" w:themeColor="text1"/>
          <w:szCs w:val="18"/>
        </w:rPr>
        <w:t xml:space="preserve">, </w:t>
      </w:r>
      <w:r w:rsidR="00443E6C" w:rsidRPr="003F2720">
        <w:rPr>
          <w:color w:val="000000" w:themeColor="text1"/>
          <w:szCs w:val="18"/>
        </w:rPr>
        <w:t xml:space="preserve">la CDMX </w:t>
      </w:r>
      <w:r w:rsidR="00B03ACF" w:rsidRPr="003F2720">
        <w:rPr>
          <w:color w:val="000000" w:themeColor="text1"/>
          <w:szCs w:val="18"/>
        </w:rPr>
        <w:t>(</w:t>
      </w:r>
      <w:r w:rsidR="00443E6C" w:rsidRPr="003F2720">
        <w:rPr>
          <w:color w:val="000000" w:themeColor="text1"/>
          <w:szCs w:val="18"/>
        </w:rPr>
        <w:t>74.2</w:t>
      </w:r>
      <w:r w:rsidR="00721022" w:rsidRPr="003F2720">
        <w:rPr>
          <w:color w:val="000000" w:themeColor="text1"/>
          <w:szCs w:val="18"/>
        </w:rPr>
        <w:t>%</w:t>
      </w:r>
      <w:r w:rsidR="00B03ACF" w:rsidRPr="003F2720">
        <w:rPr>
          <w:color w:val="000000" w:themeColor="text1"/>
          <w:szCs w:val="18"/>
        </w:rPr>
        <w:t>) y</w:t>
      </w:r>
      <w:r w:rsidR="00F248A2" w:rsidRPr="003F2720">
        <w:rPr>
          <w:color w:val="000000" w:themeColor="text1"/>
          <w:szCs w:val="18"/>
        </w:rPr>
        <w:t xml:space="preserve"> la Occidente y Bajío </w:t>
      </w:r>
      <w:r w:rsidR="00B03ACF" w:rsidRPr="003F2720">
        <w:rPr>
          <w:color w:val="000000" w:themeColor="text1"/>
          <w:szCs w:val="18"/>
        </w:rPr>
        <w:t>(</w:t>
      </w:r>
      <w:r w:rsidR="00F248A2" w:rsidRPr="003F2720">
        <w:rPr>
          <w:color w:val="000000" w:themeColor="text1"/>
          <w:szCs w:val="18"/>
        </w:rPr>
        <w:t>69.3%</w:t>
      </w:r>
      <w:r w:rsidR="00B03ACF" w:rsidRPr="003F2720">
        <w:rPr>
          <w:color w:val="000000" w:themeColor="text1"/>
          <w:szCs w:val="18"/>
        </w:rPr>
        <w:t>)</w:t>
      </w:r>
      <w:r w:rsidR="00FA3B3B" w:rsidRPr="003F2720">
        <w:rPr>
          <w:color w:val="000000" w:themeColor="text1"/>
          <w:szCs w:val="18"/>
        </w:rPr>
        <w:t>.</w:t>
      </w:r>
      <w:r w:rsidR="00E44E13" w:rsidRPr="003F2720">
        <w:rPr>
          <w:color w:val="000000" w:themeColor="text1"/>
          <w:szCs w:val="18"/>
        </w:rPr>
        <w:t xml:space="preserve"> </w:t>
      </w:r>
      <w:r w:rsidR="00FA3B3B" w:rsidRPr="003F2720">
        <w:rPr>
          <w:color w:val="000000" w:themeColor="text1"/>
          <w:szCs w:val="18"/>
        </w:rPr>
        <w:t>L</w:t>
      </w:r>
      <w:r w:rsidR="00721022" w:rsidRPr="003F2720">
        <w:rPr>
          <w:color w:val="000000" w:themeColor="text1"/>
          <w:szCs w:val="18"/>
        </w:rPr>
        <w:t xml:space="preserve">os porcentajes </w:t>
      </w:r>
      <w:r w:rsidR="00F248A2" w:rsidRPr="003F2720">
        <w:rPr>
          <w:color w:val="000000" w:themeColor="text1"/>
          <w:szCs w:val="18"/>
        </w:rPr>
        <w:t>m</w:t>
      </w:r>
      <w:r w:rsidR="00F97B71" w:rsidRPr="003F2720">
        <w:rPr>
          <w:color w:val="000000" w:themeColor="text1"/>
          <w:szCs w:val="18"/>
        </w:rPr>
        <w:t>ás pequeños</w:t>
      </w:r>
      <w:r w:rsidR="00721022" w:rsidRPr="003F2720">
        <w:rPr>
          <w:color w:val="000000" w:themeColor="text1"/>
          <w:szCs w:val="18"/>
        </w:rPr>
        <w:t xml:space="preserve"> se </w:t>
      </w:r>
      <w:r w:rsidR="00D74803" w:rsidRPr="003F2720">
        <w:rPr>
          <w:color w:val="000000" w:themeColor="text1"/>
          <w:szCs w:val="18"/>
        </w:rPr>
        <w:t>registraron en</w:t>
      </w:r>
      <w:r w:rsidR="00721022" w:rsidRPr="003F2720">
        <w:rPr>
          <w:color w:val="000000" w:themeColor="text1"/>
          <w:szCs w:val="18"/>
        </w:rPr>
        <w:t xml:space="preserve"> la </w:t>
      </w:r>
      <w:r w:rsidR="00B03ACF" w:rsidRPr="003F2720">
        <w:rPr>
          <w:color w:val="000000" w:themeColor="text1"/>
          <w:szCs w:val="18"/>
        </w:rPr>
        <w:t xml:space="preserve">región </w:t>
      </w:r>
      <w:r w:rsidR="00721022" w:rsidRPr="003F2720">
        <w:rPr>
          <w:color w:val="000000" w:themeColor="text1"/>
          <w:szCs w:val="18"/>
        </w:rPr>
        <w:t xml:space="preserve">Centro Sur y Oriente </w:t>
      </w:r>
      <w:r w:rsidR="00B03ACF" w:rsidRPr="003F2720">
        <w:rPr>
          <w:color w:val="000000" w:themeColor="text1"/>
          <w:szCs w:val="18"/>
        </w:rPr>
        <w:t>(</w:t>
      </w:r>
      <w:r w:rsidR="00721022" w:rsidRPr="003F2720">
        <w:rPr>
          <w:color w:val="000000" w:themeColor="text1"/>
          <w:szCs w:val="18"/>
        </w:rPr>
        <w:t>62.0%</w:t>
      </w:r>
      <w:r w:rsidR="00B03ACF" w:rsidRPr="003F2720">
        <w:rPr>
          <w:color w:val="000000" w:themeColor="text1"/>
          <w:szCs w:val="18"/>
        </w:rPr>
        <w:t>)</w:t>
      </w:r>
      <w:r w:rsidR="00721022" w:rsidRPr="003F2720">
        <w:rPr>
          <w:color w:val="000000" w:themeColor="text1"/>
          <w:szCs w:val="18"/>
        </w:rPr>
        <w:t xml:space="preserve"> y</w:t>
      </w:r>
      <w:r w:rsidR="00B03ACF" w:rsidRPr="003F2720">
        <w:rPr>
          <w:color w:val="000000" w:themeColor="text1"/>
          <w:szCs w:val="18"/>
        </w:rPr>
        <w:t xml:space="preserve"> </w:t>
      </w:r>
      <w:r w:rsidR="00721022" w:rsidRPr="003F2720">
        <w:rPr>
          <w:color w:val="000000" w:themeColor="text1"/>
          <w:szCs w:val="18"/>
        </w:rPr>
        <w:t xml:space="preserve">la Sur </w:t>
      </w:r>
      <w:r w:rsidR="00B03ACF" w:rsidRPr="003F2720">
        <w:rPr>
          <w:color w:val="000000" w:themeColor="text1"/>
          <w:szCs w:val="18"/>
        </w:rPr>
        <w:t>(</w:t>
      </w:r>
      <w:r w:rsidR="00721022" w:rsidRPr="003F2720">
        <w:rPr>
          <w:color w:val="000000" w:themeColor="text1"/>
          <w:szCs w:val="18"/>
        </w:rPr>
        <w:t>60.1</w:t>
      </w:r>
      <w:r w:rsidR="00D74803" w:rsidRPr="003F2720">
        <w:rPr>
          <w:color w:val="000000" w:themeColor="text1"/>
          <w:szCs w:val="18"/>
        </w:rPr>
        <w:t>%</w:t>
      </w:r>
      <w:r w:rsidR="00B03ACF" w:rsidRPr="003F2720">
        <w:rPr>
          <w:color w:val="000000" w:themeColor="text1"/>
          <w:szCs w:val="18"/>
        </w:rPr>
        <w:t>)</w:t>
      </w:r>
      <w:r w:rsidR="0088552E" w:rsidRPr="003F2720">
        <w:rPr>
          <w:color w:val="000000" w:themeColor="text1"/>
          <w:szCs w:val="18"/>
        </w:rPr>
        <w:t>.</w:t>
      </w:r>
    </w:p>
    <w:p w14:paraId="325F4313" w14:textId="1FE27AD5" w:rsidR="00E46347" w:rsidRPr="003F2720" w:rsidRDefault="00D8760C" w:rsidP="003F2720">
      <w:pPr>
        <w:pStyle w:val="Ttulo3"/>
        <w:numPr>
          <w:ilvl w:val="0"/>
          <w:numId w:val="10"/>
        </w:numPr>
        <w:ind w:left="284" w:right="142" w:hanging="284"/>
        <w:mirrorIndents/>
        <w:rPr>
          <w:color w:val="000000" w:themeColor="text1"/>
          <w:szCs w:val="18"/>
        </w:rPr>
      </w:pPr>
      <w:r w:rsidRPr="003F2720">
        <w:rPr>
          <w:color w:val="000000" w:themeColor="text1"/>
          <w:szCs w:val="18"/>
        </w:rPr>
        <w:t xml:space="preserve">El 49.1% de la población de 18 </w:t>
      </w:r>
      <w:r w:rsidR="00E44E13" w:rsidRPr="003F2720">
        <w:rPr>
          <w:color w:val="000000" w:themeColor="text1"/>
          <w:szCs w:val="18"/>
        </w:rPr>
        <w:t>a</w:t>
      </w:r>
      <w:r w:rsidRPr="003F2720">
        <w:rPr>
          <w:color w:val="000000" w:themeColor="text1"/>
          <w:szCs w:val="18"/>
        </w:rPr>
        <w:t xml:space="preserve"> 70 años </w:t>
      </w:r>
      <w:r w:rsidR="00B03ACF" w:rsidRPr="003F2720">
        <w:rPr>
          <w:color w:val="000000" w:themeColor="text1"/>
          <w:szCs w:val="18"/>
        </w:rPr>
        <w:t xml:space="preserve">(41.1 millones de personas) </w:t>
      </w:r>
      <w:r w:rsidR="004A4EB9" w:rsidRPr="003F2720">
        <w:rPr>
          <w:color w:val="000000" w:themeColor="text1"/>
          <w:szCs w:val="18"/>
        </w:rPr>
        <w:t xml:space="preserve">en México </w:t>
      </w:r>
      <w:r w:rsidR="00E46347" w:rsidRPr="003F2720">
        <w:rPr>
          <w:color w:val="000000" w:themeColor="text1"/>
          <w:szCs w:val="18"/>
        </w:rPr>
        <w:t>t</w:t>
      </w:r>
      <w:r w:rsidR="00F97B71" w:rsidRPr="003F2720">
        <w:rPr>
          <w:color w:val="000000" w:themeColor="text1"/>
          <w:szCs w:val="18"/>
        </w:rPr>
        <w:t>enía</w:t>
      </w:r>
      <w:r w:rsidR="00E46347" w:rsidRPr="003F2720">
        <w:rPr>
          <w:color w:val="000000" w:themeColor="text1"/>
          <w:szCs w:val="18"/>
        </w:rPr>
        <w:t xml:space="preserve"> </w:t>
      </w:r>
      <w:r w:rsidRPr="003F2720">
        <w:rPr>
          <w:color w:val="000000" w:themeColor="text1"/>
          <w:szCs w:val="18"/>
        </w:rPr>
        <w:t xml:space="preserve">una cuenta </w:t>
      </w:r>
      <w:r w:rsidR="00FE71D9" w:rsidRPr="003F2720">
        <w:rPr>
          <w:color w:val="000000" w:themeColor="text1"/>
          <w:szCs w:val="18"/>
        </w:rPr>
        <w:t>en un banco</w:t>
      </w:r>
      <w:r w:rsidRPr="003F2720">
        <w:rPr>
          <w:color w:val="000000" w:themeColor="text1"/>
          <w:szCs w:val="18"/>
        </w:rPr>
        <w:t xml:space="preserve"> o institución financiera</w:t>
      </w:r>
      <w:r w:rsidRPr="00497365">
        <w:rPr>
          <w:color w:val="000000" w:themeColor="text1"/>
          <w:szCs w:val="18"/>
          <w:vertAlign w:val="superscript"/>
        </w:rPr>
        <w:footnoteReference w:id="3"/>
      </w:r>
      <w:r w:rsidR="001825EB" w:rsidRPr="003F2720">
        <w:rPr>
          <w:color w:val="000000" w:themeColor="text1"/>
          <w:szCs w:val="18"/>
        </w:rPr>
        <w:t>.</w:t>
      </w:r>
      <w:r w:rsidRPr="003F2720">
        <w:rPr>
          <w:color w:val="000000" w:themeColor="text1"/>
          <w:szCs w:val="18"/>
        </w:rPr>
        <w:t xml:space="preserve"> En 2018 </w:t>
      </w:r>
      <w:r w:rsidR="004A4EB9" w:rsidRPr="003F2720">
        <w:rPr>
          <w:color w:val="000000" w:themeColor="text1"/>
          <w:szCs w:val="18"/>
        </w:rPr>
        <w:t xml:space="preserve">dicha </w:t>
      </w:r>
      <w:r w:rsidR="00D74803" w:rsidRPr="003F2720">
        <w:rPr>
          <w:color w:val="000000" w:themeColor="text1"/>
          <w:szCs w:val="18"/>
        </w:rPr>
        <w:t>p</w:t>
      </w:r>
      <w:r w:rsidR="0048470B" w:rsidRPr="003F2720">
        <w:rPr>
          <w:color w:val="000000" w:themeColor="text1"/>
          <w:szCs w:val="18"/>
        </w:rPr>
        <w:t>r</w:t>
      </w:r>
      <w:r w:rsidR="00D74803" w:rsidRPr="003F2720">
        <w:rPr>
          <w:color w:val="000000" w:themeColor="text1"/>
          <w:szCs w:val="18"/>
        </w:rPr>
        <w:t xml:space="preserve">oporción </w:t>
      </w:r>
      <w:r w:rsidR="00E46347" w:rsidRPr="003F2720">
        <w:rPr>
          <w:color w:val="000000" w:themeColor="text1"/>
          <w:szCs w:val="18"/>
        </w:rPr>
        <w:t>era de</w:t>
      </w:r>
      <w:r w:rsidRPr="003F2720">
        <w:rPr>
          <w:color w:val="000000" w:themeColor="text1"/>
          <w:szCs w:val="18"/>
        </w:rPr>
        <w:t xml:space="preserve"> 47.1</w:t>
      </w:r>
      <w:r w:rsidR="00D74803" w:rsidRPr="003F2720">
        <w:rPr>
          <w:color w:val="000000" w:themeColor="text1"/>
          <w:szCs w:val="18"/>
        </w:rPr>
        <w:t>%</w:t>
      </w:r>
      <w:r w:rsidRPr="003F2720">
        <w:rPr>
          <w:color w:val="000000" w:themeColor="text1"/>
          <w:szCs w:val="18"/>
        </w:rPr>
        <w:t>.</w:t>
      </w:r>
    </w:p>
    <w:p w14:paraId="64E73DC7" w14:textId="77777777" w:rsidR="00395A36" w:rsidRPr="003F2720" w:rsidRDefault="00395A36" w:rsidP="00E54F1D">
      <w:pPr>
        <w:spacing w:line="276" w:lineRule="auto"/>
        <w:ind w:left="-567"/>
        <w:jc w:val="both"/>
        <w:rPr>
          <w:rFonts w:ascii="Montserrat" w:hAnsi="Montserrat" w:cs="Arial"/>
        </w:rPr>
      </w:pPr>
    </w:p>
    <w:p w14:paraId="6577B865" w14:textId="39E6678F" w:rsidR="00E54F1D" w:rsidRPr="003F2720" w:rsidRDefault="00AF11E5" w:rsidP="00E54F1D">
      <w:pPr>
        <w:spacing w:line="276" w:lineRule="auto"/>
        <w:ind w:left="-567"/>
        <w:jc w:val="both"/>
        <w:rPr>
          <w:rFonts w:ascii="Montserrat" w:hAnsi="Montserrat"/>
          <w:sz w:val="18"/>
          <w:szCs w:val="18"/>
        </w:rPr>
      </w:pPr>
      <w:r w:rsidRPr="003F2720">
        <w:rPr>
          <w:rFonts w:ascii="Montserrat" w:hAnsi="Montserrat" w:cs="Arial"/>
          <w:sz w:val="18"/>
          <w:szCs w:val="18"/>
        </w:rPr>
        <w:t xml:space="preserve">La Comisión Nacional Bancaria y de Valores (CNBV) y el </w:t>
      </w:r>
      <w:r w:rsidR="00DD4906" w:rsidRPr="003F2720">
        <w:rPr>
          <w:rFonts w:ascii="Montserrat" w:hAnsi="Montserrat" w:cs="Arial"/>
          <w:sz w:val="18"/>
          <w:szCs w:val="18"/>
        </w:rPr>
        <w:t>Instituto Nacional de Estadística y Geografía (INEGI)</w:t>
      </w:r>
      <w:r w:rsidR="004A4EB9" w:rsidRPr="003F2720">
        <w:rPr>
          <w:rFonts w:ascii="Montserrat" w:hAnsi="Montserrat" w:cs="Arial"/>
          <w:sz w:val="18"/>
          <w:szCs w:val="18"/>
        </w:rPr>
        <w:t>,</w:t>
      </w:r>
      <w:r w:rsidR="00DD4906" w:rsidRPr="003F2720">
        <w:rPr>
          <w:rFonts w:ascii="Montserrat" w:hAnsi="Montserrat" w:cs="Arial"/>
          <w:sz w:val="18"/>
          <w:szCs w:val="18"/>
        </w:rPr>
        <w:t xml:space="preserve"> presenta</w:t>
      </w:r>
      <w:r w:rsidRPr="003F2720">
        <w:rPr>
          <w:rFonts w:ascii="Montserrat" w:hAnsi="Montserrat" w:cs="Arial"/>
          <w:sz w:val="18"/>
          <w:szCs w:val="18"/>
        </w:rPr>
        <w:t>n</w:t>
      </w:r>
      <w:r w:rsidR="00DD4906" w:rsidRPr="003F2720">
        <w:rPr>
          <w:rFonts w:ascii="Montserrat" w:hAnsi="Montserrat" w:cs="Arial"/>
          <w:sz w:val="18"/>
          <w:szCs w:val="18"/>
        </w:rPr>
        <w:t xml:space="preserve"> los resultados de la Encuesta Nacional de Inclusión Financiera (ENIF) 2021</w:t>
      </w:r>
      <w:r w:rsidR="00414DAB" w:rsidRPr="003F2720">
        <w:rPr>
          <w:rFonts w:ascii="Montserrat" w:hAnsi="Montserrat" w:cs="Arial"/>
          <w:sz w:val="18"/>
          <w:szCs w:val="18"/>
        </w:rPr>
        <w:t xml:space="preserve">. </w:t>
      </w:r>
      <w:r w:rsidR="004A4EB9" w:rsidRPr="003F2720">
        <w:rPr>
          <w:rFonts w:ascii="Montserrat" w:hAnsi="Montserrat" w:cs="Arial"/>
          <w:sz w:val="18"/>
          <w:szCs w:val="18"/>
        </w:rPr>
        <w:t>E</w:t>
      </w:r>
      <w:r w:rsidR="00DD4906" w:rsidRPr="003F2720">
        <w:rPr>
          <w:rFonts w:ascii="Montserrat" w:hAnsi="Montserrat" w:cs="Arial"/>
          <w:sz w:val="18"/>
          <w:szCs w:val="18"/>
        </w:rPr>
        <w:t xml:space="preserve">l objetivo </w:t>
      </w:r>
      <w:r w:rsidR="0048470B" w:rsidRPr="003F2720">
        <w:rPr>
          <w:rFonts w:ascii="Montserrat" w:hAnsi="Montserrat" w:cs="Arial"/>
          <w:sz w:val="18"/>
          <w:szCs w:val="18"/>
        </w:rPr>
        <w:t>de</w:t>
      </w:r>
      <w:r w:rsidR="004A4EB9" w:rsidRPr="003F2720">
        <w:rPr>
          <w:rFonts w:ascii="Montserrat" w:hAnsi="Montserrat" w:cs="Arial"/>
          <w:sz w:val="18"/>
          <w:szCs w:val="18"/>
        </w:rPr>
        <w:t xml:space="preserve"> esta encuesta es</w:t>
      </w:r>
      <w:r w:rsidR="0048470B" w:rsidRPr="003F2720">
        <w:rPr>
          <w:rFonts w:ascii="Montserrat" w:hAnsi="Montserrat" w:cs="Arial"/>
          <w:sz w:val="18"/>
          <w:szCs w:val="18"/>
        </w:rPr>
        <w:t xml:space="preserve"> </w:t>
      </w:r>
      <w:r w:rsidR="00DD4906" w:rsidRPr="003F2720">
        <w:rPr>
          <w:rFonts w:ascii="Montserrat" w:hAnsi="Montserrat" w:cs="Arial"/>
          <w:sz w:val="18"/>
          <w:szCs w:val="18"/>
        </w:rPr>
        <w:t>gener</w:t>
      </w:r>
      <w:r w:rsidR="0048470B" w:rsidRPr="003F2720">
        <w:rPr>
          <w:rFonts w:ascii="Montserrat" w:hAnsi="Montserrat" w:cs="Arial"/>
          <w:sz w:val="18"/>
          <w:szCs w:val="18"/>
        </w:rPr>
        <w:t xml:space="preserve">ar </w:t>
      </w:r>
      <w:r w:rsidR="00DD4906" w:rsidRPr="003F2720">
        <w:rPr>
          <w:rFonts w:ascii="Montserrat" w:hAnsi="Montserrat" w:cs="Arial"/>
          <w:sz w:val="18"/>
          <w:szCs w:val="18"/>
        </w:rPr>
        <w:t xml:space="preserve">información </w:t>
      </w:r>
      <w:r w:rsidR="00053EE9" w:rsidRPr="003F2720">
        <w:rPr>
          <w:rFonts w:ascii="Montserrat" w:hAnsi="Montserrat" w:cs="Arial"/>
          <w:sz w:val="18"/>
          <w:szCs w:val="18"/>
        </w:rPr>
        <w:t>estadística e indicadores oficiales a nivel nacional, regional y por tamaño de localidad que</w:t>
      </w:r>
      <w:r w:rsidR="00E46347" w:rsidRPr="003F2720">
        <w:rPr>
          <w:rFonts w:ascii="Montserrat" w:hAnsi="Montserrat" w:cs="Arial"/>
          <w:sz w:val="18"/>
          <w:szCs w:val="18"/>
        </w:rPr>
        <w:t xml:space="preserve"> les</w:t>
      </w:r>
      <w:r w:rsidR="00053EE9" w:rsidRPr="003F2720">
        <w:rPr>
          <w:rFonts w:ascii="Montserrat" w:hAnsi="Montserrat" w:cs="Arial"/>
          <w:sz w:val="18"/>
          <w:szCs w:val="18"/>
        </w:rPr>
        <w:t xml:space="preserve"> permita a las autoridades financieras hacer diagnósticos, diseñar políticas públicas y establecer metas en materia de inclusión y educación financiera</w:t>
      </w:r>
      <w:r w:rsidR="00473658" w:rsidRPr="003F2720">
        <w:rPr>
          <w:rFonts w:ascii="Montserrat" w:hAnsi="Montserrat" w:cs="Arial"/>
          <w:sz w:val="18"/>
          <w:szCs w:val="18"/>
        </w:rPr>
        <w:t>.</w:t>
      </w:r>
      <w:r w:rsidR="000D41F8" w:rsidRPr="003F2720">
        <w:rPr>
          <w:rFonts w:ascii="Montserrat" w:hAnsi="Montserrat"/>
          <w:sz w:val="18"/>
          <w:szCs w:val="18"/>
        </w:rPr>
        <w:t xml:space="preserve"> </w:t>
      </w:r>
    </w:p>
    <w:p w14:paraId="4306A67D" w14:textId="1A824417" w:rsidR="001825EB" w:rsidRDefault="00430ABC" w:rsidP="00E54F1D">
      <w:pPr>
        <w:spacing w:line="276" w:lineRule="auto"/>
        <w:ind w:left="-567"/>
        <w:jc w:val="both"/>
        <w:rPr>
          <w:rFonts w:ascii="Montserrat" w:hAnsi="Montserrat" w:cs="Arial"/>
          <w:sz w:val="18"/>
          <w:szCs w:val="18"/>
        </w:rPr>
      </w:pPr>
      <w:r w:rsidRPr="003F2720">
        <w:rPr>
          <w:rFonts w:ascii="Montserrat" w:hAnsi="Montserrat" w:cs="Arial"/>
          <w:sz w:val="18"/>
          <w:szCs w:val="18"/>
        </w:rPr>
        <w:t>E</w:t>
      </w:r>
      <w:r w:rsidR="00063F93" w:rsidRPr="003F2720">
        <w:rPr>
          <w:rFonts w:ascii="Montserrat" w:hAnsi="Montserrat" w:cs="Arial"/>
          <w:sz w:val="18"/>
          <w:szCs w:val="18"/>
        </w:rPr>
        <w:t>n este cuarto levantamiento de</w:t>
      </w:r>
      <w:r w:rsidR="0068717C" w:rsidRPr="003F2720">
        <w:rPr>
          <w:rFonts w:ascii="Montserrat" w:hAnsi="Montserrat" w:cs="Arial"/>
          <w:sz w:val="18"/>
          <w:szCs w:val="18"/>
        </w:rPr>
        <w:t xml:space="preserve"> la</w:t>
      </w:r>
      <w:r w:rsidR="00063F93" w:rsidRPr="003F2720">
        <w:rPr>
          <w:rFonts w:ascii="Montserrat" w:hAnsi="Montserrat" w:cs="Arial"/>
          <w:sz w:val="18"/>
          <w:szCs w:val="18"/>
        </w:rPr>
        <w:t xml:space="preserve"> ENIF</w:t>
      </w:r>
      <w:r w:rsidR="004D0478" w:rsidRPr="003F2720">
        <w:rPr>
          <w:rFonts w:ascii="Montserrat" w:hAnsi="Montserrat" w:cs="Arial"/>
          <w:sz w:val="18"/>
          <w:szCs w:val="18"/>
        </w:rPr>
        <w:t xml:space="preserve"> 2021</w:t>
      </w:r>
      <w:r w:rsidR="0068717C" w:rsidRPr="003F2720">
        <w:rPr>
          <w:rFonts w:ascii="Montserrat" w:hAnsi="Montserrat" w:cs="Arial"/>
          <w:sz w:val="18"/>
          <w:szCs w:val="18"/>
        </w:rPr>
        <w:t xml:space="preserve">, </w:t>
      </w:r>
      <w:r w:rsidR="00FC66D3" w:rsidRPr="003F2720">
        <w:rPr>
          <w:rFonts w:ascii="Montserrat" w:hAnsi="Montserrat" w:cs="Arial"/>
          <w:sz w:val="18"/>
          <w:szCs w:val="18"/>
        </w:rPr>
        <w:t xml:space="preserve">se </w:t>
      </w:r>
      <w:r w:rsidR="001825EB" w:rsidRPr="003F2720">
        <w:rPr>
          <w:rFonts w:ascii="Montserrat" w:hAnsi="Montserrat" w:cs="Arial"/>
          <w:sz w:val="18"/>
          <w:szCs w:val="18"/>
        </w:rPr>
        <w:t>incorpora</w:t>
      </w:r>
      <w:r w:rsidR="00F31870" w:rsidRPr="003F2720">
        <w:rPr>
          <w:rFonts w:ascii="Montserrat" w:hAnsi="Montserrat" w:cs="Arial"/>
          <w:sz w:val="18"/>
          <w:szCs w:val="18"/>
        </w:rPr>
        <w:t>ro</w:t>
      </w:r>
      <w:r w:rsidR="00153494" w:rsidRPr="003F2720">
        <w:rPr>
          <w:rFonts w:ascii="Montserrat" w:hAnsi="Montserrat" w:cs="Arial"/>
          <w:sz w:val="18"/>
          <w:szCs w:val="18"/>
        </w:rPr>
        <w:t>n</w:t>
      </w:r>
      <w:r w:rsidR="001825EB" w:rsidRPr="003F2720">
        <w:rPr>
          <w:rFonts w:ascii="Montserrat" w:hAnsi="Montserrat" w:cs="Arial"/>
          <w:sz w:val="18"/>
          <w:szCs w:val="18"/>
        </w:rPr>
        <w:t xml:space="preserve"> cambios y actualizaciones necesarias para </w:t>
      </w:r>
      <w:r w:rsidR="00F31870" w:rsidRPr="003F2720">
        <w:rPr>
          <w:rFonts w:ascii="Montserrat" w:hAnsi="Montserrat" w:cs="Arial"/>
          <w:sz w:val="18"/>
          <w:szCs w:val="18"/>
        </w:rPr>
        <w:t>atender</w:t>
      </w:r>
      <w:r w:rsidR="001825EB" w:rsidRPr="003F2720">
        <w:rPr>
          <w:rFonts w:ascii="Montserrat" w:hAnsi="Montserrat" w:cs="Arial"/>
          <w:sz w:val="18"/>
          <w:szCs w:val="18"/>
        </w:rPr>
        <w:t xml:space="preserve"> </w:t>
      </w:r>
      <w:r w:rsidR="004C4761" w:rsidRPr="003F2720">
        <w:rPr>
          <w:rFonts w:ascii="Montserrat" w:hAnsi="Montserrat" w:cs="Arial"/>
          <w:sz w:val="18"/>
          <w:szCs w:val="18"/>
        </w:rPr>
        <w:t>los</w:t>
      </w:r>
      <w:r w:rsidR="001825EB" w:rsidRPr="003F2720">
        <w:rPr>
          <w:rFonts w:ascii="Montserrat" w:hAnsi="Montserrat" w:cs="Arial"/>
          <w:sz w:val="18"/>
          <w:szCs w:val="18"/>
        </w:rPr>
        <w:t xml:space="preserve"> nuevos requerimientos de información y consideraciones de la Política Nacional de Inclusión Financiera (PNIF).</w:t>
      </w:r>
    </w:p>
    <w:p w14:paraId="127AF4A9" w14:textId="2DBAFF46" w:rsidR="003F2720" w:rsidRDefault="001A323E" w:rsidP="003D57E9">
      <w:pPr>
        <w:spacing w:line="276" w:lineRule="auto"/>
        <w:ind w:left="-567"/>
        <w:jc w:val="both"/>
        <w:rPr>
          <w:rFonts w:ascii="Montserrat" w:hAnsi="Montserrat"/>
          <w:sz w:val="18"/>
          <w:szCs w:val="18"/>
        </w:rPr>
      </w:pPr>
      <w:r w:rsidRPr="001A323E">
        <w:rPr>
          <w:rFonts w:ascii="Montserrat" w:hAnsi="Montserrat" w:cs="Arial"/>
          <w:sz w:val="18"/>
          <w:szCs w:val="18"/>
        </w:rPr>
        <w:t>Además, se exploraron otros fenómenos como las afectaciones económicas ocasionadas por la emergencia sanitaria causada por el Covid-19, el bienestar financiero, los canales de contratación de l</w:t>
      </w:r>
      <w:r w:rsidRPr="00BB63D9">
        <w:rPr>
          <w:rFonts w:ascii="Montserrat" w:hAnsi="Montserrat" w:cs="Arial"/>
          <w:sz w:val="18"/>
          <w:szCs w:val="18"/>
        </w:rPr>
        <w:t>os productos financieros, entre otros.</w:t>
      </w:r>
    </w:p>
    <w:p w14:paraId="5A15B426" w14:textId="79DFF000" w:rsidR="00D74803" w:rsidRPr="003F2720" w:rsidRDefault="00D74803" w:rsidP="00AF3E54">
      <w:pPr>
        <w:ind w:left="-567" w:right="-518"/>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Principales resultados</w:t>
      </w:r>
    </w:p>
    <w:p w14:paraId="712DDC94" w14:textId="5829E3D1" w:rsidR="00691B5F" w:rsidRPr="003F2720" w:rsidRDefault="00B644CA" w:rsidP="00AF3E54">
      <w:pPr>
        <w:pStyle w:val="Prrafodelista"/>
        <w:numPr>
          <w:ilvl w:val="0"/>
          <w:numId w:val="22"/>
        </w:numPr>
        <w:ind w:right="-518"/>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 xml:space="preserve">Tenencia </w:t>
      </w:r>
      <w:r w:rsidR="00157F5A" w:rsidRPr="003F2720">
        <w:rPr>
          <w:rFonts w:ascii="Montserrat" w:eastAsia="Times New Roman" w:hAnsi="Montserrat" w:cs="Arial"/>
          <w:b/>
          <w:bCs/>
          <w:smallCaps/>
          <w:sz w:val="18"/>
          <w:szCs w:val="18"/>
          <w:lang w:eastAsia="es-MX"/>
        </w:rPr>
        <w:t xml:space="preserve">de </w:t>
      </w:r>
      <w:r w:rsidRPr="003F2720">
        <w:rPr>
          <w:rFonts w:ascii="Montserrat" w:eastAsia="Times New Roman" w:hAnsi="Montserrat" w:cs="Arial"/>
          <w:b/>
          <w:bCs/>
          <w:smallCaps/>
          <w:sz w:val="18"/>
          <w:szCs w:val="18"/>
          <w:lang w:eastAsia="es-MX"/>
        </w:rPr>
        <w:t>producto financiero formal</w:t>
      </w:r>
    </w:p>
    <w:p w14:paraId="07740B70" w14:textId="571FA227" w:rsidR="004B67AD" w:rsidRPr="003F2720" w:rsidRDefault="004B67AD" w:rsidP="00C11A22">
      <w:pPr>
        <w:autoSpaceDE w:val="0"/>
        <w:autoSpaceDN w:val="0"/>
        <w:adjustRightInd w:val="0"/>
        <w:spacing w:after="0" w:line="276" w:lineRule="auto"/>
        <w:ind w:left="-567"/>
        <w:jc w:val="both"/>
        <w:rPr>
          <w:rFonts w:ascii="Montserrat" w:hAnsi="Montserrat" w:cs="Arial"/>
          <w:bCs/>
          <w:sz w:val="18"/>
          <w:szCs w:val="18"/>
        </w:rPr>
      </w:pPr>
      <w:r w:rsidRPr="003F2720">
        <w:rPr>
          <w:rFonts w:ascii="Montserrat" w:hAnsi="Montserrat" w:cs="Arial"/>
          <w:bCs/>
          <w:sz w:val="18"/>
          <w:szCs w:val="18"/>
        </w:rPr>
        <w:t xml:space="preserve">Según la ENIF 2021, </w:t>
      </w:r>
      <w:r w:rsidR="00AA1A2F" w:rsidRPr="003F2720">
        <w:rPr>
          <w:rFonts w:ascii="Montserrat" w:hAnsi="Montserrat" w:cs="Arial"/>
          <w:bCs/>
          <w:sz w:val="18"/>
          <w:szCs w:val="18"/>
        </w:rPr>
        <w:t xml:space="preserve">en ese año </w:t>
      </w:r>
      <w:r w:rsidRPr="003F2720">
        <w:rPr>
          <w:rFonts w:ascii="Montserrat" w:hAnsi="Montserrat" w:cs="Arial"/>
          <w:bCs/>
          <w:sz w:val="18"/>
          <w:szCs w:val="18"/>
        </w:rPr>
        <w:t xml:space="preserve">56.7 millones de personas de 18 a 70 años </w:t>
      </w:r>
      <w:r w:rsidR="009D55B4" w:rsidRPr="003F2720">
        <w:rPr>
          <w:rFonts w:ascii="Montserrat" w:hAnsi="Montserrat" w:cs="Arial"/>
          <w:bCs/>
          <w:sz w:val="18"/>
          <w:szCs w:val="18"/>
        </w:rPr>
        <w:t xml:space="preserve">(67.8% del total de este universo) </w:t>
      </w:r>
      <w:r w:rsidR="00462012" w:rsidRPr="003F2720">
        <w:rPr>
          <w:rFonts w:ascii="Montserrat" w:hAnsi="Montserrat" w:cs="Arial"/>
          <w:bCs/>
          <w:sz w:val="18"/>
          <w:szCs w:val="18"/>
        </w:rPr>
        <w:t>contaban</w:t>
      </w:r>
      <w:r w:rsidR="004A4EB9" w:rsidRPr="003F2720">
        <w:rPr>
          <w:rFonts w:ascii="Montserrat" w:hAnsi="Montserrat" w:cs="Arial"/>
          <w:bCs/>
          <w:sz w:val="18"/>
          <w:szCs w:val="18"/>
        </w:rPr>
        <w:t xml:space="preserve"> con </w:t>
      </w:r>
      <w:r w:rsidRPr="003F2720">
        <w:rPr>
          <w:rFonts w:ascii="Montserrat" w:hAnsi="Montserrat" w:cs="Arial"/>
          <w:bCs/>
          <w:sz w:val="18"/>
          <w:szCs w:val="18"/>
        </w:rPr>
        <w:t>al menos un producto financiero formal (cuenta de ahorro, crédito formal, seguros</w:t>
      </w:r>
      <w:r w:rsidR="00F4077B" w:rsidRPr="003F2720">
        <w:rPr>
          <w:rFonts w:ascii="Montserrat" w:hAnsi="Montserrat" w:cs="Arial"/>
          <w:bCs/>
          <w:sz w:val="18"/>
          <w:szCs w:val="18"/>
        </w:rPr>
        <w:t xml:space="preserve"> o</w:t>
      </w:r>
      <w:r w:rsidRPr="003F2720">
        <w:rPr>
          <w:rFonts w:ascii="Montserrat" w:hAnsi="Montserrat" w:cs="Arial"/>
          <w:bCs/>
          <w:sz w:val="18"/>
          <w:szCs w:val="18"/>
        </w:rPr>
        <w:t xml:space="preserve"> </w:t>
      </w:r>
      <w:r w:rsidR="007669DE">
        <w:rPr>
          <w:rFonts w:ascii="Montserrat" w:hAnsi="Montserrat" w:cs="Arial"/>
          <w:bCs/>
          <w:sz w:val="18"/>
          <w:szCs w:val="18"/>
        </w:rPr>
        <w:t>A</w:t>
      </w:r>
      <w:r w:rsidRPr="003F2720">
        <w:rPr>
          <w:rFonts w:ascii="Montserrat" w:hAnsi="Montserrat" w:cs="Arial"/>
          <w:bCs/>
          <w:sz w:val="18"/>
          <w:szCs w:val="18"/>
        </w:rPr>
        <w:t>fores)</w:t>
      </w:r>
      <w:r w:rsidR="009D55B4" w:rsidRPr="003F2720">
        <w:rPr>
          <w:rFonts w:ascii="Montserrat" w:hAnsi="Montserrat" w:cs="Arial"/>
          <w:bCs/>
          <w:sz w:val="18"/>
          <w:szCs w:val="18"/>
        </w:rPr>
        <w:t>.</w:t>
      </w:r>
      <w:r w:rsidR="0062334B" w:rsidRPr="003F2720">
        <w:rPr>
          <w:rFonts w:ascii="Montserrat" w:hAnsi="Montserrat" w:cs="Arial"/>
          <w:bCs/>
          <w:sz w:val="18"/>
          <w:szCs w:val="18"/>
        </w:rPr>
        <w:t xml:space="preserve"> </w:t>
      </w:r>
      <w:r w:rsidR="00C237FB" w:rsidRPr="003F2720">
        <w:rPr>
          <w:rFonts w:ascii="Montserrat" w:hAnsi="Montserrat" w:cs="Arial"/>
          <w:bCs/>
          <w:sz w:val="18"/>
          <w:szCs w:val="18"/>
        </w:rPr>
        <w:lastRenderedPageBreak/>
        <w:t>Distinguiendo p</w:t>
      </w:r>
      <w:r w:rsidR="00DE639C" w:rsidRPr="003F2720">
        <w:rPr>
          <w:rFonts w:ascii="Montserrat" w:hAnsi="Montserrat" w:cs="Arial"/>
          <w:bCs/>
          <w:sz w:val="18"/>
          <w:szCs w:val="18"/>
        </w:rPr>
        <w:t>or</w:t>
      </w:r>
      <w:r w:rsidR="0062334B" w:rsidRPr="003F2720">
        <w:rPr>
          <w:rFonts w:ascii="Montserrat" w:hAnsi="Montserrat" w:cs="Arial"/>
          <w:bCs/>
          <w:sz w:val="18"/>
          <w:szCs w:val="18"/>
        </w:rPr>
        <w:t xml:space="preserve"> </w:t>
      </w:r>
      <w:r w:rsidR="00DE639C" w:rsidRPr="003F2720">
        <w:rPr>
          <w:rFonts w:ascii="Montserrat" w:hAnsi="Montserrat" w:cs="Arial"/>
          <w:bCs/>
          <w:sz w:val="18"/>
          <w:szCs w:val="18"/>
        </w:rPr>
        <w:t>sexo</w:t>
      </w:r>
      <w:r w:rsidR="00A02EE9" w:rsidRPr="003F2720">
        <w:rPr>
          <w:rFonts w:ascii="Montserrat" w:hAnsi="Montserrat" w:cs="Arial"/>
          <w:bCs/>
          <w:sz w:val="18"/>
          <w:szCs w:val="18"/>
        </w:rPr>
        <w:t>,</w:t>
      </w:r>
      <w:r w:rsidR="00DE639C" w:rsidRPr="003F2720">
        <w:rPr>
          <w:rFonts w:ascii="Montserrat" w:hAnsi="Montserrat" w:cs="Arial"/>
          <w:bCs/>
          <w:sz w:val="18"/>
          <w:szCs w:val="18"/>
        </w:rPr>
        <w:t xml:space="preserve"> se identifica que</w:t>
      </w:r>
      <w:r w:rsidRPr="003F2720">
        <w:rPr>
          <w:rFonts w:ascii="Montserrat" w:hAnsi="Montserrat" w:cs="Arial"/>
          <w:bCs/>
          <w:sz w:val="18"/>
          <w:szCs w:val="18"/>
        </w:rPr>
        <w:t xml:space="preserve"> 61.9% de las mujeres </w:t>
      </w:r>
      <w:r w:rsidR="009D55B4" w:rsidRPr="003F2720">
        <w:rPr>
          <w:rFonts w:ascii="Montserrat" w:hAnsi="Montserrat" w:cs="Arial"/>
          <w:bCs/>
          <w:sz w:val="18"/>
          <w:szCs w:val="18"/>
        </w:rPr>
        <w:t xml:space="preserve">y 74.3% de los hombres </w:t>
      </w:r>
      <w:r w:rsidR="00C237FB" w:rsidRPr="003F2720">
        <w:rPr>
          <w:rFonts w:ascii="Montserrat" w:hAnsi="Montserrat" w:cs="Arial"/>
          <w:bCs/>
          <w:sz w:val="18"/>
          <w:szCs w:val="18"/>
        </w:rPr>
        <w:t>ten</w:t>
      </w:r>
      <w:r w:rsidR="00462012" w:rsidRPr="003F2720">
        <w:rPr>
          <w:rFonts w:ascii="Montserrat" w:hAnsi="Montserrat" w:cs="Arial"/>
          <w:bCs/>
          <w:sz w:val="18"/>
          <w:szCs w:val="18"/>
        </w:rPr>
        <w:t>ían</w:t>
      </w:r>
      <w:r w:rsidR="00C237FB" w:rsidRPr="003F2720">
        <w:rPr>
          <w:rFonts w:ascii="Montserrat" w:hAnsi="Montserrat" w:cs="Arial"/>
          <w:bCs/>
          <w:sz w:val="18"/>
          <w:szCs w:val="18"/>
        </w:rPr>
        <w:t xml:space="preserve"> </w:t>
      </w:r>
      <w:r w:rsidR="009D55B4" w:rsidRPr="003F2720">
        <w:rPr>
          <w:rFonts w:ascii="Montserrat" w:hAnsi="Montserrat" w:cs="Arial"/>
          <w:bCs/>
          <w:sz w:val="18"/>
          <w:szCs w:val="18"/>
        </w:rPr>
        <w:t>alguno de estos</w:t>
      </w:r>
      <w:r w:rsidR="00DE639C" w:rsidRPr="003F2720">
        <w:rPr>
          <w:rFonts w:ascii="Montserrat" w:hAnsi="Montserrat" w:cs="Arial"/>
          <w:bCs/>
          <w:sz w:val="18"/>
          <w:szCs w:val="18"/>
        </w:rPr>
        <w:t xml:space="preserve"> producto</w:t>
      </w:r>
      <w:r w:rsidR="009D55B4" w:rsidRPr="003F2720">
        <w:rPr>
          <w:rFonts w:ascii="Montserrat" w:hAnsi="Montserrat" w:cs="Arial"/>
          <w:bCs/>
          <w:sz w:val="18"/>
          <w:szCs w:val="18"/>
        </w:rPr>
        <w:t>s</w:t>
      </w:r>
      <w:r w:rsidR="00DE639C" w:rsidRPr="003F2720">
        <w:rPr>
          <w:rFonts w:ascii="Montserrat" w:hAnsi="Montserrat" w:cs="Arial"/>
          <w:bCs/>
          <w:sz w:val="18"/>
          <w:szCs w:val="18"/>
        </w:rPr>
        <w:t xml:space="preserve"> formal</w:t>
      </w:r>
      <w:r w:rsidR="009D55B4" w:rsidRPr="003F2720">
        <w:rPr>
          <w:rFonts w:ascii="Montserrat" w:hAnsi="Montserrat" w:cs="Arial"/>
          <w:bCs/>
          <w:sz w:val="18"/>
          <w:szCs w:val="18"/>
        </w:rPr>
        <w:t>es.</w:t>
      </w:r>
      <w:r w:rsidR="00DE639C" w:rsidRPr="003F2720">
        <w:rPr>
          <w:rFonts w:ascii="Montserrat" w:hAnsi="Montserrat" w:cs="Arial"/>
          <w:bCs/>
          <w:sz w:val="18"/>
          <w:szCs w:val="18"/>
        </w:rPr>
        <w:t xml:space="preserve"> </w:t>
      </w:r>
    </w:p>
    <w:p w14:paraId="124E0400" w14:textId="77777777" w:rsidR="00AC434B" w:rsidRDefault="00AC434B" w:rsidP="00AF3E54">
      <w:pPr>
        <w:autoSpaceDE w:val="0"/>
        <w:autoSpaceDN w:val="0"/>
        <w:adjustRightInd w:val="0"/>
        <w:spacing w:after="0" w:line="276" w:lineRule="auto"/>
        <w:ind w:left="-567"/>
        <w:jc w:val="both"/>
        <w:rPr>
          <w:rFonts w:ascii="Montserrat" w:hAnsi="Montserrat" w:cs="Arial"/>
          <w:bCs/>
          <w:sz w:val="18"/>
          <w:szCs w:val="18"/>
        </w:rPr>
      </w:pPr>
    </w:p>
    <w:p w14:paraId="09E769EF" w14:textId="4479DE32" w:rsidR="0079444A" w:rsidRDefault="008E3DEF" w:rsidP="00AF3E54">
      <w:pPr>
        <w:autoSpaceDE w:val="0"/>
        <w:autoSpaceDN w:val="0"/>
        <w:adjustRightInd w:val="0"/>
        <w:spacing w:after="0" w:line="276" w:lineRule="auto"/>
        <w:ind w:left="-567"/>
        <w:jc w:val="both"/>
        <w:rPr>
          <w:rFonts w:ascii="Montserrat" w:hAnsi="Montserrat" w:cs="Arial"/>
          <w:bCs/>
          <w:sz w:val="18"/>
          <w:szCs w:val="18"/>
        </w:rPr>
      </w:pPr>
      <w:r w:rsidRPr="003F2720">
        <w:rPr>
          <w:rFonts w:ascii="Montserrat" w:hAnsi="Montserrat" w:cs="Arial"/>
          <w:bCs/>
          <w:sz w:val="18"/>
          <w:szCs w:val="18"/>
        </w:rPr>
        <w:t xml:space="preserve">En comparación con los datos de 2018, a nivel nacional este indicador mantiene un nivel similar. Sin embargo, al observar el comportamiento según sexo, </w:t>
      </w:r>
      <w:r w:rsidR="004A4EB9" w:rsidRPr="003F2720">
        <w:rPr>
          <w:rFonts w:ascii="Montserrat" w:hAnsi="Montserrat" w:cs="Arial"/>
          <w:bCs/>
          <w:sz w:val="18"/>
          <w:szCs w:val="18"/>
        </w:rPr>
        <w:t xml:space="preserve">se observa que la cifra </w:t>
      </w:r>
      <w:r w:rsidRPr="003F2720">
        <w:rPr>
          <w:rFonts w:ascii="Montserrat" w:hAnsi="Montserrat" w:cs="Arial"/>
          <w:bCs/>
          <w:sz w:val="18"/>
          <w:szCs w:val="18"/>
        </w:rPr>
        <w:t>disminu</w:t>
      </w:r>
      <w:r w:rsidR="009D55B4" w:rsidRPr="003F2720">
        <w:rPr>
          <w:rFonts w:ascii="Montserrat" w:hAnsi="Montserrat" w:cs="Arial"/>
          <w:bCs/>
          <w:sz w:val="18"/>
          <w:szCs w:val="18"/>
        </w:rPr>
        <w:t>yó</w:t>
      </w:r>
      <w:r w:rsidR="00FD771D" w:rsidRPr="003F2720">
        <w:rPr>
          <w:rFonts w:ascii="Montserrat" w:hAnsi="Montserrat" w:cs="Arial"/>
          <w:bCs/>
          <w:sz w:val="18"/>
          <w:szCs w:val="18"/>
        </w:rPr>
        <w:t xml:space="preserve"> 3.3 puntos porcentuales</w:t>
      </w:r>
      <w:r w:rsidR="00401F01" w:rsidRPr="003F2720">
        <w:rPr>
          <w:rFonts w:ascii="Montserrat" w:hAnsi="Montserrat" w:cs="Arial"/>
          <w:bCs/>
          <w:sz w:val="18"/>
          <w:szCs w:val="18"/>
        </w:rPr>
        <w:t xml:space="preserve"> en el caso de las mujeres</w:t>
      </w:r>
      <w:r w:rsidR="00FD771D" w:rsidRPr="003F2720">
        <w:rPr>
          <w:rFonts w:ascii="Montserrat" w:hAnsi="Montserrat" w:cs="Arial"/>
          <w:bCs/>
          <w:sz w:val="18"/>
          <w:szCs w:val="18"/>
        </w:rPr>
        <w:t>.</w:t>
      </w:r>
    </w:p>
    <w:p w14:paraId="4DA0A604" w14:textId="270DC50A" w:rsidR="002142B2" w:rsidRDefault="002142B2" w:rsidP="00AF3E54">
      <w:pPr>
        <w:autoSpaceDE w:val="0"/>
        <w:autoSpaceDN w:val="0"/>
        <w:adjustRightInd w:val="0"/>
        <w:spacing w:after="0" w:line="276" w:lineRule="auto"/>
        <w:ind w:left="-567"/>
        <w:jc w:val="both"/>
        <w:rPr>
          <w:rFonts w:ascii="Montserrat" w:hAnsi="Montserrat" w:cs="Arial"/>
          <w:bCs/>
          <w:sz w:val="18"/>
          <w:szCs w:val="18"/>
        </w:rPr>
      </w:pPr>
    </w:p>
    <w:p w14:paraId="5F0B5E4B" w14:textId="77777777" w:rsidR="002142B2" w:rsidRPr="00063FD5" w:rsidRDefault="002142B2" w:rsidP="002142B2">
      <w:pPr>
        <w:autoSpaceDE w:val="0"/>
        <w:autoSpaceDN w:val="0"/>
        <w:adjustRightInd w:val="0"/>
        <w:spacing w:after="0" w:line="276" w:lineRule="auto"/>
        <w:ind w:left="-567"/>
        <w:jc w:val="center"/>
        <w:rPr>
          <w:rFonts w:ascii="Montserrat" w:hAnsi="Montserrat" w:cs="Arial"/>
          <w:bCs/>
          <w:sz w:val="18"/>
          <w:szCs w:val="18"/>
        </w:rPr>
      </w:pPr>
      <w:r w:rsidRPr="00063FD5">
        <w:rPr>
          <w:rFonts w:ascii="Montserrat" w:hAnsi="Montserrat" w:cs="Arial"/>
          <w:bCs/>
          <w:sz w:val="18"/>
          <w:szCs w:val="18"/>
        </w:rPr>
        <w:t>Gráfica 1.</w:t>
      </w:r>
    </w:p>
    <w:p w14:paraId="522D4434" w14:textId="17AFF363" w:rsidR="002142B2" w:rsidRPr="00063FD5" w:rsidRDefault="002142B2" w:rsidP="00063FD5">
      <w:pPr>
        <w:autoSpaceDE w:val="0"/>
        <w:autoSpaceDN w:val="0"/>
        <w:adjustRightInd w:val="0"/>
        <w:spacing w:after="0" w:line="276" w:lineRule="auto"/>
        <w:ind w:left="-567"/>
        <w:jc w:val="center"/>
        <w:rPr>
          <w:rFonts w:ascii="Montserrat" w:hAnsi="Montserrat" w:cs="Arial"/>
          <w:b/>
          <w:bCs/>
          <w:sz w:val="20"/>
          <w:szCs w:val="18"/>
        </w:rPr>
      </w:pPr>
      <w:r w:rsidRPr="00063FD5">
        <w:rPr>
          <w:rFonts w:ascii="Montserrat" w:hAnsi="Montserrat" w:cs="Arial"/>
          <w:b/>
          <w:bCs/>
          <w:sz w:val="20"/>
          <w:szCs w:val="18"/>
        </w:rPr>
        <w:t>Poblaci</w:t>
      </w:r>
      <w:r w:rsidRPr="00063FD5">
        <w:rPr>
          <w:rFonts w:ascii="Montserrat" w:hAnsi="Montserrat" w:cs="Arial" w:hint="eastAsia"/>
          <w:b/>
          <w:bCs/>
          <w:sz w:val="20"/>
          <w:szCs w:val="18"/>
        </w:rPr>
        <w:t>ó</w:t>
      </w:r>
      <w:r w:rsidRPr="00063FD5">
        <w:rPr>
          <w:rFonts w:ascii="Montserrat" w:hAnsi="Montserrat" w:cs="Arial"/>
          <w:b/>
          <w:bCs/>
          <w:sz w:val="20"/>
          <w:szCs w:val="18"/>
        </w:rPr>
        <w:t>n de 18 a 70 a</w:t>
      </w:r>
      <w:r w:rsidRPr="00063FD5">
        <w:rPr>
          <w:rFonts w:ascii="Montserrat" w:hAnsi="Montserrat" w:cs="Arial" w:hint="eastAsia"/>
          <w:b/>
          <w:bCs/>
          <w:sz w:val="20"/>
          <w:szCs w:val="18"/>
        </w:rPr>
        <w:t>ñ</w:t>
      </w:r>
      <w:r w:rsidRPr="00063FD5">
        <w:rPr>
          <w:rFonts w:ascii="Montserrat" w:hAnsi="Montserrat" w:cs="Arial"/>
          <w:b/>
          <w:bCs/>
          <w:sz w:val="20"/>
          <w:szCs w:val="18"/>
        </w:rPr>
        <w:t xml:space="preserve">os que tiene </w:t>
      </w:r>
      <w:r w:rsidR="001B39F8">
        <w:rPr>
          <w:rFonts w:ascii="Montserrat" w:hAnsi="Montserrat" w:cs="Arial"/>
          <w:b/>
          <w:bCs/>
          <w:sz w:val="20"/>
          <w:szCs w:val="18"/>
        </w:rPr>
        <w:t xml:space="preserve">al menos </w:t>
      </w:r>
      <w:r w:rsidRPr="00063FD5">
        <w:rPr>
          <w:rFonts w:ascii="Montserrat" w:hAnsi="Montserrat" w:cs="Arial"/>
          <w:b/>
          <w:bCs/>
          <w:sz w:val="20"/>
          <w:szCs w:val="18"/>
        </w:rPr>
        <w:t>un producto financiero</w:t>
      </w:r>
      <w:r w:rsidRPr="00063FD5">
        <w:rPr>
          <w:rFonts w:ascii="Montserrat" w:hAnsi="Montserrat" w:cs="Arial"/>
          <w:b/>
          <w:bCs/>
          <w:sz w:val="20"/>
          <w:szCs w:val="18"/>
          <w:vertAlign w:val="superscript"/>
        </w:rPr>
        <w:t>1</w:t>
      </w:r>
    </w:p>
    <w:p w14:paraId="05F01916" w14:textId="77777777" w:rsidR="002142B2" w:rsidRDefault="002142B2" w:rsidP="005E3002">
      <w:pPr>
        <w:autoSpaceDE w:val="0"/>
        <w:autoSpaceDN w:val="0"/>
        <w:adjustRightInd w:val="0"/>
        <w:spacing w:after="0" w:line="276" w:lineRule="auto"/>
        <w:ind w:left="-567"/>
        <w:jc w:val="center"/>
        <w:rPr>
          <w:rFonts w:ascii="Montserrat" w:hAnsi="Montserrat" w:cs="Arial"/>
          <w:bCs/>
          <w:sz w:val="18"/>
          <w:szCs w:val="18"/>
        </w:rPr>
      </w:pPr>
      <w:r w:rsidRPr="00063FD5">
        <w:rPr>
          <w:rFonts w:ascii="Montserrat" w:hAnsi="Montserrat" w:cs="Arial"/>
          <w:bCs/>
          <w:sz w:val="18"/>
          <w:szCs w:val="18"/>
        </w:rPr>
        <w:t>(Porcentaje)</w:t>
      </w:r>
    </w:p>
    <w:p w14:paraId="2D9E5A61" w14:textId="2F9F1B89" w:rsidR="002142B2" w:rsidRDefault="002142B2" w:rsidP="00063FD5">
      <w:pPr>
        <w:autoSpaceDE w:val="0"/>
        <w:autoSpaceDN w:val="0"/>
        <w:adjustRightInd w:val="0"/>
        <w:spacing w:after="0" w:line="276" w:lineRule="auto"/>
        <w:ind w:left="-567"/>
        <w:jc w:val="center"/>
        <w:rPr>
          <w:rFonts w:ascii="Arial" w:hAnsi="Arial" w:cs="Arial"/>
          <w:b/>
          <w:bCs/>
        </w:rPr>
      </w:pPr>
      <w:r>
        <w:rPr>
          <w:rFonts w:ascii="Arial" w:hAnsi="Arial" w:cs="Arial"/>
          <w:b/>
          <w:bCs/>
          <w:noProof/>
        </w:rPr>
        <w:drawing>
          <wp:inline distT="0" distB="0" distL="0" distR="0" wp14:anchorId="65012E11" wp14:editId="59A5FD14">
            <wp:extent cx="3094075" cy="142501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864" cy="1425840"/>
                    </a:xfrm>
                    <a:prstGeom prst="rect">
                      <a:avLst/>
                    </a:prstGeom>
                    <a:noFill/>
                  </pic:spPr>
                </pic:pic>
              </a:graphicData>
            </a:graphic>
          </wp:inline>
        </w:drawing>
      </w:r>
    </w:p>
    <w:p w14:paraId="2EFE0CC3" w14:textId="77777777" w:rsidR="002142B2" w:rsidRPr="00063FD5" w:rsidRDefault="002142B2" w:rsidP="00063FD5">
      <w:pPr>
        <w:autoSpaceDE w:val="0"/>
        <w:autoSpaceDN w:val="0"/>
        <w:adjustRightInd w:val="0"/>
        <w:spacing w:after="0" w:line="276" w:lineRule="auto"/>
        <w:ind w:left="1418" w:right="1985"/>
        <w:jc w:val="both"/>
        <w:rPr>
          <w:rFonts w:ascii="Montserrat" w:hAnsi="Montserrat" w:cs="Arial"/>
          <w:bCs/>
          <w:sz w:val="14"/>
          <w:szCs w:val="18"/>
        </w:rPr>
      </w:pPr>
      <w:r w:rsidRPr="00063FD5">
        <w:rPr>
          <w:rFonts w:ascii="Montserrat" w:hAnsi="Montserrat" w:cs="Arial"/>
          <w:bCs/>
          <w:sz w:val="14"/>
          <w:szCs w:val="18"/>
          <w:vertAlign w:val="superscript"/>
        </w:rPr>
        <w:t>1</w:t>
      </w:r>
      <w:r w:rsidRPr="00063FD5">
        <w:rPr>
          <w:rFonts w:ascii="Montserrat" w:hAnsi="Montserrat" w:cs="Arial"/>
          <w:bCs/>
          <w:sz w:val="14"/>
          <w:szCs w:val="18"/>
        </w:rPr>
        <w:t>Población de 18 a 70 años que declaró tener al menos una cuenta o tarjeta de ahorro, un crédito, un seguro o una cuenta de ahorro para el retiro o Afore.</w:t>
      </w:r>
    </w:p>
    <w:p w14:paraId="633C604A" w14:textId="77777777" w:rsidR="002142B2" w:rsidRPr="00063FD5" w:rsidRDefault="002142B2" w:rsidP="00063FD5">
      <w:pPr>
        <w:autoSpaceDE w:val="0"/>
        <w:autoSpaceDN w:val="0"/>
        <w:adjustRightInd w:val="0"/>
        <w:spacing w:after="0" w:line="276" w:lineRule="auto"/>
        <w:ind w:left="1418" w:right="1985"/>
        <w:jc w:val="both"/>
        <w:rPr>
          <w:rFonts w:ascii="Montserrat" w:hAnsi="Montserrat" w:cs="Arial"/>
          <w:bCs/>
          <w:sz w:val="14"/>
          <w:szCs w:val="18"/>
        </w:rPr>
      </w:pPr>
      <w:r w:rsidRPr="00063FD5">
        <w:rPr>
          <w:rFonts w:ascii="Montserrat" w:hAnsi="Montserrat" w:cs="Arial"/>
          <w:bCs/>
          <w:sz w:val="14"/>
          <w:szCs w:val="18"/>
        </w:rPr>
        <w:t>* Cambio significativo. Prueba de hipótesis con un 95% de confianza.</w:t>
      </w:r>
    </w:p>
    <w:p w14:paraId="1E46F3B7" w14:textId="77777777" w:rsidR="002142B2" w:rsidRPr="00063FD5" w:rsidRDefault="002142B2" w:rsidP="00063FD5">
      <w:pPr>
        <w:autoSpaceDE w:val="0"/>
        <w:autoSpaceDN w:val="0"/>
        <w:adjustRightInd w:val="0"/>
        <w:spacing w:after="0" w:line="276" w:lineRule="auto"/>
        <w:ind w:left="1418" w:right="1985"/>
        <w:jc w:val="both"/>
        <w:rPr>
          <w:rFonts w:ascii="Montserrat" w:hAnsi="Montserrat" w:cs="Arial"/>
          <w:bCs/>
          <w:sz w:val="14"/>
          <w:szCs w:val="18"/>
        </w:rPr>
      </w:pPr>
      <w:r w:rsidRPr="00063FD5">
        <w:rPr>
          <w:rFonts w:ascii="Montserrat" w:hAnsi="Montserrat" w:cs="Arial"/>
          <w:bCs/>
          <w:sz w:val="14"/>
          <w:szCs w:val="18"/>
        </w:rPr>
        <w:t>Nota: 2021 incluye cuentas de ahorro y créditos contratados por internet o aplicación de celular.</w:t>
      </w:r>
    </w:p>
    <w:p w14:paraId="23007E7C" w14:textId="77777777" w:rsidR="002142B2" w:rsidRPr="00063FD5" w:rsidRDefault="002142B2" w:rsidP="00063FD5">
      <w:pPr>
        <w:autoSpaceDE w:val="0"/>
        <w:autoSpaceDN w:val="0"/>
        <w:adjustRightInd w:val="0"/>
        <w:spacing w:after="0" w:line="276" w:lineRule="auto"/>
        <w:ind w:left="1418" w:right="1985"/>
        <w:jc w:val="both"/>
        <w:rPr>
          <w:rFonts w:ascii="Montserrat" w:hAnsi="Montserrat" w:cs="Arial"/>
          <w:bCs/>
          <w:sz w:val="14"/>
          <w:szCs w:val="18"/>
        </w:rPr>
      </w:pPr>
      <w:r w:rsidRPr="00063FD5">
        <w:rPr>
          <w:rFonts w:ascii="Montserrat" w:hAnsi="Montserrat" w:cs="Arial"/>
          <w:bCs/>
          <w:sz w:val="14"/>
          <w:szCs w:val="18"/>
        </w:rPr>
        <w:t>Fuente: INEGI. Encuesta Nacional de Inclusión Financiera (ENIF) 2021, ENIF 2018 y ENIF 2015.</w:t>
      </w:r>
    </w:p>
    <w:p w14:paraId="564CE573" w14:textId="7C1F97BC" w:rsidR="002142B2" w:rsidRDefault="002142B2" w:rsidP="00AF3E54">
      <w:pPr>
        <w:autoSpaceDE w:val="0"/>
        <w:autoSpaceDN w:val="0"/>
        <w:adjustRightInd w:val="0"/>
        <w:spacing w:after="0" w:line="276" w:lineRule="auto"/>
        <w:ind w:left="-567"/>
        <w:jc w:val="both"/>
        <w:rPr>
          <w:rFonts w:ascii="Montserrat" w:hAnsi="Montserrat" w:cs="Arial"/>
          <w:bCs/>
          <w:sz w:val="18"/>
          <w:szCs w:val="18"/>
        </w:rPr>
      </w:pPr>
    </w:p>
    <w:p w14:paraId="630D0F4A" w14:textId="77777777" w:rsidR="005E3002" w:rsidRDefault="005E3002" w:rsidP="00AF3E54">
      <w:pPr>
        <w:autoSpaceDE w:val="0"/>
        <w:autoSpaceDN w:val="0"/>
        <w:adjustRightInd w:val="0"/>
        <w:spacing w:after="0" w:line="276" w:lineRule="auto"/>
        <w:ind w:left="-567"/>
        <w:jc w:val="both"/>
        <w:rPr>
          <w:rFonts w:ascii="Montserrat" w:hAnsi="Montserrat" w:cs="Arial"/>
          <w:bCs/>
          <w:sz w:val="18"/>
          <w:szCs w:val="18"/>
        </w:rPr>
      </w:pPr>
    </w:p>
    <w:p w14:paraId="69EECD3C" w14:textId="24114D5A" w:rsidR="00B31CA8" w:rsidRDefault="002C32BF" w:rsidP="00AF3E54">
      <w:pPr>
        <w:pStyle w:val="Prrafodelista"/>
        <w:numPr>
          <w:ilvl w:val="0"/>
          <w:numId w:val="22"/>
        </w:numPr>
        <w:spacing w:after="240" w:line="240" w:lineRule="auto"/>
        <w:ind w:right="-518"/>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Tenencia de c</w:t>
      </w:r>
      <w:r w:rsidR="007941DA" w:rsidRPr="003F2720">
        <w:rPr>
          <w:rFonts w:ascii="Montserrat" w:eastAsia="Times New Roman" w:hAnsi="Montserrat" w:cs="Arial"/>
          <w:b/>
          <w:bCs/>
          <w:smallCaps/>
          <w:sz w:val="18"/>
          <w:szCs w:val="18"/>
          <w:lang w:eastAsia="es-MX"/>
        </w:rPr>
        <w:t>uenta</w:t>
      </w:r>
      <w:r w:rsidR="00B31CA8" w:rsidRPr="003F2720">
        <w:rPr>
          <w:rFonts w:ascii="Montserrat" w:eastAsia="Times New Roman" w:hAnsi="Montserrat" w:cs="Arial"/>
          <w:b/>
          <w:bCs/>
          <w:smallCaps/>
          <w:sz w:val="18"/>
          <w:szCs w:val="18"/>
          <w:lang w:eastAsia="es-MX"/>
        </w:rPr>
        <w:t xml:space="preserve"> de ahorro formal</w:t>
      </w:r>
      <w:r w:rsidR="00161E2F" w:rsidRPr="003F2720">
        <w:rPr>
          <w:rStyle w:val="Refdenotaalpie"/>
          <w:rFonts w:ascii="Montserrat" w:eastAsia="Times New Roman" w:hAnsi="Montserrat" w:cs="Arial"/>
          <w:b/>
          <w:bCs/>
          <w:smallCaps/>
          <w:sz w:val="18"/>
          <w:szCs w:val="18"/>
          <w:lang w:eastAsia="es-MX"/>
        </w:rPr>
        <w:footnoteReference w:id="4"/>
      </w:r>
    </w:p>
    <w:p w14:paraId="46D13682" w14:textId="77777777" w:rsidR="00AC434B" w:rsidRPr="003F2720" w:rsidRDefault="00AC434B" w:rsidP="00063FD5">
      <w:pPr>
        <w:pStyle w:val="Prrafodelista"/>
        <w:spacing w:after="240" w:line="240" w:lineRule="auto"/>
        <w:ind w:left="153" w:right="-518"/>
        <w:jc w:val="both"/>
        <w:rPr>
          <w:rFonts w:ascii="Montserrat" w:eastAsia="Times New Roman" w:hAnsi="Montserrat" w:cs="Arial"/>
          <w:b/>
          <w:bCs/>
          <w:smallCaps/>
          <w:sz w:val="18"/>
          <w:szCs w:val="18"/>
          <w:lang w:eastAsia="es-MX"/>
        </w:rPr>
      </w:pPr>
    </w:p>
    <w:p w14:paraId="094458CF" w14:textId="6903CA88" w:rsidR="00161E2F" w:rsidRPr="003F2720" w:rsidRDefault="008B30BA" w:rsidP="00FE565E">
      <w:pPr>
        <w:spacing w:after="24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 xml:space="preserve">De acuerdo </w:t>
      </w:r>
      <w:r w:rsidR="003F066C" w:rsidRPr="003F2720">
        <w:rPr>
          <w:rFonts w:ascii="Montserrat" w:eastAsia="Times New Roman" w:hAnsi="Montserrat" w:cs="Arial"/>
          <w:bCs/>
          <w:sz w:val="18"/>
          <w:szCs w:val="18"/>
          <w:lang w:eastAsia="es-MX"/>
        </w:rPr>
        <w:t>con</w:t>
      </w:r>
      <w:r w:rsidRPr="003F2720">
        <w:rPr>
          <w:rFonts w:ascii="Montserrat" w:eastAsia="Times New Roman" w:hAnsi="Montserrat" w:cs="Arial"/>
          <w:bCs/>
          <w:sz w:val="18"/>
          <w:szCs w:val="18"/>
          <w:lang w:eastAsia="es-MX"/>
        </w:rPr>
        <w:t xml:space="preserve"> la ENIF 2021, 41.1 millones de personas de 18 a 70 años </w:t>
      </w:r>
      <w:r w:rsidR="00D807C6" w:rsidRPr="003F2720">
        <w:rPr>
          <w:rFonts w:ascii="Montserrat" w:eastAsia="Times New Roman" w:hAnsi="Montserrat" w:cs="Arial"/>
          <w:bCs/>
          <w:sz w:val="18"/>
          <w:szCs w:val="18"/>
          <w:lang w:eastAsia="es-MX"/>
        </w:rPr>
        <w:t xml:space="preserve">tenían </w:t>
      </w:r>
      <w:r w:rsidRPr="003F2720">
        <w:rPr>
          <w:rFonts w:ascii="Montserrat" w:eastAsia="Times New Roman" w:hAnsi="Montserrat" w:cs="Arial"/>
          <w:bCs/>
          <w:sz w:val="18"/>
          <w:szCs w:val="18"/>
          <w:lang w:eastAsia="es-MX"/>
        </w:rPr>
        <w:t>al menos una cuenta de ahorro formal</w:t>
      </w:r>
      <w:r w:rsidR="00FE565E" w:rsidRPr="003F2720">
        <w:rPr>
          <w:rFonts w:ascii="Montserrat" w:eastAsia="Times New Roman" w:hAnsi="Montserrat" w:cs="Arial"/>
          <w:bCs/>
          <w:sz w:val="18"/>
          <w:szCs w:val="18"/>
          <w:lang w:eastAsia="es-MX"/>
        </w:rPr>
        <w:t xml:space="preserve"> (cuenta bancaria </w:t>
      </w:r>
      <w:r w:rsidR="009E4B3D" w:rsidRPr="003F2720">
        <w:rPr>
          <w:rFonts w:ascii="Montserrat" w:eastAsia="Times New Roman" w:hAnsi="Montserrat" w:cs="Arial"/>
          <w:bCs/>
          <w:sz w:val="18"/>
          <w:szCs w:val="18"/>
          <w:lang w:eastAsia="es-MX"/>
        </w:rPr>
        <w:t>o en</w:t>
      </w:r>
      <w:r w:rsidR="00FE565E" w:rsidRPr="003F2720">
        <w:rPr>
          <w:rFonts w:ascii="Montserrat" w:eastAsia="Times New Roman" w:hAnsi="Montserrat" w:cs="Arial"/>
          <w:bCs/>
          <w:sz w:val="18"/>
          <w:szCs w:val="18"/>
          <w:lang w:eastAsia="es-MX"/>
        </w:rPr>
        <w:t xml:space="preserve"> institución financiera), cifra </w:t>
      </w:r>
      <w:r w:rsidR="00F32BD9" w:rsidRPr="003F2720">
        <w:rPr>
          <w:rFonts w:ascii="Montserrat" w:eastAsia="Times New Roman" w:hAnsi="Montserrat" w:cs="Arial"/>
          <w:bCs/>
          <w:sz w:val="18"/>
          <w:szCs w:val="18"/>
          <w:lang w:eastAsia="es-MX"/>
        </w:rPr>
        <w:t>que</w:t>
      </w:r>
      <w:r w:rsidRPr="003F2720">
        <w:rPr>
          <w:rFonts w:ascii="Montserrat" w:eastAsia="Times New Roman" w:hAnsi="Montserrat" w:cs="Arial"/>
          <w:bCs/>
          <w:sz w:val="18"/>
          <w:szCs w:val="18"/>
          <w:lang w:eastAsia="es-MX"/>
        </w:rPr>
        <w:t xml:space="preserve"> </w:t>
      </w:r>
      <w:r w:rsidR="00242B4C" w:rsidRPr="003F2720">
        <w:rPr>
          <w:rFonts w:ascii="Montserrat" w:eastAsia="Times New Roman" w:hAnsi="Montserrat" w:cs="Arial"/>
          <w:bCs/>
          <w:sz w:val="18"/>
          <w:szCs w:val="18"/>
          <w:lang w:eastAsia="es-MX"/>
        </w:rPr>
        <w:t>representa</w:t>
      </w:r>
      <w:r w:rsidRPr="003F2720">
        <w:rPr>
          <w:rFonts w:ascii="Montserrat" w:eastAsia="Times New Roman" w:hAnsi="Montserrat" w:cs="Arial"/>
          <w:bCs/>
          <w:sz w:val="18"/>
          <w:szCs w:val="18"/>
          <w:lang w:eastAsia="es-MX"/>
        </w:rPr>
        <w:t xml:space="preserve"> 49.1% de la población </w:t>
      </w:r>
      <w:r w:rsidR="00FE565E" w:rsidRPr="003F2720">
        <w:rPr>
          <w:rFonts w:ascii="Montserrat" w:eastAsia="Times New Roman" w:hAnsi="Montserrat" w:cs="Arial"/>
          <w:bCs/>
          <w:sz w:val="18"/>
          <w:szCs w:val="18"/>
          <w:lang w:eastAsia="es-MX"/>
        </w:rPr>
        <w:t>en</w:t>
      </w:r>
      <w:r w:rsidRPr="003F2720">
        <w:rPr>
          <w:rFonts w:ascii="Montserrat" w:eastAsia="Times New Roman" w:hAnsi="Montserrat" w:cs="Arial"/>
          <w:bCs/>
          <w:sz w:val="18"/>
          <w:szCs w:val="18"/>
          <w:lang w:eastAsia="es-MX"/>
        </w:rPr>
        <w:t xml:space="preserve"> ese rango de edad</w:t>
      </w:r>
      <w:r w:rsidR="003F066C" w:rsidRPr="003F2720">
        <w:rPr>
          <w:rFonts w:ascii="Montserrat" w:eastAsia="Times New Roman" w:hAnsi="Montserrat" w:cs="Arial"/>
          <w:bCs/>
          <w:sz w:val="18"/>
          <w:szCs w:val="18"/>
          <w:lang w:eastAsia="es-MX"/>
        </w:rPr>
        <w:t>.</w:t>
      </w:r>
      <w:r w:rsidR="00161E2F" w:rsidRPr="003F2720">
        <w:rPr>
          <w:rFonts w:ascii="Montserrat" w:eastAsia="Times New Roman" w:hAnsi="Montserrat" w:cs="Arial"/>
          <w:bCs/>
          <w:sz w:val="18"/>
          <w:szCs w:val="18"/>
          <w:lang w:eastAsia="es-MX"/>
        </w:rPr>
        <w:t xml:space="preserve"> </w:t>
      </w:r>
      <w:r w:rsidR="00FE565E" w:rsidRPr="003F2720">
        <w:rPr>
          <w:rFonts w:ascii="Montserrat" w:eastAsia="Times New Roman" w:hAnsi="Montserrat" w:cs="Arial"/>
          <w:bCs/>
          <w:sz w:val="18"/>
          <w:szCs w:val="18"/>
          <w:lang w:eastAsia="es-MX"/>
        </w:rPr>
        <w:t>En 2018, e</w:t>
      </w:r>
      <w:r w:rsidR="00172D3E" w:rsidRPr="003F2720">
        <w:rPr>
          <w:rFonts w:ascii="Montserrat" w:eastAsia="Times New Roman" w:hAnsi="Montserrat" w:cs="Arial"/>
          <w:bCs/>
          <w:sz w:val="18"/>
          <w:szCs w:val="18"/>
          <w:lang w:eastAsia="es-MX"/>
        </w:rPr>
        <w:t xml:space="preserve">ste dato </w:t>
      </w:r>
      <w:r w:rsidR="009E4B3D" w:rsidRPr="003F2720">
        <w:rPr>
          <w:rFonts w:ascii="Montserrat" w:eastAsia="Times New Roman" w:hAnsi="Montserrat" w:cs="Arial"/>
          <w:bCs/>
          <w:sz w:val="18"/>
          <w:szCs w:val="18"/>
          <w:lang w:eastAsia="es-MX"/>
        </w:rPr>
        <w:t>fue de</w:t>
      </w:r>
      <w:r w:rsidR="00172D3E" w:rsidRPr="003F2720">
        <w:rPr>
          <w:rFonts w:ascii="Montserrat" w:eastAsia="Times New Roman" w:hAnsi="Montserrat" w:cs="Arial"/>
          <w:bCs/>
          <w:sz w:val="18"/>
          <w:szCs w:val="18"/>
          <w:lang w:eastAsia="es-MX"/>
        </w:rPr>
        <w:t xml:space="preserve"> 47.1</w:t>
      </w:r>
      <w:r w:rsidR="00227EF4">
        <w:rPr>
          <w:rFonts w:ascii="Montserrat" w:eastAsia="Times New Roman" w:hAnsi="Montserrat" w:cs="Arial"/>
          <w:bCs/>
          <w:sz w:val="18"/>
          <w:szCs w:val="18"/>
          <w:lang w:eastAsia="es-MX"/>
        </w:rPr>
        <w:t xml:space="preserve"> </w:t>
      </w:r>
      <w:r w:rsidR="00C82962">
        <w:rPr>
          <w:rFonts w:ascii="Montserrat" w:eastAsia="Times New Roman" w:hAnsi="Montserrat" w:cs="Arial"/>
          <w:bCs/>
          <w:sz w:val="18"/>
          <w:szCs w:val="18"/>
          <w:lang w:eastAsia="es-MX"/>
        </w:rPr>
        <w:t>por ciento</w:t>
      </w:r>
      <w:r w:rsidR="00C82962" w:rsidRPr="003F2720">
        <w:rPr>
          <w:rFonts w:ascii="Montserrat" w:eastAsia="Times New Roman" w:hAnsi="Montserrat" w:cs="Arial"/>
          <w:bCs/>
          <w:sz w:val="18"/>
          <w:szCs w:val="18"/>
          <w:lang w:eastAsia="es-MX"/>
        </w:rPr>
        <w:t>.</w:t>
      </w:r>
    </w:p>
    <w:p w14:paraId="1CD384C0" w14:textId="2242AF54" w:rsidR="00395A36" w:rsidRPr="003F2720" w:rsidRDefault="007669DE" w:rsidP="00377CAB">
      <w:pPr>
        <w:spacing w:after="240" w:line="240" w:lineRule="auto"/>
        <w:ind w:left="-567"/>
        <w:jc w:val="both"/>
        <w:rPr>
          <w:rFonts w:ascii="Montserrat" w:eastAsia="Times New Roman" w:hAnsi="Montserrat" w:cs="Arial"/>
          <w:bCs/>
          <w:sz w:val="18"/>
          <w:szCs w:val="18"/>
          <w:lang w:eastAsia="es-MX"/>
        </w:rPr>
      </w:pPr>
      <w:r w:rsidRPr="007669DE">
        <w:rPr>
          <w:rFonts w:ascii="Montserrat" w:eastAsia="Times New Roman" w:hAnsi="Montserrat" w:cs="Arial"/>
          <w:bCs/>
          <w:sz w:val="18"/>
          <w:szCs w:val="18"/>
          <w:lang w:eastAsia="es-MX"/>
        </w:rPr>
        <w:t xml:space="preserve">Distinguiendo </w:t>
      </w:r>
      <w:r>
        <w:rPr>
          <w:rFonts w:ascii="Montserrat" w:eastAsia="Times New Roman" w:hAnsi="Montserrat" w:cs="Arial"/>
          <w:bCs/>
          <w:sz w:val="18"/>
          <w:szCs w:val="18"/>
          <w:lang w:eastAsia="es-MX"/>
        </w:rPr>
        <w:t>p</w:t>
      </w:r>
      <w:r w:rsidR="00161E2F" w:rsidRPr="003F2720">
        <w:rPr>
          <w:rFonts w:ascii="Montserrat" w:eastAsia="Times New Roman" w:hAnsi="Montserrat" w:cs="Arial"/>
          <w:bCs/>
          <w:sz w:val="18"/>
          <w:szCs w:val="18"/>
          <w:lang w:eastAsia="es-MX"/>
        </w:rPr>
        <w:t xml:space="preserve">or sexo, </w:t>
      </w:r>
      <w:r w:rsidR="008B30BA" w:rsidRPr="003F2720">
        <w:rPr>
          <w:rFonts w:ascii="Montserrat" w:eastAsia="Times New Roman" w:hAnsi="Montserrat" w:cs="Arial"/>
          <w:bCs/>
          <w:sz w:val="18"/>
          <w:szCs w:val="18"/>
          <w:lang w:eastAsia="es-MX"/>
        </w:rPr>
        <w:t>42.6% de las mujeres</w:t>
      </w:r>
      <w:r w:rsidR="003F066C" w:rsidRPr="003F2720">
        <w:rPr>
          <w:rFonts w:ascii="Montserrat" w:eastAsia="Times New Roman" w:hAnsi="Montserrat" w:cs="Arial"/>
          <w:bCs/>
          <w:sz w:val="18"/>
          <w:szCs w:val="18"/>
          <w:lang w:eastAsia="es-MX"/>
        </w:rPr>
        <w:t xml:space="preserve"> </w:t>
      </w:r>
      <w:r w:rsidR="0045040F" w:rsidRPr="003F2720">
        <w:rPr>
          <w:rFonts w:ascii="Montserrat" w:eastAsia="Times New Roman" w:hAnsi="Montserrat" w:cs="Arial"/>
          <w:bCs/>
          <w:sz w:val="18"/>
          <w:szCs w:val="18"/>
          <w:lang w:eastAsia="es-MX"/>
        </w:rPr>
        <w:t xml:space="preserve">y 56.4% de los hombres </w:t>
      </w:r>
      <w:r w:rsidR="003F066C" w:rsidRPr="003F2720">
        <w:rPr>
          <w:rFonts w:ascii="Montserrat" w:eastAsia="Times New Roman" w:hAnsi="Montserrat" w:cs="Arial"/>
          <w:bCs/>
          <w:sz w:val="18"/>
          <w:szCs w:val="18"/>
          <w:lang w:eastAsia="es-MX"/>
        </w:rPr>
        <w:t xml:space="preserve">de 18 a 70 años </w:t>
      </w:r>
      <w:r w:rsidR="005D24F4" w:rsidRPr="003F2720">
        <w:rPr>
          <w:rFonts w:ascii="Montserrat" w:eastAsia="Times New Roman" w:hAnsi="Montserrat" w:cs="Arial"/>
          <w:bCs/>
          <w:sz w:val="18"/>
          <w:szCs w:val="18"/>
          <w:lang w:eastAsia="es-MX"/>
        </w:rPr>
        <w:t xml:space="preserve">tenían </w:t>
      </w:r>
      <w:r w:rsidR="003F066C" w:rsidRPr="003F2720">
        <w:rPr>
          <w:rFonts w:ascii="Montserrat" w:eastAsia="Times New Roman" w:hAnsi="Montserrat" w:cs="Arial"/>
          <w:bCs/>
          <w:sz w:val="18"/>
          <w:szCs w:val="18"/>
          <w:lang w:eastAsia="es-MX"/>
        </w:rPr>
        <w:t>una cuenta de ahorro formal</w:t>
      </w:r>
      <w:r w:rsidR="00FE565E" w:rsidRPr="003F2720">
        <w:rPr>
          <w:rFonts w:ascii="Montserrat" w:eastAsia="Times New Roman" w:hAnsi="Montserrat" w:cs="Arial"/>
          <w:bCs/>
          <w:sz w:val="18"/>
          <w:szCs w:val="18"/>
          <w:lang w:eastAsia="es-MX"/>
        </w:rPr>
        <w:t xml:space="preserve">, </w:t>
      </w:r>
      <w:r w:rsidR="000B697B" w:rsidRPr="003F2720">
        <w:rPr>
          <w:rFonts w:ascii="Montserrat" w:eastAsia="Times New Roman" w:hAnsi="Montserrat" w:cs="Arial"/>
          <w:bCs/>
          <w:sz w:val="18"/>
          <w:szCs w:val="18"/>
          <w:lang w:eastAsia="es-MX"/>
        </w:rPr>
        <w:t>mostrando</w:t>
      </w:r>
      <w:r w:rsidR="00FE565E" w:rsidRPr="003F2720">
        <w:rPr>
          <w:rFonts w:ascii="Montserrat" w:eastAsia="Times New Roman" w:hAnsi="Montserrat" w:cs="Arial"/>
          <w:bCs/>
          <w:sz w:val="18"/>
          <w:szCs w:val="18"/>
          <w:lang w:eastAsia="es-MX"/>
        </w:rPr>
        <w:t xml:space="preserve"> una </w:t>
      </w:r>
      <w:r w:rsidR="00161E2F" w:rsidRPr="003F2720">
        <w:rPr>
          <w:rFonts w:ascii="Montserrat" w:eastAsia="Times New Roman" w:hAnsi="Montserrat" w:cs="Arial"/>
          <w:bCs/>
          <w:sz w:val="18"/>
          <w:szCs w:val="18"/>
          <w:lang w:eastAsia="es-MX"/>
        </w:rPr>
        <w:t>brecha entre hombres y mujeres de 13.8 puntos porcentuales</w:t>
      </w:r>
      <w:r>
        <w:rPr>
          <w:rFonts w:ascii="Montserrat" w:eastAsia="Times New Roman" w:hAnsi="Montserrat" w:cs="Arial"/>
          <w:bCs/>
          <w:sz w:val="18"/>
          <w:szCs w:val="18"/>
          <w:lang w:eastAsia="es-MX"/>
        </w:rPr>
        <w:t xml:space="preserve"> a favor de los hombres</w:t>
      </w:r>
      <w:r w:rsidR="00FE565E" w:rsidRPr="003F2720">
        <w:rPr>
          <w:rFonts w:ascii="Montserrat" w:eastAsia="Times New Roman" w:hAnsi="Montserrat" w:cs="Arial"/>
          <w:bCs/>
          <w:sz w:val="18"/>
          <w:szCs w:val="18"/>
          <w:lang w:eastAsia="es-MX"/>
        </w:rPr>
        <w:t>.</w:t>
      </w:r>
    </w:p>
    <w:p w14:paraId="4F07973F" w14:textId="65D1DD3B" w:rsidR="00F371FA" w:rsidRDefault="00CD655A" w:rsidP="00CD655A">
      <w:pPr>
        <w:spacing w:after="24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 xml:space="preserve">El </w:t>
      </w:r>
      <w:r w:rsidR="00F371FA" w:rsidRPr="003F2720">
        <w:rPr>
          <w:rFonts w:ascii="Montserrat" w:eastAsia="Times New Roman" w:hAnsi="Montserrat" w:cs="Arial"/>
          <w:bCs/>
          <w:sz w:val="18"/>
          <w:szCs w:val="18"/>
          <w:lang w:eastAsia="es-MX"/>
        </w:rPr>
        <w:t>32.2% de la población de 18 a 70 años</w:t>
      </w:r>
      <w:r w:rsidR="00F728A8" w:rsidRPr="003F2720">
        <w:rPr>
          <w:rFonts w:ascii="Montserrat" w:eastAsia="Times New Roman" w:hAnsi="Montserrat" w:cs="Arial"/>
          <w:bCs/>
          <w:sz w:val="18"/>
          <w:szCs w:val="18"/>
          <w:lang w:eastAsia="es-MX"/>
        </w:rPr>
        <w:t xml:space="preserve"> </w:t>
      </w:r>
      <w:r w:rsidR="00773A21" w:rsidRPr="003F2720">
        <w:rPr>
          <w:rFonts w:ascii="Montserrat" w:eastAsia="Times New Roman" w:hAnsi="Montserrat" w:cs="Arial"/>
          <w:bCs/>
          <w:sz w:val="18"/>
          <w:szCs w:val="18"/>
          <w:lang w:eastAsia="es-MX"/>
        </w:rPr>
        <w:t xml:space="preserve">tenía </w:t>
      </w:r>
      <w:r w:rsidR="00F371FA" w:rsidRPr="003F2720">
        <w:rPr>
          <w:rFonts w:ascii="Montserrat" w:eastAsia="Times New Roman" w:hAnsi="Montserrat" w:cs="Arial"/>
          <w:bCs/>
          <w:i/>
          <w:sz w:val="18"/>
          <w:szCs w:val="18"/>
          <w:lang w:eastAsia="es-MX"/>
        </w:rPr>
        <w:t>cuenta de nómina o pensión</w:t>
      </w:r>
      <w:r w:rsidR="00F371FA" w:rsidRPr="003F2720">
        <w:rPr>
          <w:rFonts w:ascii="Montserrat" w:eastAsia="Times New Roman" w:hAnsi="Montserrat" w:cs="Arial"/>
          <w:bCs/>
          <w:sz w:val="18"/>
          <w:szCs w:val="18"/>
          <w:lang w:eastAsia="es-MX"/>
        </w:rPr>
        <w:t xml:space="preserve">. En comparación con la ENIF 2018, </w:t>
      </w:r>
      <w:r w:rsidR="00DE7B0F" w:rsidRPr="003F2720">
        <w:rPr>
          <w:rFonts w:ascii="Montserrat" w:eastAsia="Times New Roman" w:hAnsi="Montserrat" w:cs="Arial"/>
          <w:bCs/>
          <w:sz w:val="18"/>
          <w:szCs w:val="18"/>
          <w:lang w:eastAsia="es-MX"/>
        </w:rPr>
        <w:t>est</w:t>
      </w:r>
      <w:r w:rsidR="00463A1B" w:rsidRPr="003F2720">
        <w:rPr>
          <w:rFonts w:ascii="Montserrat" w:eastAsia="Times New Roman" w:hAnsi="Montserrat" w:cs="Arial"/>
          <w:bCs/>
          <w:sz w:val="18"/>
          <w:szCs w:val="18"/>
          <w:lang w:eastAsia="es-MX"/>
        </w:rPr>
        <w:t>e</w:t>
      </w:r>
      <w:r w:rsidR="00DE7B0F" w:rsidRPr="003F2720">
        <w:rPr>
          <w:rFonts w:ascii="Montserrat" w:eastAsia="Times New Roman" w:hAnsi="Montserrat" w:cs="Arial"/>
          <w:bCs/>
          <w:sz w:val="18"/>
          <w:szCs w:val="18"/>
          <w:lang w:eastAsia="es-MX"/>
        </w:rPr>
        <w:t xml:space="preserve"> </w:t>
      </w:r>
      <w:r w:rsidR="00463A1B" w:rsidRPr="003F2720">
        <w:rPr>
          <w:rFonts w:ascii="Montserrat" w:eastAsia="Times New Roman" w:hAnsi="Montserrat" w:cs="Arial"/>
          <w:bCs/>
          <w:sz w:val="18"/>
          <w:szCs w:val="18"/>
          <w:lang w:eastAsia="es-MX"/>
        </w:rPr>
        <w:t>indicador</w:t>
      </w:r>
      <w:r w:rsidR="00DE7B0F" w:rsidRPr="003F2720">
        <w:rPr>
          <w:rFonts w:ascii="Montserrat" w:eastAsia="Times New Roman" w:hAnsi="Montserrat" w:cs="Arial"/>
          <w:bCs/>
          <w:sz w:val="18"/>
          <w:szCs w:val="18"/>
          <w:lang w:eastAsia="es-MX"/>
        </w:rPr>
        <w:t xml:space="preserve"> </w:t>
      </w:r>
      <w:r w:rsidR="00B10CDB" w:rsidRPr="003F2720">
        <w:rPr>
          <w:rFonts w:ascii="Montserrat" w:eastAsia="Times New Roman" w:hAnsi="Montserrat" w:cs="Arial"/>
          <w:bCs/>
          <w:sz w:val="18"/>
          <w:szCs w:val="18"/>
          <w:lang w:eastAsia="es-MX"/>
        </w:rPr>
        <w:t>muestra</w:t>
      </w:r>
      <w:r w:rsidR="00DE7B0F" w:rsidRPr="003F2720">
        <w:rPr>
          <w:rFonts w:ascii="Montserrat" w:eastAsia="Times New Roman" w:hAnsi="Montserrat" w:cs="Arial"/>
          <w:bCs/>
          <w:sz w:val="18"/>
          <w:szCs w:val="18"/>
          <w:lang w:eastAsia="es-MX"/>
        </w:rPr>
        <w:t xml:space="preserve"> </w:t>
      </w:r>
      <w:r w:rsidR="00F371FA" w:rsidRPr="003F2720">
        <w:rPr>
          <w:rFonts w:ascii="Montserrat" w:eastAsia="Times New Roman" w:hAnsi="Montserrat" w:cs="Arial"/>
          <w:bCs/>
          <w:sz w:val="18"/>
          <w:szCs w:val="18"/>
          <w:lang w:eastAsia="es-MX"/>
        </w:rPr>
        <w:t xml:space="preserve">un crecimiento de 3.7 puntos porcentuales. </w:t>
      </w:r>
    </w:p>
    <w:p w14:paraId="5FBF4E1B" w14:textId="77777777" w:rsidR="002142B2" w:rsidRPr="00063FD5" w:rsidRDefault="002142B2" w:rsidP="00063FD5">
      <w:pPr>
        <w:autoSpaceDE w:val="0"/>
        <w:autoSpaceDN w:val="0"/>
        <w:adjustRightInd w:val="0"/>
        <w:spacing w:after="0" w:line="276" w:lineRule="auto"/>
        <w:ind w:left="-567"/>
        <w:jc w:val="center"/>
        <w:rPr>
          <w:rFonts w:ascii="Montserrat" w:hAnsi="Montserrat" w:cs="Arial"/>
          <w:bCs/>
          <w:sz w:val="18"/>
          <w:szCs w:val="18"/>
        </w:rPr>
      </w:pPr>
      <w:r w:rsidRPr="00063FD5">
        <w:rPr>
          <w:rFonts w:ascii="Montserrat" w:hAnsi="Montserrat" w:cs="Arial"/>
          <w:bCs/>
          <w:sz w:val="18"/>
          <w:szCs w:val="18"/>
        </w:rPr>
        <w:t>Gráfica 2.</w:t>
      </w:r>
    </w:p>
    <w:p w14:paraId="492446A9" w14:textId="77777777" w:rsidR="002142B2" w:rsidRPr="00063FD5" w:rsidRDefault="002142B2" w:rsidP="00063FD5">
      <w:pPr>
        <w:autoSpaceDE w:val="0"/>
        <w:autoSpaceDN w:val="0"/>
        <w:adjustRightInd w:val="0"/>
        <w:spacing w:after="0" w:line="276" w:lineRule="auto"/>
        <w:ind w:left="-567"/>
        <w:jc w:val="center"/>
        <w:rPr>
          <w:rFonts w:ascii="Montserrat" w:hAnsi="Montserrat" w:cs="Arial"/>
          <w:b/>
          <w:bCs/>
          <w:sz w:val="20"/>
          <w:szCs w:val="18"/>
        </w:rPr>
      </w:pPr>
      <w:r w:rsidRPr="00063FD5">
        <w:rPr>
          <w:rFonts w:ascii="Montserrat" w:hAnsi="Montserrat" w:cs="Arial"/>
          <w:b/>
          <w:bCs/>
          <w:sz w:val="20"/>
          <w:szCs w:val="18"/>
        </w:rPr>
        <w:t>Poblaci</w:t>
      </w:r>
      <w:r w:rsidRPr="00063FD5">
        <w:rPr>
          <w:rFonts w:ascii="Montserrat" w:hAnsi="Montserrat" w:cs="Arial" w:hint="eastAsia"/>
          <w:b/>
          <w:bCs/>
          <w:sz w:val="20"/>
          <w:szCs w:val="18"/>
        </w:rPr>
        <w:t>ó</w:t>
      </w:r>
      <w:r w:rsidRPr="00063FD5">
        <w:rPr>
          <w:rFonts w:ascii="Montserrat" w:hAnsi="Montserrat" w:cs="Arial"/>
          <w:b/>
          <w:bCs/>
          <w:sz w:val="20"/>
          <w:szCs w:val="18"/>
        </w:rPr>
        <w:t>n de 18 a 70 a</w:t>
      </w:r>
      <w:r w:rsidRPr="00063FD5">
        <w:rPr>
          <w:rFonts w:ascii="Montserrat" w:hAnsi="Montserrat" w:cs="Arial" w:hint="eastAsia"/>
          <w:b/>
          <w:bCs/>
          <w:sz w:val="20"/>
          <w:szCs w:val="18"/>
        </w:rPr>
        <w:t>ñ</w:t>
      </w:r>
      <w:r w:rsidRPr="00063FD5">
        <w:rPr>
          <w:rFonts w:ascii="Montserrat" w:hAnsi="Montserrat" w:cs="Arial"/>
          <w:b/>
          <w:bCs/>
          <w:sz w:val="20"/>
          <w:szCs w:val="18"/>
        </w:rPr>
        <w:t>os que tiene cuenta de ahorro formal</w:t>
      </w:r>
      <w:r w:rsidRPr="00063FD5">
        <w:rPr>
          <w:rFonts w:ascii="Montserrat" w:hAnsi="Montserrat" w:cs="Arial"/>
          <w:b/>
          <w:bCs/>
          <w:sz w:val="20"/>
          <w:szCs w:val="18"/>
          <w:vertAlign w:val="superscript"/>
        </w:rPr>
        <w:t>1</w:t>
      </w:r>
      <w:r w:rsidRPr="00063FD5">
        <w:rPr>
          <w:rFonts w:ascii="Montserrat" w:hAnsi="Montserrat" w:cs="Arial"/>
          <w:b/>
          <w:bCs/>
          <w:sz w:val="20"/>
          <w:szCs w:val="18"/>
        </w:rPr>
        <w:t xml:space="preserve"> </w:t>
      </w:r>
    </w:p>
    <w:p w14:paraId="0FB7ADF8" w14:textId="77777777" w:rsidR="002142B2" w:rsidRPr="00063FD5" w:rsidRDefault="002142B2" w:rsidP="00063FD5">
      <w:pPr>
        <w:autoSpaceDE w:val="0"/>
        <w:autoSpaceDN w:val="0"/>
        <w:adjustRightInd w:val="0"/>
        <w:spacing w:after="0" w:line="276" w:lineRule="auto"/>
        <w:ind w:left="-567"/>
        <w:jc w:val="center"/>
        <w:rPr>
          <w:rFonts w:ascii="Montserrat" w:hAnsi="Montserrat" w:cs="Arial"/>
          <w:bCs/>
          <w:sz w:val="18"/>
          <w:szCs w:val="18"/>
        </w:rPr>
      </w:pPr>
      <w:r w:rsidRPr="00063FD5">
        <w:rPr>
          <w:rFonts w:ascii="Montserrat" w:hAnsi="Montserrat" w:cs="Arial"/>
          <w:bCs/>
          <w:sz w:val="18"/>
          <w:szCs w:val="18"/>
        </w:rPr>
        <w:t>(Porcentaje)</w:t>
      </w:r>
    </w:p>
    <w:p w14:paraId="1499BE24" w14:textId="77777777" w:rsidR="002142B2" w:rsidRDefault="002142B2" w:rsidP="002142B2">
      <w:pPr>
        <w:spacing w:after="0" w:line="240" w:lineRule="auto"/>
        <w:jc w:val="center"/>
        <w:rPr>
          <w:rFonts w:ascii="Arial" w:eastAsia="Times New Roman" w:hAnsi="Arial" w:cs="Arial"/>
          <w:b/>
          <w:bCs/>
          <w:lang w:eastAsia="es-MX"/>
        </w:rPr>
      </w:pPr>
      <w:r>
        <w:rPr>
          <w:rFonts w:ascii="Arial" w:eastAsia="Times New Roman" w:hAnsi="Arial" w:cs="Arial"/>
          <w:b/>
          <w:bCs/>
          <w:noProof/>
          <w:lang w:eastAsia="es-MX"/>
        </w:rPr>
        <w:lastRenderedPageBreak/>
        <w:drawing>
          <wp:inline distT="0" distB="0" distL="0" distR="0" wp14:anchorId="32FC122A" wp14:editId="5F7BBBAF">
            <wp:extent cx="3157869" cy="1568102"/>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4917" cy="1581533"/>
                    </a:xfrm>
                    <a:prstGeom prst="rect">
                      <a:avLst/>
                    </a:prstGeom>
                    <a:noFill/>
                  </pic:spPr>
                </pic:pic>
              </a:graphicData>
            </a:graphic>
          </wp:inline>
        </w:drawing>
      </w:r>
    </w:p>
    <w:p w14:paraId="692023A6" w14:textId="79A53BC5" w:rsidR="002142B2" w:rsidRPr="00063FD5" w:rsidRDefault="002142B2" w:rsidP="00063FD5">
      <w:pPr>
        <w:autoSpaceDE w:val="0"/>
        <w:autoSpaceDN w:val="0"/>
        <w:adjustRightInd w:val="0"/>
        <w:spacing w:after="0" w:line="276" w:lineRule="auto"/>
        <w:ind w:left="1418" w:right="2126"/>
        <w:jc w:val="both"/>
        <w:rPr>
          <w:rFonts w:ascii="Montserrat" w:hAnsi="Montserrat" w:cs="Arial"/>
          <w:bCs/>
          <w:sz w:val="14"/>
          <w:szCs w:val="14"/>
        </w:rPr>
      </w:pPr>
      <w:r w:rsidRPr="00063FD5">
        <w:rPr>
          <w:rFonts w:ascii="Montserrat" w:hAnsi="Montserrat" w:cs="Arial"/>
          <w:bCs/>
          <w:sz w:val="14"/>
          <w:szCs w:val="14"/>
          <w:vertAlign w:val="superscript"/>
        </w:rPr>
        <w:t>1</w:t>
      </w:r>
      <w:r w:rsidRPr="00063FD5">
        <w:rPr>
          <w:rFonts w:ascii="Montserrat" w:hAnsi="Montserrat" w:cs="Arial"/>
          <w:bCs/>
          <w:sz w:val="14"/>
          <w:szCs w:val="14"/>
        </w:rPr>
        <w:t xml:space="preserve"> Incluye la tenencia de cuenta o tarjeta de nómina, de pensión, para recibir apoyos de gobierno, cuenta de ahorro, cuenta de cheques, depósitos a plazos fijo, fondo de inversión u otro. Para 2021, incluye cuenta contratada de internet o aplicación</w:t>
      </w:r>
      <w:r w:rsidR="008D19D2">
        <w:rPr>
          <w:rFonts w:ascii="Montserrat" w:hAnsi="Montserrat" w:cs="Arial"/>
          <w:bCs/>
          <w:sz w:val="14"/>
          <w:szCs w:val="14"/>
        </w:rPr>
        <w:t xml:space="preserve"> de celular</w:t>
      </w:r>
      <w:r w:rsidRPr="00063FD5">
        <w:rPr>
          <w:rFonts w:ascii="Montserrat" w:hAnsi="Montserrat" w:cs="Arial"/>
          <w:bCs/>
          <w:sz w:val="14"/>
          <w:szCs w:val="14"/>
        </w:rPr>
        <w:t>.</w:t>
      </w:r>
    </w:p>
    <w:p w14:paraId="11047678" w14:textId="77777777" w:rsidR="002142B2" w:rsidRPr="00063FD5" w:rsidRDefault="002142B2" w:rsidP="00063FD5">
      <w:pPr>
        <w:autoSpaceDE w:val="0"/>
        <w:autoSpaceDN w:val="0"/>
        <w:adjustRightInd w:val="0"/>
        <w:spacing w:after="0" w:line="276" w:lineRule="auto"/>
        <w:ind w:left="1418" w:right="2126"/>
        <w:jc w:val="both"/>
        <w:rPr>
          <w:rFonts w:ascii="Montserrat" w:hAnsi="Montserrat" w:cs="Arial"/>
          <w:bCs/>
          <w:sz w:val="14"/>
          <w:szCs w:val="14"/>
        </w:rPr>
      </w:pPr>
      <w:r w:rsidRPr="00063FD5">
        <w:rPr>
          <w:rFonts w:ascii="Montserrat" w:hAnsi="Montserrat" w:cs="Arial"/>
          <w:bCs/>
          <w:sz w:val="14"/>
          <w:szCs w:val="14"/>
        </w:rPr>
        <w:t>* Cambio significativo. Prueba de hipótesis con un 95% de confianza.</w:t>
      </w:r>
    </w:p>
    <w:p w14:paraId="734180EE" w14:textId="77777777" w:rsidR="002142B2" w:rsidRPr="00063FD5" w:rsidRDefault="002142B2" w:rsidP="00063FD5">
      <w:pPr>
        <w:autoSpaceDE w:val="0"/>
        <w:autoSpaceDN w:val="0"/>
        <w:adjustRightInd w:val="0"/>
        <w:spacing w:after="0" w:line="276" w:lineRule="auto"/>
        <w:ind w:left="1418" w:right="2126"/>
        <w:jc w:val="both"/>
        <w:rPr>
          <w:rFonts w:ascii="Montserrat" w:hAnsi="Montserrat" w:cs="Arial"/>
          <w:bCs/>
          <w:sz w:val="14"/>
          <w:szCs w:val="14"/>
        </w:rPr>
      </w:pPr>
      <w:r w:rsidRPr="00063FD5">
        <w:rPr>
          <w:rFonts w:ascii="Montserrat" w:hAnsi="Montserrat" w:cs="Arial"/>
          <w:bCs/>
          <w:sz w:val="14"/>
          <w:szCs w:val="14"/>
        </w:rPr>
        <w:t>Fuente: INEGI. Encuesta Nacional de Inclusión Financiera (ENIF) 2021, ENIF 2018 y ENIF 2015.</w:t>
      </w:r>
    </w:p>
    <w:p w14:paraId="5C869A5E" w14:textId="77777777" w:rsidR="002142B2" w:rsidRPr="003F2720" w:rsidRDefault="002142B2" w:rsidP="00CD655A">
      <w:pPr>
        <w:spacing w:after="240" w:line="240" w:lineRule="auto"/>
        <w:ind w:left="-567"/>
        <w:jc w:val="both"/>
        <w:rPr>
          <w:rFonts w:ascii="Montserrat" w:eastAsia="Times New Roman" w:hAnsi="Montserrat" w:cs="Arial"/>
          <w:bCs/>
          <w:sz w:val="18"/>
          <w:szCs w:val="18"/>
          <w:lang w:eastAsia="es-MX"/>
        </w:rPr>
      </w:pPr>
    </w:p>
    <w:p w14:paraId="5C2C135B" w14:textId="77777777" w:rsidR="00C2609F" w:rsidRPr="003F2720" w:rsidRDefault="002C32BF" w:rsidP="00AF3E54">
      <w:pPr>
        <w:pStyle w:val="Prrafodelista"/>
        <w:numPr>
          <w:ilvl w:val="0"/>
          <w:numId w:val="22"/>
        </w:numPr>
        <w:spacing w:after="240" w:line="240" w:lineRule="auto"/>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Tenencia de c</w:t>
      </w:r>
      <w:r w:rsidR="00727CB5" w:rsidRPr="003F2720">
        <w:rPr>
          <w:rFonts w:ascii="Montserrat" w:eastAsia="Times New Roman" w:hAnsi="Montserrat" w:cs="Arial"/>
          <w:b/>
          <w:bCs/>
          <w:smallCaps/>
          <w:sz w:val="18"/>
          <w:szCs w:val="18"/>
          <w:lang w:eastAsia="es-MX"/>
        </w:rPr>
        <w:t>rédito</w:t>
      </w:r>
      <w:r w:rsidR="00BA37A2" w:rsidRPr="003F2720">
        <w:rPr>
          <w:rFonts w:ascii="Montserrat" w:eastAsia="Times New Roman" w:hAnsi="Montserrat" w:cs="Arial"/>
          <w:b/>
          <w:bCs/>
          <w:smallCaps/>
          <w:sz w:val="18"/>
          <w:szCs w:val="18"/>
          <w:lang w:eastAsia="es-MX"/>
        </w:rPr>
        <w:t xml:space="preserve"> formal</w:t>
      </w:r>
      <w:r w:rsidR="00F35D0B" w:rsidRPr="003F2720">
        <w:rPr>
          <w:rStyle w:val="Refdenotaalpie"/>
          <w:rFonts w:ascii="Montserrat" w:eastAsia="Times New Roman" w:hAnsi="Montserrat" w:cs="Arial"/>
          <w:b/>
          <w:bCs/>
          <w:smallCaps/>
          <w:sz w:val="18"/>
          <w:szCs w:val="18"/>
          <w:lang w:eastAsia="es-MX"/>
        </w:rPr>
        <w:footnoteReference w:id="5"/>
      </w:r>
    </w:p>
    <w:p w14:paraId="21EF7C67" w14:textId="5E8FD25F" w:rsidR="008838C7" w:rsidRPr="003F2720" w:rsidRDefault="00801BFF" w:rsidP="00801BFF">
      <w:pPr>
        <w:spacing w:after="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En 2021</w:t>
      </w:r>
      <w:r w:rsidR="00F371FA" w:rsidRPr="003F2720">
        <w:rPr>
          <w:rFonts w:ascii="Montserrat" w:eastAsia="Times New Roman" w:hAnsi="Montserrat" w:cs="Arial"/>
          <w:bCs/>
          <w:sz w:val="18"/>
          <w:szCs w:val="18"/>
          <w:lang w:eastAsia="es-MX"/>
        </w:rPr>
        <w:t xml:space="preserve">, </w:t>
      </w:r>
      <w:r w:rsidRPr="003F2720">
        <w:rPr>
          <w:rFonts w:ascii="Montserrat" w:eastAsia="Times New Roman" w:hAnsi="Montserrat" w:cs="Arial"/>
          <w:bCs/>
          <w:sz w:val="18"/>
          <w:szCs w:val="18"/>
          <w:lang w:eastAsia="es-MX"/>
        </w:rPr>
        <w:t>de las personas de 18 a 70 año</w:t>
      </w:r>
      <w:r w:rsidR="00070F94" w:rsidRPr="003F2720">
        <w:rPr>
          <w:rFonts w:ascii="Montserrat" w:eastAsia="Times New Roman" w:hAnsi="Montserrat" w:cs="Arial"/>
          <w:bCs/>
          <w:sz w:val="18"/>
          <w:szCs w:val="18"/>
          <w:lang w:eastAsia="es-MX"/>
        </w:rPr>
        <w:t>s</w:t>
      </w:r>
      <w:r w:rsidR="009B763D" w:rsidRPr="003F2720">
        <w:rPr>
          <w:rFonts w:ascii="Montserrat" w:eastAsia="Times New Roman" w:hAnsi="Montserrat" w:cs="Arial"/>
          <w:bCs/>
          <w:sz w:val="18"/>
          <w:szCs w:val="18"/>
          <w:lang w:eastAsia="es-MX"/>
        </w:rPr>
        <w:t>,</w:t>
      </w:r>
      <w:r w:rsidRPr="003F2720">
        <w:rPr>
          <w:rFonts w:ascii="Montserrat" w:eastAsia="Times New Roman" w:hAnsi="Montserrat" w:cs="Arial"/>
          <w:bCs/>
          <w:sz w:val="18"/>
          <w:szCs w:val="18"/>
          <w:lang w:eastAsia="es-MX"/>
        </w:rPr>
        <w:t xml:space="preserve"> </w:t>
      </w:r>
      <w:r w:rsidR="00F371FA" w:rsidRPr="003F2720">
        <w:rPr>
          <w:rFonts w:ascii="Montserrat" w:eastAsia="Times New Roman" w:hAnsi="Montserrat" w:cs="Arial"/>
          <w:bCs/>
          <w:sz w:val="18"/>
          <w:szCs w:val="18"/>
          <w:lang w:eastAsia="es-MX"/>
        </w:rPr>
        <w:t xml:space="preserve">27.4 millones </w:t>
      </w:r>
      <w:r w:rsidRPr="003F2720">
        <w:rPr>
          <w:rFonts w:ascii="Montserrat" w:eastAsia="Times New Roman" w:hAnsi="Montserrat" w:cs="Arial"/>
          <w:bCs/>
          <w:sz w:val="18"/>
          <w:szCs w:val="18"/>
          <w:lang w:eastAsia="es-MX"/>
        </w:rPr>
        <w:t>tenían</w:t>
      </w:r>
      <w:r w:rsidR="00F371FA" w:rsidRPr="003F2720">
        <w:rPr>
          <w:rFonts w:ascii="Montserrat" w:eastAsia="Times New Roman" w:hAnsi="Montserrat" w:cs="Arial"/>
          <w:bCs/>
          <w:sz w:val="18"/>
          <w:szCs w:val="18"/>
          <w:lang w:eastAsia="es-MX"/>
        </w:rPr>
        <w:t xml:space="preserve"> al menos un crédito forma</w:t>
      </w:r>
      <w:r w:rsidR="00F371FA" w:rsidRPr="003F2720">
        <w:rPr>
          <w:rFonts w:ascii="Montserrat" w:hAnsi="Montserrat"/>
          <w:sz w:val="18"/>
          <w:szCs w:val="18"/>
        </w:rPr>
        <w:t>l</w:t>
      </w:r>
      <w:r w:rsidR="00F371FA" w:rsidRPr="003F2720">
        <w:rPr>
          <w:rFonts w:ascii="Montserrat" w:eastAsia="Times New Roman" w:hAnsi="Montserrat" w:cs="Arial"/>
          <w:bCs/>
          <w:sz w:val="18"/>
          <w:szCs w:val="18"/>
          <w:lang w:eastAsia="es-MX"/>
        </w:rPr>
        <w:t xml:space="preserve">, </w:t>
      </w:r>
      <w:r w:rsidR="00DE7B0F" w:rsidRPr="003F2720">
        <w:rPr>
          <w:rFonts w:ascii="Montserrat" w:eastAsia="Times New Roman" w:hAnsi="Montserrat" w:cs="Arial"/>
          <w:bCs/>
          <w:sz w:val="18"/>
          <w:szCs w:val="18"/>
          <w:lang w:eastAsia="es-MX"/>
        </w:rPr>
        <w:t xml:space="preserve">cifra que equivale a </w:t>
      </w:r>
      <w:r w:rsidR="00F371FA" w:rsidRPr="003F2720">
        <w:rPr>
          <w:rFonts w:ascii="Montserrat" w:eastAsia="Times New Roman" w:hAnsi="Montserrat" w:cs="Arial"/>
          <w:bCs/>
          <w:sz w:val="18"/>
          <w:szCs w:val="18"/>
          <w:lang w:eastAsia="es-MX"/>
        </w:rPr>
        <w:t xml:space="preserve">32.7% de la población </w:t>
      </w:r>
      <w:r w:rsidR="00DE7B0F" w:rsidRPr="003F2720">
        <w:rPr>
          <w:rFonts w:ascii="Montserrat" w:eastAsia="Times New Roman" w:hAnsi="Montserrat" w:cs="Arial"/>
          <w:bCs/>
          <w:sz w:val="18"/>
          <w:szCs w:val="18"/>
          <w:lang w:eastAsia="es-MX"/>
        </w:rPr>
        <w:t xml:space="preserve">en </w:t>
      </w:r>
      <w:r w:rsidR="00F371FA" w:rsidRPr="003F2720">
        <w:rPr>
          <w:rFonts w:ascii="Montserrat" w:eastAsia="Times New Roman" w:hAnsi="Montserrat" w:cs="Arial"/>
          <w:bCs/>
          <w:sz w:val="18"/>
          <w:szCs w:val="18"/>
          <w:lang w:eastAsia="es-MX"/>
        </w:rPr>
        <w:t>es</w:t>
      </w:r>
      <w:r w:rsidR="00DE7B0F" w:rsidRPr="003F2720">
        <w:rPr>
          <w:rFonts w:ascii="Montserrat" w:eastAsia="Times New Roman" w:hAnsi="Montserrat" w:cs="Arial"/>
          <w:bCs/>
          <w:sz w:val="18"/>
          <w:szCs w:val="18"/>
          <w:lang w:eastAsia="es-MX"/>
        </w:rPr>
        <w:t>t</w:t>
      </w:r>
      <w:r w:rsidR="00F371FA" w:rsidRPr="003F2720">
        <w:rPr>
          <w:rFonts w:ascii="Montserrat" w:eastAsia="Times New Roman" w:hAnsi="Montserrat" w:cs="Arial"/>
          <w:bCs/>
          <w:sz w:val="18"/>
          <w:szCs w:val="18"/>
          <w:lang w:eastAsia="es-MX"/>
        </w:rPr>
        <w:t xml:space="preserve">e rango de edad. Respecto a 2018, el indicador aumentó 1.6 puntos porcentuales. </w:t>
      </w:r>
    </w:p>
    <w:p w14:paraId="7B8435EF" w14:textId="77777777" w:rsidR="008838C7" w:rsidRPr="003F2720" w:rsidRDefault="008838C7" w:rsidP="00C11A22">
      <w:pPr>
        <w:spacing w:after="0" w:line="240" w:lineRule="auto"/>
        <w:ind w:left="-567"/>
        <w:jc w:val="both"/>
        <w:rPr>
          <w:rFonts w:ascii="Montserrat" w:eastAsia="Times New Roman" w:hAnsi="Montserrat" w:cs="Arial"/>
          <w:bCs/>
          <w:sz w:val="18"/>
          <w:szCs w:val="18"/>
          <w:lang w:eastAsia="es-MX"/>
        </w:rPr>
      </w:pPr>
    </w:p>
    <w:p w14:paraId="1A160CB6" w14:textId="50B81E2F" w:rsidR="00F371FA" w:rsidRDefault="00DB0483" w:rsidP="00AF3E54">
      <w:pPr>
        <w:spacing w:after="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Distinguiendo p</w:t>
      </w:r>
      <w:r w:rsidR="00801BFF" w:rsidRPr="003F2720">
        <w:rPr>
          <w:rFonts w:ascii="Montserrat" w:eastAsia="Times New Roman" w:hAnsi="Montserrat" w:cs="Arial"/>
          <w:bCs/>
          <w:sz w:val="18"/>
          <w:szCs w:val="18"/>
          <w:lang w:eastAsia="es-MX"/>
        </w:rPr>
        <w:t>or sexo</w:t>
      </w:r>
      <w:r w:rsidR="00F371FA" w:rsidRPr="003F2720">
        <w:rPr>
          <w:rFonts w:ascii="Montserrat" w:eastAsia="Times New Roman" w:hAnsi="Montserrat" w:cs="Arial"/>
          <w:bCs/>
          <w:sz w:val="18"/>
          <w:szCs w:val="18"/>
          <w:lang w:eastAsia="es-MX"/>
        </w:rPr>
        <w:t xml:space="preserve">, 31.7% de las mujeres y 33.8% de los hombres de 18 a 70 años </w:t>
      </w:r>
      <w:r w:rsidR="00801BFF" w:rsidRPr="003F2720">
        <w:rPr>
          <w:rFonts w:ascii="Montserrat" w:eastAsia="Times New Roman" w:hAnsi="Montserrat" w:cs="Arial"/>
          <w:bCs/>
          <w:sz w:val="18"/>
          <w:szCs w:val="18"/>
          <w:lang w:eastAsia="es-MX"/>
        </w:rPr>
        <w:t>dijeron tener</w:t>
      </w:r>
      <w:r w:rsidR="00F371FA" w:rsidRPr="003F2720">
        <w:rPr>
          <w:rFonts w:ascii="Montserrat" w:eastAsia="Times New Roman" w:hAnsi="Montserrat" w:cs="Arial"/>
          <w:bCs/>
          <w:sz w:val="18"/>
          <w:szCs w:val="18"/>
          <w:lang w:eastAsia="es-MX"/>
        </w:rPr>
        <w:t xml:space="preserve"> algún crédito formal. En comparación con la ENIF 2018, </w:t>
      </w:r>
      <w:r w:rsidR="00801BFF" w:rsidRPr="003F2720">
        <w:rPr>
          <w:rFonts w:ascii="Montserrat" w:eastAsia="Times New Roman" w:hAnsi="Montserrat" w:cs="Arial"/>
          <w:bCs/>
          <w:sz w:val="18"/>
          <w:szCs w:val="18"/>
          <w:lang w:eastAsia="es-MX"/>
        </w:rPr>
        <w:t xml:space="preserve">el crédito para </w:t>
      </w:r>
      <w:r w:rsidR="00F371FA" w:rsidRPr="003F2720">
        <w:rPr>
          <w:rFonts w:ascii="Montserrat" w:eastAsia="Times New Roman" w:hAnsi="Montserrat" w:cs="Arial"/>
          <w:bCs/>
          <w:sz w:val="18"/>
          <w:szCs w:val="18"/>
          <w:lang w:eastAsia="es-MX"/>
        </w:rPr>
        <w:t>las mujeres report</w:t>
      </w:r>
      <w:r w:rsidR="00801BFF" w:rsidRPr="003F2720">
        <w:rPr>
          <w:rFonts w:ascii="Montserrat" w:eastAsia="Times New Roman" w:hAnsi="Montserrat" w:cs="Arial"/>
          <w:bCs/>
          <w:sz w:val="18"/>
          <w:szCs w:val="18"/>
          <w:lang w:eastAsia="es-MX"/>
        </w:rPr>
        <w:t>ó</w:t>
      </w:r>
      <w:r w:rsidR="00F371FA" w:rsidRPr="003F2720">
        <w:rPr>
          <w:rFonts w:ascii="Montserrat" w:eastAsia="Times New Roman" w:hAnsi="Montserrat" w:cs="Arial"/>
          <w:bCs/>
          <w:sz w:val="18"/>
          <w:szCs w:val="18"/>
          <w:lang w:eastAsia="es-MX"/>
        </w:rPr>
        <w:t xml:space="preserve"> un crecimiento de 2.5 puntos porcentuales y </w:t>
      </w:r>
      <w:r w:rsidR="00801BFF" w:rsidRPr="003F2720">
        <w:rPr>
          <w:rFonts w:ascii="Montserrat" w:eastAsia="Times New Roman" w:hAnsi="Montserrat" w:cs="Arial"/>
          <w:bCs/>
          <w:sz w:val="18"/>
          <w:szCs w:val="18"/>
          <w:lang w:eastAsia="es-MX"/>
        </w:rPr>
        <w:t xml:space="preserve">para </w:t>
      </w:r>
      <w:r w:rsidR="00F371FA" w:rsidRPr="003F2720">
        <w:rPr>
          <w:rFonts w:ascii="Montserrat" w:eastAsia="Times New Roman" w:hAnsi="Montserrat" w:cs="Arial"/>
          <w:bCs/>
          <w:sz w:val="18"/>
          <w:szCs w:val="18"/>
          <w:lang w:eastAsia="es-MX"/>
        </w:rPr>
        <w:t xml:space="preserve">los hombres medio punto porcentual. </w:t>
      </w:r>
      <w:r w:rsidR="00801BFF" w:rsidRPr="003F2720">
        <w:rPr>
          <w:rFonts w:ascii="Montserrat" w:eastAsia="Times New Roman" w:hAnsi="Montserrat" w:cs="Arial"/>
          <w:bCs/>
          <w:sz w:val="18"/>
          <w:szCs w:val="18"/>
          <w:lang w:eastAsia="es-MX"/>
        </w:rPr>
        <w:t>L</w:t>
      </w:r>
      <w:r w:rsidR="00F371FA" w:rsidRPr="003F2720">
        <w:rPr>
          <w:rFonts w:ascii="Montserrat" w:eastAsia="Times New Roman" w:hAnsi="Montserrat" w:cs="Arial"/>
          <w:bCs/>
          <w:sz w:val="18"/>
          <w:szCs w:val="18"/>
          <w:lang w:eastAsia="es-MX"/>
        </w:rPr>
        <w:t xml:space="preserve">a brecha </w:t>
      </w:r>
      <w:r w:rsidR="00526016">
        <w:rPr>
          <w:rFonts w:ascii="Montserrat" w:eastAsia="Times New Roman" w:hAnsi="Montserrat" w:cs="Arial"/>
          <w:bCs/>
          <w:sz w:val="18"/>
          <w:szCs w:val="18"/>
          <w:lang w:eastAsia="es-MX"/>
        </w:rPr>
        <w:t>a favor de los hombres</w:t>
      </w:r>
      <w:r w:rsidR="00F371FA" w:rsidRPr="003F2720">
        <w:rPr>
          <w:rFonts w:ascii="Montserrat" w:eastAsia="Times New Roman" w:hAnsi="Montserrat" w:cs="Arial"/>
          <w:bCs/>
          <w:sz w:val="18"/>
          <w:szCs w:val="18"/>
          <w:lang w:eastAsia="es-MX"/>
        </w:rPr>
        <w:t xml:space="preserve"> disminuyó de 4.1 a 2.1 puntos porcentuales.  </w:t>
      </w:r>
    </w:p>
    <w:p w14:paraId="426AD33B" w14:textId="17365654" w:rsidR="00AC434B" w:rsidRDefault="00AC434B" w:rsidP="00AF3E54">
      <w:pPr>
        <w:spacing w:after="0" w:line="240" w:lineRule="auto"/>
        <w:ind w:left="-567"/>
        <w:jc w:val="both"/>
        <w:rPr>
          <w:rFonts w:ascii="Montserrat" w:eastAsia="Times New Roman" w:hAnsi="Montserrat" w:cs="Arial"/>
          <w:bCs/>
          <w:sz w:val="18"/>
          <w:szCs w:val="18"/>
          <w:lang w:eastAsia="es-MX"/>
        </w:rPr>
      </w:pPr>
    </w:p>
    <w:p w14:paraId="35BEC8AE" w14:textId="0CD2B2B4" w:rsidR="00AC434B" w:rsidRPr="00063FD5" w:rsidRDefault="00AC434B" w:rsidP="00063FD5">
      <w:pPr>
        <w:autoSpaceDE w:val="0"/>
        <w:autoSpaceDN w:val="0"/>
        <w:adjustRightInd w:val="0"/>
        <w:spacing w:after="0" w:line="276" w:lineRule="auto"/>
        <w:ind w:left="-567"/>
        <w:jc w:val="center"/>
        <w:rPr>
          <w:rFonts w:ascii="Montserrat" w:hAnsi="Montserrat" w:cs="Arial"/>
          <w:bCs/>
          <w:sz w:val="18"/>
          <w:szCs w:val="18"/>
        </w:rPr>
      </w:pPr>
      <w:r w:rsidRPr="00063FD5">
        <w:rPr>
          <w:rFonts w:ascii="Montserrat" w:hAnsi="Montserrat" w:cs="Arial"/>
          <w:bCs/>
          <w:sz w:val="18"/>
          <w:szCs w:val="18"/>
        </w:rPr>
        <w:t xml:space="preserve">Gráfica </w:t>
      </w:r>
      <w:r>
        <w:rPr>
          <w:rFonts w:ascii="Montserrat" w:hAnsi="Montserrat" w:cs="Arial"/>
          <w:bCs/>
          <w:sz w:val="18"/>
          <w:szCs w:val="18"/>
        </w:rPr>
        <w:t>3</w:t>
      </w:r>
      <w:r w:rsidRPr="00063FD5">
        <w:rPr>
          <w:rFonts w:ascii="Montserrat" w:hAnsi="Montserrat" w:cs="Arial"/>
          <w:bCs/>
          <w:sz w:val="18"/>
          <w:szCs w:val="18"/>
        </w:rPr>
        <w:t>.</w:t>
      </w:r>
    </w:p>
    <w:p w14:paraId="73257FB1" w14:textId="77777777" w:rsidR="00AC434B" w:rsidRPr="00063FD5" w:rsidRDefault="00AC434B" w:rsidP="00063FD5">
      <w:pPr>
        <w:autoSpaceDE w:val="0"/>
        <w:autoSpaceDN w:val="0"/>
        <w:adjustRightInd w:val="0"/>
        <w:spacing w:after="0" w:line="276" w:lineRule="auto"/>
        <w:ind w:left="-567"/>
        <w:jc w:val="center"/>
        <w:rPr>
          <w:rFonts w:ascii="Montserrat" w:hAnsi="Montserrat" w:cs="Arial"/>
          <w:b/>
          <w:bCs/>
          <w:sz w:val="20"/>
          <w:szCs w:val="18"/>
        </w:rPr>
      </w:pPr>
      <w:r w:rsidRPr="00063FD5">
        <w:rPr>
          <w:rFonts w:ascii="Montserrat" w:hAnsi="Montserrat" w:cs="Arial"/>
          <w:b/>
          <w:bCs/>
          <w:sz w:val="20"/>
          <w:szCs w:val="18"/>
        </w:rPr>
        <w:t>Poblaci</w:t>
      </w:r>
      <w:r w:rsidRPr="00063FD5">
        <w:rPr>
          <w:rFonts w:ascii="Montserrat" w:hAnsi="Montserrat" w:cs="Arial" w:hint="eastAsia"/>
          <w:b/>
          <w:bCs/>
          <w:sz w:val="20"/>
          <w:szCs w:val="18"/>
        </w:rPr>
        <w:t>ó</w:t>
      </w:r>
      <w:r w:rsidRPr="00063FD5">
        <w:rPr>
          <w:rFonts w:ascii="Montserrat" w:hAnsi="Montserrat" w:cs="Arial"/>
          <w:b/>
          <w:bCs/>
          <w:sz w:val="20"/>
          <w:szCs w:val="18"/>
        </w:rPr>
        <w:t>n de 18 a 70 a</w:t>
      </w:r>
      <w:r w:rsidRPr="00063FD5">
        <w:rPr>
          <w:rFonts w:ascii="Montserrat" w:hAnsi="Montserrat" w:cs="Arial" w:hint="eastAsia"/>
          <w:b/>
          <w:bCs/>
          <w:sz w:val="20"/>
          <w:szCs w:val="18"/>
        </w:rPr>
        <w:t>ñ</w:t>
      </w:r>
      <w:r w:rsidRPr="00063FD5">
        <w:rPr>
          <w:rFonts w:ascii="Montserrat" w:hAnsi="Montserrat" w:cs="Arial"/>
          <w:b/>
          <w:bCs/>
          <w:sz w:val="20"/>
          <w:szCs w:val="18"/>
        </w:rPr>
        <w:t>os con tenencia de cr</w:t>
      </w:r>
      <w:r w:rsidRPr="00063FD5">
        <w:rPr>
          <w:rFonts w:ascii="Montserrat" w:hAnsi="Montserrat" w:cs="Arial" w:hint="eastAsia"/>
          <w:b/>
          <w:bCs/>
          <w:sz w:val="20"/>
          <w:szCs w:val="18"/>
        </w:rPr>
        <w:t>é</w:t>
      </w:r>
      <w:r w:rsidRPr="00063FD5">
        <w:rPr>
          <w:rFonts w:ascii="Montserrat" w:hAnsi="Montserrat" w:cs="Arial"/>
          <w:b/>
          <w:bCs/>
          <w:sz w:val="20"/>
          <w:szCs w:val="18"/>
        </w:rPr>
        <w:t>dito formal</w:t>
      </w:r>
      <w:r w:rsidRPr="00063FD5">
        <w:rPr>
          <w:rFonts w:ascii="Montserrat" w:hAnsi="Montserrat" w:cs="Arial"/>
          <w:b/>
          <w:bCs/>
          <w:sz w:val="20"/>
          <w:szCs w:val="18"/>
          <w:vertAlign w:val="superscript"/>
        </w:rPr>
        <w:t>1</w:t>
      </w:r>
    </w:p>
    <w:p w14:paraId="00A0AA42" w14:textId="77777777" w:rsidR="00AC434B" w:rsidRPr="00063FD5" w:rsidRDefault="00AC434B" w:rsidP="00063FD5">
      <w:pPr>
        <w:autoSpaceDE w:val="0"/>
        <w:autoSpaceDN w:val="0"/>
        <w:adjustRightInd w:val="0"/>
        <w:spacing w:after="0" w:line="276" w:lineRule="auto"/>
        <w:ind w:left="-567"/>
        <w:jc w:val="center"/>
        <w:rPr>
          <w:rFonts w:ascii="Montserrat" w:hAnsi="Montserrat" w:cs="Arial"/>
          <w:bCs/>
          <w:sz w:val="18"/>
          <w:szCs w:val="18"/>
        </w:rPr>
      </w:pPr>
      <w:r w:rsidRPr="00063FD5">
        <w:rPr>
          <w:rFonts w:ascii="Montserrat" w:hAnsi="Montserrat" w:cs="Arial"/>
          <w:bCs/>
          <w:sz w:val="18"/>
          <w:szCs w:val="18"/>
        </w:rPr>
        <w:t>(Porcentaje)</w:t>
      </w:r>
    </w:p>
    <w:p w14:paraId="2EB04A51" w14:textId="77777777" w:rsidR="00AC434B" w:rsidRDefault="00AC434B" w:rsidP="00AC434B">
      <w:pPr>
        <w:spacing w:after="0" w:line="240" w:lineRule="auto"/>
        <w:jc w:val="center"/>
        <w:rPr>
          <w:rFonts w:ascii="Arial" w:eastAsia="Times New Roman" w:hAnsi="Arial" w:cs="Arial"/>
          <w:b/>
          <w:bCs/>
          <w:lang w:eastAsia="es-MX"/>
        </w:rPr>
      </w:pPr>
      <w:r>
        <w:rPr>
          <w:rFonts w:ascii="Arial" w:eastAsia="Times New Roman" w:hAnsi="Arial" w:cs="Arial"/>
          <w:b/>
          <w:bCs/>
          <w:noProof/>
          <w:lang w:eastAsia="es-MX"/>
        </w:rPr>
        <w:drawing>
          <wp:inline distT="0" distB="0" distL="0" distR="0" wp14:anchorId="5F1B0004" wp14:editId="5A7CB015">
            <wp:extent cx="3030279" cy="1444635"/>
            <wp:effectExtent l="0" t="0" r="0" b="317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2745" cy="1455345"/>
                    </a:xfrm>
                    <a:prstGeom prst="rect">
                      <a:avLst/>
                    </a:prstGeom>
                    <a:noFill/>
                  </pic:spPr>
                </pic:pic>
              </a:graphicData>
            </a:graphic>
          </wp:inline>
        </w:drawing>
      </w:r>
    </w:p>
    <w:p w14:paraId="3C1FE2F0" w14:textId="077F5452" w:rsidR="00AC434B" w:rsidRPr="00063FD5" w:rsidRDefault="00AC434B" w:rsidP="00063FD5">
      <w:pPr>
        <w:tabs>
          <w:tab w:val="left" w:pos="7371"/>
        </w:tabs>
        <w:autoSpaceDE w:val="0"/>
        <w:autoSpaceDN w:val="0"/>
        <w:adjustRightInd w:val="0"/>
        <w:spacing w:after="0" w:line="276" w:lineRule="auto"/>
        <w:ind w:left="2127" w:right="1985"/>
        <w:jc w:val="both"/>
        <w:rPr>
          <w:rFonts w:ascii="Montserrat" w:hAnsi="Montserrat" w:cs="Arial"/>
          <w:bCs/>
          <w:sz w:val="14"/>
          <w:szCs w:val="14"/>
        </w:rPr>
      </w:pPr>
      <w:r w:rsidRPr="00063FD5">
        <w:rPr>
          <w:rFonts w:ascii="Montserrat" w:hAnsi="Montserrat" w:cs="Arial"/>
          <w:bCs/>
          <w:sz w:val="14"/>
          <w:szCs w:val="14"/>
          <w:vertAlign w:val="superscript"/>
        </w:rPr>
        <w:t>1</w:t>
      </w:r>
      <w:r w:rsidRPr="00063FD5">
        <w:rPr>
          <w:rFonts w:ascii="Montserrat" w:hAnsi="Montserrat" w:cs="Arial"/>
          <w:bCs/>
          <w:sz w:val="14"/>
          <w:szCs w:val="14"/>
        </w:rPr>
        <w:t>Incluye la tenencia de tarjeta de crédito departamental (o autoservicio), bancaria; crédito de nómina, personal, automotriz, de vivienda, comunitario, grupal o solidario. Para 2021, incluye crédito contratado por internet o aplicación</w:t>
      </w:r>
      <w:r w:rsidR="008D19D2">
        <w:rPr>
          <w:rFonts w:ascii="Montserrat" w:hAnsi="Montserrat" w:cs="Arial"/>
          <w:bCs/>
          <w:sz w:val="14"/>
          <w:szCs w:val="14"/>
        </w:rPr>
        <w:t xml:space="preserve"> de celular</w:t>
      </w:r>
      <w:r w:rsidRPr="00063FD5">
        <w:rPr>
          <w:rFonts w:ascii="Montserrat" w:hAnsi="Montserrat" w:cs="Arial"/>
          <w:bCs/>
          <w:sz w:val="14"/>
          <w:szCs w:val="14"/>
        </w:rPr>
        <w:t xml:space="preserve">. </w:t>
      </w:r>
    </w:p>
    <w:p w14:paraId="2E51EA8A" w14:textId="77777777" w:rsidR="00AC434B" w:rsidRPr="00063FD5" w:rsidRDefault="00AC434B" w:rsidP="00063FD5">
      <w:pPr>
        <w:tabs>
          <w:tab w:val="left" w:pos="7371"/>
        </w:tabs>
        <w:autoSpaceDE w:val="0"/>
        <w:autoSpaceDN w:val="0"/>
        <w:adjustRightInd w:val="0"/>
        <w:spacing w:after="0" w:line="276" w:lineRule="auto"/>
        <w:ind w:left="2127" w:right="1985"/>
        <w:jc w:val="both"/>
        <w:rPr>
          <w:rFonts w:ascii="Montserrat" w:hAnsi="Montserrat" w:cs="Arial"/>
          <w:bCs/>
          <w:sz w:val="14"/>
          <w:szCs w:val="14"/>
        </w:rPr>
      </w:pPr>
      <w:r w:rsidRPr="00063FD5">
        <w:rPr>
          <w:rFonts w:ascii="Montserrat" w:hAnsi="Montserrat" w:cs="Arial"/>
          <w:bCs/>
          <w:sz w:val="14"/>
          <w:szCs w:val="14"/>
        </w:rPr>
        <w:t>* Cambio significativo. Prueba de hipótesis con un 95% de confianza.</w:t>
      </w:r>
    </w:p>
    <w:p w14:paraId="179F8E18" w14:textId="77777777" w:rsidR="00AC434B" w:rsidRPr="00063FD5" w:rsidRDefault="00AC434B" w:rsidP="00063FD5">
      <w:pPr>
        <w:tabs>
          <w:tab w:val="left" w:pos="7371"/>
        </w:tabs>
        <w:autoSpaceDE w:val="0"/>
        <w:autoSpaceDN w:val="0"/>
        <w:adjustRightInd w:val="0"/>
        <w:spacing w:after="0" w:line="276" w:lineRule="auto"/>
        <w:ind w:left="2127" w:right="1985"/>
        <w:jc w:val="both"/>
        <w:rPr>
          <w:rFonts w:ascii="Montserrat" w:hAnsi="Montserrat" w:cs="Arial"/>
          <w:bCs/>
          <w:sz w:val="14"/>
          <w:szCs w:val="14"/>
        </w:rPr>
      </w:pPr>
      <w:r w:rsidRPr="00063FD5">
        <w:rPr>
          <w:rFonts w:ascii="Montserrat" w:hAnsi="Montserrat" w:cs="Arial"/>
          <w:bCs/>
          <w:sz w:val="14"/>
          <w:szCs w:val="14"/>
        </w:rPr>
        <w:t>Fuente: INEGI. Encuesta Nacional de Inclusión Financiera (ENIF) 2021, ENIF 2018 y ENIF 2015.</w:t>
      </w:r>
    </w:p>
    <w:p w14:paraId="1A9A8A77" w14:textId="77777777" w:rsidR="00AC434B" w:rsidRPr="003F2720" w:rsidRDefault="00AC434B" w:rsidP="00AF3E54">
      <w:pPr>
        <w:spacing w:after="0" w:line="240" w:lineRule="auto"/>
        <w:ind w:left="-567"/>
        <w:jc w:val="both"/>
        <w:rPr>
          <w:rFonts w:ascii="Montserrat" w:eastAsia="Times New Roman" w:hAnsi="Montserrat" w:cs="Arial"/>
          <w:bCs/>
          <w:sz w:val="18"/>
          <w:szCs w:val="18"/>
          <w:lang w:eastAsia="es-MX"/>
        </w:rPr>
      </w:pPr>
    </w:p>
    <w:p w14:paraId="7B64CEEB" w14:textId="77777777" w:rsidR="00C843FF" w:rsidRPr="003F2720" w:rsidRDefault="00C843FF" w:rsidP="00AF3E54">
      <w:pPr>
        <w:spacing w:after="0" w:line="240" w:lineRule="auto"/>
        <w:ind w:left="-567"/>
        <w:jc w:val="center"/>
        <w:rPr>
          <w:rFonts w:ascii="Montserrat" w:eastAsia="Times New Roman" w:hAnsi="Montserrat" w:cs="Arial"/>
          <w:bCs/>
          <w:sz w:val="18"/>
          <w:szCs w:val="18"/>
          <w:lang w:eastAsia="es-MX"/>
        </w:rPr>
      </w:pPr>
    </w:p>
    <w:p w14:paraId="1A39D661" w14:textId="5CF6D74C" w:rsidR="007941DA" w:rsidRPr="003F2720" w:rsidRDefault="000A5DB3" w:rsidP="00AF3E54">
      <w:pPr>
        <w:pStyle w:val="Prrafodelista"/>
        <w:numPr>
          <w:ilvl w:val="0"/>
          <w:numId w:val="22"/>
        </w:numPr>
        <w:spacing w:after="240" w:line="240" w:lineRule="auto"/>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lastRenderedPageBreak/>
        <w:t>T</w:t>
      </w:r>
      <w:r w:rsidR="002C32BF" w:rsidRPr="003F2720">
        <w:rPr>
          <w:rFonts w:ascii="Montserrat" w:eastAsia="Times New Roman" w:hAnsi="Montserrat" w:cs="Arial"/>
          <w:b/>
          <w:bCs/>
          <w:smallCaps/>
          <w:sz w:val="18"/>
          <w:szCs w:val="18"/>
          <w:lang w:eastAsia="es-MX"/>
        </w:rPr>
        <w:t>enencia de s</w:t>
      </w:r>
      <w:r w:rsidR="007941DA" w:rsidRPr="003F2720">
        <w:rPr>
          <w:rFonts w:ascii="Montserrat" w:eastAsia="Times New Roman" w:hAnsi="Montserrat" w:cs="Arial"/>
          <w:b/>
          <w:bCs/>
          <w:smallCaps/>
          <w:sz w:val="18"/>
          <w:szCs w:val="18"/>
          <w:lang w:eastAsia="es-MX"/>
        </w:rPr>
        <w:t>eguros</w:t>
      </w:r>
    </w:p>
    <w:p w14:paraId="71906378" w14:textId="781A1569" w:rsidR="00A13D87" w:rsidRDefault="00A13D87" w:rsidP="00222107">
      <w:pPr>
        <w:spacing w:after="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E</w:t>
      </w:r>
      <w:r w:rsidR="000A5DB3" w:rsidRPr="003F2720">
        <w:rPr>
          <w:rFonts w:ascii="Montserrat" w:eastAsia="Times New Roman" w:hAnsi="Montserrat" w:cs="Arial"/>
          <w:bCs/>
          <w:sz w:val="18"/>
          <w:szCs w:val="18"/>
          <w:lang w:eastAsia="es-MX"/>
        </w:rPr>
        <w:t>n 2021, 17.6 millones de personas de 18 a 70 años t</w:t>
      </w:r>
      <w:r w:rsidRPr="003F2720">
        <w:rPr>
          <w:rFonts w:ascii="Montserrat" w:eastAsia="Times New Roman" w:hAnsi="Montserrat" w:cs="Arial"/>
          <w:bCs/>
          <w:sz w:val="18"/>
          <w:szCs w:val="18"/>
          <w:lang w:eastAsia="es-MX"/>
        </w:rPr>
        <w:t>enían</w:t>
      </w:r>
      <w:r w:rsidR="000A5DB3" w:rsidRPr="003F2720">
        <w:rPr>
          <w:rFonts w:ascii="Montserrat" w:eastAsia="Times New Roman" w:hAnsi="Montserrat" w:cs="Arial"/>
          <w:bCs/>
          <w:sz w:val="18"/>
          <w:szCs w:val="18"/>
          <w:lang w:eastAsia="es-MX"/>
        </w:rPr>
        <w:t xml:space="preserve"> al menos un seguro, </w:t>
      </w:r>
      <w:r w:rsidR="00DE7B0F" w:rsidRPr="003F2720">
        <w:rPr>
          <w:rFonts w:ascii="Montserrat" w:eastAsia="Times New Roman" w:hAnsi="Montserrat" w:cs="Arial"/>
          <w:bCs/>
          <w:sz w:val="18"/>
          <w:szCs w:val="18"/>
          <w:lang w:eastAsia="es-MX"/>
        </w:rPr>
        <w:t>cifra que corresponde a</w:t>
      </w:r>
      <w:r w:rsidR="000A5DB3" w:rsidRPr="003F2720">
        <w:rPr>
          <w:rFonts w:ascii="Montserrat" w:eastAsia="Times New Roman" w:hAnsi="Montserrat" w:cs="Arial"/>
          <w:bCs/>
          <w:sz w:val="18"/>
          <w:szCs w:val="18"/>
          <w:lang w:eastAsia="es-MX"/>
        </w:rPr>
        <w:t xml:space="preserve"> 21</w:t>
      </w:r>
      <w:r w:rsidR="00C82962">
        <w:rPr>
          <w:rFonts w:ascii="Montserrat" w:eastAsia="Times New Roman" w:hAnsi="Montserrat" w:cs="Arial"/>
          <w:bCs/>
          <w:sz w:val="18"/>
          <w:szCs w:val="18"/>
          <w:lang w:eastAsia="es-MX"/>
        </w:rPr>
        <w:t>.0</w:t>
      </w:r>
      <w:r w:rsidR="000A5DB3" w:rsidRPr="003F2720">
        <w:rPr>
          <w:rFonts w:ascii="Montserrat" w:eastAsia="Times New Roman" w:hAnsi="Montserrat" w:cs="Arial"/>
          <w:bCs/>
          <w:sz w:val="18"/>
          <w:szCs w:val="18"/>
          <w:lang w:eastAsia="es-MX"/>
        </w:rPr>
        <w:t xml:space="preserve">% de dicha población. En comparación con 2018, la tenencia de seguro disminuyó 4.4 puntos porcentuales. De </w:t>
      </w:r>
      <w:r w:rsidRPr="003F2720">
        <w:rPr>
          <w:rFonts w:ascii="Montserrat" w:eastAsia="Times New Roman" w:hAnsi="Montserrat" w:cs="Arial"/>
          <w:bCs/>
          <w:sz w:val="18"/>
          <w:szCs w:val="18"/>
          <w:lang w:eastAsia="es-MX"/>
        </w:rPr>
        <w:t>la población de</w:t>
      </w:r>
      <w:r w:rsidR="000A5DB3" w:rsidRPr="003F2720">
        <w:rPr>
          <w:rFonts w:ascii="Montserrat" w:eastAsia="Times New Roman" w:hAnsi="Montserrat" w:cs="Arial"/>
          <w:bCs/>
          <w:sz w:val="18"/>
          <w:szCs w:val="18"/>
          <w:lang w:eastAsia="es-MX"/>
        </w:rPr>
        <w:t xml:space="preserve"> 18 a 70 años, 16.4% </w:t>
      </w:r>
      <w:r w:rsidRPr="003F2720">
        <w:rPr>
          <w:rFonts w:ascii="Montserrat" w:eastAsia="Times New Roman" w:hAnsi="Montserrat" w:cs="Arial"/>
          <w:bCs/>
          <w:sz w:val="18"/>
          <w:szCs w:val="18"/>
          <w:lang w:eastAsia="es-MX"/>
        </w:rPr>
        <w:t xml:space="preserve">de las mujeres y 26.1% de los hombres </w:t>
      </w:r>
      <w:r w:rsidR="000A5DB3" w:rsidRPr="003F2720">
        <w:rPr>
          <w:rFonts w:ascii="Montserrat" w:eastAsia="Times New Roman" w:hAnsi="Montserrat" w:cs="Arial"/>
          <w:bCs/>
          <w:sz w:val="18"/>
          <w:szCs w:val="18"/>
          <w:lang w:eastAsia="es-MX"/>
        </w:rPr>
        <w:t>declar</w:t>
      </w:r>
      <w:r w:rsidRPr="003F2720">
        <w:rPr>
          <w:rFonts w:ascii="Montserrat" w:eastAsia="Times New Roman" w:hAnsi="Montserrat" w:cs="Arial"/>
          <w:bCs/>
          <w:sz w:val="18"/>
          <w:szCs w:val="18"/>
          <w:lang w:eastAsia="es-MX"/>
        </w:rPr>
        <w:t>aron</w:t>
      </w:r>
      <w:r w:rsidR="000A5DB3" w:rsidRPr="003F2720">
        <w:rPr>
          <w:rFonts w:ascii="Montserrat" w:eastAsia="Times New Roman" w:hAnsi="Montserrat" w:cs="Arial"/>
          <w:bCs/>
          <w:sz w:val="18"/>
          <w:szCs w:val="18"/>
          <w:lang w:eastAsia="es-MX"/>
        </w:rPr>
        <w:t xml:space="preserve"> tener algún seguro</w:t>
      </w:r>
      <w:r w:rsidR="00AF2408" w:rsidRPr="003F2720">
        <w:rPr>
          <w:rFonts w:ascii="Montserrat" w:eastAsia="Times New Roman" w:hAnsi="Montserrat" w:cs="Arial"/>
          <w:bCs/>
          <w:sz w:val="18"/>
          <w:szCs w:val="18"/>
          <w:lang w:eastAsia="es-MX"/>
        </w:rPr>
        <w:t>, lo que implica una brecha de 9.7 puntos porcentuales</w:t>
      </w:r>
      <w:r w:rsidR="000A5DB3" w:rsidRPr="003F2720">
        <w:rPr>
          <w:rFonts w:ascii="Montserrat" w:eastAsia="Times New Roman" w:hAnsi="Montserrat" w:cs="Arial"/>
          <w:bCs/>
          <w:sz w:val="18"/>
          <w:szCs w:val="18"/>
          <w:lang w:eastAsia="es-MX"/>
        </w:rPr>
        <w:t>. Respecto a 2018, el porcentaje de tenencia de algún seguro</w:t>
      </w:r>
      <w:r w:rsidRPr="003F2720">
        <w:rPr>
          <w:rFonts w:ascii="Montserrat" w:eastAsia="Times New Roman" w:hAnsi="Montserrat" w:cs="Arial"/>
          <w:bCs/>
          <w:sz w:val="18"/>
          <w:szCs w:val="18"/>
          <w:lang w:eastAsia="es-MX"/>
        </w:rPr>
        <w:t xml:space="preserve"> disminuyó,</w:t>
      </w:r>
      <w:r w:rsidR="000A5DB3" w:rsidRPr="003F2720">
        <w:rPr>
          <w:rFonts w:ascii="Montserrat" w:eastAsia="Times New Roman" w:hAnsi="Montserrat" w:cs="Arial"/>
          <w:bCs/>
          <w:sz w:val="18"/>
          <w:szCs w:val="18"/>
          <w:lang w:eastAsia="es-MX"/>
        </w:rPr>
        <w:t xml:space="preserve"> para las mujeres 6.7 puntos porcentuales y para los hombres 1.9 puntos porcentuales. </w:t>
      </w:r>
    </w:p>
    <w:p w14:paraId="1BB44F43" w14:textId="6F518964" w:rsidR="00AC434B" w:rsidRDefault="00AC434B" w:rsidP="00222107">
      <w:pPr>
        <w:spacing w:after="0" w:line="240" w:lineRule="auto"/>
        <w:ind w:left="-567"/>
        <w:jc w:val="both"/>
        <w:rPr>
          <w:rFonts w:ascii="Montserrat" w:eastAsia="Times New Roman" w:hAnsi="Montserrat" w:cs="Arial"/>
          <w:bCs/>
          <w:sz w:val="18"/>
          <w:szCs w:val="18"/>
          <w:lang w:eastAsia="es-MX"/>
        </w:rPr>
      </w:pPr>
    </w:p>
    <w:p w14:paraId="057E5D94" w14:textId="49C92AE1" w:rsidR="00AC434B" w:rsidRPr="00063FD5" w:rsidRDefault="00AC434B">
      <w:pPr>
        <w:spacing w:after="0" w:line="240" w:lineRule="auto"/>
        <w:ind w:left="-567"/>
        <w:jc w:val="center"/>
        <w:rPr>
          <w:rFonts w:ascii="Montserrat" w:eastAsia="Times New Roman" w:hAnsi="Montserrat" w:cs="Arial"/>
          <w:bCs/>
          <w:sz w:val="18"/>
          <w:szCs w:val="18"/>
          <w:lang w:eastAsia="es-MX"/>
        </w:rPr>
      </w:pPr>
      <w:r w:rsidRPr="00063FD5">
        <w:rPr>
          <w:rFonts w:ascii="Montserrat" w:eastAsia="Times New Roman" w:hAnsi="Montserrat" w:cs="Arial"/>
          <w:bCs/>
          <w:sz w:val="18"/>
          <w:szCs w:val="18"/>
          <w:lang w:eastAsia="es-MX"/>
        </w:rPr>
        <w:t xml:space="preserve">Gráfica </w:t>
      </w:r>
      <w:r>
        <w:rPr>
          <w:rFonts w:ascii="Montserrat" w:eastAsia="Times New Roman" w:hAnsi="Montserrat" w:cs="Arial"/>
          <w:bCs/>
          <w:sz w:val="18"/>
          <w:szCs w:val="18"/>
          <w:lang w:eastAsia="es-MX"/>
        </w:rPr>
        <w:t>4</w:t>
      </w:r>
      <w:r w:rsidRPr="00063FD5">
        <w:rPr>
          <w:rFonts w:ascii="Montserrat" w:eastAsia="Times New Roman" w:hAnsi="Montserrat" w:cs="Arial"/>
          <w:bCs/>
          <w:sz w:val="18"/>
          <w:szCs w:val="18"/>
          <w:lang w:eastAsia="es-MX"/>
        </w:rPr>
        <w:t>.</w:t>
      </w:r>
    </w:p>
    <w:p w14:paraId="5BD899E8" w14:textId="77777777" w:rsidR="00AC434B" w:rsidRPr="00063FD5" w:rsidRDefault="00AC434B">
      <w:pPr>
        <w:spacing w:after="0" w:line="240" w:lineRule="auto"/>
        <w:ind w:left="-567"/>
        <w:jc w:val="center"/>
        <w:rPr>
          <w:rFonts w:ascii="Montserrat" w:eastAsia="Times New Roman" w:hAnsi="Montserrat" w:cs="Arial"/>
          <w:b/>
          <w:bCs/>
          <w:sz w:val="20"/>
          <w:szCs w:val="18"/>
          <w:lang w:eastAsia="es-MX"/>
        </w:rPr>
      </w:pPr>
      <w:r w:rsidRPr="00063FD5">
        <w:rPr>
          <w:rFonts w:ascii="Montserrat" w:eastAsia="Times New Roman" w:hAnsi="Montserrat" w:cs="Arial"/>
          <w:b/>
          <w:bCs/>
          <w:sz w:val="20"/>
          <w:szCs w:val="18"/>
          <w:lang w:eastAsia="es-MX"/>
        </w:rPr>
        <w:t>Poblaci</w:t>
      </w:r>
      <w:r w:rsidRPr="00063FD5">
        <w:rPr>
          <w:rFonts w:ascii="Montserrat" w:eastAsia="Times New Roman" w:hAnsi="Montserrat" w:cs="Arial" w:hint="eastAsia"/>
          <w:b/>
          <w:bCs/>
          <w:sz w:val="20"/>
          <w:szCs w:val="18"/>
          <w:lang w:eastAsia="es-MX"/>
        </w:rPr>
        <w:t>ó</w:t>
      </w:r>
      <w:r w:rsidRPr="00063FD5">
        <w:rPr>
          <w:rFonts w:ascii="Montserrat" w:eastAsia="Times New Roman" w:hAnsi="Montserrat" w:cs="Arial"/>
          <w:b/>
          <w:bCs/>
          <w:sz w:val="20"/>
          <w:szCs w:val="18"/>
          <w:lang w:eastAsia="es-MX"/>
        </w:rPr>
        <w:t>n de 18 a 70 a</w:t>
      </w:r>
      <w:r w:rsidRPr="00063FD5">
        <w:rPr>
          <w:rFonts w:ascii="Montserrat" w:eastAsia="Times New Roman" w:hAnsi="Montserrat" w:cs="Arial" w:hint="eastAsia"/>
          <w:b/>
          <w:bCs/>
          <w:sz w:val="20"/>
          <w:szCs w:val="18"/>
          <w:lang w:eastAsia="es-MX"/>
        </w:rPr>
        <w:t>ñ</w:t>
      </w:r>
      <w:r w:rsidRPr="00063FD5">
        <w:rPr>
          <w:rFonts w:ascii="Montserrat" w:eastAsia="Times New Roman" w:hAnsi="Montserrat" w:cs="Arial"/>
          <w:b/>
          <w:bCs/>
          <w:sz w:val="20"/>
          <w:szCs w:val="18"/>
          <w:lang w:eastAsia="es-MX"/>
        </w:rPr>
        <w:t>os con tenencia de seguro</w:t>
      </w:r>
    </w:p>
    <w:p w14:paraId="1F953A64" w14:textId="77777777" w:rsidR="00AC434B" w:rsidRPr="00063FD5" w:rsidRDefault="00AC434B">
      <w:pPr>
        <w:spacing w:after="0" w:line="240" w:lineRule="auto"/>
        <w:ind w:left="-567"/>
        <w:jc w:val="center"/>
        <w:rPr>
          <w:rFonts w:ascii="Montserrat" w:eastAsia="Times New Roman" w:hAnsi="Montserrat" w:cs="Arial"/>
          <w:bCs/>
          <w:sz w:val="18"/>
          <w:szCs w:val="18"/>
          <w:lang w:eastAsia="es-MX"/>
        </w:rPr>
      </w:pPr>
      <w:r w:rsidRPr="00063FD5">
        <w:rPr>
          <w:rFonts w:ascii="Montserrat" w:eastAsia="Times New Roman" w:hAnsi="Montserrat" w:cs="Arial"/>
          <w:bCs/>
          <w:sz w:val="18"/>
          <w:szCs w:val="18"/>
          <w:lang w:eastAsia="es-MX"/>
        </w:rPr>
        <w:t>(Porcentaje)</w:t>
      </w:r>
    </w:p>
    <w:p w14:paraId="3AEDD164" w14:textId="77777777" w:rsidR="00AC434B" w:rsidRPr="00063FD5" w:rsidRDefault="00AC434B" w:rsidP="00063FD5">
      <w:pPr>
        <w:spacing w:after="0" w:line="240" w:lineRule="auto"/>
        <w:ind w:left="-567"/>
        <w:jc w:val="center"/>
        <w:rPr>
          <w:rFonts w:ascii="Montserrat" w:eastAsia="Times New Roman" w:hAnsi="Montserrat" w:cs="Arial"/>
          <w:bCs/>
          <w:sz w:val="18"/>
          <w:szCs w:val="18"/>
          <w:lang w:eastAsia="es-MX"/>
        </w:rPr>
      </w:pPr>
      <w:r w:rsidRPr="00063FD5">
        <w:rPr>
          <w:rFonts w:ascii="Montserrat" w:eastAsia="Times New Roman" w:hAnsi="Montserrat" w:cs="Arial"/>
          <w:bCs/>
          <w:noProof/>
          <w:sz w:val="18"/>
          <w:szCs w:val="18"/>
          <w:lang w:eastAsia="es-MX"/>
        </w:rPr>
        <w:drawing>
          <wp:inline distT="0" distB="0" distL="0" distR="0" wp14:anchorId="38D866A1" wp14:editId="4042501B">
            <wp:extent cx="3094074" cy="1553163"/>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3978" cy="1563154"/>
                    </a:xfrm>
                    <a:prstGeom prst="rect">
                      <a:avLst/>
                    </a:prstGeom>
                    <a:noFill/>
                  </pic:spPr>
                </pic:pic>
              </a:graphicData>
            </a:graphic>
          </wp:inline>
        </w:drawing>
      </w:r>
    </w:p>
    <w:p w14:paraId="5086B29B" w14:textId="37302CEE" w:rsidR="00AC434B" w:rsidRPr="00063FD5" w:rsidRDefault="00AC434B" w:rsidP="00063FD5">
      <w:pPr>
        <w:spacing w:after="0" w:line="240" w:lineRule="auto"/>
        <w:ind w:left="2127" w:right="1985"/>
        <w:rPr>
          <w:rFonts w:ascii="Montserrat" w:eastAsia="Times New Roman" w:hAnsi="Montserrat" w:cs="Arial"/>
          <w:bCs/>
          <w:sz w:val="14"/>
          <w:szCs w:val="16"/>
          <w:lang w:eastAsia="es-MX"/>
        </w:rPr>
      </w:pPr>
      <w:r w:rsidRPr="00063FD5">
        <w:rPr>
          <w:rFonts w:ascii="Montserrat" w:eastAsia="Times New Roman" w:hAnsi="Montserrat" w:cs="Arial"/>
          <w:bCs/>
          <w:sz w:val="14"/>
          <w:szCs w:val="16"/>
          <w:vertAlign w:val="superscript"/>
          <w:lang w:eastAsia="es-MX"/>
        </w:rPr>
        <w:t>1</w:t>
      </w:r>
      <w:r w:rsidRPr="00063FD5">
        <w:rPr>
          <w:rFonts w:ascii="Montserrat" w:eastAsia="Times New Roman" w:hAnsi="Montserrat" w:cs="Arial"/>
          <w:bCs/>
          <w:sz w:val="14"/>
          <w:szCs w:val="16"/>
          <w:lang w:eastAsia="es-MX"/>
        </w:rPr>
        <w:t>Incluye la tenencia de seguro de vida, gastos médicos, de auto, contra accidentes, de casa, de educación, plan privado de retiro y otros.</w:t>
      </w:r>
    </w:p>
    <w:p w14:paraId="5A7ED6DF" w14:textId="77777777" w:rsidR="00AC434B" w:rsidRPr="00063FD5" w:rsidRDefault="00AC434B" w:rsidP="00063FD5">
      <w:pPr>
        <w:spacing w:after="0" w:line="240" w:lineRule="auto"/>
        <w:ind w:left="2127" w:right="1985"/>
        <w:rPr>
          <w:rFonts w:ascii="Montserrat" w:eastAsia="Times New Roman" w:hAnsi="Montserrat" w:cs="Arial"/>
          <w:bCs/>
          <w:sz w:val="14"/>
          <w:szCs w:val="16"/>
          <w:lang w:eastAsia="es-MX"/>
        </w:rPr>
      </w:pPr>
      <w:r w:rsidRPr="00063FD5">
        <w:rPr>
          <w:rFonts w:ascii="Montserrat" w:eastAsia="Times New Roman" w:hAnsi="Montserrat" w:cs="Arial"/>
          <w:bCs/>
          <w:sz w:val="14"/>
          <w:szCs w:val="16"/>
          <w:lang w:eastAsia="es-MX"/>
        </w:rPr>
        <w:t>* Cambio significativo. Prueba de hipótesis con un 95% de confianza.</w:t>
      </w:r>
    </w:p>
    <w:p w14:paraId="4F061ECC" w14:textId="77777777" w:rsidR="00AC434B" w:rsidRPr="00063FD5" w:rsidRDefault="00AC434B" w:rsidP="00063FD5">
      <w:pPr>
        <w:spacing w:after="0" w:line="240" w:lineRule="auto"/>
        <w:ind w:left="2127" w:right="1985"/>
        <w:rPr>
          <w:rFonts w:ascii="Montserrat" w:eastAsia="Times New Roman" w:hAnsi="Montserrat" w:cs="Arial"/>
          <w:bCs/>
          <w:sz w:val="14"/>
          <w:szCs w:val="16"/>
          <w:lang w:eastAsia="es-MX"/>
        </w:rPr>
      </w:pPr>
      <w:r w:rsidRPr="00063FD5">
        <w:rPr>
          <w:rFonts w:ascii="Montserrat" w:eastAsia="Times New Roman" w:hAnsi="Montserrat" w:cs="Arial"/>
          <w:bCs/>
          <w:sz w:val="14"/>
          <w:szCs w:val="16"/>
          <w:lang w:eastAsia="es-MX"/>
        </w:rPr>
        <w:t>Fuente: INEGI. Encuesta Nacional de Inclusión Financiera (ENIF) 2021, ENIF 2018 y ENIF 2015.</w:t>
      </w:r>
    </w:p>
    <w:p w14:paraId="2610A92E" w14:textId="77777777" w:rsidR="00AC434B" w:rsidRPr="003F2720" w:rsidRDefault="00AC434B" w:rsidP="00063FD5">
      <w:pPr>
        <w:spacing w:after="0" w:line="240" w:lineRule="auto"/>
        <w:ind w:left="1418"/>
        <w:rPr>
          <w:rFonts w:ascii="Montserrat" w:eastAsia="Times New Roman" w:hAnsi="Montserrat" w:cs="Arial"/>
          <w:bCs/>
          <w:sz w:val="18"/>
          <w:szCs w:val="18"/>
          <w:lang w:eastAsia="es-MX"/>
        </w:rPr>
      </w:pPr>
    </w:p>
    <w:p w14:paraId="26199E74" w14:textId="77777777" w:rsidR="00C843FF" w:rsidRPr="003F2720" w:rsidRDefault="00C843FF" w:rsidP="00C843FF">
      <w:pPr>
        <w:spacing w:after="0" w:line="240" w:lineRule="auto"/>
        <w:ind w:left="-567"/>
        <w:jc w:val="both"/>
        <w:rPr>
          <w:rFonts w:ascii="Montserrat" w:eastAsia="Times New Roman" w:hAnsi="Montserrat" w:cs="Arial"/>
          <w:bCs/>
          <w:sz w:val="18"/>
          <w:szCs w:val="18"/>
          <w:lang w:eastAsia="es-MX"/>
        </w:rPr>
      </w:pPr>
    </w:p>
    <w:p w14:paraId="361A2381" w14:textId="535960C5" w:rsidR="007941DA" w:rsidRDefault="00B92B80" w:rsidP="00AF3E54">
      <w:pPr>
        <w:pStyle w:val="Prrafodelista"/>
        <w:numPr>
          <w:ilvl w:val="0"/>
          <w:numId w:val="22"/>
        </w:numPr>
        <w:spacing w:after="240" w:line="240" w:lineRule="auto"/>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Tenencia de c</w:t>
      </w:r>
      <w:r w:rsidR="007941DA" w:rsidRPr="003F2720">
        <w:rPr>
          <w:rFonts w:ascii="Montserrat" w:eastAsia="Times New Roman" w:hAnsi="Montserrat" w:cs="Arial"/>
          <w:b/>
          <w:bCs/>
          <w:smallCaps/>
          <w:sz w:val="18"/>
          <w:szCs w:val="18"/>
          <w:lang w:eastAsia="es-MX"/>
        </w:rPr>
        <w:t>uenta de ahorro para el retiro o Afore</w:t>
      </w:r>
    </w:p>
    <w:p w14:paraId="23D0E256" w14:textId="457ED932" w:rsidR="001A44C6" w:rsidRDefault="001A44C6" w:rsidP="0035368A">
      <w:pPr>
        <w:spacing w:after="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En 2021, 32.7 millones de personas de 18 a 70 años t</w:t>
      </w:r>
      <w:r w:rsidR="004574B4" w:rsidRPr="003F2720">
        <w:rPr>
          <w:rFonts w:ascii="Montserrat" w:eastAsia="Times New Roman" w:hAnsi="Montserrat" w:cs="Arial"/>
          <w:bCs/>
          <w:sz w:val="18"/>
          <w:szCs w:val="18"/>
          <w:lang w:eastAsia="es-MX"/>
        </w:rPr>
        <w:t>enían</w:t>
      </w:r>
      <w:r w:rsidRPr="003F2720">
        <w:rPr>
          <w:rFonts w:ascii="Montserrat" w:eastAsia="Times New Roman" w:hAnsi="Montserrat" w:cs="Arial"/>
          <w:bCs/>
          <w:sz w:val="18"/>
          <w:szCs w:val="18"/>
          <w:lang w:eastAsia="es-MX"/>
        </w:rPr>
        <w:t xml:space="preserve"> una cuenta</w:t>
      </w:r>
      <w:r w:rsidR="00526016">
        <w:rPr>
          <w:rFonts w:ascii="Montserrat" w:eastAsia="Times New Roman" w:hAnsi="Montserrat" w:cs="Arial"/>
          <w:bCs/>
          <w:sz w:val="18"/>
          <w:szCs w:val="18"/>
          <w:lang w:eastAsia="es-MX"/>
        </w:rPr>
        <w:t xml:space="preserve"> de ahorro</w:t>
      </w:r>
      <w:r w:rsidRPr="003F2720">
        <w:rPr>
          <w:rFonts w:ascii="Montserrat" w:eastAsia="Times New Roman" w:hAnsi="Montserrat" w:cs="Arial"/>
          <w:bCs/>
          <w:sz w:val="18"/>
          <w:szCs w:val="18"/>
          <w:lang w:eastAsia="es-MX"/>
        </w:rPr>
        <w:t xml:space="preserve"> para el retiro o </w:t>
      </w:r>
      <w:r w:rsidR="00394F56" w:rsidRPr="003F2720">
        <w:rPr>
          <w:rFonts w:ascii="Montserrat" w:eastAsia="Times New Roman" w:hAnsi="Montserrat" w:cs="Arial"/>
          <w:bCs/>
          <w:sz w:val="18"/>
          <w:szCs w:val="18"/>
          <w:lang w:eastAsia="es-MX"/>
        </w:rPr>
        <w:t>Afore</w:t>
      </w:r>
      <w:r w:rsidRPr="003F2720">
        <w:rPr>
          <w:rFonts w:ascii="Montserrat" w:eastAsia="Times New Roman" w:hAnsi="Montserrat" w:cs="Arial"/>
          <w:bCs/>
          <w:sz w:val="18"/>
          <w:szCs w:val="18"/>
          <w:lang w:eastAsia="es-MX"/>
        </w:rPr>
        <w:t xml:space="preserve">, </w:t>
      </w:r>
      <w:r w:rsidR="00EB56F8" w:rsidRPr="003F2720">
        <w:rPr>
          <w:rFonts w:ascii="Montserrat" w:eastAsia="Times New Roman" w:hAnsi="Montserrat" w:cs="Arial"/>
          <w:bCs/>
          <w:sz w:val="18"/>
          <w:szCs w:val="18"/>
          <w:lang w:eastAsia="es-MX"/>
        </w:rPr>
        <w:t xml:space="preserve">cifra que corresponde al </w:t>
      </w:r>
      <w:r w:rsidRPr="003F2720">
        <w:rPr>
          <w:rFonts w:ascii="Montserrat" w:eastAsia="Times New Roman" w:hAnsi="Montserrat" w:cs="Arial"/>
          <w:bCs/>
          <w:sz w:val="18"/>
          <w:szCs w:val="18"/>
          <w:lang w:eastAsia="es-MX"/>
        </w:rPr>
        <w:t xml:space="preserve">39.1% de dicha población. El 30.6% de las mujeres </w:t>
      </w:r>
      <w:r w:rsidR="004574B4" w:rsidRPr="003F2720">
        <w:rPr>
          <w:rFonts w:ascii="Montserrat" w:eastAsia="Times New Roman" w:hAnsi="Montserrat" w:cs="Arial"/>
          <w:bCs/>
          <w:sz w:val="18"/>
          <w:szCs w:val="18"/>
          <w:lang w:eastAsia="es-MX"/>
        </w:rPr>
        <w:t xml:space="preserve">y </w:t>
      </w:r>
      <w:r w:rsidR="0035368A" w:rsidRPr="003F2720">
        <w:rPr>
          <w:rFonts w:ascii="Montserrat" w:eastAsia="Times New Roman" w:hAnsi="Montserrat" w:cs="Arial"/>
          <w:bCs/>
          <w:sz w:val="18"/>
          <w:szCs w:val="18"/>
          <w:lang w:eastAsia="es-MX"/>
        </w:rPr>
        <w:t xml:space="preserve">48.7% de los hombres </w:t>
      </w:r>
      <w:r w:rsidRPr="003F2720">
        <w:rPr>
          <w:rFonts w:ascii="Montserrat" w:eastAsia="Times New Roman" w:hAnsi="Montserrat" w:cs="Arial"/>
          <w:bCs/>
          <w:sz w:val="18"/>
          <w:szCs w:val="18"/>
          <w:lang w:eastAsia="es-MX"/>
        </w:rPr>
        <w:t xml:space="preserve">de 18 a 70 años </w:t>
      </w:r>
      <w:r w:rsidR="0035368A" w:rsidRPr="003F2720">
        <w:rPr>
          <w:rFonts w:ascii="Montserrat" w:eastAsia="Times New Roman" w:hAnsi="Montserrat" w:cs="Arial"/>
          <w:bCs/>
          <w:sz w:val="18"/>
          <w:szCs w:val="18"/>
          <w:lang w:eastAsia="es-MX"/>
        </w:rPr>
        <w:t>contaban con</w:t>
      </w:r>
      <w:r w:rsidRPr="003F2720">
        <w:rPr>
          <w:rFonts w:ascii="Montserrat" w:eastAsia="Times New Roman" w:hAnsi="Montserrat" w:cs="Arial"/>
          <w:bCs/>
          <w:sz w:val="18"/>
          <w:szCs w:val="18"/>
          <w:lang w:eastAsia="es-MX"/>
        </w:rPr>
        <w:t xml:space="preserve"> una cuenta de ahorro para el retiro o </w:t>
      </w:r>
      <w:r w:rsidR="002E3E63" w:rsidRPr="003F2720">
        <w:rPr>
          <w:rFonts w:ascii="Montserrat" w:eastAsia="Times New Roman" w:hAnsi="Montserrat" w:cs="Arial"/>
          <w:bCs/>
          <w:sz w:val="18"/>
          <w:szCs w:val="18"/>
          <w:lang w:eastAsia="es-MX"/>
        </w:rPr>
        <w:t>Afore</w:t>
      </w:r>
      <w:r w:rsidR="0035368A" w:rsidRPr="003F2720">
        <w:rPr>
          <w:rFonts w:ascii="Montserrat" w:eastAsia="Times New Roman" w:hAnsi="Montserrat" w:cs="Arial"/>
          <w:bCs/>
          <w:sz w:val="18"/>
          <w:szCs w:val="18"/>
          <w:lang w:eastAsia="es-MX"/>
        </w:rPr>
        <w:t>.</w:t>
      </w:r>
      <w:r w:rsidR="00AF30D3" w:rsidRPr="003F2720">
        <w:rPr>
          <w:rFonts w:ascii="Montserrat" w:eastAsia="Times New Roman" w:hAnsi="Montserrat" w:cs="Arial"/>
          <w:bCs/>
          <w:sz w:val="18"/>
          <w:szCs w:val="18"/>
          <w:lang w:eastAsia="es-MX"/>
        </w:rPr>
        <w:t xml:space="preserve"> </w:t>
      </w:r>
      <w:r w:rsidR="0035368A" w:rsidRPr="003F2720">
        <w:rPr>
          <w:rFonts w:ascii="Montserrat" w:eastAsia="Times New Roman" w:hAnsi="Montserrat" w:cs="Arial"/>
          <w:bCs/>
          <w:sz w:val="18"/>
          <w:szCs w:val="18"/>
          <w:lang w:eastAsia="es-MX"/>
        </w:rPr>
        <w:t xml:space="preserve">La </w:t>
      </w:r>
      <w:r w:rsidRPr="003F2720">
        <w:rPr>
          <w:rFonts w:ascii="Montserrat" w:eastAsia="Times New Roman" w:hAnsi="Montserrat" w:cs="Arial"/>
          <w:bCs/>
          <w:sz w:val="18"/>
          <w:szCs w:val="18"/>
          <w:lang w:eastAsia="es-MX"/>
        </w:rPr>
        <w:t xml:space="preserve">brecha </w:t>
      </w:r>
      <w:r w:rsidR="0035368A" w:rsidRPr="003F2720">
        <w:rPr>
          <w:rFonts w:ascii="Montserrat" w:eastAsia="Times New Roman" w:hAnsi="Montserrat" w:cs="Arial"/>
          <w:bCs/>
          <w:sz w:val="18"/>
          <w:szCs w:val="18"/>
          <w:lang w:eastAsia="es-MX"/>
        </w:rPr>
        <w:t>para este indicador entre hombres y mujeres</w:t>
      </w:r>
      <w:r w:rsidR="00EB56F8" w:rsidRPr="003F2720">
        <w:rPr>
          <w:rFonts w:ascii="Montserrat" w:eastAsia="Times New Roman" w:hAnsi="Montserrat" w:cs="Arial"/>
          <w:bCs/>
          <w:sz w:val="18"/>
          <w:szCs w:val="18"/>
          <w:lang w:eastAsia="es-MX"/>
        </w:rPr>
        <w:t xml:space="preserve"> </w:t>
      </w:r>
      <w:r w:rsidR="006843FF" w:rsidRPr="003F2720">
        <w:rPr>
          <w:rFonts w:ascii="Montserrat" w:eastAsia="Times New Roman" w:hAnsi="Montserrat" w:cs="Arial"/>
          <w:bCs/>
          <w:sz w:val="18"/>
          <w:szCs w:val="18"/>
          <w:lang w:eastAsia="es-MX"/>
        </w:rPr>
        <w:t xml:space="preserve">fue </w:t>
      </w:r>
      <w:r w:rsidRPr="003F2720">
        <w:rPr>
          <w:rFonts w:ascii="Montserrat" w:eastAsia="Times New Roman" w:hAnsi="Montserrat" w:cs="Arial"/>
          <w:bCs/>
          <w:sz w:val="18"/>
          <w:szCs w:val="18"/>
          <w:lang w:eastAsia="es-MX"/>
        </w:rPr>
        <w:t xml:space="preserve">de 18.1 puntos porcentuales, dato muy similar al </w:t>
      </w:r>
      <w:r w:rsidR="0035368A" w:rsidRPr="003F2720">
        <w:rPr>
          <w:rFonts w:ascii="Montserrat" w:eastAsia="Times New Roman" w:hAnsi="Montserrat" w:cs="Arial"/>
          <w:bCs/>
          <w:sz w:val="18"/>
          <w:szCs w:val="18"/>
          <w:lang w:eastAsia="es-MX"/>
        </w:rPr>
        <w:t>obtenido en</w:t>
      </w:r>
      <w:r w:rsidRPr="003F2720">
        <w:rPr>
          <w:rFonts w:ascii="Montserrat" w:eastAsia="Times New Roman" w:hAnsi="Montserrat" w:cs="Arial"/>
          <w:bCs/>
          <w:sz w:val="18"/>
          <w:szCs w:val="18"/>
          <w:lang w:eastAsia="es-MX"/>
        </w:rPr>
        <w:t xml:space="preserve"> 2018.</w:t>
      </w:r>
    </w:p>
    <w:p w14:paraId="1D3C2216" w14:textId="77777777" w:rsidR="00AC434B" w:rsidRDefault="00AC434B" w:rsidP="00AC434B">
      <w:pPr>
        <w:spacing w:after="0" w:line="240" w:lineRule="auto"/>
        <w:ind w:left="-567"/>
        <w:jc w:val="center"/>
        <w:rPr>
          <w:rFonts w:ascii="Montserrat" w:eastAsia="Times New Roman" w:hAnsi="Montserrat" w:cs="Arial"/>
          <w:bCs/>
          <w:sz w:val="18"/>
          <w:szCs w:val="18"/>
          <w:lang w:eastAsia="es-MX"/>
        </w:rPr>
      </w:pPr>
    </w:p>
    <w:p w14:paraId="07AE9B8B" w14:textId="77777777" w:rsidR="00AC434B" w:rsidRDefault="00AC434B" w:rsidP="00AC434B">
      <w:pPr>
        <w:spacing w:after="0" w:line="240" w:lineRule="auto"/>
        <w:ind w:left="-567"/>
        <w:jc w:val="center"/>
        <w:rPr>
          <w:rFonts w:ascii="Montserrat" w:eastAsia="Times New Roman" w:hAnsi="Montserrat" w:cs="Arial"/>
          <w:bCs/>
          <w:sz w:val="18"/>
          <w:szCs w:val="18"/>
          <w:lang w:eastAsia="es-MX"/>
        </w:rPr>
      </w:pPr>
    </w:p>
    <w:p w14:paraId="0841057E" w14:textId="77777777" w:rsidR="00AC434B" w:rsidRDefault="00AC434B" w:rsidP="00AC434B">
      <w:pPr>
        <w:spacing w:after="0" w:line="240" w:lineRule="auto"/>
        <w:ind w:left="-567"/>
        <w:jc w:val="center"/>
        <w:rPr>
          <w:rFonts w:ascii="Montserrat" w:eastAsia="Times New Roman" w:hAnsi="Montserrat" w:cs="Arial"/>
          <w:bCs/>
          <w:sz w:val="18"/>
          <w:szCs w:val="18"/>
          <w:lang w:eastAsia="es-MX"/>
        </w:rPr>
      </w:pPr>
    </w:p>
    <w:p w14:paraId="18020590" w14:textId="1DF04D00" w:rsidR="00AC434B" w:rsidRPr="00063FD5" w:rsidRDefault="00AC434B" w:rsidP="00AC434B">
      <w:pPr>
        <w:spacing w:after="0" w:line="240" w:lineRule="auto"/>
        <w:ind w:left="-567"/>
        <w:jc w:val="center"/>
        <w:rPr>
          <w:rFonts w:ascii="Montserrat" w:eastAsia="Times New Roman" w:hAnsi="Montserrat" w:cs="Arial"/>
          <w:bCs/>
          <w:sz w:val="18"/>
          <w:szCs w:val="18"/>
          <w:lang w:eastAsia="es-MX"/>
        </w:rPr>
      </w:pPr>
      <w:r w:rsidRPr="00063FD5">
        <w:rPr>
          <w:rFonts w:ascii="Montserrat" w:eastAsia="Times New Roman" w:hAnsi="Montserrat" w:cs="Arial"/>
          <w:bCs/>
          <w:sz w:val="18"/>
          <w:szCs w:val="18"/>
          <w:lang w:eastAsia="es-MX"/>
        </w:rPr>
        <w:t xml:space="preserve">Gráfica </w:t>
      </w:r>
      <w:r>
        <w:rPr>
          <w:rFonts w:ascii="Montserrat" w:eastAsia="Times New Roman" w:hAnsi="Montserrat" w:cs="Arial"/>
          <w:bCs/>
          <w:sz w:val="18"/>
          <w:szCs w:val="18"/>
          <w:lang w:eastAsia="es-MX"/>
        </w:rPr>
        <w:t>5</w:t>
      </w:r>
      <w:r w:rsidRPr="00063FD5">
        <w:rPr>
          <w:rFonts w:ascii="Montserrat" w:eastAsia="Times New Roman" w:hAnsi="Montserrat" w:cs="Arial"/>
          <w:bCs/>
          <w:sz w:val="18"/>
          <w:szCs w:val="18"/>
          <w:lang w:eastAsia="es-MX"/>
        </w:rPr>
        <w:t>.</w:t>
      </w:r>
    </w:p>
    <w:p w14:paraId="209C3377" w14:textId="77777777" w:rsidR="00AC434B" w:rsidRPr="00063FD5" w:rsidRDefault="00AC434B" w:rsidP="00AC434B">
      <w:pPr>
        <w:spacing w:after="0" w:line="240" w:lineRule="auto"/>
        <w:ind w:left="-567"/>
        <w:jc w:val="center"/>
        <w:rPr>
          <w:rFonts w:ascii="Montserrat" w:eastAsia="Times New Roman" w:hAnsi="Montserrat" w:cs="Arial"/>
          <w:b/>
          <w:bCs/>
          <w:sz w:val="20"/>
          <w:szCs w:val="18"/>
          <w:lang w:eastAsia="es-MX"/>
        </w:rPr>
      </w:pPr>
      <w:r w:rsidRPr="00063FD5">
        <w:rPr>
          <w:rFonts w:ascii="Montserrat" w:eastAsia="Times New Roman" w:hAnsi="Montserrat" w:cs="Arial"/>
          <w:b/>
          <w:bCs/>
          <w:sz w:val="20"/>
          <w:szCs w:val="18"/>
          <w:lang w:eastAsia="es-MX"/>
        </w:rPr>
        <w:t>Poblaci</w:t>
      </w:r>
      <w:r w:rsidRPr="00063FD5">
        <w:rPr>
          <w:rFonts w:ascii="Montserrat" w:eastAsia="Times New Roman" w:hAnsi="Montserrat" w:cs="Arial" w:hint="eastAsia"/>
          <w:b/>
          <w:bCs/>
          <w:sz w:val="20"/>
          <w:szCs w:val="18"/>
          <w:lang w:eastAsia="es-MX"/>
        </w:rPr>
        <w:t>ó</w:t>
      </w:r>
      <w:r w:rsidRPr="00063FD5">
        <w:rPr>
          <w:rFonts w:ascii="Montserrat" w:eastAsia="Times New Roman" w:hAnsi="Montserrat" w:cs="Arial"/>
          <w:b/>
          <w:bCs/>
          <w:sz w:val="20"/>
          <w:szCs w:val="18"/>
          <w:lang w:eastAsia="es-MX"/>
        </w:rPr>
        <w:t>n de 18 a 70 a</w:t>
      </w:r>
      <w:r w:rsidRPr="00063FD5">
        <w:rPr>
          <w:rFonts w:ascii="Montserrat" w:eastAsia="Times New Roman" w:hAnsi="Montserrat" w:cs="Arial" w:hint="eastAsia"/>
          <w:b/>
          <w:bCs/>
          <w:sz w:val="20"/>
          <w:szCs w:val="18"/>
          <w:lang w:eastAsia="es-MX"/>
        </w:rPr>
        <w:t>ñ</w:t>
      </w:r>
      <w:r w:rsidRPr="00063FD5">
        <w:rPr>
          <w:rFonts w:ascii="Montserrat" w:eastAsia="Times New Roman" w:hAnsi="Montserrat" w:cs="Arial"/>
          <w:b/>
          <w:bCs/>
          <w:sz w:val="20"/>
          <w:szCs w:val="18"/>
          <w:lang w:eastAsia="es-MX"/>
        </w:rPr>
        <w:t xml:space="preserve">os con tenencia de cuenta para el retiro o Afore </w:t>
      </w:r>
    </w:p>
    <w:p w14:paraId="236F2104" w14:textId="77777777" w:rsidR="00AC434B" w:rsidRPr="00063FD5" w:rsidRDefault="00AC434B" w:rsidP="00AC434B">
      <w:pPr>
        <w:spacing w:after="0" w:line="240" w:lineRule="auto"/>
        <w:ind w:left="-567"/>
        <w:jc w:val="center"/>
        <w:rPr>
          <w:rFonts w:ascii="Montserrat" w:eastAsia="Times New Roman" w:hAnsi="Montserrat" w:cs="Arial"/>
          <w:bCs/>
          <w:sz w:val="18"/>
          <w:szCs w:val="18"/>
          <w:lang w:eastAsia="es-MX"/>
        </w:rPr>
      </w:pPr>
      <w:r w:rsidRPr="00063FD5">
        <w:rPr>
          <w:rFonts w:ascii="Montserrat" w:eastAsia="Times New Roman" w:hAnsi="Montserrat" w:cs="Arial"/>
          <w:bCs/>
          <w:sz w:val="18"/>
          <w:szCs w:val="18"/>
          <w:lang w:eastAsia="es-MX"/>
        </w:rPr>
        <w:t xml:space="preserve">(Porcentaje) </w:t>
      </w:r>
    </w:p>
    <w:p w14:paraId="7952668C" w14:textId="77777777" w:rsidR="00AC434B" w:rsidRDefault="00AC434B" w:rsidP="00AC434B">
      <w:pPr>
        <w:spacing w:after="0" w:line="240" w:lineRule="auto"/>
        <w:jc w:val="center"/>
        <w:rPr>
          <w:rFonts w:ascii="Arial" w:eastAsia="Times New Roman" w:hAnsi="Arial" w:cs="Arial"/>
          <w:b/>
          <w:bCs/>
          <w:lang w:eastAsia="es-MX"/>
        </w:rPr>
      </w:pPr>
      <w:r>
        <w:rPr>
          <w:rFonts w:ascii="Arial" w:eastAsia="Times New Roman" w:hAnsi="Arial" w:cs="Arial"/>
          <w:b/>
          <w:bCs/>
          <w:noProof/>
          <w:lang w:eastAsia="es-MX"/>
        </w:rPr>
        <w:drawing>
          <wp:inline distT="0" distB="0" distL="0" distR="0" wp14:anchorId="33A950FA" wp14:editId="21F4586D">
            <wp:extent cx="3030279" cy="1511533"/>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8376" cy="1515572"/>
                    </a:xfrm>
                    <a:prstGeom prst="rect">
                      <a:avLst/>
                    </a:prstGeom>
                    <a:noFill/>
                  </pic:spPr>
                </pic:pic>
              </a:graphicData>
            </a:graphic>
          </wp:inline>
        </w:drawing>
      </w:r>
    </w:p>
    <w:p w14:paraId="69350FBA" w14:textId="77777777" w:rsidR="00AC434B" w:rsidRPr="00063FD5" w:rsidRDefault="00AC434B" w:rsidP="00063FD5">
      <w:pPr>
        <w:spacing w:after="0" w:line="240" w:lineRule="auto"/>
        <w:ind w:left="1418" w:right="1985"/>
        <w:jc w:val="center"/>
        <w:rPr>
          <w:rFonts w:ascii="Montserrat" w:eastAsia="Times New Roman" w:hAnsi="Montserrat" w:cs="Arial"/>
          <w:bCs/>
          <w:sz w:val="14"/>
          <w:szCs w:val="18"/>
          <w:lang w:eastAsia="es-MX"/>
        </w:rPr>
      </w:pPr>
      <w:r w:rsidRPr="00063FD5">
        <w:rPr>
          <w:rFonts w:ascii="Montserrat" w:eastAsia="Times New Roman" w:hAnsi="Montserrat" w:cs="Arial"/>
          <w:bCs/>
          <w:sz w:val="14"/>
          <w:szCs w:val="18"/>
          <w:lang w:eastAsia="es-MX"/>
        </w:rPr>
        <w:t>Fuente: INEGI. Encuesta Nacional de Inclusión Financiera (ENIF) 2021, ENIF 2018 y ENIF 2015.</w:t>
      </w:r>
    </w:p>
    <w:p w14:paraId="2E5F3CBD" w14:textId="67C0E9F5" w:rsidR="00AC434B" w:rsidRDefault="00AC434B" w:rsidP="0035368A">
      <w:pPr>
        <w:spacing w:after="0" w:line="240" w:lineRule="auto"/>
        <w:ind w:left="-567"/>
        <w:jc w:val="both"/>
        <w:rPr>
          <w:rFonts w:ascii="Montserrat" w:eastAsia="Times New Roman" w:hAnsi="Montserrat" w:cs="Arial"/>
          <w:bCs/>
          <w:sz w:val="18"/>
          <w:szCs w:val="18"/>
          <w:lang w:eastAsia="es-MX"/>
        </w:rPr>
      </w:pPr>
    </w:p>
    <w:p w14:paraId="6EDC5D07" w14:textId="16E9CD82" w:rsidR="005E3002" w:rsidRDefault="005E3002" w:rsidP="0035368A">
      <w:pPr>
        <w:spacing w:after="0" w:line="240" w:lineRule="auto"/>
        <w:ind w:left="-567"/>
        <w:jc w:val="both"/>
        <w:rPr>
          <w:rFonts w:ascii="Montserrat" w:eastAsia="Times New Roman" w:hAnsi="Montserrat" w:cs="Arial"/>
          <w:bCs/>
          <w:sz w:val="18"/>
          <w:szCs w:val="18"/>
          <w:lang w:eastAsia="es-MX"/>
        </w:rPr>
      </w:pPr>
    </w:p>
    <w:p w14:paraId="227DA05D" w14:textId="487DC2BC" w:rsidR="005E3002" w:rsidRDefault="005E3002" w:rsidP="0035368A">
      <w:pPr>
        <w:spacing w:after="0" w:line="240" w:lineRule="auto"/>
        <w:ind w:left="-567"/>
        <w:jc w:val="both"/>
        <w:rPr>
          <w:rFonts w:ascii="Montserrat" w:eastAsia="Times New Roman" w:hAnsi="Montserrat" w:cs="Arial"/>
          <w:bCs/>
          <w:sz w:val="18"/>
          <w:szCs w:val="18"/>
          <w:lang w:eastAsia="es-MX"/>
        </w:rPr>
      </w:pPr>
    </w:p>
    <w:p w14:paraId="5ECEDEFB" w14:textId="77777777" w:rsidR="003F41FF" w:rsidRPr="003F2720" w:rsidRDefault="003F41FF" w:rsidP="003F41FF">
      <w:pPr>
        <w:spacing w:after="0" w:line="240" w:lineRule="auto"/>
        <w:jc w:val="both"/>
        <w:rPr>
          <w:rFonts w:ascii="Montserrat" w:hAnsi="Montserrat" w:cs="Arial"/>
          <w:bCs/>
          <w:sz w:val="18"/>
          <w:szCs w:val="18"/>
          <w:lang w:val="es-ES"/>
        </w:rPr>
      </w:pPr>
    </w:p>
    <w:p w14:paraId="475F1557" w14:textId="77777777" w:rsidR="007941DA" w:rsidRPr="003F2720" w:rsidRDefault="007941DA" w:rsidP="00AF3E54">
      <w:pPr>
        <w:pStyle w:val="Prrafodelista"/>
        <w:numPr>
          <w:ilvl w:val="0"/>
          <w:numId w:val="22"/>
        </w:numPr>
        <w:spacing w:after="240" w:line="240" w:lineRule="auto"/>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Uso de infraestructura financiera</w:t>
      </w:r>
    </w:p>
    <w:p w14:paraId="25C294DB" w14:textId="0A69311C" w:rsidR="003B5EB3" w:rsidRPr="003F2720" w:rsidRDefault="003B5EB3" w:rsidP="002D7510">
      <w:pPr>
        <w:spacing w:after="240" w:line="240" w:lineRule="auto"/>
        <w:ind w:left="-567"/>
        <w:jc w:val="both"/>
        <w:rPr>
          <w:rFonts w:ascii="Montserrat" w:eastAsia="Times New Roman" w:hAnsi="Montserrat" w:cs="Arial"/>
          <w:bCs/>
          <w:sz w:val="18"/>
          <w:szCs w:val="18"/>
          <w:lang w:val="es-ES" w:eastAsia="es-MX"/>
        </w:rPr>
      </w:pPr>
      <w:r w:rsidRPr="003F2720">
        <w:rPr>
          <w:rFonts w:ascii="Montserrat" w:eastAsia="Times New Roman" w:hAnsi="Montserrat" w:cs="Arial"/>
          <w:bCs/>
          <w:sz w:val="18"/>
          <w:szCs w:val="18"/>
          <w:lang w:val="es-ES" w:eastAsia="es-MX"/>
        </w:rPr>
        <w:t>En 2021, 70.8% de la población de 18 a 70 años utilizó algún canal financiero:</w:t>
      </w:r>
      <w:r w:rsidR="00F2275E" w:rsidRPr="003F2720">
        <w:rPr>
          <w:rFonts w:ascii="Montserrat" w:eastAsia="Times New Roman" w:hAnsi="Montserrat" w:cs="Arial"/>
          <w:bCs/>
          <w:sz w:val="18"/>
          <w:szCs w:val="18"/>
          <w:lang w:val="es-ES" w:eastAsia="es-MX"/>
        </w:rPr>
        <w:t xml:space="preserve"> </w:t>
      </w:r>
      <w:r w:rsidRPr="003F2720">
        <w:rPr>
          <w:rFonts w:ascii="Montserrat" w:eastAsia="Times New Roman" w:hAnsi="Montserrat" w:cs="Arial"/>
          <w:bCs/>
          <w:sz w:val="18"/>
          <w:szCs w:val="18"/>
          <w:lang w:val="es-ES" w:eastAsia="es-MX"/>
        </w:rPr>
        <w:t xml:space="preserve">52.1% </w:t>
      </w:r>
      <w:r w:rsidRPr="003F2720">
        <w:rPr>
          <w:rFonts w:ascii="Montserrat" w:eastAsia="Times New Roman" w:hAnsi="Montserrat" w:cs="Arial"/>
          <w:bCs/>
          <w:i/>
          <w:sz w:val="18"/>
          <w:szCs w:val="18"/>
          <w:lang w:val="es-ES" w:eastAsia="es-MX"/>
        </w:rPr>
        <w:t>cajero automático</w:t>
      </w:r>
      <w:r w:rsidRPr="003F2720">
        <w:rPr>
          <w:rFonts w:ascii="Montserrat" w:eastAsia="Times New Roman" w:hAnsi="Montserrat" w:cs="Arial"/>
          <w:bCs/>
          <w:sz w:val="18"/>
          <w:szCs w:val="18"/>
          <w:lang w:val="es-ES" w:eastAsia="es-MX"/>
        </w:rPr>
        <w:t xml:space="preserve">, 43.9% </w:t>
      </w:r>
      <w:r w:rsidRPr="003F2720">
        <w:rPr>
          <w:rFonts w:ascii="Montserrat" w:eastAsia="Times New Roman" w:hAnsi="Montserrat" w:cs="Arial"/>
          <w:bCs/>
          <w:i/>
          <w:sz w:val="18"/>
          <w:szCs w:val="18"/>
          <w:lang w:val="es-ES" w:eastAsia="es-MX"/>
        </w:rPr>
        <w:t>corresponsal financier</w:t>
      </w:r>
      <w:r w:rsidR="002854E7" w:rsidRPr="003F2720">
        <w:rPr>
          <w:rFonts w:ascii="Montserrat" w:eastAsia="Times New Roman" w:hAnsi="Montserrat" w:cs="Arial"/>
          <w:bCs/>
          <w:i/>
          <w:sz w:val="18"/>
          <w:szCs w:val="18"/>
          <w:lang w:val="es-ES" w:eastAsia="es-MX"/>
        </w:rPr>
        <w:t>o</w:t>
      </w:r>
      <w:r w:rsidRPr="003F2720">
        <w:rPr>
          <w:rFonts w:ascii="Montserrat" w:eastAsia="Times New Roman" w:hAnsi="Montserrat" w:cs="Arial"/>
          <w:bCs/>
          <w:sz w:val="18"/>
          <w:szCs w:val="18"/>
          <w:lang w:val="es-ES" w:eastAsia="es-MX"/>
        </w:rPr>
        <w:t xml:space="preserve"> (establecimientos comerciales) y 41.5% alguna </w:t>
      </w:r>
      <w:r w:rsidRPr="003F2720">
        <w:rPr>
          <w:rFonts w:ascii="Montserrat" w:eastAsia="Times New Roman" w:hAnsi="Montserrat" w:cs="Arial"/>
          <w:bCs/>
          <w:i/>
          <w:sz w:val="18"/>
          <w:szCs w:val="18"/>
          <w:lang w:val="es-ES" w:eastAsia="es-MX"/>
        </w:rPr>
        <w:t>sucursal bancaria</w:t>
      </w:r>
      <w:r w:rsidRPr="003F2720">
        <w:rPr>
          <w:rFonts w:ascii="Montserrat" w:eastAsia="Times New Roman" w:hAnsi="Montserrat" w:cs="Arial"/>
          <w:bCs/>
          <w:sz w:val="18"/>
          <w:szCs w:val="18"/>
          <w:lang w:val="es-ES" w:eastAsia="es-MX"/>
        </w:rPr>
        <w:t xml:space="preserve">. En comparación </w:t>
      </w:r>
      <w:r w:rsidR="002D7510" w:rsidRPr="003F2720">
        <w:rPr>
          <w:rFonts w:ascii="Montserrat" w:eastAsia="Times New Roman" w:hAnsi="Montserrat" w:cs="Arial"/>
          <w:bCs/>
          <w:sz w:val="18"/>
          <w:szCs w:val="18"/>
          <w:lang w:val="es-ES" w:eastAsia="es-MX"/>
        </w:rPr>
        <w:t>con</w:t>
      </w:r>
      <w:r w:rsidR="00F2275E" w:rsidRPr="003F2720">
        <w:rPr>
          <w:rFonts w:ascii="Montserrat" w:eastAsia="Times New Roman" w:hAnsi="Montserrat" w:cs="Arial"/>
          <w:bCs/>
          <w:sz w:val="18"/>
          <w:szCs w:val="18"/>
          <w:lang w:val="es-ES" w:eastAsia="es-MX"/>
        </w:rPr>
        <w:t xml:space="preserve"> </w:t>
      </w:r>
      <w:r w:rsidRPr="003F2720">
        <w:rPr>
          <w:rFonts w:ascii="Montserrat" w:eastAsia="Times New Roman" w:hAnsi="Montserrat" w:cs="Arial"/>
          <w:bCs/>
          <w:sz w:val="18"/>
          <w:szCs w:val="18"/>
          <w:lang w:val="es-ES" w:eastAsia="es-MX"/>
        </w:rPr>
        <w:t xml:space="preserve">2018, incrementó el uso de </w:t>
      </w:r>
      <w:r w:rsidRPr="003F2720">
        <w:rPr>
          <w:rFonts w:ascii="Montserrat" w:eastAsia="Times New Roman" w:hAnsi="Montserrat" w:cs="Arial"/>
          <w:bCs/>
          <w:i/>
          <w:sz w:val="18"/>
          <w:szCs w:val="18"/>
          <w:lang w:val="es-ES" w:eastAsia="es-MX"/>
        </w:rPr>
        <w:t>cajeros automáticos</w:t>
      </w:r>
      <w:r w:rsidR="00272E5C" w:rsidRPr="003F2720">
        <w:rPr>
          <w:rFonts w:ascii="Montserrat" w:eastAsia="Times New Roman" w:hAnsi="Montserrat" w:cs="Arial"/>
          <w:bCs/>
          <w:i/>
          <w:sz w:val="18"/>
          <w:szCs w:val="18"/>
          <w:lang w:val="es-ES" w:eastAsia="es-MX"/>
        </w:rPr>
        <w:t xml:space="preserve"> </w:t>
      </w:r>
      <w:r w:rsidR="00272E5C" w:rsidRPr="003F2720">
        <w:rPr>
          <w:rFonts w:ascii="Montserrat" w:eastAsia="Times New Roman" w:hAnsi="Montserrat" w:cs="Arial"/>
          <w:bCs/>
          <w:iCs/>
          <w:sz w:val="18"/>
          <w:szCs w:val="18"/>
          <w:lang w:val="es-ES" w:eastAsia="es-MX"/>
        </w:rPr>
        <w:t>(7.2 puntos porcentuales</w:t>
      </w:r>
      <w:r w:rsidR="00272E5C" w:rsidRPr="003F2720">
        <w:rPr>
          <w:rFonts w:ascii="Montserrat" w:eastAsia="Times New Roman" w:hAnsi="Montserrat" w:cs="Arial"/>
          <w:bCs/>
          <w:i/>
          <w:sz w:val="18"/>
          <w:szCs w:val="18"/>
          <w:lang w:val="es-ES" w:eastAsia="es-MX"/>
        </w:rPr>
        <w:t>)</w:t>
      </w:r>
      <w:r w:rsidRPr="003F2720">
        <w:rPr>
          <w:rFonts w:ascii="Montserrat" w:eastAsia="Times New Roman" w:hAnsi="Montserrat" w:cs="Arial"/>
          <w:bCs/>
          <w:sz w:val="18"/>
          <w:szCs w:val="18"/>
          <w:lang w:val="es-ES" w:eastAsia="es-MX"/>
        </w:rPr>
        <w:t xml:space="preserve"> y </w:t>
      </w:r>
      <w:r w:rsidRPr="003F2720">
        <w:rPr>
          <w:rFonts w:ascii="Montserrat" w:eastAsia="Times New Roman" w:hAnsi="Montserrat" w:cs="Arial"/>
          <w:bCs/>
          <w:i/>
          <w:sz w:val="18"/>
          <w:szCs w:val="18"/>
          <w:lang w:val="es-ES" w:eastAsia="es-MX"/>
        </w:rPr>
        <w:t xml:space="preserve">corresponsales </w:t>
      </w:r>
      <w:r w:rsidR="00E01B0A" w:rsidRPr="003F2720">
        <w:rPr>
          <w:rFonts w:ascii="Montserrat" w:eastAsia="Times New Roman" w:hAnsi="Montserrat" w:cs="Arial"/>
          <w:bCs/>
          <w:iCs/>
          <w:sz w:val="18"/>
          <w:szCs w:val="18"/>
          <w:lang w:val="es-ES" w:eastAsia="es-MX"/>
        </w:rPr>
        <w:t>(4.1)</w:t>
      </w:r>
      <w:r w:rsidRPr="003F2720">
        <w:rPr>
          <w:rFonts w:ascii="Montserrat" w:eastAsia="Times New Roman" w:hAnsi="Montserrat" w:cs="Arial"/>
          <w:bCs/>
          <w:sz w:val="18"/>
          <w:szCs w:val="18"/>
          <w:lang w:val="es-ES" w:eastAsia="es-MX"/>
        </w:rPr>
        <w:t xml:space="preserve"> y disminuyó el uso de </w:t>
      </w:r>
      <w:r w:rsidRPr="003F2720">
        <w:rPr>
          <w:rFonts w:ascii="Montserrat" w:eastAsia="Times New Roman" w:hAnsi="Montserrat" w:cs="Arial"/>
          <w:bCs/>
          <w:i/>
          <w:sz w:val="18"/>
          <w:szCs w:val="18"/>
          <w:lang w:val="es-ES" w:eastAsia="es-MX"/>
        </w:rPr>
        <w:t xml:space="preserve">sucursal </w:t>
      </w:r>
      <w:r w:rsidR="00526016">
        <w:rPr>
          <w:rFonts w:ascii="Montserrat" w:eastAsia="Times New Roman" w:hAnsi="Montserrat" w:cs="Arial"/>
          <w:bCs/>
          <w:i/>
          <w:sz w:val="18"/>
          <w:szCs w:val="18"/>
          <w:lang w:val="es-ES" w:eastAsia="es-MX"/>
        </w:rPr>
        <w:t>de entidades financieras</w:t>
      </w:r>
      <w:r w:rsidR="00526016" w:rsidRPr="003F2720">
        <w:rPr>
          <w:rFonts w:ascii="Montserrat" w:eastAsia="Times New Roman" w:hAnsi="Montserrat" w:cs="Arial"/>
          <w:bCs/>
          <w:i/>
          <w:sz w:val="18"/>
          <w:szCs w:val="18"/>
          <w:lang w:val="es-ES" w:eastAsia="es-MX"/>
        </w:rPr>
        <w:t xml:space="preserve"> </w:t>
      </w:r>
      <w:r w:rsidR="00E01B0A" w:rsidRPr="003F2720">
        <w:rPr>
          <w:rFonts w:ascii="Montserrat" w:eastAsia="Times New Roman" w:hAnsi="Montserrat" w:cs="Arial"/>
          <w:bCs/>
          <w:iCs/>
          <w:sz w:val="18"/>
          <w:szCs w:val="18"/>
          <w:lang w:val="es-ES" w:eastAsia="es-MX"/>
        </w:rPr>
        <w:t>(1.6</w:t>
      </w:r>
      <w:r w:rsidR="003A5BCC">
        <w:rPr>
          <w:rFonts w:ascii="Montserrat" w:eastAsia="Times New Roman" w:hAnsi="Montserrat" w:cs="Arial"/>
          <w:bCs/>
          <w:iCs/>
          <w:sz w:val="18"/>
          <w:szCs w:val="18"/>
          <w:lang w:val="es-ES" w:eastAsia="es-MX"/>
        </w:rPr>
        <w:t xml:space="preserve"> puntos porcentuales</w:t>
      </w:r>
      <w:r w:rsidR="00E01B0A" w:rsidRPr="003F2720">
        <w:rPr>
          <w:rFonts w:ascii="Montserrat" w:eastAsia="Times New Roman" w:hAnsi="Montserrat" w:cs="Arial"/>
          <w:bCs/>
          <w:iCs/>
          <w:sz w:val="18"/>
          <w:szCs w:val="18"/>
          <w:lang w:val="es-ES" w:eastAsia="es-MX"/>
        </w:rPr>
        <w:t>)</w:t>
      </w:r>
      <w:r w:rsidRPr="003F2720">
        <w:rPr>
          <w:rFonts w:ascii="Montserrat" w:eastAsia="Times New Roman" w:hAnsi="Montserrat" w:cs="Arial"/>
          <w:bCs/>
          <w:iCs/>
          <w:sz w:val="18"/>
          <w:szCs w:val="18"/>
          <w:lang w:val="es-ES" w:eastAsia="es-MX"/>
        </w:rPr>
        <w:t>.</w:t>
      </w:r>
    </w:p>
    <w:p w14:paraId="1AAFCD0F" w14:textId="77777777" w:rsidR="007941DA" w:rsidRPr="003F2720" w:rsidRDefault="00742E81" w:rsidP="00AF3E54">
      <w:pPr>
        <w:pStyle w:val="Prrafodelista"/>
        <w:numPr>
          <w:ilvl w:val="0"/>
          <w:numId w:val="22"/>
        </w:numPr>
        <w:spacing w:after="240" w:line="240" w:lineRule="auto"/>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Medios</w:t>
      </w:r>
      <w:r w:rsidR="007941DA" w:rsidRPr="003F2720">
        <w:rPr>
          <w:rFonts w:ascii="Montserrat" w:eastAsia="Times New Roman" w:hAnsi="Montserrat" w:cs="Arial"/>
          <w:b/>
          <w:bCs/>
          <w:smallCaps/>
          <w:sz w:val="18"/>
          <w:szCs w:val="18"/>
          <w:lang w:eastAsia="es-MX"/>
        </w:rPr>
        <w:t xml:space="preserve"> de pago</w:t>
      </w:r>
    </w:p>
    <w:p w14:paraId="655A8A6B" w14:textId="460DB4FD" w:rsidR="003B5EB3" w:rsidRPr="003F2720" w:rsidRDefault="002D7510" w:rsidP="002D7510">
      <w:pPr>
        <w:spacing w:after="240" w:line="240" w:lineRule="auto"/>
        <w:ind w:left="-567"/>
        <w:jc w:val="both"/>
        <w:rPr>
          <w:rFonts w:ascii="Montserrat" w:eastAsia="Times New Roman" w:hAnsi="Montserrat" w:cs="Arial"/>
          <w:bCs/>
          <w:sz w:val="18"/>
          <w:szCs w:val="18"/>
          <w:lang w:val="es-ES" w:eastAsia="es-MX"/>
        </w:rPr>
      </w:pPr>
      <w:r w:rsidRPr="003F2720">
        <w:rPr>
          <w:rFonts w:ascii="Montserrat" w:eastAsia="Times New Roman" w:hAnsi="Montserrat" w:cs="Arial"/>
          <w:bCs/>
          <w:sz w:val="18"/>
          <w:szCs w:val="18"/>
          <w:lang w:val="es-ES" w:eastAsia="es-MX"/>
        </w:rPr>
        <w:t>E</w:t>
      </w:r>
      <w:r w:rsidR="003B5EB3" w:rsidRPr="003F2720">
        <w:rPr>
          <w:rFonts w:ascii="Montserrat" w:eastAsia="Times New Roman" w:hAnsi="Montserrat" w:cs="Arial"/>
          <w:bCs/>
          <w:sz w:val="18"/>
          <w:szCs w:val="18"/>
          <w:lang w:val="es-ES" w:eastAsia="es-MX"/>
        </w:rPr>
        <w:t xml:space="preserve">l 90.1% de la población </w:t>
      </w:r>
      <w:r w:rsidR="001E366D" w:rsidRPr="003F2720">
        <w:rPr>
          <w:rFonts w:ascii="Montserrat" w:eastAsia="Times New Roman" w:hAnsi="Montserrat" w:cs="Arial"/>
          <w:bCs/>
          <w:sz w:val="18"/>
          <w:szCs w:val="18"/>
          <w:lang w:val="es-ES" w:eastAsia="es-MX"/>
        </w:rPr>
        <w:t>de</w:t>
      </w:r>
      <w:r w:rsidR="009E059D" w:rsidRPr="003F2720">
        <w:rPr>
          <w:rFonts w:ascii="Montserrat" w:eastAsia="Times New Roman" w:hAnsi="Montserrat" w:cs="Arial"/>
          <w:bCs/>
          <w:sz w:val="18"/>
          <w:szCs w:val="18"/>
          <w:lang w:val="es-ES" w:eastAsia="es-MX"/>
        </w:rPr>
        <w:t xml:space="preserve"> </w:t>
      </w:r>
      <w:r w:rsidR="003B5EB3" w:rsidRPr="003F2720">
        <w:rPr>
          <w:rFonts w:ascii="Montserrat" w:eastAsia="Times New Roman" w:hAnsi="Montserrat" w:cs="Arial"/>
          <w:bCs/>
          <w:sz w:val="18"/>
          <w:szCs w:val="18"/>
          <w:lang w:val="es-ES" w:eastAsia="es-MX"/>
        </w:rPr>
        <w:t>18 a 70 años utiliz</w:t>
      </w:r>
      <w:r w:rsidR="003B6D00" w:rsidRPr="003F2720">
        <w:rPr>
          <w:rFonts w:ascii="Montserrat" w:eastAsia="Times New Roman" w:hAnsi="Montserrat" w:cs="Arial"/>
          <w:bCs/>
          <w:sz w:val="18"/>
          <w:szCs w:val="18"/>
          <w:lang w:val="es-ES" w:eastAsia="es-MX"/>
        </w:rPr>
        <w:t>ó</w:t>
      </w:r>
      <w:r w:rsidR="003B5EB3" w:rsidRPr="003F2720">
        <w:rPr>
          <w:rFonts w:ascii="Montserrat" w:eastAsia="Times New Roman" w:hAnsi="Montserrat" w:cs="Arial"/>
          <w:bCs/>
          <w:sz w:val="18"/>
          <w:szCs w:val="18"/>
          <w:lang w:val="es-ES" w:eastAsia="es-MX"/>
        </w:rPr>
        <w:t xml:space="preserve"> </w:t>
      </w:r>
      <w:r w:rsidR="003B5EB3" w:rsidRPr="003F2720">
        <w:rPr>
          <w:rFonts w:ascii="Montserrat" w:eastAsia="Times New Roman" w:hAnsi="Montserrat" w:cs="Arial"/>
          <w:bCs/>
          <w:i/>
          <w:sz w:val="18"/>
          <w:szCs w:val="18"/>
          <w:lang w:val="es-ES" w:eastAsia="es-MX"/>
        </w:rPr>
        <w:t>efectivo</w:t>
      </w:r>
      <w:r w:rsidR="003B5EB3" w:rsidRPr="003F2720">
        <w:rPr>
          <w:rFonts w:ascii="Montserrat" w:eastAsia="Times New Roman" w:hAnsi="Montserrat" w:cs="Arial"/>
          <w:bCs/>
          <w:sz w:val="18"/>
          <w:szCs w:val="18"/>
          <w:lang w:val="es-ES" w:eastAsia="es-MX"/>
        </w:rPr>
        <w:t xml:space="preserve"> para realizar compras de $500 pesos o menos. Para realizar compras de $501 pesos o más, 78.7% de la población de 18 a 70 años </w:t>
      </w:r>
      <w:r w:rsidR="003B5EB3" w:rsidRPr="003F2720">
        <w:rPr>
          <w:rFonts w:ascii="Montserrat" w:eastAsia="Times New Roman" w:hAnsi="Montserrat" w:cs="Arial"/>
          <w:bCs/>
          <w:i/>
          <w:sz w:val="18"/>
          <w:szCs w:val="18"/>
          <w:lang w:val="es-ES" w:eastAsia="es-MX"/>
        </w:rPr>
        <w:t>efectivo</w:t>
      </w:r>
      <w:r w:rsidR="003B5EB3" w:rsidRPr="003F2720">
        <w:rPr>
          <w:rFonts w:ascii="Montserrat" w:eastAsia="Times New Roman" w:hAnsi="Montserrat" w:cs="Arial"/>
          <w:bCs/>
          <w:sz w:val="18"/>
          <w:szCs w:val="18"/>
          <w:lang w:val="es-ES" w:eastAsia="es-MX"/>
        </w:rPr>
        <w:t xml:space="preserve"> y 12.3% </w:t>
      </w:r>
      <w:r w:rsidR="00010807" w:rsidRPr="003F2720">
        <w:rPr>
          <w:rFonts w:ascii="Montserrat" w:eastAsia="Times New Roman" w:hAnsi="Montserrat" w:cs="Arial"/>
          <w:bCs/>
          <w:sz w:val="18"/>
          <w:szCs w:val="18"/>
          <w:lang w:val="es-ES" w:eastAsia="es-MX"/>
        </w:rPr>
        <w:t xml:space="preserve">usó </w:t>
      </w:r>
      <w:r w:rsidR="003B5EB3" w:rsidRPr="003F2720">
        <w:rPr>
          <w:rFonts w:ascii="Montserrat" w:eastAsia="Times New Roman" w:hAnsi="Montserrat" w:cs="Arial"/>
          <w:bCs/>
          <w:i/>
          <w:sz w:val="18"/>
          <w:szCs w:val="18"/>
          <w:lang w:val="es-ES" w:eastAsia="es-MX"/>
        </w:rPr>
        <w:t>tarjeta de débito</w:t>
      </w:r>
      <w:r w:rsidR="003B5EB3" w:rsidRPr="003F2720">
        <w:rPr>
          <w:rFonts w:ascii="Montserrat" w:eastAsia="Times New Roman" w:hAnsi="Montserrat" w:cs="Arial"/>
          <w:bCs/>
          <w:sz w:val="18"/>
          <w:szCs w:val="18"/>
          <w:lang w:val="es-ES" w:eastAsia="es-MX"/>
        </w:rPr>
        <w:t>. Los hombres utiliza</w:t>
      </w:r>
      <w:r w:rsidR="00010807" w:rsidRPr="003F2720">
        <w:rPr>
          <w:rFonts w:ascii="Montserrat" w:eastAsia="Times New Roman" w:hAnsi="Montserrat" w:cs="Arial"/>
          <w:bCs/>
          <w:sz w:val="18"/>
          <w:szCs w:val="18"/>
          <w:lang w:val="es-ES" w:eastAsia="es-MX"/>
        </w:rPr>
        <w:t>ro</w:t>
      </w:r>
      <w:r w:rsidR="003B5EB3" w:rsidRPr="003F2720">
        <w:rPr>
          <w:rFonts w:ascii="Montserrat" w:eastAsia="Times New Roman" w:hAnsi="Montserrat" w:cs="Arial"/>
          <w:bCs/>
          <w:sz w:val="18"/>
          <w:szCs w:val="18"/>
          <w:lang w:val="es-ES" w:eastAsia="es-MX"/>
        </w:rPr>
        <w:t xml:space="preserve">n como medios de pago en mayor porcentaje que las mujeres las </w:t>
      </w:r>
      <w:r w:rsidR="003B5EB3" w:rsidRPr="003F2720">
        <w:rPr>
          <w:rFonts w:ascii="Montserrat" w:eastAsia="Times New Roman" w:hAnsi="Montserrat" w:cs="Arial"/>
          <w:bCs/>
          <w:i/>
          <w:sz w:val="18"/>
          <w:szCs w:val="18"/>
          <w:lang w:val="es-ES" w:eastAsia="es-MX"/>
        </w:rPr>
        <w:t>tarjetas de débito</w:t>
      </w:r>
      <w:r w:rsidR="00E01B0A" w:rsidRPr="003F2720">
        <w:rPr>
          <w:rFonts w:ascii="Montserrat" w:eastAsia="Times New Roman" w:hAnsi="Montserrat" w:cs="Arial"/>
          <w:bCs/>
          <w:i/>
          <w:sz w:val="18"/>
          <w:szCs w:val="18"/>
          <w:lang w:val="es-ES" w:eastAsia="es-MX"/>
        </w:rPr>
        <w:t xml:space="preserve"> y crédito, </w:t>
      </w:r>
      <w:r w:rsidR="00E01B0A" w:rsidRPr="003F2720">
        <w:rPr>
          <w:rFonts w:ascii="Montserrat" w:eastAsia="Times New Roman" w:hAnsi="Montserrat" w:cs="Arial"/>
          <w:bCs/>
          <w:iCs/>
          <w:sz w:val="18"/>
          <w:szCs w:val="18"/>
          <w:lang w:val="es-ES" w:eastAsia="es-MX"/>
        </w:rPr>
        <w:t>con una diferencia de 3.9 y 1.5 puntos porcentuales, respectivamente</w:t>
      </w:r>
      <w:r w:rsidR="003B5EB3" w:rsidRPr="003F2720">
        <w:rPr>
          <w:rFonts w:ascii="Montserrat" w:eastAsia="Times New Roman" w:hAnsi="Montserrat" w:cs="Arial"/>
          <w:bCs/>
          <w:sz w:val="18"/>
          <w:szCs w:val="18"/>
          <w:lang w:val="es-ES" w:eastAsia="es-MX"/>
        </w:rPr>
        <w:t xml:space="preserve">. </w:t>
      </w:r>
    </w:p>
    <w:p w14:paraId="7B0594C2" w14:textId="77777777" w:rsidR="001A2B4F" w:rsidRPr="003F2720" w:rsidRDefault="001A2B4F" w:rsidP="00AF3E54">
      <w:pPr>
        <w:pStyle w:val="Prrafodelista"/>
        <w:numPr>
          <w:ilvl w:val="0"/>
          <w:numId w:val="22"/>
        </w:numPr>
        <w:spacing w:after="240" w:line="240" w:lineRule="auto"/>
        <w:jc w:val="both"/>
        <w:rPr>
          <w:rFonts w:ascii="Montserrat" w:eastAsia="Times New Roman" w:hAnsi="Montserrat" w:cs="Arial"/>
          <w:b/>
          <w:bCs/>
          <w:smallCaps/>
          <w:sz w:val="18"/>
          <w:szCs w:val="18"/>
          <w:lang w:eastAsia="es-MX"/>
        </w:rPr>
      </w:pPr>
      <w:r w:rsidRPr="003F2720">
        <w:rPr>
          <w:rFonts w:ascii="Montserrat" w:eastAsia="Times New Roman" w:hAnsi="Montserrat" w:cs="Arial"/>
          <w:b/>
          <w:bCs/>
          <w:smallCaps/>
          <w:sz w:val="18"/>
          <w:szCs w:val="18"/>
          <w:lang w:eastAsia="es-MX"/>
        </w:rPr>
        <w:t>Comportamientos financieros</w:t>
      </w:r>
    </w:p>
    <w:p w14:paraId="2028DED9" w14:textId="28752F07" w:rsidR="00E8450B" w:rsidRPr="003F2720" w:rsidRDefault="00E8450B" w:rsidP="009E059D">
      <w:pPr>
        <w:spacing w:after="24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 xml:space="preserve">Conocer </w:t>
      </w:r>
      <w:r w:rsidR="00E81A4D" w:rsidRPr="003F2720">
        <w:rPr>
          <w:rFonts w:ascii="Montserrat" w:eastAsia="Times New Roman" w:hAnsi="Montserrat" w:cs="Arial"/>
          <w:bCs/>
          <w:sz w:val="18"/>
          <w:szCs w:val="18"/>
          <w:lang w:eastAsia="es-MX"/>
        </w:rPr>
        <w:t>la incidencia de algunos</w:t>
      </w:r>
      <w:r w:rsidR="009E059D" w:rsidRPr="003F2720">
        <w:rPr>
          <w:rFonts w:ascii="Montserrat" w:eastAsia="Times New Roman" w:hAnsi="Montserrat" w:cs="Arial"/>
          <w:bCs/>
          <w:sz w:val="18"/>
          <w:szCs w:val="18"/>
          <w:lang w:eastAsia="es-MX"/>
        </w:rPr>
        <w:t xml:space="preserve"> </w:t>
      </w:r>
      <w:r w:rsidRPr="003F2720">
        <w:rPr>
          <w:rFonts w:ascii="Montserrat" w:eastAsia="Times New Roman" w:hAnsi="Montserrat" w:cs="Arial"/>
          <w:bCs/>
          <w:sz w:val="18"/>
          <w:szCs w:val="18"/>
          <w:lang w:eastAsia="es-MX"/>
        </w:rPr>
        <w:t>comportamientos financieros de la población adult</w:t>
      </w:r>
      <w:r w:rsidR="009E059D" w:rsidRPr="003F2720">
        <w:rPr>
          <w:rFonts w:ascii="Montserrat" w:eastAsia="Times New Roman" w:hAnsi="Montserrat" w:cs="Arial"/>
          <w:bCs/>
          <w:sz w:val="18"/>
          <w:szCs w:val="18"/>
          <w:lang w:eastAsia="es-MX"/>
        </w:rPr>
        <w:t>a (i.e,</w:t>
      </w:r>
      <w:r w:rsidRPr="003F2720">
        <w:rPr>
          <w:rFonts w:ascii="Montserrat" w:eastAsia="Times New Roman" w:hAnsi="Montserrat" w:cs="Arial"/>
          <w:bCs/>
          <w:sz w:val="18"/>
          <w:szCs w:val="18"/>
          <w:lang w:eastAsia="es-MX"/>
        </w:rPr>
        <w:t xml:space="preserve"> </w:t>
      </w:r>
      <w:r w:rsidR="009E059D" w:rsidRPr="003F2720">
        <w:rPr>
          <w:rFonts w:ascii="Montserrat" w:eastAsia="Times New Roman" w:hAnsi="Montserrat" w:cs="Arial"/>
          <w:bCs/>
          <w:sz w:val="18"/>
          <w:szCs w:val="18"/>
          <w:lang w:eastAsia="es-MX"/>
        </w:rPr>
        <w:t xml:space="preserve">llevar un registro de los gastos, elaborar un presupuesto, ahorrar, manejar adecuadamente un crédito, entre   otros) </w:t>
      </w:r>
      <w:r w:rsidR="007A7349" w:rsidRPr="003F2720">
        <w:rPr>
          <w:rFonts w:ascii="Montserrat" w:eastAsia="Times New Roman" w:hAnsi="Montserrat" w:cs="Arial"/>
          <w:bCs/>
          <w:sz w:val="18"/>
          <w:szCs w:val="18"/>
          <w:lang w:eastAsia="es-MX"/>
        </w:rPr>
        <w:t xml:space="preserve">es información </w:t>
      </w:r>
      <w:r w:rsidR="009E059D" w:rsidRPr="003F2720">
        <w:rPr>
          <w:rFonts w:ascii="Montserrat" w:eastAsia="Times New Roman" w:hAnsi="Montserrat" w:cs="Arial"/>
          <w:bCs/>
          <w:sz w:val="18"/>
          <w:szCs w:val="18"/>
          <w:lang w:eastAsia="es-MX"/>
        </w:rPr>
        <w:t>relevante</w:t>
      </w:r>
      <w:r w:rsidR="007A7349" w:rsidRPr="003F2720">
        <w:rPr>
          <w:rFonts w:ascii="Montserrat" w:eastAsia="Times New Roman" w:hAnsi="Montserrat" w:cs="Arial"/>
          <w:bCs/>
          <w:sz w:val="18"/>
          <w:szCs w:val="18"/>
          <w:lang w:eastAsia="es-MX"/>
        </w:rPr>
        <w:t xml:space="preserve"> </w:t>
      </w:r>
      <w:r w:rsidR="00C16376" w:rsidRPr="003F2720">
        <w:rPr>
          <w:rFonts w:ascii="Montserrat" w:eastAsia="Times New Roman" w:hAnsi="Montserrat" w:cs="Arial"/>
          <w:bCs/>
          <w:sz w:val="18"/>
          <w:szCs w:val="18"/>
          <w:lang w:eastAsia="es-MX"/>
        </w:rPr>
        <w:t>para</w:t>
      </w:r>
      <w:r w:rsidR="007A7349" w:rsidRPr="003F2720">
        <w:rPr>
          <w:rFonts w:ascii="Montserrat" w:eastAsia="Times New Roman" w:hAnsi="Montserrat" w:cs="Arial"/>
          <w:bCs/>
          <w:sz w:val="18"/>
          <w:szCs w:val="18"/>
          <w:lang w:eastAsia="es-MX"/>
        </w:rPr>
        <w:t xml:space="preserve"> comprender </w:t>
      </w:r>
      <w:r w:rsidRPr="003F2720">
        <w:rPr>
          <w:rFonts w:ascii="Montserrat" w:eastAsia="Times New Roman" w:hAnsi="Montserrat" w:cs="Arial"/>
          <w:bCs/>
          <w:sz w:val="18"/>
          <w:szCs w:val="18"/>
          <w:lang w:eastAsia="es-MX"/>
        </w:rPr>
        <w:t>actitudes</w:t>
      </w:r>
      <w:r w:rsidR="00C16376" w:rsidRPr="003F2720">
        <w:rPr>
          <w:rFonts w:ascii="Montserrat" w:eastAsia="Times New Roman" w:hAnsi="Montserrat" w:cs="Arial"/>
          <w:bCs/>
          <w:sz w:val="18"/>
          <w:szCs w:val="18"/>
          <w:lang w:eastAsia="es-MX"/>
        </w:rPr>
        <w:t>, conductas</w:t>
      </w:r>
      <w:r w:rsidRPr="003F2720">
        <w:rPr>
          <w:rFonts w:ascii="Montserrat" w:eastAsia="Times New Roman" w:hAnsi="Montserrat" w:cs="Arial"/>
          <w:bCs/>
          <w:sz w:val="18"/>
          <w:szCs w:val="18"/>
          <w:lang w:eastAsia="es-MX"/>
        </w:rPr>
        <w:t xml:space="preserve"> </w:t>
      </w:r>
      <w:r w:rsidR="00C16376" w:rsidRPr="003F2720">
        <w:rPr>
          <w:rFonts w:ascii="Montserrat" w:eastAsia="Times New Roman" w:hAnsi="Montserrat" w:cs="Arial"/>
          <w:bCs/>
          <w:sz w:val="18"/>
          <w:szCs w:val="18"/>
          <w:lang w:eastAsia="es-MX"/>
        </w:rPr>
        <w:t xml:space="preserve">y hábitos financieros </w:t>
      </w:r>
      <w:r w:rsidRPr="003F2720">
        <w:rPr>
          <w:rFonts w:ascii="Montserrat" w:eastAsia="Times New Roman" w:hAnsi="Montserrat" w:cs="Arial"/>
          <w:bCs/>
          <w:sz w:val="18"/>
          <w:szCs w:val="18"/>
          <w:lang w:eastAsia="es-MX"/>
        </w:rPr>
        <w:t xml:space="preserve">de la </w:t>
      </w:r>
      <w:r w:rsidR="009E059D" w:rsidRPr="003F2720">
        <w:rPr>
          <w:rFonts w:ascii="Montserrat" w:eastAsia="Times New Roman" w:hAnsi="Montserrat" w:cs="Arial"/>
          <w:bCs/>
          <w:sz w:val="18"/>
          <w:szCs w:val="18"/>
          <w:lang w:eastAsia="es-MX"/>
        </w:rPr>
        <w:t>población</w:t>
      </w:r>
      <w:r w:rsidR="00C16376" w:rsidRPr="003F2720">
        <w:rPr>
          <w:rFonts w:ascii="Montserrat" w:eastAsia="Times New Roman" w:hAnsi="Montserrat" w:cs="Arial"/>
          <w:bCs/>
          <w:sz w:val="18"/>
          <w:szCs w:val="18"/>
          <w:lang w:eastAsia="es-MX"/>
        </w:rPr>
        <w:t xml:space="preserve">. </w:t>
      </w:r>
      <w:r w:rsidR="009E059D" w:rsidRPr="003F2720">
        <w:rPr>
          <w:rFonts w:ascii="Montserrat" w:eastAsia="Times New Roman" w:hAnsi="Montserrat" w:cs="Arial"/>
          <w:bCs/>
          <w:sz w:val="18"/>
          <w:szCs w:val="18"/>
          <w:lang w:eastAsia="es-MX"/>
        </w:rPr>
        <w:t xml:space="preserve">Esta información </w:t>
      </w:r>
      <w:r w:rsidR="00C16376" w:rsidRPr="003F2720">
        <w:rPr>
          <w:rFonts w:ascii="Montserrat" w:eastAsia="Times New Roman" w:hAnsi="Montserrat" w:cs="Arial"/>
          <w:bCs/>
          <w:sz w:val="18"/>
          <w:szCs w:val="18"/>
          <w:lang w:eastAsia="es-MX"/>
        </w:rPr>
        <w:t xml:space="preserve">es útil </w:t>
      </w:r>
      <w:r w:rsidR="00C36F79" w:rsidRPr="003F2720">
        <w:rPr>
          <w:rFonts w:ascii="Montserrat" w:eastAsia="Times New Roman" w:hAnsi="Montserrat" w:cs="Arial"/>
          <w:bCs/>
          <w:sz w:val="18"/>
          <w:szCs w:val="18"/>
          <w:lang w:eastAsia="es-MX"/>
        </w:rPr>
        <w:t>para</w:t>
      </w:r>
      <w:r w:rsidR="009E059D" w:rsidRPr="003F2720">
        <w:rPr>
          <w:rFonts w:ascii="Montserrat" w:eastAsia="Times New Roman" w:hAnsi="Montserrat" w:cs="Arial"/>
          <w:bCs/>
          <w:sz w:val="18"/>
          <w:szCs w:val="18"/>
          <w:lang w:eastAsia="es-MX"/>
        </w:rPr>
        <w:t xml:space="preserve"> la formulación de políticas públicas que se orientan a </w:t>
      </w:r>
      <w:r w:rsidR="00C16376" w:rsidRPr="003F2720">
        <w:rPr>
          <w:rFonts w:ascii="Montserrat" w:eastAsia="Times New Roman" w:hAnsi="Montserrat" w:cs="Arial"/>
          <w:bCs/>
          <w:sz w:val="18"/>
          <w:szCs w:val="18"/>
          <w:lang w:eastAsia="es-MX"/>
        </w:rPr>
        <w:t>incidir en mejora</w:t>
      </w:r>
      <w:r w:rsidR="009E059D" w:rsidRPr="003F2720">
        <w:rPr>
          <w:rFonts w:ascii="Montserrat" w:eastAsia="Times New Roman" w:hAnsi="Montserrat" w:cs="Arial"/>
          <w:bCs/>
          <w:sz w:val="18"/>
          <w:szCs w:val="18"/>
          <w:lang w:eastAsia="es-MX"/>
        </w:rPr>
        <w:t>r</w:t>
      </w:r>
      <w:r w:rsidR="00C16376" w:rsidRPr="003F2720">
        <w:rPr>
          <w:rFonts w:ascii="Montserrat" w:eastAsia="Times New Roman" w:hAnsi="Montserrat" w:cs="Arial"/>
          <w:bCs/>
          <w:sz w:val="18"/>
          <w:szCs w:val="18"/>
          <w:lang w:eastAsia="es-MX"/>
        </w:rPr>
        <w:t xml:space="preserve"> la educación y comportamientos financieros</w:t>
      </w:r>
      <w:r w:rsidR="009E059D" w:rsidRPr="003F2720">
        <w:rPr>
          <w:rFonts w:ascii="Montserrat" w:eastAsia="Times New Roman" w:hAnsi="Montserrat" w:cs="Arial"/>
          <w:bCs/>
          <w:sz w:val="18"/>
          <w:szCs w:val="18"/>
          <w:lang w:eastAsia="es-MX"/>
        </w:rPr>
        <w:t xml:space="preserve"> en linea con mejoras en </w:t>
      </w:r>
      <w:r w:rsidR="00C16376" w:rsidRPr="003F2720">
        <w:rPr>
          <w:rFonts w:ascii="Montserrat" w:eastAsia="Times New Roman" w:hAnsi="Montserrat" w:cs="Arial"/>
          <w:bCs/>
          <w:sz w:val="18"/>
          <w:szCs w:val="18"/>
          <w:lang w:eastAsia="es-MX"/>
        </w:rPr>
        <w:t xml:space="preserve">el bienestar de la población. </w:t>
      </w:r>
    </w:p>
    <w:p w14:paraId="5AF9F4C9" w14:textId="3D71AA21" w:rsidR="00E8450B" w:rsidRPr="003F2720" w:rsidRDefault="003B5EB3" w:rsidP="00162CFE">
      <w:pPr>
        <w:spacing w:after="24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 xml:space="preserve">De acuerdo </w:t>
      </w:r>
      <w:r w:rsidR="00162CFE" w:rsidRPr="003F2720">
        <w:rPr>
          <w:rFonts w:ascii="Montserrat" w:eastAsia="Times New Roman" w:hAnsi="Montserrat" w:cs="Arial"/>
          <w:bCs/>
          <w:sz w:val="18"/>
          <w:szCs w:val="18"/>
          <w:lang w:eastAsia="es-MX"/>
        </w:rPr>
        <w:t>con</w:t>
      </w:r>
      <w:r w:rsidRPr="003F2720">
        <w:rPr>
          <w:rFonts w:ascii="Montserrat" w:eastAsia="Times New Roman" w:hAnsi="Montserrat" w:cs="Arial"/>
          <w:bCs/>
          <w:sz w:val="18"/>
          <w:szCs w:val="18"/>
          <w:lang w:eastAsia="es-MX"/>
        </w:rPr>
        <w:t xml:space="preserve"> la ENIF 2021, 66.6% de la población de 18 a 70 años </w:t>
      </w:r>
      <w:r w:rsidRPr="003F2720">
        <w:rPr>
          <w:rFonts w:ascii="Montserrat" w:eastAsia="Times New Roman" w:hAnsi="Montserrat" w:cs="Arial"/>
          <w:bCs/>
          <w:i/>
          <w:sz w:val="18"/>
          <w:szCs w:val="18"/>
          <w:lang w:eastAsia="es-MX"/>
        </w:rPr>
        <w:t>lleva un registro de sus gastos o los de su hogar</w:t>
      </w:r>
      <w:r w:rsidRPr="003F2720">
        <w:rPr>
          <w:rFonts w:ascii="Montserrat" w:eastAsia="Times New Roman" w:hAnsi="Montserrat" w:cs="Arial"/>
          <w:bCs/>
          <w:sz w:val="18"/>
          <w:szCs w:val="18"/>
          <w:lang w:eastAsia="es-MX"/>
        </w:rPr>
        <w:t xml:space="preserve">. </w:t>
      </w:r>
      <w:r w:rsidR="00E8450B" w:rsidRPr="003F2720">
        <w:rPr>
          <w:rFonts w:ascii="Montserrat" w:eastAsia="Times New Roman" w:hAnsi="Montserrat" w:cs="Arial"/>
          <w:bCs/>
          <w:sz w:val="18"/>
          <w:szCs w:val="18"/>
          <w:lang w:eastAsia="es-MX"/>
        </w:rPr>
        <w:t xml:space="preserve">El </w:t>
      </w:r>
      <w:r w:rsidRPr="003F2720">
        <w:rPr>
          <w:rFonts w:ascii="Montserrat" w:eastAsia="Times New Roman" w:hAnsi="Montserrat" w:cs="Arial"/>
          <w:bCs/>
          <w:sz w:val="18"/>
          <w:szCs w:val="18"/>
          <w:lang w:eastAsia="es-MX"/>
        </w:rPr>
        <w:t xml:space="preserve">51.4% </w:t>
      </w:r>
      <w:r w:rsidRPr="003F2720">
        <w:rPr>
          <w:rFonts w:ascii="Montserrat" w:eastAsia="Times New Roman" w:hAnsi="Montserrat" w:cs="Arial"/>
          <w:bCs/>
          <w:i/>
          <w:sz w:val="18"/>
          <w:szCs w:val="18"/>
          <w:lang w:eastAsia="es-MX"/>
        </w:rPr>
        <w:t>separa el dinero para pagos o deudas del gasto diario</w:t>
      </w:r>
      <w:r w:rsidRPr="003F2720">
        <w:rPr>
          <w:rFonts w:ascii="Montserrat" w:eastAsia="Times New Roman" w:hAnsi="Montserrat" w:cs="Arial"/>
          <w:bCs/>
          <w:sz w:val="18"/>
          <w:szCs w:val="18"/>
          <w:lang w:eastAsia="es-MX"/>
        </w:rPr>
        <w:t xml:space="preserve">, 41.5% </w:t>
      </w:r>
      <w:r w:rsidRPr="003F2720">
        <w:rPr>
          <w:rFonts w:ascii="Montserrat" w:eastAsia="Times New Roman" w:hAnsi="Montserrat" w:cs="Arial"/>
          <w:bCs/>
          <w:i/>
          <w:sz w:val="18"/>
          <w:szCs w:val="18"/>
          <w:lang w:eastAsia="es-MX"/>
        </w:rPr>
        <w:t>lleva un registro de los recibos o deudas</w:t>
      </w:r>
      <w:r w:rsidRPr="003F2720">
        <w:rPr>
          <w:rFonts w:ascii="Montserrat" w:eastAsia="Times New Roman" w:hAnsi="Montserrat" w:cs="Arial"/>
          <w:bCs/>
          <w:sz w:val="18"/>
          <w:szCs w:val="18"/>
          <w:lang w:eastAsia="es-MX"/>
        </w:rPr>
        <w:t xml:space="preserve"> y 23.5% </w:t>
      </w:r>
      <w:r w:rsidRPr="003F2720">
        <w:rPr>
          <w:rFonts w:ascii="Montserrat" w:eastAsia="Times New Roman" w:hAnsi="Montserrat" w:cs="Arial"/>
          <w:bCs/>
          <w:i/>
          <w:sz w:val="18"/>
          <w:szCs w:val="18"/>
          <w:lang w:eastAsia="es-MX"/>
        </w:rPr>
        <w:t>hace anotaciones de los gastos</w:t>
      </w:r>
      <w:r w:rsidRPr="003F2720">
        <w:rPr>
          <w:rFonts w:ascii="Montserrat" w:eastAsia="Times New Roman" w:hAnsi="Montserrat" w:cs="Arial"/>
          <w:bCs/>
          <w:sz w:val="18"/>
          <w:szCs w:val="18"/>
          <w:lang w:eastAsia="es-MX"/>
        </w:rPr>
        <w:t xml:space="preserve">. El 65.8% de las mujeres </w:t>
      </w:r>
      <w:r w:rsidR="00162CFE" w:rsidRPr="003F2720">
        <w:rPr>
          <w:rFonts w:ascii="Montserrat" w:eastAsia="Times New Roman" w:hAnsi="Montserrat" w:cs="Arial"/>
          <w:bCs/>
          <w:sz w:val="18"/>
          <w:szCs w:val="18"/>
          <w:lang w:eastAsia="es-MX"/>
        </w:rPr>
        <w:t xml:space="preserve">y 67.5% de los hombres </w:t>
      </w:r>
      <w:r w:rsidRPr="003F2720">
        <w:rPr>
          <w:rFonts w:ascii="Montserrat" w:eastAsia="Times New Roman" w:hAnsi="Montserrat" w:cs="Arial"/>
          <w:bCs/>
          <w:sz w:val="18"/>
          <w:szCs w:val="18"/>
          <w:lang w:eastAsia="es-MX"/>
        </w:rPr>
        <w:t xml:space="preserve">de 18 a 70 años </w:t>
      </w:r>
      <w:r w:rsidRPr="003F2720">
        <w:rPr>
          <w:rFonts w:ascii="Montserrat" w:eastAsia="Times New Roman" w:hAnsi="Montserrat" w:cs="Arial"/>
          <w:bCs/>
          <w:i/>
          <w:sz w:val="18"/>
          <w:szCs w:val="18"/>
          <w:lang w:eastAsia="es-MX"/>
        </w:rPr>
        <w:t>lleva</w:t>
      </w:r>
      <w:r w:rsidR="00162CFE" w:rsidRPr="003F2720">
        <w:rPr>
          <w:rFonts w:ascii="Montserrat" w:eastAsia="Times New Roman" w:hAnsi="Montserrat" w:cs="Arial"/>
          <w:bCs/>
          <w:i/>
          <w:sz w:val="18"/>
          <w:szCs w:val="18"/>
          <w:lang w:eastAsia="es-MX"/>
        </w:rPr>
        <w:t>n</w:t>
      </w:r>
      <w:r w:rsidRPr="003F2720">
        <w:rPr>
          <w:rFonts w:ascii="Montserrat" w:eastAsia="Times New Roman" w:hAnsi="Montserrat" w:cs="Arial"/>
          <w:bCs/>
          <w:i/>
          <w:sz w:val="18"/>
          <w:szCs w:val="18"/>
          <w:lang w:eastAsia="es-MX"/>
        </w:rPr>
        <w:t xml:space="preserve"> un registro de sus gastos o los de su hogar</w:t>
      </w:r>
      <w:r w:rsidR="00162CFE" w:rsidRPr="003F2720">
        <w:rPr>
          <w:rFonts w:ascii="Montserrat" w:eastAsia="Times New Roman" w:hAnsi="Montserrat" w:cs="Arial"/>
          <w:bCs/>
          <w:i/>
          <w:sz w:val="18"/>
          <w:szCs w:val="18"/>
          <w:lang w:eastAsia="es-MX"/>
        </w:rPr>
        <w:t>.</w:t>
      </w:r>
      <w:r w:rsidRPr="003F2720">
        <w:rPr>
          <w:rFonts w:ascii="Montserrat" w:eastAsia="Times New Roman" w:hAnsi="Montserrat" w:cs="Arial"/>
          <w:bCs/>
          <w:sz w:val="18"/>
          <w:szCs w:val="18"/>
          <w:lang w:eastAsia="es-MX"/>
        </w:rPr>
        <w:t xml:space="preserve"> </w:t>
      </w:r>
    </w:p>
    <w:p w14:paraId="488D7474" w14:textId="659A79F9" w:rsidR="00F23AB0" w:rsidRPr="003F2720" w:rsidRDefault="003B5EB3" w:rsidP="004B2B41">
      <w:pPr>
        <w:spacing w:after="24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 xml:space="preserve">Las mujeres tienen un porcentaje más alto </w:t>
      </w:r>
      <w:r w:rsidR="00526016">
        <w:rPr>
          <w:rFonts w:ascii="Montserrat" w:eastAsia="Times New Roman" w:hAnsi="Montserrat" w:cs="Arial"/>
          <w:bCs/>
          <w:sz w:val="18"/>
          <w:szCs w:val="18"/>
          <w:lang w:eastAsia="es-MX"/>
        </w:rPr>
        <w:t xml:space="preserve">respecto a los hombres </w:t>
      </w:r>
      <w:r w:rsidR="00E8450B" w:rsidRPr="003F2720">
        <w:rPr>
          <w:rFonts w:ascii="Montserrat" w:eastAsia="Times New Roman" w:hAnsi="Montserrat" w:cs="Arial"/>
          <w:bCs/>
          <w:sz w:val="18"/>
          <w:szCs w:val="18"/>
          <w:lang w:eastAsia="es-MX"/>
        </w:rPr>
        <w:t xml:space="preserve">en </w:t>
      </w:r>
      <w:r w:rsidR="00625210" w:rsidRPr="003F2720">
        <w:rPr>
          <w:rFonts w:ascii="Montserrat" w:eastAsia="Times New Roman" w:hAnsi="Montserrat" w:cs="Arial"/>
          <w:bCs/>
          <w:sz w:val="18"/>
          <w:szCs w:val="18"/>
          <w:lang w:eastAsia="es-MX"/>
        </w:rPr>
        <w:t xml:space="preserve">los </w:t>
      </w:r>
      <w:r w:rsidR="00E229CB" w:rsidRPr="003F2720">
        <w:rPr>
          <w:rFonts w:ascii="Montserrat" w:eastAsia="Times New Roman" w:hAnsi="Montserrat" w:cs="Arial"/>
          <w:bCs/>
          <w:sz w:val="18"/>
          <w:szCs w:val="18"/>
          <w:lang w:eastAsia="es-MX"/>
        </w:rPr>
        <w:t xml:space="preserve">siguientes </w:t>
      </w:r>
      <w:r w:rsidR="00625210" w:rsidRPr="003F2720">
        <w:rPr>
          <w:rFonts w:ascii="Montserrat" w:eastAsia="Times New Roman" w:hAnsi="Montserrat" w:cs="Arial"/>
          <w:bCs/>
          <w:sz w:val="18"/>
          <w:szCs w:val="18"/>
          <w:lang w:eastAsia="es-MX"/>
        </w:rPr>
        <w:t>comportamientos</w:t>
      </w:r>
      <w:r w:rsidR="00E8450B" w:rsidRPr="003F2720">
        <w:rPr>
          <w:rFonts w:ascii="Montserrat" w:eastAsia="Times New Roman" w:hAnsi="Montserrat" w:cs="Arial"/>
          <w:bCs/>
          <w:sz w:val="18"/>
          <w:szCs w:val="18"/>
          <w:lang w:eastAsia="es-MX"/>
        </w:rPr>
        <w:t>:</w:t>
      </w:r>
      <w:r w:rsidRPr="003F2720">
        <w:rPr>
          <w:rFonts w:ascii="Montserrat" w:eastAsia="Times New Roman" w:hAnsi="Montserrat" w:cs="Arial"/>
          <w:bCs/>
          <w:sz w:val="18"/>
          <w:szCs w:val="18"/>
          <w:lang w:eastAsia="es-MX"/>
        </w:rPr>
        <w:t xml:space="preserve"> </w:t>
      </w:r>
      <w:r w:rsidRPr="003F2720">
        <w:rPr>
          <w:rFonts w:ascii="Montserrat" w:eastAsia="Times New Roman" w:hAnsi="Montserrat" w:cs="Arial"/>
          <w:bCs/>
          <w:i/>
          <w:sz w:val="18"/>
          <w:szCs w:val="18"/>
          <w:lang w:eastAsia="es-MX"/>
        </w:rPr>
        <w:t>llevar un registro de los recibos</w:t>
      </w:r>
      <w:r w:rsidR="00E229CB" w:rsidRPr="003F2720">
        <w:rPr>
          <w:rFonts w:ascii="Montserrat" w:eastAsia="Times New Roman" w:hAnsi="Montserrat" w:cs="Arial"/>
          <w:bCs/>
          <w:i/>
          <w:sz w:val="18"/>
          <w:szCs w:val="18"/>
          <w:lang w:eastAsia="es-MX"/>
        </w:rPr>
        <w:t xml:space="preserve"> </w:t>
      </w:r>
      <w:r w:rsidR="00E229CB" w:rsidRPr="003F2720">
        <w:rPr>
          <w:rFonts w:ascii="Montserrat" w:eastAsia="Times New Roman" w:hAnsi="Montserrat" w:cs="Arial"/>
          <w:bCs/>
          <w:iCs/>
          <w:sz w:val="18"/>
          <w:szCs w:val="18"/>
          <w:lang w:eastAsia="es-MX"/>
        </w:rPr>
        <w:t>(42.6%)</w:t>
      </w:r>
      <w:r w:rsidRPr="003F2720">
        <w:rPr>
          <w:rFonts w:ascii="Montserrat" w:eastAsia="Times New Roman" w:hAnsi="Montserrat" w:cs="Arial"/>
          <w:bCs/>
          <w:iCs/>
          <w:sz w:val="18"/>
          <w:szCs w:val="18"/>
          <w:lang w:eastAsia="es-MX"/>
        </w:rPr>
        <w:t>,</w:t>
      </w:r>
      <w:r w:rsidRPr="003F2720">
        <w:rPr>
          <w:rFonts w:ascii="Montserrat" w:eastAsia="Times New Roman" w:hAnsi="Montserrat" w:cs="Arial"/>
          <w:bCs/>
          <w:sz w:val="18"/>
          <w:szCs w:val="18"/>
          <w:lang w:eastAsia="es-MX"/>
        </w:rPr>
        <w:t xml:space="preserve"> </w:t>
      </w:r>
      <w:r w:rsidRPr="003F2720">
        <w:rPr>
          <w:rFonts w:ascii="Montserrat" w:eastAsia="Times New Roman" w:hAnsi="Montserrat" w:cs="Arial"/>
          <w:bCs/>
          <w:i/>
          <w:sz w:val="18"/>
          <w:szCs w:val="18"/>
          <w:lang w:eastAsia="es-MX"/>
        </w:rPr>
        <w:t>hacer anotaciones de los gastos</w:t>
      </w:r>
      <w:r w:rsidRPr="003F2720">
        <w:rPr>
          <w:rFonts w:ascii="Montserrat" w:eastAsia="Times New Roman" w:hAnsi="Montserrat" w:cs="Arial"/>
          <w:bCs/>
          <w:sz w:val="18"/>
          <w:szCs w:val="18"/>
          <w:lang w:eastAsia="es-MX"/>
        </w:rPr>
        <w:t xml:space="preserve"> </w:t>
      </w:r>
      <w:r w:rsidR="00E229CB" w:rsidRPr="003F2720">
        <w:rPr>
          <w:rFonts w:ascii="Montserrat" w:eastAsia="Times New Roman" w:hAnsi="Montserrat" w:cs="Arial"/>
          <w:bCs/>
          <w:sz w:val="18"/>
          <w:szCs w:val="18"/>
          <w:lang w:eastAsia="es-MX"/>
        </w:rPr>
        <w:t xml:space="preserve">(25.1%) </w:t>
      </w:r>
      <w:r w:rsidRPr="003F2720">
        <w:rPr>
          <w:rFonts w:ascii="Montserrat" w:eastAsia="Times New Roman" w:hAnsi="Montserrat" w:cs="Arial"/>
          <w:bCs/>
          <w:sz w:val="18"/>
          <w:szCs w:val="18"/>
          <w:lang w:eastAsia="es-MX"/>
        </w:rPr>
        <w:t xml:space="preserve">y </w:t>
      </w:r>
      <w:r w:rsidRPr="003F2720">
        <w:rPr>
          <w:rFonts w:ascii="Montserrat" w:eastAsia="Times New Roman" w:hAnsi="Montserrat" w:cs="Arial"/>
          <w:bCs/>
          <w:i/>
          <w:sz w:val="18"/>
          <w:szCs w:val="18"/>
          <w:lang w:eastAsia="es-MX"/>
        </w:rPr>
        <w:t>llevar un presupuesto o registro de sus ingresos</w:t>
      </w:r>
      <w:r w:rsidR="00E229CB" w:rsidRPr="003F2720">
        <w:rPr>
          <w:rFonts w:ascii="Montserrat" w:eastAsia="Times New Roman" w:hAnsi="Montserrat" w:cs="Arial"/>
          <w:bCs/>
          <w:i/>
          <w:sz w:val="18"/>
          <w:szCs w:val="18"/>
          <w:lang w:eastAsia="es-MX"/>
        </w:rPr>
        <w:t xml:space="preserve"> </w:t>
      </w:r>
      <w:r w:rsidR="00E229CB" w:rsidRPr="003F2720">
        <w:rPr>
          <w:rFonts w:ascii="Montserrat" w:eastAsia="Times New Roman" w:hAnsi="Montserrat" w:cs="Arial"/>
          <w:bCs/>
          <w:iCs/>
          <w:sz w:val="18"/>
          <w:szCs w:val="18"/>
          <w:lang w:eastAsia="es-MX"/>
        </w:rPr>
        <w:t>(22.9%)</w:t>
      </w:r>
      <w:r w:rsidRPr="003F2720">
        <w:rPr>
          <w:rFonts w:ascii="Montserrat" w:eastAsia="Times New Roman" w:hAnsi="Montserrat" w:cs="Arial"/>
          <w:bCs/>
          <w:sz w:val="18"/>
          <w:szCs w:val="18"/>
          <w:lang w:eastAsia="es-MX"/>
        </w:rPr>
        <w:t>. Los hombres tienen un porcentaje más alto</w:t>
      </w:r>
      <w:r w:rsidR="00526016">
        <w:rPr>
          <w:rFonts w:ascii="Montserrat" w:eastAsia="Times New Roman" w:hAnsi="Montserrat" w:cs="Arial"/>
          <w:bCs/>
          <w:sz w:val="18"/>
          <w:szCs w:val="18"/>
          <w:lang w:eastAsia="es-MX"/>
        </w:rPr>
        <w:t xml:space="preserve"> respecto a las mujeres</w:t>
      </w:r>
      <w:r w:rsidRPr="003F2720">
        <w:rPr>
          <w:rFonts w:ascii="Montserrat" w:eastAsia="Times New Roman" w:hAnsi="Montserrat" w:cs="Arial"/>
          <w:bCs/>
          <w:sz w:val="18"/>
          <w:szCs w:val="18"/>
          <w:lang w:eastAsia="es-MX"/>
        </w:rPr>
        <w:t xml:space="preserve"> en </w:t>
      </w:r>
      <w:r w:rsidRPr="003F2720">
        <w:rPr>
          <w:rFonts w:ascii="Montserrat" w:eastAsia="Times New Roman" w:hAnsi="Montserrat" w:cs="Arial"/>
          <w:bCs/>
          <w:i/>
          <w:sz w:val="18"/>
          <w:szCs w:val="18"/>
          <w:lang w:eastAsia="es-MX"/>
        </w:rPr>
        <w:t>separar el dinero</w:t>
      </w:r>
      <w:r w:rsidR="00E229CB" w:rsidRPr="003F2720">
        <w:rPr>
          <w:rFonts w:ascii="Montserrat" w:eastAsia="Times New Roman" w:hAnsi="Montserrat" w:cs="Arial"/>
          <w:bCs/>
          <w:i/>
          <w:sz w:val="18"/>
          <w:szCs w:val="18"/>
          <w:lang w:eastAsia="es-MX"/>
        </w:rPr>
        <w:t xml:space="preserve"> </w:t>
      </w:r>
      <w:r w:rsidR="00E229CB" w:rsidRPr="003F2720">
        <w:rPr>
          <w:rFonts w:ascii="Montserrat" w:eastAsia="Times New Roman" w:hAnsi="Montserrat" w:cs="Arial"/>
          <w:bCs/>
          <w:iCs/>
          <w:sz w:val="18"/>
          <w:szCs w:val="18"/>
          <w:lang w:eastAsia="es-MX"/>
        </w:rPr>
        <w:t>(52.0%)</w:t>
      </w:r>
      <w:r w:rsidRPr="003F2720">
        <w:rPr>
          <w:rFonts w:ascii="Montserrat" w:eastAsia="Times New Roman" w:hAnsi="Montserrat" w:cs="Arial"/>
          <w:bCs/>
          <w:sz w:val="18"/>
          <w:szCs w:val="18"/>
          <w:lang w:eastAsia="es-MX"/>
        </w:rPr>
        <w:t xml:space="preserve"> y </w:t>
      </w:r>
      <w:r w:rsidRPr="003F2720">
        <w:rPr>
          <w:rFonts w:ascii="Montserrat" w:eastAsia="Times New Roman" w:hAnsi="Montserrat" w:cs="Arial"/>
          <w:bCs/>
          <w:i/>
          <w:sz w:val="18"/>
          <w:szCs w:val="18"/>
          <w:lang w:eastAsia="es-MX"/>
        </w:rPr>
        <w:t>tener pagos domiciliados o alguna aplicación de celular para la administración del dinero</w:t>
      </w:r>
      <w:r w:rsidR="00E229CB" w:rsidRPr="003F2720">
        <w:rPr>
          <w:rFonts w:ascii="Montserrat" w:eastAsia="Times New Roman" w:hAnsi="Montserrat" w:cs="Arial"/>
          <w:bCs/>
          <w:i/>
          <w:sz w:val="18"/>
          <w:szCs w:val="18"/>
          <w:lang w:eastAsia="es-MX"/>
        </w:rPr>
        <w:t xml:space="preserve"> </w:t>
      </w:r>
      <w:r w:rsidR="00E229CB" w:rsidRPr="003F2720">
        <w:rPr>
          <w:rFonts w:ascii="Montserrat" w:eastAsia="Times New Roman" w:hAnsi="Montserrat" w:cs="Arial"/>
          <w:bCs/>
          <w:iCs/>
          <w:sz w:val="18"/>
          <w:szCs w:val="18"/>
          <w:lang w:eastAsia="es-MX"/>
        </w:rPr>
        <w:t>(20.6%)</w:t>
      </w:r>
      <w:r w:rsidRPr="003F2720">
        <w:rPr>
          <w:rFonts w:ascii="Montserrat" w:eastAsia="Times New Roman" w:hAnsi="Montserrat" w:cs="Arial"/>
          <w:bCs/>
          <w:iCs/>
          <w:sz w:val="18"/>
          <w:szCs w:val="18"/>
          <w:lang w:eastAsia="es-MX"/>
        </w:rPr>
        <w:t>.</w:t>
      </w:r>
    </w:p>
    <w:p w14:paraId="68256901" w14:textId="6A0489A8" w:rsidR="00245D76" w:rsidRPr="003F2720" w:rsidRDefault="00245D76" w:rsidP="00245D76">
      <w:pPr>
        <w:spacing w:after="24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Para mayor detalle, consulte los siguientes documentos:</w:t>
      </w:r>
    </w:p>
    <w:p w14:paraId="3C69343B" w14:textId="1A66A605" w:rsidR="00436EAC" w:rsidRDefault="00436EAC" w:rsidP="00245D76">
      <w:pPr>
        <w:pStyle w:val="Prrafodelista"/>
        <w:numPr>
          <w:ilvl w:val="0"/>
          <w:numId w:val="24"/>
        </w:numPr>
        <w:spacing w:after="240" w:line="240" w:lineRule="auto"/>
        <w:jc w:val="both"/>
        <w:rPr>
          <w:rFonts w:ascii="Montserrat" w:eastAsia="Times New Roman" w:hAnsi="Montserrat" w:cs="Arial"/>
          <w:bCs/>
          <w:sz w:val="18"/>
          <w:szCs w:val="18"/>
          <w:lang w:eastAsia="es-MX"/>
        </w:rPr>
      </w:pPr>
      <w:r>
        <w:rPr>
          <w:rFonts w:ascii="Montserrat" w:eastAsia="Times New Roman" w:hAnsi="Montserrat" w:cs="Arial"/>
          <w:bCs/>
          <w:sz w:val="18"/>
          <w:szCs w:val="18"/>
          <w:lang w:eastAsia="es-MX"/>
        </w:rPr>
        <w:t xml:space="preserve">Realizados por la Comisión Nacional Bancaria y de Valores, disponibles en </w:t>
      </w:r>
      <w:r w:rsidRPr="00526016">
        <w:rPr>
          <w:rFonts w:ascii="Montserrat" w:eastAsia="Times New Roman" w:hAnsi="Montserrat" w:cs="Arial"/>
          <w:bCs/>
          <w:sz w:val="18"/>
          <w:szCs w:val="18"/>
          <w:lang w:eastAsia="es-MX"/>
        </w:rPr>
        <w:t>https://bit.ly/ENIFCNBV</w:t>
      </w:r>
      <w:r>
        <w:rPr>
          <w:rFonts w:ascii="Montserrat" w:eastAsia="Times New Roman" w:hAnsi="Montserrat" w:cs="Arial"/>
          <w:bCs/>
          <w:sz w:val="18"/>
          <w:szCs w:val="18"/>
          <w:lang w:eastAsia="es-MX"/>
        </w:rPr>
        <w:t>:</w:t>
      </w:r>
    </w:p>
    <w:p w14:paraId="1FE96C14" w14:textId="513E0390" w:rsidR="003D617A" w:rsidRPr="003F2720" w:rsidRDefault="00461792" w:rsidP="003F2720">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8D19D2" w:rsidDel="008D19D2">
        <w:rPr>
          <w:rFonts w:ascii="Montserrat" w:eastAsia="Times New Roman" w:hAnsi="Montserrat" w:cs="Arial"/>
          <w:bCs/>
          <w:sz w:val="18"/>
          <w:szCs w:val="18"/>
          <w:lang w:eastAsia="es-MX"/>
        </w:rPr>
        <w:t xml:space="preserve">Cuadríptico con los principales hallazgos </w:t>
      </w:r>
      <w:r w:rsidRPr="008D19D2">
        <w:rPr>
          <w:rFonts w:ascii="Montserrat" w:eastAsia="Times New Roman" w:hAnsi="Montserrat" w:cs="Arial"/>
          <w:bCs/>
          <w:sz w:val="18"/>
          <w:szCs w:val="18"/>
          <w:lang w:eastAsia="es-MX"/>
        </w:rPr>
        <w:t>de la Encuesta Nacional de Inclusión Financiera (ENIF) 2021.</w:t>
      </w:r>
      <w:r w:rsidR="00370937">
        <w:rPr>
          <w:rFonts w:ascii="Montserrat" w:eastAsia="Times New Roman" w:hAnsi="Montserrat" w:cs="Arial"/>
          <w:bCs/>
          <w:sz w:val="18"/>
          <w:szCs w:val="18"/>
          <w:lang w:eastAsia="es-MX"/>
        </w:rPr>
        <w:t xml:space="preserve"> </w:t>
      </w:r>
      <w:r w:rsidR="003D617A" w:rsidRPr="003F2720">
        <w:rPr>
          <w:rFonts w:ascii="Montserrat" w:eastAsia="Times New Roman" w:hAnsi="Montserrat" w:cs="Arial"/>
          <w:bCs/>
          <w:sz w:val="18"/>
          <w:szCs w:val="18"/>
          <w:lang w:eastAsia="es-MX"/>
        </w:rPr>
        <w:t>Reporte de resultados de la Encuesta Nacional de Inclusión Financiera (ENIF) 2021</w:t>
      </w:r>
      <w:r w:rsidR="00436EAC">
        <w:rPr>
          <w:rFonts w:ascii="Montserrat" w:eastAsia="Times New Roman" w:hAnsi="Montserrat" w:cs="Arial"/>
          <w:bCs/>
          <w:sz w:val="18"/>
          <w:szCs w:val="18"/>
          <w:lang w:eastAsia="es-MX"/>
        </w:rPr>
        <w:t>.</w:t>
      </w:r>
    </w:p>
    <w:p w14:paraId="5DAC06B0" w14:textId="5918A05C" w:rsidR="003D617A" w:rsidRDefault="003D617A" w:rsidP="008D19D2">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8D19D2">
        <w:rPr>
          <w:rFonts w:ascii="Montserrat" w:eastAsia="Times New Roman" w:hAnsi="Montserrat" w:cs="Arial"/>
          <w:bCs/>
          <w:sz w:val="18"/>
          <w:szCs w:val="18"/>
          <w:lang w:eastAsia="es-MX"/>
        </w:rPr>
        <w:t>Libro de tabulados de la Encuesta Nacional de Inclusión Financiera (ENIF) 2021</w:t>
      </w:r>
      <w:r w:rsidR="00436EAC" w:rsidRPr="008D19D2">
        <w:rPr>
          <w:rFonts w:ascii="Montserrat" w:eastAsia="Times New Roman" w:hAnsi="Montserrat" w:cs="Arial"/>
          <w:bCs/>
          <w:sz w:val="18"/>
          <w:szCs w:val="18"/>
          <w:lang w:eastAsia="es-MX"/>
        </w:rPr>
        <w:t>.</w:t>
      </w:r>
    </w:p>
    <w:p w14:paraId="7DE9FC77" w14:textId="58F71914" w:rsidR="00CC23FC" w:rsidRPr="00063FD5" w:rsidRDefault="003D617A" w:rsidP="003F2720">
      <w:pPr>
        <w:pStyle w:val="Prrafodelista"/>
        <w:numPr>
          <w:ilvl w:val="0"/>
          <w:numId w:val="24"/>
        </w:numPr>
        <w:spacing w:after="240" w:line="240" w:lineRule="auto"/>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L</w:t>
      </w:r>
      <w:r w:rsidR="007A0E72" w:rsidRPr="003F2720">
        <w:rPr>
          <w:rFonts w:ascii="Montserrat" w:eastAsia="Times New Roman" w:hAnsi="Montserrat" w:cs="Arial"/>
          <w:bCs/>
          <w:sz w:val="18"/>
          <w:szCs w:val="18"/>
          <w:lang w:eastAsia="es-MX"/>
        </w:rPr>
        <w:t xml:space="preserve">os resultados de este programa estadístico </w:t>
      </w:r>
      <w:r w:rsidR="00CC23FC" w:rsidRPr="003F2720">
        <w:rPr>
          <w:rFonts w:ascii="Montserrat" w:eastAsia="Times New Roman" w:hAnsi="Montserrat" w:cs="Arial"/>
          <w:bCs/>
          <w:sz w:val="18"/>
          <w:szCs w:val="18"/>
          <w:lang w:eastAsia="es-MX"/>
        </w:rPr>
        <w:t xml:space="preserve">pueden consultarse en el sitio de Internet del </w:t>
      </w:r>
      <w:r w:rsidR="00436EAC">
        <w:rPr>
          <w:rFonts w:ascii="Montserrat" w:eastAsia="Times New Roman" w:hAnsi="Montserrat" w:cs="Arial"/>
          <w:bCs/>
          <w:sz w:val="18"/>
          <w:szCs w:val="18"/>
          <w:lang w:eastAsia="es-MX"/>
        </w:rPr>
        <w:t>INEGI</w:t>
      </w:r>
      <w:r w:rsidR="00227EF4">
        <w:rPr>
          <w:rFonts w:ascii="Montserrat" w:eastAsia="Times New Roman" w:hAnsi="Montserrat" w:cs="Arial"/>
          <w:bCs/>
          <w:sz w:val="18"/>
          <w:szCs w:val="18"/>
          <w:lang w:eastAsia="es-MX"/>
        </w:rPr>
        <w:t xml:space="preserve"> </w:t>
      </w:r>
      <w:r w:rsidR="003A5BCC">
        <w:rPr>
          <w:rFonts w:ascii="Montserrat" w:eastAsia="Times New Roman" w:hAnsi="Montserrat" w:cs="Arial"/>
          <w:bCs/>
          <w:sz w:val="18"/>
          <w:szCs w:val="18"/>
          <w:lang w:eastAsia="es-MX"/>
        </w:rPr>
        <w:t xml:space="preserve">en: </w:t>
      </w:r>
      <w:r w:rsidR="003A5BCC" w:rsidRPr="003A5BCC">
        <w:rPr>
          <w:rFonts w:ascii="Montserrat" w:eastAsia="Times New Roman" w:hAnsi="Montserrat" w:cs="Arial"/>
          <w:bCs/>
          <w:sz w:val="18"/>
          <w:szCs w:val="18"/>
          <w:lang w:eastAsia="es-MX"/>
        </w:rPr>
        <w:t>https://www.inegi.org.mx/programas/enif/20</w:t>
      </w:r>
      <w:r w:rsidR="003A5BCC">
        <w:rPr>
          <w:rFonts w:ascii="Montserrat" w:eastAsia="Times New Roman" w:hAnsi="Montserrat" w:cs="Arial"/>
          <w:bCs/>
          <w:sz w:val="18"/>
          <w:szCs w:val="18"/>
          <w:lang w:eastAsia="es-MX"/>
        </w:rPr>
        <w:t>2</w:t>
      </w:r>
      <w:r w:rsidR="003A5BCC" w:rsidRPr="00063FD5">
        <w:rPr>
          <w:rFonts w:ascii="Montserrat" w:eastAsia="Times New Roman" w:hAnsi="Montserrat" w:cs="Arial"/>
          <w:bCs/>
          <w:sz w:val="18"/>
          <w:szCs w:val="18"/>
          <w:lang w:eastAsia="es-MX"/>
        </w:rPr>
        <w:t>1/</w:t>
      </w:r>
    </w:p>
    <w:p w14:paraId="1B5362A8" w14:textId="00D571B8"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Presentación de resultados</w:t>
      </w:r>
    </w:p>
    <w:p w14:paraId="68FC799B" w14:textId="7FF8AD40"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Diseño conceptual</w:t>
      </w:r>
    </w:p>
    <w:p w14:paraId="38D22073" w14:textId="6FD189B7"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Diseño muestral</w:t>
      </w:r>
    </w:p>
    <w:p w14:paraId="7033C041" w14:textId="29DBF99D"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Informe operativo</w:t>
      </w:r>
    </w:p>
    <w:p w14:paraId="0C636DB6" w14:textId="6989E009"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Cuestionario</w:t>
      </w:r>
    </w:p>
    <w:p w14:paraId="5D748867" w14:textId="5637FF21"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Metadatos DDI</w:t>
      </w:r>
    </w:p>
    <w:p w14:paraId="5AA1B47A" w14:textId="62E7DFAE"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Tabulados (formato Excel)</w:t>
      </w:r>
    </w:p>
    <w:p w14:paraId="08959D17" w14:textId="7B8D0C4D" w:rsidR="009401F3" w:rsidRPr="009401F3" w:rsidRDefault="009401F3" w:rsidP="009401F3">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Microdatos</w:t>
      </w:r>
    </w:p>
    <w:p w14:paraId="3F6AD46F" w14:textId="2D4832CA" w:rsidR="003A5BCC" w:rsidRPr="003F2720" w:rsidRDefault="009401F3" w:rsidP="00063FD5">
      <w:pPr>
        <w:pStyle w:val="Prrafodelista"/>
        <w:numPr>
          <w:ilvl w:val="1"/>
          <w:numId w:val="24"/>
        </w:numPr>
        <w:spacing w:after="240" w:line="240" w:lineRule="auto"/>
        <w:jc w:val="both"/>
        <w:rPr>
          <w:rFonts w:ascii="Montserrat" w:eastAsia="Times New Roman" w:hAnsi="Montserrat" w:cs="Arial"/>
          <w:bCs/>
          <w:sz w:val="18"/>
          <w:szCs w:val="18"/>
          <w:lang w:eastAsia="es-MX"/>
        </w:rPr>
      </w:pPr>
      <w:r w:rsidRPr="009401F3">
        <w:rPr>
          <w:rFonts w:ascii="Montserrat" w:eastAsia="Times New Roman" w:hAnsi="Montserrat" w:cs="Arial"/>
          <w:bCs/>
          <w:sz w:val="18"/>
          <w:szCs w:val="18"/>
          <w:lang w:eastAsia="es-MX"/>
        </w:rPr>
        <w:t>Datos abiertos</w:t>
      </w:r>
    </w:p>
    <w:p w14:paraId="73E06B11" w14:textId="77777777" w:rsidR="00C65675" w:rsidRPr="00855DD8" w:rsidRDefault="00C65675" w:rsidP="003F2720">
      <w:pPr>
        <w:pStyle w:val="Ttulo1"/>
        <w:jc w:val="center"/>
        <w:rPr>
          <w:rFonts w:ascii="Calibri" w:eastAsia="Calibri" w:hAnsi="Calibri" w:cs="Calibri"/>
          <w:b/>
          <w:w w:val="120"/>
          <w:sz w:val="20"/>
          <w:szCs w:val="20"/>
          <w:lang w:eastAsia="es-MX" w:bidi="es-MX"/>
        </w:rPr>
      </w:pPr>
      <w:bookmarkStart w:id="0" w:name="_Hlk96683018"/>
      <w:r w:rsidRPr="00855DD8">
        <w:rPr>
          <w:rFonts w:ascii="Calibri" w:eastAsia="Calibri" w:hAnsi="Calibri" w:cs="Calibri"/>
          <w:b/>
          <w:w w:val="120"/>
          <w:sz w:val="20"/>
          <w:szCs w:val="20"/>
          <w:lang w:eastAsia="es-MX" w:bidi="es-MX"/>
        </w:rPr>
        <w:t>o0o</w:t>
      </w:r>
    </w:p>
    <w:bookmarkEnd w:id="0"/>
    <w:p w14:paraId="04FDA080" w14:textId="77777777" w:rsidR="00C65675" w:rsidRDefault="00C65675" w:rsidP="00CC23FC">
      <w:pPr>
        <w:pStyle w:val="NormalWeb"/>
        <w:spacing w:before="0" w:beforeAutospacing="0" w:after="0" w:afterAutospacing="0"/>
        <w:ind w:left="-426" w:right="-518"/>
        <w:contextualSpacing/>
        <w:jc w:val="center"/>
        <w:rPr>
          <w:rFonts w:ascii="Montserrat" w:hAnsi="Montserrat" w:cs="Arial"/>
          <w:sz w:val="18"/>
          <w:szCs w:val="18"/>
        </w:rPr>
      </w:pPr>
    </w:p>
    <w:p w14:paraId="5E2517FA" w14:textId="77777777" w:rsidR="00A97B9A" w:rsidRPr="003F2720" w:rsidRDefault="00A97B9A">
      <w:pPr>
        <w:rPr>
          <w:rFonts w:ascii="Montserrat" w:eastAsia="Times New Roman" w:hAnsi="Montserrat" w:cs="Arial"/>
          <w:bCs/>
          <w:sz w:val="18"/>
          <w:szCs w:val="18"/>
          <w:lang w:val="es-ES" w:eastAsia="es-MX"/>
        </w:rPr>
      </w:pPr>
      <w:r w:rsidRPr="003F2720">
        <w:rPr>
          <w:rFonts w:ascii="Montserrat" w:eastAsia="Times New Roman" w:hAnsi="Montserrat" w:cs="Arial"/>
          <w:bCs/>
          <w:sz w:val="18"/>
          <w:szCs w:val="18"/>
          <w:lang w:val="es-ES" w:eastAsia="es-MX"/>
        </w:rPr>
        <w:br w:type="page"/>
      </w:r>
    </w:p>
    <w:p w14:paraId="06AFD269" w14:textId="77777777" w:rsidR="00CC23FC" w:rsidRPr="003F2720" w:rsidRDefault="00CC23FC" w:rsidP="001825EB">
      <w:pPr>
        <w:spacing w:line="276" w:lineRule="auto"/>
        <w:jc w:val="center"/>
        <w:rPr>
          <w:rFonts w:ascii="Montserrat" w:hAnsi="Montserrat" w:cs="Arial"/>
          <w:b/>
          <w:sz w:val="18"/>
          <w:szCs w:val="18"/>
        </w:rPr>
      </w:pPr>
      <w:r w:rsidRPr="003F2720">
        <w:rPr>
          <w:rFonts w:ascii="Montserrat" w:hAnsi="Montserrat" w:cs="Arial"/>
          <w:b/>
          <w:sz w:val="18"/>
          <w:szCs w:val="18"/>
        </w:rPr>
        <w:lastRenderedPageBreak/>
        <w:t>ANEXO</w:t>
      </w:r>
    </w:p>
    <w:p w14:paraId="6C2D6FA1" w14:textId="7E116FE3" w:rsidR="001825EB" w:rsidRPr="003F2720" w:rsidRDefault="00CC23FC" w:rsidP="00CC23FC">
      <w:pPr>
        <w:spacing w:line="276" w:lineRule="auto"/>
        <w:jc w:val="center"/>
        <w:rPr>
          <w:rFonts w:ascii="Montserrat" w:hAnsi="Montserrat" w:cs="Arial"/>
          <w:b/>
          <w:sz w:val="18"/>
          <w:szCs w:val="18"/>
        </w:rPr>
      </w:pPr>
      <w:r w:rsidRPr="003F2720">
        <w:rPr>
          <w:rFonts w:ascii="Montserrat" w:hAnsi="Montserrat" w:cs="Arial"/>
          <w:b/>
          <w:sz w:val="18"/>
          <w:szCs w:val="18"/>
        </w:rPr>
        <w:t>NOTA TÉCNICA</w:t>
      </w:r>
    </w:p>
    <w:p w14:paraId="2620744B" w14:textId="7DFE4B13" w:rsidR="001825EB" w:rsidRPr="003F2720" w:rsidRDefault="00402DD8" w:rsidP="00402DD8">
      <w:pPr>
        <w:spacing w:line="276" w:lineRule="auto"/>
        <w:ind w:left="-567"/>
        <w:rPr>
          <w:rFonts w:ascii="Montserrat" w:hAnsi="Montserrat" w:cs="Arial"/>
          <w:b/>
          <w:sz w:val="18"/>
          <w:szCs w:val="18"/>
        </w:rPr>
      </w:pPr>
      <w:r w:rsidRPr="003F2720">
        <w:rPr>
          <w:rFonts w:ascii="Montserrat" w:eastAsia="Times New Roman" w:hAnsi="Montserrat" w:cs="Arial"/>
          <w:b/>
          <w:bCs/>
          <w:smallCaps/>
          <w:sz w:val="18"/>
          <w:szCs w:val="18"/>
          <w:lang w:eastAsia="es-MX"/>
        </w:rPr>
        <w:t>Introducci</w:t>
      </w:r>
      <w:r w:rsidRPr="003F2720">
        <w:rPr>
          <w:rFonts w:ascii="Montserrat" w:eastAsia="Times New Roman" w:hAnsi="Montserrat" w:cs="Arial" w:hint="eastAsia"/>
          <w:b/>
          <w:bCs/>
          <w:smallCaps/>
          <w:sz w:val="18"/>
          <w:szCs w:val="18"/>
          <w:lang w:eastAsia="es-MX"/>
        </w:rPr>
        <w:t>ó</w:t>
      </w:r>
      <w:r w:rsidRPr="003F2720">
        <w:rPr>
          <w:rFonts w:ascii="Montserrat" w:eastAsia="Times New Roman" w:hAnsi="Montserrat" w:cs="Arial"/>
          <w:b/>
          <w:bCs/>
          <w:smallCaps/>
          <w:sz w:val="18"/>
          <w:szCs w:val="18"/>
          <w:lang w:eastAsia="es-MX"/>
        </w:rPr>
        <w:t>n</w:t>
      </w:r>
      <w:r w:rsidR="001825EB" w:rsidRPr="003F2720">
        <w:rPr>
          <w:rFonts w:ascii="Montserrat" w:hAnsi="Montserrat" w:cs="Arial"/>
          <w:b/>
          <w:sz w:val="18"/>
          <w:szCs w:val="18"/>
        </w:rPr>
        <w:t xml:space="preserve"> </w:t>
      </w:r>
    </w:p>
    <w:p w14:paraId="0D23E7EB" w14:textId="74C537F2" w:rsidR="00402DD8" w:rsidRPr="003F2720" w:rsidRDefault="00402DD8" w:rsidP="00B82F7C">
      <w:pPr>
        <w:spacing w:after="360" w:line="240" w:lineRule="auto"/>
        <w:ind w:left="-567"/>
        <w:jc w:val="both"/>
        <w:rPr>
          <w:rFonts w:ascii="Montserrat" w:eastAsia="Times New Roman" w:hAnsi="Montserrat" w:cs="Arial"/>
          <w:bCs/>
          <w:sz w:val="18"/>
          <w:szCs w:val="18"/>
          <w:lang w:eastAsia="es-MX"/>
        </w:rPr>
      </w:pPr>
      <w:r w:rsidRPr="003F2720">
        <w:rPr>
          <w:rFonts w:ascii="Montserrat" w:eastAsia="Times New Roman" w:hAnsi="Montserrat" w:cs="Arial"/>
          <w:bCs/>
          <w:sz w:val="18"/>
          <w:szCs w:val="18"/>
          <w:lang w:eastAsia="es-MX"/>
        </w:rPr>
        <w:t xml:space="preserve">Los resultados la ENIF 2021 ofrecen un panorama general sobre la inclusión y educación financiera de la población </w:t>
      </w:r>
      <w:r w:rsidR="00435854" w:rsidRPr="003F2720">
        <w:rPr>
          <w:rFonts w:ascii="Montserrat" w:eastAsia="Times New Roman" w:hAnsi="Montserrat" w:cs="Arial"/>
          <w:bCs/>
          <w:sz w:val="18"/>
          <w:szCs w:val="18"/>
          <w:lang w:eastAsia="es-MX"/>
        </w:rPr>
        <w:t xml:space="preserve">entre </w:t>
      </w:r>
      <w:r w:rsidRPr="003F2720">
        <w:rPr>
          <w:rFonts w:ascii="Montserrat" w:eastAsia="Times New Roman" w:hAnsi="Montserrat" w:cs="Arial"/>
          <w:bCs/>
          <w:sz w:val="18"/>
          <w:szCs w:val="18"/>
          <w:lang w:eastAsia="es-MX"/>
        </w:rPr>
        <w:t xml:space="preserve">18 a 70 años. Además, </w:t>
      </w:r>
      <w:r w:rsidR="006B63C1" w:rsidRPr="003F2720">
        <w:rPr>
          <w:rFonts w:ascii="Montserrat" w:eastAsia="Times New Roman" w:hAnsi="Montserrat" w:cs="Arial"/>
          <w:bCs/>
          <w:sz w:val="18"/>
          <w:szCs w:val="18"/>
          <w:lang w:eastAsia="es-MX"/>
        </w:rPr>
        <w:t xml:space="preserve">permiten </w:t>
      </w:r>
      <w:r w:rsidRPr="003F2720">
        <w:rPr>
          <w:rFonts w:ascii="Montserrat" w:eastAsia="Times New Roman" w:hAnsi="Montserrat" w:cs="Arial"/>
          <w:bCs/>
          <w:sz w:val="18"/>
          <w:szCs w:val="18"/>
          <w:lang w:eastAsia="es-MX"/>
        </w:rPr>
        <w:t xml:space="preserve">hacer diagnósticos, diseñar políticas públicas y establecer metas en </w:t>
      </w:r>
      <w:r w:rsidR="006B63C1" w:rsidRPr="003F2720">
        <w:rPr>
          <w:rFonts w:ascii="Montserrat" w:eastAsia="Times New Roman" w:hAnsi="Montserrat" w:cs="Arial"/>
          <w:bCs/>
          <w:sz w:val="18"/>
          <w:szCs w:val="18"/>
          <w:lang w:eastAsia="es-MX"/>
        </w:rPr>
        <w:t xml:space="preserve">la </w:t>
      </w:r>
      <w:r w:rsidRPr="003F2720">
        <w:rPr>
          <w:rFonts w:ascii="Montserrat" w:eastAsia="Times New Roman" w:hAnsi="Montserrat" w:cs="Arial"/>
          <w:bCs/>
          <w:sz w:val="18"/>
          <w:szCs w:val="18"/>
          <w:lang w:eastAsia="es-MX"/>
        </w:rPr>
        <w:t xml:space="preserve">materia. La ENIF 2021 también permite observar las actitudes y comportamientos financieros de la población objetivo, así como el conocimiento y uso de nuevas herramientas de pago digitales, de ahorro y crédito. Todo lo anterior </w:t>
      </w:r>
      <w:r w:rsidR="008749C0" w:rsidRPr="003F2720">
        <w:rPr>
          <w:rFonts w:ascii="Montserrat" w:eastAsia="Times New Roman" w:hAnsi="Montserrat" w:cs="Arial"/>
          <w:bCs/>
          <w:sz w:val="18"/>
          <w:szCs w:val="18"/>
          <w:lang w:eastAsia="es-MX"/>
        </w:rPr>
        <w:t xml:space="preserve">se hace con </w:t>
      </w:r>
      <w:r w:rsidRPr="003F2720">
        <w:rPr>
          <w:rFonts w:ascii="Montserrat" w:eastAsia="Times New Roman" w:hAnsi="Montserrat" w:cs="Arial"/>
          <w:bCs/>
          <w:sz w:val="18"/>
          <w:szCs w:val="18"/>
          <w:lang w:eastAsia="es-MX"/>
        </w:rPr>
        <w:t>perspectiva de género que permitirá realizar estudios sobre el involucramiento de las mujeres en la vida financiera de los hogares.</w:t>
      </w:r>
    </w:p>
    <w:p w14:paraId="1EBDB193" w14:textId="52B86A1E" w:rsidR="001825EB" w:rsidRPr="003F2720" w:rsidRDefault="00402DD8" w:rsidP="00402DD8">
      <w:pPr>
        <w:spacing w:line="276" w:lineRule="auto"/>
        <w:ind w:left="-567"/>
        <w:jc w:val="both"/>
        <w:rPr>
          <w:rFonts w:ascii="Montserrat" w:hAnsi="Montserrat" w:cs="Arial"/>
          <w:b/>
          <w:sz w:val="18"/>
          <w:szCs w:val="18"/>
        </w:rPr>
      </w:pPr>
      <w:r w:rsidRPr="003F2720">
        <w:rPr>
          <w:rFonts w:ascii="Montserrat" w:eastAsia="Times New Roman" w:hAnsi="Montserrat" w:cs="Arial"/>
          <w:b/>
          <w:bCs/>
          <w:smallCaps/>
          <w:sz w:val="18"/>
          <w:szCs w:val="18"/>
          <w:lang w:eastAsia="es-MX"/>
        </w:rPr>
        <w:t>Caracter</w:t>
      </w:r>
      <w:r w:rsidRPr="003F2720">
        <w:rPr>
          <w:rFonts w:ascii="Montserrat" w:eastAsia="Times New Roman" w:hAnsi="Montserrat" w:cs="Arial" w:hint="eastAsia"/>
          <w:b/>
          <w:bCs/>
          <w:smallCaps/>
          <w:sz w:val="18"/>
          <w:szCs w:val="18"/>
          <w:lang w:eastAsia="es-MX"/>
        </w:rPr>
        <w:t>í</w:t>
      </w:r>
      <w:r w:rsidRPr="003F2720">
        <w:rPr>
          <w:rFonts w:ascii="Montserrat" w:eastAsia="Times New Roman" w:hAnsi="Montserrat" w:cs="Arial"/>
          <w:b/>
          <w:bCs/>
          <w:smallCaps/>
          <w:sz w:val="18"/>
          <w:szCs w:val="18"/>
          <w:lang w:eastAsia="es-MX"/>
        </w:rPr>
        <w:t>sticas Metodol</w:t>
      </w:r>
      <w:r w:rsidRPr="003F2720">
        <w:rPr>
          <w:rFonts w:ascii="Montserrat" w:eastAsia="Times New Roman" w:hAnsi="Montserrat" w:cs="Arial" w:hint="eastAsia"/>
          <w:b/>
          <w:bCs/>
          <w:smallCaps/>
          <w:sz w:val="18"/>
          <w:szCs w:val="18"/>
          <w:lang w:eastAsia="es-MX"/>
        </w:rPr>
        <w:t>ó</w:t>
      </w:r>
      <w:r w:rsidRPr="003F2720">
        <w:rPr>
          <w:rFonts w:ascii="Montserrat" w:eastAsia="Times New Roman" w:hAnsi="Montserrat" w:cs="Arial"/>
          <w:b/>
          <w:bCs/>
          <w:smallCaps/>
          <w:sz w:val="18"/>
          <w:szCs w:val="18"/>
          <w:lang w:eastAsia="es-MX"/>
        </w:rPr>
        <w:t>gicas</w:t>
      </w:r>
      <w:r w:rsidR="001825EB" w:rsidRPr="003F2720">
        <w:rPr>
          <w:rFonts w:ascii="Montserrat" w:hAnsi="Montserrat" w:cs="Arial"/>
          <w:b/>
          <w:sz w:val="18"/>
          <w:szCs w:val="18"/>
        </w:rPr>
        <w:t xml:space="preserve"> </w:t>
      </w:r>
    </w:p>
    <w:p w14:paraId="6E52046E" w14:textId="77777777" w:rsidR="001825EB" w:rsidRPr="003F2720" w:rsidRDefault="001825EB" w:rsidP="001825EB">
      <w:pPr>
        <w:pStyle w:val="Descripcin"/>
        <w:keepNext/>
        <w:jc w:val="right"/>
        <w:rPr>
          <w:rFonts w:ascii="Montserrat" w:hAnsi="Montserrat"/>
        </w:rPr>
      </w:pPr>
    </w:p>
    <w:tbl>
      <w:tblPr>
        <w:tblStyle w:val="Tablaconcuadrcula6concolores-nfasis1"/>
        <w:tblW w:w="8642" w:type="dxa"/>
        <w:tblLook w:val="04A0" w:firstRow="1" w:lastRow="0" w:firstColumn="1" w:lastColumn="0" w:noHBand="0" w:noVBand="1"/>
      </w:tblPr>
      <w:tblGrid>
        <w:gridCol w:w="3397"/>
        <w:gridCol w:w="5245"/>
      </w:tblGrid>
      <w:tr w:rsidR="001825EB" w:rsidRPr="00DD4A55" w14:paraId="06ABC1AC" w14:textId="77777777" w:rsidTr="00570046">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397" w:type="dxa"/>
          </w:tcPr>
          <w:p w14:paraId="5B80DA5C" w14:textId="77777777" w:rsidR="001825EB" w:rsidRPr="003F2720" w:rsidRDefault="001825EB" w:rsidP="00570046">
            <w:pPr>
              <w:spacing w:line="276" w:lineRule="auto"/>
              <w:jc w:val="both"/>
              <w:rPr>
                <w:rFonts w:ascii="Montserrat" w:hAnsi="Montserrat" w:cs="Arial"/>
                <w:b w:val="0"/>
                <w:color w:val="auto"/>
                <w:sz w:val="18"/>
                <w:szCs w:val="18"/>
              </w:rPr>
            </w:pPr>
            <w:r w:rsidRPr="003F2720">
              <w:rPr>
                <w:rFonts w:ascii="Montserrat" w:hAnsi="Montserrat" w:cs="Arial"/>
                <w:sz w:val="18"/>
                <w:szCs w:val="18"/>
              </w:rPr>
              <w:t>Unidad de observación</w:t>
            </w:r>
          </w:p>
        </w:tc>
        <w:tc>
          <w:tcPr>
            <w:tcW w:w="5245" w:type="dxa"/>
          </w:tcPr>
          <w:p w14:paraId="7945D28F" w14:textId="77777777" w:rsidR="001825EB" w:rsidRPr="003F2720" w:rsidRDefault="001825EB" w:rsidP="00570046">
            <w:pPr>
              <w:spacing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b w:val="0"/>
                <w:color w:val="auto"/>
                <w:sz w:val="18"/>
                <w:szCs w:val="18"/>
              </w:rPr>
            </w:pPr>
            <w:r w:rsidRPr="003F2720">
              <w:rPr>
                <w:rFonts w:ascii="Montserrat" w:hAnsi="Montserrat" w:cs="Arial"/>
                <w:sz w:val="18"/>
                <w:szCs w:val="18"/>
              </w:rPr>
              <w:t>La vivienda seleccionada, los hogares y las personas seleccionadas de 18 años y más.</w:t>
            </w:r>
          </w:p>
        </w:tc>
      </w:tr>
      <w:tr w:rsidR="001825EB" w:rsidRPr="00DD4A55" w14:paraId="3AF3E9E5" w14:textId="77777777" w:rsidTr="00570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6319192" w14:textId="77777777" w:rsidR="001825EB" w:rsidRPr="003F2720" w:rsidRDefault="001825EB" w:rsidP="00570046">
            <w:pPr>
              <w:spacing w:line="276" w:lineRule="auto"/>
              <w:jc w:val="both"/>
              <w:rPr>
                <w:rFonts w:ascii="Montserrat" w:hAnsi="Montserrat" w:cs="Arial"/>
                <w:b w:val="0"/>
                <w:color w:val="auto"/>
                <w:sz w:val="18"/>
                <w:szCs w:val="18"/>
              </w:rPr>
            </w:pPr>
            <w:r w:rsidRPr="003F2720">
              <w:rPr>
                <w:rFonts w:ascii="Montserrat" w:hAnsi="Montserrat" w:cs="Arial"/>
                <w:sz w:val="18"/>
                <w:szCs w:val="18"/>
              </w:rPr>
              <w:t>Población objetivo</w:t>
            </w:r>
          </w:p>
        </w:tc>
        <w:tc>
          <w:tcPr>
            <w:tcW w:w="5245" w:type="dxa"/>
          </w:tcPr>
          <w:p w14:paraId="36AA365A" w14:textId="77777777" w:rsidR="001825EB" w:rsidRPr="003F2720" w:rsidRDefault="001825EB" w:rsidP="00570046">
            <w:pPr>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Población de 18 años y más.</w:t>
            </w:r>
          </w:p>
        </w:tc>
      </w:tr>
      <w:tr w:rsidR="001825EB" w:rsidRPr="00DD4A55" w14:paraId="38928D7C" w14:textId="77777777" w:rsidTr="00570046">
        <w:tc>
          <w:tcPr>
            <w:cnfStyle w:val="001000000000" w:firstRow="0" w:lastRow="0" w:firstColumn="1" w:lastColumn="0" w:oddVBand="0" w:evenVBand="0" w:oddHBand="0" w:evenHBand="0" w:firstRowFirstColumn="0" w:firstRowLastColumn="0" w:lastRowFirstColumn="0" w:lastRowLastColumn="0"/>
            <w:tcW w:w="3397" w:type="dxa"/>
          </w:tcPr>
          <w:p w14:paraId="3A60CFCE" w14:textId="77777777" w:rsidR="001825EB" w:rsidRPr="003F2720" w:rsidRDefault="001825EB" w:rsidP="00570046">
            <w:pPr>
              <w:spacing w:line="276" w:lineRule="auto"/>
              <w:jc w:val="both"/>
              <w:rPr>
                <w:rFonts w:ascii="Montserrat" w:hAnsi="Montserrat" w:cs="Arial"/>
                <w:b w:val="0"/>
                <w:color w:val="auto"/>
                <w:sz w:val="18"/>
                <w:szCs w:val="18"/>
              </w:rPr>
            </w:pPr>
            <w:r w:rsidRPr="003F2720">
              <w:rPr>
                <w:rFonts w:ascii="Montserrat" w:hAnsi="Montserrat" w:cs="Arial"/>
                <w:sz w:val="18"/>
                <w:szCs w:val="18"/>
              </w:rPr>
              <w:t>Método de recolección</w:t>
            </w:r>
          </w:p>
        </w:tc>
        <w:tc>
          <w:tcPr>
            <w:tcW w:w="5245" w:type="dxa"/>
          </w:tcPr>
          <w:p w14:paraId="2F10F4F8" w14:textId="77777777" w:rsidR="001825EB" w:rsidRPr="003F2720" w:rsidRDefault="001825EB" w:rsidP="00570046">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 xml:space="preserve">Entrevista directa (cara a cara) con dispositivo electrónico. </w:t>
            </w:r>
          </w:p>
        </w:tc>
      </w:tr>
      <w:tr w:rsidR="001825EB" w:rsidRPr="00DD4A55" w14:paraId="15FFA3B2" w14:textId="77777777" w:rsidTr="00570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94A9B25" w14:textId="77777777" w:rsidR="001825EB" w:rsidRPr="003F2720" w:rsidRDefault="001825EB" w:rsidP="00570046">
            <w:pPr>
              <w:spacing w:line="276" w:lineRule="auto"/>
              <w:jc w:val="both"/>
              <w:rPr>
                <w:rFonts w:ascii="Montserrat" w:hAnsi="Montserrat" w:cs="Arial"/>
                <w:b w:val="0"/>
                <w:color w:val="auto"/>
                <w:sz w:val="18"/>
                <w:szCs w:val="18"/>
              </w:rPr>
            </w:pPr>
            <w:r w:rsidRPr="003F2720">
              <w:rPr>
                <w:rFonts w:ascii="Montserrat" w:hAnsi="Montserrat" w:cs="Arial"/>
                <w:sz w:val="18"/>
                <w:szCs w:val="18"/>
              </w:rPr>
              <w:t>Periodo de levantamiento</w:t>
            </w:r>
          </w:p>
        </w:tc>
        <w:tc>
          <w:tcPr>
            <w:tcW w:w="5245" w:type="dxa"/>
          </w:tcPr>
          <w:p w14:paraId="6E2ED71F" w14:textId="77777777" w:rsidR="001825EB" w:rsidRPr="003F2720" w:rsidRDefault="001825EB" w:rsidP="00570046">
            <w:pPr>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Del 28 de junio al 13 de agosto de 2021.</w:t>
            </w:r>
          </w:p>
        </w:tc>
      </w:tr>
      <w:tr w:rsidR="001825EB" w:rsidRPr="00DD4A55" w14:paraId="0199E258" w14:textId="77777777" w:rsidTr="00570046">
        <w:tc>
          <w:tcPr>
            <w:cnfStyle w:val="001000000000" w:firstRow="0" w:lastRow="0" w:firstColumn="1" w:lastColumn="0" w:oddVBand="0" w:evenVBand="0" w:oddHBand="0" w:evenHBand="0" w:firstRowFirstColumn="0" w:firstRowLastColumn="0" w:lastRowFirstColumn="0" w:lastRowLastColumn="0"/>
            <w:tcW w:w="3397" w:type="dxa"/>
          </w:tcPr>
          <w:p w14:paraId="0B3798A4" w14:textId="77777777" w:rsidR="001825EB" w:rsidRPr="003F2720" w:rsidRDefault="001825EB" w:rsidP="00570046">
            <w:pPr>
              <w:spacing w:line="276" w:lineRule="auto"/>
              <w:jc w:val="both"/>
              <w:rPr>
                <w:rFonts w:ascii="Montserrat" w:hAnsi="Montserrat" w:cs="Arial"/>
                <w:b w:val="0"/>
                <w:color w:val="auto"/>
                <w:sz w:val="18"/>
                <w:szCs w:val="18"/>
              </w:rPr>
            </w:pPr>
            <w:r w:rsidRPr="003F2720">
              <w:rPr>
                <w:rFonts w:ascii="Montserrat" w:hAnsi="Montserrat" w:cs="Arial"/>
                <w:sz w:val="18"/>
                <w:szCs w:val="18"/>
              </w:rPr>
              <w:t>Tamaño de la muestra efectiva</w:t>
            </w:r>
          </w:p>
        </w:tc>
        <w:tc>
          <w:tcPr>
            <w:tcW w:w="5245" w:type="dxa"/>
          </w:tcPr>
          <w:p w14:paraId="6EE78F29" w14:textId="41B63074" w:rsidR="004D74C9" w:rsidRPr="003F2720" w:rsidRDefault="001825EB" w:rsidP="00570046">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13</w:t>
            </w:r>
            <w:r w:rsidR="00A32F43" w:rsidRPr="003F2720">
              <w:rPr>
                <w:rFonts w:ascii="Montserrat" w:hAnsi="Montserrat" w:cs="Arial"/>
                <w:sz w:val="18"/>
                <w:szCs w:val="18"/>
              </w:rPr>
              <w:t>,</w:t>
            </w:r>
            <w:r w:rsidRPr="003F2720">
              <w:rPr>
                <w:rFonts w:ascii="Montserrat" w:hAnsi="Montserrat" w:cs="Arial"/>
                <w:sz w:val="18"/>
                <w:szCs w:val="18"/>
              </w:rPr>
              <w:t>352 viviendas efectivas</w:t>
            </w:r>
            <w:r w:rsidR="00BC6AE0" w:rsidRPr="003F2720">
              <w:rPr>
                <w:rFonts w:ascii="Montserrat" w:hAnsi="Montserrat" w:cs="Arial"/>
                <w:sz w:val="18"/>
                <w:szCs w:val="18"/>
              </w:rPr>
              <w:t>.</w:t>
            </w:r>
          </w:p>
          <w:p w14:paraId="00F99370" w14:textId="056DA1A5" w:rsidR="001825EB" w:rsidRPr="003F2720" w:rsidRDefault="001825EB" w:rsidP="009A6BE8">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color w:val="auto"/>
                <w:sz w:val="18"/>
                <w:szCs w:val="18"/>
              </w:rPr>
            </w:pPr>
            <w:r w:rsidRPr="003F2720">
              <w:rPr>
                <w:rFonts w:ascii="Montserrat" w:hAnsi="Montserrat" w:cs="Arial"/>
                <w:sz w:val="18"/>
                <w:szCs w:val="18"/>
              </w:rPr>
              <w:t>13</w:t>
            </w:r>
            <w:r w:rsidR="00A32F43" w:rsidRPr="003F2720">
              <w:rPr>
                <w:rFonts w:ascii="Montserrat" w:hAnsi="Montserrat" w:cs="Arial"/>
                <w:sz w:val="18"/>
                <w:szCs w:val="18"/>
              </w:rPr>
              <w:t>,</w:t>
            </w:r>
            <w:r w:rsidRPr="003F2720">
              <w:rPr>
                <w:rFonts w:ascii="Montserrat" w:hAnsi="Montserrat" w:cs="Arial"/>
                <w:sz w:val="18"/>
                <w:szCs w:val="18"/>
              </w:rPr>
              <w:t>554 personas de 18 años y más</w:t>
            </w:r>
            <w:r w:rsidR="001455B8" w:rsidRPr="003F2720">
              <w:rPr>
                <w:rFonts w:ascii="Montserrat" w:hAnsi="Montserrat" w:cs="Arial"/>
                <w:sz w:val="18"/>
                <w:szCs w:val="18"/>
              </w:rPr>
              <w:t xml:space="preserve"> </w:t>
            </w:r>
            <w:r w:rsidR="00402DD8" w:rsidRPr="003F2720">
              <w:rPr>
                <w:rFonts w:ascii="Montserrat" w:hAnsi="Montserrat" w:cs="Arial"/>
                <w:sz w:val="18"/>
                <w:szCs w:val="18"/>
              </w:rPr>
              <w:t>q</w:t>
            </w:r>
            <w:r w:rsidRPr="003F2720">
              <w:rPr>
                <w:rFonts w:ascii="Montserrat" w:hAnsi="Montserrat" w:cs="Arial"/>
                <w:sz w:val="18"/>
                <w:szCs w:val="18"/>
              </w:rPr>
              <w:t>ue representan a 90.3 millones de personas de 18 años y más.</w:t>
            </w:r>
            <w:r w:rsidRPr="003F2720">
              <w:rPr>
                <w:rFonts w:ascii="Montserrat" w:hAnsi="Montserrat"/>
                <w:sz w:val="18"/>
                <w:szCs w:val="18"/>
              </w:rPr>
              <w:t xml:space="preserve"> </w:t>
            </w:r>
          </w:p>
        </w:tc>
      </w:tr>
      <w:tr w:rsidR="001825EB" w:rsidRPr="00DD4A55" w14:paraId="56E7C754" w14:textId="77777777" w:rsidTr="00570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78CF55B" w14:textId="77777777" w:rsidR="001825EB" w:rsidRPr="003F2720" w:rsidRDefault="001825EB" w:rsidP="00570046">
            <w:pPr>
              <w:spacing w:line="276" w:lineRule="auto"/>
              <w:jc w:val="both"/>
              <w:rPr>
                <w:rFonts w:ascii="Montserrat" w:hAnsi="Montserrat" w:cs="Arial"/>
                <w:b w:val="0"/>
                <w:color w:val="auto"/>
                <w:sz w:val="18"/>
                <w:szCs w:val="18"/>
              </w:rPr>
            </w:pPr>
            <w:r w:rsidRPr="003F2720">
              <w:rPr>
                <w:rFonts w:ascii="Montserrat" w:hAnsi="Montserrat" w:cs="Arial"/>
                <w:sz w:val="18"/>
                <w:szCs w:val="18"/>
              </w:rPr>
              <w:t>Diseño de la muestra</w:t>
            </w:r>
          </w:p>
        </w:tc>
        <w:tc>
          <w:tcPr>
            <w:tcW w:w="5245" w:type="dxa"/>
          </w:tcPr>
          <w:p w14:paraId="45AD698D" w14:textId="6347DD6B" w:rsidR="001825EB" w:rsidRPr="003F2720" w:rsidRDefault="001825EB" w:rsidP="00570046">
            <w:pPr>
              <w:spacing w:line="276" w:lineRule="auto"/>
              <w:ind w:left="319" w:hanging="322"/>
              <w:jc w:val="both"/>
              <w:cnfStyle w:val="000000100000" w:firstRow="0" w:lastRow="0" w:firstColumn="0" w:lastColumn="0" w:oddVBand="0" w:evenVBand="0" w:oddHBand="1"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Probabilístico</w:t>
            </w:r>
            <w:r w:rsidR="00BC6AE0" w:rsidRPr="003F2720">
              <w:rPr>
                <w:rFonts w:ascii="Montserrat" w:hAnsi="Montserrat" w:cs="Arial"/>
                <w:sz w:val="18"/>
                <w:szCs w:val="18"/>
              </w:rPr>
              <w:t>.</w:t>
            </w:r>
          </w:p>
          <w:p w14:paraId="28B72E59" w14:textId="4E983316" w:rsidR="001825EB" w:rsidRPr="003F2720" w:rsidRDefault="001825EB" w:rsidP="00570046">
            <w:pPr>
              <w:spacing w:line="276" w:lineRule="auto"/>
              <w:ind w:left="319" w:hanging="322"/>
              <w:jc w:val="both"/>
              <w:cnfStyle w:val="000000100000" w:firstRow="0" w:lastRow="0" w:firstColumn="0" w:lastColumn="0" w:oddVBand="0" w:evenVBand="0" w:oddHBand="1"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Trietápico</w:t>
            </w:r>
            <w:r w:rsidR="00BC6AE0" w:rsidRPr="003F2720">
              <w:rPr>
                <w:rFonts w:ascii="Montserrat" w:hAnsi="Montserrat" w:cs="Arial"/>
                <w:sz w:val="18"/>
                <w:szCs w:val="18"/>
              </w:rPr>
              <w:t>.</w:t>
            </w:r>
          </w:p>
          <w:p w14:paraId="1679CAD3" w14:textId="46B42701" w:rsidR="001825EB" w:rsidRPr="003F2720" w:rsidRDefault="001825EB" w:rsidP="00570046">
            <w:pPr>
              <w:spacing w:line="276" w:lineRule="auto"/>
              <w:ind w:left="319" w:hanging="322"/>
              <w:jc w:val="both"/>
              <w:cnfStyle w:val="000000100000" w:firstRow="0" w:lastRow="0" w:firstColumn="0" w:lastColumn="0" w:oddVBand="0" w:evenVBand="0" w:oddHBand="1"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Estratificado</w:t>
            </w:r>
            <w:r w:rsidR="00BC6AE0" w:rsidRPr="003F2720">
              <w:rPr>
                <w:rFonts w:ascii="Montserrat" w:hAnsi="Montserrat" w:cs="Arial"/>
                <w:sz w:val="18"/>
                <w:szCs w:val="18"/>
              </w:rPr>
              <w:t>.</w:t>
            </w:r>
          </w:p>
          <w:p w14:paraId="5966C6DC" w14:textId="3906E4F5" w:rsidR="001825EB" w:rsidRPr="003F2720" w:rsidRDefault="001825EB" w:rsidP="00570046">
            <w:pPr>
              <w:spacing w:line="276" w:lineRule="auto"/>
              <w:ind w:left="319" w:hanging="322"/>
              <w:jc w:val="both"/>
              <w:cnfStyle w:val="000000100000" w:firstRow="0" w:lastRow="0" w:firstColumn="0" w:lastColumn="0" w:oddVBand="0" w:evenVBand="0" w:oddHBand="1"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Por conglomerados</w:t>
            </w:r>
            <w:r w:rsidR="00BC6AE0" w:rsidRPr="003F2720">
              <w:rPr>
                <w:rFonts w:ascii="Montserrat" w:hAnsi="Montserrat" w:cs="Arial"/>
                <w:sz w:val="18"/>
                <w:szCs w:val="18"/>
              </w:rPr>
              <w:t>.</w:t>
            </w:r>
          </w:p>
        </w:tc>
      </w:tr>
      <w:tr w:rsidR="001825EB" w:rsidRPr="00DD4A55" w14:paraId="7E7AD750" w14:textId="77777777" w:rsidTr="00570046">
        <w:tc>
          <w:tcPr>
            <w:cnfStyle w:val="001000000000" w:firstRow="0" w:lastRow="0" w:firstColumn="1" w:lastColumn="0" w:oddVBand="0" w:evenVBand="0" w:oddHBand="0" w:evenHBand="0" w:firstRowFirstColumn="0" w:firstRowLastColumn="0" w:lastRowFirstColumn="0" w:lastRowLastColumn="0"/>
            <w:tcW w:w="3397" w:type="dxa"/>
          </w:tcPr>
          <w:p w14:paraId="14D6C074" w14:textId="77777777" w:rsidR="001825EB" w:rsidRPr="003F2720" w:rsidRDefault="001825EB" w:rsidP="00570046">
            <w:pPr>
              <w:spacing w:line="276" w:lineRule="auto"/>
              <w:jc w:val="both"/>
              <w:rPr>
                <w:rFonts w:ascii="Montserrat" w:hAnsi="Montserrat" w:cs="Arial"/>
                <w:color w:val="auto"/>
                <w:sz w:val="18"/>
                <w:szCs w:val="18"/>
              </w:rPr>
            </w:pPr>
            <w:r w:rsidRPr="003F2720">
              <w:rPr>
                <w:rFonts w:ascii="Montserrat" w:hAnsi="Montserrat" w:cs="Arial"/>
                <w:sz w:val="18"/>
                <w:szCs w:val="18"/>
              </w:rPr>
              <w:t>Desglose geográfico</w:t>
            </w:r>
          </w:p>
        </w:tc>
        <w:tc>
          <w:tcPr>
            <w:tcW w:w="5245" w:type="dxa"/>
          </w:tcPr>
          <w:p w14:paraId="0DA1DAF1" w14:textId="77777777" w:rsidR="001825EB" w:rsidRPr="003F2720" w:rsidRDefault="001825EB" w:rsidP="00570046">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Nacional</w:t>
            </w:r>
          </w:p>
          <w:p w14:paraId="1558F6E4" w14:textId="77777777" w:rsidR="0021245E" w:rsidRPr="003F2720" w:rsidRDefault="0021245E" w:rsidP="009A6BE8">
            <w:pPr>
              <w:spacing w:before="60" w:after="60"/>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Seis regiones</w:t>
            </w:r>
          </w:p>
          <w:p w14:paraId="11044A2B" w14:textId="2A7ABEAB" w:rsidR="0021245E" w:rsidRPr="003F2720" w:rsidRDefault="0021245E" w:rsidP="0021245E">
            <w:pPr>
              <w:spacing w:before="60" w:after="60"/>
              <w:ind w:left="720"/>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b/>
                <w:sz w:val="18"/>
                <w:szCs w:val="18"/>
              </w:rPr>
              <w:t>Noroeste:</w:t>
            </w:r>
            <w:r w:rsidRPr="003F2720">
              <w:rPr>
                <w:rFonts w:ascii="Montserrat" w:hAnsi="Montserrat" w:cs="Arial"/>
                <w:sz w:val="18"/>
                <w:szCs w:val="18"/>
              </w:rPr>
              <w:t xml:space="preserve"> Baja California, Baja California Sur, Chihuahua, Durango, Sinaloa y Sonora</w:t>
            </w:r>
            <w:r w:rsidR="0092669F" w:rsidRPr="003F2720">
              <w:rPr>
                <w:rFonts w:ascii="Montserrat" w:hAnsi="Montserrat" w:cs="Arial"/>
                <w:sz w:val="18"/>
                <w:szCs w:val="18"/>
              </w:rPr>
              <w:t>.</w:t>
            </w:r>
          </w:p>
          <w:p w14:paraId="6C9E1615" w14:textId="31ECF7F7" w:rsidR="0021245E" w:rsidRPr="003F2720" w:rsidRDefault="0021245E" w:rsidP="0021245E">
            <w:pPr>
              <w:spacing w:before="60" w:after="60"/>
              <w:ind w:left="720"/>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b/>
                <w:sz w:val="18"/>
                <w:szCs w:val="18"/>
              </w:rPr>
              <w:t>Noreste:</w:t>
            </w:r>
            <w:r w:rsidRPr="003F2720">
              <w:rPr>
                <w:rFonts w:ascii="Montserrat" w:hAnsi="Montserrat" w:cs="Arial"/>
                <w:sz w:val="18"/>
                <w:szCs w:val="18"/>
              </w:rPr>
              <w:t xml:space="preserve"> Coahuila, Nuevo León, San Luis Potosí y Tamaulipas</w:t>
            </w:r>
            <w:r w:rsidR="0092669F" w:rsidRPr="003F2720">
              <w:rPr>
                <w:rFonts w:ascii="Montserrat" w:hAnsi="Montserrat" w:cs="Arial"/>
                <w:sz w:val="18"/>
                <w:szCs w:val="18"/>
              </w:rPr>
              <w:t>.</w:t>
            </w:r>
          </w:p>
          <w:p w14:paraId="07C201E4" w14:textId="5836F5D9" w:rsidR="0021245E" w:rsidRPr="003F2720" w:rsidRDefault="0021245E" w:rsidP="0021245E">
            <w:pPr>
              <w:spacing w:before="60" w:after="60"/>
              <w:ind w:left="720"/>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b/>
                <w:sz w:val="18"/>
                <w:szCs w:val="18"/>
              </w:rPr>
              <w:t>Occidente y Bajío:</w:t>
            </w:r>
            <w:r w:rsidRPr="003F2720">
              <w:rPr>
                <w:rFonts w:ascii="Montserrat" w:hAnsi="Montserrat" w:cs="Arial"/>
                <w:sz w:val="18"/>
                <w:szCs w:val="18"/>
              </w:rPr>
              <w:t xml:space="preserve"> Aguascalientes, Colima, Guanajuato, Jalisco, Michoacán, Nayarit, Querétaro y Zacatecas</w:t>
            </w:r>
            <w:r w:rsidR="0092669F" w:rsidRPr="003F2720">
              <w:rPr>
                <w:rFonts w:ascii="Montserrat" w:hAnsi="Montserrat" w:cs="Arial"/>
                <w:sz w:val="18"/>
                <w:szCs w:val="18"/>
              </w:rPr>
              <w:t>.</w:t>
            </w:r>
          </w:p>
          <w:p w14:paraId="38CF4EC9" w14:textId="77777777" w:rsidR="0021245E" w:rsidRPr="003F2720" w:rsidRDefault="0021245E" w:rsidP="0021245E">
            <w:pPr>
              <w:spacing w:before="60" w:after="60"/>
              <w:ind w:left="720"/>
              <w:cnfStyle w:val="000000000000" w:firstRow="0" w:lastRow="0" w:firstColumn="0" w:lastColumn="0" w:oddVBand="0" w:evenVBand="0" w:oddHBand="0" w:evenHBand="0" w:firstRowFirstColumn="0" w:firstRowLastColumn="0" w:lastRowFirstColumn="0" w:lastRowLastColumn="0"/>
              <w:rPr>
                <w:rFonts w:ascii="Montserrat" w:hAnsi="Montserrat" w:cs="Arial"/>
                <w:b/>
                <w:color w:val="auto"/>
                <w:sz w:val="18"/>
                <w:szCs w:val="18"/>
              </w:rPr>
            </w:pPr>
            <w:r w:rsidRPr="003F2720">
              <w:rPr>
                <w:rFonts w:ascii="Montserrat" w:hAnsi="Montserrat" w:cs="Arial"/>
                <w:b/>
                <w:sz w:val="18"/>
                <w:szCs w:val="18"/>
              </w:rPr>
              <w:t>Ciudad de México</w:t>
            </w:r>
          </w:p>
          <w:p w14:paraId="040E4F63" w14:textId="6A0764F7" w:rsidR="0021245E" w:rsidRPr="003F2720" w:rsidRDefault="0021245E" w:rsidP="0021245E">
            <w:pPr>
              <w:spacing w:before="60" w:after="60"/>
              <w:ind w:left="720"/>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b/>
                <w:sz w:val="18"/>
                <w:szCs w:val="18"/>
              </w:rPr>
              <w:t>Centro sur y Oriente:</w:t>
            </w:r>
            <w:r w:rsidRPr="003F2720">
              <w:rPr>
                <w:rFonts w:ascii="Montserrat" w:hAnsi="Montserrat" w:cs="Arial"/>
                <w:sz w:val="18"/>
                <w:szCs w:val="18"/>
              </w:rPr>
              <w:t xml:space="preserve"> Estado de México, Hidalgo, Morelos, Puebla, Tlaxcala y Veracruz</w:t>
            </w:r>
            <w:r w:rsidR="0092669F" w:rsidRPr="003F2720">
              <w:rPr>
                <w:rFonts w:ascii="Montserrat" w:hAnsi="Montserrat" w:cs="Arial"/>
                <w:sz w:val="18"/>
                <w:szCs w:val="18"/>
              </w:rPr>
              <w:t>.</w:t>
            </w:r>
          </w:p>
          <w:p w14:paraId="34083EB1" w14:textId="78B32C2C" w:rsidR="0021245E" w:rsidRPr="003F2720" w:rsidRDefault="0021245E" w:rsidP="0021245E">
            <w:pPr>
              <w:spacing w:before="60" w:after="60"/>
              <w:ind w:left="720"/>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3F2720">
              <w:rPr>
                <w:rFonts w:ascii="Montserrat" w:hAnsi="Montserrat" w:cs="Arial"/>
                <w:b/>
                <w:sz w:val="18"/>
                <w:szCs w:val="18"/>
              </w:rPr>
              <w:t>Sur:</w:t>
            </w:r>
            <w:r w:rsidRPr="003F2720">
              <w:rPr>
                <w:rFonts w:ascii="Montserrat" w:hAnsi="Montserrat" w:cs="Arial"/>
                <w:sz w:val="18"/>
                <w:szCs w:val="18"/>
              </w:rPr>
              <w:t xml:space="preserve"> Campeche, Chiapas, Guerrero, Oaxaca, Quintana Roo, Tabasco y Yucatán</w:t>
            </w:r>
            <w:r w:rsidR="00916578" w:rsidRPr="003F2720">
              <w:rPr>
                <w:rFonts w:ascii="Montserrat" w:hAnsi="Montserrat" w:cs="Arial"/>
                <w:sz w:val="18"/>
                <w:szCs w:val="18"/>
              </w:rPr>
              <w:t>.</w:t>
            </w:r>
          </w:p>
          <w:p w14:paraId="3B59C8D8" w14:textId="77777777" w:rsidR="001825EB" w:rsidRPr="003F2720" w:rsidRDefault="001825EB" w:rsidP="00570046">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auto"/>
                <w:sz w:val="18"/>
                <w:szCs w:val="18"/>
              </w:rPr>
            </w:pPr>
            <w:r w:rsidRPr="003F2720">
              <w:rPr>
                <w:rFonts w:ascii="Montserrat" w:hAnsi="Montserrat" w:cs="Arial"/>
                <w:sz w:val="18"/>
                <w:szCs w:val="18"/>
              </w:rPr>
              <w:t>Dos tamaños de localidad</w:t>
            </w:r>
            <w:r w:rsidR="0021245E" w:rsidRPr="003F2720">
              <w:rPr>
                <w:rFonts w:ascii="Montserrat" w:hAnsi="Montserrat" w:cs="Arial"/>
                <w:sz w:val="18"/>
                <w:szCs w:val="18"/>
              </w:rPr>
              <w:t>: 15 mil y más habitantes y menos de 15 mil habitantes</w:t>
            </w:r>
            <w:r w:rsidR="00E83FFE" w:rsidRPr="003F2720">
              <w:rPr>
                <w:rFonts w:ascii="Montserrat" w:hAnsi="Montserrat" w:cs="Arial"/>
                <w:sz w:val="18"/>
                <w:szCs w:val="18"/>
              </w:rPr>
              <w:t>.</w:t>
            </w:r>
          </w:p>
        </w:tc>
      </w:tr>
    </w:tbl>
    <w:p w14:paraId="49A317E4" w14:textId="77777777" w:rsidR="001825EB" w:rsidRPr="003F2720" w:rsidRDefault="001825EB" w:rsidP="001825EB">
      <w:pPr>
        <w:spacing w:line="276" w:lineRule="auto"/>
        <w:jc w:val="both"/>
        <w:rPr>
          <w:rFonts w:ascii="Montserrat" w:hAnsi="Montserrat" w:cs="Arial"/>
          <w:b/>
          <w:sz w:val="18"/>
          <w:szCs w:val="18"/>
        </w:rPr>
      </w:pPr>
    </w:p>
    <w:p w14:paraId="10D85B2D" w14:textId="29291A47" w:rsidR="001825EB" w:rsidRPr="003F2720" w:rsidRDefault="00402DD8" w:rsidP="00402DD8">
      <w:pPr>
        <w:spacing w:line="276" w:lineRule="auto"/>
        <w:ind w:left="-567"/>
        <w:jc w:val="both"/>
        <w:rPr>
          <w:rFonts w:ascii="Montserrat" w:hAnsi="Montserrat" w:cs="Arial"/>
          <w:b/>
          <w:sz w:val="18"/>
          <w:szCs w:val="18"/>
        </w:rPr>
      </w:pPr>
      <w:r w:rsidRPr="003F2720">
        <w:rPr>
          <w:rFonts w:ascii="Montserrat" w:eastAsia="Times New Roman" w:hAnsi="Montserrat" w:cs="Arial"/>
          <w:b/>
          <w:bCs/>
          <w:smallCaps/>
          <w:sz w:val="18"/>
          <w:szCs w:val="18"/>
          <w:lang w:eastAsia="es-MX"/>
        </w:rPr>
        <w:t>Objetivos</w:t>
      </w:r>
      <w:r w:rsidR="001825EB" w:rsidRPr="003F2720">
        <w:rPr>
          <w:rFonts w:ascii="Montserrat" w:hAnsi="Montserrat" w:cs="Arial"/>
          <w:b/>
          <w:sz w:val="18"/>
          <w:szCs w:val="18"/>
        </w:rPr>
        <w:t xml:space="preserve"> </w:t>
      </w:r>
    </w:p>
    <w:p w14:paraId="572E7C8D" w14:textId="28E1D961" w:rsidR="001825EB" w:rsidRPr="003F2720" w:rsidRDefault="00402DD8" w:rsidP="00AF3E54">
      <w:pPr>
        <w:pStyle w:val="Prrafodelista"/>
        <w:numPr>
          <w:ilvl w:val="0"/>
          <w:numId w:val="22"/>
        </w:numPr>
        <w:spacing w:line="276" w:lineRule="auto"/>
        <w:jc w:val="both"/>
        <w:rPr>
          <w:rFonts w:ascii="Montserrat" w:hAnsi="Montserrat" w:cs="Arial"/>
          <w:b/>
          <w:sz w:val="18"/>
          <w:szCs w:val="18"/>
        </w:rPr>
      </w:pPr>
      <w:r w:rsidRPr="003F2720">
        <w:rPr>
          <w:rFonts w:ascii="Montserrat" w:eastAsia="Times New Roman" w:hAnsi="Montserrat" w:cs="Arial"/>
          <w:b/>
          <w:bCs/>
          <w:smallCaps/>
          <w:sz w:val="18"/>
          <w:szCs w:val="18"/>
          <w:lang w:eastAsia="es-MX"/>
        </w:rPr>
        <w:t>Objetivo general</w:t>
      </w:r>
      <w:r w:rsidR="001825EB" w:rsidRPr="003F2720">
        <w:rPr>
          <w:rFonts w:ascii="Montserrat" w:hAnsi="Montserrat" w:cs="Arial"/>
          <w:b/>
          <w:sz w:val="18"/>
          <w:szCs w:val="18"/>
        </w:rPr>
        <w:t xml:space="preserve"> </w:t>
      </w:r>
    </w:p>
    <w:p w14:paraId="2D6D17B2" w14:textId="21FB9960" w:rsidR="001825EB" w:rsidRPr="003F2720" w:rsidRDefault="001825EB" w:rsidP="00402DD8">
      <w:pPr>
        <w:spacing w:line="276" w:lineRule="auto"/>
        <w:ind w:left="-567"/>
        <w:jc w:val="both"/>
        <w:rPr>
          <w:rFonts w:ascii="Montserrat" w:hAnsi="Montserrat" w:cs="Arial"/>
          <w:sz w:val="18"/>
          <w:szCs w:val="18"/>
        </w:rPr>
      </w:pPr>
      <w:r w:rsidRPr="003F2720">
        <w:rPr>
          <w:rFonts w:ascii="Montserrat" w:hAnsi="Montserrat" w:cs="Arial"/>
          <w:sz w:val="18"/>
          <w:szCs w:val="18"/>
        </w:rPr>
        <w:lastRenderedPageBreak/>
        <w:t>Generar información estadística e indicadores oficiales a nivel nacional y regional que permitan a las autoridades financieras hacer diagnósticos, diseñar políticas públicas y establecer metas en materia de inclusión y educación financiera</w:t>
      </w:r>
      <w:r w:rsidR="006B63C1" w:rsidRPr="003F2720">
        <w:rPr>
          <w:rFonts w:ascii="Montserrat" w:hAnsi="Montserrat" w:cs="Arial"/>
          <w:sz w:val="18"/>
          <w:szCs w:val="18"/>
        </w:rPr>
        <w:t>. A</w:t>
      </w:r>
      <w:r w:rsidRPr="003F2720">
        <w:rPr>
          <w:rFonts w:ascii="Montserrat" w:hAnsi="Montserrat" w:cs="Arial"/>
          <w:sz w:val="18"/>
          <w:szCs w:val="18"/>
        </w:rPr>
        <w:t>simismo</w:t>
      </w:r>
      <w:r w:rsidR="006B63C1" w:rsidRPr="003F2720">
        <w:rPr>
          <w:rFonts w:ascii="Montserrat" w:hAnsi="Montserrat" w:cs="Arial"/>
          <w:sz w:val="18"/>
          <w:szCs w:val="18"/>
        </w:rPr>
        <w:t>,</w:t>
      </w:r>
      <w:r w:rsidRPr="003F2720">
        <w:rPr>
          <w:rFonts w:ascii="Montserrat" w:hAnsi="Montserrat" w:cs="Arial"/>
          <w:sz w:val="18"/>
          <w:szCs w:val="18"/>
        </w:rPr>
        <w:t xml:space="preserve"> incorporar cambios y actualizaciones requeridas para dar atención a nuevos requerimientos de información y consideraciones en la Política Nacional de Inclusión Financiera (PNIF).</w:t>
      </w:r>
    </w:p>
    <w:p w14:paraId="4D32E5C6" w14:textId="7B5D31EE" w:rsidR="001825EB" w:rsidRPr="003F2720" w:rsidRDefault="00402DD8" w:rsidP="00AF3E54">
      <w:pPr>
        <w:pStyle w:val="Prrafodelista"/>
        <w:numPr>
          <w:ilvl w:val="0"/>
          <w:numId w:val="22"/>
        </w:numPr>
        <w:spacing w:line="276" w:lineRule="auto"/>
        <w:jc w:val="both"/>
        <w:rPr>
          <w:rFonts w:ascii="Montserrat" w:hAnsi="Montserrat" w:cs="Arial"/>
          <w:b/>
          <w:sz w:val="18"/>
          <w:szCs w:val="18"/>
        </w:rPr>
      </w:pPr>
      <w:r w:rsidRPr="003F2720">
        <w:rPr>
          <w:rFonts w:ascii="Montserrat" w:eastAsia="Times New Roman" w:hAnsi="Montserrat" w:cs="Arial"/>
          <w:b/>
          <w:bCs/>
          <w:smallCaps/>
          <w:sz w:val="18"/>
          <w:szCs w:val="18"/>
          <w:lang w:eastAsia="es-MX"/>
        </w:rPr>
        <w:t>Objetivos espec</w:t>
      </w:r>
      <w:r w:rsidRPr="003F2720">
        <w:rPr>
          <w:rFonts w:ascii="Montserrat" w:eastAsia="Times New Roman" w:hAnsi="Montserrat" w:cs="Arial" w:hint="eastAsia"/>
          <w:b/>
          <w:bCs/>
          <w:smallCaps/>
          <w:sz w:val="18"/>
          <w:szCs w:val="18"/>
          <w:lang w:eastAsia="es-MX"/>
        </w:rPr>
        <w:t>í</w:t>
      </w:r>
      <w:r w:rsidRPr="003F2720">
        <w:rPr>
          <w:rFonts w:ascii="Montserrat" w:eastAsia="Times New Roman" w:hAnsi="Montserrat" w:cs="Arial"/>
          <w:b/>
          <w:bCs/>
          <w:smallCaps/>
          <w:sz w:val="18"/>
          <w:szCs w:val="18"/>
          <w:lang w:eastAsia="es-MX"/>
        </w:rPr>
        <w:t>ficos</w:t>
      </w:r>
      <w:r w:rsidR="001825EB" w:rsidRPr="003F2720">
        <w:rPr>
          <w:rFonts w:ascii="Montserrat" w:hAnsi="Montserrat" w:cs="Arial"/>
          <w:b/>
          <w:sz w:val="18"/>
          <w:szCs w:val="18"/>
        </w:rPr>
        <w:t xml:space="preserve"> </w:t>
      </w:r>
    </w:p>
    <w:p w14:paraId="34A5BC2A" w14:textId="588C8B17"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Generar información a nivel nacional y regional, por tamaño de localidad y por sexo</w:t>
      </w:r>
      <w:r w:rsidR="006B63C1" w:rsidRPr="003F2720">
        <w:rPr>
          <w:rFonts w:ascii="Montserrat" w:hAnsi="Montserrat" w:cs="Arial"/>
          <w:sz w:val="18"/>
          <w:szCs w:val="18"/>
        </w:rPr>
        <w:t>,</w:t>
      </w:r>
      <w:r w:rsidRPr="003F2720">
        <w:rPr>
          <w:rFonts w:ascii="Montserrat" w:hAnsi="Montserrat" w:cs="Arial"/>
          <w:sz w:val="18"/>
          <w:szCs w:val="18"/>
        </w:rPr>
        <w:t xml:space="preserve"> con respecto al acceso y uso de servicios financieros, entre los que destaca el porcentaje de la población con al menos un servicio financiero formal. </w:t>
      </w:r>
    </w:p>
    <w:p w14:paraId="55306BED" w14:textId="59DEDFB3"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Generar datos sobre el nivel de conocimiento de la población sobre temas financieros, tales como la inflación, cálculo del interés simple y compuesto, la portabilidad de nómina</w:t>
      </w:r>
      <w:r w:rsidR="006B0566" w:rsidRPr="003F2720">
        <w:rPr>
          <w:rFonts w:ascii="Montserrat" w:hAnsi="Montserrat" w:cs="Arial"/>
          <w:sz w:val="18"/>
          <w:szCs w:val="18"/>
        </w:rPr>
        <w:t xml:space="preserve"> y</w:t>
      </w:r>
      <w:r w:rsidRPr="003F2720">
        <w:rPr>
          <w:rFonts w:ascii="Montserrat" w:hAnsi="Montserrat" w:cs="Arial"/>
          <w:sz w:val="18"/>
          <w:szCs w:val="18"/>
        </w:rPr>
        <w:t xml:space="preserve"> el seguro de depósitos, entre otros. </w:t>
      </w:r>
    </w:p>
    <w:p w14:paraId="3DA946AE" w14:textId="5BF4695A"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 xml:space="preserve">Identificar las necesidades de la población respecto del acceso y uso de los servicios financieros en los ámbitos nacional, regional, urbano y rural y </w:t>
      </w:r>
      <w:r w:rsidR="007D0B32" w:rsidRPr="003F2720">
        <w:rPr>
          <w:rFonts w:ascii="Montserrat" w:hAnsi="Montserrat" w:cs="Arial"/>
          <w:sz w:val="18"/>
          <w:szCs w:val="18"/>
        </w:rPr>
        <w:t xml:space="preserve">distinguiendo </w:t>
      </w:r>
      <w:r w:rsidRPr="003F2720">
        <w:rPr>
          <w:rFonts w:ascii="Montserrat" w:hAnsi="Montserrat" w:cs="Arial"/>
          <w:sz w:val="18"/>
          <w:szCs w:val="18"/>
        </w:rPr>
        <w:t xml:space="preserve">por sexo. </w:t>
      </w:r>
    </w:p>
    <w:p w14:paraId="2209440D" w14:textId="5638CF09"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Proveer información respecto a la frecuencia y comportamiento de uso referentes a los productos de ahorro, crédito, seguro, ahorro para el retiro y sus canales de distribución.</w:t>
      </w:r>
    </w:p>
    <w:p w14:paraId="58845B19" w14:textId="77777777"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 xml:space="preserve">Conocer las características sociodemográficas básicas (sexo, edad, nivel de escolaridad, condición de actividad, nivel socioeconómico, hablantes indígenas, entre otras) de los usuarios de los productos y servicios financieros, así como aquellos que son beneficiarios de programas sociales, no son usuarios y quienes fueron usuarios, pero ya no lo son. </w:t>
      </w:r>
    </w:p>
    <w:p w14:paraId="68A7A6A5" w14:textId="5E0E869B"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 xml:space="preserve">Identificar las principales barreras para no adquirir un producto o servicio financiero formal y su baja utilización para aquellos que sí lo tienen. </w:t>
      </w:r>
      <w:r w:rsidR="00E26F33" w:rsidRPr="003F2720">
        <w:rPr>
          <w:rFonts w:ascii="Montserrat" w:hAnsi="Montserrat" w:cs="Arial"/>
          <w:sz w:val="18"/>
          <w:szCs w:val="18"/>
        </w:rPr>
        <w:t>E</w:t>
      </w:r>
      <w:r w:rsidRPr="003F2720">
        <w:rPr>
          <w:rFonts w:ascii="Montserrat" w:hAnsi="Montserrat" w:cs="Arial"/>
          <w:sz w:val="18"/>
          <w:szCs w:val="18"/>
        </w:rPr>
        <w:t>ntender las razones de las personas que dejaron de tener algún producto financiero, así como conoc</w:t>
      </w:r>
      <w:r w:rsidR="008B066F" w:rsidRPr="003F2720">
        <w:rPr>
          <w:rFonts w:ascii="Montserrat" w:hAnsi="Montserrat" w:cs="Arial"/>
          <w:sz w:val="18"/>
          <w:szCs w:val="18"/>
        </w:rPr>
        <w:t>er</w:t>
      </w:r>
      <w:r w:rsidRPr="003F2720">
        <w:rPr>
          <w:rFonts w:ascii="Montserrat" w:hAnsi="Montserrat" w:cs="Arial"/>
          <w:sz w:val="18"/>
          <w:szCs w:val="18"/>
        </w:rPr>
        <w:t xml:space="preserve"> la portabilidad de los productos financieros. </w:t>
      </w:r>
    </w:p>
    <w:p w14:paraId="02B0FC9C" w14:textId="6E4ED52D"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Conocer la incidencia de ciertos comportamientos financieros de la población adulta, tales como: llevar un registro de los gastos, elaborar un presupuesto, ahorrar, manejar adecuadamente un crédito, comparar productos antes de adquirirlos, realizar aportaciones voluntarias a las Administradoras de Fondos para el Retiro (Afores)</w:t>
      </w:r>
      <w:r w:rsidR="00B6376D" w:rsidRPr="003F2720">
        <w:rPr>
          <w:rFonts w:ascii="Montserrat" w:hAnsi="Montserrat" w:cs="Arial"/>
          <w:sz w:val="18"/>
          <w:szCs w:val="18"/>
        </w:rPr>
        <w:t xml:space="preserve"> y</w:t>
      </w:r>
      <w:r w:rsidRPr="003F2720">
        <w:rPr>
          <w:rFonts w:ascii="Montserrat" w:hAnsi="Montserrat" w:cs="Arial"/>
          <w:sz w:val="18"/>
          <w:szCs w:val="18"/>
        </w:rPr>
        <w:t xml:space="preserve"> utilizar medios de pago diferentes al efectivo, entre otros. </w:t>
      </w:r>
    </w:p>
    <w:p w14:paraId="5AD79907" w14:textId="08B3E0F0"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 xml:space="preserve">Medir la incidencia de ciertos fraudes como la clonación, el robo de identidad y la participación en esquemas fraudulentos. </w:t>
      </w:r>
    </w:p>
    <w:p w14:paraId="1C168FC4" w14:textId="77777777"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 xml:space="preserve">Contar con información para identificar la existencia de brechas de género con respecto a la toma de decisiones financieras sobre el dinero y los activos. </w:t>
      </w:r>
    </w:p>
    <w:p w14:paraId="2896241A" w14:textId="186E49D9"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Obtener información sobre la vulnerabilidad financiera y los mecanismos de resiliencia</w:t>
      </w:r>
      <w:r w:rsidR="0089171C" w:rsidRPr="003F2720">
        <w:rPr>
          <w:rFonts w:ascii="Montserrat" w:hAnsi="Montserrat" w:cs="Arial"/>
          <w:sz w:val="18"/>
          <w:szCs w:val="18"/>
        </w:rPr>
        <w:t>,</w:t>
      </w:r>
      <w:r w:rsidRPr="003F2720">
        <w:rPr>
          <w:rFonts w:ascii="Montserrat" w:hAnsi="Montserrat" w:cs="Arial"/>
          <w:sz w:val="18"/>
          <w:szCs w:val="18"/>
        </w:rPr>
        <w:t xml:space="preserve"> es</w:t>
      </w:r>
      <w:r w:rsidRPr="003F2720">
        <w:rPr>
          <w:rFonts w:ascii="Montserrat" w:hAnsi="Montserrat" w:cs="Arial"/>
          <w:sz w:val="18"/>
          <w:szCs w:val="18"/>
        </w:rPr>
        <w:softHyphen/>
        <w:t xml:space="preserve">pecialmente durante y </w:t>
      </w:r>
      <w:r w:rsidR="00271D1F" w:rsidRPr="003F2720">
        <w:rPr>
          <w:rFonts w:ascii="Montserrat" w:hAnsi="Montserrat" w:cs="Arial"/>
          <w:sz w:val="18"/>
          <w:szCs w:val="18"/>
        </w:rPr>
        <w:t xml:space="preserve">después </w:t>
      </w:r>
      <w:r w:rsidR="0089171C" w:rsidRPr="003F2720">
        <w:rPr>
          <w:rFonts w:ascii="Montserrat" w:hAnsi="Montserrat" w:cs="Arial"/>
          <w:sz w:val="18"/>
          <w:szCs w:val="18"/>
        </w:rPr>
        <w:t>de</w:t>
      </w:r>
      <w:r w:rsidRPr="003F2720">
        <w:rPr>
          <w:rFonts w:ascii="Montserrat" w:hAnsi="Montserrat" w:cs="Arial"/>
          <w:sz w:val="18"/>
          <w:szCs w:val="18"/>
        </w:rPr>
        <w:t xml:space="preserve"> la pandemia por COVID-19. </w:t>
      </w:r>
    </w:p>
    <w:p w14:paraId="22F3C161" w14:textId="4C37B265"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r w:rsidRPr="003F2720">
        <w:rPr>
          <w:rFonts w:ascii="Montserrat" w:hAnsi="Montserrat" w:cs="Arial"/>
          <w:sz w:val="18"/>
          <w:szCs w:val="18"/>
        </w:rPr>
        <w:t>Evaluar las actitudes financieras de las personas, tales com</w:t>
      </w:r>
      <w:r w:rsidR="006B63C1" w:rsidRPr="003F2720">
        <w:rPr>
          <w:rFonts w:ascii="Montserrat" w:hAnsi="Montserrat" w:cs="Arial"/>
          <w:sz w:val="18"/>
          <w:szCs w:val="18"/>
        </w:rPr>
        <w:t xml:space="preserve">o: </w:t>
      </w:r>
      <w:r w:rsidRPr="003F2720">
        <w:rPr>
          <w:rFonts w:ascii="Montserrat" w:hAnsi="Montserrat" w:cs="Arial"/>
          <w:sz w:val="18"/>
          <w:szCs w:val="18"/>
        </w:rPr>
        <w:t xml:space="preserve">comparar productos antes de adquirirlos, conocer su comportamiento de pagos, saber cómo piensan solventar su vejez y cómo hacen frente a sus emergencias económicas. </w:t>
      </w:r>
    </w:p>
    <w:p w14:paraId="7C4E6819" w14:textId="5318552F" w:rsidR="001825EB" w:rsidRPr="003F2720" w:rsidRDefault="001825EB" w:rsidP="00AF3E54">
      <w:pPr>
        <w:pStyle w:val="Prrafodelista"/>
        <w:numPr>
          <w:ilvl w:val="0"/>
          <w:numId w:val="15"/>
        </w:numPr>
        <w:spacing w:line="276" w:lineRule="auto"/>
        <w:ind w:left="0" w:hanging="284"/>
        <w:jc w:val="both"/>
        <w:rPr>
          <w:rFonts w:ascii="Montserrat" w:hAnsi="Montserrat" w:cs="Arial"/>
          <w:sz w:val="18"/>
          <w:szCs w:val="18"/>
        </w:rPr>
      </w:pPr>
      <w:bookmarkStart w:id="1" w:name="_Hlk102738870"/>
      <w:r w:rsidRPr="003F2720">
        <w:rPr>
          <w:rFonts w:ascii="Montserrat" w:hAnsi="Montserrat" w:cs="Arial"/>
          <w:sz w:val="18"/>
          <w:szCs w:val="18"/>
        </w:rPr>
        <w:t xml:space="preserve">Contar con la información necesaria para poder obtener el </w:t>
      </w:r>
      <w:r w:rsidR="00D86F42" w:rsidRPr="003F2720">
        <w:rPr>
          <w:rFonts w:ascii="Montserrat" w:hAnsi="Montserrat" w:cs="Arial"/>
          <w:sz w:val="18"/>
          <w:szCs w:val="18"/>
        </w:rPr>
        <w:t xml:space="preserve">índice de bienestar financiero </w:t>
      </w:r>
      <w:r w:rsidR="00AE42C0" w:rsidRPr="003F2720">
        <w:rPr>
          <w:rFonts w:ascii="Montserrat" w:hAnsi="Montserrat" w:cs="Arial"/>
          <w:sz w:val="18"/>
          <w:szCs w:val="18"/>
        </w:rPr>
        <w:t xml:space="preserve">y el </w:t>
      </w:r>
      <w:r w:rsidRPr="003F2720">
        <w:rPr>
          <w:rFonts w:ascii="Montserrat" w:hAnsi="Montserrat" w:cs="Arial"/>
          <w:sz w:val="18"/>
          <w:szCs w:val="18"/>
        </w:rPr>
        <w:t xml:space="preserve">indicador de alfabetización financiera propuesto por la </w:t>
      </w:r>
      <w:bookmarkStart w:id="2" w:name="_Hlk102738812"/>
      <w:r w:rsidR="00F23AB0" w:rsidRPr="003F2720">
        <w:rPr>
          <w:rFonts w:ascii="Montserrat" w:hAnsi="Montserrat" w:cs="Arial"/>
          <w:sz w:val="18"/>
          <w:szCs w:val="18"/>
        </w:rPr>
        <w:t>Red Internacional de la OCDE sobre Educación Financiera (OCDE</w:t>
      </w:r>
      <w:r w:rsidRPr="003F2720">
        <w:rPr>
          <w:rFonts w:ascii="Montserrat" w:hAnsi="Montserrat" w:cs="Arial"/>
          <w:sz w:val="18"/>
          <w:szCs w:val="18"/>
        </w:rPr>
        <w:t>/INFE</w:t>
      </w:r>
      <w:r w:rsidR="00F23AB0" w:rsidRPr="003F2720">
        <w:rPr>
          <w:rFonts w:ascii="Montserrat" w:hAnsi="Montserrat" w:cs="Arial"/>
          <w:sz w:val="18"/>
          <w:szCs w:val="18"/>
        </w:rPr>
        <w:t>)</w:t>
      </w:r>
      <w:r w:rsidR="006721C2" w:rsidRPr="003F2720">
        <w:rPr>
          <w:rFonts w:ascii="Montserrat" w:hAnsi="Montserrat" w:cs="Arial"/>
          <w:sz w:val="18"/>
          <w:szCs w:val="18"/>
        </w:rPr>
        <w:t>.</w:t>
      </w:r>
      <w:r w:rsidRPr="003F2720">
        <w:rPr>
          <w:rFonts w:ascii="Montserrat" w:hAnsi="Montserrat" w:cs="Arial"/>
          <w:sz w:val="18"/>
          <w:szCs w:val="18"/>
        </w:rPr>
        <w:t xml:space="preserve"> </w:t>
      </w:r>
      <w:bookmarkEnd w:id="2"/>
      <w:r w:rsidR="006721C2" w:rsidRPr="003F2720">
        <w:rPr>
          <w:rFonts w:ascii="Montserrat" w:hAnsi="Montserrat" w:cs="Arial"/>
          <w:sz w:val="18"/>
          <w:szCs w:val="18"/>
        </w:rPr>
        <w:t xml:space="preserve">Este </w:t>
      </w:r>
      <w:r w:rsidR="00AE42C0" w:rsidRPr="003F2720">
        <w:rPr>
          <w:rFonts w:ascii="Montserrat" w:hAnsi="Montserrat" w:cs="Arial"/>
          <w:sz w:val="18"/>
          <w:szCs w:val="18"/>
        </w:rPr>
        <w:t>último</w:t>
      </w:r>
      <w:r w:rsidRPr="003F2720">
        <w:rPr>
          <w:rFonts w:ascii="Montserrat" w:hAnsi="Montserrat" w:cs="Arial"/>
          <w:sz w:val="18"/>
          <w:szCs w:val="18"/>
        </w:rPr>
        <w:t xml:space="preserve"> se compone de tres subíndices: conocimiento financiero, comportamiento financiero y actitudes financieras. </w:t>
      </w:r>
    </w:p>
    <w:bookmarkEnd w:id="1"/>
    <w:p w14:paraId="5511CA64" w14:textId="77777777" w:rsidR="00B51DD9" w:rsidRDefault="00B51DD9">
      <w:pPr>
        <w:rPr>
          <w:rFonts w:ascii="Montserrat" w:hAnsi="Montserrat" w:cs="Arial"/>
          <w:b/>
          <w:sz w:val="18"/>
          <w:szCs w:val="18"/>
        </w:rPr>
      </w:pPr>
      <w:r>
        <w:rPr>
          <w:rFonts w:ascii="Montserrat" w:hAnsi="Montserrat" w:cs="Arial"/>
          <w:b/>
          <w:sz w:val="18"/>
          <w:szCs w:val="18"/>
        </w:rPr>
        <w:br w:type="page"/>
      </w:r>
    </w:p>
    <w:p w14:paraId="66FC7A52" w14:textId="79C9FD92" w:rsidR="001825EB" w:rsidRPr="003F2720" w:rsidRDefault="001825EB" w:rsidP="00402DD8">
      <w:pPr>
        <w:spacing w:line="276" w:lineRule="auto"/>
        <w:ind w:left="-567"/>
        <w:rPr>
          <w:rFonts w:ascii="Montserrat" w:hAnsi="Montserrat" w:cs="Arial"/>
          <w:b/>
          <w:sz w:val="18"/>
          <w:szCs w:val="18"/>
        </w:rPr>
      </w:pPr>
      <w:r w:rsidRPr="003F2720">
        <w:rPr>
          <w:rFonts w:ascii="Montserrat" w:hAnsi="Montserrat" w:cs="Arial"/>
          <w:b/>
          <w:sz w:val="18"/>
          <w:szCs w:val="18"/>
        </w:rPr>
        <w:lastRenderedPageBreak/>
        <w:t>Instrumento de captación</w:t>
      </w:r>
    </w:p>
    <w:p w14:paraId="7EED83B6" w14:textId="4C1091FC"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El cuestionario para el levantamiento de la ENIF 2021 se estructuró en 15 secciones temáticas</w:t>
      </w:r>
      <w:r w:rsidR="002D624E" w:rsidRPr="003F2720">
        <w:rPr>
          <w:rFonts w:ascii="Montserrat" w:hAnsi="Montserrat" w:cs="Arial"/>
          <w:sz w:val="18"/>
          <w:szCs w:val="18"/>
        </w:rPr>
        <w:t>.</w:t>
      </w:r>
      <w:r w:rsidRPr="003F2720">
        <w:rPr>
          <w:rFonts w:ascii="Montserrat" w:hAnsi="Montserrat" w:cs="Arial"/>
          <w:sz w:val="18"/>
          <w:szCs w:val="18"/>
        </w:rPr>
        <w:t xml:space="preserve"> </w:t>
      </w:r>
      <w:r w:rsidR="002D624E" w:rsidRPr="003F2720">
        <w:rPr>
          <w:rFonts w:ascii="Montserrat" w:hAnsi="Montserrat" w:cs="Arial"/>
          <w:sz w:val="18"/>
          <w:szCs w:val="18"/>
        </w:rPr>
        <w:t>L</w:t>
      </w:r>
      <w:r w:rsidRPr="003F2720">
        <w:rPr>
          <w:rFonts w:ascii="Montserrat" w:hAnsi="Montserrat" w:cs="Arial"/>
          <w:sz w:val="18"/>
          <w:szCs w:val="18"/>
        </w:rPr>
        <w:t>as primeras 3 fueron respondidas por un informante adecuado de la vivienda y de la sección 3 a la 14 por un informante seleccionado del hogar de 18 años y más.</w:t>
      </w:r>
    </w:p>
    <w:p w14:paraId="78E2DAD8" w14:textId="442F9D58" w:rsidR="001825EB" w:rsidRPr="003F2720" w:rsidRDefault="00402DD8" w:rsidP="00AF3E54">
      <w:pPr>
        <w:spacing w:line="276" w:lineRule="auto"/>
        <w:ind w:hanging="567"/>
        <w:rPr>
          <w:rFonts w:ascii="Montserrat" w:hAnsi="Montserrat" w:cs="Arial"/>
          <w:b/>
          <w:sz w:val="18"/>
          <w:szCs w:val="18"/>
        </w:rPr>
      </w:pPr>
      <w:r w:rsidRPr="003F2720">
        <w:rPr>
          <w:rFonts w:ascii="Montserrat" w:eastAsia="Times New Roman" w:hAnsi="Montserrat" w:cs="Arial"/>
          <w:b/>
          <w:bCs/>
          <w:smallCaps/>
          <w:sz w:val="18"/>
          <w:szCs w:val="18"/>
          <w:lang w:eastAsia="es-MX"/>
        </w:rPr>
        <w:t>Estructura tem</w:t>
      </w:r>
      <w:r w:rsidRPr="003F2720">
        <w:rPr>
          <w:rFonts w:ascii="Montserrat" w:eastAsia="Times New Roman" w:hAnsi="Montserrat" w:cs="Arial" w:hint="eastAsia"/>
          <w:b/>
          <w:bCs/>
          <w:smallCaps/>
          <w:sz w:val="18"/>
          <w:szCs w:val="18"/>
          <w:lang w:eastAsia="es-MX"/>
        </w:rPr>
        <w:t>á</w:t>
      </w:r>
      <w:r w:rsidRPr="003F2720">
        <w:rPr>
          <w:rFonts w:ascii="Montserrat" w:eastAsia="Times New Roman" w:hAnsi="Montserrat" w:cs="Arial"/>
          <w:b/>
          <w:bCs/>
          <w:smallCaps/>
          <w:sz w:val="18"/>
          <w:szCs w:val="18"/>
          <w:lang w:eastAsia="es-MX"/>
        </w:rPr>
        <w:t>tica del cuestionario</w:t>
      </w:r>
    </w:p>
    <w:p w14:paraId="31F288E1" w14:textId="77777777" w:rsidR="001825EB" w:rsidRPr="003F2720" w:rsidRDefault="001825EB" w:rsidP="001825EB">
      <w:pPr>
        <w:spacing w:line="276" w:lineRule="auto"/>
        <w:jc w:val="both"/>
        <w:rPr>
          <w:rFonts w:ascii="Montserrat" w:hAnsi="Montserrat" w:cs="Arial"/>
          <w:sz w:val="18"/>
          <w:szCs w:val="18"/>
        </w:rPr>
      </w:pPr>
      <w:r w:rsidRPr="003F2720">
        <w:rPr>
          <w:rFonts w:ascii="Montserrat" w:hAnsi="Montserrat" w:cs="Arial"/>
          <w:noProof/>
          <w:sz w:val="18"/>
          <w:szCs w:val="18"/>
        </w:rPr>
        <w:drawing>
          <wp:inline distT="0" distB="0" distL="0" distR="0" wp14:anchorId="34AB2E9A" wp14:editId="262795B3">
            <wp:extent cx="5493224" cy="2906450"/>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6078" cy="2907960"/>
                    </a:xfrm>
                    <a:prstGeom prst="rect">
                      <a:avLst/>
                    </a:prstGeom>
                    <a:noFill/>
                  </pic:spPr>
                </pic:pic>
              </a:graphicData>
            </a:graphic>
          </wp:inline>
        </w:drawing>
      </w:r>
    </w:p>
    <w:p w14:paraId="4079F5AE" w14:textId="77777777" w:rsidR="001825EB" w:rsidRPr="003F2720" w:rsidRDefault="001825EB" w:rsidP="001825EB">
      <w:pPr>
        <w:spacing w:line="276" w:lineRule="auto"/>
        <w:jc w:val="both"/>
        <w:rPr>
          <w:rFonts w:ascii="Montserrat" w:hAnsi="Montserrat" w:cs="Arial"/>
          <w:sz w:val="18"/>
          <w:szCs w:val="18"/>
        </w:rPr>
      </w:pPr>
    </w:p>
    <w:p w14:paraId="21D2FB2A" w14:textId="77777777" w:rsidR="001825EB" w:rsidRPr="003F2720" w:rsidRDefault="001825EB" w:rsidP="00402DD8">
      <w:pPr>
        <w:spacing w:line="276" w:lineRule="auto"/>
        <w:ind w:left="-567"/>
        <w:jc w:val="both"/>
        <w:rPr>
          <w:rFonts w:ascii="Montserrat" w:hAnsi="Montserrat" w:cs="Arial"/>
          <w:sz w:val="18"/>
          <w:szCs w:val="18"/>
        </w:rPr>
      </w:pPr>
      <w:r w:rsidRPr="003F2720">
        <w:rPr>
          <w:rFonts w:ascii="Montserrat" w:hAnsi="Montserrat" w:cs="Arial"/>
          <w:sz w:val="18"/>
          <w:szCs w:val="18"/>
        </w:rPr>
        <w:t xml:space="preserve">La ENIF 2021 además de captar información sobre la tenencia de productos de ahorro, crédito, seguros, cuentas de ahorro para el retiro, canales de acceso a los servicios financieros, también recopiló datos sobre educación financiera y conocimiento de los mecanismos de protección del consumidor. </w:t>
      </w:r>
    </w:p>
    <w:p w14:paraId="35FA43C3" w14:textId="31548BEC" w:rsidR="001825EB" w:rsidRPr="003F2720" w:rsidRDefault="001825EB" w:rsidP="00402DD8">
      <w:pPr>
        <w:spacing w:line="276" w:lineRule="auto"/>
        <w:ind w:left="-567"/>
        <w:jc w:val="both"/>
        <w:rPr>
          <w:rFonts w:ascii="Montserrat" w:hAnsi="Montserrat" w:cs="Arial"/>
          <w:sz w:val="18"/>
          <w:szCs w:val="18"/>
        </w:rPr>
      </w:pPr>
      <w:r w:rsidRPr="003F2720">
        <w:rPr>
          <w:rFonts w:ascii="Montserrat" w:hAnsi="Montserrat" w:cs="Arial"/>
          <w:sz w:val="18"/>
          <w:szCs w:val="18"/>
        </w:rPr>
        <w:t>En este cuarto levantamiento se integraron nuevas preguntas para complementar la información que es insumo para el cálculo de indicadores propuestos por la Organización para la Cooperación y el Desarrollo Económicos (OCDE), en especial, sobre las actitudes y comportamientos financieros, cuya estimación está a cargo de la CNBV. Asimismo, se incluyeron reactivos sobre el conocimiento y uso de nuevas herramientas de pago digitales como el CoDi, así como el uso de las nuevas figuras financieras de ahorro (el Fondo de Pago Electrónico), y crédito (Instituciones de Financiamiento Colectivo), contratadas a través de páginas de Internet o aplicaciones para celular, los cuales son temas emergentes en la inclusión financiera.</w:t>
      </w:r>
    </w:p>
    <w:p w14:paraId="39EDD135" w14:textId="77777777" w:rsidR="00B51DD9" w:rsidRDefault="00B51DD9">
      <w:pPr>
        <w:rPr>
          <w:rFonts w:ascii="Montserrat" w:eastAsia="Times New Roman" w:hAnsi="Montserrat" w:cs="Arial"/>
          <w:b/>
          <w:bCs/>
          <w:smallCaps/>
          <w:sz w:val="18"/>
          <w:szCs w:val="18"/>
          <w:lang w:eastAsia="es-MX"/>
        </w:rPr>
      </w:pPr>
      <w:r>
        <w:rPr>
          <w:rFonts w:ascii="Montserrat" w:eastAsia="Times New Roman" w:hAnsi="Montserrat" w:cs="Arial"/>
          <w:b/>
          <w:bCs/>
          <w:smallCaps/>
          <w:sz w:val="18"/>
          <w:szCs w:val="18"/>
          <w:lang w:eastAsia="es-MX"/>
        </w:rPr>
        <w:br w:type="page"/>
      </w:r>
    </w:p>
    <w:p w14:paraId="5D0670F2" w14:textId="268E3E03" w:rsidR="001825EB" w:rsidRPr="003F2720" w:rsidRDefault="00402DD8" w:rsidP="00AF3E54">
      <w:pPr>
        <w:spacing w:line="276" w:lineRule="auto"/>
        <w:ind w:left="-567"/>
        <w:jc w:val="both"/>
        <w:rPr>
          <w:rFonts w:ascii="Montserrat" w:hAnsi="Montserrat" w:cs="Arial"/>
          <w:sz w:val="18"/>
          <w:szCs w:val="18"/>
        </w:rPr>
      </w:pPr>
      <w:r w:rsidRPr="003F2720">
        <w:rPr>
          <w:rFonts w:ascii="Montserrat" w:eastAsia="Times New Roman" w:hAnsi="Montserrat" w:cs="Arial"/>
          <w:b/>
          <w:bCs/>
          <w:smallCaps/>
          <w:sz w:val="18"/>
          <w:szCs w:val="18"/>
          <w:lang w:eastAsia="es-MX"/>
        </w:rPr>
        <w:lastRenderedPageBreak/>
        <w:t>Novedades en enif 2021</w:t>
      </w:r>
      <w:r w:rsidR="001825EB" w:rsidRPr="003F2720">
        <w:rPr>
          <w:rFonts w:ascii="Montserrat" w:hAnsi="Montserrat" w:cs="Arial"/>
          <w:sz w:val="18"/>
          <w:szCs w:val="18"/>
        </w:rPr>
        <w:t>:</w:t>
      </w:r>
    </w:p>
    <w:p w14:paraId="5B27DD56" w14:textId="77777777" w:rsidR="001825EB" w:rsidRPr="003F2720" w:rsidRDefault="00261F00" w:rsidP="001825EB">
      <w:pPr>
        <w:spacing w:line="276" w:lineRule="auto"/>
        <w:jc w:val="both"/>
        <w:rPr>
          <w:rFonts w:ascii="Montserrat" w:hAnsi="Montserrat" w:cs="Arial"/>
          <w:b/>
          <w:sz w:val="18"/>
          <w:szCs w:val="18"/>
        </w:rPr>
      </w:pPr>
      <w:r w:rsidRPr="003F2720">
        <w:rPr>
          <w:rFonts w:ascii="Montserrat" w:hAnsi="Montserrat" w:cs="Arial"/>
          <w:b/>
          <w:noProof/>
          <w:sz w:val="18"/>
          <w:szCs w:val="18"/>
        </w:rPr>
        <w:drawing>
          <wp:inline distT="0" distB="0" distL="0" distR="0" wp14:anchorId="57A6C001" wp14:editId="79BB5264">
            <wp:extent cx="5332919" cy="2735248"/>
            <wp:effectExtent l="0" t="0" r="127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4174" cy="2741021"/>
                    </a:xfrm>
                    <a:prstGeom prst="rect">
                      <a:avLst/>
                    </a:prstGeom>
                  </pic:spPr>
                </pic:pic>
              </a:graphicData>
            </a:graphic>
          </wp:inline>
        </w:drawing>
      </w:r>
    </w:p>
    <w:p w14:paraId="23631BE3" w14:textId="26F161F7" w:rsidR="001825EB" w:rsidRPr="003F2720" w:rsidRDefault="00402DD8" w:rsidP="00402DD8">
      <w:pPr>
        <w:spacing w:line="276" w:lineRule="auto"/>
        <w:ind w:left="-567"/>
        <w:jc w:val="both"/>
        <w:rPr>
          <w:rFonts w:ascii="Montserrat" w:hAnsi="Montserrat" w:cs="Arial"/>
          <w:b/>
          <w:sz w:val="18"/>
          <w:szCs w:val="18"/>
        </w:rPr>
      </w:pPr>
      <w:r w:rsidRPr="003F2720">
        <w:rPr>
          <w:rFonts w:ascii="Montserrat" w:eastAsia="Times New Roman" w:hAnsi="Montserrat" w:cs="Arial"/>
          <w:b/>
          <w:bCs/>
          <w:smallCaps/>
          <w:sz w:val="18"/>
          <w:szCs w:val="18"/>
          <w:lang w:eastAsia="es-MX"/>
        </w:rPr>
        <w:t>Antecedentes</w:t>
      </w:r>
      <w:r w:rsidR="001825EB" w:rsidRPr="003F2720">
        <w:rPr>
          <w:rFonts w:ascii="Montserrat" w:hAnsi="Montserrat" w:cs="Arial"/>
          <w:b/>
          <w:sz w:val="18"/>
          <w:szCs w:val="18"/>
        </w:rPr>
        <w:t xml:space="preserve"> </w:t>
      </w:r>
    </w:p>
    <w:p w14:paraId="2C319FAB" w14:textId="15480059"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En 2009, la CNBV realizó un primer esfuerzo para medir el acceso y uso de los servicios financieros a través de la publicación de los Reportes de Inclusión Financiera, utilizando para ello la información proveniente de los reportes regulatorios que, por facultades propias, proporcionan las instituciones financieras que regula y supervisa.</w:t>
      </w:r>
    </w:p>
    <w:p w14:paraId="06C7328D" w14:textId="2365836E"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A pesar de ser un avance en la generación de información sobre este fenómeno, la información generada solamente permitía tener la perspectiva de la oferta de los servicios financieros y no era posible captar la perspectiva de la población usuaria y no usuaria de los servicios financieros</w:t>
      </w:r>
      <w:r w:rsidR="00214656" w:rsidRPr="003F2720">
        <w:rPr>
          <w:rFonts w:ascii="Montserrat" w:hAnsi="Montserrat" w:cs="Arial"/>
          <w:sz w:val="18"/>
          <w:szCs w:val="18"/>
        </w:rPr>
        <w:t>.</w:t>
      </w:r>
      <w:r w:rsidRPr="003F2720">
        <w:rPr>
          <w:rFonts w:ascii="Montserrat" w:hAnsi="Montserrat" w:cs="Arial"/>
          <w:sz w:val="18"/>
          <w:szCs w:val="18"/>
        </w:rPr>
        <w:t xml:space="preserve"> </w:t>
      </w:r>
      <w:r w:rsidR="002C44A3" w:rsidRPr="003F2720">
        <w:rPr>
          <w:rFonts w:ascii="Montserrat" w:hAnsi="Montserrat" w:cs="Arial"/>
          <w:sz w:val="18"/>
          <w:szCs w:val="18"/>
        </w:rPr>
        <w:t>Dado lo anterior</w:t>
      </w:r>
      <w:r w:rsidR="00377A66" w:rsidRPr="003F2720">
        <w:rPr>
          <w:rFonts w:ascii="Montserrat" w:hAnsi="Montserrat" w:cs="Arial"/>
          <w:sz w:val="18"/>
          <w:szCs w:val="18"/>
        </w:rPr>
        <w:t>,</w:t>
      </w:r>
      <w:r w:rsidR="002C44A3" w:rsidRPr="003F2720">
        <w:rPr>
          <w:rFonts w:ascii="Montserrat" w:hAnsi="Montserrat" w:cs="Arial"/>
          <w:sz w:val="18"/>
          <w:szCs w:val="18"/>
        </w:rPr>
        <w:t xml:space="preserve"> se </w:t>
      </w:r>
      <w:r w:rsidRPr="003F2720">
        <w:rPr>
          <w:rFonts w:ascii="Montserrat" w:hAnsi="Montserrat" w:cs="Arial"/>
          <w:sz w:val="18"/>
          <w:szCs w:val="18"/>
        </w:rPr>
        <w:t>identific</w:t>
      </w:r>
      <w:r w:rsidR="002C44A3" w:rsidRPr="003F2720">
        <w:rPr>
          <w:rFonts w:ascii="Montserrat" w:hAnsi="Montserrat" w:cs="Arial"/>
          <w:sz w:val="18"/>
          <w:szCs w:val="18"/>
        </w:rPr>
        <w:t>ó</w:t>
      </w:r>
      <w:r w:rsidRPr="003F2720">
        <w:rPr>
          <w:rFonts w:ascii="Montserrat" w:hAnsi="Montserrat" w:cs="Arial"/>
          <w:sz w:val="18"/>
          <w:szCs w:val="18"/>
        </w:rPr>
        <w:t xml:space="preserve"> la necesidad de </w:t>
      </w:r>
      <w:r w:rsidR="002C44A3" w:rsidRPr="003F2720">
        <w:rPr>
          <w:rFonts w:ascii="Montserrat" w:hAnsi="Montserrat" w:cs="Arial"/>
          <w:sz w:val="18"/>
          <w:szCs w:val="18"/>
        </w:rPr>
        <w:t xml:space="preserve">tener </w:t>
      </w:r>
      <w:r w:rsidRPr="003F2720">
        <w:rPr>
          <w:rFonts w:ascii="Montserrat" w:hAnsi="Montserrat" w:cs="Arial"/>
          <w:sz w:val="18"/>
          <w:szCs w:val="18"/>
        </w:rPr>
        <w:t>una encuesta nacional especializada en el tema.</w:t>
      </w:r>
    </w:p>
    <w:p w14:paraId="22EAED04" w14:textId="234B76E4"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 xml:space="preserve">En 2012, el </w:t>
      </w:r>
      <w:r w:rsidR="004D74C9" w:rsidRPr="003F2720">
        <w:rPr>
          <w:rFonts w:ascii="Montserrat" w:hAnsi="Montserrat" w:cs="Arial"/>
          <w:sz w:val="18"/>
          <w:szCs w:val="18"/>
        </w:rPr>
        <w:t>INEGI realiz</w:t>
      </w:r>
      <w:r w:rsidR="00377A66" w:rsidRPr="003F2720">
        <w:rPr>
          <w:rFonts w:ascii="Montserrat" w:hAnsi="Montserrat" w:cs="Arial"/>
          <w:sz w:val="18"/>
          <w:szCs w:val="18"/>
        </w:rPr>
        <w:t>ó</w:t>
      </w:r>
      <w:r w:rsidRPr="003F2720">
        <w:rPr>
          <w:rFonts w:ascii="Montserrat" w:hAnsi="Montserrat" w:cs="Arial"/>
          <w:sz w:val="18"/>
          <w:szCs w:val="18"/>
        </w:rPr>
        <w:t xml:space="preserve"> el levantamiento de información de la primera Encuesta Nacional de Inclusión Financiera (ENIF)</w:t>
      </w:r>
      <w:r w:rsidR="004B12C4" w:rsidRPr="003F2720">
        <w:rPr>
          <w:rFonts w:ascii="Montserrat" w:hAnsi="Montserrat" w:cs="Arial"/>
          <w:sz w:val="18"/>
          <w:szCs w:val="18"/>
        </w:rPr>
        <w:t xml:space="preserve">, siendo la </w:t>
      </w:r>
      <w:r w:rsidRPr="003F2720">
        <w:rPr>
          <w:rFonts w:ascii="Montserrat" w:hAnsi="Montserrat" w:cs="Arial"/>
          <w:sz w:val="18"/>
          <w:szCs w:val="18"/>
        </w:rPr>
        <w:t xml:space="preserve">CNBV la entidad encargada del análisis y difusión. </w:t>
      </w:r>
      <w:r w:rsidR="00496292" w:rsidRPr="003F2720">
        <w:rPr>
          <w:rFonts w:ascii="Montserrat" w:hAnsi="Montserrat" w:cs="Arial"/>
          <w:sz w:val="18"/>
          <w:szCs w:val="18"/>
        </w:rPr>
        <w:t>Con ella</w:t>
      </w:r>
      <w:r w:rsidRPr="003F2720">
        <w:rPr>
          <w:rFonts w:ascii="Montserrat" w:hAnsi="Montserrat" w:cs="Arial"/>
          <w:sz w:val="18"/>
          <w:szCs w:val="18"/>
        </w:rPr>
        <w:t xml:space="preserve">, se proporcionaron datos desde la perspectiva de la demanda de servicios financieros </w:t>
      </w:r>
      <w:r w:rsidR="00D235C2" w:rsidRPr="003F2720">
        <w:rPr>
          <w:rFonts w:ascii="Montserrat" w:hAnsi="Montserrat" w:cs="Arial"/>
          <w:sz w:val="18"/>
          <w:szCs w:val="18"/>
        </w:rPr>
        <w:t xml:space="preserve">que sirven </w:t>
      </w:r>
      <w:r w:rsidRPr="003F2720">
        <w:rPr>
          <w:rFonts w:ascii="Montserrat" w:hAnsi="Montserrat" w:cs="Arial"/>
          <w:sz w:val="18"/>
          <w:szCs w:val="18"/>
        </w:rPr>
        <w:t>para generar indicadores sobre el acceso y uso del sistema financiero</w:t>
      </w:r>
      <w:r w:rsidR="00060DDC" w:rsidRPr="003F2720">
        <w:rPr>
          <w:rFonts w:ascii="Montserrat" w:hAnsi="Montserrat" w:cs="Arial"/>
          <w:sz w:val="18"/>
          <w:szCs w:val="18"/>
        </w:rPr>
        <w:t>. También se</w:t>
      </w:r>
      <w:r w:rsidRPr="003F2720">
        <w:rPr>
          <w:rFonts w:ascii="Montserrat" w:hAnsi="Montserrat" w:cs="Arial"/>
          <w:sz w:val="18"/>
          <w:szCs w:val="18"/>
        </w:rPr>
        <w:t xml:space="preserve"> identifica</w:t>
      </w:r>
      <w:r w:rsidR="00060DDC" w:rsidRPr="003F2720">
        <w:rPr>
          <w:rFonts w:ascii="Montserrat" w:hAnsi="Montserrat" w:cs="Arial"/>
          <w:sz w:val="18"/>
          <w:szCs w:val="18"/>
        </w:rPr>
        <w:t>ro</w:t>
      </w:r>
      <w:r w:rsidRPr="003F2720">
        <w:rPr>
          <w:rFonts w:ascii="Montserrat" w:hAnsi="Montserrat" w:cs="Arial"/>
          <w:sz w:val="18"/>
          <w:szCs w:val="18"/>
        </w:rPr>
        <w:t xml:space="preserve">n </w:t>
      </w:r>
      <w:r w:rsidR="00060DDC" w:rsidRPr="003F2720">
        <w:rPr>
          <w:rFonts w:ascii="Montserrat" w:hAnsi="Montserrat" w:cs="Arial"/>
          <w:sz w:val="18"/>
          <w:szCs w:val="18"/>
        </w:rPr>
        <w:t xml:space="preserve">las </w:t>
      </w:r>
      <w:r w:rsidRPr="003F2720">
        <w:rPr>
          <w:rFonts w:ascii="Montserrat" w:hAnsi="Montserrat" w:cs="Arial"/>
          <w:sz w:val="18"/>
          <w:szCs w:val="18"/>
        </w:rPr>
        <w:t xml:space="preserve">barreras que limitan la inclusión financiera. </w:t>
      </w:r>
    </w:p>
    <w:p w14:paraId="29938939" w14:textId="211CBBA2"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En 2015 se realizó el segundo levantamiento de la ENIF para dar seguimiento a varios de los in</w:t>
      </w:r>
      <w:r w:rsidRPr="003F2720">
        <w:rPr>
          <w:rFonts w:ascii="Montserrat" w:hAnsi="Montserrat" w:cs="Arial"/>
          <w:sz w:val="18"/>
          <w:szCs w:val="18"/>
        </w:rPr>
        <w:softHyphen/>
        <w:t>dicadores de la primera versión. Además, se agregaron preguntas para profundizar en algunos temas como las razones para salir del sistema financiero formal (exusuarios), las barreras a las aportaciones voluntarias en cuenta de ahorro para el retiro, los hábitos de ahorro</w:t>
      </w:r>
      <w:r w:rsidR="00FD23BE" w:rsidRPr="003F2720">
        <w:rPr>
          <w:rFonts w:ascii="Montserrat" w:hAnsi="Montserrat" w:cs="Arial"/>
          <w:sz w:val="18"/>
          <w:szCs w:val="18"/>
        </w:rPr>
        <w:t xml:space="preserve"> y</w:t>
      </w:r>
      <w:r w:rsidRPr="003F2720">
        <w:rPr>
          <w:rFonts w:ascii="Montserrat" w:hAnsi="Montserrat" w:cs="Arial"/>
          <w:sz w:val="18"/>
          <w:szCs w:val="18"/>
        </w:rPr>
        <w:t xml:space="preserve"> la percepción sobre la calidad del servicio en los canales financieros. Asimismo, se incorporaron dos temas nuevos: la protección al consumidor y la posesión de activos; este último, como parte de los esfuerzos para evaluar la brecha de género.</w:t>
      </w:r>
    </w:p>
    <w:p w14:paraId="1C041039" w14:textId="3022431A"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 xml:space="preserve">Los datos obtenidos en ambos ejercicios de la ENIF sirvieron para delinear un diagnóstico sobre la situación </w:t>
      </w:r>
      <w:r w:rsidR="00530ED4" w:rsidRPr="003F2720">
        <w:rPr>
          <w:rFonts w:ascii="Montserrat" w:hAnsi="Montserrat" w:cs="Arial"/>
          <w:sz w:val="18"/>
          <w:szCs w:val="18"/>
        </w:rPr>
        <w:t>d</w:t>
      </w:r>
      <w:r w:rsidRPr="003F2720">
        <w:rPr>
          <w:rFonts w:ascii="Montserrat" w:hAnsi="Montserrat" w:cs="Arial"/>
          <w:sz w:val="18"/>
          <w:szCs w:val="18"/>
        </w:rPr>
        <w:t>el país en materia de inclusión financiera. Con lo anterior se formularon los ejes de la</w:t>
      </w:r>
      <w:r w:rsidRPr="003F2720">
        <w:rPr>
          <w:rFonts w:ascii="Montserrat" w:hAnsi="Montserrat" w:cs="Arial"/>
          <w:color w:val="FF0000"/>
          <w:sz w:val="18"/>
          <w:szCs w:val="18"/>
        </w:rPr>
        <w:t xml:space="preserve"> </w:t>
      </w:r>
      <w:r w:rsidRPr="003F2720">
        <w:rPr>
          <w:rFonts w:ascii="Montserrat" w:hAnsi="Montserrat" w:cs="Arial"/>
          <w:sz w:val="18"/>
          <w:szCs w:val="18"/>
        </w:rPr>
        <w:t>primera PNIF aprobada por el Consejo Nacional de Inclusión Financiera en junio de 2016.</w:t>
      </w:r>
    </w:p>
    <w:p w14:paraId="62EF1D3E" w14:textId="6E502716"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En 2018 se realizó el tercer levantamiento de la ENIF</w:t>
      </w:r>
      <w:r w:rsidR="00360C18" w:rsidRPr="003F2720">
        <w:rPr>
          <w:rFonts w:ascii="Montserrat" w:hAnsi="Montserrat" w:cs="Arial"/>
          <w:sz w:val="18"/>
          <w:szCs w:val="18"/>
        </w:rPr>
        <w:t>.</w:t>
      </w:r>
      <w:r w:rsidRPr="003F2720">
        <w:rPr>
          <w:rFonts w:ascii="Montserrat" w:hAnsi="Montserrat" w:cs="Arial"/>
          <w:sz w:val="18"/>
          <w:szCs w:val="18"/>
        </w:rPr>
        <w:t xml:space="preserve"> </w:t>
      </w:r>
      <w:r w:rsidR="00360C18" w:rsidRPr="003F2720">
        <w:rPr>
          <w:rFonts w:ascii="Montserrat" w:hAnsi="Montserrat" w:cs="Arial"/>
          <w:sz w:val="18"/>
          <w:szCs w:val="18"/>
        </w:rPr>
        <w:t>E</w:t>
      </w:r>
      <w:r w:rsidRPr="003F2720">
        <w:rPr>
          <w:rFonts w:ascii="Montserrat" w:hAnsi="Montserrat" w:cs="Arial"/>
          <w:sz w:val="18"/>
          <w:szCs w:val="18"/>
        </w:rPr>
        <w:t>l cuestionario que se utilizó en esta edición tuvo algunas diferencias con los anteriores. Además de captar información sobre la tenencia de productos de ahorro, crédito, seguros, cuentas de ahorro para el retiro</w:t>
      </w:r>
      <w:r w:rsidR="0035442E" w:rsidRPr="003F2720">
        <w:rPr>
          <w:rFonts w:ascii="Montserrat" w:hAnsi="Montserrat" w:cs="Arial"/>
          <w:sz w:val="18"/>
          <w:szCs w:val="18"/>
        </w:rPr>
        <w:t xml:space="preserve"> y</w:t>
      </w:r>
      <w:r w:rsidRPr="003F2720">
        <w:rPr>
          <w:rFonts w:ascii="Montserrat" w:hAnsi="Montserrat" w:cs="Arial"/>
          <w:sz w:val="18"/>
          <w:szCs w:val="18"/>
        </w:rPr>
        <w:t xml:space="preserve"> canales de acceso a los servicios financieros</w:t>
      </w:r>
      <w:r w:rsidR="0035442E" w:rsidRPr="003F2720">
        <w:rPr>
          <w:rFonts w:ascii="Montserrat" w:hAnsi="Montserrat" w:cs="Arial"/>
          <w:sz w:val="18"/>
          <w:szCs w:val="18"/>
        </w:rPr>
        <w:t>,</w:t>
      </w:r>
      <w:r w:rsidRPr="003F2720">
        <w:rPr>
          <w:rFonts w:ascii="Montserrat" w:hAnsi="Montserrat" w:cs="Arial"/>
          <w:sz w:val="18"/>
          <w:szCs w:val="18"/>
        </w:rPr>
        <w:t xml:space="preserve"> </w:t>
      </w:r>
      <w:r w:rsidR="0035442E" w:rsidRPr="003F2720">
        <w:rPr>
          <w:rFonts w:ascii="Montserrat" w:hAnsi="Montserrat" w:cs="Arial"/>
          <w:sz w:val="18"/>
          <w:szCs w:val="18"/>
        </w:rPr>
        <w:t xml:space="preserve">se </w:t>
      </w:r>
      <w:r w:rsidRPr="003F2720">
        <w:rPr>
          <w:rFonts w:ascii="Montserrat" w:hAnsi="Montserrat" w:cs="Arial"/>
          <w:sz w:val="18"/>
          <w:szCs w:val="18"/>
        </w:rPr>
        <w:t>recopil</w:t>
      </w:r>
      <w:r w:rsidR="0035442E" w:rsidRPr="003F2720">
        <w:rPr>
          <w:rFonts w:ascii="Montserrat" w:hAnsi="Montserrat" w:cs="Arial"/>
          <w:sz w:val="18"/>
          <w:szCs w:val="18"/>
        </w:rPr>
        <w:t>aron</w:t>
      </w:r>
      <w:r w:rsidRPr="003F2720">
        <w:rPr>
          <w:rFonts w:ascii="Montserrat" w:hAnsi="Montserrat" w:cs="Arial"/>
          <w:sz w:val="18"/>
          <w:szCs w:val="18"/>
        </w:rPr>
        <w:t xml:space="preserve"> datos sobre educación financiera y conocimiento de los mecanismos de protección al </w:t>
      </w:r>
      <w:r w:rsidRPr="003F2720">
        <w:rPr>
          <w:rFonts w:ascii="Montserrat" w:hAnsi="Montserrat" w:cs="Arial"/>
          <w:sz w:val="18"/>
          <w:szCs w:val="18"/>
        </w:rPr>
        <w:lastRenderedPageBreak/>
        <w:t xml:space="preserve">consumidor. </w:t>
      </w:r>
      <w:r w:rsidR="0005369C" w:rsidRPr="003F2720">
        <w:rPr>
          <w:rFonts w:ascii="Montserrat" w:hAnsi="Montserrat" w:cs="Arial"/>
          <w:sz w:val="18"/>
          <w:szCs w:val="18"/>
        </w:rPr>
        <w:t>También</w:t>
      </w:r>
      <w:r w:rsidRPr="003F2720">
        <w:rPr>
          <w:rFonts w:ascii="Montserrat" w:hAnsi="Montserrat" w:cs="Arial"/>
          <w:sz w:val="18"/>
          <w:szCs w:val="18"/>
        </w:rPr>
        <w:t xml:space="preserve"> se integraron preguntas como insumo para el cálculo de indicadores propuestos por la OCDE, en especial, sobre actitudes y comportamientos financieros.</w:t>
      </w:r>
    </w:p>
    <w:p w14:paraId="0A41B8C1" w14:textId="450DC4C9"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En marzo de 2020 se publicó la segunda edición de PNIF</w:t>
      </w:r>
      <w:r w:rsidR="00801AC1" w:rsidRPr="003F2720">
        <w:rPr>
          <w:rFonts w:ascii="Montserrat" w:hAnsi="Montserrat" w:cs="Arial"/>
          <w:sz w:val="18"/>
          <w:szCs w:val="18"/>
        </w:rPr>
        <w:t>.</w:t>
      </w:r>
      <w:r w:rsidRPr="003F2720">
        <w:rPr>
          <w:rFonts w:ascii="Montserrat" w:hAnsi="Montserrat" w:cs="Arial"/>
          <w:sz w:val="18"/>
          <w:szCs w:val="18"/>
        </w:rPr>
        <w:t xml:space="preserve"> Entre sus diversos elementos, </w:t>
      </w:r>
      <w:r w:rsidR="00B323FF" w:rsidRPr="003F2720">
        <w:rPr>
          <w:rFonts w:ascii="Montserrat" w:hAnsi="Montserrat" w:cs="Arial"/>
          <w:sz w:val="18"/>
          <w:szCs w:val="18"/>
        </w:rPr>
        <w:t>incluía</w:t>
      </w:r>
      <w:r w:rsidRPr="003F2720">
        <w:rPr>
          <w:rFonts w:ascii="Montserrat" w:hAnsi="Montserrat" w:cs="Arial"/>
          <w:sz w:val="18"/>
          <w:szCs w:val="18"/>
        </w:rPr>
        <w:t xml:space="preserve"> la estrategia transversal de generar información e investigación para identificar barreras y áreas de oportunidad en la inclusión financiera de la población. La primera línea de acción </w:t>
      </w:r>
      <w:r w:rsidR="00102F96" w:rsidRPr="003F2720">
        <w:rPr>
          <w:rFonts w:ascii="Montserrat" w:hAnsi="Montserrat" w:cs="Arial"/>
          <w:sz w:val="18"/>
          <w:szCs w:val="18"/>
        </w:rPr>
        <w:t xml:space="preserve">fue </w:t>
      </w:r>
      <w:r w:rsidRPr="003F2720">
        <w:rPr>
          <w:rFonts w:ascii="Montserrat" w:hAnsi="Montserrat" w:cs="Arial"/>
          <w:sz w:val="18"/>
          <w:szCs w:val="18"/>
        </w:rPr>
        <w:t>continuar con la medición de la inclusión financiera a través de la ENIF entre otros datos.</w:t>
      </w:r>
    </w:p>
    <w:p w14:paraId="165986CD" w14:textId="363B104E" w:rsidR="001825EB" w:rsidRPr="003F2720" w:rsidRDefault="001825EB" w:rsidP="00AF3E54">
      <w:pPr>
        <w:spacing w:line="276" w:lineRule="auto"/>
        <w:ind w:left="-567"/>
        <w:jc w:val="both"/>
        <w:rPr>
          <w:rFonts w:ascii="Montserrat" w:hAnsi="Montserrat" w:cs="Arial"/>
          <w:sz w:val="18"/>
          <w:szCs w:val="18"/>
        </w:rPr>
      </w:pPr>
      <w:r w:rsidRPr="003F2720">
        <w:rPr>
          <w:rFonts w:ascii="Montserrat" w:eastAsia="Arial Unicode MS" w:hAnsi="Montserrat" w:cs="Arial"/>
          <w:sz w:val="18"/>
          <w:szCs w:val="18"/>
        </w:rPr>
        <w:t xml:space="preserve">En seguimiento a lo indicado en la PNIF, en el año 2021 continuó la colaboración entre el INEGI y la CNBV </w:t>
      </w:r>
      <w:r w:rsidR="00941A42" w:rsidRPr="003F2720">
        <w:rPr>
          <w:rFonts w:ascii="Montserrat" w:eastAsia="Arial Unicode MS" w:hAnsi="Montserrat" w:cs="Arial"/>
          <w:sz w:val="18"/>
          <w:szCs w:val="18"/>
        </w:rPr>
        <w:t>para hacer el</w:t>
      </w:r>
      <w:r w:rsidRPr="003F2720">
        <w:rPr>
          <w:rFonts w:ascii="Montserrat" w:eastAsia="Arial Unicode MS" w:hAnsi="Montserrat" w:cs="Arial"/>
          <w:sz w:val="18"/>
          <w:szCs w:val="18"/>
        </w:rPr>
        <w:t xml:space="preserve"> cuarto levantamiento de la ENIF, </w:t>
      </w:r>
      <w:r w:rsidR="00E81947" w:rsidRPr="003F2720">
        <w:rPr>
          <w:rFonts w:ascii="Montserrat" w:eastAsia="Arial Unicode MS" w:hAnsi="Montserrat" w:cs="Arial"/>
          <w:sz w:val="18"/>
          <w:szCs w:val="18"/>
        </w:rPr>
        <w:t>que</w:t>
      </w:r>
      <w:r w:rsidRPr="003F2720">
        <w:rPr>
          <w:rFonts w:ascii="Montserrat" w:eastAsia="Arial Unicode MS" w:hAnsi="Montserrat" w:cs="Arial"/>
          <w:sz w:val="18"/>
          <w:szCs w:val="18"/>
        </w:rPr>
        <w:t xml:space="preserve"> apoya el seguimiento de las estrategias planteadas en dicha política, </w:t>
      </w:r>
      <w:r w:rsidR="00EA2679" w:rsidRPr="003F2720">
        <w:rPr>
          <w:rFonts w:ascii="Montserrat" w:eastAsia="Arial Unicode MS" w:hAnsi="Montserrat" w:cs="Arial"/>
          <w:sz w:val="18"/>
          <w:szCs w:val="18"/>
        </w:rPr>
        <w:t>y</w:t>
      </w:r>
      <w:r w:rsidRPr="003F2720">
        <w:rPr>
          <w:rFonts w:ascii="Montserrat" w:eastAsia="Arial Unicode MS" w:hAnsi="Montserrat" w:cs="Arial"/>
          <w:sz w:val="18"/>
          <w:szCs w:val="18"/>
        </w:rPr>
        <w:t xml:space="preserve"> se adapta</w:t>
      </w:r>
      <w:r w:rsidR="00EA2679" w:rsidRPr="003F2720">
        <w:rPr>
          <w:rFonts w:ascii="Montserrat" w:eastAsia="Arial Unicode MS" w:hAnsi="Montserrat" w:cs="Arial"/>
          <w:sz w:val="18"/>
          <w:szCs w:val="18"/>
        </w:rPr>
        <w:t>ron</w:t>
      </w:r>
      <w:r w:rsidRPr="003F2720">
        <w:rPr>
          <w:rFonts w:ascii="Montserrat" w:eastAsia="Arial Unicode MS" w:hAnsi="Montserrat" w:cs="Arial"/>
          <w:sz w:val="18"/>
          <w:szCs w:val="18"/>
        </w:rPr>
        <w:t xml:space="preserve"> los temas más innovadores relacionados con la inclusión financiera. </w:t>
      </w:r>
    </w:p>
    <w:p w14:paraId="03953347" w14:textId="3E3C4ABF" w:rsidR="001825EB" w:rsidRPr="003F2720" w:rsidRDefault="00AF668D" w:rsidP="00AF3E54">
      <w:pPr>
        <w:spacing w:line="276" w:lineRule="auto"/>
        <w:ind w:left="-567"/>
        <w:jc w:val="both"/>
        <w:rPr>
          <w:rFonts w:ascii="Montserrat" w:hAnsi="Montserrat" w:cs="Arial"/>
          <w:b/>
          <w:sz w:val="18"/>
          <w:szCs w:val="18"/>
        </w:rPr>
      </w:pPr>
      <w:r w:rsidRPr="003F2720">
        <w:rPr>
          <w:rFonts w:ascii="Montserrat" w:eastAsia="Times New Roman" w:hAnsi="Montserrat" w:cs="Arial"/>
          <w:b/>
          <w:bCs/>
          <w:smallCaps/>
          <w:sz w:val="18"/>
          <w:szCs w:val="18"/>
          <w:lang w:eastAsia="es-MX"/>
        </w:rPr>
        <w:t>Utilidad de la informaci</w:t>
      </w:r>
      <w:r w:rsidRPr="003F2720">
        <w:rPr>
          <w:rFonts w:ascii="Montserrat" w:eastAsia="Times New Roman" w:hAnsi="Montserrat" w:cs="Arial" w:hint="eastAsia"/>
          <w:b/>
          <w:bCs/>
          <w:smallCaps/>
          <w:sz w:val="18"/>
          <w:szCs w:val="18"/>
          <w:lang w:eastAsia="es-MX"/>
        </w:rPr>
        <w:t>ó</w:t>
      </w:r>
      <w:r w:rsidRPr="003F2720">
        <w:rPr>
          <w:rFonts w:ascii="Montserrat" w:eastAsia="Times New Roman" w:hAnsi="Montserrat" w:cs="Arial"/>
          <w:b/>
          <w:bCs/>
          <w:smallCaps/>
          <w:sz w:val="18"/>
          <w:szCs w:val="18"/>
          <w:lang w:eastAsia="es-MX"/>
        </w:rPr>
        <w:t>n</w:t>
      </w:r>
      <w:r w:rsidR="001825EB" w:rsidRPr="003F2720">
        <w:rPr>
          <w:rFonts w:ascii="Montserrat" w:hAnsi="Montserrat" w:cs="Arial"/>
          <w:b/>
          <w:sz w:val="18"/>
          <w:szCs w:val="18"/>
        </w:rPr>
        <w:t xml:space="preserve"> </w:t>
      </w:r>
    </w:p>
    <w:p w14:paraId="0DDCE53E" w14:textId="5B14439A"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 xml:space="preserve">La generación de información sobre inclusión financiera tiene relevancia a nivel nacional e internacional porque es una herramienta </w:t>
      </w:r>
      <w:r w:rsidR="00D176D9" w:rsidRPr="003F2720">
        <w:rPr>
          <w:rFonts w:ascii="Montserrat" w:hAnsi="Montserrat" w:cs="Arial"/>
          <w:sz w:val="18"/>
          <w:szCs w:val="18"/>
        </w:rPr>
        <w:t xml:space="preserve">que permite </w:t>
      </w:r>
      <w:r w:rsidRPr="003F2720">
        <w:rPr>
          <w:rFonts w:ascii="Montserrat" w:hAnsi="Montserrat" w:cs="Arial"/>
          <w:sz w:val="18"/>
          <w:szCs w:val="18"/>
        </w:rPr>
        <w:t>conocer el acceso a los sistemas financieros por parte de la población</w:t>
      </w:r>
      <w:r w:rsidR="00BD51EA" w:rsidRPr="003F2720">
        <w:rPr>
          <w:rFonts w:ascii="Montserrat" w:hAnsi="Montserrat" w:cs="Arial"/>
          <w:sz w:val="18"/>
          <w:szCs w:val="18"/>
        </w:rPr>
        <w:t xml:space="preserve"> y permite</w:t>
      </w:r>
      <w:r w:rsidRPr="003F2720">
        <w:rPr>
          <w:rFonts w:ascii="Montserrat" w:hAnsi="Montserrat" w:cs="Arial"/>
          <w:sz w:val="18"/>
          <w:szCs w:val="18"/>
        </w:rPr>
        <w:t xml:space="preserve"> monitore</w:t>
      </w:r>
      <w:r w:rsidR="00BD51EA" w:rsidRPr="003F2720">
        <w:rPr>
          <w:rFonts w:ascii="Montserrat" w:hAnsi="Montserrat" w:cs="Arial"/>
          <w:sz w:val="18"/>
          <w:szCs w:val="18"/>
        </w:rPr>
        <w:t>ar</w:t>
      </w:r>
      <w:r w:rsidRPr="003F2720">
        <w:rPr>
          <w:rFonts w:ascii="Montserrat" w:hAnsi="Montserrat" w:cs="Arial"/>
          <w:sz w:val="18"/>
          <w:szCs w:val="18"/>
        </w:rPr>
        <w:t xml:space="preserve"> las políticas públicas en dicho sector. </w:t>
      </w:r>
    </w:p>
    <w:p w14:paraId="6E5322B5" w14:textId="337254F8"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sz w:val="18"/>
          <w:szCs w:val="18"/>
        </w:rPr>
        <w:t>La información captada en la ENIF 2021 permite tener un panorama actualizado sobre la inclusión y educación financiera al nutrir los indicadores de la PNIF y la Estrategia Nacional de Educación Financiera</w:t>
      </w:r>
      <w:r w:rsidRPr="003F2720">
        <w:rPr>
          <w:rFonts w:ascii="Montserrat" w:hAnsi="Montserrat"/>
          <w:sz w:val="18"/>
          <w:szCs w:val="18"/>
        </w:rPr>
        <w:t>.</w:t>
      </w:r>
      <w:r w:rsidRPr="003F2720">
        <w:rPr>
          <w:rFonts w:ascii="Montserrat" w:hAnsi="Montserrat" w:cs="Arial"/>
          <w:sz w:val="18"/>
          <w:szCs w:val="18"/>
        </w:rPr>
        <w:t xml:space="preserve"> Asimismo, el instrumento responde a las nuevas necesidades originadas por el desarrollo de las tecnologías financieras y al cálculo de indicadores internacionales sobre educación y vulnerabilidad financieras, requeridos por la OCDE. </w:t>
      </w:r>
    </w:p>
    <w:p w14:paraId="4ABB9DF4" w14:textId="77777777" w:rsidR="004D74C9" w:rsidRPr="003F2720" w:rsidRDefault="004D74C9" w:rsidP="00AF3E54">
      <w:pPr>
        <w:spacing w:line="276" w:lineRule="auto"/>
        <w:ind w:left="-567"/>
        <w:jc w:val="both"/>
        <w:rPr>
          <w:rFonts w:ascii="Montserrat" w:hAnsi="Montserrat" w:cs="Arial"/>
          <w:b/>
          <w:sz w:val="18"/>
          <w:szCs w:val="18"/>
        </w:rPr>
      </w:pPr>
    </w:p>
    <w:p w14:paraId="1AA78517" w14:textId="649EFE4B" w:rsidR="001825EB" w:rsidRPr="003F2720" w:rsidRDefault="00AF668D" w:rsidP="00AF3E54">
      <w:pPr>
        <w:spacing w:line="276" w:lineRule="auto"/>
        <w:ind w:left="-567"/>
        <w:jc w:val="both"/>
        <w:rPr>
          <w:rFonts w:ascii="Montserrat" w:hAnsi="Montserrat" w:cs="Arial"/>
          <w:b/>
          <w:sz w:val="18"/>
          <w:szCs w:val="18"/>
        </w:rPr>
      </w:pPr>
      <w:r w:rsidRPr="003F2720">
        <w:rPr>
          <w:rFonts w:ascii="Montserrat" w:eastAsia="Times New Roman" w:hAnsi="Montserrat" w:cs="Arial"/>
          <w:b/>
          <w:bCs/>
          <w:smallCaps/>
          <w:sz w:val="18"/>
          <w:szCs w:val="18"/>
          <w:lang w:eastAsia="es-MX"/>
        </w:rPr>
        <w:t>Conceptos B</w:t>
      </w:r>
      <w:r w:rsidRPr="003F2720">
        <w:rPr>
          <w:rFonts w:ascii="Montserrat" w:eastAsia="Times New Roman" w:hAnsi="Montserrat" w:cs="Arial" w:hint="eastAsia"/>
          <w:b/>
          <w:bCs/>
          <w:smallCaps/>
          <w:sz w:val="18"/>
          <w:szCs w:val="18"/>
          <w:lang w:eastAsia="es-MX"/>
        </w:rPr>
        <w:t>á</w:t>
      </w:r>
      <w:r w:rsidRPr="003F2720">
        <w:rPr>
          <w:rFonts w:ascii="Montserrat" w:eastAsia="Times New Roman" w:hAnsi="Montserrat" w:cs="Arial"/>
          <w:b/>
          <w:bCs/>
          <w:smallCaps/>
          <w:sz w:val="18"/>
          <w:szCs w:val="18"/>
          <w:lang w:eastAsia="es-MX"/>
        </w:rPr>
        <w:t>sicos</w:t>
      </w:r>
    </w:p>
    <w:p w14:paraId="27A988F7" w14:textId="77777777"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b/>
          <w:sz w:val="18"/>
          <w:szCs w:val="18"/>
        </w:rPr>
        <w:t>Inclusión financiera</w:t>
      </w:r>
      <w:r w:rsidRPr="003F2720">
        <w:rPr>
          <w:rFonts w:ascii="Montserrat" w:hAnsi="Montserrat" w:cs="Arial"/>
          <w:sz w:val="18"/>
          <w:szCs w:val="18"/>
        </w:rPr>
        <w:t>. Es el acceso y uso de servicios financieros formales bajo una regulación apropiada que garantice esquemas de protección al consumidor y promueva la educación financiera para mejorar las capacidades financieras de todos los segmentos de la población.</w:t>
      </w:r>
    </w:p>
    <w:p w14:paraId="2DF83BC1" w14:textId="428E7D01" w:rsidR="001825EB" w:rsidRPr="003F2720" w:rsidRDefault="001825EB" w:rsidP="00AF3E54">
      <w:pPr>
        <w:numPr>
          <w:ilvl w:val="0"/>
          <w:numId w:val="14"/>
        </w:numPr>
        <w:spacing w:line="276" w:lineRule="auto"/>
        <w:ind w:left="-567"/>
        <w:jc w:val="both"/>
        <w:rPr>
          <w:rFonts w:ascii="Montserrat" w:hAnsi="Montserrat" w:cs="Arial"/>
          <w:b/>
          <w:sz w:val="18"/>
          <w:szCs w:val="18"/>
        </w:rPr>
      </w:pPr>
      <w:r w:rsidRPr="003F2720">
        <w:rPr>
          <w:rFonts w:ascii="Montserrat" w:hAnsi="Montserrat" w:cs="Arial"/>
          <w:b/>
          <w:bCs/>
          <w:sz w:val="18"/>
          <w:szCs w:val="18"/>
        </w:rPr>
        <w:t xml:space="preserve">Acceso. </w:t>
      </w:r>
      <w:r w:rsidRPr="003F2720">
        <w:rPr>
          <w:rFonts w:ascii="Montserrat" w:hAnsi="Montserrat" w:cs="Arial"/>
          <w:sz w:val="18"/>
          <w:szCs w:val="18"/>
        </w:rPr>
        <w:t>Se refiere a la penetración del sistema financiero en cuanto a la infraestructura disponible para ofrecer servicios y productos financieros, como sucursales, cajeros automáticos, corresponsales y terminales punto de venta, entre otros. Es decir, los lugares de contacto entre las instituciones financieras y la población, desde una perspectiva de oferta.</w:t>
      </w:r>
      <w:r w:rsidRPr="003F2720">
        <w:rPr>
          <w:rFonts w:ascii="Montserrat" w:hAnsi="Montserrat" w:cs="Arial"/>
          <w:b/>
          <w:sz w:val="18"/>
          <w:szCs w:val="18"/>
        </w:rPr>
        <w:t xml:space="preserve"> </w:t>
      </w:r>
    </w:p>
    <w:p w14:paraId="271934A8" w14:textId="3E02B142" w:rsidR="001825EB" w:rsidRPr="003F2720" w:rsidRDefault="001825EB" w:rsidP="00AF3E54">
      <w:pPr>
        <w:numPr>
          <w:ilvl w:val="0"/>
          <w:numId w:val="14"/>
        </w:numPr>
        <w:spacing w:line="276" w:lineRule="auto"/>
        <w:ind w:left="-567"/>
        <w:jc w:val="both"/>
        <w:rPr>
          <w:rFonts w:ascii="Montserrat" w:hAnsi="Montserrat" w:cs="Arial"/>
          <w:b/>
          <w:sz w:val="18"/>
          <w:szCs w:val="18"/>
        </w:rPr>
      </w:pPr>
      <w:r w:rsidRPr="003F2720">
        <w:rPr>
          <w:rFonts w:ascii="Montserrat" w:hAnsi="Montserrat" w:cs="Arial"/>
          <w:b/>
          <w:bCs/>
          <w:sz w:val="18"/>
          <w:szCs w:val="18"/>
        </w:rPr>
        <w:t xml:space="preserve">Uso. </w:t>
      </w:r>
      <w:r w:rsidRPr="003F2720">
        <w:rPr>
          <w:rFonts w:ascii="Montserrat" w:hAnsi="Montserrat" w:cs="Arial"/>
          <w:sz w:val="18"/>
          <w:szCs w:val="18"/>
        </w:rPr>
        <w:t>Se refiere a la adquisición o contratación, por parte de la población, de uno o más productos o servicios financieros, así como a la frecuencia con que estos son utilizados. Es decir, uso se refiere a la demanda de servicios financieros la cual, a su vez, refleja el comportamiento y las necesidades de la población.</w:t>
      </w:r>
      <w:r w:rsidRPr="003F2720">
        <w:rPr>
          <w:rFonts w:ascii="Montserrat" w:hAnsi="Montserrat" w:cs="Arial"/>
          <w:b/>
          <w:sz w:val="18"/>
          <w:szCs w:val="18"/>
        </w:rPr>
        <w:t xml:space="preserve"> </w:t>
      </w:r>
    </w:p>
    <w:p w14:paraId="0D05C6D5" w14:textId="61B54C12" w:rsidR="001825EB" w:rsidRPr="003F2720" w:rsidRDefault="001825EB" w:rsidP="00AF3E54">
      <w:pPr>
        <w:numPr>
          <w:ilvl w:val="0"/>
          <w:numId w:val="14"/>
        </w:numPr>
        <w:spacing w:line="276" w:lineRule="auto"/>
        <w:ind w:left="-567"/>
        <w:jc w:val="both"/>
        <w:rPr>
          <w:rFonts w:ascii="Montserrat" w:hAnsi="Montserrat" w:cs="Arial"/>
          <w:b/>
          <w:sz w:val="18"/>
          <w:szCs w:val="18"/>
        </w:rPr>
      </w:pPr>
      <w:r w:rsidRPr="003F2720">
        <w:rPr>
          <w:rFonts w:ascii="Montserrat" w:hAnsi="Montserrat" w:cs="Arial"/>
          <w:b/>
          <w:bCs/>
          <w:sz w:val="18"/>
          <w:szCs w:val="18"/>
        </w:rPr>
        <w:t xml:space="preserve">Educación financiera. </w:t>
      </w:r>
      <w:r w:rsidRPr="003F2720">
        <w:rPr>
          <w:rFonts w:ascii="Montserrat" w:hAnsi="Montserrat" w:cs="Arial"/>
          <w:sz w:val="18"/>
          <w:szCs w:val="18"/>
        </w:rPr>
        <w:t>Se refiere a las acciones necesarias para que la población adquiera aptitudes, habilidades, conocimientos y actitudes que le permitan administrar y planear sus finanzas personales, así como usar de manera óptima los productos y servicios que ofrece el sistema financiero en beneficio de sus intereses personales o familiares, de tal manera que comprenda los riesgos, beneficios, derechos y obligaciones que adquiere al contratar un producto o servicio financieros.</w:t>
      </w:r>
    </w:p>
    <w:p w14:paraId="31A99CE4" w14:textId="488FB2E1"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b/>
          <w:sz w:val="18"/>
          <w:szCs w:val="18"/>
        </w:rPr>
        <w:t xml:space="preserve">Competencias económico-financieras. </w:t>
      </w:r>
      <w:r w:rsidRPr="003F2720">
        <w:rPr>
          <w:rFonts w:ascii="Montserrat" w:hAnsi="Montserrat" w:cs="Arial"/>
          <w:sz w:val="18"/>
          <w:szCs w:val="18"/>
        </w:rPr>
        <w:t>Se refiere a la forma en que las personas aplican sus conocimientos y habilidades para tomar decisiones informadas, tales como, realizar pagos e inversiones a corto, mediano y largo plazo para su desarrollo y crecimiento económicos</w:t>
      </w:r>
      <w:r w:rsidR="0084220B" w:rsidRPr="003F2720">
        <w:rPr>
          <w:rFonts w:ascii="Montserrat" w:hAnsi="Montserrat" w:cs="Arial"/>
          <w:sz w:val="18"/>
          <w:szCs w:val="18"/>
        </w:rPr>
        <w:t>.</w:t>
      </w:r>
      <w:r w:rsidRPr="003F2720">
        <w:rPr>
          <w:rFonts w:ascii="Montserrat" w:hAnsi="Montserrat" w:cs="Arial"/>
          <w:sz w:val="18"/>
          <w:szCs w:val="18"/>
        </w:rPr>
        <w:t xml:space="preserve"> </w:t>
      </w:r>
      <w:r w:rsidR="003B1809" w:rsidRPr="003F2720">
        <w:rPr>
          <w:rFonts w:ascii="Montserrat" w:hAnsi="Montserrat" w:cs="Arial"/>
          <w:sz w:val="18"/>
          <w:szCs w:val="18"/>
        </w:rPr>
        <w:t>También</w:t>
      </w:r>
      <w:r w:rsidRPr="003F2720">
        <w:rPr>
          <w:rFonts w:ascii="Montserrat" w:hAnsi="Montserrat" w:cs="Arial"/>
          <w:sz w:val="18"/>
          <w:szCs w:val="18"/>
        </w:rPr>
        <w:t xml:space="preserve"> comprende las actitudes y comportamientos de las personas sobre la forma </w:t>
      </w:r>
      <w:r w:rsidR="003B1809" w:rsidRPr="003F2720">
        <w:rPr>
          <w:rFonts w:ascii="Montserrat" w:hAnsi="Montserrat" w:cs="Arial"/>
          <w:sz w:val="18"/>
          <w:szCs w:val="18"/>
        </w:rPr>
        <w:t xml:space="preserve">en la que </w:t>
      </w:r>
      <w:r w:rsidRPr="003F2720">
        <w:rPr>
          <w:rFonts w:ascii="Montserrat" w:hAnsi="Montserrat" w:cs="Arial"/>
          <w:sz w:val="18"/>
          <w:szCs w:val="18"/>
        </w:rPr>
        <w:t>administran su dinero y planean para el futuro, en aras de alcanzar un mejor nivel de vida.</w:t>
      </w:r>
    </w:p>
    <w:p w14:paraId="52F4A38E" w14:textId="4BCE483B"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b/>
          <w:sz w:val="18"/>
          <w:szCs w:val="18"/>
        </w:rPr>
        <w:lastRenderedPageBreak/>
        <w:t>Comportamientos y actitudes financieras.</w:t>
      </w:r>
      <w:r w:rsidRPr="003F2720">
        <w:rPr>
          <w:rFonts w:ascii="Montserrat" w:hAnsi="Montserrat" w:cs="Arial"/>
          <w:sz w:val="18"/>
          <w:szCs w:val="18"/>
        </w:rPr>
        <w:t xml:space="preserve"> Postura que toma la persona en el momento actual respecto al uso del dinero, ya sea privilegiando gastarlo en el presente, o bien, ahorrarlo para prevenir el futuro</w:t>
      </w:r>
      <w:r w:rsidR="00B618F0" w:rsidRPr="003F2720">
        <w:rPr>
          <w:rFonts w:ascii="Montserrat" w:hAnsi="Montserrat" w:cs="Arial"/>
          <w:sz w:val="18"/>
          <w:szCs w:val="18"/>
        </w:rPr>
        <w:t>. Esto</w:t>
      </w:r>
      <w:r w:rsidRPr="003F2720">
        <w:rPr>
          <w:rFonts w:ascii="Montserrat" w:hAnsi="Montserrat" w:cs="Arial"/>
          <w:sz w:val="18"/>
          <w:szCs w:val="18"/>
        </w:rPr>
        <w:t xml:space="preserve"> refleja sus hábitos financieros y su cultura sobre la planeación financiera y la prevención de riesgos.</w:t>
      </w:r>
    </w:p>
    <w:p w14:paraId="0E33586E" w14:textId="77777777"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b/>
          <w:sz w:val="18"/>
          <w:szCs w:val="18"/>
        </w:rPr>
        <w:t xml:space="preserve">Cuenta de ahorro formal. </w:t>
      </w:r>
      <w:r w:rsidRPr="003F2720">
        <w:rPr>
          <w:rFonts w:ascii="Montserrat" w:hAnsi="Montserrat" w:cs="Arial"/>
          <w:sz w:val="18"/>
          <w:szCs w:val="18"/>
        </w:rPr>
        <w:t>Es un contrato con una institución financiera que permite a la persona (cuentahabiente) depositar y retirar su dinero de acuerdo con sus necesidades y puede o no recibir ganancia, dependiendo de lo establecido en dicho contrato, o de los productos que tenga asociados al mismo.</w:t>
      </w:r>
    </w:p>
    <w:p w14:paraId="62D41F45" w14:textId="77777777" w:rsidR="001825EB" w:rsidRPr="003F2720" w:rsidRDefault="001825EB" w:rsidP="00AF3E54">
      <w:pPr>
        <w:spacing w:line="276" w:lineRule="auto"/>
        <w:ind w:left="-567"/>
        <w:jc w:val="both"/>
        <w:rPr>
          <w:rFonts w:ascii="Montserrat" w:hAnsi="Montserrat" w:cs="Arial"/>
          <w:b/>
          <w:sz w:val="18"/>
          <w:szCs w:val="18"/>
        </w:rPr>
      </w:pPr>
      <w:r w:rsidRPr="003F2720">
        <w:rPr>
          <w:rFonts w:ascii="Montserrat" w:hAnsi="Montserrat" w:cs="Arial"/>
          <w:b/>
          <w:sz w:val="18"/>
          <w:szCs w:val="18"/>
        </w:rPr>
        <w:t xml:space="preserve">Crédito formal. </w:t>
      </w:r>
      <w:r w:rsidRPr="003F2720">
        <w:rPr>
          <w:rFonts w:ascii="Montserrat" w:hAnsi="Montserrat" w:cs="Arial"/>
          <w:sz w:val="18"/>
          <w:szCs w:val="18"/>
        </w:rPr>
        <w:t>Cuando es proporcionado por una institución financiera que se dedica, como parte de su actividad principal, a intermediar recursos económicos. Existen diversos tipos de créditos otorgados por dichas instituciones: tarjetas de crédito, créditos de nómina, al consumo, créditos hipotecarios, automotrices, etcétera.</w:t>
      </w:r>
    </w:p>
    <w:p w14:paraId="7EC07374" w14:textId="3574409B" w:rsidR="001825EB" w:rsidRPr="003F2720" w:rsidRDefault="004B12C4" w:rsidP="00AF3E54">
      <w:pPr>
        <w:spacing w:line="276" w:lineRule="auto"/>
        <w:ind w:left="-567"/>
        <w:jc w:val="both"/>
        <w:rPr>
          <w:rFonts w:ascii="Montserrat" w:hAnsi="Montserrat" w:cs="Arial"/>
          <w:sz w:val="18"/>
          <w:szCs w:val="18"/>
        </w:rPr>
      </w:pPr>
      <w:r w:rsidRPr="003F2720">
        <w:rPr>
          <w:rFonts w:ascii="Montserrat" w:hAnsi="Montserrat" w:cs="Arial"/>
          <w:b/>
          <w:sz w:val="18"/>
          <w:szCs w:val="18"/>
        </w:rPr>
        <w:t>AFORE</w:t>
      </w:r>
      <w:r w:rsidR="001825EB" w:rsidRPr="003F2720">
        <w:rPr>
          <w:rFonts w:ascii="Montserrat" w:hAnsi="Montserrat" w:cs="Arial"/>
          <w:b/>
          <w:sz w:val="18"/>
          <w:szCs w:val="18"/>
        </w:rPr>
        <w:t xml:space="preserve">. </w:t>
      </w:r>
      <w:r w:rsidR="001825EB" w:rsidRPr="003F2720">
        <w:rPr>
          <w:rFonts w:ascii="Montserrat" w:hAnsi="Montserrat" w:cs="Arial"/>
          <w:sz w:val="18"/>
          <w:szCs w:val="18"/>
        </w:rPr>
        <w:t>Son instituciones financieras que administran las aportaciones de dinero que hacen los trabajadores, sus patrones y el gobierno para asegurar las pensiones para el retiro.</w:t>
      </w:r>
    </w:p>
    <w:p w14:paraId="381A1DBB" w14:textId="77777777" w:rsidR="001825EB" w:rsidRPr="003F2720" w:rsidRDefault="001825EB" w:rsidP="00AF3E54">
      <w:pPr>
        <w:spacing w:line="276" w:lineRule="auto"/>
        <w:ind w:left="-567"/>
        <w:jc w:val="both"/>
        <w:rPr>
          <w:rFonts w:ascii="Montserrat" w:hAnsi="Montserrat" w:cs="Arial"/>
          <w:sz w:val="18"/>
          <w:szCs w:val="18"/>
        </w:rPr>
      </w:pPr>
      <w:r w:rsidRPr="003F2720">
        <w:rPr>
          <w:rFonts w:ascii="Montserrat" w:hAnsi="Montserrat" w:cs="Arial"/>
          <w:b/>
          <w:sz w:val="18"/>
          <w:szCs w:val="18"/>
        </w:rPr>
        <w:t>Seguro.</w:t>
      </w:r>
      <w:r w:rsidRPr="003F2720">
        <w:rPr>
          <w:rFonts w:ascii="Montserrat" w:hAnsi="Montserrat" w:cs="Arial"/>
          <w:sz w:val="18"/>
          <w:szCs w:val="18"/>
        </w:rPr>
        <w:t xml:space="preserve"> Es un contrato (póliza) por medio del cual una persona (asegurado) contrata con una compañía (aseguradora) una prestación o servicio para cubrir un riesgo a cambio de un pago o prima.</w:t>
      </w:r>
    </w:p>
    <w:p w14:paraId="5CF35AAF" w14:textId="77777777" w:rsidR="001825EB" w:rsidRPr="003F2720" w:rsidRDefault="001825EB" w:rsidP="00AF3E54">
      <w:pPr>
        <w:spacing w:line="276" w:lineRule="auto"/>
        <w:ind w:left="-567"/>
        <w:jc w:val="both"/>
        <w:rPr>
          <w:rFonts w:ascii="Montserrat" w:eastAsia="Times New Roman" w:hAnsi="Montserrat" w:cs="Arial"/>
          <w:b/>
          <w:sz w:val="18"/>
          <w:szCs w:val="18"/>
        </w:rPr>
      </w:pPr>
      <w:r w:rsidRPr="003F2720">
        <w:rPr>
          <w:rFonts w:ascii="Montserrat" w:eastAsia="Times New Roman" w:hAnsi="Montserrat" w:cs="Arial"/>
          <w:b/>
          <w:sz w:val="18"/>
          <w:szCs w:val="18"/>
        </w:rPr>
        <w:t>Principales indicadores</w:t>
      </w:r>
    </w:p>
    <w:p w14:paraId="7EEADDE9" w14:textId="77777777" w:rsidR="001825EB" w:rsidRPr="003F2720" w:rsidRDefault="001825EB" w:rsidP="00AF3E54">
      <w:pPr>
        <w:spacing w:line="276" w:lineRule="auto"/>
        <w:ind w:left="-567"/>
        <w:jc w:val="both"/>
        <w:rPr>
          <w:rFonts w:ascii="Montserrat" w:eastAsia="Times New Roman" w:hAnsi="Montserrat" w:cs="Arial"/>
          <w:sz w:val="18"/>
          <w:szCs w:val="18"/>
        </w:rPr>
      </w:pPr>
      <w:r w:rsidRPr="003F2720">
        <w:rPr>
          <w:rFonts w:ascii="Montserrat" w:eastAsia="Times New Roman" w:hAnsi="Montserrat" w:cs="Arial"/>
          <w:sz w:val="18"/>
          <w:szCs w:val="18"/>
        </w:rPr>
        <w:t>Entre los indicadores más importantes que se pueden construir, a nivel nacional y regional, con la ENIF 2021 están:</w:t>
      </w:r>
    </w:p>
    <w:p w14:paraId="13503AE5" w14:textId="09A86DC9" w:rsidR="001825EB" w:rsidRPr="003F2720" w:rsidRDefault="001825EB" w:rsidP="00AF3E54">
      <w:pPr>
        <w:pStyle w:val="Prrafodelista"/>
        <w:numPr>
          <w:ilvl w:val="0"/>
          <w:numId w:val="23"/>
        </w:numPr>
        <w:spacing w:after="240" w:line="300" w:lineRule="exact"/>
        <w:contextualSpacing w:val="0"/>
        <w:jc w:val="both"/>
        <w:rPr>
          <w:rFonts w:ascii="Montserrat" w:hAnsi="Montserrat"/>
          <w:sz w:val="18"/>
          <w:szCs w:val="18"/>
        </w:rPr>
      </w:pPr>
      <w:r w:rsidRPr="003F2720">
        <w:rPr>
          <w:rFonts w:ascii="Montserrat" w:eastAsia="Times New Roman" w:hAnsi="Montserrat" w:cs="Arial"/>
          <w:b/>
          <w:sz w:val="18"/>
          <w:szCs w:val="18"/>
        </w:rPr>
        <w:t>Porcentaje de población de 18 a 70 años que tiene</w:t>
      </w:r>
      <w:r w:rsidR="009B65E1">
        <w:rPr>
          <w:rFonts w:ascii="Montserrat" w:eastAsia="Times New Roman" w:hAnsi="Montserrat" w:cs="Arial"/>
          <w:b/>
          <w:sz w:val="18"/>
          <w:szCs w:val="18"/>
        </w:rPr>
        <w:t xml:space="preserve"> al menos</w:t>
      </w:r>
      <w:r w:rsidRPr="003F2720">
        <w:rPr>
          <w:rFonts w:ascii="Montserrat" w:eastAsia="Times New Roman" w:hAnsi="Montserrat" w:cs="Arial"/>
          <w:b/>
          <w:sz w:val="18"/>
          <w:szCs w:val="18"/>
        </w:rPr>
        <w:t xml:space="preserve"> un producto financiero. </w:t>
      </w:r>
      <w:r w:rsidRPr="003F2720">
        <w:rPr>
          <w:rFonts w:ascii="Montserrat" w:eastAsia="Times New Roman" w:hAnsi="Montserrat" w:cs="Arial"/>
          <w:sz w:val="18"/>
          <w:szCs w:val="18"/>
        </w:rPr>
        <w:t xml:space="preserve">Es el cociente que resulta de dividir a la población de 18 a 70 años que tiene al menos un producto financiero (cuenta de ahorro formal, crédito formal, seguro o cuenta de ahorro para el retiro o </w:t>
      </w:r>
      <w:r w:rsidR="004B12C4" w:rsidRPr="003F2720">
        <w:rPr>
          <w:rFonts w:ascii="Montserrat" w:eastAsia="Times New Roman" w:hAnsi="Montserrat" w:cs="Arial"/>
          <w:sz w:val="18"/>
          <w:szCs w:val="18"/>
        </w:rPr>
        <w:t>AFORE</w:t>
      </w:r>
      <w:r w:rsidRPr="003F2720">
        <w:rPr>
          <w:rFonts w:ascii="Montserrat" w:eastAsia="Times New Roman" w:hAnsi="Montserrat" w:cs="Arial"/>
          <w:sz w:val="18"/>
          <w:szCs w:val="18"/>
        </w:rPr>
        <w:t>), entre la población objetivo</w:t>
      </w:r>
      <w:r w:rsidRPr="003F2720">
        <w:rPr>
          <w:rFonts w:ascii="Montserrat" w:hAnsi="Montserrat"/>
          <w:sz w:val="18"/>
          <w:szCs w:val="18"/>
        </w:rPr>
        <w:t>, multiplicado por cien.</w:t>
      </w:r>
    </w:p>
    <w:p w14:paraId="07F0116D" w14:textId="59DF45FA" w:rsidR="001825EB" w:rsidRPr="003F2720" w:rsidRDefault="001825EB" w:rsidP="00AF3E54">
      <w:pPr>
        <w:pStyle w:val="Prrafodelista"/>
        <w:numPr>
          <w:ilvl w:val="0"/>
          <w:numId w:val="23"/>
        </w:numPr>
        <w:spacing w:after="240" w:line="300" w:lineRule="exact"/>
        <w:contextualSpacing w:val="0"/>
        <w:jc w:val="both"/>
        <w:rPr>
          <w:rFonts w:ascii="Montserrat" w:eastAsia="Times New Roman" w:hAnsi="Montserrat" w:cs="Arial"/>
          <w:sz w:val="18"/>
          <w:szCs w:val="18"/>
        </w:rPr>
      </w:pPr>
      <w:r w:rsidRPr="003F2720">
        <w:rPr>
          <w:rFonts w:ascii="Montserrat" w:eastAsia="Times New Roman" w:hAnsi="Montserrat" w:cs="Arial"/>
          <w:b/>
          <w:sz w:val="18"/>
          <w:szCs w:val="18"/>
        </w:rPr>
        <w:t xml:space="preserve">Porcentaje de población de 18 a 70 años que tiene </w:t>
      </w:r>
      <w:r w:rsidR="009B65E1">
        <w:rPr>
          <w:rFonts w:ascii="Montserrat" w:eastAsia="Times New Roman" w:hAnsi="Montserrat" w:cs="Arial"/>
          <w:b/>
          <w:sz w:val="18"/>
          <w:szCs w:val="18"/>
        </w:rPr>
        <w:t>al menos</w:t>
      </w:r>
      <w:r w:rsidR="009B65E1" w:rsidRPr="003F2720">
        <w:rPr>
          <w:rFonts w:ascii="Montserrat" w:eastAsia="Times New Roman" w:hAnsi="Montserrat" w:cs="Arial"/>
          <w:b/>
          <w:sz w:val="18"/>
          <w:szCs w:val="18"/>
        </w:rPr>
        <w:t xml:space="preserve"> </w:t>
      </w:r>
      <w:r w:rsidRPr="003F2720">
        <w:rPr>
          <w:rFonts w:ascii="Montserrat" w:eastAsia="Times New Roman" w:hAnsi="Montserrat" w:cs="Arial"/>
          <w:b/>
          <w:sz w:val="18"/>
          <w:szCs w:val="18"/>
        </w:rPr>
        <w:t xml:space="preserve">cuenta de ahorro formal. </w:t>
      </w:r>
      <w:r w:rsidRPr="003F2720">
        <w:rPr>
          <w:rFonts w:ascii="Montserrat" w:eastAsia="Times New Roman" w:hAnsi="Montserrat" w:cs="Arial"/>
          <w:sz w:val="18"/>
          <w:szCs w:val="18"/>
        </w:rPr>
        <w:t xml:space="preserve">Es el cociente que resulta de dividir a la población de 18 a 70 años que tiene al menos una cuenta de ahorro formal (cuenta de nómina, pensión, para recibir apoyos del gobierno, de ahorro, de cheques, de inversión o contratada por </w:t>
      </w:r>
      <w:r w:rsidR="00AF668D" w:rsidRPr="003F2720">
        <w:rPr>
          <w:rFonts w:ascii="Montserrat" w:eastAsia="Times New Roman" w:hAnsi="Montserrat" w:cs="Arial"/>
          <w:sz w:val="18"/>
          <w:szCs w:val="18"/>
        </w:rPr>
        <w:t>i</w:t>
      </w:r>
      <w:r w:rsidRPr="003F2720">
        <w:rPr>
          <w:rFonts w:ascii="Montserrat" w:eastAsia="Times New Roman" w:hAnsi="Montserrat" w:cs="Arial"/>
          <w:sz w:val="18"/>
          <w:szCs w:val="18"/>
        </w:rPr>
        <w:t xml:space="preserve">nternet o aplicación), </w:t>
      </w:r>
      <w:r w:rsidRPr="003F2720">
        <w:rPr>
          <w:rFonts w:ascii="Montserrat" w:hAnsi="Montserrat"/>
          <w:sz w:val="18"/>
          <w:szCs w:val="18"/>
        </w:rPr>
        <w:t>entre la población objetivo,</w:t>
      </w:r>
      <w:r w:rsidRPr="003F2720">
        <w:rPr>
          <w:rFonts w:ascii="Montserrat" w:eastAsia="Times New Roman" w:hAnsi="Montserrat" w:cs="Arial"/>
          <w:sz w:val="18"/>
          <w:szCs w:val="18"/>
        </w:rPr>
        <w:t xml:space="preserve"> multiplicado por cien.</w:t>
      </w:r>
    </w:p>
    <w:p w14:paraId="1FD938D9" w14:textId="249A1F8F" w:rsidR="001825EB" w:rsidRPr="003F2720" w:rsidRDefault="001825EB" w:rsidP="00AF3E54">
      <w:pPr>
        <w:pStyle w:val="Prrafodelista"/>
        <w:numPr>
          <w:ilvl w:val="0"/>
          <w:numId w:val="23"/>
        </w:numPr>
        <w:spacing w:after="240" w:line="300" w:lineRule="exact"/>
        <w:contextualSpacing w:val="0"/>
        <w:jc w:val="both"/>
        <w:rPr>
          <w:rFonts w:ascii="Montserrat" w:eastAsia="Times New Roman" w:hAnsi="Montserrat" w:cs="Arial"/>
          <w:sz w:val="18"/>
          <w:szCs w:val="18"/>
        </w:rPr>
      </w:pPr>
      <w:r w:rsidRPr="003F2720">
        <w:rPr>
          <w:rFonts w:ascii="Montserrat" w:eastAsia="Times New Roman" w:hAnsi="Montserrat" w:cs="Arial"/>
          <w:b/>
          <w:sz w:val="18"/>
          <w:szCs w:val="18"/>
        </w:rPr>
        <w:t xml:space="preserve">Porcentaje de población de 18 a 70 años que tiene </w:t>
      </w:r>
      <w:r w:rsidR="009B65E1">
        <w:rPr>
          <w:rFonts w:ascii="Montserrat" w:eastAsia="Times New Roman" w:hAnsi="Montserrat" w:cs="Arial"/>
          <w:b/>
          <w:sz w:val="18"/>
          <w:szCs w:val="18"/>
        </w:rPr>
        <w:t xml:space="preserve">al menos </w:t>
      </w:r>
      <w:r w:rsidRPr="003F2720">
        <w:rPr>
          <w:rFonts w:ascii="Montserrat" w:eastAsia="Times New Roman" w:hAnsi="Montserrat" w:cs="Arial"/>
          <w:b/>
          <w:sz w:val="18"/>
          <w:szCs w:val="18"/>
        </w:rPr>
        <w:t xml:space="preserve">un crédito formal. </w:t>
      </w:r>
      <w:r w:rsidRPr="003F2720">
        <w:rPr>
          <w:rFonts w:ascii="Montserrat" w:eastAsia="Times New Roman" w:hAnsi="Montserrat" w:cs="Arial"/>
          <w:sz w:val="18"/>
          <w:szCs w:val="18"/>
        </w:rPr>
        <w:t xml:space="preserve">Es el cociente que resulta de dividir a la población de 18 a 70 años que tiene al menos un crédito formal (tarjeta de crédito bancaria o departamental, crédito de nómina, personal, de vivienda, grupal o crédito contratado por </w:t>
      </w:r>
      <w:r w:rsidR="00AF668D" w:rsidRPr="003F2720">
        <w:rPr>
          <w:rFonts w:ascii="Montserrat" w:eastAsia="Times New Roman" w:hAnsi="Montserrat" w:cs="Arial"/>
          <w:sz w:val="18"/>
          <w:szCs w:val="18"/>
        </w:rPr>
        <w:t>i</w:t>
      </w:r>
      <w:r w:rsidRPr="003F2720">
        <w:rPr>
          <w:rFonts w:ascii="Montserrat" w:eastAsia="Times New Roman" w:hAnsi="Montserrat" w:cs="Arial"/>
          <w:sz w:val="18"/>
          <w:szCs w:val="18"/>
        </w:rPr>
        <w:t xml:space="preserve">nternet o aplicación), entre la </w:t>
      </w:r>
      <w:r w:rsidRPr="003F2720">
        <w:rPr>
          <w:rFonts w:ascii="Montserrat" w:hAnsi="Montserrat"/>
          <w:sz w:val="18"/>
          <w:szCs w:val="18"/>
        </w:rPr>
        <w:t>población objetivo,</w:t>
      </w:r>
      <w:r w:rsidRPr="003F2720">
        <w:rPr>
          <w:rFonts w:ascii="Montserrat" w:eastAsia="Times New Roman" w:hAnsi="Montserrat" w:cs="Arial"/>
          <w:sz w:val="18"/>
          <w:szCs w:val="18"/>
        </w:rPr>
        <w:t xml:space="preserve"> multiplicado por cien.</w:t>
      </w:r>
    </w:p>
    <w:p w14:paraId="6B66A3C9" w14:textId="64EE1E02" w:rsidR="001825EB" w:rsidRPr="003F2720" w:rsidRDefault="001825EB" w:rsidP="00AF3E54">
      <w:pPr>
        <w:pStyle w:val="Prrafodelista"/>
        <w:numPr>
          <w:ilvl w:val="0"/>
          <w:numId w:val="23"/>
        </w:numPr>
        <w:spacing w:after="240" w:line="300" w:lineRule="exact"/>
        <w:contextualSpacing w:val="0"/>
        <w:jc w:val="both"/>
        <w:rPr>
          <w:rFonts w:ascii="Montserrat" w:eastAsia="Times New Roman" w:hAnsi="Montserrat" w:cs="Arial"/>
          <w:sz w:val="18"/>
          <w:szCs w:val="18"/>
        </w:rPr>
      </w:pPr>
      <w:r w:rsidRPr="003F2720">
        <w:rPr>
          <w:rFonts w:ascii="Montserrat" w:eastAsia="Times New Roman" w:hAnsi="Montserrat" w:cs="Arial"/>
          <w:b/>
          <w:sz w:val="18"/>
          <w:szCs w:val="18"/>
        </w:rPr>
        <w:t xml:space="preserve">Porcentaje de población de 18 a 70 años que tiene </w:t>
      </w:r>
      <w:r w:rsidR="009B65E1">
        <w:rPr>
          <w:rFonts w:ascii="Montserrat" w:eastAsia="Times New Roman" w:hAnsi="Montserrat" w:cs="Arial"/>
          <w:b/>
          <w:sz w:val="18"/>
          <w:szCs w:val="18"/>
        </w:rPr>
        <w:t xml:space="preserve">al menos </w:t>
      </w:r>
      <w:r w:rsidRPr="003F2720">
        <w:rPr>
          <w:rFonts w:ascii="Montserrat" w:eastAsia="Times New Roman" w:hAnsi="Montserrat" w:cs="Arial"/>
          <w:b/>
          <w:sz w:val="18"/>
          <w:szCs w:val="18"/>
        </w:rPr>
        <w:t xml:space="preserve">un seguro. </w:t>
      </w:r>
      <w:r w:rsidRPr="003F2720">
        <w:rPr>
          <w:rFonts w:ascii="Montserrat" w:eastAsia="Times New Roman" w:hAnsi="Montserrat" w:cs="Arial"/>
          <w:sz w:val="18"/>
          <w:szCs w:val="18"/>
        </w:rPr>
        <w:t>Es el cociente que resulta de dividir a la población de 18 a 70 años que tiene al menos un seguro (de vida, gastos médicos, de auto, contra accidentes, de casa, educación o plan privado de retiro), entre la población objetivo, multiplicado por cien.</w:t>
      </w:r>
    </w:p>
    <w:p w14:paraId="175AB9A0" w14:textId="721DFB09" w:rsidR="00B140A8" w:rsidRPr="003D57E9" w:rsidRDefault="001825EB" w:rsidP="003F2720">
      <w:pPr>
        <w:pStyle w:val="Prrafodelista"/>
        <w:numPr>
          <w:ilvl w:val="0"/>
          <w:numId w:val="23"/>
        </w:numPr>
        <w:spacing w:after="240" w:line="300" w:lineRule="exact"/>
        <w:contextualSpacing w:val="0"/>
        <w:jc w:val="both"/>
        <w:rPr>
          <w:rFonts w:ascii="Montserrat" w:hAnsi="Montserrat" w:cs="Arial"/>
          <w:b/>
          <w:sz w:val="18"/>
          <w:szCs w:val="18"/>
        </w:rPr>
      </w:pPr>
      <w:r w:rsidRPr="003F2720">
        <w:rPr>
          <w:rFonts w:ascii="Montserrat" w:eastAsia="Times New Roman" w:hAnsi="Montserrat" w:cs="Arial"/>
          <w:b/>
          <w:sz w:val="18"/>
          <w:szCs w:val="18"/>
        </w:rPr>
        <w:lastRenderedPageBreak/>
        <w:t xml:space="preserve">Porcentaje de población de 18 a 70 años que tiene cuenta de ahorro para el retiro o </w:t>
      </w:r>
      <w:r w:rsidR="004B12C4" w:rsidRPr="003F2720">
        <w:rPr>
          <w:rFonts w:ascii="Montserrat" w:eastAsia="Times New Roman" w:hAnsi="Montserrat" w:cs="Arial"/>
          <w:b/>
          <w:sz w:val="18"/>
          <w:szCs w:val="18"/>
        </w:rPr>
        <w:t>AFORE</w:t>
      </w:r>
      <w:r w:rsidRPr="003F2720">
        <w:rPr>
          <w:rFonts w:ascii="Montserrat" w:eastAsia="Times New Roman" w:hAnsi="Montserrat" w:cs="Arial"/>
          <w:b/>
          <w:sz w:val="18"/>
          <w:szCs w:val="18"/>
        </w:rPr>
        <w:t xml:space="preserve">. </w:t>
      </w:r>
      <w:r w:rsidRPr="003F2720">
        <w:rPr>
          <w:rFonts w:ascii="Montserrat" w:eastAsia="Times New Roman" w:hAnsi="Montserrat" w:cs="Arial"/>
          <w:sz w:val="18"/>
          <w:szCs w:val="18"/>
        </w:rPr>
        <w:t xml:space="preserve">Es el cociente que resulta de dividir a la población de 18 a 70 años que tiene una cuenta de ahorro para el retiro o </w:t>
      </w:r>
      <w:r w:rsidR="004B12C4" w:rsidRPr="003F2720">
        <w:rPr>
          <w:rFonts w:ascii="Montserrat" w:eastAsia="Times New Roman" w:hAnsi="Montserrat" w:cs="Arial"/>
          <w:sz w:val="18"/>
          <w:szCs w:val="18"/>
        </w:rPr>
        <w:t>AFORE</w:t>
      </w:r>
      <w:r w:rsidRPr="003F2720">
        <w:rPr>
          <w:rFonts w:ascii="Montserrat" w:eastAsia="Times New Roman" w:hAnsi="Montserrat" w:cs="Arial"/>
          <w:sz w:val="18"/>
          <w:szCs w:val="18"/>
        </w:rPr>
        <w:t xml:space="preserve">, entre la población </w:t>
      </w:r>
      <w:r w:rsidRPr="003F2720">
        <w:rPr>
          <w:rFonts w:ascii="Montserrat" w:hAnsi="Montserrat"/>
          <w:sz w:val="18"/>
          <w:szCs w:val="18"/>
        </w:rPr>
        <w:t>objetivo,</w:t>
      </w:r>
      <w:r w:rsidRPr="003F2720">
        <w:rPr>
          <w:rFonts w:ascii="Montserrat" w:eastAsia="Times New Roman" w:hAnsi="Montserrat" w:cs="Arial"/>
          <w:sz w:val="18"/>
          <w:szCs w:val="18"/>
        </w:rPr>
        <w:t xml:space="preserve"> multiplicado por cien.</w:t>
      </w:r>
    </w:p>
    <w:p w14:paraId="355207DE" w14:textId="77777777" w:rsidR="003D57E9" w:rsidRPr="00855DD8" w:rsidRDefault="003D57E9" w:rsidP="003D57E9">
      <w:pPr>
        <w:pStyle w:val="Ttulo1"/>
        <w:jc w:val="center"/>
        <w:rPr>
          <w:rFonts w:ascii="Calibri" w:eastAsia="Calibri" w:hAnsi="Calibri" w:cs="Calibri"/>
          <w:b/>
          <w:w w:val="120"/>
          <w:sz w:val="20"/>
          <w:szCs w:val="20"/>
          <w:lang w:eastAsia="es-MX" w:bidi="es-MX"/>
        </w:rPr>
      </w:pPr>
      <w:r w:rsidRPr="00855DD8">
        <w:rPr>
          <w:rFonts w:ascii="Calibri" w:eastAsia="Calibri" w:hAnsi="Calibri" w:cs="Calibri"/>
          <w:b/>
          <w:w w:val="120"/>
          <w:sz w:val="20"/>
          <w:szCs w:val="20"/>
          <w:lang w:eastAsia="es-MX" w:bidi="es-MX"/>
        </w:rPr>
        <w:t>o0o</w:t>
      </w:r>
    </w:p>
    <w:p w14:paraId="5E0D0A53" w14:textId="77777777" w:rsidR="003D57E9" w:rsidRPr="003D57E9" w:rsidRDefault="003D57E9" w:rsidP="003D57E9">
      <w:pPr>
        <w:spacing w:after="240" w:line="300" w:lineRule="exact"/>
        <w:jc w:val="both"/>
        <w:rPr>
          <w:rFonts w:ascii="Montserrat" w:hAnsi="Montserrat" w:cs="Arial"/>
          <w:b/>
          <w:sz w:val="18"/>
          <w:szCs w:val="18"/>
        </w:rPr>
      </w:pPr>
    </w:p>
    <w:sectPr w:rsidR="003D57E9" w:rsidRPr="003D57E9" w:rsidSect="003D57E9">
      <w:headerReference w:type="default" r:id="rId15"/>
      <w:type w:val="continuous"/>
      <w:pgSz w:w="12240" w:h="15840"/>
      <w:pgMar w:top="2127" w:right="118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A572" w14:textId="77777777" w:rsidR="007049D6" w:rsidRDefault="007049D6" w:rsidP="00851A64">
      <w:pPr>
        <w:spacing w:after="0" w:line="240" w:lineRule="auto"/>
      </w:pPr>
      <w:r>
        <w:separator/>
      </w:r>
    </w:p>
  </w:endnote>
  <w:endnote w:type="continuationSeparator" w:id="0">
    <w:p w14:paraId="1E89710C" w14:textId="77777777" w:rsidR="007049D6" w:rsidRDefault="007049D6" w:rsidP="00851A64">
      <w:pPr>
        <w:spacing w:after="0" w:line="240" w:lineRule="auto"/>
      </w:pPr>
      <w:r>
        <w:continuationSeparator/>
      </w:r>
    </w:p>
  </w:endnote>
  <w:endnote w:type="continuationNotice" w:id="1">
    <w:p w14:paraId="583FD84D" w14:textId="77777777" w:rsidR="007049D6" w:rsidRDefault="00704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Regular">
    <w:altName w:val="Courier New"/>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SemiBold">
    <w:altName w:val="Calibri"/>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28EF" w14:textId="77777777" w:rsidR="007049D6" w:rsidRDefault="007049D6" w:rsidP="00851A64">
      <w:pPr>
        <w:spacing w:after="0" w:line="240" w:lineRule="auto"/>
      </w:pPr>
      <w:r>
        <w:separator/>
      </w:r>
    </w:p>
  </w:footnote>
  <w:footnote w:type="continuationSeparator" w:id="0">
    <w:p w14:paraId="671BC228" w14:textId="77777777" w:rsidR="007049D6" w:rsidRDefault="007049D6" w:rsidP="00851A64">
      <w:pPr>
        <w:spacing w:after="0" w:line="240" w:lineRule="auto"/>
      </w:pPr>
      <w:r>
        <w:continuationSeparator/>
      </w:r>
    </w:p>
  </w:footnote>
  <w:footnote w:type="continuationNotice" w:id="1">
    <w:p w14:paraId="73AEB721" w14:textId="77777777" w:rsidR="007049D6" w:rsidRDefault="007049D6">
      <w:pPr>
        <w:spacing w:after="0" w:line="240" w:lineRule="auto"/>
      </w:pPr>
    </w:p>
  </w:footnote>
  <w:footnote w:id="2">
    <w:p w14:paraId="2B6FD410" w14:textId="3DA9A591" w:rsidR="002D7510" w:rsidRDefault="002D7510" w:rsidP="00AF3E54">
      <w:pPr>
        <w:pStyle w:val="Textonotapie"/>
        <w:ind w:left="-567"/>
        <w:jc w:val="both"/>
      </w:pPr>
      <w:r w:rsidRPr="009A6BE8">
        <w:rPr>
          <w:rStyle w:val="Refdenotaalpie"/>
          <w:rFonts w:ascii="Arial" w:hAnsi="Arial" w:cs="Arial"/>
          <w:sz w:val="16"/>
          <w:szCs w:val="16"/>
        </w:rPr>
        <w:footnoteRef/>
      </w:r>
      <w:r w:rsidRPr="009A6BE8">
        <w:rPr>
          <w:rFonts w:ascii="Arial" w:hAnsi="Arial" w:cs="Arial"/>
          <w:sz w:val="16"/>
          <w:szCs w:val="16"/>
        </w:rPr>
        <w:t xml:space="preserve"> </w:t>
      </w:r>
      <w:r w:rsidRPr="009A6BE8">
        <w:rPr>
          <w:rFonts w:ascii="Arial" w:hAnsi="Arial" w:cs="Arial"/>
          <w:b/>
          <w:sz w:val="16"/>
          <w:szCs w:val="16"/>
        </w:rPr>
        <w:t>Noroeste</w:t>
      </w:r>
      <w:r w:rsidRPr="009A6BE8">
        <w:rPr>
          <w:rFonts w:ascii="Arial" w:hAnsi="Arial" w:cs="Arial"/>
          <w:sz w:val="16"/>
          <w:szCs w:val="16"/>
        </w:rPr>
        <w:t>: Baja California, Baja California Sur, Chihuahua, Durango, Sinaloa y Sonora</w:t>
      </w:r>
      <w:r>
        <w:rPr>
          <w:rFonts w:ascii="Arial" w:hAnsi="Arial" w:cs="Arial"/>
          <w:sz w:val="16"/>
          <w:szCs w:val="16"/>
        </w:rPr>
        <w:t xml:space="preserve">. </w:t>
      </w:r>
      <w:r w:rsidRPr="009A6BE8">
        <w:rPr>
          <w:rFonts w:ascii="Arial" w:hAnsi="Arial" w:cs="Arial"/>
          <w:b/>
          <w:sz w:val="16"/>
          <w:szCs w:val="16"/>
        </w:rPr>
        <w:t>Noreste</w:t>
      </w:r>
      <w:r w:rsidRPr="009A6BE8">
        <w:rPr>
          <w:rFonts w:ascii="Arial" w:hAnsi="Arial" w:cs="Arial"/>
          <w:sz w:val="16"/>
          <w:szCs w:val="16"/>
        </w:rPr>
        <w:t>: Coahuila, Nuevo León, San Luis Potosí y Tamaulipas</w:t>
      </w:r>
      <w:r>
        <w:rPr>
          <w:rFonts w:ascii="Arial" w:hAnsi="Arial" w:cs="Arial"/>
          <w:sz w:val="16"/>
          <w:szCs w:val="16"/>
        </w:rPr>
        <w:t xml:space="preserve">. </w:t>
      </w:r>
      <w:r w:rsidRPr="009A6BE8">
        <w:rPr>
          <w:rFonts w:ascii="Arial" w:hAnsi="Arial" w:cs="Arial"/>
          <w:b/>
          <w:sz w:val="16"/>
          <w:szCs w:val="16"/>
        </w:rPr>
        <w:t>Occidente y Bajío</w:t>
      </w:r>
      <w:r w:rsidRPr="009A6BE8">
        <w:rPr>
          <w:rFonts w:ascii="Arial" w:hAnsi="Arial" w:cs="Arial"/>
          <w:sz w:val="16"/>
          <w:szCs w:val="16"/>
        </w:rPr>
        <w:t>: Aguascalientes, Colima, Guanajuato, Jalisco, Michoacán, Nayarit, Querétaro y Zacatecas</w:t>
      </w:r>
      <w:r>
        <w:rPr>
          <w:rFonts w:ascii="Arial" w:hAnsi="Arial" w:cs="Arial"/>
          <w:sz w:val="16"/>
          <w:szCs w:val="16"/>
        </w:rPr>
        <w:t xml:space="preserve">. </w:t>
      </w:r>
      <w:r w:rsidRPr="009A6BE8">
        <w:rPr>
          <w:rFonts w:ascii="Arial" w:hAnsi="Arial" w:cs="Arial"/>
          <w:b/>
          <w:sz w:val="16"/>
          <w:szCs w:val="16"/>
        </w:rPr>
        <w:t>Ciudad de México</w:t>
      </w:r>
      <w:r>
        <w:rPr>
          <w:rFonts w:ascii="Arial" w:hAnsi="Arial" w:cs="Arial"/>
          <w:sz w:val="16"/>
          <w:szCs w:val="16"/>
        </w:rPr>
        <w:t xml:space="preserve">. </w:t>
      </w:r>
      <w:r w:rsidRPr="009A6BE8">
        <w:rPr>
          <w:rFonts w:ascii="Arial" w:hAnsi="Arial" w:cs="Arial"/>
          <w:b/>
          <w:sz w:val="16"/>
          <w:szCs w:val="16"/>
        </w:rPr>
        <w:t>Centro sur y Oriente</w:t>
      </w:r>
      <w:r w:rsidRPr="009A6BE8">
        <w:rPr>
          <w:rFonts w:ascii="Arial" w:hAnsi="Arial" w:cs="Arial"/>
          <w:sz w:val="16"/>
          <w:szCs w:val="16"/>
        </w:rPr>
        <w:t>: Estado de México, Hidalgo, Morelos, Puebla, Tlaxcala y</w:t>
      </w:r>
      <w:r>
        <w:rPr>
          <w:rFonts w:ascii="Arial" w:hAnsi="Arial" w:cs="Arial"/>
          <w:sz w:val="16"/>
          <w:szCs w:val="16"/>
        </w:rPr>
        <w:t xml:space="preserve"> </w:t>
      </w:r>
      <w:r w:rsidRPr="009A6BE8">
        <w:rPr>
          <w:rFonts w:ascii="Arial" w:hAnsi="Arial" w:cs="Arial"/>
          <w:sz w:val="16"/>
          <w:szCs w:val="16"/>
        </w:rPr>
        <w:t>Veracruz</w:t>
      </w:r>
      <w:r>
        <w:t xml:space="preserve">. </w:t>
      </w:r>
      <w:r w:rsidRPr="009A6BE8">
        <w:rPr>
          <w:rFonts w:ascii="Arial" w:hAnsi="Arial" w:cs="Arial"/>
          <w:b/>
          <w:sz w:val="16"/>
          <w:szCs w:val="16"/>
        </w:rPr>
        <w:t>Sur</w:t>
      </w:r>
      <w:r w:rsidRPr="00F248A2">
        <w:rPr>
          <w:rFonts w:ascii="Arial" w:hAnsi="Arial" w:cs="Arial"/>
          <w:sz w:val="16"/>
          <w:szCs w:val="16"/>
        </w:rPr>
        <w:t>: Campeche, Chiapas, Guerrero, Oaxaca, Quintana Roo, Tabasco y Yucatán</w:t>
      </w:r>
      <w:r>
        <w:rPr>
          <w:rFonts w:ascii="Arial" w:hAnsi="Arial" w:cs="Arial"/>
          <w:sz w:val="16"/>
          <w:szCs w:val="16"/>
        </w:rPr>
        <w:t>.</w:t>
      </w:r>
    </w:p>
  </w:footnote>
  <w:footnote w:id="3">
    <w:p w14:paraId="4270519C" w14:textId="3E17F6CC" w:rsidR="002D7510" w:rsidRDefault="002D7510" w:rsidP="00AF3E54">
      <w:pPr>
        <w:pStyle w:val="Textonotapie"/>
        <w:ind w:left="-567"/>
        <w:jc w:val="both"/>
      </w:pPr>
      <w:r w:rsidRPr="009A6BE8">
        <w:rPr>
          <w:rFonts w:ascii="Arial" w:hAnsi="Arial" w:cs="Arial"/>
          <w:sz w:val="16"/>
          <w:szCs w:val="16"/>
          <w:vertAlign w:val="superscript"/>
        </w:rPr>
        <w:footnoteRef/>
      </w:r>
      <w:r w:rsidRPr="009A6BE8">
        <w:rPr>
          <w:rFonts w:ascii="Arial" w:hAnsi="Arial" w:cs="Arial"/>
          <w:sz w:val="16"/>
          <w:szCs w:val="16"/>
        </w:rPr>
        <w:t xml:space="preserve"> </w:t>
      </w:r>
      <w:r>
        <w:rPr>
          <w:rFonts w:ascii="Arial" w:hAnsi="Arial" w:cs="Arial"/>
          <w:sz w:val="16"/>
          <w:szCs w:val="16"/>
        </w:rPr>
        <w:t>Corresponde</w:t>
      </w:r>
      <w:r w:rsidRPr="009A6BE8">
        <w:rPr>
          <w:rFonts w:ascii="Arial" w:hAnsi="Arial" w:cs="Arial"/>
          <w:sz w:val="16"/>
          <w:szCs w:val="16"/>
        </w:rPr>
        <w:t xml:space="preserve"> a </w:t>
      </w:r>
      <w:r>
        <w:rPr>
          <w:rFonts w:ascii="Arial" w:hAnsi="Arial" w:cs="Arial"/>
          <w:sz w:val="16"/>
          <w:szCs w:val="16"/>
        </w:rPr>
        <w:t xml:space="preserve">la condición de tener </w:t>
      </w:r>
      <w:r w:rsidRPr="009A6BE8">
        <w:rPr>
          <w:rFonts w:ascii="Arial" w:hAnsi="Arial" w:cs="Arial"/>
          <w:sz w:val="16"/>
          <w:szCs w:val="16"/>
        </w:rPr>
        <w:t>una cuenta de ahorro formal: cuenta o tarjeta de nómina, de pensión, para recibir apoyos de gobierno, cuenta de ahorro, de cheques, depósitos a plazos fijos, fondo de inversión u otros.</w:t>
      </w:r>
    </w:p>
  </w:footnote>
  <w:footnote w:id="4">
    <w:p w14:paraId="69F79573" w14:textId="2DBFE842" w:rsidR="002D7510" w:rsidRPr="009A6BE8" w:rsidRDefault="002D7510" w:rsidP="00C11A22">
      <w:pPr>
        <w:pStyle w:val="Textonotapie"/>
        <w:ind w:left="-567"/>
        <w:jc w:val="both"/>
        <w:rPr>
          <w:rFonts w:ascii="Arial" w:hAnsi="Arial" w:cs="Arial"/>
          <w:sz w:val="16"/>
          <w:szCs w:val="16"/>
        </w:rPr>
      </w:pPr>
      <w:r w:rsidRPr="009A6BE8">
        <w:rPr>
          <w:rStyle w:val="Refdenotaalpie"/>
          <w:rFonts w:ascii="Arial" w:hAnsi="Arial" w:cs="Arial"/>
          <w:sz w:val="16"/>
          <w:szCs w:val="16"/>
        </w:rPr>
        <w:footnoteRef/>
      </w:r>
      <w:r w:rsidRPr="009A6BE8">
        <w:rPr>
          <w:rFonts w:ascii="Arial" w:hAnsi="Arial" w:cs="Arial"/>
          <w:sz w:val="16"/>
          <w:szCs w:val="16"/>
        </w:rPr>
        <w:t xml:space="preserve"> Una novedad en este cuarto levantamiento de la ENIF es la inclusión de la tenencia de cuentas de ahorro de Instituciones de Fondos de Pago Electrónico</w:t>
      </w:r>
      <w:r w:rsidR="009F7EDE">
        <w:rPr>
          <w:rFonts w:ascii="Arial" w:hAnsi="Arial" w:cs="Arial"/>
          <w:sz w:val="16"/>
          <w:szCs w:val="16"/>
        </w:rPr>
        <w:t>.</w:t>
      </w:r>
    </w:p>
  </w:footnote>
  <w:footnote w:id="5">
    <w:p w14:paraId="5A2D5D6E" w14:textId="347E59A9" w:rsidR="002D7510" w:rsidRPr="009A6BE8" w:rsidRDefault="002D7510" w:rsidP="00AF3E54">
      <w:pPr>
        <w:pStyle w:val="Textonotapie"/>
        <w:ind w:left="-567"/>
        <w:jc w:val="both"/>
        <w:rPr>
          <w:rFonts w:ascii="Arial" w:hAnsi="Arial" w:cs="Arial"/>
          <w:sz w:val="16"/>
          <w:szCs w:val="16"/>
        </w:rPr>
      </w:pPr>
      <w:r w:rsidRPr="009A6BE8">
        <w:rPr>
          <w:rStyle w:val="Refdenotaalpie"/>
          <w:rFonts w:ascii="Arial" w:hAnsi="Arial" w:cs="Arial"/>
          <w:sz w:val="16"/>
          <w:szCs w:val="16"/>
        </w:rPr>
        <w:footnoteRef/>
      </w:r>
      <w:r w:rsidRPr="009A6BE8">
        <w:rPr>
          <w:rFonts w:ascii="Arial" w:hAnsi="Arial" w:cs="Arial"/>
          <w:sz w:val="16"/>
          <w:szCs w:val="16"/>
        </w:rPr>
        <w:t xml:space="preserve"> </w:t>
      </w:r>
      <w:r>
        <w:rPr>
          <w:rFonts w:ascii="Arial" w:hAnsi="Arial" w:cs="Arial"/>
          <w:sz w:val="16"/>
          <w:szCs w:val="16"/>
        </w:rPr>
        <w:t>Una de las novedades en la ENIF 2021</w:t>
      </w:r>
      <w:r w:rsidRPr="009A6BE8">
        <w:rPr>
          <w:rFonts w:ascii="Arial" w:hAnsi="Arial" w:cs="Arial"/>
          <w:sz w:val="16"/>
          <w:szCs w:val="16"/>
        </w:rPr>
        <w:t xml:space="preserve"> </w:t>
      </w:r>
      <w:r>
        <w:rPr>
          <w:rFonts w:ascii="Arial" w:hAnsi="Arial" w:cs="Arial"/>
          <w:sz w:val="16"/>
          <w:szCs w:val="16"/>
        </w:rPr>
        <w:t xml:space="preserve">es que se </w:t>
      </w:r>
      <w:r w:rsidRPr="00A246C8">
        <w:rPr>
          <w:rFonts w:ascii="Arial" w:hAnsi="Arial" w:cs="Arial"/>
          <w:sz w:val="16"/>
          <w:szCs w:val="16"/>
        </w:rPr>
        <w:t>incorporó</w:t>
      </w:r>
      <w:r w:rsidRPr="009A6BE8">
        <w:rPr>
          <w:rFonts w:ascii="Arial" w:hAnsi="Arial" w:cs="Arial"/>
          <w:sz w:val="16"/>
          <w:szCs w:val="16"/>
        </w:rPr>
        <w:t xml:space="preserve"> </w:t>
      </w:r>
      <w:r>
        <w:rPr>
          <w:rFonts w:ascii="Arial" w:hAnsi="Arial" w:cs="Arial"/>
          <w:sz w:val="16"/>
          <w:szCs w:val="16"/>
        </w:rPr>
        <w:t>la captación de</w:t>
      </w:r>
      <w:r w:rsidRPr="009A6BE8">
        <w:rPr>
          <w:rFonts w:ascii="Arial" w:hAnsi="Arial" w:cs="Arial"/>
          <w:sz w:val="16"/>
          <w:szCs w:val="16"/>
        </w:rPr>
        <w:t xml:space="preserve"> tenencia de crédito formal en Instituciones de </w:t>
      </w:r>
      <w:r w:rsidR="00DD4A55">
        <w:rPr>
          <w:rFonts w:ascii="Arial" w:hAnsi="Arial" w:cs="Arial"/>
          <w:sz w:val="16"/>
          <w:szCs w:val="16"/>
        </w:rPr>
        <w:t>Financiamiento</w:t>
      </w:r>
      <w:r w:rsidR="00DD4A55" w:rsidRPr="009A6BE8">
        <w:rPr>
          <w:rFonts w:ascii="Arial" w:hAnsi="Arial" w:cs="Arial"/>
          <w:sz w:val="16"/>
          <w:szCs w:val="16"/>
        </w:rPr>
        <w:t xml:space="preserve"> </w:t>
      </w:r>
      <w:r w:rsidRPr="009A6BE8">
        <w:rPr>
          <w:rFonts w:ascii="Arial" w:hAnsi="Arial" w:cs="Arial"/>
          <w:sz w:val="16"/>
          <w:szCs w:val="16"/>
        </w:rPr>
        <w:t>Colectivo</w:t>
      </w:r>
      <w:r w:rsidR="00DD4A5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519E" w14:textId="656EF6F3" w:rsidR="00CC23FC" w:rsidRDefault="003D57E9" w:rsidP="00CC23FC">
    <w:pPr>
      <w:pStyle w:val="Encabezado"/>
      <w:ind w:left="-567"/>
      <w:jc w:val="center"/>
      <w:rPr>
        <w:noProof/>
      </w:rPr>
    </w:pPr>
    <w:r>
      <w:rPr>
        <w:noProof/>
      </w:rPr>
      <w:drawing>
        <wp:anchor distT="0" distB="0" distL="114300" distR="114300" simplePos="0" relativeHeight="251660800" behindDoc="0" locked="0" layoutInCell="1" allowOverlap="1" wp14:anchorId="614D2F7E" wp14:editId="0D142F52">
          <wp:simplePos x="0" y="0"/>
          <wp:positionH relativeFrom="column">
            <wp:posOffset>4307205</wp:posOffset>
          </wp:positionH>
          <wp:positionV relativeFrom="paragraph">
            <wp:posOffset>124460</wp:posOffset>
          </wp:positionV>
          <wp:extent cx="503555" cy="523240"/>
          <wp:effectExtent l="0" t="0" r="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55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0EC">
      <w:rPr>
        <w:noProof/>
      </w:rPr>
      <w:drawing>
        <wp:anchor distT="0" distB="0" distL="114300" distR="114300" simplePos="0" relativeHeight="251667968" behindDoc="1" locked="0" layoutInCell="1" allowOverlap="1" wp14:anchorId="5F672FED" wp14:editId="6D04B96B">
          <wp:simplePos x="0" y="0"/>
          <wp:positionH relativeFrom="page">
            <wp:posOffset>485775</wp:posOffset>
          </wp:positionH>
          <wp:positionV relativeFrom="paragraph">
            <wp:posOffset>-230505</wp:posOffset>
          </wp:positionV>
          <wp:extent cx="6479540" cy="971550"/>
          <wp:effectExtent l="0" t="0" r="0" b="0"/>
          <wp:wrapNone/>
          <wp:docPr id="38" name="Imagen 38"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con confianza media"/>
                  <pic:cNvPicPr/>
                </pic:nvPicPr>
                <pic:blipFill rotWithShape="1">
                  <a:blip r:embed="rId2"/>
                  <a:srcRect l="6388" t="2185" r="-6388" b="86218"/>
                  <a:stretch/>
                </pic:blipFill>
                <pic:spPr bwMode="auto">
                  <a:xfrm>
                    <a:off x="0" y="0"/>
                    <a:ext cx="647954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5ED8BD" w14:textId="65405222" w:rsidR="00CC23FC" w:rsidRDefault="00CC23FC" w:rsidP="00D74803">
    <w:pPr>
      <w:pStyle w:val="Encabezado"/>
      <w:ind w:hanging="426"/>
      <w:jc w:val="center"/>
      <w:rPr>
        <w:noProof/>
      </w:rPr>
    </w:pPr>
  </w:p>
  <w:p w14:paraId="06ADA94C" w14:textId="77777777" w:rsidR="00CC23FC" w:rsidRDefault="00CC23FC" w:rsidP="00D74803">
    <w:pPr>
      <w:pStyle w:val="Encabezado"/>
      <w:ind w:hanging="426"/>
      <w:jc w:val="center"/>
      <w:rPr>
        <w:noProof/>
      </w:rPr>
    </w:pPr>
  </w:p>
  <w:p w14:paraId="4F448BE5" w14:textId="77777777" w:rsidR="00CC23FC" w:rsidRDefault="00CC23FC" w:rsidP="00D74803">
    <w:pPr>
      <w:framePr w:w="6178" w:hSpace="141" w:vSpace="141" w:wrap="auto" w:vAnchor="page" w:hAnchor="page" w:x="5335" w:y="256"/>
      <w:spacing w:line="265" w:lineRule="exact"/>
      <w:ind w:right="353"/>
      <w:jc w:val="right"/>
      <w:rPr>
        <w:b/>
        <w:color w:val="002060"/>
      </w:rPr>
    </w:pPr>
    <w:r>
      <w:rPr>
        <w:b/>
        <w:color w:val="002060"/>
      </w:rPr>
      <w:tab/>
    </w:r>
  </w:p>
  <w:p w14:paraId="797BF983" w14:textId="77777777" w:rsidR="00CC23FC" w:rsidRPr="001722E0" w:rsidRDefault="00CC23FC" w:rsidP="00E244E4">
    <w:pPr>
      <w:pStyle w:val="Encabezado"/>
      <w:rPr>
        <w:rFonts w:cs="Arial"/>
        <w:b/>
        <w:sz w:val="20"/>
      </w:rPr>
    </w:pPr>
  </w:p>
  <w:p w14:paraId="242022A2" w14:textId="77777777" w:rsidR="00CC23FC" w:rsidRDefault="00CC23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D9A"/>
    <w:multiLevelType w:val="hybridMultilevel"/>
    <w:tmpl w:val="EB0849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45F44"/>
    <w:multiLevelType w:val="hybridMultilevel"/>
    <w:tmpl w:val="10468EF8"/>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A46FA3"/>
    <w:multiLevelType w:val="hybridMultilevel"/>
    <w:tmpl w:val="09E6FFA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9E5F08"/>
    <w:multiLevelType w:val="hybridMultilevel"/>
    <w:tmpl w:val="EFD080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B23330"/>
    <w:multiLevelType w:val="hybridMultilevel"/>
    <w:tmpl w:val="DAE8ACAC"/>
    <w:lvl w:ilvl="0" w:tplc="080A0001">
      <w:start w:val="1"/>
      <w:numFmt w:val="bullet"/>
      <w:lvlText w:val=""/>
      <w:lvlJc w:val="left"/>
      <w:pPr>
        <w:ind w:left="210" w:hanging="360"/>
      </w:pPr>
      <w:rPr>
        <w:rFonts w:ascii="Symbol" w:hAnsi="Symbol" w:hint="default"/>
      </w:rPr>
    </w:lvl>
    <w:lvl w:ilvl="1" w:tplc="080A0003">
      <w:start w:val="1"/>
      <w:numFmt w:val="bullet"/>
      <w:lvlText w:val="o"/>
      <w:lvlJc w:val="left"/>
      <w:pPr>
        <w:ind w:left="930" w:hanging="360"/>
      </w:pPr>
      <w:rPr>
        <w:rFonts w:ascii="Courier New" w:hAnsi="Courier New" w:cs="Courier New" w:hint="default"/>
      </w:rPr>
    </w:lvl>
    <w:lvl w:ilvl="2" w:tplc="080A0005" w:tentative="1">
      <w:start w:val="1"/>
      <w:numFmt w:val="bullet"/>
      <w:lvlText w:val=""/>
      <w:lvlJc w:val="left"/>
      <w:pPr>
        <w:ind w:left="1650" w:hanging="360"/>
      </w:pPr>
      <w:rPr>
        <w:rFonts w:ascii="Wingdings" w:hAnsi="Wingdings" w:hint="default"/>
      </w:rPr>
    </w:lvl>
    <w:lvl w:ilvl="3" w:tplc="080A0001" w:tentative="1">
      <w:start w:val="1"/>
      <w:numFmt w:val="bullet"/>
      <w:lvlText w:val=""/>
      <w:lvlJc w:val="left"/>
      <w:pPr>
        <w:ind w:left="2370" w:hanging="360"/>
      </w:pPr>
      <w:rPr>
        <w:rFonts w:ascii="Symbol" w:hAnsi="Symbol" w:hint="default"/>
      </w:rPr>
    </w:lvl>
    <w:lvl w:ilvl="4" w:tplc="080A0003" w:tentative="1">
      <w:start w:val="1"/>
      <w:numFmt w:val="bullet"/>
      <w:lvlText w:val="o"/>
      <w:lvlJc w:val="left"/>
      <w:pPr>
        <w:ind w:left="3090" w:hanging="360"/>
      </w:pPr>
      <w:rPr>
        <w:rFonts w:ascii="Courier New" w:hAnsi="Courier New" w:cs="Courier New" w:hint="default"/>
      </w:rPr>
    </w:lvl>
    <w:lvl w:ilvl="5" w:tplc="080A0005" w:tentative="1">
      <w:start w:val="1"/>
      <w:numFmt w:val="bullet"/>
      <w:lvlText w:val=""/>
      <w:lvlJc w:val="left"/>
      <w:pPr>
        <w:ind w:left="3810" w:hanging="360"/>
      </w:pPr>
      <w:rPr>
        <w:rFonts w:ascii="Wingdings" w:hAnsi="Wingdings" w:hint="default"/>
      </w:rPr>
    </w:lvl>
    <w:lvl w:ilvl="6" w:tplc="080A0001" w:tentative="1">
      <w:start w:val="1"/>
      <w:numFmt w:val="bullet"/>
      <w:lvlText w:val=""/>
      <w:lvlJc w:val="left"/>
      <w:pPr>
        <w:ind w:left="4530" w:hanging="360"/>
      </w:pPr>
      <w:rPr>
        <w:rFonts w:ascii="Symbol" w:hAnsi="Symbol" w:hint="default"/>
      </w:rPr>
    </w:lvl>
    <w:lvl w:ilvl="7" w:tplc="080A0003" w:tentative="1">
      <w:start w:val="1"/>
      <w:numFmt w:val="bullet"/>
      <w:lvlText w:val="o"/>
      <w:lvlJc w:val="left"/>
      <w:pPr>
        <w:ind w:left="5250" w:hanging="360"/>
      </w:pPr>
      <w:rPr>
        <w:rFonts w:ascii="Courier New" w:hAnsi="Courier New" w:cs="Courier New" w:hint="default"/>
      </w:rPr>
    </w:lvl>
    <w:lvl w:ilvl="8" w:tplc="080A0005" w:tentative="1">
      <w:start w:val="1"/>
      <w:numFmt w:val="bullet"/>
      <w:lvlText w:val=""/>
      <w:lvlJc w:val="left"/>
      <w:pPr>
        <w:ind w:left="5970" w:hanging="360"/>
      </w:pPr>
      <w:rPr>
        <w:rFonts w:ascii="Wingdings" w:hAnsi="Wingdings" w:hint="default"/>
      </w:rPr>
    </w:lvl>
  </w:abstractNum>
  <w:abstractNum w:abstractNumId="5" w15:restartNumberingAfterBreak="0">
    <w:nsid w:val="17D21543"/>
    <w:multiLevelType w:val="hybridMultilevel"/>
    <w:tmpl w:val="56047102"/>
    <w:lvl w:ilvl="0" w:tplc="E97E3164">
      <w:start w:val="5"/>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F6D6E"/>
    <w:multiLevelType w:val="hybridMultilevel"/>
    <w:tmpl w:val="D610C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6370CB"/>
    <w:multiLevelType w:val="hybridMultilevel"/>
    <w:tmpl w:val="E4C4E3C6"/>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8" w15:restartNumberingAfterBreak="0">
    <w:nsid w:val="1A7C3BC7"/>
    <w:multiLevelType w:val="hybridMultilevel"/>
    <w:tmpl w:val="11C41226"/>
    <w:lvl w:ilvl="0" w:tplc="C6A2D250">
      <w:start w:val="872"/>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DF71C1"/>
    <w:multiLevelType w:val="hybridMultilevel"/>
    <w:tmpl w:val="A784D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017320"/>
    <w:multiLevelType w:val="hybridMultilevel"/>
    <w:tmpl w:val="C3EE3B1E"/>
    <w:lvl w:ilvl="0" w:tplc="6F36E4AA">
      <w:start w:val="1"/>
      <w:numFmt w:val="bullet"/>
      <w:lvlText w:val="•"/>
      <w:lvlJc w:val="left"/>
      <w:pPr>
        <w:tabs>
          <w:tab w:val="num" w:pos="720"/>
        </w:tabs>
        <w:ind w:left="720" w:hanging="360"/>
      </w:pPr>
      <w:rPr>
        <w:rFonts w:ascii="Arial" w:hAnsi="Arial" w:hint="default"/>
      </w:rPr>
    </w:lvl>
    <w:lvl w:ilvl="1" w:tplc="FAF2CEA0">
      <w:start w:val="1"/>
      <w:numFmt w:val="bullet"/>
      <w:lvlText w:val="•"/>
      <w:lvlJc w:val="left"/>
      <w:pPr>
        <w:tabs>
          <w:tab w:val="num" w:pos="1440"/>
        </w:tabs>
        <w:ind w:left="1440" w:hanging="360"/>
      </w:pPr>
      <w:rPr>
        <w:rFonts w:ascii="Arial" w:hAnsi="Arial" w:hint="default"/>
      </w:rPr>
    </w:lvl>
    <w:lvl w:ilvl="2" w:tplc="88E07AFE" w:tentative="1">
      <w:start w:val="1"/>
      <w:numFmt w:val="bullet"/>
      <w:lvlText w:val="•"/>
      <w:lvlJc w:val="left"/>
      <w:pPr>
        <w:tabs>
          <w:tab w:val="num" w:pos="2160"/>
        </w:tabs>
        <w:ind w:left="2160" w:hanging="360"/>
      </w:pPr>
      <w:rPr>
        <w:rFonts w:ascii="Arial" w:hAnsi="Arial" w:hint="default"/>
      </w:rPr>
    </w:lvl>
    <w:lvl w:ilvl="3" w:tplc="EC52CC02" w:tentative="1">
      <w:start w:val="1"/>
      <w:numFmt w:val="bullet"/>
      <w:lvlText w:val="•"/>
      <w:lvlJc w:val="left"/>
      <w:pPr>
        <w:tabs>
          <w:tab w:val="num" w:pos="2880"/>
        </w:tabs>
        <w:ind w:left="2880" w:hanging="360"/>
      </w:pPr>
      <w:rPr>
        <w:rFonts w:ascii="Arial" w:hAnsi="Arial" w:hint="default"/>
      </w:rPr>
    </w:lvl>
    <w:lvl w:ilvl="4" w:tplc="02A6E7EE" w:tentative="1">
      <w:start w:val="1"/>
      <w:numFmt w:val="bullet"/>
      <w:lvlText w:val="•"/>
      <w:lvlJc w:val="left"/>
      <w:pPr>
        <w:tabs>
          <w:tab w:val="num" w:pos="3600"/>
        </w:tabs>
        <w:ind w:left="3600" w:hanging="360"/>
      </w:pPr>
      <w:rPr>
        <w:rFonts w:ascii="Arial" w:hAnsi="Arial" w:hint="default"/>
      </w:rPr>
    </w:lvl>
    <w:lvl w:ilvl="5" w:tplc="41D05380" w:tentative="1">
      <w:start w:val="1"/>
      <w:numFmt w:val="bullet"/>
      <w:lvlText w:val="•"/>
      <w:lvlJc w:val="left"/>
      <w:pPr>
        <w:tabs>
          <w:tab w:val="num" w:pos="4320"/>
        </w:tabs>
        <w:ind w:left="4320" w:hanging="360"/>
      </w:pPr>
      <w:rPr>
        <w:rFonts w:ascii="Arial" w:hAnsi="Arial" w:hint="default"/>
      </w:rPr>
    </w:lvl>
    <w:lvl w:ilvl="6" w:tplc="A546ED92" w:tentative="1">
      <w:start w:val="1"/>
      <w:numFmt w:val="bullet"/>
      <w:lvlText w:val="•"/>
      <w:lvlJc w:val="left"/>
      <w:pPr>
        <w:tabs>
          <w:tab w:val="num" w:pos="5040"/>
        </w:tabs>
        <w:ind w:left="5040" w:hanging="360"/>
      </w:pPr>
      <w:rPr>
        <w:rFonts w:ascii="Arial" w:hAnsi="Arial" w:hint="default"/>
      </w:rPr>
    </w:lvl>
    <w:lvl w:ilvl="7" w:tplc="A13AB004" w:tentative="1">
      <w:start w:val="1"/>
      <w:numFmt w:val="bullet"/>
      <w:lvlText w:val="•"/>
      <w:lvlJc w:val="left"/>
      <w:pPr>
        <w:tabs>
          <w:tab w:val="num" w:pos="5760"/>
        </w:tabs>
        <w:ind w:left="5760" w:hanging="360"/>
      </w:pPr>
      <w:rPr>
        <w:rFonts w:ascii="Arial" w:hAnsi="Arial" w:hint="default"/>
      </w:rPr>
    </w:lvl>
    <w:lvl w:ilvl="8" w:tplc="0C3A8A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CF7DEF"/>
    <w:multiLevelType w:val="hybridMultilevel"/>
    <w:tmpl w:val="3D12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2D4363"/>
    <w:multiLevelType w:val="hybridMultilevel"/>
    <w:tmpl w:val="06EC08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15:restartNumberingAfterBreak="0">
    <w:nsid w:val="3029405B"/>
    <w:multiLevelType w:val="multilevel"/>
    <w:tmpl w:val="2BD03B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8C38B7"/>
    <w:multiLevelType w:val="hybridMultilevel"/>
    <w:tmpl w:val="887C70EC"/>
    <w:lvl w:ilvl="0" w:tplc="C6A2D250">
      <w:start w:val="872"/>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434C5F"/>
    <w:multiLevelType w:val="hybridMultilevel"/>
    <w:tmpl w:val="60762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DF698E"/>
    <w:multiLevelType w:val="hybridMultilevel"/>
    <w:tmpl w:val="3402A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E06979"/>
    <w:multiLevelType w:val="hybridMultilevel"/>
    <w:tmpl w:val="2EFA7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6429DC"/>
    <w:multiLevelType w:val="hybridMultilevel"/>
    <w:tmpl w:val="30162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7003BE"/>
    <w:multiLevelType w:val="hybridMultilevel"/>
    <w:tmpl w:val="76007D7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679921B4"/>
    <w:multiLevelType w:val="hybridMultilevel"/>
    <w:tmpl w:val="46EE80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E69FE"/>
    <w:multiLevelType w:val="hybridMultilevel"/>
    <w:tmpl w:val="1A3CE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CB22DB"/>
    <w:multiLevelType w:val="hybridMultilevel"/>
    <w:tmpl w:val="F69BAF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FB337ED"/>
    <w:multiLevelType w:val="hybridMultilevel"/>
    <w:tmpl w:val="9A5C4B28"/>
    <w:lvl w:ilvl="0" w:tplc="080A0001">
      <w:start w:val="1"/>
      <w:numFmt w:val="bullet"/>
      <w:lvlText w:val=""/>
      <w:lvlJc w:val="left"/>
      <w:pPr>
        <w:ind w:left="426" w:hanging="360"/>
      </w:pPr>
      <w:rPr>
        <w:rFonts w:ascii="Symbol" w:hAnsi="Symbol"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num w:numId="1" w16cid:durableId="1449198986">
    <w:abstractNumId w:val="17"/>
  </w:num>
  <w:num w:numId="2" w16cid:durableId="277688172">
    <w:abstractNumId w:val="11"/>
  </w:num>
  <w:num w:numId="3" w16cid:durableId="308218345">
    <w:abstractNumId w:val="13"/>
  </w:num>
  <w:num w:numId="4" w16cid:durableId="2072578239">
    <w:abstractNumId w:val="9"/>
  </w:num>
  <w:num w:numId="5" w16cid:durableId="1540706651">
    <w:abstractNumId w:val="0"/>
  </w:num>
  <w:num w:numId="6" w16cid:durableId="622424348">
    <w:abstractNumId w:val="15"/>
  </w:num>
  <w:num w:numId="7" w16cid:durableId="1333412038">
    <w:abstractNumId w:val="21"/>
  </w:num>
  <w:num w:numId="8" w16cid:durableId="1357274286">
    <w:abstractNumId w:val="18"/>
  </w:num>
  <w:num w:numId="9" w16cid:durableId="249628079">
    <w:abstractNumId w:val="10"/>
  </w:num>
  <w:num w:numId="10" w16cid:durableId="1905213648">
    <w:abstractNumId w:val="5"/>
  </w:num>
  <w:num w:numId="11" w16cid:durableId="282227056">
    <w:abstractNumId w:val="7"/>
  </w:num>
  <w:num w:numId="12" w16cid:durableId="819467484">
    <w:abstractNumId w:val="20"/>
  </w:num>
  <w:num w:numId="13" w16cid:durableId="873350994">
    <w:abstractNumId w:val="1"/>
  </w:num>
  <w:num w:numId="14" w16cid:durableId="2088262588">
    <w:abstractNumId w:val="22"/>
  </w:num>
  <w:num w:numId="15" w16cid:durableId="1072193610">
    <w:abstractNumId w:val="14"/>
  </w:num>
  <w:num w:numId="16" w16cid:durableId="1411777756">
    <w:abstractNumId w:val="16"/>
  </w:num>
  <w:num w:numId="17" w16cid:durableId="651830365">
    <w:abstractNumId w:val="6"/>
  </w:num>
  <w:num w:numId="18" w16cid:durableId="855509200">
    <w:abstractNumId w:val="19"/>
  </w:num>
  <w:num w:numId="19" w16cid:durableId="1468939523">
    <w:abstractNumId w:val="23"/>
  </w:num>
  <w:num w:numId="20" w16cid:durableId="220362119">
    <w:abstractNumId w:val="3"/>
  </w:num>
  <w:num w:numId="21" w16cid:durableId="1235358629">
    <w:abstractNumId w:val="2"/>
  </w:num>
  <w:num w:numId="22" w16cid:durableId="518205634">
    <w:abstractNumId w:val="12"/>
  </w:num>
  <w:num w:numId="23" w16cid:durableId="318703378">
    <w:abstractNumId w:val="8"/>
  </w:num>
  <w:num w:numId="24" w16cid:durableId="135098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64"/>
    <w:rsid w:val="00000B49"/>
    <w:rsid w:val="00001B81"/>
    <w:rsid w:val="0000212B"/>
    <w:rsid w:val="00002D63"/>
    <w:rsid w:val="00004BC7"/>
    <w:rsid w:val="00004DC2"/>
    <w:rsid w:val="00010807"/>
    <w:rsid w:val="0001263A"/>
    <w:rsid w:val="0001277F"/>
    <w:rsid w:val="000129D4"/>
    <w:rsid w:val="00012AC9"/>
    <w:rsid w:val="00013D40"/>
    <w:rsid w:val="00014574"/>
    <w:rsid w:val="000158A8"/>
    <w:rsid w:val="00015914"/>
    <w:rsid w:val="0001695A"/>
    <w:rsid w:val="00017A34"/>
    <w:rsid w:val="00021A30"/>
    <w:rsid w:val="0002562C"/>
    <w:rsid w:val="00025B56"/>
    <w:rsid w:val="00027EC5"/>
    <w:rsid w:val="00031F56"/>
    <w:rsid w:val="0003427B"/>
    <w:rsid w:val="00036DF0"/>
    <w:rsid w:val="0004031E"/>
    <w:rsid w:val="00040D0F"/>
    <w:rsid w:val="0004137F"/>
    <w:rsid w:val="00042DD5"/>
    <w:rsid w:val="00044C79"/>
    <w:rsid w:val="00045F7E"/>
    <w:rsid w:val="00050E62"/>
    <w:rsid w:val="00051BCE"/>
    <w:rsid w:val="00052E39"/>
    <w:rsid w:val="0005369C"/>
    <w:rsid w:val="00053EE9"/>
    <w:rsid w:val="000540E6"/>
    <w:rsid w:val="0005799E"/>
    <w:rsid w:val="00060DA9"/>
    <w:rsid w:val="00060DDC"/>
    <w:rsid w:val="00061439"/>
    <w:rsid w:val="00062AAB"/>
    <w:rsid w:val="00062F11"/>
    <w:rsid w:val="0006397B"/>
    <w:rsid w:val="00063F93"/>
    <w:rsid w:val="00063FD5"/>
    <w:rsid w:val="00064110"/>
    <w:rsid w:val="00064F94"/>
    <w:rsid w:val="00065643"/>
    <w:rsid w:val="00065EA1"/>
    <w:rsid w:val="000700B2"/>
    <w:rsid w:val="00070390"/>
    <w:rsid w:val="00070F94"/>
    <w:rsid w:val="00072606"/>
    <w:rsid w:val="00072C83"/>
    <w:rsid w:val="00073B41"/>
    <w:rsid w:val="000742F3"/>
    <w:rsid w:val="000764A2"/>
    <w:rsid w:val="0008035F"/>
    <w:rsid w:val="000803B8"/>
    <w:rsid w:val="00081EA0"/>
    <w:rsid w:val="00082221"/>
    <w:rsid w:val="00083016"/>
    <w:rsid w:val="00086319"/>
    <w:rsid w:val="000871D5"/>
    <w:rsid w:val="00090B41"/>
    <w:rsid w:val="00090F24"/>
    <w:rsid w:val="0009115E"/>
    <w:rsid w:val="000923C3"/>
    <w:rsid w:val="0009282B"/>
    <w:rsid w:val="00093180"/>
    <w:rsid w:val="000931D8"/>
    <w:rsid w:val="00093A6C"/>
    <w:rsid w:val="000947A9"/>
    <w:rsid w:val="00094A03"/>
    <w:rsid w:val="00095F76"/>
    <w:rsid w:val="0009635E"/>
    <w:rsid w:val="000A071B"/>
    <w:rsid w:val="000A246F"/>
    <w:rsid w:val="000A5DB3"/>
    <w:rsid w:val="000A62A3"/>
    <w:rsid w:val="000B18EA"/>
    <w:rsid w:val="000B1909"/>
    <w:rsid w:val="000B3E26"/>
    <w:rsid w:val="000B68AE"/>
    <w:rsid w:val="000B697B"/>
    <w:rsid w:val="000B7484"/>
    <w:rsid w:val="000C0038"/>
    <w:rsid w:val="000C27CC"/>
    <w:rsid w:val="000C3AF1"/>
    <w:rsid w:val="000C3D99"/>
    <w:rsid w:val="000C4F5F"/>
    <w:rsid w:val="000C59D0"/>
    <w:rsid w:val="000C698E"/>
    <w:rsid w:val="000C753C"/>
    <w:rsid w:val="000D0E20"/>
    <w:rsid w:val="000D2129"/>
    <w:rsid w:val="000D30B4"/>
    <w:rsid w:val="000D41F8"/>
    <w:rsid w:val="000D7A16"/>
    <w:rsid w:val="000D7E7A"/>
    <w:rsid w:val="000E07E2"/>
    <w:rsid w:val="000E30A9"/>
    <w:rsid w:val="000E392D"/>
    <w:rsid w:val="000E3CAD"/>
    <w:rsid w:val="000E6DE1"/>
    <w:rsid w:val="000F0900"/>
    <w:rsid w:val="000F18E6"/>
    <w:rsid w:val="000F43B2"/>
    <w:rsid w:val="000F4876"/>
    <w:rsid w:val="000F5909"/>
    <w:rsid w:val="000F6466"/>
    <w:rsid w:val="000F6985"/>
    <w:rsid w:val="00100C86"/>
    <w:rsid w:val="00101E55"/>
    <w:rsid w:val="0010240D"/>
    <w:rsid w:val="00102C12"/>
    <w:rsid w:val="00102F96"/>
    <w:rsid w:val="0010524E"/>
    <w:rsid w:val="00107321"/>
    <w:rsid w:val="0011051E"/>
    <w:rsid w:val="00110D73"/>
    <w:rsid w:val="00110FAA"/>
    <w:rsid w:val="00111406"/>
    <w:rsid w:val="0011178D"/>
    <w:rsid w:val="00113C71"/>
    <w:rsid w:val="00113E81"/>
    <w:rsid w:val="00116E3E"/>
    <w:rsid w:val="00122956"/>
    <w:rsid w:val="0012339B"/>
    <w:rsid w:val="00123A85"/>
    <w:rsid w:val="00123A93"/>
    <w:rsid w:val="00123CA8"/>
    <w:rsid w:val="00125458"/>
    <w:rsid w:val="0013004D"/>
    <w:rsid w:val="00130234"/>
    <w:rsid w:val="00130EC0"/>
    <w:rsid w:val="00132B32"/>
    <w:rsid w:val="00133E56"/>
    <w:rsid w:val="00134436"/>
    <w:rsid w:val="00135EE0"/>
    <w:rsid w:val="00136C67"/>
    <w:rsid w:val="00140B4B"/>
    <w:rsid w:val="001420F2"/>
    <w:rsid w:val="001455B8"/>
    <w:rsid w:val="00146592"/>
    <w:rsid w:val="001476A0"/>
    <w:rsid w:val="0015013F"/>
    <w:rsid w:val="001502FD"/>
    <w:rsid w:val="0015234B"/>
    <w:rsid w:val="00153494"/>
    <w:rsid w:val="00154C58"/>
    <w:rsid w:val="00155BDE"/>
    <w:rsid w:val="00156EF4"/>
    <w:rsid w:val="00157290"/>
    <w:rsid w:val="00157F5A"/>
    <w:rsid w:val="001600C9"/>
    <w:rsid w:val="00160222"/>
    <w:rsid w:val="0016150D"/>
    <w:rsid w:val="00161E2F"/>
    <w:rsid w:val="00162CFE"/>
    <w:rsid w:val="0016318D"/>
    <w:rsid w:val="00163325"/>
    <w:rsid w:val="001637B5"/>
    <w:rsid w:val="00164150"/>
    <w:rsid w:val="0016483D"/>
    <w:rsid w:val="00164CFF"/>
    <w:rsid w:val="00165971"/>
    <w:rsid w:val="00167CCF"/>
    <w:rsid w:val="00170681"/>
    <w:rsid w:val="00171A7E"/>
    <w:rsid w:val="00172D3E"/>
    <w:rsid w:val="0017401F"/>
    <w:rsid w:val="00175B98"/>
    <w:rsid w:val="00176F67"/>
    <w:rsid w:val="00177000"/>
    <w:rsid w:val="00177317"/>
    <w:rsid w:val="00180D62"/>
    <w:rsid w:val="001825EB"/>
    <w:rsid w:val="00182A79"/>
    <w:rsid w:val="00185AB2"/>
    <w:rsid w:val="00186785"/>
    <w:rsid w:val="0018792A"/>
    <w:rsid w:val="00195AF8"/>
    <w:rsid w:val="0019605E"/>
    <w:rsid w:val="00196C5B"/>
    <w:rsid w:val="001A00EC"/>
    <w:rsid w:val="001A0EED"/>
    <w:rsid w:val="001A2B4F"/>
    <w:rsid w:val="001A323E"/>
    <w:rsid w:val="001A33B7"/>
    <w:rsid w:val="001A3668"/>
    <w:rsid w:val="001A38A6"/>
    <w:rsid w:val="001A4133"/>
    <w:rsid w:val="001A44C6"/>
    <w:rsid w:val="001A49AB"/>
    <w:rsid w:val="001A60E9"/>
    <w:rsid w:val="001A66D0"/>
    <w:rsid w:val="001A7A06"/>
    <w:rsid w:val="001B245F"/>
    <w:rsid w:val="001B24C8"/>
    <w:rsid w:val="001B39F8"/>
    <w:rsid w:val="001B3AC9"/>
    <w:rsid w:val="001B4E9B"/>
    <w:rsid w:val="001B5FEB"/>
    <w:rsid w:val="001B7343"/>
    <w:rsid w:val="001B7581"/>
    <w:rsid w:val="001C2D41"/>
    <w:rsid w:val="001C3273"/>
    <w:rsid w:val="001C3458"/>
    <w:rsid w:val="001C3C8C"/>
    <w:rsid w:val="001C472C"/>
    <w:rsid w:val="001D0610"/>
    <w:rsid w:val="001D1AE1"/>
    <w:rsid w:val="001D1DD5"/>
    <w:rsid w:val="001D2053"/>
    <w:rsid w:val="001D31FE"/>
    <w:rsid w:val="001D3B1D"/>
    <w:rsid w:val="001D3DCA"/>
    <w:rsid w:val="001D4175"/>
    <w:rsid w:val="001D4CEC"/>
    <w:rsid w:val="001D625E"/>
    <w:rsid w:val="001D7DA8"/>
    <w:rsid w:val="001E0547"/>
    <w:rsid w:val="001E0C4D"/>
    <w:rsid w:val="001E0DFE"/>
    <w:rsid w:val="001E2B72"/>
    <w:rsid w:val="001E366D"/>
    <w:rsid w:val="001E3F0E"/>
    <w:rsid w:val="001E7922"/>
    <w:rsid w:val="001F074D"/>
    <w:rsid w:val="001F21E8"/>
    <w:rsid w:val="001F7DBE"/>
    <w:rsid w:val="002012A6"/>
    <w:rsid w:val="00205941"/>
    <w:rsid w:val="002059FB"/>
    <w:rsid w:val="0020778B"/>
    <w:rsid w:val="00207BC7"/>
    <w:rsid w:val="002112B3"/>
    <w:rsid w:val="0021245E"/>
    <w:rsid w:val="00212F82"/>
    <w:rsid w:val="002142B2"/>
    <w:rsid w:val="00214656"/>
    <w:rsid w:val="002148CC"/>
    <w:rsid w:val="00221844"/>
    <w:rsid w:val="00222107"/>
    <w:rsid w:val="0022229F"/>
    <w:rsid w:val="00222B69"/>
    <w:rsid w:val="0022372E"/>
    <w:rsid w:val="00225A3B"/>
    <w:rsid w:val="00225DE3"/>
    <w:rsid w:val="00227EF4"/>
    <w:rsid w:val="00230B7D"/>
    <w:rsid w:val="00230D1E"/>
    <w:rsid w:val="00235764"/>
    <w:rsid w:val="002361D2"/>
    <w:rsid w:val="00236451"/>
    <w:rsid w:val="00237B61"/>
    <w:rsid w:val="00240E6B"/>
    <w:rsid w:val="0024178B"/>
    <w:rsid w:val="00242B4C"/>
    <w:rsid w:val="002444CF"/>
    <w:rsid w:val="002449C0"/>
    <w:rsid w:val="0024536D"/>
    <w:rsid w:val="00245D76"/>
    <w:rsid w:val="00246E18"/>
    <w:rsid w:val="0024722E"/>
    <w:rsid w:val="0025012B"/>
    <w:rsid w:val="00251AB9"/>
    <w:rsid w:val="00251BDD"/>
    <w:rsid w:val="00251F37"/>
    <w:rsid w:val="00252132"/>
    <w:rsid w:val="0025283A"/>
    <w:rsid w:val="00253CD0"/>
    <w:rsid w:val="00255414"/>
    <w:rsid w:val="00255C30"/>
    <w:rsid w:val="0025661A"/>
    <w:rsid w:val="00257E59"/>
    <w:rsid w:val="00260273"/>
    <w:rsid w:val="00260361"/>
    <w:rsid w:val="00260CF3"/>
    <w:rsid w:val="00261F00"/>
    <w:rsid w:val="00263CC8"/>
    <w:rsid w:val="00263CF3"/>
    <w:rsid w:val="00266039"/>
    <w:rsid w:val="00266C0E"/>
    <w:rsid w:val="00267F8F"/>
    <w:rsid w:val="002700B9"/>
    <w:rsid w:val="00270679"/>
    <w:rsid w:val="00271AC3"/>
    <w:rsid w:val="00271D1F"/>
    <w:rsid w:val="00272057"/>
    <w:rsid w:val="00272E5C"/>
    <w:rsid w:val="002736D4"/>
    <w:rsid w:val="002752CE"/>
    <w:rsid w:val="002764AD"/>
    <w:rsid w:val="002774FA"/>
    <w:rsid w:val="002777D9"/>
    <w:rsid w:val="00277AB2"/>
    <w:rsid w:val="00281278"/>
    <w:rsid w:val="002812D7"/>
    <w:rsid w:val="00281DFF"/>
    <w:rsid w:val="002822C8"/>
    <w:rsid w:val="002824A0"/>
    <w:rsid w:val="002854E7"/>
    <w:rsid w:val="00285A74"/>
    <w:rsid w:val="00286603"/>
    <w:rsid w:val="00287F9B"/>
    <w:rsid w:val="00292135"/>
    <w:rsid w:val="00292366"/>
    <w:rsid w:val="002963F6"/>
    <w:rsid w:val="00297EE7"/>
    <w:rsid w:val="002A56F8"/>
    <w:rsid w:val="002A6290"/>
    <w:rsid w:val="002B1AC8"/>
    <w:rsid w:val="002B2A26"/>
    <w:rsid w:val="002B34F6"/>
    <w:rsid w:val="002B6CCA"/>
    <w:rsid w:val="002C02C4"/>
    <w:rsid w:val="002C32BF"/>
    <w:rsid w:val="002C44A3"/>
    <w:rsid w:val="002D0944"/>
    <w:rsid w:val="002D1232"/>
    <w:rsid w:val="002D1340"/>
    <w:rsid w:val="002D3ADA"/>
    <w:rsid w:val="002D412F"/>
    <w:rsid w:val="002D4666"/>
    <w:rsid w:val="002D5D3C"/>
    <w:rsid w:val="002D624E"/>
    <w:rsid w:val="002D7510"/>
    <w:rsid w:val="002E21E7"/>
    <w:rsid w:val="002E2A1B"/>
    <w:rsid w:val="002E3E63"/>
    <w:rsid w:val="002E7023"/>
    <w:rsid w:val="002F0597"/>
    <w:rsid w:val="002F0D66"/>
    <w:rsid w:val="002F2858"/>
    <w:rsid w:val="002F349F"/>
    <w:rsid w:val="002F3735"/>
    <w:rsid w:val="002F42E3"/>
    <w:rsid w:val="002F66E0"/>
    <w:rsid w:val="002F6EF0"/>
    <w:rsid w:val="003017E0"/>
    <w:rsid w:val="003019F4"/>
    <w:rsid w:val="0030272C"/>
    <w:rsid w:val="003033A4"/>
    <w:rsid w:val="003039A7"/>
    <w:rsid w:val="0030421C"/>
    <w:rsid w:val="00304582"/>
    <w:rsid w:val="00305146"/>
    <w:rsid w:val="00306831"/>
    <w:rsid w:val="003078CF"/>
    <w:rsid w:val="00310A64"/>
    <w:rsid w:val="00313FD4"/>
    <w:rsid w:val="0031421B"/>
    <w:rsid w:val="003178A9"/>
    <w:rsid w:val="00320C0D"/>
    <w:rsid w:val="00325921"/>
    <w:rsid w:val="00327849"/>
    <w:rsid w:val="00332351"/>
    <w:rsid w:val="00333326"/>
    <w:rsid w:val="00333B49"/>
    <w:rsid w:val="00334646"/>
    <w:rsid w:val="00336F4D"/>
    <w:rsid w:val="00337BDB"/>
    <w:rsid w:val="0034029C"/>
    <w:rsid w:val="003433A8"/>
    <w:rsid w:val="00345CB7"/>
    <w:rsid w:val="00346AE8"/>
    <w:rsid w:val="003501B1"/>
    <w:rsid w:val="0035368A"/>
    <w:rsid w:val="0035442E"/>
    <w:rsid w:val="00356D04"/>
    <w:rsid w:val="0035778A"/>
    <w:rsid w:val="00360C18"/>
    <w:rsid w:val="00361AA5"/>
    <w:rsid w:val="00362526"/>
    <w:rsid w:val="00363D72"/>
    <w:rsid w:val="00365542"/>
    <w:rsid w:val="003657B4"/>
    <w:rsid w:val="00366347"/>
    <w:rsid w:val="00370937"/>
    <w:rsid w:val="00370FB1"/>
    <w:rsid w:val="0037536B"/>
    <w:rsid w:val="00375C58"/>
    <w:rsid w:val="0037768C"/>
    <w:rsid w:val="00377A66"/>
    <w:rsid w:val="00377CAB"/>
    <w:rsid w:val="00377F54"/>
    <w:rsid w:val="00380084"/>
    <w:rsid w:val="00385C4F"/>
    <w:rsid w:val="00390829"/>
    <w:rsid w:val="00391D4F"/>
    <w:rsid w:val="003923BA"/>
    <w:rsid w:val="00394F56"/>
    <w:rsid w:val="00395A36"/>
    <w:rsid w:val="00396715"/>
    <w:rsid w:val="003967CF"/>
    <w:rsid w:val="003A0151"/>
    <w:rsid w:val="003A0A1F"/>
    <w:rsid w:val="003A0FA1"/>
    <w:rsid w:val="003A1B05"/>
    <w:rsid w:val="003A2D4A"/>
    <w:rsid w:val="003A5BCC"/>
    <w:rsid w:val="003A688A"/>
    <w:rsid w:val="003B07F7"/>
    <w:rsid w:val="003B1809"/>
    <w:rsid w:val="003B2B55"/>
    <w:rsid w:val="003B5EB3"/>
    <w:rsid w:val="003B6D00"/>
    <w:rsid w:val="003B703E"/>
    <w:rsid w:val="003B765B"/>
    <w:rsid w:val="003C3AE1"/>
    <w:rsid w:val="003C3AFB"/>
    <w:rsid w:val="003C4DC4"/>
    <w:rsid w:val="003C4ED6"/>
    <w:rsid w:val="003C535E"/>
    <w:rsid w:val="003C76CB"/>
    <w:rsid w:val="003D040D"/>
    <w:rsid w:val="003D2364"/>
    <w:rsid w:val="003D2A89"/>
    <w:rsid w:val="003D3E36"/>
    <w:rsid w:val="003D4882"/>
    <w:rsid w:val="003D54D1"/>
    <w:rsid w:val="003D57E9"/>
    <w:rsid w:val="003D5D04"/>
    <w:rsid w:val="003D617A"/>
    <w:rsid w:val="003D63D8"/>
    <w:rsid w:val="003D6891"/>
    <w:rsid w:val="003D6E19"/>
    <w:rsid w:val="003E17AB"/>
    <w:rsid w:val="003E1B09"/>
    <w:rsid w:val="003E2772"/>
    <w:rsid w:val="003E2C7D"/>
    <w:rsid w:val="003E7701"/>
    <w:rsid w:val="003E77E2"/>
    <w:rsid w:val="003F0449"/>
    <w:rsid w:val="003F066C"/>
    <w:rsid w:val="003F1CCF"/>
    <w:rsid w:val="003F2720"/>
    <w:rsid w:val="003F41FF"/>
    <w:rsid w:val="003F4DBC"/>
    <w:rsid w:val="003F7609"/>
    <w:rsid w:val="003F7D5D"/>
    <w:rsid w:val="00401F01"/>
    <w:rsid w:val="00402DD8"/>
    <w:rsid w:val="00403063"/>
    <w:rsid w:val="00403098"/>
    <w:rsid w:val="0040329B"/>
    <w:rsid w:val="004047EF"/>
    <w:rsid w:val="00405A2D"/>
    <w:rsid w:val="00405C4A"/>
    <w:rsid w:val="004061E0"/>
    <w:rsid w:val="004078C8"/>
    <w:rsid w:val="00407C58"/>
    <w:rsid w:val="00407E00"/>
    <w:rsid w:val="00411790"/>
    <w:rsid w:val="00411B04"/>
    <w:rsid w:val="004125CF"/>
    <w:rsid w:val="004131EB"/>
    <w:rsid w:val="00413363"/>
    <w:rsid w:val="00413847"/>
    <w:rsid w:val="00413BDB"/>
    <w:rsid w:val="004141A2"/>
    <w:rsid w:val="00414DAB"/>
    <w:rsid w:val="0041694B"/>
    <w:rsid w:val="004213B7"/>
    <w:rsid w:val="00422116"/>
    <w:rsid w:val="00422811"/>
    <w:rsid w:val="00426B1E"/>
    <w:rsid w:val="00427F5E"/>
    <w:rsid w:val="004304BB"/>
    <w:rsid w:val="00430ABC"/>
    <w:rsid w:val="00430CEA"/>
    <w:rsid w:val="00431ABF"/>
    <w:rsid w:val="0043295C"/>
    <w:rsid w:val="004331FE"/>
    <w:rsid w:val="00433C93"/>
    <w:rsid w:val="00435854"/>
    <w:rsid w:val="00435F2B"/>
    <w:rsid w:val="00436EAC"/>
    <w:rsid w:val="00440495"/>
    <w:rsid w:val="00443107"/>
    <w:rsid w:val="00443E6C"/>
    <w:rsid w:val="00450193"/>
    <w:rsid w:val="004503FB"/>
    <w:rsid w:val="0045040F"/>
    <w:rsid w:val="004509E8"/>
    <w:rsid w:val="0045163A"/>
    <w:rsid w:val="004523CA"/>
    <w:rsid w:val="00452E4F"/>
    <w:rsid w:val="00453815"/>
    <w:rsid w:val="00453C1E"/>
    <w:rsid w:val="00454DF3"/>
    <w:rsid w:val="00454F6B"/>
    <w:rsid w:val="0045505A"/>
    <w:rsid w:val="004558BD"/>
    <w:rsid w:val="0045695C"/>
    <w:rsid w:val="00456ACD"/>
    <w:rsid w:val="00456E4B"/>
    <w:rsid w:val="004574B4"/>
    <w:rsid w:val="004606CD"/>
    <w:rsid w:val="0046071B"/>
    <w:rsid w:val="004609CA"/>
    <w:rsid w:val="004611A1"/>
    <w:rsid w:val="00461792"/>
    <w:rsid w:val="00462012"/>
    <w:rsid w:val="00463A1B"/>
    <w:rsid w:val="00464588"/>
    <w:rsid w:val="00464BCC"/>
    <w:rsid w:val="00464C33"/>
    <w:rsid w:val="00467978"/>
    <w:rsid w:val="00472A79"/>
    <w:rsid w:val="00472CFB"/>
    <w:rsid w:val="00473658"/>
    <w:rsid w:val="00475837"/>
    <w:rsid w:val="00475EE2"/>
    <w:rsid w:val="00476228"/>
    <w:rsid w:val="004769E5"/>
    <w:rsid w:val="00476C3C"/>
    <w:rsid w:val="0048065D"/>
    <w:rsid w:val="0048231E"/>
    <w:rsid w:val="00482632"/>
    <w:rsid w:val="00482F7D"/>
    <w:rsid w:val="00484250"/>
    <w:rsid w:val="0048470B"/>
    <w:rsid w:val="00486143"/>
    <w:rsid w:val="0049028D"/>
    <w:rsid w:val="00493A75"/>
    <w:rsid w:val="00496292"/>
    <w:rsid w:val="00496824"/>
    <w:rsid w:val="00496BDA"/>
    <w:rsid w:val="00497365"/>
    <w:rsid w:val="00497511"/>
    <w:rsid w:val="0049783A"/>
    <w:rsid w:val="00497B17"/>
    <w:rsid w:val="004A19CB"/>
    <w:rsid w:val="004A1EBA"/>
    <w:rsid w:val="004A3303"/>
    <w:rsid w:val="004A4D7D"/>
    <w:rsid w:val="004A4EB9"/>
    <w:rsid w:val="004A53E5"/>
    <w:rsid w:val="004A661B"/>
    <w:rsid w:val="004A6ECA"/>
    <w:rsid w:val="004B1000"/>
    <w:rsid w:val="004B12C4"/>
    <w:rsid w:val="004B159F"/>
    <w:rsid w:val="004B2739"/>
    <w:rsid w:val="004B2A9E"/>
    <w:rsid w:val="004B2B41"/>
    <w:rsid w:val="004B4A14"/>
    <w:rsid w:val="004B5C4D"/>
    <w:rsid w:val="004B6230"/>
    <w:rsid w:val="004B67AD"/>
    <w:rsid w:val="004C0986"/>
    <w:rsid w:val="004C3F0D"/>
    <w:rsid w:val="004C4761"/>
    <w:rsid w:val="004C4CEA"/>
    <w:rsid w:val="004C4F08"/>
    <w:rsid w:val="004C5084"/>
    <w:rsid w:val="004C6508"/>
    <w:rsid w:val="004D045D"/>
    <w:rsid w:val="004D0478"/>
    <w:rsid w:val="004D0CD9"/>
    <w:rsid w:val="004D168C"/>
    <w:rsid w:val="004D22A5"/>
    <w:rsid w:val="004D32FD"/>
    <w:rsid w:val="004D3FC8"/>
    <w:rsid w:val="004D4B19"/>
    <w:rsid w:val="004D5CD7"/>
    <w:rsid w:val="004D5D9F"/>
    <w:rsid w:val="004D7468"/>
    <w:rsid w:val="004D74C9"/>
    <w:rsid w:val="004E3B0C"/>
    <w:rsid w:val="004E3D6F"/>
    <w:rsid w:val="004E4904"/>
    <w:rsid w:val="004E526C"/>
    <w:rsid w:val="004E6218"/>
    <w:rsid w:val="004E6745"/>
    <w:rsid w:val="004E7D0D"/>
    <w:rsid w:val="004F0EF7"/>
    <w:rsid w:val="004F15B9"/>
    <w:rsid w:val="004F1B6D"/>
    <w:rsid w:val="004F2D1F"/>
    <w:rsid w:val="005022D6"/>
    <w:rsid w:val="005127A7"/>
    <w:rsid w:val="00517915"/>
    <w:rsid w:val="005201D9"/>
    <w:rsid w:val="00520BB7"/>
    <w:rsid w:val="00521F43"/>
    <w:rsid w:val="00522779"/>
    <w:rsid w:val="00522DEF"/>
    <w:rsid w:val="005235D0"/>
    <w:rsid w:val="00525AF1"/>
    <w:rsid w:val="00526016"/>
    <w:rsid w:val="005274C9"/>
    <w:rsid w:val="00530ED4"/>
    <w:rsid w:val="00532752"/>
    <w:rsid w:val="005362C3"/>
    <w:rsid w:val="00536560"/>
    <w:rsid w:val="0053780D"/>
    <w:rsid w:val="00540E7E"/>
    <w:rsid w:val="005424ED"/>
    <w:rsid w:val="0054737C"/>
    <w:rsid w:val="00550842"/>
    <w:rsid w:val="00550DAD"/>
    <w:rsid w:val="00551364"/>
    <w:rsid w:val="0055187D"/>
    <w:rsid w:val="00552D5D"/>
    <w:rsid w:val="0055325A"/>
    <w:rsid w:val="0055611E"/>
    <w:rsid w:val="005568FA"/>
    <w:rsid w:val="00557777"/>
    <w:rsid w:val="00557C5B"/>
    <w:rsid w:val="005602B9"/>
    <w:rsid w:val="00560C85"/>
    <w:rsid w:val="0056256E"/>
    <w:rsid w:val="00565A5B"/>
    <w:rsid w:val="005664E9"/>
    <w:rsid w:val="005667BA"/>
    <w:rsid w:val="00567C40"/>
    <w:rsid w:val="00570046"/>
    <w:rsid w:val="00570BC0"/>
    <w:rsid w:val="00570DE4"/>
    <w:rsid w:val="005720C3"/>
    <w:rsid w:val="005726D9"/>
    <w:rsid w:val="00575692"/>
    <w:rsid w:val="00576B9D"/>
    <w:rsid w:val="00580677"/>
    <w:rsid w:val="00581920"/>
    <w:rsid w:val="00581ACE"/>
    <w:rsid w:val="00583375"/>
    <w:rsid w:val="00584200"/>
    <w:rsid w:val="00586F03"/>
    <w:rsid w:val="00591550"/>
    <w:rsid w:val="00591BA5"/>
    <w:rsid w:val="00593E69"/>
    <w:rsid w:val="0059519C"/>
    <w:rsid w:val="005961EF"/>
    <w:rsid w:val="0059624E"/>
    <w:rsid w:val="005973B9"/>
    <w:rsid w:val="005A052F"/>
    <w:rsid w:val="005A0B1D"/>
    <w:rsid w:val="005A0DD0"/>
    <w:rsid w:val="005A27C2"/>
    <w:rsid w:val="005A5EB7"/>
    <w:rsid w:val="005A5EC0"/>
    <w:rsid w:val="005A67F5"/>
    <w:rsid w:val="005A6AF3"/>
    <w:rsid w:val="005A6EAD"/>
    <w:rsid w:val="005A7EAA"/>
    <w:rsid w:val="005B0F0B"/>
    <w:rsid w:val="005B3B2A"/>
    <w:rsid w:val="005B74BE"/>
    <w:rsid w:val="005C0E8B"/>
    <w:rsid w:val="005C28AE"/>
    <w:rsid w:val="005C2B0E"/>
    <w:rsid w:val="005C2FB1"/>
    <w:rsid w:val="005C3D15"/>
    <w:rsid w:val="005C4246"/>
    <w:rsid w:val="005C453D"/>
    <w:rsid w:val="005C508A"/>
    <w:rsid w:val="005C5888"/>
    <w:rsid w:val="005C5A59"/>
    <w:rsid w:val="005C5A86"/>
    <w:rsid w:val="005C6176"/>
    <w:rsid w:val="005C6552"/>
    <w:rsid w:val="005C6694"/>
    <w:rsid w:val="005C7F73"/>
    <w:rsid w:val="005D150A"/>
    <w:rsid w:val="005D24F4"/>
    <w:rsid w:val="005D34C6"/>
    <w:rsid w:val="005D4551"/>
    <w:rsid w:val="005D4D9C"/>
    <w:rsid w:val="005D5221"/>
    <w:rsid w:val="005D6E0B"/>
    <w:rsid w:val="005D7B0F"/>
    <w:rsid w:val="005E017A"/>
    <w:rsid w:val="005E1D18"/>
    <w:rsid w:val="005E2CD8"/>
    <w:rsid w:val="005E3002"/>
    <w:rsid w:val="005E3244"/>
    <w:rsid w:val="005E6119"/>
    <w:rsid w:val="005E6756"/>
    <w:rsid w:val="005E6B98"/>
    <w:rsid w:val="005E6C69"/>
    <w:rsid w:val="005E6F11"/>
    <w:rsid w:val="005F008D"/>
    <w:rsid w:val="005F06E6"/>
    <w:rsid w:val="005F1294"/>
    <w:rsid w:val="005F1A53"/>
    <w:rsid w:val="005F1DDD"/>
    <w:rsid w:val="005F737B"/>
    <w:rsid w:val="00600373"/>
    <w:rsid w:val="00601B26"/>
    <w:rsid w:val="00601F6F"/>
    <w:rsid w:val="00603ADB"/>
    <w:rsid w:val="00605AB0"/>
    <w:rsid w:val="00607444"/>
    <w:rsid w:val="006110F0"/>
    <w:rsid w:val="00611F6D"/>
    <w:rsid w:val="00612C17"/>
    <w:rsid w:val="0061466C"/>
    <w:rsid w:val="00614C1D"/>
    <w:rsid w:val="006209B5"/>
    <w:rsid w:val="0062176B"/>
    <w:rsid w:val="0062317A"/>
    <w:rsid w:val="006232EF"/>
    <w:rsid w:val="0062334B"/>
    <w:rsid w:val="00625210"/>
    <w:rsid w:val="00625E4D"/>
    <w:rsid w:val="00626292"/>
    <w:rsid w:val="006267CB"/>
    <w:rsid w:val="00631296"/>
    <w:rsid w:val="006314FF"/>
    <w:rsid w:val="006325E8"/>
    <w:rsid w:val="00632CA3"/>
    <w:rsid w:val="006334D1"/>
    <w:rsid w:val="00633BC8"/>
    <w:rsid w:val="0063506F"/>
    <w:rsid w:val="00637653"/>
    <w:rsid w:val="0063792E"/>
    <w:rsid w:val="006431AC"/>
    <w:rsid w:val="00645479"/>
    <w:rsid w:val="00646F31"/>
    <w:rsid w:val="006475C1"/>
    <w:rsid w:val="00647AEC"/>
    <w:rsid w:val="0065056D"/>
    <w:rsid w:val="00650CAF"/>
    <w:rsid w:val="00655849"/>
    <w:rsid w:val="006562DA"/>
    <w:rsid w:val="00657093"/>
    <w:rsid w:val="00660089"/>
    <w:rsid w:val="00662798"/>
    <w:rsid w:val="006644A6"/>
    <w:rsid w:val="006650DF"/>
    <w:rsid w:val="006674CD"/>
    <w:rsid w:val="00667806"/>
    <w:rsid w:val="006718A6"/>
    <w:rsid w:val="00671B78"/>
    <w:rsid w:val="006721C2"/>
    <w:rsid w:val="00672239"/>
    <w:rsid w:val="00675E0D"/>
    <w:rsid w:val="00676AB3"/>
    <w:rsid w:val="00681D82"/>
    <w:rsid w:val="006843FF"/>
    <w:rsid w:val="006845C6"/>
    <w:rsid w:val="0068688E"/>
    <w:rsid w:val="0068717C"/>
    <w:rsid w:val="00691B5F"/>
    <w:rsid w:val="00692649"/>
    <w:rsid w:val="0069358F"/>
    <w:rsid w:val="00694841"/>
    <w:rsid w:val="006959E0"/>
    <w:rsid w:val="006A2763"/>
    <w:rsid w:val="006A4AC0"/>
    <w:rsid w:val="006A5D20"/>
    <w:rsid w:val="006A613C"/>
    <w:rsid w:val="006A75E1"/>
    <w:rsid w:val="006B0566"/>
    <w:rsid w:val="006B1426"/>
    <w:rsid w:val="006B19B3"/>
    <w:rsid w:val="006B19D2"/>
    <w:rsid w:val="006B25A6"/>
    <w:rsid w:val="006B298F"/>
    <w:rsid w:val="006B3C5D"/>
    <w:rsid w:val="006B46CF"/>
    <w:rsid w:val="006B5E37"/>
    <w:rsid w:val="006B63C1"/>
    <w:rsid w:val="006B728A"/>
    <w:rsid w:val="006C5104"/>
    <w:rsid w:val="006C7556"/>
    <w:rsid w:val="006C77A3"/>
    <w:rsid w:val="006C7D40"/>
    <w:rsid w:val="006D1E85"/>
    <w:rsid w:val="006D73F9"/>
    <w:rsid w:val="006E089A"/>
    <w:rsid w:val="006E0C6A"/>
    <w:rsid w:val="006E14F4"/>
    <w:rsid w:val="006E1CAE"/>
    <w:rsid w:val="006E5E47"/>
    <w:rsid w:val="006F0B25"/>
    <w:rsid w:val="006F0E30"/>
    <w:rsid w:val="006F1878"/>
    <w:rsid w:val="006F5448"/>
    <w:rsid w:val="006F5987"/>
    <w:rsid w:val="006F7A8E"/>
    <w:rsid w:val="006F7AB1"/>
    <w:rsid w:val="006F7AFE"/>
    <w:rsid w:val="007049D6"/>
    <w:rsid w:val="00704BE7"/>
    <w:rsid w:val="00705CCE"/>
    <w:rsid w:val="0070653F"/>
    <w:rsid w:val="00706FEE"/>
    <w:rsid w:val="00707859"/>
    <w:rsid w:val="0071047F"/>
    <w:rsid w:val="00710ED5"/>
    <w:rsid w:val="00716939"/>
    <w:rsid w:val="00721022"/>
    <w:rsid w:val="007227FE"/>
    <w:rsid w:val="00725EB0"/>
    <w:rsid w:val="00727CB5"/>
    <w:rsid w:val="00727D66"/>
    <w:rsid w:val="00734447"/>
    <w:rsid w:val="00737EE3"/>
    <w:rsid w:val="00740C1A"/>
    <w:rsid w:val="00741848"/>
    <w:rsid w:val="00742E81"/>
    <w:rsid w:val="00744AF2"/>
    <w:rsid w:val="00744BBE"/>
    <w:rsid w:val="007468C2"/>
    <w:rsid w:val="00747A97"/>
    <w:rsid w:val="0075001C"/>
    <w:rsid w:val="00751FFC"/>
    <w:rsid w:val="0075513F"/>
    <w:rsid w:val="00762948"/>
    <w:rsid w:val="007653DC"/>
    <w:rsid w:val="007655CF"/>
    <w:rsid w:val="00765928"/>
    <w:rsid w:val="00765C1D"/>
    <w:rsid w:val="00766698"/>
    <w:rsid w:val="007669DE"/>
    <w:rsid w:val="00766BD7"/>
    <w:rsid w:val="00766EB2"/>
    <w:rsid w:val="00767D22"/>
    <w:rsid w:val="007719D7"/>
    <w:rsid w:val="00773783"/>
    <w:rsid w:val="00773A21"/>
    <w:rsid w:val="00774608"/>
    <w:rsid w:val="00775108"/>
    <w:rsid w:val="007759CA"/>
    <w:rsid w:val="00775FAB"/>
    <w:rsid w:val="00780943"/>
    <w:rsid w:val="00780F69"/>
    <w:rsid w:val="007813AF"/>
    <w:rsid w:val="00782B27"/>
    <w:rsid w:val="00784FC0"/>
    <w:rsid w:val="00791156"/>
    <w:rsid w:val="00791524"/>
    <w:rsid w:val="0079167C"/>
    <w:rsid w:val="007941DA"/>
    <w:rsid w:val="0079444A"/>
    <w:rsid w:val="0079626F"/>
    <w:rsid w:val="007A0A3C"/>
    <w:rsid w:val="007A0E72"/>
    <w:rsid w:val="007A153F"/>
    <w:rsid w:val="007A1584"/>
    <w:rsid w:val="007A20FD"/>
    <w:rsid w:val="007A26D4"/>
    <w:rsid w:val="007A7349"/>
    <w:rsid w:val="007B0E26"/>
    <w:rsid w:val="007B24D3"/>
    <w:rsid w:val="007B317D"/>
    <w:rsid w:val="007B3F31"/>
    <w:rsid w:val="007B6A1D"/>
    <w:rsid w:val="007B7E52"/>
    <w:rsid w:val="007C0A8E"/>
    <w:rsid w:val="007C0CD2"/>
    <w:rsid w:val="007C38A3"/>
    <w:rsid w:val="007C78FB"/>
    <w:rsid w:val="007D0B32"/>
    <w:rsid w:val="007D110B"/>
    <w:rsid w:val="007D1563"/>
    <w:rsid w:val="007D340A"/>
    <w:rsid w:val="007D345E"/>
    <w:rsid w:val="007D3FE7"/>
    <w:rsid w:val="007D41E2"/>
    <w:rsid w:val="007D477F"/>
    <w:rsid w:val="007D4C2A"/>
    <w:rsid w:val="007D58F4"/>
    <w:rsid w:val="007D7C79"/>
    <w:rsid w:val="007D7F42"/>
    <w:rsid w:val="007E0B57"/>
    <w:rsid w:val="007E2CEC"/>
    <w:rsid w:val="007E4C2F"/>
    <w:rsid w:val="007E5CA7"/>
    <w:rsid w:val="007E72FB"/>
    <w:rsid w:val="007F07D6"/>
    <w:rsid w:val="007F1381"/>
    <w:rsid w:val="007F4891"/>
    <w:rsid w:val="007F4A74"/>
    <w:rsid w:val="007F54B2"/>
    <w:rsid w:val="007F5594"/>
    <w:rsid w:val="007F5DC4"/>
    <w:rsid w:val="007F6853"/>
    <w:rsid w:val="007F687C"/>
    <w:rsid w:val="007F6A6F"/>
    <w:rsid w:val="00801A58"/>
    <w:rsid w:val="00801AC1"/>
    <w:rsid w:val="00801B2D"/>
    <w:rsid w:val="00801BFF"/>
    <w:rsid w:val="008022D5"/>
    <w:rsid w:val="00802867"/>
    <w:rsid w:val="008068C9"/>
    <w:rsid w:val="0080694B"/>
    <w:rsid w:val="00806F9E"/>
    <w:rsid w:val="00807DEF"/>
    <w:rsid w:val="00810683"/>
    <w:rsid w:val="00811F27"/>
    <w:rsid w:val="00812297"/>
    <w:rsid w:val="00815ACC"/>
    <w:rsid w:val="00816096"/>
    <w:rsid w:val="00817554"/>
    <w:rsid w:val="008211F0"/>
    <w:rsid w:val="00821799"/>
    <w:rsid w:val="008217C9"/>
    <w:rsid w:val="008222A9"/>
    <w:rsid w:val="00822823"/>
    <w:rsid w:val="00823AB5"/>
    <w:rsid w:val="00823B6E"/>
    <w:rsid w:val="0082472C"/>
    <w:rsid w:val="00825093"/>
    <w:rsid w:val="00825829"/>
    <w:rsid w:val="00825F4F"/>
    <w:rsid w:val="00826155"/>
    <w:rsid w:val="00826194"/>
    <w:rsid w:val="00826604"/>
    <w:rsid w:val="0083088A"/>
    <w:rsid w:val="00832076"/>
    <w:rsid w:val="008331DA"/>
    <w:rsid w:val="008334C7"/>
    <w:rsid w:val="00833563"/>
    <w:rsid w:val="00835726"/>
    <w:rsid w:val="00836272"/>
    <w:rsid w:val="0083785C"/>
    <w:rsid w:val="008410A6"/>
    <w:rsid w:val="0084120B"/>
    <w:rsid w:val="0084220B"/>
    <w:rsid w:val="008440B2"/>
    <w:rsid w:val="00845C32"/>
    <w:rsid w:val="00851A64"/>
    <w:rsid w:val="00851BC1"/>
    <w:rsid w:val="0085339A"/>
    <w:rsid w:val="0085409A"/>
    <w:rsid w:val="0085709E"/>
    <w:rsid w:val="008671BE"/>
    <w:rsid w:val="00871B85"/>
    <w:rsid w:val="0087211A"/>
    <w:rsid w:val="008737B3"/>
    <w:rsid w:val="0087442B"/>
    <w:rsid w:val="008749C0"/>
    <w:rsid w:val="00877AA2"/>
    <w:rsid w:val="0088321E"/>
    <w:rsid w:val="008838C7"/>
    <w:rsid w:val="0088552E"/>
    <w:rsid w:val="00885E3E"/>
    <w:rsid w:val="00890081"/>
    <w:rsid w:val="0089015F"/>
    <w:rsid w:val="0089171C"/>
    <w:rsid w:val="00893A20"/>
    <w:rsid w:val="008A0187"/>
    <w:rsid w:val="008A02EF"/>
    <w:rsid w:val="008A2B7D"/>
    <w:rsid w:val="008A3D70"/>
    <w:rsid w:val="008A4162"/>
    <w:rsid w:val="008B066F"/>
    <w:rsid w:val="008B1E4F"/>
    <w:rsid w:val="008B2A7B"/>
    <w:rsid w:val="008B2E1B"/>
    <w:rsid w:val="008B30BA"/>
    <w:rsid w:val="008B3F37"/>
    <w:rsid w:val="008B7E53"/>
    <w:rsid w:val="008C006F"/>
    <w:rsid w:val="008C0BB0"/>
    <w:rsid w:val="008C2DB9"/>
    <w:rsid w:val="008C39EC"/>
    <w:rsid w:val="008C4916"/>
    <w:rsid w:val="008C7325"/>
    <w:rsid w:val="008D0F2D"/>
    <w:rsid w:val="008D19D2"/>
    <w:rsid w:val="008D57B8"/>
    <w:rsid w:val="008D69CF"/>
    <w:rsid w:val="008E0428"/>
    <w:rsid w:val="008E13F9"/>
    <w:rsid w:val="008E1EF9"/>
    <w:rsid w:val="008E2D41"/>
    <w:rsid w:val="008E3DEF"/>
    <w:rsid w:val="008E4737"/>
    <w:rsid w:val="008E4EBE"/>
    <w:rsid w:val="008E7DC0"/>
    <w:rsid w:val="008F011F"/>
    <w:rsid w:val="008F02A8"/>
    <w:rsid w:val="008F32EB"/>
    <w:rsid w:val="008F46F8"/>
    <w:rsid w:val="008F5CB7"/>
    <w:rsid w:val="008F73D3"/>
    <w:rsid w:val="008F7BC4"/>
    <w:rsid w:val="00901321"/>
    <w:rsid w:val="0090161C"/>
    <w:rsid w:val="00904324"/>
    <w:rsid w:val="00906F9F"/>
    <w:rsid w:val="0091162A"/>
    <w:rsid w:val="00911A09"/>
    <w:rsid w:val="00912320"/>
    <w:rsid w:val="00913193"/>
    <w:rsid w:val="00914F6B"/>
    <w:rsid w:val="00916578"/>
    <w:rsid w:val="00921B2B"/>
    <w:rsid w:val="00921B54"/>
    <w:rsid w:val="00921B64"/>
    <w:rsid w:val="00921D33"/>
    <w:rsid w:val="0092252D"/>
    <w:rsid w:val="00922DE9"/>
    <w:rsid w:val="009230F2"/>
    <w:rsid w:val="009247FE"/>
    <w:rsid w:val="00925FB6"/>
    <w:rsid w:val="0092669F"/>
    <w:rsid w:val="00927308"/>
    <w:rsid w:val="00932BA1"/>
    <w:rsid w:val="00934CA1"/>
    <w:rsid w:val="00935417"/>
    <w:rsid w:val="009401F3"/>
    <w:rsid w:val="0094155F"/>
    <w:rsid w:val="00941A42"/>
    <w:rsid w:val="00942712"/>
    <w:rsid w:val="0094529C"/>
    <w:rsid w:val="00945D46"/>
    <w:rsid w:val="00946002"/>
    <w:rsid w:val="009461CB"/>
    <w:rsid w:val="00950C88"/>
    <w:rsid w:val="009527F3"/>
    <w:rsid w:val="00954F3C"/>
    <w:rsid w:val="009550DD"/>
    <w:rsid w:val="00955124"/>
    <w:rsid w:val="0095630E"/>
    <w:rsid w:val="0095680B"/>
    <w:rsid w:val="009578D0"/>
    <w:rsid w:val="00957D2E"/>
    <w:rsid w:val="00960116"/>
    <w:rsid w:val="00962D73"/>
    <w:rsid w:val="009632F2"/>
    <w:rsid w:val="00963416"/>
    <w:rsid w:val="0096481A"/>
    <w:rsid w:val="009712B3"/>
    <w:rsid w:val="0097288C"/>
    <w:rsid w:val="00973F46"/>
    <w:rsid w:val="00977E85"/>
    <w:rsid w:val="00980BB7"/>
    <w:rsid w:val="009817D1"/>
    <w:rsid w:val="00982581"/>
    <w:rsid w:val="00986744"/>
    <w:rsid w:val="00987B5C"/>
    <w:rsid w:val="0099106E"/>
    <w:rsid w:val="00991A5F"/>
    <w:rsid w:val="00993505"/>
    <w:rsid w:val="00993DFB"/>
    <w:rsid w:val="00995BD2"/>
    <w:rsid w:val="009A1BC4"/>
    <w:rsid w:val="009A6230"/>
    <w:rsid w:val="009A6BE8"/>
    <w:rsid w:val="009B0834"/>
    <w:rsid w:val="009B2CF3"/>
    <w:rsid w:val="009B5512"/>
    <w:rsid w:val="009B559B"/>
    <w:rsid w:val="009B65E1"/>
    <w:rsid w:val="009B763D"/>
    <w:rsid w:val="009C05EE"/>
    <w:rsid w:val="009C211D"/>
    <w:rsid w:val="009C219D"/>
    <w:rsid w:val="009C57F2"/>
    <w:rsid w:val="009C6864"/>
    <w:rsid w:val="009D02D6"/>
    <w:rsid w:val="009D359B"/>
    <w:rsid w:val="009D3A7D"/>
    <w:rsid w:val="009D55B4"/>
    <w:rsid w:val="009E059D"/>
    <w:rsid w:val="009E1803"/>
    <w:rsid w:val="009E2877"/>
    <w:rsid w:val="009E44D0"/>
    <w:rsid w:val="009E4B3D"/>
    <w:rsid w:val="009E53DE"/>
    <w:rsid w:val="009E7A7B"/>
    <w:rsid w:val="009F0093"/>
    <w:rsid w:val="009F026B"/>
    <w:rsid w:val="009F057C"/>
    <w:rsid w:val="009F0C37"/>
    <w:rsid w:val="009F3002"/>
    <w:rsid w:val="009F405B"/>
    <w:rsid w:val="009F7EDE"/>
    <w:rsid w:val="00A00633"/>
    <w:rsid w:val="00A007AA"/>
    <w:rsid w:val="00A01FD3"/>
    <w:rsid w:val="00A02EE9"/>
    <w:rsid w:val="00A12A3D"/>
    <w:rsid w:val="00A12CF6"/>
    <w:rsid w:val="00A12E18"/>
    <w:rsid w:val="00A12F86"/>
    <w:rsid w:val="00A13D87"/>
    <w:rsid w:val="00A14F57"/>
    <w:rsid w:val="00A15449"/>
    <w:rsid w:val="00A16FE8"/>
    <w:rsid w:val="00A221C5"/>
    <w:rsid w:val="00A235B1"/>
    <w:rsid w:val="00A2401B"/>
    <w:rsid w:val="00A246C8"/>
    <w:rsid w:val="00A310D2"/>
    <w:rsid w:val="00A3112C"/>
    <w:rsid w:val="00A319F3"/>
    <w:rsid w:val="00A32F43"/>
    <w:rsid w:val="00A354B2"/>
    <w:rsid w:val="00A35EB5"/>
    <w:rsid w:val="00A36B95"/>
    <w:rsid w:val="00A3745C"/>
    <w:rsid w:val="00A376DE"/>
    <w:rsid w:val="00A408E4"/>
    <w:rsid w:val="00A440A4"/>
    <w:rsid w:val="00A45B8E"/>
    <w:rsid w:val="00A47ACE"/>
    <w:rsid w:val="00A5227B"/>
    <w:rsid w:val="00A539DD"/>
    <w:rsid w:val="00A5476F"/>
    <w:rsid w:val="00A571F2"/>
    <w:rsid w:val="00A60E18"/>
    <w:rsid w:val="00A62B61"/>
    <w:rsid w:val="00A63FF2"/>
    <w:rsid w:val="00A6573D"/>
    <w:rsid w:val="00A6656B"/>
    <w:rsid w:val="00A71069"/>
    <w:rsid w:val="00A71963"/>
    <w:rsid w:val="00A71BEF"/>
    <w:rsid w:val="00A728B7"/>
    <w:rsid w:val="00A73204"/>
    <w:rsid w:val="00A74F5B"/>
    <w:rsid w:val="00A776D4"/>
    <w:rsid w:val="00A8098C"/>
    <w:rsid w:val="00A8326D"/>
    <w:rsid w:val="00A8384B"/>
    <w:rsid w:val="00A86CDF"/>
    <w:rsid w:val="00A86D89"/>
    <w:rsid w:val="00A87B55"/>
    <w:rsid w:val="00A92D81"/>
    <w:rsid w:val="00A93EC8"/>
    <w:rsid w:val="00A9464E"/>
    <w:rsid w:val="00A97358"/>
    <w:rsid w:val="00A97B9A"/>
    <w:rsid w:val="00A97FD6"/>
    <w:rsid w:val="00AA07A2"/>
    <w:rsid w:val="00AA1163"/>
    <w:rsid w:val="00AA19B8"/>
    <w:rsid w:val="00AA1A2F"/>
    <w:rsid w:val="00AA2CD8"/>
    <w:rsid w:val="00AA2E84"/>
    <w:rsid w:val="00AA31CE"/>
    <w:rsid w:val="00AA37A2"/>
    <w:rsid w:val="00AA3933"/>
    <w:rsid w:val="00AA665D"/>
    <w:rsid w:val="00AB1639"/>
    <w:rsid w:val="00AB353A"/>
    <w:rsid w:val="00AB3719"/>
    <w:rsid w:val="00AB4C49"/>
    <w:rsid w:val="00AB4D54"/>
    <w:rsid w:val="00AB783C"/>
    <w:rsid w:val="00AB7CE6"/>
    <w:rsid w:val="00AC275D"/>
    <w:rsid w:val="00AC434B"/>
    <w:rsid w:val="00AC57C1"/>
    <w:rsid w:val="00AC5F11"/>
    <w:rsid w:val="00AC6F18"/>
    <w:rsid w:val="00AC709F"/>
    <w:rsid w:val="00AC7633"/>
    <w:rsid w:val="00AD1524"/>
    <w:rsid w:val="00AD5751"/>
    <w:rsid w:val="00AD5865"/>
    <w:rsid w:val="00AD7A9E"/>
    <w:rsid w:val="00AE0185"/>
    <w:rsid w:val="00AE0509"/>
    <w:rsid w:val="00AE21FF"/>
    <w:rsid w:val="00AE28BA"/>
    <w:rsid w:val="00AE2E65"/>
    <w:rsid w:val="00AE39F7"/>
    <w:rsid w:val="00AE3B34"/>
    <w:rsid w:val="00AE42C0"/>
    <w:rsid w:val="00AE7BCE"/>
    <w:rsid w:val="00AF11E5"/>
    <w:rsid w:val="00AF2408"/>
    <w:rsid w:val="00AF30D3"/>
    <w:rsid w:val="00AF345F"/>
    <w:rsid w:val="00AF36F9"/>
    <w:rsid w:val="00AF3E54"/>
    <w:rsid w:val="00AF668D"/>
    <w:rsid w:val="00AF7BFA"/>
    <w:rsid w:val="00B01482"/>
    <w:rsid w:val="00B02162"/>
    <w:rsid w:val="00B03ACF"/>
    <w:rsid w:val="00B0453C"/>
    <w:rsid w:val="00B06899"/>
    <w:rsid w:val="00B07082"/>
    <w:rsid w:val="00B10075"/>
    <w:rsid w:val="00B10CDB"/>
    <w:rsid w:val="00B12580"/>
    <w:rsid w:val="00B132C5"/>
    <w:rsid w:val="00B1357A"/>
    <w:rsid w:val="00B1392A"/>
    <w:rsid w:val="00B140A8"/>
    <w:rsid w:val="00B166BC"/>
    <w:rsid w:val="00B17B74"/>
    <w:rsid w:val="00B17E53"/>
    <w:rsid w:val="00B20940"/>
    <w:rsid w:val="00B210CD"/>
    <w:rsid w:val="00B21117"/>
    <w:rsid w:val="00B22D69"/>
    <w:rsid w:val="00B24393"/>
    <w:rsid w:val="00B2447D"/>
    <w:rsid w:val="00B2525C"/>
    <w:rsid w:val="00B25892"/>
    <w:rsid w:val="00B25A4A"/>
    <w:rsid w:val="00B25B01"/>
    <w:rsid w:val="00B31535"/>
    <w:rsid w:val="00B31CA8"/>
    <w:rsid w:val="00B323FF"/>
    <w:rsid w:val="00B33607"/>
    <w:rsid w:val="00B33715"/>
    <w:rsid w:val="00B33C1E"/>
    <w:rsid w:val="00B341D4"/>
    <w:rsid w:val="00B360D8"/>
    <w:rsid w:val="00B37275"/>
    <w:rsid w:val="00B4111E"/>
    <w:rsid w:val="00B41C2E"/>
    <w:rsid w:val="00B45056"/>
    <w:rsid w:val="00B4508C"/>
    <w:rsid w:val="00B45FE2"/>
    <w:rsid w:val="00B468E2"/>
    <w:rsid w:val="00B46FF4"/>
    <w:rsid w:val="00B47C4E"/>
    <w:rsid w:val="00B5169A"/>
    <w:rsid w:val="00B51DD9"/>
    <w:rsid w:val="00B51E7D"/>
    <w:rsid w:val="00B53148"/>
    <w:rsid w:val="00B5495A"/>
    <w:rsid w:val="00B54C34"/>
    <w:rsid w:val="00B566C7"/>
    <w:rsid w:val="00B60106"/>
    <w:rsid w:val="00B61617"/>
    <w:rsid w:val="00B618F0"/>
    <w:rsid w:val="00B6376D"/>
    <w:rsid w:val="00B63F12"/>
    <w:rsid w:val="00B644CA"/>
    <w:rsid w:val="00B73C7D"/>
    <w:rsid w:val="00B745BF"/>
    <w:rsid w:val="00B7477D"/>
    <w:rsid w:val="00B753EB"/>
    <w:rsid w:val="00B7571B"/>
    <w:rsid w:val="00B75C7D"/>
    <w:rsid w:val="00B80BA6"/>
    <w:rsid w:val="00B823F7"/>
    <w:rsid w:val="00B82908"/>
    <w:rsid w:val="00B829D9"/>
    <w:rsid w:val="00B82CE4"/>
    <w:rsid w:val="00B82F7C"/>
    <w:rsid w:val="00B85281"/>
    <w:rsid w:val="00B87248"/>
    <w:rsid w:val="00B908AD"/>
    <w:rsid w:val="00B909A9"/>
    <w:rsid w:val="00B92B80"/>
    <w:rsid w:val="00B9465C"/>
    <w:rsid w:val="00B95EEE"/>
    <w:rsid w:val="00B9694F"/>
    <w:rsid w:val="00BA1437"/>
    <w:rsid w:val="00BA1A42"/>
    <w:rsid w:val="00BA2882"/>
    <w:rsid w:val="00BA37A2"/>
    <w:rsid w:val="00BA3CEB"/>
    <w:rsid w:val="00BA4F53"/>
    <w:rsid w:val="00BA54B0"/>
    <w:rsid w:val="00BA7BF7"/>
    <w:rsid w:val="00BB0A04"/>
    <w:rsid w:val="00BB0B6F"/>
    <w:rsid w:val="00BB1045"/>
    <w:rsid w:val="00BB63D9"/>
    <w:rsid w:val="00BB7558"/>
    <w:rsid w:val="00BB78F8"/>
    <w:rsid w:val="00BB7C36"/>
    <w:rsid w:val="00BC0F5B"/>
    <w:rsid w:val="00BC1992"/>
    <w:rsid w:val="00BC3735"/>
    <w:rsid w:val="00BC452C"/>
    <w:rsid w:val="00BC6794"/>
    <w:rsid w:val="00BC6AE0"/>
    <w:rsid w:val="00BC7423"/>
    <w:rsid w:val="00BD06A5"/>
    <w:rsid w:val="00BD09E7"/>
    <w:rsid w:val="00BD105C"/>
    <w:rsid w:val="00BD303B"/>
    <w:rsid w:val="00BD4BB9"/>
    <w:rsid w:val="00BD51EA"/>
    <w:rsid w:val="00BD6DBA"/>
    <w:rsid w:val="00BE00E5"/>
    <w:rsid w:val="00BE0195"/>
    <w:rsid w:val="00BE1F81"/>
    <w:rsid w:val="00BE2B9E"/>
    <w:rsid w:val="00BE4F25"/>
    <w:rsid w:val="00BE5E69"/>
    <w:rsid w:val="00BE7C48"/>
    <w:rsid w:val="00BF1898"/>
    <w:rsid w:val="00BF2075"/>
    <w:rsid w:val="00BF3CBE"/>
    <w:rsid w:val="00BF5311"/>
    <w:rsid w:val="00BF7577"/>
    <w:rsid w:val="00C00864"/>
    <w:rsid w:val="00C055CD"/>
    <w:rsid w:val="00C06258"/>
    <w:rsid w:val="00C063EA"/>
    <w:rsid w:val="00C0693A"/>
    <w:rsid w:val="00C1154D"/>
    <w:rsid w:val="00C11A22"/>
    <w:rsid w:val="00C11A7A"/>
    <w:rsid w:val="00C11F70"/>
    <w:rsid w:val="00C1236C"/>
    <w:rsid w:val="00C12D1E"/>
    <w:rsid w:val="00C155B2"/>
    <w:rsid w:val="00C16376"/>
    <w:rsid w:val="00C2023D"/>
    <w:rsid w:val="00C2040A"/>
    <w:rsid w:val="00C2076C"/>
    <w:rsid w:val="00C21982"/>
    <w:rsid w:val="00C237FB"/>
    <w:rsid w:val="00C240B0"/>
    <w:rsid w:val="00C2609F"/>
    <w:rsid w:val="00C30E7C"/>
    <w:rsid w:val="00C316B5"/>
    <w:rsid w:val="00C31B15"/>
    <w:rsid w:val="00C323A8"/>
    <w:rsid w:val="00C3679A"/>
    <w:rsid w:val="00C36C48"/>
    <w:rsid w:val="00C36F79"/>
    <w:rsid w:val="00C37C0C"/>
    <w:rsid w:val="00C42CBA"/>
    <w:rsid w:val="00C42D07"/>
    <w:rsid w:val="00C433C8"/>
    <w:rsid w:val="00C43EE6"/>
    <w:rsid w:val="00C4409A"/>
    <w:rsid w:val="00C46871"/>
    <w:rsid w:val="00C51943"/>
    <w:rsid w:val="00C52417"/>
    <w:rsid w:val="00C531D1"/>
    <w:rsid w:val="00C534BC"/>
    <w:rsid w:val="00C53DE2"/>
    <w:rsid w:val="00C53EA2"/>
    <w:rsid w:val="00C54C1E"/>
    <w:rsid w:val="00C551B8"/>
    <w:rsid w:val="00C562CB"/>
    <w:rsid w:val="00C57EA4"/>
    <w:rsid w:val="00C60756"/>
    <w:rsid w:val="00C61766"/>
    <w:rsid w:val="00C63CEA"/>
    <w:rsid w:val="00C640F7"/>
    <w:rsid w:val="00C642E0"/>
    <w:rsid w:val="00C64928"/>
    <w:rsid w:val="00C65675"/>
    <w:rsid w:val="00C66B16"/>
    <w:rsid w:val="00C672A9"/>
    <w:rsid w:val="00C676E8"/>
    <w:rsid w:val="00C67E3A"/>
    <w:rsid w:val="00C706CC"/>
    <w:rsid w:val="00C7126F"/>
    <w:rsid w:val="00C72E9F"/>
    <w:rsid w:val="00C73B72"/>
    <w:rsid w:val="00C77F7C"/>
    <w:rsid w:val="00C80DD9"/>
    <w:rsid w:val="00C82962"/>
    <w:rsid w:val="00C83693"/>
    <w:rsid w:val="00C837C6"/>
    <w:rsid w:val="00C843FF"/>
    <w:rsid w:val="00C848CF"/>
    <w:rsid w:val="00C86FD5"/>
    <w:rsid w:val="00C90139"/>
    <w:rsid w:val="00C914DA"/>
    <w:rsid w:val="00C922D3"/>
    <w:rsid w:val="00C92DE0"/>
    <w:rsid w:val="00C96AF6"/>
    <w:rsid w:val="00C9731D"/>
    <w:rsid w:val="00C97FD2"/>
    <w:rsid w:val="00CA1360"/>
    <w:rsid w:val="00CA49E7"/>
    <w:rsid w:val="00CA4B14"/>
    <w:rsid w:val="00CA5220"/>
    <w:rsid w:val="00CB08D2"/>
    <w:rsid w:val="00CB21A5"/>
    <w:rsid w:val="00CB247E"/>
    <w:rsid w:val="00CB25D6"/>
    <w:rsid w:val="00CB2A51"/>
    <w:rsid w:val="00CB2F65"/>
    <w:rsid w:val="00CB3843"/>
    <w:rsid w:val="00CB67E5"/>
    <w:rsid w:val="00CB6C42"/>
    <w:rsid w:val="00CC0C59"/>
    <w:rsid w:val="00CC23FC"/>
    <w:rsid w:val="00CC4167"/>
    <w:rsid w:val="00CC51DF"/>
    <w:rsid w:val="00CC546D"/>
    <w:rsid w:val="00CC60B7"/>
    <w:rsid w:val="00CC7408"/>
    <w:rsid w:val="00CD096D"/>
    <w:rsid w:val="00CD0F7E"/>
    <w:rsid w:val="00CD1D2D"/>
    <w:rsid w:val="00CD20F4"/>
    <w:rsid w:val="00CD32F6"/>
    <w:rsid w:val="00CD590C"/>
    <w:rsid w:val="00CD6401"/>
    <w:rsid w:val="00CD655A"/>
    <w:rsid w:val="00CD776A"/>
    <w:rsid w:val="00CE630B"/>
    <w:rsid w:val="00CE7337"/>
    <w:rsid w:val="00CF3BD4"/>
    <w:rsid w:val="00CF41B5"/>
    <w:rsid w:val="00CF4F19"/>
    <w:rsid w:val="00CF5215"/>
    <w:rsid w:val="00CF53AB"/>
    <w:rsid w:val="00CF5711"/>
    <w:rsid w:val="00CF6DCF"/>
    <w:rsid w:val="00D0605C"/>
    <w:rsid w:val="00D106F6"/>
    <w:rsid w:val="00D12BF5"/>
    <w:rsid w:val="00D139AD"/>
    <w:rsid w:val="00D16AB7"/>
    <w:rsid w:val="00D176D9"/>
    <w:rsid w:val="00D21337"/>
    <w:rsid w:val="00D213CC"/>
    <w:rsid w:val="00D21D36"/>
    <w:rsid w:val="00D227C1"/>
    <w:rsid w:val="00D235C2"/>
    <w:rsid w:val="00D23D6A"/>
    <w:rsid w:val="00D24239"/>
    <w:rsid w:val="00D25198"/>
    <w:rsid w:val="00D26A91"/>
    <w:rsid w:val="00D33423"/>
    <w:rsid w:val="00D35425"/>
    <w:rsid w:val="00D377E9"/>
    <w:rsid w:val="00D37FCF"/>
    <w:rsid w:val="00D42EBE"/>
    <w:rsid w:val="00D43789"/>
    <w:rsid w:val="00D452C2"/>
    <w:rsid w:val="00D46E4D"/>
    <w:rsid w:val="00D47F04"/>
    <w:rsid w:val="00D51E18"/>
    <w:rsid w:val="00D52C52"/>
    <w:rsid w:val="00D52DFE"/>
    <w:rsid w:val="00D54602"/>
    <w:rsid w:val="00D638FF"/>
    <w:rsid w:val="00D65913"/>
    <w:rsid w:val="00D659D0"/>
    <w:rsid w:val="00D665F8"/>
    <w:rsid w:val="00D67601"/>
    <w:rsid w:val="00D67B28"/>
    <w:rsid w:val="00D71C39"/>
    <w:rsid w:val="00D73555"/>
    <w:rsid w:val="00D74803"/>
    <w:rsid w:val="00D74D71"/>
    <w:rsid w:val="00D75039"/>
    <w:rsid w:val="00D75BAF"/>
    <w:rsid w:val="00D777D7"/>
    <w:rsid w:val="00D80587"/>
    <w:rsid w:val="00D807C6"/>
    <w:rsid w:val="00D83447"/>
    <w:rsid w:val="00D8643D"/>
    <w:rsid w:val="00D86F42"/>
    <w:rsid w:val="00D8760C"/>
    <w:rsid w:val="00D90427"/>
    <w:rsid w:val="00D90637"/>
    <w:rsid w:val="00D90A7D"/>
    <w:rsid w:val="00D913CF"/>
    <w:rsid w:val="00D91864"/>
    <w:rsid w:val="00D9223C"/>
    <w:rsid w:val="00D92ACB"/>
    <w:rsid w:val="00DA018E"/>
    <w:rsid w:val="00DA0CFD"/>
    <w:rsid w:val="00DA39F6"/>
    <w:rsid w:val="00DA42D1"/>
    <w:rsid w:val="00DA5320"/>
    <w:rsid w:val="00DA6576"/>
    <w:rsid w:val="00DB0483"/>
    <w:rsid w:val="00DB2283"/>
    <w:rsid w:val="00DB78C9"/>
    <w:rsid w:val="00DB7AE9"/>
    <w:rsid w:val="00DC04B6"/>
    <w:rsid w:val="00DC0A8A"/>
    <w:rsid w:val="00DC38BB"/>
    <w:rsid w:val="00DC5E01"/>
    <w:rsid w:val="00DD000C"/>
    <w:rsid w:val="00DD0EC2"/>
    <w:rsid w:val="00DD3B63"/>
    <w:rsid w:val="00DD465D"/>
    <w:rsid w:val="00DD4906"/>
    <w:rsid w:val="00DD4A55"/>
    <w:rsid w:val="00DD4F17"/>
    <w:rsid w:val="00DE2C8E"/>
    <w:rsid w:val="00DE3505"/>
    <w:rsid w:val="00DE40EC"/>
    <w:rsid w:val="00DE639C"/>
    <w:rsid w:val="00DE7A32"/>
    <w:rsid w:val="00DE7B0F"/>
    <w:rsid w:val="00DF05C8"/>
    <w:rsid w:val="00DF1449"/>
    <w:rsid w:val="00DF185A"/>
    <w:rsid w:val="00DF1B5E"/>
    <w:rsid w:val="00DF424E"/>
    <w:rsid w:val="00DF485D"/>
    <w:rsid w:val="00DF4C41"/>
    <w:rsid w:val="00E016CC"/>
    <w:rsid w:val="00E01A2A"/>
    <w:rsid w:val="00E01B0A"/>
    <w:rsid w:val="00E0376C"/>
    <w:rsid w:val="00E05A10"/>
    <w:rsid w:val="00E1079E"/>
    <w:rsid w:val="00E14563"/>
    <w:rsid w:val="00E147E2"/>
    <w:rsid w:val="00E16DD9"/>
    <w:rsid w:val="00E16F5D"/>
    <w:rsid w:val="00E229CB"/>
    <w:rsid w:val="00E23596"/>
    <w:rsid w:val="00E23766"/>
    <w:rsid w:val="00E24263"/>
    <w:rsid w:val="00E244E4"/>
    <w:rsid w:val="00E247DB"/>
    <w:rsid w:val="00E267ED"/>
    <w:rsid w:val="00E26F33"/>
    <w:rsid w:val="00E274A4"/>
    <w:rsid w:val="00E27A3B"/>
    <w:rsid w:val="00E30EE5"/>
    <w:rsid w:val="00E330E5"/>
    <w:rsid w:val="00E333CD"/>
    <w:rsid w:val="00E33481"/>
    <w:rsid w:val="00E3407F"/>
    <w:rsid w:val="00E35BC8"/>
    <w:rsid w:val="00E36218"/>
    <w:rsid w:val="00E36A9B"/>
    <w:rsid w:val="00E4009E"/>
    <w:rsid w:val="00E429C4"/>
    <w:rsid w:val="00E43377"/>
    <w:rsid w:val="00E4459B"/>
    <w:rsid w:val="00E44E13"/>
    <w:rsid w:val="00E4509A"/>
    <w:rsid w:val="00E46347"/>
    <w:rsid w:val="00E4682D"/>
    <w:rsid w:val="00E46FAC"/>
    <w:rsid w:val="00E517D1"/>
    <w:rsid w:val="00E52EEE"/>
    <w:rsid w:val="00E54217"/>
    <w:rsid w:val="00E54A47"/>
    <w:rsid w:val="00E54F1D"/>
    <w:rsid w:val="00E55EC5"/>
    <w:rsid w:val="00E5609B"/>
    <w:rsid w:val="00E563F8"/>
    <w:rsid w:val="00E60A86"/>
    <w:rsid w:val="00E61473"/>
    <w:rsid w:val="00E629A5"/>
    <w:rsid w:val="00E632E3"/>
    <w:rsid w:val="00E65E62"/>
    <w:rsid w:val="00E675AA"/>
    <w:rsid w:val="00E70D49"/>
    <w:rsid w:val="00E73AF2"/>
    <w:rsid w:val="00E73BAC"/>
    <w:rsid w:val="00E749C1"/>
    <w:rsid w:val="00E76CCB"/>
    <w:rsid w:val="00E81947"/>
    <w:rsid w:val="00E81A4D"/>
    <w:rsid w:val="00E82640"/>
    <w:rsid w:val="00E83EF8"/>
    <w:rsid w:val="00E83FFE"/>
    <w:rsid w:val="00E8450B"/>
    <w:rsid w:val="00E84594"/>
    <w:rsid w:val="00E84670"/>
    <w:rsid w:val="00E85A79"/>
    <w:rsid w:val="00E85E3C"/>
    <w:rsid w:val="00E9053C"/>
    <w:rsid w:val="00E911EC"/>
    <w:rsid w:val="00E92DB0"/>
    <w:rsid w:val="00E95379"/>
    <w:rsid w:val="00E966D1"/>
    <w:rsid w:val="00E96DA2"/>
    <w:rsid w:val="00EA0E1C"/>
    <w:rsid w:val="00EA2679"/>
    <w:rsid w:val="00EA26D0"/>
    <w:rsid w:val="00EA28DE"/>
    <w:rsid w:val="00EA4FF9"/>
    <w:rsid w:val="00EA6D1D"/>
    <w:rsid w:val="00EA7A38"/>
    <w:rsid w:val="00EB0C6C"/>
    <w:rsid w:val="00EB1503"/>
    <w:rsid w:val="00EB468D"/>
    <w:rsid w:val="00EB4DD9"/>
    <w:rsid w:val="00EB56F8"/>
    <w:rsid w:val="00EB5A7A"/>
    <w:rsid w:val="00EB5B4D"/>
    <w:rsid w:val="00EC0D96"/>
    <w:rsid w:val="00EC1BC6"/>
    <w:rsid w:val="00EC4FB2"/>
    <w:rsid w:val="00EC5BAE"/>
    <w:rsid w:val="00EC6F43"/>
    <w:rsid w:val="00EC7414"/>
    <w:rsid w:val="00ED4D09"/>
    <w:rsid w:val="00ED6C9D"/>
    <w:rsid w:val="00ED736D"/>
    <w:rsid w:val="00ED7BB1"/>
    <w:rsid w:val="00EE177C"/>
    <w:rsid w:val="00EE18EB"/>
    <w:rsid w:val="00EE28FF"/>
    <w:rsid w:val="00EE30C3"/>
    <w:rsid w:val="00EE5D27"/>
    <w:rsid w:val="00EF0337"/>
    <w:rsid w:val="00EF0908"/>
    <w:rsid w:val="00EF3CD7"/>
    <w:rsid w:val="00EF50CA"/>
    <w:rsid w:val="00F00D99"/>
    <w:rsid w:val="00F013F2"/>
    <w:rsid w:val="00F03056"/>
    <w:rsid w:val="00F03336"/>
    <w:rsid w:val="00F11959"/>
    <w:rsid w:val="00F132C2"/>
    <w:rsid w:val="00F14D19"/>
    <w:rsid w:val="00F15D63"/>
    <w:rsid w:val="00F16BE4"/>
    <w:rsid w:val="00F16EDB"/>
    <w:rsid w:val="00F17208"/>
    <w:rsid w:val="00F20B8B"/>
    <w:rsid w:val="00F2268A"/>
    <w:rsid w:val="00F2275E"/>
    <w:rsid w:val="00F23AB0"/>
    <w:rsid w:val="00F248A2"/>
    <w:rsid w:val="00F25030"/>
    <w:rsid w:val="00F2775D"/>
    <w:rsid w:val="00F27C1B"/>
    <w:rsid w:val="00F31870"/>
    <w:rsid w:val="00F32BD9"/>
    <w:rsid w:val="00F341CE"/>
    <w:rsid w:val="00F346AC"/>
    <w:rsid w:val="00F35D0B"/>
    <w:rsid w:val="00F36798"/>
    <w:rsid w:val="00F371FA"/>
    <w:rsid w:val="00F4077B"/>
    <w:rsid w:val="00F41252"/>
    <w:rsid w:val="00F413EC"/>
    <w:rsid w:val="00F42491"/>
    <w:rsid w:val="00F43A6A"/>
    <w:rsid w:val="00F44BDE"/>
    <w:rsid w:val="00F4552B"/>
    <w:rsid w:val="00F45A9D"/>
    <w:rsid w:val="00F4645B"/>
    <w:rsid w:val="00F52EAA"/>
    <w:rsid w:val="00F5377D"/>
    <w:rsid w:val="00F540FF"/>
    <w:rsid w:val="00F563C4"/>
    <w:rsid w:val="00F574BA"/>
    <w:rsid w:val="00F57CA1"/>
    <w:rsid w:val="00F62509"/>
    <w:rsid w:val="00F6253F"/>
    <w:rsid w:val="00F62EE1"/>
    <w:rsid w:val="00F63F19"/>
    <w:rsid w:val="00F64AB7"/>
    <w:rsid w:val="00F67FC7"/>
    <w:rsid w:val="00F71201"/>
    <w:rsid w:val="00F71469"/>
    <w:rsid w:val="00F728A8"/>
    <w:rsid w:val="00F75665"/>
    <w:rsid w:val="00F811D1"/>
    <w:rsid w:val="00F81431"/>
    <w:rsid w:val="00F84C81"/>
    <w:rsid w:val="00F904DD"/>
    <w:rsid w:val="00F91BC3"/>
    <w:rsid w:val="00F927F8"/>
    <w:rsid w:val="00F928E5"/>
    <w:rsid w:val="00F947C0"/>
    <w:rsid w:val="00F97B71"/>
    <w:rsid w:val="00FA08B6"/>
    <w:rsid w:val="00FA337B"/>
    <w:rsid w:val="00FA3B3B"/>
    <w:rsid w:val="00FA72EC"/>
    <w:rsid w:val="00FB1D39"/>
    <w:rsid w:val="00FB4A0F"/>
    <w:rsid w:val="00FB4F3A"/>
    <w:rsid w:val="00FB5C3D"/>
    <w:rsid w:val="00FB5E24"/>
    <w:rsid w:val="00FB7215"/>
    <w:rsid w:val="00FC2C34"/>
    <w:rsid w:val="00FC4FB3"/>
    <w:rsid w:val="00FC5C3E"/>
    <w:rsid w:val="00FC66D3"/>
    <w:rsid w:val="00FC6D1A"/>
    <w:rsid w:val="00FC7854"/>
    <w:rsid w:val="00FD1DDA"/>
    <w:rsid w:val="00FD23BE"/>
    <w:rsid w:val="00FD48BF"/>
    <w:rsid w:val="00FD528C"/>
    <w:rsid w:val="00FD5AEE"/>
    <w:rsid w:val="00FD771D"/>
    <w:rsid w:val="00FD7D47"/>
    <w:rsid w:val="00FE0547"/>
    <w:rsid w:val="00FE0B06"/>
    <w:rsid w:val="00FE188F"/>
    <w:rsid w:val="00FE225F"/>
    <w:rsid w:val="00FE3889"/>
    <w:rsid w:val="00FE3B69"/>
    <w:rsid w:val="00FE47AE"/>
    <w:rsid w:val="00FE4804"/>
    <w:rsid w:val="00FE50A4"/>
    <w:rsid w:val="00FE565E"/>
    <w:rsid w:val="00FE71D9"/>
    <w:rsid w:val="00FE7346"/>
    <w:rsid w:val="00FF152C"/>
    <w:rsid w:val="00FF2E04"/>
    <w:rsid w:val="00FF4352"/>
    <w:rsid w:val="00FF498E"/>
    <w:rsid w:val="00FF59F2"/>
    <w:rsid w:val="00FF5E62"/>
    <w:rsid w:val="00FF5E9C"/>
    <w:rsid w:val="00FF6064"/>
    <w:rsid w:val="00FF7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B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43"/>
  </w:style>
  <w:style w:type="paragraph" w:styleId="Ttulo1">
    <w:name w:val="heading 1"/>
    <w:basedOn w:val="Normal"/>
    <w:next w:val="Normal"/>
    <w:link w:val="Ttulo1Car"/>
    <w:uiPriority w:val="9"/>
    <w:qFormat/>
    <w:rsid w:val="00C65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aliases w:val="BULLETS"/>
    <w:basedOn w:val="Normal"/>
    <w:next w:val="Normal"/>
    <w:link w:val="Ttulo3Car"/>
    <w:uiPriority w:val="9"/>
    <w:qFormat/>
    <w:rsid w:val="00DD4A55"/>
    <w:pPr>
      <w:keepNext/>
      <w:keepLines/>
      <w:spacing w:before="200" w:after="0" w:line="240" w:lineRule="auto"/>
      <w:jc w:val="both"/>
      <w:outlineLvl w:val="2"/>
    </w:pPr>
    <w:rPr>
      <w:rFonts w:ascii="Montserrat Regular" w:eastAsia="MS Gothic" w:hAnsi="Montserrat Regular" w:cs="Times New Roman"/>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64"/>
    <w:pPr>
      <w:tabs>
        <w:tab w:val="center" w:pos="4419"/>
        <w:tab w:val="right" w:pos="8838"/>
      </w:tabs>
      <w:spacing w:after="0" w:line="240" w:lineRule="auto"/>
    </w:pPr>
    <w:rPr>
      <w:rFonts w:eastAsiaTheme="minorEastAsia"/>
      <w:lang w:eastAsia="es-MX"/>
    </w:rPr>
  </w:style>
  <w:style w:type="character" w:customStyle="1" w:styleId="EncabezadoCar">
    <w:name w:val="Encabezado Car"/>
    <w:basedOn w:val="Fuentedeprrafopredeter"/>
    <w:link w:val="Encabezado"/>
    <w:uiPriority w:val="99"/>
    <w:rsid w:val="00851A64"/>
    <w:rPr>
      <w:rFonts w:eastAsiaTheme="minorEastAsia"/>
      <w:lang w:eastAsia="es-MX"/>
    </w:rPr>
  </w:style>
  <w:style w:type="paragraph" w:styleId="Piedepgina">
    <w:name w:val="footer"/>
    <w:basedOn w:val="Normal"/>
    <w:link w:val="PiedepginaCar"/>
    <w:uiPriority w:val="99"/>
    <w:unhideWhenUsed/>
    <w:rsid w:val="00851A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A64"/>
  </w:style>
  <w:style w:type="paragraph" w:customStyle="1" w:styleId="paragraph">
    <w:name w:val="paragraph"/>
    <w:basedOn w:val="Normal"/>
    <w:rsid w:val="00851A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851A64"/>
  </w:style>
  <w:style w:type="character" w:customStyle="1" w:styleId="eop">
    <w:name w:val="eop"/>
    <w:basedOn w:val="Fuentedeprrafopredeter"/>
    <w:rsid w:val="00851A64"/>
  </w:style>
  <w:style w:type="paragraph" w:styleId="Prrafodelista">
    <w:name w:val="List Paragraph"/>
    <w:aliases w:val="lp1,List Paragraph1,Lista vistosa - Énfasis 11"/>
    <w:basedOn w:val="Normal"/>
    <w:link w:val="PrrafodelistaCar"/>
    <w:uiPriority w:val="34"/>
    <w:qFormat/>
    <w:rsid w:val="001B4E9B"/>
    <w:pPr>
      <w:ind w:left="720"/>
      <w:contextualSpacing/>
    </w:pPr>
  </w:style>
  <w:style w:type="paragraph" w:styleId="NormalWeb">
    <w:name w:val="Normal (Web)"/>
    <w:basedOn w:val="Normal"/>
    <w:uiPriority w:val="99"/>
    <w:unhideWhenUsed/>
    <w:rsid w:val="00E8264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6concolores-nfasis2">
    <w:name w:val="Grid Table 6 Colorful Accent 2"/>
    <w:basedOn w:val="Tablanormal"/>
    <w:uiPriority w:val="51"/>
    <w:rsid w:val="00FE47A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4">
    <w:name w:val="Grid Table 6 Colorful Accent 4"/>
    <w:basedOn w:val="Tablanormal"/>
    <w:uiPriority w:val="51"/>
    <w:rsid w:val="007B24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notapie">
    <w:name w:val="footnote text"/>
    <w:basedOn w:val="Normal"/>
    <w:link w:val="TextonotapieCar"/>
    <w:uiPriority w:val="99"/>
    <w:unhideWhenUsed/>
    <w:rsid w:val="008D57B8"/>
    <w:pPr>
      <w:spacing w:after="0" w:line="240" w:lineRule="auto"/>
    </w:pPr>
    <w:rPr>
      <w:sz w:val="20"/>
      <w:szCs w:val="20"/>
    </w:rPr>
  </w:style>
  <w:style w:type="character" w:customStyle="1" w:styleId="TextonotapieCar">
    <w:name w:val="Texto nota pie Car"/>
    <w:basedOn w:val="Fuentedeprrafopredeter"/>
    <w:link w:val="Textonotapie"/>
    <w:uiPriority w:val="99"/>
    <w:rsid w:val="008D57B8"/>
    <w:rPr>
      <w:sz w:val="20"/>
      <w:szCs w:val="20"/>
    </w:rPr>
  </w:style>
  <w:style w:type="character" w:styleId="Refdenotaalpie">
    <w:name w:val="footnote reference"/>
    <w:basedOn w:val="Fuentedeprrafopredeter"/>
    <w:uiPriority w:val="99"/>
    <w:semiHidden/>
    <w:unhideWhenUsed/>
    <w:rsid w:val="008D57B8"/>
    <w:rPr>
      <w:vertAlign w:val="superscript"/>
    </w:rPr>
  </w:style>
  <w:style w:type="character" w:styleId="Refdecomentario">
    <w:name w:val="annotation reference"/>
    <w:basedOn w:val="Fuentedeprrafopredeter"/>
    <w:uiPriority w:val="99"/>
    <w:semiHidden/>
    <w:unhideWhenUsed/>
    <w:rsid w:val="0001695A"/>
    <w:rPr>
      <w:sz w:val="16"/>
      <w:szCs w:val="16"/>
    </w:rPr>
  </w:style>
  <w:style w:type="paragraph" w:styleId="Textocomentario">
    <w:name w:val="annotation text"/>
    <w:basedOn w:val="Normal"/>
    <w:link w:val="TextocomentarioCar"/>
    <w:uiPriority w:val="99"/>
    <w:unhideWhenUsed/>
    <w:rsid w:val="0001695A"/>
    <w:pPr>
      <w:spacing w:line="240" w:lineRule="auto"/>
    </w:pPr>
    <w:rPr>
      <w:sz w:val="20"/>
      <w:szCs w:val="20"/>
    </w:rPr>
  </w:style>
  <w:style w:type="character" w:customStyle="1" w:styleId="TextocomentarioCar">
    <w:name w:val="Texto comentario Car"/>
    <w:basedOn w:val="Fuentedeprrafopredeter"/>
    <w:link w:val="Textocomentario"/>
    <w:uiPriority w:val="99"/>
    <w:rsid w:val="0001695A"/>
    <w:rPr>
      <w:sz w:val="20"/>
      <w:szCs w:val="20"/>
    </w:rPr>
  </w:style>
  <w:style w:type="paragraph" w:styleId="Asuntodelcomentario">
    <w:name w:val="annotation subject"/>
    <w:basedOn w:val="Textocomentario"/>
    <w:next w:val="Textocomentario"/>
    <w:link w:val="AsuntodelcomentarioCar"/>
    <w:uiPriority w:val="99"/>
    <w:semiHidden/>
    <w:unhideWhenUsed/>
    <w:rsid w:val="0001695A"/>
    <w:rPr>
      <w:b/>
      <w:bCs/>
    </w:rPr>
  </w:style>
  <w:style w:type="character" w:customStyle="1" w:styleId="AsuntodelcomentarioCar">
    <w:name w:val="Asunto del comentario Car"/>
    <w:basedOn w:val="TextocomentarioCar"/>
    <w:link w:val="Asuntodelcomentario"/>
    <w:uiPriority w:val="99"/>
    <w:semiHidden/>
    <w:rsid w:val="0001695A"/>
    <w:rPr>
      <w:b/>
      <w:bCs/>
      <w:sz w:val="20"/>
      <w:szCs w:val="20"/>
    </w:rPr>
  </w:style>
  <w:style w:type="paragraph" w:styleId="Textodeglobo">
    <w:name w:val="Balloon Text"/>
    <w:basedOn w:val="Normal"/>
    <w:link w:val="TextodegloboCar"/>
    <w:uiPriority w:val="99"/>
    <w:semiHidden/>
    <w:unhideWhenUsed/>
    <w:rsid w:val="000169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695A"/>
    <w:rPr>
      <w:rFonts w:ascii="Segoe UI" w:hAnsi="Segoe UI" w:cs="Segoe UI"/>
      <w:sz w:val="18"/>
      <w:szCs w:val="18"/>
    </w:rPr>
  </w:style>
  <w:style w:type="paragraph" w:customStyle="1" w:styleId="Default">
    <w:name w:val="Default"/>
    <w:rsid w:val="003B2B55"/>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C46871"/>
    <w:rPr>
      <w:b/>
      <w:bCs/>
      <w:color w:val="000000"/>
    </w:rPr>
  </w:style>
  <w:style w:type="paragraph" w:customStyle="1" w:styleId="Pa15">
    <w:name w:val="Pa15"/>
    <w:basedOn w:val="Default"/>
    <w:next w:val="Default"/>
    <w:uiPriority w:val="99"/>
    <w:rsid w:val="00B80BA6"/>
    <w:pPr>
      <w:spacing w:line="201" w:lineRule="atLeast"/>
    </w:pPr>
    <w:rPr>
      <w:rFonts w:ascii="Arial" w:hAnsi="Arial" w:cs="Arial"/>
      <w:color w:val="auto"/>
    </w:rPr>
  </w:style>
  <w:style w:type="character" w:customStyle="1" w:styleId="A8">
    <w:name w:val="A8"/>
    <w:uiPriority w:val="99"/>
    <w:rsid w:val="0083088A"/>
    <w:rPr>
      <w:color w:val="211D1E"/>
      <w:sz w:val="11"/>
      <w:szCs w:val="11"/>
    </w:rPr>
  </w:style>
  <w:style w:type="paragraph" w:styleId="Revisin">
    <w:name w:val="Revision"/>
    <w:hidden/>
    <w:uiPriority w:val="99"/>
    <w:semiHidden/>
    <w:rsid w:val="00AA665D"/>
    <w:pPr>
      <w:spacing w:after="0" w:line="240" w:lineRule="auto"/>
    </w:pPr>
  </w:style>
  <w:style w:type="paragraph" w:customStyle="1" w:styleId="Pa17">
    <w:name w:val="Pa17"/>
    <w:basedOn w:val="Default"/>
    <w:next w:val="Default"/>
    <w:uiPriority w:val="99"/>
    <w:rsid w:val="00A007AA"/>
    <w:pPr>
      <w:spacing w:line="201" w:lineRule="atLeast"/>
    </w:pPr>
    <w:rPr>
      <w:rFonts w:ascii="Arial" w:hAnsi="Arial" w:cs="Arial"/>
      <w:color w:val="auto"/>
    </w:rPr>
  </w:style>
  <w:style w:type="character" w:styleId="Hipervnculo">
    <w:name w:val="Hyperlink"/>
    <w:basedOn w:val="Fuentedeprrafopredeter"/>
    <w:uiPriority w:val="99"/>
    <w:unhideWhenUsed/>
    <w:rsid w:val="002D1340"/>
    <w:rPr>
      <w:color w:val="0563C1" w:themeColor="hyperlink"/>
      <w:u w:val="single"/>
    </w:rPr>
  </w:style>
  <w:style w:type="character" w:customStyle="1" w:styleId="PrrafodelistaCar">
    <w:name w:val="Párrafo de lista Car"/>
    <w:aliases w:val="lp1 Car,List Paragraph1 Car,Lista vistosa - Énfasis 11 Car"/>
    <w:link w:val="Prrafodelista"/>
    <w:uiPriority w:val="34"/>
    <w:rsid w:val="00517915"/>
  </w:style>
  <w:style w:type="character" w:styleId="Mencinsinresolver">
    <w:name w:val="Unresolved Mention"/>
    <w:basedOn w:val="Fuentedeprrafopredeter"/>
    <w:uiPriority w:val="99"/>
    <w:semiHidden/>
    <w:unhideWhenUsed/>
    <w:rsid w:val="003F7D5D"/>
    <w:rPr>
      <w:color w:val="605E5C"/>
      <w:shd w:val="clear" w:color="auto" w:fill="E1DFDD"/>
    </w:rPr>
  </w:style>
  <w:style w:type="paragraph" w:styleId="Descripcin">
    <w:name w:val="caption"/>
    <w:basedOn w:val="Normal"/>
    <w:next w:val="Normal"/>
    <w:uiPriority w:val="35"/>
    <w:unhideWhenUsed/>
    <w:qFormat/>
    <w:rsid w:val="00EF0337"/>
    <w:pPr>
      <w:spacing w:after="200" w:line="240" w:lineRule="auto"/>
    </w:pPr>
    <w:rPr>
      <w:i/>
      <w:iCs/>
      <w:color w:val="44546A" w:themeColor="text2"/>
      <w:sz w:val="18"/>
      <w:szCs w:val="18"/>
    </w:rPr>
  </w:style>
  <w:style w:type="table" w:styleId="Tablaconcuadrcula6concolores-nfasis1">
    <w:name w:val="Grid Table 6 Colorful Accent 1"/>
    <w:basedOn w:val="Tablanormal"/>
    <w:uiPriority w:val="51"/>
    <w:rsid w:val="00C433C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aliases w:val="BULLETS Car"/>
    <w:basedOn w:val="Fuentedeprrafopredeter"/>
    <w:link w:val="Ttulo3"/>
    <w:uiPriority w:val="9"/>
    <w:rsid w:val="00DD4A55"/>
    <w:rPr>
      <w:rFonts w:ascii="Montserrat Regular" w:eastAsia="MS Gothic" w:hAnsi="Montserrat Regular" w:cs="Times New Roman"/>
      <w:bCs/>
      <w:sz w:val="18"/>
      <w:szCs w:val="24"/>
      <w:lang w:val="es-ES_tradnl" w:eastAsia="es-ES"/>
    </w:rPr>
  </w:style>
  <w:style w:type="character" w:customStyle="1" w:styleId="Ttulo1Car">
    <w:name w:val="Título 1 Car"/>
    <w:basedOn w:val="Fuentedeprrafopredeter"/>
    <w:link w:val="Ttulo1"/>
    <w:uiPriority w:val="9"/>
    <w:rsid w:val="00C656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6130">
      <w:bodyDiv w:val="1"/>
      <w:marLeft w:val="0"/>
      <w:marRight w:val="0"/>
      <w:marTop w:val="0"/>
      <w:marBottom w:val="0"/>
      <w:divBdr>
        <w:top w:val="none" w:sz="0" w:space="0" w:color="auto"/>
        <w:left w:val="none" w:sz="0" w:space="0" w:color="auto"/>
        <w:bottom w:val="none" w:sz="0" w:space="0" w:color="auto"/>
        <w:right w:val="none" w:sz="0" w:space="0" w:color="auto"/>
      </w:divBdr>
    </w:div>
    <w:div w:id="34239853">
      <w:bodyDiv w:val="1"/>
      <w:marLeft w:val="0"/>
      <w:marRight w:val="0"/>
      <w:marTop w:val="0"/>
      <w:marBottom w:val="0"/>
      <w:divBdr>
        <w:top w:val="none" w:sz="0" w:space="0" w:color="auto"/>
        <w:left w:val="none" w:sz="0" w:space="0" w:color="auto"/>
        <w:bottom w:val="none" w:sz="0" w:space="0" w:color="auto"/>
        <w:right w:val="none" w:sz="0" w:space="0" w:color="auto"/>
      </w:divBdr>
      <w:divsChild>
        <w:div w:id="144664325">
          <w:marLeft w:val="1296"/>
          <w:marRight w:val="0"/>
          <w:marTop w:val="0"/>
          <w:marBottom w:val="240"/>
          <w:divBdr>
            <w:top w:val="none" w:sz="0" w:space="0" w:color="auto"/>
            <w:left w:val="none" w:sz="0" w:space="0" w:color="auto"/>
            <w:bottom w:val="none" w:sz="0" w:space="0" w:color="auto"/>
            <w:right w:val="none" w:sz="0" w:space="0" w:color="auto"/>
          </w:divBdr>
        </w:div>
        <w:div w:id="1645769135">
          <w:marLeft w:val="1296"/>
          <w:marRight w:val="0"/>
          <w:marTop w:val="0"/>
          <w:marBottom w:val="240"/>
          <w:divBdr>
            <w:top w:val="none" w:sz="0" w:space="0" w:color="auto"/>
            <w:left w:val="none" w:sz="0" w:space="0" w:color="auto"/>
            <w:bottom w:val="none" w:sz="0" w:space="0" w:color="auto"/>
            <w:right w:val="none" w:sz="0" w:space="0" w:color="auto"/>
          </w:divBdr>
        </w:div>
      </w:divsChild>
    </w:div>
    <w:div w:id="36053376">
      <w:bodyDiv w:val="1"/>
      <w:marLeft w:val="0"/>
      <w:marRight w:val="0"/>
      <w:marTop w:val="0"/>
      <w:marBottom w:val="0"/>
      <w:divBdr>
        <w:top w:val="none" w:sz="0" w:space="0" w:color="auto"/>
        <w:left w:val="none" w:sz="0" w:space="0" w:color="auto"/>
        <w:bottom w:val="none" w:sz="0" w:space="0" w:color="auto"/>
        <w:right w:val="none" w:sz="0" w:space="0" w:color="auto"/>
      </w:divBdr>
    </w:div>
    <w:div w:id="55248369">
      <w:bodyDiv w:val="1"/>
      <w:marLeft w:val="0"/>
      <w:marRight w:val="0"/>
      <w:marTop w:val="0"/>
      <w:marBottom w:val="0"/>
      <w:divBdr>
        <w:top w:val="none" w:sz="0" w:space="0" w:color="auto"/>
        <w:left w:val="none" w:sz="0" w:space="0" w:color="auto"/>
        <w:bottom w:val="none" w:sz="0" w:space="0" w:color="auto"/>
        <w:right w:val="none" w:sz="0" w:space="0" w:color="auto"/>
      </w:divBdr>
    </w:div>
    <w:div w:id="106432897">
      <w:bodyDiv w:val="1"/>
      <w:marLeft w:val="0"/>
      <w:marRight w:val="0"/>
      <w:marTop w:val="0"/>
      <w:marBottom w:val="0"/>
      <w:divBdr>
        <w:top w:val="none" w:sz="0" w:space="0" w:color="auto"/>
        <w:left w:val="none" w:sz="0" w:space="0" w:color="auto"/>
        <w:bottom w:val="none" w:sz="0" w:space="0" w:color="auto"/>
        <w:right w:val="none" w:sz="0" w:space="0" w:color="auto"/>
      </w:divBdr>
    </w:div>
    <w:div w:id="145711775">
      <w:bodyDiv w:val="1"/>
      <w:marLeft w:val="0"/>
      <w:marRight w:val="0"/>
      <w:marTop w:val="0"/>
      <w:marBottom w:val="0"/>
      <w:divBdr>
        <w:top w:val="none" w:sz="0" w:space="0" w:color="auto"/>
        <w:left w:val="none" w:sz="0" w:space="0" w:color="auto"/>
        <w:bottom w:val="none" w:sz="0" w:space="0" w:color="auto"/>
        <w:right w:val="none" w:sz="0" w:space="0" w:color="auto"/>
      </w:divBdr>
    </w:div>
    <w:div w:id="153768790">
      <w:bodyDiv w:val="1"/>
      <w:marLeft w:val="0"/>
      <w:marRight w:val="0"/>
      <w:marTop w:val="0"/>
      <w:marBottom w:val="0"/>
      <w:divBdr>
        <w:top w:val="none" w:sz="0" w:space="0" w:color="auto"/>
        <w:left w:val="none" w:sz="0" w:space="0" w:color="auto"/>
        <w:bottom w:val="none" w:sz="0" w:space="0" w:color="auto"/>
        <w:right w:val="none" w:sz="0" w:space="0" w:color="auto"/>
      </w:divBdr>
    </w:div>
    <w:div w:id="170604314">
      <w:bodyDiv w:val="1"/>
      <w:marLeft w:val="0"/>
      <w:marRight w:val="0"/>
      <w:marTop w:val="0"/>
      <w:marBottom w:val="0"/>
      <w:divBdr>
        <w:top w:val="none" w:sz="0" w:space="0" w:color="auto"/>
        <w:left w:val="none" w:sz="0" w:space="0" w:color="auto"/>
        <w:bottom w:val="none" w:sz="0" w:space="0" w:color="auto"/>
        <w:right w:val="none" w:sz="0" w:space="0" w:color="auto"/>
      </w:divBdr>
    </w:div>
    <w:div w:id="171267055">
      <w:bodyDiv w:val="1"/>
      <w:marLeft w:val="0"/>
      <w:marRight w:val="0"/>
      <w:marTop w:val="0"/>
      <w:marBottom w:val="0"/>
      <w:divBdr>
        <w:top w:val="none" w:sz="0" w:space="0" w:color="auto"/>
        <w:left w:val="none" w:sz="0" w:space="0" w:color="auto"/>
        <w:bottom w:val="none" w:sz="0" w:space="0" w:color="auto"/>
        <w:right w:val="none" w:sz="0" w:space="0" w:color="auto"/>
      </w:divBdr>
    </w:div>
    <w:div w:id="176232472">
      <w:bodyDiv w:val="1"/>
      <w:marLeft w:val="0"/>
      <w:marRight w:val="0"/>
      <w:marTop w:val="0"/>
      <w:marBottom w:val="0"/>
      <w:divBdr>
        <w:top w:val="none" w:sz="0" w:space="0" w:color="auto"/>
        <w:left w:val="none" w:sz="0" w:space="0" w:color="auto"/>
        <w:bottom w:val="none" w:sz="0" w:space="0" w:color="auto"/>
        <w:right w:val="none" w:sz="0" w:space="0" w:color="auto"/>
      </w:divBdr>
    </w:div>
    <w:div w:id="180440025">
      <w:bodyDiv w:val="1"/>
      <w:marLeft w:val="0"/>
      <w:marRight w:val="0"/>
      <w:marTop w:val="0"/>
      <w:marBottom w:val="0"/>
      <w:divBdr>
        <w:top w:val="none" w:sz="0" w:space="0" w:color="auto"/>
        <w:left w:val="none" w:sz="0" w:space="0" w:color="auto"/>
        <w:bottom w:val="none" w:sz="0" w:space="0" w:color="auto"/>
        <w:right w:val="none" w:sz="0" w:space="0" w:color="auto"/>
      </w:divBdr>
    </w:div>
    <w:div w:id="187958272">
      <w:bodyDiv w:val="1"/>
      <w:marLeft w:val="0"/>
      <w:marRight w:val="0"/>
      <w:marTop w:val="0"/>
      <w:marBottom w:val="0"/>
      <w:divBdr>
        <w:top w:val="none" w:sz="0" w:space="0" w:color="auto"/>
        <w:left w:val="none" w:sz="0" w:space="0" w:color="auto"/>
        <w:bottom w:val="none" w:sz="0" w:space="0" w:color="auto"/>
        <w:right w:val="none" w:sz="0" w:space="0" w:color="auto"/>
      </w:divBdr>
    </w:div>
    <w:div w:id="194319663">
      <w:bodyDiv w:val="1"/>
      <w:marLeft w:val="0"/>
      <w:marRight w:val="0"/>
      <w:marTop w:val="0"/>
      <w:marBottom w:val="0"/>
      <w:divBdr>
        <w:top w:val="none" w:sz="0" w:space="0" w:color="auto"/>
        <w:left w:val="none" w:sz="0" w:space="0" w:color="auto"/>
        <w:bottom w:val="none" w:sz="0" w:space="0" w:color="auto"/>
        <w:right w:val="none" w:sz="0" w:space="0" w:color="auto"/>
      </w:divBdr>
    </w:div>
    <w:div w:id="223879795">
      <w:bodyDiv w:val="1"/>
      <w:marLeft w:val="0"/>
      <w:marRight w:val="0"/>
      <w:marTop w:val="0"/>
      <w:marBottom w:val="0"/>
      <w:divBdr>
        <w:top w:val="none" w:sz="0" w:space="0" w:color="auto"/>
        <w:left w:val="none" w:sz="0" w:space="0" w:color="auto"/>
        <w:bottom w:val="none" w:sz="0" w:space="0" w:color="auto"/>
        <w:right w:val="none" w:sz="0" w:space="0" w:color="auto"/>
      </w:divBdr>
    </w:div>
    <w:div w:id="235819453">
      <w:bodyDiv w:val="1"/>
      <w:marLeft w:val="0"/>
      <w:marRight w:val="0"/>
      <w:marTop w:val="0"/>
      <w:marBottom w:val="0"/>
      <w:divBdr>
        <w:top w:val="none" w:sz="0" w:space="0" w:color="auto"/>
        <w:left w:val="none" w:sz="0" w:space="0" w:color="auto"/>
        <w:bottom w:val="none" w:sz="0" w:space="0" w:color="auto"/>
        <w:right w:val="none" w:sz="0" w:space="0" w:color="auto"/>
      </w:divBdr>
    </w:div>
    <w:div w:id="249044128">
      <w:bodyDiv w:val="1"/>
      <w:marLeft w:val="0"/>
      <w:marRight w:val="0"/>
      <w:marTop w:val="0"/>
      <w:marBottom w:val="0"/>
      <w:divBdr>
        <w:top w:val="none" w:sz="0" w:space="0" w:color="auto"/>
        <w:left w:val="none" w:sz="0" w:space="0" w:color="auto"/>
        <w:bottom w:val="none" w:sz="0" w:space="0" w:color="auto"/>
        <w:right w:val="none" w:sz="0" w:space="0" w:color="auto"/>
      </w:divBdr>
    </w:div>
    <w:div w:id="266471443">
      <w:bodyDiv w:val="1"/>
      <w:marLeft w:val="0"/>
      <w:marRight w:val="0"/>
      <w:marTop w:val="0"/>
      <w:marBottom w:val="0"/>
      <w:divBdr>
        <w:top w:val="none" w:sz="0" w:space="0" w:color="auto"/>
        <w:left w:val="none" w:sz="0" w:space="0" w:color="auto"/>
        <w:bottom w:val="none" w:sz="0" w:space="0" w:color="auto"/>
        <w:right w:val="none" w:sz="0" w:space="0" w:color="auto"/>
      </w:divBdr>
    </w:div>
    <w:div w:id="294527189">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66877893">
      <w:bodyDiv w:val="1"/>
      <w:marLeft w:val="0"/>
      <w:marRight w:val="0"/>
      <w:marTop w:val="0"/>
      <w:marBottom w:val="0"/>
      <w:divBdr>
        <w:top w:val="none" w:sz="0" w:space="0" w:color="auto"/>
        <w:left w:val="none" w:sz="0" w:space="0" w:color="auto"/>
        <w:bottom w:val="none" w:sz="0" w:space="0" w:color="auto"/>
        <w:right w:val="none" w:sz="0" w:space="0" w:color="auto"/>
      </w:divBdr>
    </w:div>
    <w:div w:id="385421507">
      <w:bodyDiv w:val="1"/>
      <w:marLeft w:val="0"/>
      <w:marRight w:val="0"/>
      <w:marTop w:val="0"/>
      <w:marBottom w:val="0"/>
      <w:divBdr>
        <w:top w:val="none" w:sz="0" w:space="0" w:color="auto"/>
        <w:left w:val="none" w:sz="0" w:space="0" w:color="auto"/>
        <w:bottom w:val="none" w:sz="0" w:space="0" w:color="auto"/>
        <w:right w:val="none" w:sz="0" w:space="0" w:color="auto"/>
      </w:divBdr>
    </w:div>
    <w:div w:id="459229328">
      <w:bodyDiv w:val="1"/>
      <w:marLeft w:val="0"/>
      <w:marRight w:val="0"/>
      <w:marTop w:val="0"/>
      <w:marBottom w:val="0"/>
      <w:divBdr>
        <w:top w:val="none" w:sz="0" w:space="0" w:color="auto"/>
        <w:left w:val="none" w:sz="0" w:space="0" w:color="auto"/>
        <w:bottom w:val="none" w:sz="0" w:space="0" w:color="auto"/>
        <w:right w:val="none" w:sz="0" w:space="0" w:color="auto"/>
      </w:divBdr>
    </w:div>
    <w:div w:id="483856923">
      <w:bodyDiv w:val="1"/>
      <w:marLeft w:val="0"/>
      <w:marRight w:val="0"/>
      <w:marTop w:val="0"/>
      <w:marBottom w:val="0"/>
      <w:divBdr>
        <w:top w:val="none" w:sz="0" w:space="0" w:color="auto"/>
        <w:left w:val="none" w:sz="0" w:space="0" w:color="auto"/>
        <w:bottom w:val="none" w:sz="0" w:space="0" w:color="auto"/>
        <w:right w:val="none" w:sz="0" w:space="0" w:color="auto"/>
      </w:divBdr>
    </w:div>
    <w:div w:id="486241866">
      <w:bodyDiv w:val="1"/>
      <w:marLeft w:val="0"/>
      <w:marRight w:val="0"/>
      <w:marTop w:val="0"/>
      <w:marBottom w:val="0"/>
      <w:divBdr>
        <w:top w:val="none" w:sz="0" w:space="0" w:color="auto"/>
        <w:left w:val="none" w:sz="0" w:space="0" w:color="auto"/>
        <w:bottom w:val="none" w:sz="0" w:space="0" w:color="auto"/>
        <w:right w:val="none" w:sz="0" w:space="0" w:color="auto"/>
      </w:divBdr>
    </w:div>
    <w:div w:id="518617708">
      <w:bodyDiv w:val="1"/>
      <w:marLeft w:val="0"/>
      <w:marRight w:val="0"/>
      <w:marTop w:val="0"/>
      <w:marBottom w:val="0"/>
      <w:divBdr>
        <w:top w:val="none" w:sz="0" w:space="0" w:color="auto"/>
        <w:left w:val="none" w:sz="0" w:space="0" w:color="auto"/>
        <w:bottom w:val="none" w:sz="0" w:space="0" w:color="auto"/>
        <w:right w:val="none" w:sz="0" w:space="0" w:color="auto"/>
      </w:divBdr>
    </w:div>
    <w:div w:id="528685474">
      <w:bodyDiv w:val="1"/>
      <w:marLeft w:val="0"/>
      <w:marRight w:val="0"/>
      <w:marTop w:val="0"/>
      <w:marBottom w:val="0"/>
      <w:divBdr>
        <w:top w:val="none" w:sz="0" w:space="0" w:color="auto"/>
        <w:left w:val="none" w:sz="0" w:space="0" w:color="auto"/>
        <w:bottom w:val="none" w:sz="0" w:space="0" w:color="auto"/>
        <w:right w:val="none" w:sz="0" w:space="0" w:color="auto"/>
      </w:divBdr>
    </w:div>
    <w:div w:id="535656193">
      <w:bodyDiv w:val="1"/>
      <w:marLeft w:val="0"/>
      <w:marRight w:val="0"/>
      <w:marTop w:val="0"/>
      <w:marBottom w:val="0"/>
      <w:divBdr>
        <w:top w:val="none" w:sz="0" w:space="0" w:color="auto"/>
        <w:left w:val="none" w:sz="0" w:space="0" w:color="auto"/>
        <w:bottom w:val="none" w:sz="0" w:space="0" w:color="auto"/>
        <w:right w:val="none" w:sz="0" w:space="0" w:color="auto"/>
      </w:divBdr>
    </w:div>
    <w:div w:id="566260839">
      <w:bodyDiv w:val="1"/>
      <w:marLeft w:val="0"/>
      <w:marRight w:val="0"/>
      <w:marTop w:val="0"/>
      <w:marBottom w:val="0"/>
      <w:divBdr>
        <w:top w:val="none" w:sz="0" w:space="0" w:color="auto"/>
        <w:left w:val="none" w:sz="0" w:space="0" w:color="auto"/>
        <w:bottom w:val="none" w:sz="0" w:space="0" w:color="auto"/>
        <w:right w:val="none" w:sz="0" w:space="0" w:color="auto"/>
      </w:divBdr>
    </w:div>
    <w:div w:id="585774818">
      <w:bodyDiv w:val="1"/>
      <w:marLeft w:val="0"/>
      <w:marRight w:val="0"/>
      <w:marTop w:val="0"/>
      <w:marBottom w:val="0"/>
      <w:divBdr>
        <w:top w:val="none" w:sz="0" w:space="0" w:color="auto"/>
        <w:left w:val="none" w:sz="0" w:space="0" w:color="auto"/>
        <w:bottom w:val="none" w:sz="0" w:space="0" w:color="auto"/>
        <w:right w:val="none" w:sz="0" w:space="0" w:color="auto"/>
      </w:divBdr>
    </w:div>
    <w:div w:id="612976380">
      <w:bodyDiv w:val="1"/>
      <w:marLeft w:val="0"/>
      <w:marRight w:val="0"/>
      <w:marTop w:val="0"/>
      <w:marBottom w:val="0"/>
      <w:divBdr>
        <w:top w:val="none" w:sz="0" w:space="0" w:color="auto"/>
        <w:left w:val="none" w:sz="0" w:space="0" w:color="auto"/>
        <w:bottom w:val="none" w:sz="0" w:space="0" w:color="auto"/>
        <w:right w:val="none" w:sz="0" w:space="0" w:color="auto"/>
      </w:divBdr>
    </w:div>
    <w:div w:id="616452309">
      <w:bodyDiv w:val="1"/>
      <w:marLeft w:val="0"/>
      <w:marRight w:val="0"/>
      <w:marTop w:val="0"/>
      <w:marBottom w:val="0"/>
      <w:divBdr>
        <w:top w:val="none" w:sz="0" w:space="0" w:color="auto"/>
        <w:left w:val="none" w:sz="0" w:space="0" w:color="auto"/>
        <w:bottom w:val="none" w:sz="0" w:space="0" w:color="auto"/>
        <w:right w:val="none" w:sz="0" w:space="0" w:color="auto"/>
      </w:divBdr>
    </w:div>
    <w:div w:id="617101813">
      <w:bodyDiv w:val="1"/>
      <w:marLeft w:val="0"/>
      <w:marRight w:val="0"/>
      <w:marTop w:val="0"/>
      <w:marBottom w:val="0"/>
      <w:divBdr>
        <w:top w:val="none" w:sz="0" w:space="0" w:color="auto"/>
        <w:left w:val="none" w:sz="0" w:space="0" w:color="auto"/>
        <w:bottom w:val="none" w:sz="0" w:space="0" w:color="auto"/>
        <w:right w:val="none" w:sz="0" w:space="0" w:color="auto"/>
      </w:divBdr>
      <w:divsChild>
        <w:div w:id="1761638588">
          <w:marLeft w:val="0"/>
          <w:marRight w:val="0"/>
          <w:marTop w:val="0"/>
          <w:marBottom w:val="0"/>
          <w:divBdr>
            <w:top w:val="none" w:sz="0" w:space="0" w:color="auto"/>
            <w:left w:val="none" w:sz="0" w:space="0" w:color="auto"/>
            <w:bottom w:val="none" w:sz="0" w:space="0" w:color="auto"/>
            <w:right w:val="none" w:sz="0" w:space="0" w:color="auto"/>
          </w:divBdr>
        </w:div>
        <w:div w:id="2104036264">
          <w:marLeft w:val="0"/>
          <w:marRight w:val="0"/>
          <w:marTop w:val="0"/>
          <w:marBottom w:val="0"/>
          <w:divBdr>
            <w:top w:val="none" w:sz="0" w:space="0" w:color="auto"/>
            <w:left w:val="none" w:sz="0" w:space="0" w:color="auto"/>
            <w:bottom w:val="none" w:sz="0" w:space="0" w:color="auto"/>
            <w:right w:val="none" w:sz="0" w:space="0" w:color="auto"/>
          </w:divBdr>
        </w:div>
        <w:div w:id="1004741919">
          <w:marLeft w:val="0"/>
          <w:marRight w:val="0"/>
          <w:marTop w:val="0"/>
          <w:marBottom w:val="0"/>
          <w:divBdr>
            <w:top w:val="none" w:sz="0" w:space="0" w:color="auto"/>
            <w:left w:val="none" w:sz="0" w:space="0" w:color="auto"/>
            <w:bottom w:val="none" w:sz="0" w:space="0" w:color="auto"/>
            <w:right w:val="none" w:sz="0" w:space="0" w:color="auto"/>
          </w:divBdr>
        </w:div>
        <w:div w:id="858466692">
          <w:marLeft w:val="0"/>
          <w:marRight w:val="0"/>
          <w:marTop w:val="0"/>
          <w:marBottom w:val="0"/>
          <w:divBdr>
            <w:top w:val="none" w:sz="0" w:space="0" w:color="auto"/>
            <w:left w:val="none" w:sz="0" w:space="0" w:color="auto"/>
            <w:bottom w:val="none" w:sz="0" w:space="0" w:color="auto"/>
            <w:right w:val="none" w:sz="0" w:space="0" w:color="auto"/>
          </w:divBdr>
        </w:div>
        <w:div w:id="1389650695">
          <w:marLeft w:val="0"/>
          <w:marRight w:val="0"/>
          <w:marTop w:val="0"/>
          <w:marBottom w:val="0"/>
          <w:divBdr>
            <w:top w:val="none" w:sz="0" w:space="0" w:color="auto"/>
            <w:left w:val="none" w:sz="0" w:space="0" w:color="auto"/>
            <w:bottom w:val="none" w:sz="0" w:space="0" w:color="auto"/>
            <w:right w:val="none" w:sz="0" w:space="0" w:color="auto"/>
          </w:divBdr>
        </w:div>
        <w:div w:id="878204704">
          <w:marLeft w:val="0"/>
          <w:marRight w:val="0"/>
          <w:marTop w:val="0"/>
          <w:marBottom w:val="0"/>
          <w:divBdr>
            <w:top w:val="none" w:sz="0" w:space="0" w:color="auto"/>
            <w:left w:val="none" w:sz="0" w:space="0" w:color="auto"/>
            <w:bottom w:val="none" w:sz="0" w:space="0" w:color="auto"/>
            <w:right w:val="none" w:sz="0" w:space="0" w:color="auto"/>
          </w:divBdr>
        </w:div>
        <w:div w:id="328367000">
          <w:marLeft w:val="0"/>
          <w:marRight w:val="0"/>
          <w:marTop w:val="0"/>
          <w:marBottom w:val="0"/>
          <w:divBdr>
            <w:top w:val="none" w:sz="0" w:space="0" w:color="auto"/>
            <w:left w:val="none" w:sz="0" w:space="0" w:color="auto"/>
            <w:bottom w:val="none" w:sz="0" w:space="0" w:color="auto"/>
            <w:right w:val="none" w:sz="0" w:space="0" w:color="auto"/>
          </w:divBdr>
        </w:div>
        <w:div w:id="595945127">
          <w:marLeft w:val="0"/>
          <w:marRight w:val="0"/>
          <w:marTop w:val="0"/>
          <w:marBottom w:val="0"/>
          <w:divBdr>
            <w:top w:val="none" w:sz="0" w:space="0" w:color="auto"/>
            <w:left w:val="none" w:sz="0" w:space="0" w:color="auto"/>
            <w:bottom w:val="none" w:sz="0" w:space="0" w:color="auto"/>
            <w:right w:val="none" w:sz="0" w:space="0" w:color="auto"/>
          </w:divBdr>
        </w:div>
        <w:div w:id="1148401884">
          <w:marLeft w:val="0"/>
          <w:marRight w:val="0"/>
          <w:marTop w:val="0"/>
          <w:marBottom w:val="0"/>
          <w:divBdr>
            <w:top w:val="none" w:sz="0" w:space="0" w:color="auto"/>
            <w:left w:val="none" w:sz="0" w:space="0" w:color="auto"/>
            <w:bottom w:val="none" w:sz="0" w:space="0" w:color="auto"/>
            <w:right w:val="none" w:sz="0" w:space="0" w:color="auto"/>
          </w:divBdr>
        </w:div>
        <w:div w:id="1993948949">
          <w:marLeft w:val="0"/>
          <w:marRight w:val="0"/>
          <w:marTop w:val="0"/>
          <w:marBottom w:val="0"/>
          <w:divBdr>
            <w:top w:val="none" w:sz="0" w:space="0" w:color="auto"/>
            <w:left w:val="none" w:sz="0" w:space="0" w:color="auto"/>
            <w:bottom w:val="none" w:sz="0" w:space="0" w:color="auto"/>
            <w:right w:val="none" w:sz="0" w:space="0" w:color="auto"/>
          </w:divBdr>
        </w:div>
      </w:divsChild>
    </w:div>
    <w:div w:id="654380056">
      <w:bodyDiv w:val="1"/>
      <w:marLeft w:val="0"/>
      <w:marRight w:val="0"/>
      <w:marTop w:val="0"/>
      <w:marBottom w:val="0"/>
      <w:divBdr>
        <w:top w:val="none" w:sz="0" w:space="0" w:color="auto"/>
        <w:left w:val="none" w:sz="0" w:space="0" w:color="auto"/>
        <w:bottom w:val="none" w:sz="0" w:space="0" w:color="auto"/>
        <w:right w:val="none" w:sz="0" w:space="0" w:color="auto"/>
      </w:divBdr>
    </w:div>
    <w:div w:id="657271079">
      <w:bodyDiv w:val="1"/>
      <w:marLeft w:val="0"/>
      <w:marRight w:val="0"/>
      <w:marTop w:val="0"/>
      <w:marBottom w:val="0"/>
      <w:divBdr>
        <w:top w:val="none" w:sz="0" w:space="0" w:color="auto"/>
        <w:left w:val="none" w:sz="0" w:space="0" w:color="auto"/>
        <w:bottom w:val="none" w:sz="0" w:space="0" w:color="auto"/>
        <w:right w:val="none" w:sz="0" w:space="0" w:color="auto"/>
      </w:divBdr>
    </w:div>
    <w:div w:id="669331110">
      <w:bodyDiv w:val="1"/>
      <w:marLeft w:val="0"/>
      <w:marRight w:val="0"/>
      <w:marTop w:val="0"/>
      <w:marBottom w:val="0"/>
      <w:divBdr>
        <w:top w:val="none" w:sz="0" w:space="0" w:color="auto"/>
        <w:left w:val="none" w:sz="0" w:space="0" w:color="auto"/>
        <w:bottom w:val="none" w:sz="0" w:space="0" w:color="auto"/>
        <w:right w:val="none" w:sz="0" w:space="0" w:color="auto"/>
      </w:divBdr>
    </w:div>
    <w:div w:id="670957759">
      <w:bodyDiv w:val="1"/>
      <w:marLeft w:val="0"/>
      <w:marRight w:val="0"/>
      <w:marTop w:val="0"/>
      <w:marBottom w:val="0"/>
      <w:divBdr>
        <w:top w:val="none" w:sz="0" w:space="0" w:color="auto"/>
        <w:left w:val="none" w:sz="0" w:space="0" w:color="auto"/>
        <w:bottom w:val="none" w:sz="0" w:space="0" w:color="auto"/>
        <w:right w:val="none" w:sz="0" w:space="0" w:color="auto"/>
      </w:divBdr>
    </w:div>
    <w:div w:id="684986264">
      <w:bodyDiv w:val="1"/>
      <w:marLeft w:val="0"/>
      <w:marRight w:val="0"/>
      <w:marTop w:val="0"/>
      <w:marBottom w:val="0"/>
      <w:divBdr>
        <w:top w:val="none" w:sz="0" w:space="0" w:color="auto"/>
        <w:left w:val="none" w:sz="0" w:space="0" w:color="auto"/>
        <w:bottom w:val="none" w:sz="0" w:space="0" w:color="auto"/>
        <w:right w:val="none" w:sz="0" w:space="0" w:color="auto"/>
      </w:divBdr>
    </w:div>
    <w:div w:id="712079201">
      <w:bodyDiv w:val="1"/>
      <w:marLeft w:val="0"/>
      <w:marRight w:val="0"/>
      <w:marTop w:val="0"/>
      <w:marBottom w:val="0"/>
      <w:divBdr>
        <w:top w:val="none" w:sz="0" w:space="0" w:color="auto"/>
        <w:left w:val="none" w:sz="0" w:space="0" w:color="auto"/>
        <w:bottom w:val="none" w:sz="0" w:space="0" w:color="auto"/>
        <w:right w:val="none" w:sz="0" w:space="0" w:color="auto"/>
      </w:divBdr>
    </w:div>
    <w:div w:id="726926199">
      <w:bodyDiv w:val="1"/>
      <w:marLeft w:val="0"/>
      <w:marRight w:val="0"/>
      <w:marTop w:val="0"/>
      <w:marBottom w:val="0"/>
      <w:divBdr>
        <w:top w:val="none" w:sz="0" w:space="0" w:color="auto"/>
        <w:left w:val="none" w:sz="0" w:space="0" w:color="auto"/>
        <w:bottom w:val="none" w:sz="0" w:space="0" w:color="auto"/>
        <w:right w:val="none" w:sz="0" w:space="0" w:color="auto"/>
      </w:divBdr>
    </w:div>
    <w:div w:id="820585617">
      <w:bodyDiv w:val="1"/>
      <w:marLeft w:val="0"/>
      <w:marRight w:val="0"/>
      <w:marTop w:val="0"/>
      <w:marBottom w:val="0"/>
      <w:divBdr>
        <w:top w:val="none" w:sz="0" w:space="0" w:color="auto"/>
        <w:left w:val="none" w:sz="0" w:space="0" w:color="auto"/>
        <w:bottom w:val="none" w:sz="0" w:space="0" w:color="auto"/>
        <w:right w:val="none" w:sz="0" w:space="0" w:color="auto"/>
      </w:divBdr>
    </w:div>
    <w:div w:id="850922602">
      <w:bodyDiv w:val="1"/>
      <w:marLeft w:val="0"/>
      <w:marRight w:val="0"/>
      <w:marTop w:val="0"/>
      <w:marBottom w:val="0"/>
      <w:divBdr>
        <w:top w:val="none" w:sz="0" w:space="0" w:color="auto"/>
        <w:left w:val="none" w:sz="0" w:space="0" w:color="auto"/>
        <w:bottom w:val="none" w:sz="0" w:space="0" w:color="auto"/>
        <w:right w:val="none" w:sz="0" w:space="0" w:color="auto"/>
      </w:divBdr>
    </w:div>
    <w:div w:id="862330130">
      <w:bodyDiv w:val="1"/>
      <w:marLeft w:val="0"/>
      <w:marRight w:val="0"/>
      <w:marTop w:val="0"/>
      <w:marBottom w:val="0"/>
      <w:divBdr>
        <w:top w:val="none" w:sz="0" w:space="0" w:color="auto"/>
        <w:left w:val="none" w:sz="0" w:space="0" w:color="auto"/>
        <w:bottom w:val="none" w:sz="0" w:space="0" w:color="auto"/>
        <w:right w:val="none" w:sz="0" w:space="0" w:color="auto"/>
      </w:divBdr>
    </w:div>
    <w:div w:id="939487246">
      <w:bodyDiv w:val="1"/>
      <w:marLeft w:val="0"/>
      <w:marRight w:val="0"/>
      <w:marTop w:val="0"/>
      <w:marBottom w:val="0"/>
      <w:divBdr>
        <w:top w:val="none" w:sz="0" w:space="0" w:color="auto"/>
        <w:left w:val="none" w:sz="0" w:space="0" w:color="auto"/>
        <w:bottom w:val="none" w:sz="0" w:space="0" w:color="auto"/>
        <w:right w:val="none" w:sz="0" w:space="0" w:color="auto"/>
      </w:divBdr>
    </w:div>
    <w:div w:id="961036978">
      <w:bodyDiv w:val="1"/>
      <w:marLeft w:val="0"/>
      <w:marRight w:val="0"/>
      <w:marTop w:val="0"/>
      <w:marBottom w:val="0"/>
      <w:divBdr>
        <w:top w:val="none" w:sz="0" w:space="0" w:color="auto"/>
        <w:left w:val="none" w:sz="0" w:space="0" w:color="auto"/>
        <w:bottom w:val="none" w:sz="0" w:space="0" w:color="auto"/>
        <w:right w:val="none" w:sz="0" w:space="0" w:color="auto"/>
      </w:divBdr>
    </w:div>
    <w:div w:id="963804982">
      <w:bodyDiv w:val="1"/>
      <w:marLeft w:val="0"/>
      <w:marRight w:val="0"/>
      <w:marTop w:val="0"/>
      <w:marBottom w:val="0"/>
      <w:divBdr>
        <w:top w:val="none" w:sz="0" w:space="0" w:color="auto"/>
        <w:left w:val="none" w:sz="0" w:space="0" w:color="auto"/>
        <w:bottom w:val="none" w:sz="0" w:space="0" w:color="auto"/>
        <w:right w:val="none" w:sz="0" w:space="0" w:color="auto"/>
      </w:divBdr>
    </w:div>
    <w:div w:id="973683976">
      <w:bodyDiv w:val="1"/>
      <w:marLeft w:val="0"/>
      <w:marRight w:val="0"/>
      <w:marTop w:val="0"/>
      <w:marBottom w:val="0"/>
      <w:divBdr>
        <w:top w:val="none" w:sz="0" w:space="0" w:color="auto"/>
        <w:left w:val="none" w:sz="0" w:space="0" w:color="auto"/>
        <w:bottom w:val="none" w:sz="0" w:space="0" w:color="auto"/>
        <w:right w:val="none" w:sz="0" w:space="0" w:color="auto"/>
      </w:divBdr>
    </w:div>
    <w:div w:id="1040205815">
      <w:bodyDiv w:val="1"/>
      <w:marLeft w:val="0"/>
      <w:marRight w:val="0"/>
      <w:marTop w:val="0"/>
      <w:marBottom w:val="0"/>
      <w:divBdr>
        <w:top w:val="none" w:sz="0" w:space="0" w:color="auto"/>
        <w:left w:val="none" w:sz="0" w:space="0" w:color="auto"/>
        <w:bottom w:val="none" w:sz="0" w:space="0" w:color="auto"/>
        <w:right w:val="none" w:sz="0" w:space="0" w:color="auto"/>
      </w:divBdr>
    </w:div>
    <w:div w:id="1059867735">
      <w:bodyDiv w:val="1"/>
      <w:marLeft w:val="0"/>
      <w:marRight w:val="0"/>
      <w:marTop w:val="0"/>
      <w:marBottom w:val="0"/>
      <w:divBdr>
        <w:top w:val="none" w:sz="0" w:space="0" w:color="auto"/>
        <w:left w:val="none" w:sz="0" w:space="0" w:color="auto"/>
        <w:bottom w:val="none" w:sz="0" w:space="0" w:color="auto"/>
        <w:right w:val="none" w:sz="0" w:space="0" w:color="auto"/>
      </w:divBdr>
    </w:div>
    <w:div w:id="1079255542">
      <w:bodyDiv w:val="1"/>
      <w:marLeft w:val="0"/>
      <w:marRight w:val="0"/>
      <w:marTop w:val="0"/>
      <w:marBottom w:val="0"/>
      <w:divBdr>
        <w:top w:val="none" w:sz="0" w:space="0" w:color="auto"/>
        <w:left w:val="none" w:sz="0" w:space="0" w:color="auto"/>
        <w:bottom w:val="none" w:sz="0" w:space="0" w:color="auto"/>
        <w:right w:val="none" w:sz="0" w:space="0" w:color="auto"/>
      </w:divBdr>
    </w:div>
    <w:div w:id="1090354163">
      <w:bodyDiv w:val="1"/>
      <w:marLeft w:val="0"/>
      <w:marRight w:val="0"/>
      <w:marTop w:val="0"/>
      <w:marBottom w:val="0"/>
      <w:divBdr>
        <w:top w:val="none" w:sz="0" w:space="0" w:color="auto"/>
        <w:left w:val="none" w:sz="0" w:space="0" w:color="auto"/>
        <w:bottom w:val="none" w:sz="0" w:space="0" w:color="auto"/>
        <w:right w:val="none" w:sz="0" w:space="0" w:color="auto"/>
      </w:divBdr>
    </w:div>
    <w:div w:id="1092124525">
      <w:bodyDiv w:val="1"/>
      <w:marLeft w:val="0"/>
      <w:marRight w:val="0"/>
      <w:marTop w:val="0"/>
      <w:marBottom w:val="0"/>
      <w:divBdr>
        <w:top w:val="none" w:sz="0" w:space="0" w:color="auto"/>
        <w:left w:val="none" w:sz="0" w:space="0" w:color="auto"/>
        <w:bottom w:val="none" w:sz="0" w:space="0" w:color="auto"/>
        <w:right w:val="none" w:sz="0" w:space="0" w:color="auto"/>
      </w:divBdr>
    </w:div>
    <w:div w:id="1106079968">
      <w:bodyDiv w:val="1"/>
      <w:marLeft w:val="0"/>
      <w:marRight w:val="0"/>
      <w:marTop w:val="0"/>
      <w:marBottom w:val="0"/>
      <w:divBdr>
        <w:top w:val="none" w:sz="0" w:space="0" w:color="auto"/>
        <w:left w:val="none" w:sz="0" w:space="0" w:color="auto"/>
        <w:bottom w:val="none" w:sz="0" w:space="0" w:color="auto"/>
        <w:right w:val="none" w:sz="0" w:space="0" w:color="auto"/>
      </w:divBdr>
    </w:div>
    <w:div w:id="1125124669">
      <w:bodyDiv w:val="1"/>
      <w:marLeft w:val="0"/>
      <w:marRight w:val="0"/>
      <w:marTop w:val="0"/>
      <w:marBottom w:val="0"/>
      <w:divBdr>
        <w:top w:val="none" w:sz="0" w:space="0" w:color="auto"/>
        <w:left w:val="none" w:sz="0" w:space="0" w:color="auto"/>
        <w:bottom w:val="none" w:sz="0" w:space="0" w:color="auto"/>
        <w:right w:val="none" w:sz="0" w:space="0" w:color="auto"/>
      </w:divBdr>
    </w:div>
    <w:div w:id="1140876691">
      <w:bodyDiv w:val="1"/>
      <w:marLeft w:val="0"/>
      <w:marRight w:val="0"/>
      <w:marTop w:val="0"/>
      <w:marBottom w:val="0"/>
      <w:divBdr>
        <w:top w:val="none" w:sz="0" w:space="0" w:color="auto"/>
        <w:left w:val="none" w:sz="0" w:space="0" w:color="auto"/>
        <w:bottom w:val="none" w:sz="0" w:space="0" w:color="auto"/>
        <w:right w:val="none" w:sz="0" w:space="0" w:color="auto"/>
      </w:divBdr>
    </w:div>
    <w:div w:id="1159685753">
      <w:bodyDiv w:val="1"/>
      <w:marLeft w:val="0"/>
      <w:marRight w:val="0"/>
      <w:marTop w:val="0"/>
      <w:marBottom w:val="0"/>
      <w:divBdr>
        <w:top w:val="none" w:sz="0" w:space="0" w:color="auto"/>
        <w:left w:val="none" w:sz="0" w:space="0" w:color="auto"/>
        <w:bottom w:val="none" w:sz="0" w:space="0" w:color="auto"/>
        <w:right w:val="none" w:sz="0" w:space="0" w:color="auto"/>
      </w:divBdr>
    </w:div>
    <w:div w:id="1192574467">
      <w:bodyDiv w:val="1"/>
      <w:marLeft w:val="0"/>
      <w:marRight w:val="0"/>
      <w:marTop w:val="0"/>
      <w:marBottom w:val="0"/>
      <w:divBdr>
        <w:top w:val="none" w:sz="0" w:space="0" w:color="auto"/>
        <w:left w:val="none" w:sz="0" w:space="0" w:color="auto"/>
        <w:bottom w:val="none" w:sz="0" w:space="0" w:color="auto"/>
        <w:right w:val="none" w:sz="0" w:space="0" w:color="auto"/>
      </w:divBdr>
    </w:div>
    <w:div w:id="1195188631">
      <w:bodyDiv w:val="1"/>
      <w:marLeft w:val="0"/>
      <w:marRight w:val="0"/>
      <w:marTop w:val="0"/>
      <w:marBottom w:val="0"/>
      <w:divBdr>
        <w:top w:val="none" w:sz="0" w:space="0" w:color="auto"/>
        <w:left w:val="none" w:sz="0" w:space="0" w:color="auto"/>
        <w:bottom w:val="none" w:sz="0" w:space="0" w:color="auto"/>
        <w:right w:val="none" w:sz="0" w:space="0" w:color="auto"/>
      </w:divBdr>
    </w:div>
    <w:div w:id="1216887844">
      <w:bodyDiv w:val="1"/>
      <w:marLeft w:val="0"/>
      <w:marRight w:val="0"/>
      <w:marTop w:val="0"/>
      <w:marBottom w:val="0"/>
      <w:divBdr>
        <w:top w:val="none" w:sz="0" w:space="0" w:color="auto"/>
        <w:left w:val="none" w:sz="0" w:space="0" w:color="auto"/>
        <w:bottom w:val="none" w:sz="0" w:space="0" w:color="auto"/>
        <w:right w:val="none" w:sz="0" w:space="0" w:color="auto"/>
      </w:divBdr>
    </w:div>
    <w:div w:id="1235967737">
      <w:bodyDiv w:val="1"/>
      <w:marLeft w:val="0"/>
      <w:marRight w:val="0"/>
      <w:marTop w:val="0"/>
      <w:marBottom w:val="0"/>
      <w:divBdr>
        <w:top w:val="none" w:sz="0" w:space="0" w:color="auto"/>
        <w:left w:val="none" w:sz="0" w:space="0" w:color="auto"/>
        <w:bottom w:val="none" w:sz="0" w:space="0" w:color="auto"/>
        <w:right w:val="none" w:sz="0" w:space="0" w:color="auto"/>
      </w:divBdr>
    </w:div>
    <w:div w:id="1247571150">
      <w:bodyDiv w:val="1"/>
      <w:marLeft w:val="0"/>
      <w:marRight w:val="0"/>
      <w:marTop w:val="0"/>
      <w:marBottom w:val="0"/>
      <w:divBdr>
        <w:top w:val="none" w:sz="0" w:space="0" w:color="auto"/>
        <w:left w:val="none" w:sz="0" w:space="0" w:color="auto"/>
        <w:bottom w:val="none" w:sz="0" w:space="0" w:color="auto"/>
        <w:right w:val="none" w:sz="0" w:space="0" w:color="auto"/>
      </w:divBdr>
    </w:div>
    <w:div w:id="1250309560">
      <w:bodyDiv w:val="1"/>
      <w:marLeft w:val="0"/>
      <w:marRight w:val="0"/>
      <w:marTop w:val="0"/>
      <w:marBottom w:val="0"/>
      <w:divBdr>
        <w:top w:val="none" w:sz="0" w:space="0" w:color="auto"/>
        <w:left w:val="none" w:sz="0" w:space="0" w:color="auto"/>
        <w:bottom w:val="none" w:sz="0" w:space="0" w:color="auto"/>
        <w:right w:val="none" w:sz="0" w:space="0" w:color="auto"/>
      </w:divBdr>
    </w:div>
    <w:div w:id="1267929975">
      <w:bodyDiv w:val="1"/>
      <w:marLeft w:val="0"/>
      <w:marRight w:val="0"/>
      <w:marTop w:val="0"/>
      <w:marBottom w:val="0"/>
      <w:divBdr>
        <w:top w:val="none" w:sz="0" w:space="0" w:color="auto"/>
        <w:left w:val="none" w:sz="0" w:space="0" w:color="auto"/>
        <w:bottom w:val="none" w:sz="0" w:space="0" w:color="auto"/>
        <w:right w:val="none" w:sz="0" w:space="0" w:color="auto"/>
      </w:divBdr>
    </w:div>
    <w:div w:id="1272085996">
      <w:bodyDiv w:val="1"/>
      <w:marLeft w:val="0"/>
      <w:marRight w:val="0"/>
      <w:marTop w:val="0"/>
      <w:marBottom w:val="0"/>
      <w:divBdr>
        <w:top w:val="none" w:sz="0" w:space="0" w:color="auto"/>
        <w:left w:val="none" w:sz="0" w:space="0" w:color="auto"/>
        <w:bottom w:val="none" w:sz="0" w:space="0" w:color="auto"/>
        <w:right w:val="none" w:sz="0" w:space="0" w:color="auto"/>
      </w:divBdr>
    </w:div>
    <w:div w:id="1294945934">
      <w:bodyDiv w:val="1"/>
      <w:marLeft w:val="0"/>
      <w:marRight w:val="0"/>
      <w:marTop w:val="0"/>
      <w:marBottom w:val="0"/>
      <w:divBdr>
        <w:top w:val="none" w:sz="0" w:space="0" w:color="auto"/>
        <w:left w:val="none" w:sz="0" w:space="0" w:color="auto"/>
        <w:bottom w:val="none" w:sz="0" w:space="0" w:color="auto"/>
        <w:right w:val="none" w:sz="0" w:space="0" w:color="auto"/>
      </w:divBdr>
    </w:div>
    <w:div w:id="1319769414">
      <w:bodyDiv w:val="1"/>
      <w:marLeft w:val="0"/>
      <w:marRight w:val="0"/>
      <w:marTop w:val="0"/>
      <w:marBottom w:val="0"/>
      <w:divBdr>
        <w:top w:val="none" w:sz="0" w:space="0" w:color="auto"/>
        <w:left w:val="none" w:sz="0" w:space="0" w:color="auto"/>
        <w:bottom w:val="none" w:sz="0" w:space="0" w:color="auto"/>
        <w:right w:val="none" w:sz="0" w:space="0" w:color="auto"/>
      </w:divBdr>
    </w:div>
    <w:div w:id="1375812440">
      <w:bodyDiv w:val="1"/>
      <w:marLeft w:val="0"/>
      <w:marRight w:val="0"/>
      <w:marTop w:val="0"/>
      <w:marBottom w:val="0"/>
      <w:divBdr>
        <w:top w:val="none" w:sz="0" w:space="0" w:color="auto"/>
        <w:left w:val="none" w:sz="0" w:space="0" w:color="auto"/>
        <w:bottom w:val="none" w:sz="0" w:space="0" w:color="auto"/>
        <w:right w:val="none" w:sz="0" w:space="0" w:color="auto"/>
      </w:divBdr>
    </w:div>
    <w:div w:id="1388528940">
      <w:bodyDiv w:val="1"/>
      <w:marLeft w:val="0"/>
      <w:marRight w:val="0"/>
      <w:marTop w:val="0"/>
      <w:marBottom w:val="0"/>
      <w:divBdr>
        <w:top w:val="none" w:sz="0" w:space="0" w:color="auto"/>
        <w:left w:val="none" w:sz="0" w:space="0" w:color="auto"/>
        <w:bottom w:val="none" w:sz="0" w:space="0" w:color="auto"/>
        <w:right w:val="none" w:sz="0" w:space="0" w:color="auto"/>
      </w:divBdr>
    </w:div>
    <w:div w:id="1407797831">
      <w:bodyDiv w:val="1"/>
      <w:marLeft w:val="0"/>
      <w:marRight w:val="0"/>
      <w:marTop w:val="0"/>
      <w:marBottom w:val="0"/>
      <w:divBdr>
        <w:top w:val="none" w:sz="0" w:space="0" w:color="auto"/>
        <w:left w:val="none" w:sz="0" w:space="0" w:color="auto"/>
        <w:bottom w:val="none" w:sz="0" w:space="0" w:color="auto"/>
        <w:right w:val="none" w:sz="0" w:space="0" w:color="auto"/>
      </w:divBdr>
    </w:div>
    <w:div w:id="1420981947">
      <w:bodyDiv w:val="1"/>
      <w:marLeft w:val="0"/>
      <w:marRight w:val="0"/>
      <w:marTop w:val="0"/>
      <w:marBottom w:val="0"/>
      <w:divBdr>
        <w:top w:val="none" w:sz="0" w:space="0" w:color="auto"/>
        <w:left w:val="none" w:sz="0" w:space="0" w:color="auto"/>
        <w:bottom w:val="none" w:sz="0" w:space="0" w:color="auto"/>
        <w:right w:val="none" w:sz="0" w:space="0" w:color="auto"/>
      </w:divBdr>
    </w:div>
    <w:div w:id="1449666616">
      <w:bodyDiv w:val="1"/>
      <w:marLeft w:val="0"/>
      <w:marRight w:val="0"/>
      <w:marTop w:val="0"/>
      <w:marBottom w:val="0"/>
      <w:divBdr>
        <w:top w:val="none" w:sz="0" w:space="0" w:color="auto"/>
        <w:left w:val="none" w:sz="0" w:space="0" w:color="auto"/>
        <w:bottom w:val="none" w:sz="0" w:space="0" w:color="auto"/>
        <w:right w:val="none" w:sz="0" w:space="0" w:color="auto"/>
      </w:divBdr>
    </w:div>
    <w:div w:id="1449930031">
      <w:bodyDiv w:val="1"/>
      <w:marLeft w:val="0"/>
      <w:marRight w:val="0"/>
      <w:marTop w:val="0"/>
      <w:marBottom w:val="0"/>
      <w:divBdr>
        <w:top w:val="none" w:sz="0" w:space="0" w:color="auto"/>
        <w:left w:val="none" w:sz="0" w:space="0" w:color="auto"/>
        <w:bottom w:val="none" w:sz="0" w:space="0" w:color="auto"/>
        <w:right w:val="none" w:sz="0" w:space="0" w:color="auto"/>
      </w:divBdr>
    </w:div>
    <w:div w:id="1476681615">
      <w:bodyDiv w:val="1"/>
      <w:marLeft w:val="0"/>
      <w:marRight w:val="0"/>
      <w:marTop w:val="0"/>
      <w:marBottom w:val="0"/>
      <w:divBdr>
        <w:top w:val="none" w:sz="0" w:space="0" w:color="auto"/>
        <w:left w:val="none" w:sz="0" w:space="0" w:color="auto"/>
        <w:bottom w:val="none" w:sz="0" w:space="0" w:color="auto"/>
        <w:right w:val="none" w:sz="0" w:space="0" w:color="auto"/>
      </w:divBdr>
    </w:div>
    <w:div w:id="1524710708">
      <w:bodyDiv w:val="1"/>
      <w:marLeft w:val="0"/>
      <w:marRight w:val="0"/>
      <w:marTop w:val="0"/>
      <w:marBottom w:val="0"/>
      <w:divBdr>
        <w:top w:val="none" w:sz="0" w:space="0" w:color="auto"/>
        <w:left w:val="none" w:sz="0" w:space="0" w:color="auto"/>
        <w:bottom w:val="none" w:sz="0" w:space="0" w:color="auto"/>
        <w:right w:val="none" w:sz="0" w:space="0" w:color="auto"/>
      </w:divBdr>
    </w:div>
    <w:div w:id="1549343395">
      <w:bodyDiv w:val="1"/>
      <w:marLeft w:val="0"/>
      <w:marRight w:val="0"/>
      <w:marTop w:val="0"/>
      <w:marBottom w:val="0"/>
      <w:divBdr>
        <w:top w:val="none" w:sz="0" w:space="0" w:color="auto"/>
        <w:left w:val="none" w:sz="0" w:space="0" w:color="auto"/>
        <w:bottom w:val="none" w:sz="0" w:space="0" w:color="auto"/>
        <w:right w:val="none" w:sz="0" w:space="0" w:color="auto"/>
      </w:divBdr>
    </w:div>
    <w:div w:id="1563251529">
      <w:bodyDiv w:val="1"/>
      <w:marLeft w:val="0"/>
      <w:marRight w:val="0"/>
      <w:marTop w:val="0"/>
      <w:marBottom w:val="0"/>
      <w:divBdr>
        <w:top w:val="none" w:sz="0" w:space="0" w:color="auto"/>
        <w:left w:val="none" w:sz="0" w:space="0" w:color="auto"/>
        <w:bottom w:val="none" w:sz="0" w:space="0" w:color="auto"/>
        <w:right w:val="none" w:sz="0" w:space="0" w:color="auto"/>
      </w:divBdr>
    </w:div>
    <w:div w:id="1609392298">
      <w:bodyDiv w:val="1"/>
      <w:marLeft w:val="0"/>
      <w:marRight w:val="0"/>
      <w:marTop w:val="0"/>
      <w:marBottom w:val="0"/>
      <w:divBdr>
        <w:top w:val="none" w:sz="0" w:space="0" w:color="auto"/>
        <w:left w:val="none" w:sz="0" w:space="0" w:color="auto"/>
        <w:bottom w:val="none" w:sz="0" w:space="0" w:color="auto"/>
        <w:right w:val="none" w:sz="0" w:space="0" w:color="auto"/>
      </w:divBdr>
    </w:div>
    <w:div w:id="1612126858">
      <w:bodyDiv w:val="1"/>
      <w:marLeft w:val="0"/>
      <w:marRight w:val="0"/>
      <w:marTop w:val="0"/>
      <w:marBottom w:val="0"/>
      <w:divBdr>
        <w:top w:val="none" w:sz="0" w:space="0" w:color="auto"/>
        <w:left w:val="none" w:sz="0" w:space="0" w:color="auto"/>
        <w:bottom w:val="none" w:sz="0" w:space="0" w:color="auto"/>
        <w:right w:val="none" w:sz="0" w:space="0" w:color="auto"/>
      </w:divBdr>
    </w:div>
    <w:div w:id="1633513425">
      <w:bodyDiv w:val="1"/>
      <w:marLeft w:val="0"/>
      <w:marRight w:val="0"/>
      <w:marTop w:val="0"/>
      <w:marBottom w:val="0"/>
      <w:divBdr>
        <w:top w:val="none" w:sz="0" w:space="0" w:color="auto"/>
        <w:left w:val="none" w:sz="0" w:space="0" w:color="auto"/>
        <w:bottom w:val="none" w:sz="0" w:space="0" w:color="auto"/>
        <w:right w:val="none" w:sz="0" w:space="0" w:color="auto"/>
      </w:divBdr>
    </w:div>
    <w:div w:id="1637372778">
      <w:bodyDiv w:val="1"/>
      <w:marLeft w:val="0"/>
      <w:marRight w:val="0"/>
      <w:marTop w:val="0"/>
      <w:marBottom w:val="0"/>
      <w:divBdr>
        <w:top w:val="none" w:sz="0" w:space="0" w:color="auto"/>
        <w:left w:val="none" w:sz="0" w:space="0" w:color="auto"/>
        <w:bottom w:val="none" w:sz="0" w:space="0" w:color="auto"/>
        <w:right w:val="none" w:sz="0" w:space="0" w:color="auto"/>
      </w:divBdr>
    </w:div>
    <w:div w:id="1680235904">
      <w:bodyDiv w:val="1"/>
      <w:marLeft w:val="0"/>
      <w:marRight w:val="0"/>
      <w:marTop w:val="0"/>
      <w:marBottom w:val="0"/>
      <w:divBdr>
        <w:top w:val="none" w:sz="0" w:space="0" w:color="auto"/>
        <w:left w:val="none" w:sz="0" w:space="0" w:color="auto"/>
        <w:bottom w:val="none" w:sz="0" w:space="0" w:color="auto"/>
        <w:right w:val="none" w:sz="0" w:space="0" w:color="auto"/>
      </w:divBdr>
    </w:div>
    <w:div w:id="1723483010">
      <w:bodyDiv w:val="1"/>
      <w:marLeft w:val="0"/>
      <w:marRight w:val="0"/>
      <w:marTop w:val="0"/>
      <w:marBottom w:val="0"/>
      <w:divBdr>
        <w:top w:val="none" w:sz="0" w:space="0" w:color="auto"/>
        <w:left w:val="none" w:sz="0" w:space="0" w:color="auto"/>
        <w:bottom w:val="none" w:sz="0" w:space="0" w:color="auto"/>
        <w:right w:val="none" w:sz="0" w:space="0" w:color="auto"/>
      </w:divBdr>
    </w:div>
    <w:div w:id="1767576589">
      <w:bodyDiv w:val="1"/>
      <w:marLeft w:val="0"/>
      <w:marRight w:val="0"/>
      <w:marTop w:val="0"/>
      <w:marBottom w:val="0"/>
      <w:divBdr>
        <w:top w:val="none" w:sz="0" w:space="0" w:color="auto"/>
        <w:left w:val="none" w:sz="0" w:space="0" w:color="auto"/>
        <w:bottom w:val="none" w:sz="0" w:space="0" w:color="auto"/>
        <w:right w:val="none" w:sz="0" w:space="0" w:color="auto"/>
      </w:divBdr>
    </w:div>
    <w:div w:id="1775713235">
      <w:bodyDiv w:val="1"/>
      <w:marLeft w:val="0"/>
      <w:marRight w:val="0"/>
      <w:marTop w:val="0"/>
      <w:marBottom w:val="0"/>
      <w:divBdr>
        <w:top w:val="none" w:sz="0" w:space="0" w:color="auto"/>
        <w:left w:val="none" w:sz="0" w:space="0" w:color="auto"/>
        <w:bottom w:val="none" w:sz="0" w:space="0" w:color="auto"/>
        <w:right w:val="none" w:sz="0" w:space="0" w:color="auto"/>
      </w:divBdr>
    </w:div>
    <w:div w:id="1790197653">
      <w:bodyDiv w:val="1"/>
      <w:marLeft w:val="0"/>
      <w:marRight w:val="0"/>
      <w:marTop w:val="0"/>
      <w:marBottom w:val="0"/>
      <w:divBdr>
        <w:top w:val="none" w:sz="0" w:space="0" w:color="auto"/>
        <w:left w:val="none" w:sz="0" w:space="0" w:color="auto"/>
        <w:bottom w:val="none" w:sz="0" w:space="0" w:color="auto"/>
        <w:right w:val="none" w:sz="0" w:space="0" w:color="auto"/>
      </w:divBdr>
    </w:div>
    <w:div w:id="1805587231">
      <w:bodyDiv w:val="1"/>
      <w:marLeft w:val="0"/>
      <w:marRight w:val="0"/>
      <w:marTop w:val="0"/>
      <w:marBottom w:val="0"/>
      <w:divBdr>
        <w:top w:val="none" w:sz="0" w:space="0" w:color="auto"/>
        <w:left w:val="none" w:sz="0" w:space="0" w:color="auto"/>
        <w:bottom w:val="none" w:sz="0" w:space="0" w:color="auto"/>
        <w:right w:val="none" w:sz="0" w:space="0" w:color="auto"/>
      </w:divBdr>
    </w:div>
    <w:div w:id="1824160916">
      <w:bodyDiv w:val="1"/>
      <w:marLeft w:val="0"/>
      <w:marRight w:val="0"/>
      <w:marTop w:val="0"/>
      <w:marBottom w:val="0"/>
      <w:divBdr>
        <w:top w:val="none" w:sz="0" w:space="0" w:color="auto"/>
        <w:left w:val="none" w:sz="0" w:space="0" w:color="auto"/>
        <w:bottom w:val="none" w:sz="0" w:space="0" w:color="auto"/>
        <w:right w:val="none" w:sz="0" w:space="0" w:color="auto"/>
      </w:divBdr>
    </w:div>
    <w:div w:id="1861504455">
      <w:bodyDiv w:val="1"/>
      <w:marLeft w:val="0"/>
      <w:marRight w:val="0"/>
      <w:marTop w:val="0"/>
      <w:marBottom w:val="0"/>
      <w:divBdr>
        <w:top w:val="none" w:sz="0" w:space="0" w:color="auto"/>
        <w:left w:val="none" w:sz="0" w:space="0" w:color="auto"/>
        <w:bottom w:val="none" w:sz="0" w:space="0" w:color="auto"/>
        <w:right w:val="none" w:sz="0" w:space="0" w:color="auto"/>
      </w:divBdr>
    </w:div>
    <w:div w:id="1877503219">
      <w:bodyDiv w:val="1"/>
      <w:marLeft w:val="0"/>
      <w:marRight w:val="0"/>
      <w:marTop w:val="0"/>
      <w:marBottom w:val="0"/>
      <w:divBdr>
        <w:top w:val="none" w:sz="0" w:space="0" w:color="auto"/>
        <w:left w:val="none" w:sz="0" w:space="0" w:color="auto"/>
        <w:bottom w:val="none" w:sz="0" w:space="0" w:color="auto"/>
        <w:right w:val="none" w:sz="0" w:space="0" w:color="auto"/>
      </w:divBdr>
    </w:div>
    <w:div w:id="1882012365">
      <w:bodyDiv w:val="1"/>
      <w:marLeft w:val="0"/>
      <w:marRight w:val="0"/>
      <w:marTop w:val="0"/>
      <w:marBottom w:val="0"/>
      <w:divBdr>
        <w:top w:val="none" w:sz="0" w:space="0" w:color="auto"/>
        <w:left w:val="none" w:sz="0" w:space="0" w:color="auto"/>
        <w:bottom w:val="none" w:sz="0" w:space="0" w:color="auto"/>
        <w:right w:val="none" w:sz="0" w:space="0" w:color="auto"/>
      </w:divBdr>
    </w:div>
    <w:div w:id="1884753534">
      <w:bodyDiv w:val="1"/>
      <w:marLeft w:val="0"/>
      <w:marRight w:val="0"/>
      <w:marTop w:val="0"/>
      <w:marBottom w:val="0"/>
      <w:divBdr>
        <w:top w:val="none" w:sz="0" w:space="0" w:color="auto"/>
        <w:left w:val="none" w:sz="0" w:space="0" w:color="auto"/>
        <w:bottom w:val="none" w:sz="0" w:space="0" w:color="auto"/>
        <w:right w:val="none" w:sz="0" w:space="0" w:color="auto"/>
      </w:divBdr>
    </w:div>
    <w:div w:id="1895500358">
      <w:bodyDiv w:val="1"/>
      <w:marLeft w:val="0"/>
      <w:marRight w:val="0"/>
      <w:marTop w:val="0"/>
      <w:marBottom w:val="0"/>
      <w:divBdr>
        <w:top w:val="none" w:sz="0" w:space="0" w:color="auto"/>
        <w:left w:val="none" w:sz="0" w:space="0" w:color="auto"/>
        <w:bottom w:val="none" w:sz="0" w:space="0" w:color="auto"/>
        <w:right w:val="none" w:sz="0" w:space="0" w:color="auto"/>
      </w:divBdr>
    </w:div>
    <w:div w:id="1909000287">
      <w:bodyDiv w:val="1"/>
      <w:marLeft w:val="0"/>
      <w:marRight w:val="0"/>
      <w:marTop w:val="0"/>
      <w:marBottom w:val="0"/>
      <w:divBdr>
        <w:top w:val="none" w:sz="0" w:space="0" w:color="auto"/>
        <w:left w:val="none" w:sz="0" w:space="0" w:color="auto"/>
        <w:bottom w:val="none" w:sz="0" w:space="0" w:color="auto"/>
        <w:right w:val="none" w:sz="0" w:space="0" w:color="auto"/>
      </w:divBdr>
    </w:div>
    <w:div w:id="1922640343">
      <w:bodyDiv w:val="1"/>
      <w:marLeft w:val="0"/>
      <w:marRight w:val="0"/>
      <w:marTop w:val="0"/>
      <w:marBottom w:val="0"/>
      <w:divBdr>
        <w:top w:val="none" w:sz="0" w:space="0" w:color="auto"/>
        <w:left w:val="none" w:sz="0" w:space="0" w:color="auto"/>
        <w:bottom w:val="none" w:sz="0" w:space="0" w:color="auto"/>
        <w:right w:val="none" w:sz="0" w:space="0" w:color="auto"/>
      </w:divBdr>
    </w:div>
    <w:div w:id="1959992409">
      <w:bodyDiv w:val="1"/>
      <w:marLeft w:val="0"/>
      <w:marRight w:val="0"/>
      <w:marTop w:val="0"/>
      <w:marBottom w:val="0"/>
      <w:divBdr>
        <w:top w:val="none" w:sz="0" w:space="0" w:color="auto"/>
        <w:left w:val="none" w:sz="0" w:space="0" w:color="auto"/>
        <w:bottom w:val="none" w:sz="0" w:space="0" w:color="auto"/>
        <w:right w:val="none" w:sz="0" w:space="0" w:color="auto"/>
      </w:divBdr>
    </w:div>
    <w:div w:id="1964725297">
      <w:bodyDiv w:val="1"/>
      <w:marLeft w:val="0"/>
      <w:marRight w:val="0"/>
      <w:marTop w:val="0"/>
      <w:marBottom w:val="0"/>
      <w:divBdr>
        <w:top w:val="none" w:sz="0" w:space="0" w:color="auto"/>
        <w:left w:val="none" w:sz="0" w:space="0" w:color="auto"/>
        <w:bottom w:val="none" w:sz="0" w:space="0" w:color="auto"/>
        <w:right w:val="none" w:sz="0" w:space="0" w:color="auto"/>
      </w:divBdr>
    </w:div>
    <w:div w:id="1982685250">
      <w:bodyDiv w:val="1"/>
      <w:marLeft w:val="0"/>
      <w:marRight w:val="0"/>
      <w:marTop w:val="0"/>
      <w:marBottom w:val="0"/>
      <w:divBdr>
        <w:top w:val="none" w:sz="0" w:space="0" w:color="auto"/>
        <w:left w:val="none" w:sz="0" w:space="0" w:color="auto"/>
        <w:bottom w:val="none" w:sz="0" w:space="0" w:color="auto"/>
        <w:right w:val="none" w:sz="0" w:space="0" w:color="auto"/>
      </w:divBdr>
    </w:div>
    <w:div w:id="2025087959">
      <w:bodyDiv w:val="1"/>
      <w:marLeft w:val="0"/>
      <w:marRight w:val="0"/>
      <w:marTop w:val="0"/>
      <w:marBottom w:val="0"/>
      <w:divBdr>
        <w:top w:val="none" w:sz="0" w:space="0" w:color="auto"/>
        <w:left w:val="none" w:sz="0" w:space="0" w:color="auto"/>
        <w:bottom w:val="none" w:sz="0" w:space="0" w:color="auto"/>
        <w:right w:val="none" w:sz="0" w:space="0" w:color="auto"/>
      </w:divBdr>
    </w:div>
    <w:div w:id="2026249656">
      <w:bodyDiv w:val="1"/>
      <w:marLeft w:val="0"/>
      <w:marRight w:val="0"/>
      <w:marTop w:val="0"/>
      <w:marBottom w:val="0"/>
      <w:divBdr>
        <w:top w:val="none" w:sz="0" w:space="0" w:color="auto"/>
        <w:left w:val="none" w:sz="0" w:space="0" w:color="auto"/>
        <w:bottom w:val="none" w:sz="0" w:space="0" w:color="auto"/>
        <w:right w:val="none" w:sz="0" w:space="0" w:color="auto"/>
      </w:divBdr>
    </w:div>
    <w:div w:id="2069643452">
      <w:bodyDiv w:val="1"/>
      <w:marLeft w:val="0"/>
      <w:marRight w:val="0"/>
      <w:marTop w:val="0"/>
      <w:marBottom w:val="0"/>
      <w:divBdr>
        <w:top w:val="none" w:sz="0" w:space="0" w:color="auto"/>
        <w:left w:val="none" w:sz="0" w:space="0" w:color="auto"/>
        <w:bottom w:val="none" w:sz="0" w:space="0" w:color="auto"/>
        <w:right w:val="none" w:sz="0" w:space="0" w:color="auto"/>
      </w:divBdr>
    </w:div>
    <w:div w:id="2076201795">
      <w:bodyDiv w:val="1"/>
      <w:marLeft w:val="0"/>
      <w:marRight w:val="0"/>
      <w:marTop w:val="0"/>
      <w:marBottom w:val="0"/>
      <w:divBdr>
        <w:top w:val="none" w:sz="0" w:space="0" w:color="auto"/>
        <w:left w:val="none" w:sz="0" w:space="0" w:color="auto"/>
        <w:bottom w:val="none" w:sz="0" w:space="0" w:color="auto"/>
        <w:right w:val="none" w:sz="0" w:space="0" w:color="auto"/>
      </w:divBdr>
    </w:div>
    <w:div w:id="2083209274">
      <w:bodyDiv w:val="1"/>
      <w:marLeft w:val="0"/>
      <w:marRight w:val="0"/>
      <w:marTop w:val="0"/>
      <w:marBottom w:val="0"/>
      <w:divBdr>
        <w:top w:val="none" w:sz="0" w:space="0" w:color="auto"/>
        <w:left w:val="none" w:sz="0" w:space="0" w:color="auto"/>
        <w:bottom w:val="none" w:sz="0" w:space="0" w:color="auto"/>
        <w:right w:val="none" w:sz="0" w:space="0" w:color="auto"/>
      </w:divBdr>
    </w:div>
    <w:div w:id="2142190015">
      <w:bodyDiv w:val="1"/>
      <w:marLeft w:val="0"/>
      <w:marRight w:val="0"/>
      <w:marTop w:val="0"/>
      <w:marBottom w:val="0"/>
      <w:divBdr>
        <w:top w:val="none" w:sz="0" w:space="0" w:color="auto"/>
        <w:left w:val="none" w:sz="0" w:space="0" w:color="auto"/>
        <w:bottom w:val="none" w:sz="0" w:space="0" w:color="auto"/>
        <w:right w:val="none" w:sz="0" w:space="0" w:color="auto"/>
      </w:divBdr>
    </w:div>
    <w:div w:id="21436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7F01-BB14-4464-AC1B-E50D4464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3988</Words>
  <Characters>21936</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2022-05-11T13:43:00Z</dcterms:created>
  <dcterms:modified xsi:type="dcterms:W3CDTF">2022-05-11T13:43:00Z</dcterms:modified>
</cp:coreProperties>
</file>