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drawings/drawing4.xml" ContentType="application/vnd.openxmlformats-officedocument.drawingml.chartshapes+xml"/>
  <Override PartName="/word/charts/chart7.xml" ContentType="application/vnd.openxmlformats-officedocument.drawingml.chart+xml"/>
  <Override PartName="/word/drawings/drawing5.xml" ContentType="application/vnd.openxmlformats-officedocument.drawingml.chartshapes+xml"/>
  <Override PartName="/word/charts/chart8.xml" ContentType="application/vnd.openxmlformats-officedocument.drawingml.chart+xml"/>
  <Override PartName="/word/drawings/drawing6.xml" ContentType="application/vnd.openxmlformats-officedocument.drawingml.chartshapes+xml"/>
  <Override PartName="/word/charts/chart9.xml" ContentType="application/vnd.openxmlformats-officedocument.drawingml.chart+xml"/>
  <Override PartName="/word/drawings/drawing7.xml" ContentType="application/vnd.openxmlformats-officedocument.drawingml.chartshapes+xml"/>
  <Override PartName="/word/charts/chart10.xml" ContentType="application/vnd.openxmlformats-officedocument.drawingml.chart+xml"/>
  <Override PartName="/word/drawings/drawing8.xml" ContentType="application/vnd.openxmlformats-officedocument.drawingml.chartshapes+xml"/>
  <Override PartName="/word/charts/chart11.xml" ContentType="application/vnd.openxmlformats-officedocument.drawingml.chart+xml"/>
  <Override PartName="/word/drawings/drawing9.xml" ContentType="application/vnd.openxmlformats-officedocument.drawingml.chartshapes+xml"/>
  <Override PartName="/word/charts/chart12.xml" ContentType="application/vnd.openxmlformats-officedocument.drawingml.chart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5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6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7.xml" ContentType="application/vnd.openxmlformats-officedocument.drawingml.chart+xml"/>
  <Override PartName="/word/drawings/drawing12.xml" ContentType="application/vnd.openxmlformats-officedocument.drawingml.chartshapes+xml"/>
  <Override PartName="/word/charts/chart18.xml" ContentType="application/vnd.openxmlformats-officedocument.drawingml.chart+xml"/>
  <Override PartName="/word/drawings/drawing13.xml" ContentType="application/vnd.openxmlformats-officedocument.drawingml.chartshapes+xml"/>
  <Override PartName="/word/charts/chart19.xml" ContentType="application/vnd.openxmlformats-officedocument.drawingml.chart+xml"/>
  <Override PartName="/word/drawings/drawing14.xml" ContentType="application/vnd.openxmlformats-officedocument.drawingml.chartshapes+xml"/>
  <Override PartName="/word/charts/chart20.xml" ContentType="application/vnd.openxmlformats-officedocument.drawingml.chart+xml"/>
  <Override PartName="/word/drawings/drawing15.xml" ContentType="application/vnd.openxmlformats-officedocument.drawingml.chartshapes+xml"/>
  <Override PartName="/word/charts/chart21.xml" ContentType="application/vnd.openxmlformats-officedocument.drawingml.chart+xml"/>
  <Override PartName="/word/drawings/drawing16.xml" ContentType="application/vnd.openxmlformats-officedocument.drawingml.chartshapes+xml"/>
  <Override PartName="/word/charts/chart22.xml" ContentType="application/vnd.openxmlformats-officedocument.drawingml.chart+xml"/>
  <Override PartName="/word/drawings/drawing17.xml" ContentType="application/vnd.openxmlformats-officedocument.drawingml.chartshapes+xml"/>
  <Override PartName="/word/charts/chart23.xml" ContentType="application/vnd.openxmlformats-officedocument.drawingml.chart+xml"/>
  <Override PartName="/word/drawings/drawing18.xml" ContentType="application/vnd.openxmlformats-officedocument.drawingml.chartshapes+xml"/>
  <Override PartName="/word/charts/chart24.xml" ContentType="application/vnd.openxmlformats-officedocument.drawingml.chart+xml"/>
  <Override PartName="/word/drawings/drawing19.xml" ContentType="application/vnd.openxmlformats-officedocument.drawingml.chartshapes+xml"/>
  <Override PartName="/word/charts/chart25.xml" ContentType="application/vnd.openxmlformats-officedocument.drawingml.chart+xml"/>
  <Override PartName="/word/drawings/drawing20.xml" ContentType="application/vnd.openxmlformats-officedocument.drawingml.chartshapes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28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FADE" w14:textId="77777777" w:rsidR="00801F92" w:rsidRPr="00FC3C74" w:rsidRDefault="00801F92" w:rsidP="00801F92">
      <w:pPr>
        <w:pStyle w:val="Ttulo"/>
        <w:ind w:left="709"/>
        <w:jc w:val="right"/>
        <w:rPr>
          <w:b w:val="0"/>
          <w:bCs/>
          <w:caps/>
          <w:sz w:val="16"/>
          <w:szCs w:val="16"/>
          <w:lang w:val="es-MX"/>
        </w:rPr>
      </w:pP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5A18ED" wp14:editId="777AE29C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C00B" w14:textId="77777777" w:rsidR="003B0E72" w:rsidRPr="003D4E37" w:rsidRDefault="003B0E72" w:rsidP="00801F92">
                            <w:pPr>
                              <w:jc w:val="right"/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julio</w:t>
                            </w:r>
                            <w:proofErr w:type="spellEnd"/>
                          </w:p>
                          <w:p w14:paraId="2BFE69E0" w14:textId="77777777" w:rsidR="003B0E72" w:rsidRPr="003D4E37" w:rsidRDefault="003B0E72" w:rsidP="00801F9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A18ED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42.85pt;margin-top:.05pt;width:262.7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" stroked="f">
                <v:textbox>
                  <w:txbxContent>
                    <w:p w14:paraId="6E32C00B" w14:textId="77777777" w:rsidR="003B0E72" w:rsidRPr="003D4E37" w:rsidRDefault="003B0E72" w:rsidP="00801F92">
                      <w:pPr>
                        <w:jc w:val="right"/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julio</w:t>
                      </w:r>
                      <w:proofErr w:type="spellEnd"/>
                    </w:p>
                    <w:p w14:paraId="2BFE69E0" w14:textId="77777777" w:rsidR="003B0E72" w:rsidRPr="003D4E37" w:rsidRDefault="003B0E72" w:rsidP="00801F92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61875621"/>
    </w:p>
    <w:p w14:paraId="29ADF24A" w14:textId="77777777" w:rsidR="00801F92" w:rsidRPr="003C0C3F" w:rsidRDefault="00801F92" w:rsidP="00801F92">
      <w:pPr>
        <w:jc w:val="center"/>
        <w:rPr>
          <w:b/>
          <w:bCs/>
          <w:caps/>
          <w:lang w:val="es-MX"/>
        </w:rPr>
      </w:pPr>
    </w:p>
    <w:p w14:paraId="1134B9FB" w14:textId="77777777" w:rsidR="00801F92" w:rsidRPr="00775B9A" w:rsidRDefault="00801F92" w:rsidP="00801F92">
      <w:pPr>
        <w:pStyle w:val="Ttulo"/>
        <w:ind w:left="709" w:hanging="425"/>
        <w:rPr>
          <w:sz w:val="8"/>
          <w:szCs w:val="8"/>
        </w:rPr>
      </w:pPr>
    </w:p>
    <w:p w14:paraId="2ECF9565" w14:textId="77777777" w:rsidR="00801F92" w:rsidRPr="00E436E7" w:rsidRDefault="00801F92" w:rsidP="00801F92">
      <w:pPr>
        <w:autoSpaceDE w:val="0"/>
        <w:autoSpaceDN w:val="0"/>
        <w:adjustRightInd w:val="0"/>
        <w:spacing w:before="120"/>
        <w:jc w:val="center"/>
        <w:rPr>
          <w:b/>
          <w:bCs/>
          <w:color w:val="000000"/>
        </w:rPr>
      </w:pPr>
      <w:r w:rsidRPr="00E436E7">
        <w:rPr>
          <w:b/>
          <w:bCs/>
          <w:color w:val="000000"/>
        </w:rPr>
        <w:t xml:space="preserve">ENCUESTA NACIONAL DE SEGURIDAD PÚBLICA URBANA </w:t>
      </w:r>
    </w:p>
    <w:p w14:paraId="6CA31AE8" w14:textId="77777777" w:rsidR="00801F92" w:rsidRPr="00E436E7" w:rsidRDefault="00801F92" w:rsidP="00801F92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</w:rPr>
      </w:pPr>
      <w:r w:rsidRPr="00E436E7">
        <w:rPr>
          <w:b/>
          <w:bCs/>
          <w:color w:val="000000"/>
        </w:rPr>
        <w:t>PRIMER TRIMESTRE DE 2022</w:t>
      </w:r>
    </w:p>
    <w:p w14:paraId="484C209B" w14:textId="77777777" w:rsidR="00801F92" w:rsidRPr="00E436E7" w:rsidRDefault="00801F92" w:rsidP="0097013D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E436E7">
        <w:rPr>
          <w:sz w:val="22"/>
          <w:szCs w:val="22"/>
        </w:rPr>
        <w:t>La Encuesta Nacional de Seguridad Pública Urbana (ENSU) da a conocer la percepción de la población sobre la seguridad pública.</w:t>
      </w:r>
    </w:p>
    <w:p w14:paraId="2B8BAA8F" w14:textId="77777777" w:rsidR="00801F92" w:rsidRPr="00E436E7" w:rsidRDefault="00801F92" w:rsidP="00801F92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E436E7">
        <w:rPr>
          <w:sz w:val="22"/>
          <w:szCs w:val="22"/>
        </w:rPr>
        <w:t>En marzo de 2022, 66.2% de la población de 18 años y más consideró que es inseguro vivir en su ciudad. Este porcentaje nacional no representa un cambio estadísticamente significativo</w:t>
      </w:r>
      <w:r w:rsidRPr="00E436E7">
        <w:rPr>
          <w:sz w:val="22"/>
          <w:szCs w:val="22"/>
          <w:vertAlign w:val="superscript"/>
        </w:rPr>
        <w:footnoteReference w:id="1"/>
      </w:r>
      <w:r w:rsidRPr="00E436E7">
        <w:rPr>
          <w:sz w:val="22"/>
          <w:szCs w:val="22"/>
        </w:rPr>
        <w:t xml:space="preserve"> con relación a los porcentajes registrados en marzo y diciembre de 2021, que fueron de 66.4 y 65.8%, respectivamente. En esta edición, 16 ciudades y demarcaciones sí tuvieron cambios estadísticamente significativos frente a diciembre de 2021, 7 tuvieron reducciones y 9 incrementaron. </w:t>
      </w:r>
    </w:p>
    <w:p w14:paraId="281AF808" w14:textId="77777777" w:rsidR="00801F92" w:rsidRPr="00E436E7" w:rsidRDefault="00801F92" w:rsidP="00801F92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E436E7">
        <w:rPr>
          <w:sz w:val="22"/>
          <w:szCs w:val="22"/>
        </w:rPr>
        <w:t>En marzo de 2022, 71.1% de las mujeres y 60.4% de los hombres tuvieron una percepción de inseguridad.</w:t>
      </w:r>
    </w:p>
    <w:p w14:paraId="2DAA1AB5" w14:textId="77777777" w:rsidR="00801F92" w:rsidRPr="00E436E7" w:rsidRDefault="00801F92" w:rsidP="00801F92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E436E7">
        <w:rPr>
          <w:sz w:val="22"/>
          <w:szCs w:val="22"/>
        </w:rPr>
        <w:t xml:space="preserve">Las ciudades con mayor porcentaje de personas de 18 años y más que consideraron que vivir en su ciudad es inseguro fueron: Fresnillo, Ciudad Obregón, Zacatecas, Cuautitlán Izcalli, Irapuato y Guadalajara con 97.1, 94.1, 91.7, 89.5, 87.6 y 87.1%, respectivamente. </w:t>
      </w:r>
    </w:p>
    <w:p w14:paraId="71CF5663" w14:textId="77777777" w:rsidR="00801F92" w:rsidRPr="00E436E7" w:rsidRDefault="00801F92" w:rsidP="00801F92">
      <w:pPr>
        <w:autoSpaceDE w:val="0"/>
        <w:autoSpaceDN w:val="0"/>
        <w:adjustRightInd w:val="0"/>
        <w:spacing w:before="120"/>
        <w:ind w:right="49"/>
        <w:jc w:val="both"/>
        <w:rPr>
          <w:sz w:val="22"/>
          <w:szCs w:val="22"/>
        </w:rPr>
      </w:pPr>
      <w:r w:rsidRPr="00E436E7">
        <w:rPr>
          <w:sz w:val="22"/>
          <w:szCs w:val="22"/>
        </w:rPr>
        <w:t>Las ciudades con menor percepción de inseguridad fueron: San Pedro Garza García, Tampico, Piedras Negras, Mérida y Saltillo con 11.7, 20.4, 22.2, 22.4 y 24.1%, respectivamente; mientras que la demarcación Benito Juárez registró 25%.</w:t>
      </w:r>
    </w:p>
    <w:p w14:paraId="3A31FC7E" w14:textId="77777777" w:rsidR="00801F92" w:rsidRPr="00CC54A7" w:rsidRDefault="00801F92" w:rsidP="0097013D">
      <w:pPr>
        <w:autoSpaceDE w:val="0"/>
        <w:autoSpaceDN w:val="0"/>
        <w:adjustRightInd w:val="0"/>
        <w:spacing w:before="120"/>
        <w:jc w:val="center"/>
        <w:rPr>
          <w:b/>
          <w:bCs/>
          <w:smallCaps/>
          <w:color w:val="000000"/>
          <w:sz w:val="22"/>
          <w:szCs w:val="22"/>
        </w:rPr>
      </w:pPr>
      <w:r w:rsidRPr="00CC54A7">
        <w:rPr>
          <w:b/>
          <w:bCs/>
          <w:smallCaps/>
          <w:color w:val="000000"/>
          <w:sz w:val="22"/>
          <w:szCs w:val="22"/>
        </w:rPr>
        <w:t xml:space="preserve">Percepción social sobre inseguridad pública </w:t>
      </w:r>
      <w:r>
        <w:rPr>
          <w:b/>
          <w:bCs/>
          <w:smallCaps/>
          <w:color w:val="000000"/>
          <w:sz w:val="22"/>
          <w:szCs w:val="22"/>
        </w:rPr>
        <w:br/>
      </w:r>
      <w:r w:rsidRPr="00CC54A7">
        <w:rPr>
          <w:b/>
          <w:bCs/>
          <w:smallCaps/>
          <w:color w:val="000000"/>
          <w:sz w:val="22"/>
          <w:szCs w:val="22"/>
        </w:rPr>
        <w:t>a nivel nacional</w:t>
      </w:r>
      <w:r>
        <w:rPr>
          <w:b/>
          <w:bCs/>
          <w:smallCaps/>
          <w:color w:val="000000"/>
          <w:sz w:val="22"/>
          <w:szCs w:val="22"/>
        </w:rPr>
        <w:t xml:space="preserve"> según sexo</w:t>
      </w:r>
      <w:r w:rsidRPr="00CC54A7">
        <w:rPr>
          <w:b/>
          <w:bCs/>
          <w:smallCaps/>
          <w:color w:val="000000"/>
          <w:sz w:val="22"/>
          <w:szCs w:val="22"/>
        </w:rPr>
        <w:t xml:space="preserve"> </w:t>
      </w:r>
    </w:p>
    <w:p w14:paraId="2AB0303D" w14:textId="77777777" w:rsidR="00801F92" w:rsidRDefault="00801F92" w:rsidP="00801F92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44374C0F" w14:textId="1E679520" w:rsidR="00801F92" w:rsidRDefault="00B9235A" w:rsidP="00801F92">
      <w:pPr>
        <w:jc w:val="center"/>
        <w:rPr>
          <w:sz w:val="18"/>
          <w:szCs w:val="16"/>
          <w:lang w:val="es-ES"/>
        </w:rPr>
      </w:pPr>
      <w:r w:rsidRPr="0023006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3388D8" wp14:editId="097252F5">
                <wp:simplePos x="0" y="0"/>
                <wp:positionH relativeFrom="column">
                  <wp:posOffset>5337810</wp:posOffset>
                </wp:positionH>
                <wp:positionV relativeFrom="paragraph">
                  <wp:posOffset>2230540</wp:posOffset>
                </wp:positionV>
                <wp:extent cx="185435" cy="95860"/>
                <wp:effectExtent l="0" t="0" r="8890" b="1905"/>
                <wp:wrapNone/>
                <wp:docPr id="130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35" cy="9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86AFB26" w14:textId="77777777" w:rsidR="00B9235A" w:rsidRDefault="00B9235A" w:rsidP="00801F92"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vertOverflow="clip" horzOverflow="clip" wrap="none" lIns="18000" tIns="0" rIns="18000" bIns="180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3388D8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7" type="#_x0000_t202" style="position:absolute;left:0;text-align:left;margin-left:420.3pt;margin-top:175.65pt;width:14.6pt;height:7.5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" fillcolor="white [3212]" stroked="f">
                <v:textbox style="mso-fit-shape-to-text:t" inset=".5mm,0,.5mm,.5mm">
                  <w:txbxContent>
                    <w:p w14:paraId="286AFB26" w14:textId="77777777" w:rsidR="00B9235A" w:rsidRDefault="00B9235A" w:rsidP="00801F92"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 xml:space="preserve">2022 </w:t>
                      </w:r>
                    </w:p>
                  </w:txbxContent>
                </v:textbox>
              </v:shape>
            </w:pict>
          </mc:Fallback>
        </mc:AlternateContent>
      </w:r>
      <w:r w:rsidR="00801F92">
        <w:rPr>
          <w:noProof/>
        </w:rPr>
        <w:drawing>
          <wp:inline distT="0" distB="0" distL="0" distR="0" wp14:anchorId="56586E43" wp14:editId="65A06D61">
            <wp:extent cx="5040000" cy="2520000"/>
            <wp:effectExtent l="0" t="0" r="8255" b="13970"/>
            <wp:docPr id="49" name="Gráfico 49">
              <a:extLst xmlns:a="http://schemas.openxmlformats.org/drawingml/2006/main">
                <a:ext uri="{FF2B5EF4-FFF2-40B4-BE49-F238E27FC236}">
                  <a16:creationId xmlns:a16="http://schemas.microsoft.com/office/drawing/2014/main" id="{F0E5197C-7CBB-4C20-BFBE-07208C2CE0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6DA242" w14:textId="0D6975D0" w:rsidR="00801F92" w:rsidRDefault="00801F92" w:rsidP="00A8022B">
      <w:pPr>
        <w:tabs>
          <w:tab w:val="left" w:pos="1806"/>
        </w:tabs>
        <w:autoSpaceDE w:val="0"/>
        <w:autoSpaceDN w:val="0"/>
        <w:adjustRightInd w:val="0"/>
        <w:ind w:left="1596" w:right="1041" w:hanging="46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Nota:</w:t>
      </w:r>
      <w:r w:rsidR="00D1039B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a)</w:t>
      </w:r>
      <w:r w:rsidR="00A8022B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 xml:space="preserve">Porcentaje de la población de 18 años y más residente en las ciudades de interés que considera </w:t>
      </w:r>
      <w:r w:rsidR="00D1039B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que vivir actualmente en su ciudad es inseguro.</w:t>
      </w:r>
    </w:p>
    <w:p w14:paraId="40F68A67" w14:textId="0AE5A4D9" w:rsidR="00801F92" w:rsidRPr="000D767F" w:rsidRDefault="00801F92" w:rsidP="00A8022B">
      <w:pPr>
        <w:tabs>
          <w:tab w:val="left" w:pos="1276"/>
          <w:tab w:val="left" w:pos="1806"/>
        </w:tabs>
        <w:autoSpaceDE w:val="0"/>
        <w:autoSpaceDN w:val="0"/>
        <w:adjustRightInd w:val="0"/>
        <w:ind w:left="1596" w:right="1041" w:hanging="462"/>
        <w:jc w:val="both"/>
        <w:rPr>
          <w:color w:val="000000"/>
          <w:sz w:val="16"/>
          <w:szCs w:val="14"/>
        </w:rPr>
      </w:pPr>
      <w:r>
        <w:rPr>
          <w:color w:val="000000"/>
          <w:sz w:val="16"/>
          <w:szCs w:val="14"/>
        </w:rPr>
        <w:tab/>
      </w:r>
      <w:r w:rsidR="00A8022B">
        <w:rPr>
          <w:color w:val="000000"/>
          <w:sz w:val="16"/>
          <w:szCs w:val="14"/>
        </w:rPr>
        <w:tab/>
      </w:r>
      <w:r w:rsidR="00A8022B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Excluye la opción de respuesta “No sabe o no responde”.</w:t>
      </w:r>
    </w:p>
    <w:p w14:paraId="4D2875BF" w14:textId="5397078D" w:rsidR="00801F92" w:rsidRPr="000D767F" w:rsidRDefault="00801F92" w:rsidP="00A8022B">
      <w:pPr>
        <w:tabs>
          <w:tab w:val="left" w:pos="1276"/>
          <w:tab w:val="left" w:pos="1806"/>
        </w:tabs>
        <w:autoSpaceDE w:val="0"/>
        <w:autoSpaceDN w:val="0"/>
        <w:adjustRightInd w:val="0"/>
        <w:ind w:left="1596" w:right="1041" w:hanging="462"/>
        <w:jc w:val="both"/>
        <w:rPr>
          <w:color w:val="000000"/>
          <w:spacing w:val="-2"/>
          <w:sz w:val="16"/>
          <w:szCs w:val="14"/>
        </w:rPr>
      </w:pPr>
      <w:r>
        <w:rPr>
          <w:color w:val="000000"/>
          <w:sz w:val="16"/>
          <w:szCs w:val="14"/>
        </w:rPr>
        <w:tab/>
      </w:r>
      <w:r w:rsidR="00D1039B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b)</w:t>
      </w:r>
      <w:r w:rsidR="00A8022B">
        <w:rPr>
          <w:color w:val="000000"/>
          <w:sz w:val="16"/>
          <w:szCs w:val="14"/>
        </w:rPr>
        <w:tab/>
      </w:r>
      <w:r w:rsidRPr="000D767F">
        <w:rPr>
          <w:color w:val="000000"/>
          <w:spacing w:val="-2"/>
          <w:sz w:val="16"/>
          <w:szCs w:val="14"/>
        </w:rPr>
        <w:t xml:space="preserve">Debido a la emergencia sanitaria generada por el virus SARS-CoV2, fue cancelado el levantamiento </w:t>
      </w:r>
      <w:r w:rsidR="00D1039B">
        <w:rPr>
          <w:color w:val="000000"/>
          <w:spacing w:val="-2"/>
          <w:sz w:val="16"/>
          <w:szCs w:val="14"/>
        </w:rPr>
        <w:t xml:space="preserve"> </w:t>
      </w:r>
      <w:r w:rsidR="00D1039B">
        <w:rPr>
          <w:color w:val="000000"/>
          <w:spacing w:val="-2"/>
          <w:sz w:val="16"/>
          <w:szCs w:val="14"/>
        </w:rPr>
        <w:tab/>
      </w:r>
      <w:r w:rsidRPr="000D767F">
        <w:rPr>
          <w:color w:val="000000"/>
          <w:spacing w:val="-2"/>
          <w:sz w:val="16"/>
          <w:szCs w:val="14"/>
        </w:rPr>
        <w:t>correspondiente al segundo trimestre de 2020</w:t>
      </w:r>
      <w:r w:rsidRPr="00C63073">
        <w:rPr>
          <w:color w:val="000000"/>
          <w:spacing w:val="-2"/>
          <w:sz w:val="16"/>
          <w:szCs w:val="14"/>
        </w:rPr>
        <w:t>, cuyos resultados serían publicados el 15 de julio de</w:t>
      </w:r>
      <w:r w:rsidR="00D1039B">
        <w:rPr>
          <w:color w:val="000000"/>
          <w:spacing w:val="-2"/>
          <w:sz w:val="16"/>
          <w:szCs w:val="14"/>
        </w:rPr>
        <w:t xml:space="preserve"> </w:t>
      </w:r>
      <w:r w:rsidRPr="00C63073">
        <w:rPr>
          <w:color w:val="000000"/>
          <w:spacing w:val="-2"/>
          <w:sz w:val="16"/>
          <w:szCs w:val="14"/>
        </w:rPr>
        <w:t>2020</w:t>
      </w:r>
      <w:r w:rsidRPr="000D767F">
        <w:rPr>
          <w:color w:val="000000"/>
          <w:spacing w:val="-2"/>
          <w:sz w:val="16"/>
          <w:szCs w:val="14"/>
        </w:rPr>
        <w:t xml:space="preserve">. </w:t>
      </w:r>
    </w:p>
    <w:p w14:paraId="243A028B" w14:textId="2783F9C5" w:rsidR="00801F92" w:rsidRDefault="00801F92" w:rsidP="00A8022B">
      <w:pPr>
        <w:tabs>
          <w:tab w:val="left" w:pos="1806"/>
        </w:tabs>
        <w:autoSpaceDE w:val="0"/>
        <w:autoSpaceDN w:val="0"/>
        <w:adjustRightInd w:val="0"/>
        <w:ind w:left="1596" w:right="1041" w:hanging="46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Fuente:</w:t>
      </w:r>
      <w:r w:rsidRPr="000D767F">
        <w:rPr>
          <w:color w:val="000000"/>
          <w:sz w:val="16"/>
          <w:szCs w:val="14"/>
        </w:rPr>
        <w:tab/>
        <w:t>INEGI. Encuesta Nacional de Seguridad Pública Urbana (ENSU).</w:t>
      </w:r>
    </w:p>
    <w:tbl>
      <w:tblPr>
        <w:tblStyle w:val="Tablaconcuadrcula5oscura-nfasis2"/>
        <w:tblW w:w="9526" w:type="dxa"/>
        <w:tblLayout w:type="fixed"/>
        <w:tblLook w:val="0400" w:firstRow="0" w:lastRow="0" w:firstColumn="0" w:lastColumn="0" w:noHBand="0" w:noVBand="1"/>
      </w:tblPr>
      <w:tblGrid>
        <w:gridCol w:w="2674"/>
        <w:gridCol w:w="919"/>
        <w:gridCol w:w="815"/>
        <w:gridCol w:w="236"/>
        <w:gridCol w:w="236"/>
        <w:gridCol w:w="2640"/>
        <w:gridCol w:w="958"/>
        <w:gridCol w:w="812"/>
        <w:gridCol w:w="236"/>
      </w:tblGrid>
      <w:tr w:rsidR="00275107" w:rsidRPr="008B17C5" w14:paraId="12BD16F1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B77A7" w14:textId="77777777" w:rsidR="00275107" w:rsidRPr="00CC54A7" w:rsidRDefault="00275107" w:rsidP="003B0E72">
            <w:pPr>
              <w:autoSpaceDE w:val="0"/>
              <w:autoSpaceDN w:val="0"/>
              <w:adjustRightInd w:val="0"/>
              <w:jc w:val="center"/>
              <w:rPr>
                <w:smallCaps/>
                <w:sz w:val="18"/>
                <w:szCs w:val="14"/>
              </w:rPr>
            </w:pP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lastRenderedPageBreak/>
              <w:t xml:space="preserve">Percepción social sobre inseguridad pública </w:t>
            </w: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br/>
              <w:t>por ciudad de interés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Tablaconcuadrcula"/>
              <w:tblpPr w:leftFromText="141" w:rightFromText="141" w:vertAnchor="page" w:horzAnchor="margin" w:tblpXSpec="center" w:tblpY="1980"/>
              <w:tblOverlap w:val="never"/>
              <w:tblW w:w="198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336"/>
              <w:gridCol w:w="382"/>
            </w:tblGrid>
            <w:tr w:rsidR="00275107" w14:paraId="5DF67B32" w14:textId="77777777" w:rsidTr="003B0E72">
              <w:trPr>
                <w:trHeight w:hRule="exact" w:val="340"/>
              </w:trPr>
              <w:tc>
                <w:tcPr>
                  <w:tcW w:w="1985" w:type="dxa"/>
                  <w:gridSpan w:val="3"/>
                  <w:shd w:val="clear" w:color="auto" w:fill="C0504D" w:themeFill="accent2"/>
                  <w:vAlign w:val="center"/>
                </w:tcPr>
                <w:p w14:paraId="6B6A095F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left="-111" w:right="-82"/>
                    <w:jc w:val="center"/>
                    <w:rPr>
                      <w:b/>
                      <w:bCs/>
                      <w:color w:val="000000"/>
                      <w:spacing w:val="-6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FFFFFF" w:themeColor="background1"/>
                      <w:spacing w:val="-6"/>
                      <w:sz w:val="16"/>
                      <w:szCs w:val="16"/>
                    </w:rPr>
                    <w:t>Ciudades y demarcaciones</w:t>
                  </w:r>
                </w:p>
              </w:tc>
            </w:tr>
            <w:tr w:rsidR="00275107" w14:paraId="7E7BA512" w14:textId="77777777" w:rsidTr="003B0E72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53E10667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 la baja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7ABF8411" w14:textId="77777777" w:rsidR="00275107" w:rsidRPr="00254194" w:rsidRDefault="00275107" w:rsidP="003B0E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09B8E262" wp14:editId="14D182A0">
                            <wp:extent cx="162000" cy="126000"/>
                            <wp:effectExtent l="0" t="0" r="9525" b="7620"/>
                            <wp:docPr id="62" name="Flecha: hacia abajo 6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00CC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022C5C9A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Flecha: hacia abajo 62" o:spid="_x0000_s1026" type="#_x0000_t67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" adj="10800" fillcolor="#0c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203A7A89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275107" w14:paraId="04327FA0" w14:textId="77777777" w:rsidTr="003B0E72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7E9E9"/>
                  <w:vAlign w:val="center"/>
                </w:tcPr>
                <w:p w14:paraId="6878926E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Al alza</w:t>
                  </w:r>
                  <w:r w:rsidRPr="00BA4C18"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7E9E9"/>
                  <w:vAlign w:val="center"/>
                </w:tcPr>
                <w:p w14:paraId="74967F91" w14:textId="77777777" w:rsidR="00275107" w:rsidRPr="00254194" w:rsidRDefault="00275107" w:rsidP="003B0E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noProof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48CF05E" wp14:editId="6DEE217C">
                            <wp:extent cx="162000" cy="126000"/>
                            <wp:effectExtent l="0" t="0" r="9525" b="7620"/>
                            <wp:docPr id="63" name="Flecha: hacia abajo 6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3E9AF94" id="Flecha: hacia abajo 63" o:spid="_x0000_s1026" type="#_x0000_t67" style="width:12.75pt;height:9.9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" adj="10800" fillcolor="#c0000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7E9E9"/>
                  <w:vAlign w:val="center"/>
                </w:tcPr>
                <w:p w14:paraId="4CA8D64F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275107" w14:paraId="4579E37E" w14:textId="77777777" w:rsidTr="003B0E72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2056D852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Sin cambio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3EB5884C" w14:textId="77777777" w:rsidR="00275107" w:rsidRPr="00254194" w:rsidRDefault="00275107" w:rsidP="003B0E72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63877BFE" wp14:editId="5FACB97B">
                            <wp:extent cx="162000" cy="126000"/>
                            <wp:effectExtent l="0" t="0" r="9525" b="7620"/>
                            <wp:docPr id="128" name="Flecha: a la izquierda y derecha 1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4CB8DE81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Flecha: a la izquierda y derecha 128" o:spid="_x0000_s1026" type="#_x0000_t69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" adj="8400" fillcolor="#5a5a5a [2109]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553AA286" w14:textId="77777777" w:rsidR="00275107" w:rsidRPr="00BA4C18" w:rsidRDefault="00275107" w:rsidP="003B0E72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</w:tr>
          </w:tbl>
          <w:p w14:paraId="7019396E" w14:textId="77777777" w:rsidR="00275107" w:rsidRPr="008B17C5" w:rsidRDefault="00275107" w:rsidP="003B0E72">
            <w:pPr>
              <w:autoSpaceDE w:val="0"/>
              <w:autoSpaceDN w:val="0"/>
              <w:adjustRightInd w:val="0"/>
              <w:ind w:right="50"/>
              <w:jc w:val="center"/>
              <w:rPr>
                <w:sz w:val="18"/>
                <w:szCs w:val="14"/>
              </w:rPr>
            </w:pPr>
          </w:p>
        </w:tc>
      </w:tr>
      <w:tr w:rsidR="00275107" w14:paraId="2B61CBF5" w14:textId="77777777" w:rsidTr="003B0E72">
        <w:trPr>
          <w:trHeight w:val="284"/>
        </w:trPr>
        <w:tc>
          <w:tcPr>
            <w:tcW w:w="2674" w:type="dxa"/>
            <w:vMerge w:val="restart"/>
            <w:shd w:val="clear" w:color="auto" w:fill="C0504D" w:themeFill="accent2"/>
            <w:vAlign w:val="center"/>
          </w:tcPr>
          <w:p w14:paraId="7B25D744" w14:textId="77777777" w:rsidR="00275107" w:rsidRPr="009244C9" w:rsidRDefault="00275107" w:rsidP="003B0E72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1970" w:type="dxa"/>
            <w:gridSpan w:val="3"/>
            <w:shd w:val="clear" w:color="auto" w:fill="C0504D" w:themeFill="accent2"/>
            <w:vAlign w:val="center"/>
          </w:tcPr>
          <w:p w14:paraId="75C042FC" w14:textId="77777777" w:rsidR="00275107" w:rsidRPr="009244C9" w:rsidRDefault="00275107" w:rsidP="003B0E72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6BD6C457" w14:textId="77777777" w:rsidR="00275107" w:rsidRPr="00A77D91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 w:val="restart"/>
            <w:shd w:val="clear" w:color="auto" w:fill="C0504D" w:themeFill="accent2"/>
            <w:vAlign w:val="center"/>
          </w:tcPr>
          <w:p w14:paraId="2937351E" w14:textId="77777777" w:rsidR="00275107" w:rsidRPr="009244C9" w:rsidRDefault="00275107" w:rsidP="003B0E72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2006" w:type="dxa"/>
            <w:gridSpan w:val="3"/>
            <w:shd w:val="clear" w:color="auto" w:fill="C0504D" w:themeFill="accent2"/>
            <w:vAlign w:val="center"/>
          </w:tcPr>
          <w:p w14:paraId="45FD8EF3" w14:textId="77777777" w:rsidR="00275107" w:rsidRPr="009244C9" w:rsidRDefault="00275107" w:rsidP="003B0E72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</w:tr>
      <w:tr w:rsidR="00275107" w14:paraId="40769981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674" w:type="dxa"/>
            <w:vMerge/>
            <w:shd w:val="clear" w:color="auto" w:fill="C0504D" w:themeFill="accent2"/>
          </w:tcPr>
          <w:p w14:paraId="61DA3B03" w14:textId="77777777" w:rsidR="00275107" w:rsidRPr="009244C9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19" w:type="dxa"/>
            <w:shd w:val="clear" w:color="auto" w:fill="C0504D" w:themeFill="accent2"/>
            <w:vAlign w:val="center"/>
          </w:tcPr>
          <w:p w14:paraId="0C16C719" w14:textId="77777777" w:rsidR="00275107" w:rsidRPr="009244C9" w:rsidRDefault="00275107" w:rsidP="003B0E72">
            <w:pPr>
              <w:autoSpaceDE w:val="0"/>
              <w:autoSpaceDN w:val="0"/>
              <w:adjustRightInd w:val="0"/>
              <w:spacing w:line="180" w:lineRule="exact"/>
              <w:ind w:left="-92" w:right="-66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Diciembre</w:t>
            </w:r>
            <w:r>
              <w:rPr>
                <w:color w:val="FFFFFF" w:themeColor="background1"/>
                <w:sz w:val="16"/>
                <w:szCs w:val="14"/>
              </w:rPr>
              <w:br/>
              <w:t>2</w:t>
            </w:r>
            <w:r w:rsidRPr="009244C9">
              <w:rPr>
                <w:color w:val="FFFFFF" w:themeColor="background1"/>
                <w:sz w:val="16"/>
                <w:szCs w:val="14"/>
              </w:rPr>
              <w:t>0</w:t>
            </w:r>
            <w:r>
              <w:rPr>
                <w:color w:val="FFFFFF" w:themeColor="background1"/>
                <w:sz w:val="16"/>
                <w:szCs w:val="14"/>
              </w:rPr>
              <w:t>21</w:t>
            </w:r>
          </w:p>
        </w:tc>
        <w:tc>
          <w:tcPr>
            <w:tcW w:w="1051" w:type="dxa"/>
            <w:gridSpan w:val="2"/>
            <w:shd w:val="clear" w:color="auto" w:fill="C0504D" w:themeFill="accent2"/>
            <w:vAlign w:val="center"/>
          </w:tcPr>
          <w:p w14:paraId="60E0B7DD" w14:textId="77777777" w:rsidR="00275107" w:rsidRPr="009244C9" w:rsidRDefault="00275107" w:rsidP="003B0E72">
            <w:pPr>
              <w:autoSpaceDE w:val="0"/>
              <w:autoSpaceDN w:val="0"/>
              <w:adjustRightInd w:val="0"/>
              <w:spacing w:line="180" w:lineRule="exact"/>
              <w:ind w:left="-101" w:right="3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27FA7274" w14:textId="77777777" w:rsidR="00275107" w:rsidRPr="00A77D91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/>
            <w:shd w:val="clear" w:color="auto" w:fill="C0504D" w:themeFill="accent2"/>
          </w:tcPr>
          <w:p w14:paraId="4E058576" w14:textId="77777777" w:rsidR="00275107" w:rsidRPr="009244C9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58" w:type="dxa"/>
            <w:shd w:val="clear" w:color="auto" w:fill="C0504D" w:themeFill="accent2"/>
            <w:vAlign w:val="center"/>
          </w:tcPr>
          <w:p w14:paraId="44DDD7FC" w14:textId="77777777" w:rsidR="00275107" w:rsidRPr="009244C9" w:rsidRDefault="00275107" w:rsidP="003B0E72">
            <w:pPr>
              <w:autoSpaceDE w:val="0"/>
              <w:autoSpaceDN w:val="0"/>
              <w:adjustRightInd w:val="0"/>
              <w:spacing w:line="180" w:lineRule="exact"/>
              <w:ind w:left="-113" w:right="-99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 xml:space="preserve">Diciembre </w:t>
            </w:r>
            <w:r w:rsidRPr="009244C9">
              <w:rPr>
                <w:color w:val="FFFFFF" w:themeColor="background1"/>
                <w:sz w:val="16"/>
                <w:szCs w:val="14"/>
              </w:rPr>
              <w:t>20</w:t>
            </w:r>
            <w:r>
              <w:rPr>
                <w:color w:val="FFFFFF" w:themeColor="background1"/>
                <w:sz w:val="16"/>
                <w:szCs w:val="14"/>
              </w:rPr>
              <w:t>21</w:t>
            </w:r>
          </w:p>
        </w:tc>
        <w:tc>
          <w:tcPr>
            <w:tcW w:w="1048" w:type="dxa"/>
            <w:gridSpan w:val="2"/>
            <w:shd w:val="clear" w:color="auto" w:fill="C0504D" w:themeFill="accent2"/>
            <w:vAlign w:val="center"/>
          </w:tcPr>
          <w:p w14:paraId="0DB3A967" w14:textId="77777777" w:rsidR="00275107" w:rsidRDefault="00275107" w:rsidP="003B0E72">
            <w:pPr>
              <w:autoSpaceDE w:val="0"/>
              <w:autoSpaceDN w:val="0"/>
              <w:adjustRightInd w:val="0"/>
              <w:spacing w:line="180" w:lineRule="exact"/>
              <w:ind w:left="-100" w:right="-24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</w:tr>
      <w:tr w:rsidR="00275107" w14:paraId="46C77863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20EBAF7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Nacional</w:t>
            </w:r>
          </w:p>
        </w:tc>
        <w:tc>
          <w:tcPr>
            <w:tcW w:w="919" w:type="dxa"/>
            <w:vAlign w:val="bottom"/>
          </w:tcPr>
          <w:p w14:paraId="0CB784FC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7756AB8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E8C175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F695B2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7DB81B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14:paraId="1B0C6EC6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702703B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985A28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</w:p>
        </w:tc>
      </w:tr>
      <w:tr w:rsidR="00275107" w14:paraId="643C3467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D624F3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Aguascalientes, Ags.</w:t>
            </w:r>
          </w:p>
        </w:tc>
        <w:tc>
          <w:tcPr>
            <w:tcW w:w="919" w:type="dxa"/>
            <w:vAlign w:val="bottom"/>
          </w:tcPr>
          <w:p w14:paraId="6F860EB4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45.8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4EEF6DF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E8176A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7B1632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B36508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Puerto Vallarta, Jal.</w:t>
            </w:r>
          </w:p>
        </w:tc>
        <w:tc>
          <w:tcPr>
            <w:tcW w:w="958" w:type="dxa"/>
            <w:vAlign w:val="bottom"/>
          </w:tcPr>
          <w:p w14:paraId="4DBCE23A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23F9CF7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D759E07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68F00FFD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74B346A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Mexicali, B.C.</w:t>
            </w:r>
          </w:p>
        </w:tc>
        <w:tc>
          <w:tcPr>
            <w:tcW w:w="919" w:type="dxa"/>
            <w:vAlign w:val="bottom"/>
          </w:tcPr>
          <w:p w14:paraId="1CAA82CF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46908B4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C7FC27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C556B9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40C3C9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Toluca, Edo. Mex.</w:t>
            </w:r>
          </w:p>
        </w:tc>
        <w:tc>
          <w:tcPr>
            <w:tcW w:w="958" w:type="dxa"/>
            <w:vAlign w:val="bottom"/>
          </w:tcPr>
          <w:p w14:paraId="447D5F6C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8C281A9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84.3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8F4F88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9780DFC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CA243E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Tijuana, B.C.</w:t>
            </w:r>
          </w:p>
        </w:tc>
        <w:tc>
          <w:tcPr>
            <w:tcW w:w="919" w:type="dxa"/>
            <w:vAlign w:val="bottom"/>
          </w:tcPr>
          <w:p w14:paraId="58151EA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461662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4D5710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B5E526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C8BA44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Ecatepec, Edo. Mex.</w:t>
            </w:r>
          </w:p>
        </w:tc>
        <w:tc>
          <w:tcPr>
            <w:tcW w:w="958" w:type="dxa"/>
            <w:vAlign w:val="bottom"/>
          </w:tcPr>
          <w:p w14:paraId="142A7C2F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84.3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CEACDB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6E20F77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BB8632E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0DBD80E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La Paz, B.C.S.</w:t>
            </w:r>
          </w:p>
        </w:tc>
        <w:tc>
          <w:tcPr>
            <w:tcW w:w="919" w:type="dxa"/>
            <w:vAlign w:val="bottom"/>
          </w:tcPr>
          <w:p w14:paraId="3A05BC76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91BBF5B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888BA4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05F4D2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31F815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Ciudad Nezahualcóyotl, Edo. Mex.</w:t>
            </w:r>
          </w:p>
        </w:tc>
        <w:tc>
          <w:tcPr>
            <w:tcW w:w="958" w:type="dxa"/>
            <w:vAlign w:val="bottom"/>
          </w:tcPr>
          <w:p w14:paraId="4AB2054E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A825EA0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674D912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51AA6C5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BC194C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Los Cabos, B.C.S. </w:t>
            </w:r>
            <w:r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9" w:type="dxa"/>
            <w:vAlign w:val="bottom"/>
          </w:tcPr>
          <w:p w14:paraId="2C768C6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AF56F5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4BE06C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9159D8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D4A5E6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28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Naucalpan de Juárez, Edo. Mex.</w:t>
            </w:r>
          </w:p>
        </w:tc>
        <w:tc>
          <w:tcPr>
            <w:tcW w:w="958" w:type="dxa"/>
            <w:vAlign w:val="bottom"/>
          </w:tcPr>
          <w:p w14:paraId="19154F85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92.1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198659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84.2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E7DA473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407C1FA8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0A7CA8F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243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Campeche, Camp.</w:t>
            </w:r>
          </w:p>
        </w:tc>
        <w:tc>
          <w:tcPr>
            <w:tcW w:w="919" w:type="dxa"/>
            <w:vAlign w:val="bottom"/>
          </w:tcPr>
          <w:p w14:paraId="6B6BA81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C1C13F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C3762D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3D6D59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3CC46B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Tlalnepantla de Baz, Edo. Mex.</w:t>
            </w:r>
          </w:p>
        </w:tc>
        <w:tc>
          <w:tcPr>
            <w:tcW w:w="958" w:type="dxa"/>
            <w:vAlign w:val="bottom"/>
          </w:tcPr>
          <w:p w14:paraId="1EC28E83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8E206DE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22E2CDF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9B93BA4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74D7562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Ciudad del Carmen, Camp.</w:t>
            </w:r>
          </w:p>
        </w:tc>
        <w:tc>
          <w:tcPr>
            <w:tcW w:w="919" w:type="dxa"/>
            <w:vAlign w:val="bottom"/>
          </w:tcPr>
          <w:p w14:paraId="0411437B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63.8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5567E68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23C228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804E76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F2E8F9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Atizapán de Zaragoza, Edo. Mex.</w:t>
            </w:r>
          </w:p>
        </w:tc>
        <w:tc>
          <w:tcPr>
            <w:tcW w:w="958" w:type="dxa"/>
            <w:vAlign w:val="bottom"/>
          </w:tcPr>
          <w:p w14:paraId="4847B301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1AAFFB7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63.7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20B47F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0865877C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1231C25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Saltillo, </w:t>
            </w:r>
            <w:proofErr w:type="spellStart"/>
            <w:r>
              <w:rPr>
                <w:sz w:val="16"/>
                <w:szCs w:val="16"/>
              </w:rPr>
              <w:t>Coah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19F9738D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1D2A9F0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9CE1B2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2F38AA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41AA49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Chimalhuacán, Edo. Mex.</w:t>
            </w:r>
          </w:p>
        </w:tc>
        <w:tc>
          <w:tcPr>
            <w:tcW w:w="958" w:type="dxa"/>
            <w:vAlign w:val="bottom"/>
          </w:tcPr>
          <w:p w14:paraId="6D2A48F1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83.4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A3D35F2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94B4A12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42CD1CAE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3A0B459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Laguna, </w:t>
            </w:r>
            <w:proofErr w:type="spellStart"/>
            <w:proofErr w:type="gramStart"/>
            <w:r>
              <w:rPr>
                <w:sz w:val="16"/>
                <w:szCs w:val="16"/>
              </w:rPr>
              <w:t>Coah</w:t>
            </w:r>
            <w:proofErr w:type="spellEnd"/>
            <w:r>
              <w:rPr>
                <w:sz w:val="16"/>
                <w:szCs w:val="16"/>
              </w:rPr>
              <w:t>.-</w:t>
            </w:r>
            <w:proofErr w:type="spellStart"/>
            <w:proofErr w:type="gramEnd"/>
            <w:r>
              <w:rPr>
                <w:sz w:val="16"/>
                <w:szCs w:val="16"/>
              </w:rPr>
              <w:t>Dgo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9" w:type="dxa"/>
            <w:vAlign w:val="bottom"/>
          </w:tcPr>
          <w:p w14:paraId="5D796568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5341F6D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A6478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511EE7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BF6137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Cuautitlán Izcalli, Edo. Mex.</w:t>
            </w:r>
          </w:p>
        </w:tc>
        <w:tc>
          <w:tcPr>
            <w:tcW w:w="958" w:type="dxa"/>
            <w:vAlign w:val="bottom"/>
          </w:tcPr>
          <w:p w14:paraId="4A55739A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B40BDB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DBA654E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63005246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51D213A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Piedras Negras, </w:t>
            </w:r>
            <w:proofErr w:type="spellStart"/>
            <w:r>
              <w:rPr>
                <w:sz w:val="16"/>
                <w:szCs w:val="16"/>
              </w:rPr>
              <w:t>Coah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0348E2B6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E2E08F5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71A524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7D281B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1C8591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Morelia, </w:t>
            </w:r>
            <w:proofErr w:type="spellStart"/>
            <w:r>
              <w:rPr>
                <w:sz w:val="16"/>
                <w:szCs w:val="16"/>
              </w:rPr>
              <w:t>Mich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E0DFBE7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73.7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985AA21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7DC8C53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03D50D9A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E6126A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Colima, Col.</w:t>
            </w:r>
          </w:p>
        </w:tc>
        <w:tc>
          <w:tcPr>
            <w:tcW w:w="919" w:type="dxa"/>
            <w:vAlign w:val="bottom"/>
          </w:tcPr>
          <w:p w14:paraId="10151C6E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66.5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4F0652E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85.7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566588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25FCD9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05F3F2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Uruapan, </w:t>
            </w:r>
            <w:proofErr w:type="spellStart"/>
            <w:r>
              <w:rPr>
                <w:sz w:val="16"/>
                <w:szCs w:val="16"/>
              </w:rPr>
              <w:t>Mich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7106631A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D14D588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508A43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5A0BE94F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1F77779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Manzanillo, Col.</w:t>
            </w:r>
          </w:p>
        </w:tc>
        <w:tc>
          <w:tcPr>
            <w:tcW w:w="919" w:type="dxa"/>
            <w:vAlign w:val="bottom"/>
          </w:tcPr>
          <w:p w14:paraId="4533502B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C974E92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3AE25C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AEC555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792520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Lázaro Cárdenas, </w:t>
            </w:r>
            <w:proofErr w:type="spellStart"/>
            <w:r>
              <w:rPr>
                <w:sz w:val="16"/>
                <w:szCs w:val="16"/>
              </w:rPr>
              <w:t>Mich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6361C091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48.5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8255557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47BC35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0F4BDD16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602746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Tuxtla Gutiérrez, Chis.</w:t>
            </w:r>
          </w:p>
        </w:tc>
        <w:tc>
          <w:tcPr>
            <w:tcW w:w="919" w:type="dxa"/>
            <w:vAlign w:val="bottom"/>
          </w:tcPr>
          <w:p w14:paraId="7738AB8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419032D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E9BCAE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9C4264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4FC951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Cuernavaca, Mor.</w:t>
            </w:r>
          </w:p>
        </w:tc>
        <w:tc>
          <w:tcPr>
            <w:tcW w:w="958" w:type="dxa"/>
            <w:vAlign w:val="bottom"/>
          </w:tcPr>
          <w:p w14:paraId="38F11290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361EB6B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E9117D4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CAD8877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6C6D49E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Tapachula, Chis.</w:t>
            </w:r>
          </w:p>
        </w:tc>
        <w:tc>
          <w:tcPr>
            <w:tcW w:w="919" w:type="dxa"/>
            <w:vAlign w:val="bottom"/>
          </w:tcPr>
          <w:p w14:paraId="37B892CF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78.7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EE4E717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E8239A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4EB269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C33739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Tepic, Nay.</w:t>
            </w:r>
          </w:p>
        </w:tc>
        <w:tc>
          <w:tcPr>
            <w:tcW w:w="958" w:type="dxa"/>
            <w:vAlign w:val="bottom"/>
          </w:tcPr>
          <w:p w14:paraId="7CE69623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51AA996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AE8B67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4F800994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85919C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Chihuahua, Chih.</w:t>
            </w:r>
          </w:p>
        </w:tc>
        <w:tc>
          <w:tcPr>
            <w:tcW w:w="919" w:type="dxa"/>
            <w:vAlign w:val="bottom"/>
          </w:tcPr>
          <w:p w14:paraId="2D3E5A8F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C24D812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51.0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C82064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336ABA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364F14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Monterrey, N.L.</w:t>
            </w:r>
          </w:p>
        </w:tc>
        <w:tc>
          <w:tcPr>
            <w:tcW w:w="958" w:type="dxa"/>
            <w:vAlign w:val="bottom"/>
          </w:tcPr>
          <w:p w14:paraId="1289EE91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091F11D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9DBC778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0E81704F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7DFC5B7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Ciudad Juárez, Chih.</w:t>
            </w:r>
          </w:p>
        </w:tc>
        <w:tc>
          <w:tcPr>
            <w:tcW w:w="919" w:type="dxa"/>
            <w:vAlign w:val="bottom"/>
          </w:tcPr>
          <w:p w14:paraId="554CCE5F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73.3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E9607E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CBADAC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767C97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3A833B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San Pedro Garza García, N.L.</w:t>
            </w:r>
          </w:p>
        </w:tc>
        <w:tc>
          <w:tcPr>
            <w:tcW w:w="958" w:type="dxa"/>
            <w:vAlign w:val="bottom"/>
          </w:tcPr>
          <w:p w14:paraId="56D4E5BF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07EAA4D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658249D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5F766514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6BE2EF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Gustavo A. Madero, CDMX</w:t>
            </w:r>
          </w:p>
        </w:tc>
        <w:tc>
          <w:tcPr>
            <w:tcW w:w="919" w:type="dxa"/>
            <w:vAlign w:val="bottom"/>
          </w:tcPr>
          <w:p w14:paraId="191B756C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D74679B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5B7881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CEBB71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9DBA8B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Apodaca, N.L. </w:t>
            </w:r>
          </w:p>
        </w:tc>
        <w:tc>
          <w:tcPr>
            <w:tcW w:w="958" w:type="dxa"/>
            <w:vAlign w:val="bottom"/>
          </w:tcPr>
          <w:p w14:paraId="6AE3AF78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BCF83A2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2F9AD34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9EEE3BC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5C108B2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Iztacalco, CDMX</w:t>
            </w:r>
          </w:p>
        </w:tc>
        <w:tc>
          <w:tcPr>
            <w:tcW w:w="919" w:type="dxa"/>
            <w:vAlign w:val="bottom"/>
          </w:tcPr>
          <w:p w14:paraId="01B73DAD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73.5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DC5B58A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4D268F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711C9F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07EA4D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Guadalupe, N.L.</w:t>
            </w:r>
          </w:p>
        </w:tc>
        <w:tc>
          <w:tcPr>
            <w:tcW w:w="958" w:type="dxa"/>
            <w:vAlign w:val="bottom"/>
          </w:tcPr>
          <w:p w14:paraId="45875D5E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52.4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15CA11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FF5F618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BCCE6B8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CA3AE8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Venustiano Carranza, CDMX</w:t>
            </w:r>
          </w:p>
        </w:tc>
        <w:tc>
          <w:tcPr>
            <w:tcW w:w="919" w:type="dxa"/>
            <w:vAlign w:val="bottom"/>
          </w:tcPr>
          <w:p w14:paraId="0E6AC450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0F9FA0B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0FA4EB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DA995D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DE66C7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General Escobedo, N.L.</w:t>
            </w:r>
          </w:p>
        </w:tc>
        <w:tc>
          <w:tcPr>
            <w:tcW w:w="958" w:type="dxa"/>
            <w:vAlign w:val="bottom"/>
          </w:tcPr>
          <w:p w14:paraId="5BDCE7C4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4B41F0F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D18644E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6524C4FE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3EBBE74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Juárez, CDMX</w:t>
            </w:r>
          </w:p>
        </w:tc>
        <w:tc>
          <w:tcPr>
            <w:tcW w:w="919" w:type="dxa"/>
            <w:vAlign w:val="bottom"/>
          </w:tcPr>
          <w:p w14:paraId="49A45EBE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1D37198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7B9B48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A4E7BF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FF7DC4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San Nicolás de los Garza, N.L.</w:t>
            </w:r>
          </w:p>
        </w:tc>
        <w:tc>
          <w:tcPr>
            <w:tcW w:w="958" w:type="dxa"/>
            <w:vAlign w:val="bottom"/>
          </w:tcPr>
          <w:p w14:paraId="32C94B55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24.6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F5BCBAD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FA196D9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55D765A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4EA62D0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Coyoacán, CDMX</w:t>
            </w:r>
          </w:p>
        </w:tc>
        <w:tc>
          <w:tcPr>
            <w:tcW w:w="919" w:type="dxa"/>
            <w:vAlign w:val="bottom"/>
          </w:tcPr>
          <w:p w14:paraId="581A1678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BDCEAE2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52BD28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D37F9E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77A041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Santa Catarina, N.L.</w:t>
            </w:r>
          </w:p>
        </w:tc>
        <w:tc>
          <w:tcPr>
            <w:tcW w:w="958" w:type="dxa"/>
            <w:vAlign w:val="bottom"/>
          </w:tcPr>
          <w:p w14:paraId="2EFC51B5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0D754B0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FD8A5C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7BC860E7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5D921C4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La Magdalena Contreras, CDMX</w:t>
            </w:r>
          </w:p>
        </w:tc>
        <w:tc>
          <w:tcPr>
            <w:tcW w:w="919" w:type="dxa"/>
            <w:vAlign w:val="bottom"/>
          </w:tcPr>
          <w:p w14:paraId="4952E758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C81ECDE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F68C89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1E3BDF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8FC863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Oaxaca, </w:t>
            </w:r>
            <w:proofErr w:type="spellStart"/>
            <w:r>
              <w:rPr>
                <w:sz w:val="16"/>
                <w:szCs w:val="16"/>
              </w:rPr>
              <w:t>Oax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AB62773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914527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BABE04B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750E6A3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13A7EF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Tlalpan, CDMX</w:t>
            </w:r>
          </w:p>
        </w:tc>
        <w:tc>
          <w:tcPr>
            <w:tcW w:w="919" w:type="dxa"/>
            <w:vAlign w:val="bottom"/>
          </w:tcPr>
          <w:p w14:paraId="4C24DBA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0BC2C1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73B303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4B5A07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6DA0A6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Puebla, Pue.</w:t>
            </w:r>
          </w:p>
        </w:tc>
        <w:tc>
          <w:tcPr>
            <w:tcW w:w="958" w:type="dxa"/>
            <w:vAlign w:val="bottom"/>
          </w:tcPr>
          <w:p w14:paraId="35CE50C9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6FE0569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A22778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5C271CE3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35ACDE9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Iztapalapa, CDMX</w:t>
            </w:r>
          </w:p>
        </w:tc>
        <w:tc>
          <w:tcPr>
            <w:tcW w:w="919" w:type="dxa"/>
            <w:vAlign w:val="bottom"/>
          </w:tcPr>
          <w:p w14:paraId="43E35B5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433B2F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E661EA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EB1B8F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312AC1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Querétaro, </w:t>
            </w:r>
            <w:proofErr w:type="spellStart"/>
            <w:r>
              <w:rPr>
                <w:sz w:val="16"/>
                <w:szCs w:val="16"/>
              </w:rPr>
              <w:t>Qro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3E608A3B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8A3C2CB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48.1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D74928D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55BB1E5A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38C1F5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Milpa Alta, CDMX </w:t>
            </w:r>
          </w:p>
        </w:tc>
        <w:tc>
          <w:tcPr>
            <w:tcW w:w="919" w:type="dxa"/>
            <w:vAlign w:val="bottom"/>
          </w:tcPr>
          <w:p w14:paraId="119BDFAC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3E07565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50.8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504681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51A811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4D637E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Cancún, Q. Roo</w:t>
            </w:r>
          </w:p>
        </w:tc>
        <w:tc>
          <w:tcPr>
            <w:tcW w:w="958" w:type="dxa"/>
            <w:vAlign w:val="bottom"/>
          </w:tcPr>
          <w:p w14:paraId="492C5544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85.5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4CFE732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80.0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6E54CAA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4A9A8BE6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068841A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Tláhuac, CDMX</w:t>
            </w:r>
          </w:p>
        </w:tc>
        <w:tc>
          <w:tcPr>
            <w:tcW w:w="919" w:type="dxa"/>
            <w:vAlign w:val="bottom"/>
          </w:tcPr>
          <w:p w14:paraId="344A9CA6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65.9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D685A02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751C01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6420EA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F38617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Chetumal, Q. Roo</w:t>
            </w:r>
          </w:p>
        </w:tc>
        <w:tc>
          <w:tcPr>
            <w:tcW w:w="958" w:type="dxa"/>
            <w:vAlign w:val="bottom"/>
          </w:tcPr>
          <w:p w14:paraId="51004C20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69.0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3755A6B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1A78D7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31EBB386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25F5CE7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Xochimilco, CDMX</w:t>
            </w:r>
          </w:p>
        </w:tc>
        <w:tc>
          <w:tcPr>
            <w:tcW w:w="919" w:type="dxa"/>
            <w:vAlign w:val="bottom"/>
          </w:tcPr>
          <w:p w14:paraId="61FDC7B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FE3FC04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848104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FA6349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63B42F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San Luis Potosí, S.L.P.</w:t>
            </w:r>
          </w:p>
        </w:tc>
        <w:tc>
          <w:tcPr>
            <w:tcW w:w="958" w:type="dxa"/>
            <w:vAlign w:val="bottom"/>
          </w:tcPr>
          <w:p w14:paraId="5A83EE17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251E0C5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A289512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B514009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3A52E94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Álvaro Obregón, CDMX</w:t>
            </w:r>
          </w:p>
        </w:tc>
        <w:tc>
          <w:tcPr>
            <w:tcW w:w="919" w:type="dxa"/>
            <w:vAlign w:val="bottom"/>
          </w:tcPr>
          <w:p w14:paraId="19CD3612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0A0171E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8A3DE2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18E223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4C3334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Culiacán, Sin.</w:t>
            </w:r>
          </w:p>
        </w:tc>
        <w:tc>
          <w:tcPr>
            <w:tcW w:w="958" w:type="dxa"/>
            <w:vAlign w:val="bottom"/>
          </w:tcPr>
          <w:p w14:paraId="5F9222F2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453920F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516EB65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7509E21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712518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Azcapotzalco, CDMX</w:t>
            </w:r>
          </w:p>
        </w:tc>
        <w:tc>
          <w:tcPr>
            <w:tcW w:w="919" w:type="dxa"/>
            <w:vAlign w:val="bottom"/>
          </w:tcPr>
          <w:p w14:paraId="44CF04C8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4F74AD7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82.9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DFF004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ABBA74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C0BFFD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Mazatlán, Sin.</w:t>
            </w:r>
          </w:p>
        </w:tc>
        <w:tc>
          <w:tcPr>
            <w:tcW w:w="958" w:type="dxa"/>
            <w:vAlign w:val="bottom"/>
          </w:tcPr>
          <w:p w14:paraId="7362C0C8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46.1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E8AA53B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7F1838E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481F5D63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5ACF0CA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Cuajimalpa de Morelos, CDMX</w:t>
            </w:r>
          </w:p>
        </w:tc>
        <w:tc>
          <w:tcPr>
            <w:tcW w:w="919" w:type="dxa"/>
            <w:vAlign w:val="bottom"/>
          </w:tcPr>
          <w:p w14:paraId="5425A3D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30B068F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907702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D6701C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3BB24A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Los Mochis, Sin.</w:t>
            </w:r>
          </w:p>
        </w:tc>
        <w:tc>
          <w:tcPr>
            <w:tcW w:w="958" w:type="dxa"/>
            <w:vAlign w:val="bottom"/>
          </w:tcPr>
          <w:p w14:paraId="3D7AD957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28.9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CF0A5F0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71ABF08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26DE3EC0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764E83B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Cuauhtémoc, CDMX</w:t>
            </w:r>
          </w:p>
        </w:tc>
        <w:tc>
          <w:tcPr>
            <w:tcW w:w="919" w:type="dxa"/>
            <w:vAlign w:val="bottom"/>
          </w:tcPr>
          <w:p w14:paraId="3D20F5A0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47BE0A7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F66453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17AA4C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90F3C0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Hermosillo, Son.</w:t>
            </w:r>
          </w:p>
        </w:tc>
        <w:tc>
          <w:tcPr>
            <w:tcW w:w="958" w:type="dxa"/>
            <w:vAlign w:val="bottom"/>
          </w:tcPr>
          <w:p w14:paraId="187FCAEB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59.5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998471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1EB9C76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6350CF34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371A0419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Hidalgo, CDMX</w:t>
            </w:r>
          </w:p>
        </w:tc>
        <w:tc>
          <w:tcPr>
            <w:tcW w:w="919" w:type="dxa"/>
            <w:vAlign w:val="bottom"/>
          </w:tcPr>
          <w:p w14:paraId="7C1BFD5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8D2A64E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442E51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55A71C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9CBA66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Nogales, Son.</w:t>
            </w:r>
          </w:p>
        </w:tc>
        <w:tc>
          <w:tcPr>
            <w:tcW w:w="958" w:type="dxa"/>
            <w:vAlign w:val="bottom"/>
          </w:tcPr>
          <w:p w14:paraId="44BB7F5B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81199E7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64A1694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69A4DF3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2E29FAD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Durango, </w:t>
            </w:r>
            <w:proofErr w:type="spellStart"/>
            <w:r>
              <w:rPr>
                <w:sz w:val="16"/>
                <w:szCs w:val="16"/>
              </w:rPr>
              <w:t>Dgo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1B8A15F4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B78FC6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45.1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78795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7D43B6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3F8944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Ciudad Obregón, Son.</w:t>
            </w:r>
          </w:p>
        </w:tc>
        <w:tc>
          <w:tcPr>
            <w:tcW w:w="958" w:type="dxa"/>
            <w:vAlign w:val="bottom"/>
          </w:tcPr>
          <w:p w14:paraId="425C11F3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95.0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12961AE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953837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5F4665B2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18AD576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León, </w:t>
            </w:r>
            <w:proofErr w:type="spellStart"/>
            <w:r>
              <w:rPr>
                <w:sz w:val="16"/>
                <w:szCs w:val="16"/>
              </w:rPr>
              <w:t>Gto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4CFF6C54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DEB9ECA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337A82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93A313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87DDC8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Villahermosa, </w:t>
            </w:r>
            <w:proofErr w:type="spellStart"/>
            <w:r>
              <w:rPr>
                <w:sz w:val="16"/>
                <w:szCs w:val="16"/>
              </w:rPr>
              <w:t>Tab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3F82C618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82.5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6F65B64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41CC88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1AD16BA5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2AB8386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Guanajuato, </w:t>
            </w:r>
            <w:proofErr w:type="spellStart"/>
            <w:r>
              <w:rPr>
                <w:sz w:val="16"/>
                <w:szCs w:val="16"/>
              </w:rPr>
              <w:t>Gto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78589FFB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AFE54D8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A09DBA2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73B7E6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06C801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Tampico, </w:t>
            </w:r>
            <w:proofErr w:type="spellStart"/>
            <w:r>
              <w:rPr>
                <w:sz w:val="16"/>
                <w:szCs w:val="16"/>
              </w:rPr>
              <w:t>Tamps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D79FFCA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25.3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C56CCA4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F56FDF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4887E3EB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6F1B642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Irapuato, </w:t>
            </w:r>
            <w:proofErr w:type="spellStart"/>
            <w:r>
              <w:rPr>
                <w:sz w:val="16"/>
                <w:szCs w:val="16"/>
              </w:rPr>
              <w:t>Gto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08DEAD8D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1B4AB4D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B1C81D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FADD8E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B6771B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Reynosa, </w:t>
            </w:r>
            <w:proofErr w:type="spellStart"/>
            <w:r>
              <w:rPr>
                <w:sz w:val="16"/>
                <w:szCs w:val="16"/>
              </w:rPr>
              <w:t>Tamps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1A8116E6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75.1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558449A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83.2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64CB9FD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</w:p>
        </w:tc>
      </w:tr>
      <w:tr w:rsidR="00275107" w14:paraId="562A2CC9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203F936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Acapulco, Gro.</w:t>
            </w:r>
          </w:p>
        </w:tc>
        <w:tc>
          <w:tcPr>
            <w:tcW w:w="919" w:type="dxa"/>
            <w:vAlign w:val="bottom"/>
          </w:tcPr>
          <w:p w14:paraId="42059E05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C8BFEFB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1C1C2D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15D96D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E7087E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Nuevo Laredo, </w:t>
            </w:r>
            <w:proofErr w:type="spellStart"/>
            <w:r>
              <w:rPr>
                <w:sz w:val="16"/>
                <w:szCs w:val="16"/>
              </w:rPr>
              <w:t>Tamps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E1B766C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E9AF996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A6595A1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1A89FEE1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2B04F90E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Chilpancingo, Gro.</w:t>
            </w:r>
          </w:p>
        </w:tc>
        <w:tc>
          <w:tcPr>
            <w:tcW w:w="919" w:type="dxa"/>
            <w:vAlign w:val="bottom"/>
          </w:tcPr>
          <w:p w14:paraId="78D3665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10A637C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76.5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6976F5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A96B6D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2F1415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Ciudad Victoria, </w:t>
            </w:r>
            <w:proofErr w:type="spellStart"/>
            <w:r>
              <w:rPr>
                <w:sz w:val="16"/>
                <w:szCs w:val="16"/>
              </w:rPr>
              <w:t>Tamps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C640A95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4F6D285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F6EA5F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0FA27FAA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3B03B25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Ixtapa-Zihuatanejo, Gro.</w:t>
            </w:r>
          </w:p>
        </w:tc>
        <w:tc>
          <w:tcPr>
            <w:tcW w:w="919" w:type="dxa"/>
            <w:vAlign w:val="bottom"/>
          </w:tcPr>
          <w:p w14:paraId="17DD7AB7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61.3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6B9806B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5805CB8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871BC2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E4B548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Tlaxcala, </w:t>
            </w:r>
            <w:proofErr w:type="spellStart"/>
            <w:r>
              <w:rPr>
                <w:sz w:val="16"/>
                <w:szCs w:val="16"/>
              </w:rPr>
              <w:t>Tlax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AF648F0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558D1C4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56.7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B7416FB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F655B2B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6808667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Pachuca, </w:t>
            </w:r>
            <w:proofErr w:type="spellStart"/>
            <w:r>
              <w:rPr>
                <w:sz w:val="16"/>
                <w:szCs w:val="16"/>
              </w:rPr>
              <w:t>Hgo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25509910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49.3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00CB183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53.1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202B8FF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D7FD04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B65EBC5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Veracruz, Ver.</w:t>
            </w:r>
          </w:p>
        </w:tc>
        <w:tc>
          <w:tcPr>
            <w:tcW w:w="958" w:type="dxa"/>
            <w:vAlign w:val="bottom"/>
          </w:tcPr>
          <w:p w14:paraId="60128BFA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62.9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290E47D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B9A741D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2B2EE68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E676A4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Guadalajara, Jal.</w:t>
            </w:r>
          </w:p>
        </w:tc>
        <w:tc>
          <w:tcPr>
            <w:tcW w:w="919" w:type="dxa"/>
            <w:vAlign w:val="bottom"/>
          </w:tcPr>
          <w:p w14:paraId="1064B768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81.7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2DCB846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895FE5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D4B303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884977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Coatzacoalcos, Ver.</w:t>
            </w:r>
          </w:p>
        </w:tc>
        <w:tc>
          <w:tcPr>
            <w:tcW w:w="958" w:type="dxa"/>
            <w:vAlign w:val="bottom"/>
          </w:tcPr>
          <w:p w14:paraId="01B2F3D8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85.6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9414982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8ADE83A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A807675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5570F6DA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Tonalá, Jal.</w:t>
            </w:r>
          </w:p>
        </w:tc>
        <w:tc>
          <w:tcPr>
            <w:tcW w:w="919" w:type="dxa"/>
            <w:vAlign w:val="bottom"/>
          </w:tcPr>
          <w:p w14:paraId="69BAF8C3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80.1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4E63C70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FA9683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1108D9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314410D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Xalapa, Ver.</w:t>
            </w:r>
          </w:p>
        </w:tc>
        <w:tc>
          <w:tcPr>
            <w:tcW w:w="958" w:type="dxa"/>
            <w:vAlign w:val="bottom"/>
          </w:tcPr>
          <w:p w14:paraId="1B108B35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58.8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4B930EA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F9677D8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2309A29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D4D29F0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Tlajomulco de Zúñiga, Jal.</w:t>
            </w:r>
          </w:p>
        </w:tc>
        <w:tc>
          <w:tcPr>
            <w:tcW w:w="919" w:type="dxa"/>
            <w:vAlign w:val="bottom"/>
          </w:tcPr>
          <w:p w14:paraId="444EC84F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72.3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D675CBD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15D709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8B41D1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50CD51A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Mérida, </w:t>
            </w:r>
            <w:proofErr w:type="spellStart"/>
            <w:r>
              <w:rPr>
                <w:sz w:val="16"/>
                <w:szCs w:val="16"/>
              </w:rPr>
              <w:t>Yuc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6FC23A06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27.9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938E787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716D685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7C8D03AD" w14:textId="77777777" w:rsidTr="003B0E72">
        <w:trPr>
          <w:trHeight w:hRule="exact" w:val="198"/>
        </w:trPr>
        <w:tc>
          <w:tcPr>
            <w:tcW w:w="2674" w:type="dxa"/>
            <w:vAlign w:val="bottom"/>
          </w:tcPr>
          <w:p w14:paraId="4D96FBAC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San Pedro Tlaquepaque, Jal.</w:t>
            </w:r>
          </w:p>
        </w:tc>
        <w:tc>
          <w:tcPr>
            <w:tcW w:w="919" w:type="dxa"/>
            <w:vAlign w:val="bottom"/>
          </w:tcPr>
          <w:p w14:paraId="3441DB2A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74.3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D81A064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68.9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0F2F6C4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3F1A04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79DE2C3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Zacatecas, Zac.</w:t>
            </w:r>
          </w:p>
        </w:tc>
        <w:tc>
          <w:tcPr>
            <w:tcW w:w="958" w:type="dxa"/>
            <w:vAlign w:val="bottom"/>
          </w:tcPr>
          <w:p w14:paraId="3F112410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89.4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FA14FC2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A7D8611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275107" w14:paraId="39268124" w14:textId="77777777" w:rsidTr="003B0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48D30B51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02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Zapopan, Jal.</w:t>
            </w:r>
          </w:p>
        </w:tc>
        <w:tc>
          <w:tcPr>
            <w:tcW w:w="919" w:type="dxa"/>
            <w:vAlign w:val="bottom"/>
          </w:tcPr>
          <w:p w14:paraId="63660BD9" w14:textId="77777777" w:rsidR="00275107" w:rsidRPr="00CF7D57" w:rsidRDefault="00275107" w:rsidP="003B0E72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CE17379" w14:textId="77777777" w:rsidR="00275107" w:rsidRPr="00CF7D57" w:rsidRDefault="00275107" w:rsidP="003B0E72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017DB86" w14:textId="77777777" w:rsidR="00275107" w:rsidRPr="00CF7D57" w:rsidRDefault="00275107" w:rsidP="003B0E72">
            <w:pPr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E4D731B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3C459AF7" w14:textId="77777777" w:rsidR="00275107" w:rsidRPr="00CF7D57" w:rsidRDefault="00275107" w:rsidP="003B0E72">
            <w:pPr>
              <w:autoSpaceDE w:val="0"/>
              <w:autoSpaceDN w:val="0"/>
              <w:adjustRightInd w:val="0"/>
              <w:ind w:right="-11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Fresnillo, Zac.</w:t>
            </w:r>
          </w:p>
        </w:tc>
        <w:tc>
          <w:tcPr>
            <w:tcW w:w="958" w:type="dxa"/>
            <w:vAlign w:val="bottom"/>
          </w:tcPr>
          <w:p w14:paraId="5556CC7F" w14:textId="77777777" w:rsidR="00275107" w:rsidRPr="00CF7D57" w:rsidRDefault="00275107" w:rsidP="003B0E72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96.8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DF00B03" w14:textId="77777777" w:rsidR="00275107" w:rsidRPr="00CF7D57" w:rsidRDefault="00275107" w:rsidP="003B0E72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CE35AFC" w14:textId="77777777" w:rsidR="00275107" w:rsidRPr="00CF7D57" w:rsidRDefault="00275107" w:rsidP="003B0E72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14:paraId="153504D8" w14:textId="77777777" w:rsidR="00275107" w:rsidRPr="000D767F" w:rsidRDefault="00275107" w:rsidP="003B0E72">
      <w:pPr>
        <w:autoSpaceDE w:val="0"/>
        <w:autoSpaceDN w:val="0"/>
        <w:adjustRightInd w:val="0"/>
        <w:ind w:left="714" w:right="474" w:hanging="572"/>
        <w:jc w:val="both"/>
        <w:rPr>
          <w:sz w:val="16"/>
          <w:szCs w:val="16"/>
          <w:lang w:val="es-ES"/>
        </w:rPr>
      </w:pPr>
      <w:r w:rsidRPr="000D767F">
        <w:rPr>
          <w:sz w:val="16"/>
          <w:szCs w:val="16"/>
          <w:lang w:val="es-ES"/>
        </w:rPr>
        <w:t>Nota</w:t>
      </w:r>
      <w:r>
        <w:rPr>
          <w:sz w:val="16"/>
          <w:szCs w:val="16"/>
          <w:lang w:val="es-ES"/>
        </w:rPr>
        <w:t>s</w:t>
      </w:r>
      <w:r w:rsidRPr="000D767F">
        <w:rPr>
          <w:sz w:val="16"/>
          <w:szCs w:val="16"/>
          <w:lang w:val="es-ES"/>
        </w:rPr>
        <w:t>:</w:t>
      </w:r>
      <w:r w:rsidRPr="000D767F">
        <w:rPr>
          <w:b/>
          <w:sz w:val="16"/>
          <w:szCs w:val="16"/>
          <w:lang w:val="es-ES"/>
        </w:rPr>
        <w:tab/>
      </w:r>
      <w:r w:rsidRPr="000D767F">
        <w:rPr>
          <w:sz w:val="16"/>
          <w:szCs w:val="16"/>
          <w:lang w:val="es-ES"/>
        </w:rPr>
        <w:t>Porcentaje de la población de 18 años y más residente en las ciudades de interés</w:t>
      </w:r>
      <w:r w:rsidRPr="000D767F">
        <w:rPr>
          <w:color w:val="000000"/>
          <w:spacing w:val="-2"/>
          <w:sz w:val="16"/>
          <w:szCs w:val="14"/>
        </w:rPr>
        <w:t xml:space="preserve"> que considera que</w:t>
      </w:r>
      <w:r>
        <w:rPr>
          <w:color w:val="000000"/>
          <w:spacing w:val="-2"/>
          <w:sz w:val="16"/>
          <w:szCs w:val="14"/>
        </w:rPr>
        <w:t xml:space="preserve"> vivir </w:t>
      </w:r>
      <w:r w:rsidRPr="000D767F">
        <w:rPr>
          <w:color w:val="000000"/>
          <w:spacing w:val="-2"/>
          <w:sz w:val="16"/>
          <w:szCs w:val="14"/>
        </w:rPr>
        <w:t>actualmente</w:t>
      </w:r>
      <w:r>
        <w:rPr>
          <w:color w:val="000000"/>
          <w:spacing w:val="-2"/>
          <w:sz w:val="16"/>
          <w:szCs w:val="14"/>
        </w:rPr>
        <w:t xml:space="preserve"> en su ciudad </w:t>
      </w:r>
      <w:r w:rsidRPr="000D767F">
        <w:rPr>
          <w:color w:val="000000"/>
          <w:spacing w:val="-2"/>
          <w:sz w:val="16"/>
          <w:szCs w:val="14"/>
        </w:rPr>
        <w:t>es inseguro</w:t>
      </w:r>
      <w:r w:rsidRPr="000D767F">
        <w:rPr>
          <w:color w:val="000000"/>
          <w:sz w:val="16"/>
          <w:szCs w:val="14"/>
        </w:rPr>
        <w:t>.</w:t>
      </w:r>
      <w:r w:rsidRPr="000D767F">
        <w:rPr>
          <w:sz w:val="16"/>
          <w:szCs w:val="16"/>
          <w:lang w:val="es-ES"/>
        </w:rPr>
        <w:t xml:space="preserve"> Excluye la opción de respuesta “No sabe o no responde”.</w:t>
      </w:r>
    </w:p>
    <w:p w14:paraId="2E077FE0" w14:textId="77777777" w:rsidR="00275107" w:rsidRPr="000D767F" w:rsidRDefault="00275107" w:rsidP="003B0E72">
      <w:pPr>
        <w:autoSpaceDE w:val="0"/>
        <w:autoSpaceDN w:val="0"/>
        <w:adjustRightInd w:val="0"/>
        <w:ind w:left="714" w:right="474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  <w:vertAlign w:val="superscript"/>
        </w:rPr>
        <w:t>1</w:t>
      </w:r>
      <w:r w:rsidRPr="000D767F">
        <w:rPr>
          <w:color w:val="000000"/>
          <w:sz w:val="16"/>
          <w:szCs w:val="14"/>
          <w:vertAlign w:val="superscript"/>
        </w:rPr>
        <w:tab/>
      </w:r>
      <w:r w:rsidRPr="000D767F">
        <w:rPr>
          <w:color w:val="000000"/>
          <w:sz w:val="16"/>
          <w:szCs w:val="14"/>
        </w:rPr>
        <w:t>Incluye las localidades urbanas de San José del Cabo y Cabo San Lucas.</w:t>
      </w:r>
    </w:p>
    <w:p w14:paraId="70C1910F" w14:textId="77777777" w:rsidR="00275107" w:rsidRPr="000D767F" w:rsidRDefault="00275107" w:rsidP="003B0E72">
      <w:pPr>
        <w:autoSpaceDE w:val="0"/>
        <w:autoSpaceDN w:val="0"/>
        <w:adjustRightInd w:val="0"/>
        <w:ind w:left="714" w:right="474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  <w:vertAlign w:val="superscript"/>
        </w:rPr>
        <w:t>2</w:t>
      </w:r>
      <w:r w:rsidRPr="000D767F">
        <w:rPr>
          <w:color w:val="000000"/>
          <w:sz w:val="16"/>
          <w:szCs w:val="14"/>
          <w:vertAlign w:val="superscript"/>
        </w:rPr>
        <w:tab/>
      </w:r>
      <w:r w:rsidRPr="000D767F">
        <w:rPr>
          <w:color w:val="000000"/>
          <w:sz w:val="16"/>
          <w:szCs w:val="14"/>
        </w:rPr>
        <w:t xml:space="preserve">Incluye los municipios de Matamoros, </w:t>
      </w:r>
      <w:proofErr w:type="spellStart"/>
      <w:r w:rsidRPr="000D767F">
        <w:rPr>
          <w:color w:val="000000"/>
          <w:sz w:val="16"/>
          <w:szCs w:val="14"/>
        </w:rPr>
        <w:t>Coah</w:t>
      </w:r>
      <w:proofErr w:type="spellEnd"/>
      <w:r w:rsidRPr="000D767F">
        <w:rPr>
          <w:color w:val="000000"/>
          <w:sz w:val="16"/>
          <w:szCs w:val="14"/>
        </w:rPr>
        <w:t xml:space="preserve">; Torreón, </w:t>
      </w:r>
      <w:proofErr w:type="spellStart"/>
      <w:r w:rsidRPr="000D767F">
        <w:rPr>
          <w:color w:val="000000"/>
          <w:sz w:val="16"/>
          <w:szCs w:val="14"/>
        </w:rPr>
        <w:t>Coah</w:t>
      </w:r>
      <w:proofErr w:type="spellEnd"/>
      <w:r w:rsidRPr="000D767F">
        <w:rPr>
          <w:color w:val="000000"/>
          <w:sz w:val="16"/>
          <w:szCs w:val="14"/>
        </w:rPr>
        <w:t xml:space="preserve">; Gómez Palacio, </w:t>
      </w:r>
      <w:proofErr w:type="spellStart"/>
      <w:r w:rsidRPr="000D767F">
        <w:rPr>
          <w:color w:val="000000"/>
          <w:sz w:val="16"/>
          <w:szCs w:val="14"/>
        </w:rPr>
        <w:t>Dgo</w:t>
      </w:r>
      <w:proofErr w:type="spellEnd"/>
      <w:r w:rsidRPr="000D767F">
        <w:rPr>
          <w:color w:val="000000"/>
          <w:sz w:val="16"/>
          <w:szCs w:val="14"/>
        </w:rPr>
        <w:t xml:space="preserve">; y Lerdo, </w:t>
      </w:r>
      <w:proofErr w:type="spellStart"/>
      <w:r w:rsidRPr="000D767F">
        <w:rPr>
          <w:color w:val="000000"/>
          <w:sz w:val="16"/>
          <w:szCs w:val="14"/>
        </w:rPr>
        <w:t>Dgo</w:t>
      </w:r>
      <w:proofErr w:type="spellEnd"/>
      <w:r w:rsidRPr="000D767F">
        <w:rPr>
          <w:color w:val="000000"/>
          <w:sz w:val="16"/>
          <w:szCs w:val="14"/>
        </w:rPr>
        <w:t>.</w:t>
      </w:r>
    </w:p>
    <w:p w14:paraId="4CE6E0BD" w14:textId="77777777" w:rsidR="00275107" w:rsidRPr="000D767F" w:rsidRDefault="00275107" w:rsidP="003B0E72">
      <w:pPr>
        <w:autoSpaceDE w:val="0"/>
        <w:autoSpaceDN w:val="0"/>
        <w:adjustRightInd w:val="0"/>
        <w:ind w:left="714" w:right="474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</w:rPr>
        <w:t>*</w:t>
      </w:r>
      <w:r w:rsidRPr="000D767F">
        <w:rPr>
          <w:color w:val="000000"/>
          <w:sz w:val="16"/>
          <w:szCs w:val="14"/>
        </w:rPr>
        <w:tab/>
        <w:t xml:space="preserve">En estos casos sí </w:t>
      </w:r>
      <w:r>
        <w:rPr>
          <w:color w:val="000000"/>
          <w:sz w:val="16"/>
          <w:szCs w:val="14"/>
        </w:rPr>
        <w:t>hubo</w:t>
      </w:r>
      <w:r w:rsidRPr="000D767F">
        <w:rPr>
          <w:color w:val="000000"/>
          <w:sz w:val="16"/>
          <w:szCs w:val="14"/>
        </w:rPr>
        <w:t xml:space="preserve"> un cambio estadísticamente significativo respecto a </w:t>
      </w:r>
      <w:r>
        <w:rPr>
          <w:color w:val="000000"/>
          <w:sz w:val="16"/>
          <w:szCs w:val="14"/>
        </w:rPr>
        <w:t>diciembre</w:t>
      </w:r>
      <w:r w:rsidRPr="000D767F">
        <w:rPr>
          <w:color w:val="000000"/>
          <w:sz w:val="16"/>
          <w:szCs w:val="14"/>
        </w:rPr>
        <w:t xml:space="preserve"> de 2021.</w:t>
      </w:r>
    </w:p>
    <w:p w14:paraId="504888E7" w14:textId="77777777" w:rsidR="00275107" w:rsidRPr="000D767F" w:rsidRDefault="00275107" w:rsidP="003B0E72">
      <w:pPr>
        <w:autoSpaceDE w:val="0"/>
        <w:autoSpaceDN w:val="0"/>
        <w:adjustRightInd w:val="0"/>
        <w:ind w:left="714" w:right="474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Fuente:</w:t>
      </w:r>
      <w:r w:rsidRPr="000D767F">
        <w:rPr>
          <w:color w:val="000000"/>
          <w:sz w:val="16"/>
          <w:szCs w:val="14"/>
        </w:rPr>
        <w:tab/>
        <w:t>INEGI. Encuesta Nacional de Seguridad Pública Urbana (ENSU).</w:t>
      </w:r>
    </w:p>
    <w:p w14:paraId="0D11CB6B" w14:textId="77777777" w:rsidR="00275107" w:rsidRPr="000D767F" w:rsidRDefault="00275107" w:rsidP="003B0E72">
      <w:pPr>
        <w:autoSpaceDE w:val="0"/>
        <w:autoSpaceDN w:val="0"/>
        <w:adjustRightInd w:val="0"/>
        <w:ind w:left="1372" w:right="474" w:hanging="574"/>
        <w:jc w:val="both"/>
        <w:rPr>
          <w:color w:val="000000"/>
          <w:sz w:val="16"/>
          <w:szCs w:val="14"/>
        </w:rPr>
      </w:pPr>
    </w:p>
    <w:p w14:paraId="2955A239" w14:textId="77777777" w:rsidR="00801F92" w:rsidRPr="00BB7896" w:rsidRDefault="00801F92" w:rsidP="00275107">
      <w:pPr>
        <w:autoSpaceDE w:val="0"/>
        <w:autoSpaceDN w:val="0"/>
        <w:adjustRightInd w:val="0"/>
        <w:spacing w:before="200"/>
        <w:ind w:right="49"/>
        <w:jc w:val="both"/>
        <w:rPr>
          <w:sz w:val="22"/>
          <w:szCs w:val="22"/>
        </w:rPr>
      </w:pPr>
      <w:r w:rsidRPr="00BB7896">
        <w:rPr>
          <w:color w:val="000000"/>
          <w:sz w:val="22"/>
          <w:szCs w:val="22"/>
        </w:rPr>
        <w:lastRenderedPageBreak/>
        <w:t>En específico, 76.4% de la población siente inseguridad en los cajeros automáticos localizados en la vía pública, 70.2% en el transporte público, 61.7% en el banco</w:t>
      </w:r>
      <w:r w:rsidRPr="00BB7896" w:rsidDel="006B77E6">
        <w:rPr>
          <w:color w:val="000000"/>
          <w:sz w:val="22"/>
          <w:szCs w:val="22"/>
        </w:rPr>
        <w:t xml:space="preserve"> </w:t>
      </w:r>
      <w:r w:rsidRPr="00BB7896">
        <w:rPr>
          <w:color w:val="000000"/>
          <w:sz w:val="22"/>
          <w:szCs w:val="22"/>
        </w:rPr>
        <w:t>y 58.6% en las calles que habitualmente usa.</w:t>
      </w:r>
    </w:p>
    <w:p w14:paraId="553D1F26" w14:textId="77777777" w:rsidR="00801F92" w:rsidRPr="00BB7896" w:rsidRDefault="00801F92" w:rsidP="00275107">
      <w:pPr>
        <w:autoSpaceDE w:val="0"/>
        <w:autoSpaceDN w:val="0"/>
        <w:adjustRightInd w:val="0"/>
        <w:spacing w:before="200"/>
        <w:ind w:right="49"/>
        <w:jc w:val="both"/>
        <w:rPr>
          <w:sz w:val="22"/>
          <w:szCs w:val="22"/>
        </w:rPr>
      </w:pPr>
      <w:r w:rsidRPr="00BB7896">
        <w:rPr>
          <w:color w:val="000000"/>
          <w:sz w:val="22"/>
          <w:szCs w:val="22"/>
        </w:rPr>
        <w:t xml:space="preserve">En marzo de 2022, 35.2% de las personas de 18 años y más que residen en ciudades de interés identificó hospitales saturados o con servicio deficiente como uno de los problemas más importantes en las ciudades. </w:t>
      </w:r>
    </w:p>
    <w:p w14:paraId="24E0E8B9" w14:textId="77777777" w:rsidR="00801F92" w:rsidRPr="00BB7896" w:rsidRDefault="00801F92" w:rsidP="00275107">
      <w:pPr>
        <w:autoSpaceDE w:val="0"/>
        <w:autoSpaceDN w:val="0"/>
        <w:adjustRightInd w:val="0"/>
        <w:spacing w:before="200"/>
        <w:ind w:right="49"/>
        <w:jc w:val="both"/>
        <w:rPr>
          <w:sz w:val="22"/>
          <w:szCs w:val="22"/>
        </w:rPr>
      </w:pPr>
      <w:r w:rsidRPr="00BB7896">
        <w:rPr>
          <w:sz w:val="22"/>
          <w:szCs w:val="22"/>
        </w:rPr>
        <w:t>En el tercer mes de 2022, 63.2% de la población de 18 años y más consultó los “noticieros en televisión” para informarse sobre la seguridad pública, el narcotráfico y la violencia.</w:t>
      </w:r>
    </w:p>
    <w:p w14:paraId="634CB49B" w14:textId="77777777" w:rsidR="00801F92" w:rsidRDefault="00801F92" w:rsidP="00275107">
      <w:pPr>
        <w:pStyle w:val="bullet"/>
        <w:keepLines w:val="0"/>
        <w:widowControl w:val="0"/>
        <w:spacing w:before="120" w:after="0"/>
        <w:ind w:left="0" w:right="-547" w:firstLine="708"/>
        <w:rPr>
          <w:rFonts w:cs="Arial"/>
          <w:b w:val="0"/>
          <w:color w:val="auto"/>
          <w:spacing w:val="0"/>
          <w:sz w:val="20"/>
          <w:lang w:val="es-ES_tradnl"/>
        </w:rPr>
      </w:pPr>
      <w:bookmarkStart w:id="1" w:name="_Hlk97203714"/>
      <w:bookmarkEnd w:id="0"/>
    </w:p>
    <w:p w14:paraId="10B98F61" w14:textId="77777777" w:rsidR="00801F92" w:rsidRDefault="00801F92" w:rsidP="00275107">
      <w:pPr>
        <w:spacing w:before="240"/>
      </w:pPr>
    </w:p>
    <w:bookmarkEnd w:id="1"/>
    <w:p w14:paraId="39BE3363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0C62AD1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D656333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9B7C1D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8F51D2F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E6D53D7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33628B0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FC3A9A6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0502A9D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E7F8354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CDE137E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E9EAAC8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80A849D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68E3939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93636C4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2FDFEF18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CE44928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CD74A6A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A4E97E8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4265921" w14:textId="77777777" w:rsidR="00801F92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E360328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923E9E7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676135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9" w:history="1">
        <w:r w:rsidRPr="00676135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676135">
        <w:rPr>
          <w:rFonts w:ascii="Arial" w:hAnsi="Arial" w:cs="Arial"/>
          <w:sz w:val="22"/>
          <w:szCs w:val="22"/>
        </w:rPr>
        <w:t xml:space="preserve"> </w:t>
      </w:r>
    </w:p>
    <w:p w14:paraId="41D10AA0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676135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676135">
        <w:rPr>
          <w:rFonts w:ascii="Arial" w:hAnsi="Arial" w:cs="Arial"/>
          <w:sz w:val="22"/>
          <w:szCs w:val="22"/>
        </w:rPr>
        <w:t>exts</w:t>
      </w:r>
      <w:proofErr w:type="spellEnd"/>
      <w:r w:rsidRPr="00676135">
        <w:rPr>
          <w:rFonts w:ascii="Arial" w:hAnsi="Arial" w:cs="Arial"/>
          <w:sz w:val="22"/>
          <w:szCs w:val="22"/>
        </w:rPr>
        <w:t>. 1134, 1260 y 1241.</w:t>
      </w:r>
    </w:p>
    <w:p w14:paraId="0B916F73" w14:textId="77777777" w:rsidR="00801F92" w:rsidRPr="00676135" w:rsidRDefault="00801F92" w:rsidP="00801F92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56D41A7" w14:textId="77777777" w:rsidR="00801F92" w:rsidRPr="00676135" w:rsidRDefault="00801F92" w:rsidP="00801F92">
      <w:pPr>
        <w:ind w:left="-426" w:right="-518"/>
        <w:contextualSpacing/>
        <w:jc w:val="center"/>
        <w:rPr>
          <w:sz w:val="22"/>
          <w:szCs w:val="22"/>
        </w:rPr>
      </w:pPr>
      <w:r w:rsidRPr="00676135">
        <w:rPr>
          <w:sz w:val="22"/>
          <w:szCs w:val="22"/>
        </w:rPr>
        <w:t>Dirección de Atención a Medios / Dirección General Adjunta de Comunicación</w:t>
      </w:r>
    </w:p>
    <w:p w14:paraId="2B7C8A52" w14:textId="77777777" w:rsidR="00801F92" w:rsidRPr="0070622C" w:rsidRDefault="00801F92" w:rsidP="00801F92">
      <w:pPr>
        <w:ind w:left="-426" w:right="-518"/>
        <w:contextualSpacing/>
        <w:jc w:val="center"/>
        <w:rPr>
          <w:sz w:val="22"/>
          <w:szCs w:val="22"/>
        </w:rPr>
      </w:pPr>
    </w:p>
    <w:p w14:paraId="63D33FC8" w14:textId="77777777" w:rsidR="00801F92" w:rsidRDefault="00801F92" w:rsidP="00801F92">
      <w:pPr>
        <w:ind w:left="-425" w:right="-516"/>
        <w:contextualSpacing/>
        <w:jc w:val="center"/>
      </w:pPr>
      <w:r w:rsidRPr="00FF1218">
        <w:rPr>
          <w:noProof/>
          <w:lang w:val="es-MX" w:eastAsia="es-MX"/>
        </w:rPr>
        <w:drawing>
          <wp:inline distT="0" distB="0" distL="0" distR="0" wp14:anchorId="7B6F782D" wp14:editId="3CD7A61B">
            <wp:extent cx="379095" cy="365760"/>
            <wp:effectExtent l="0" t="0" r="1905" b="0"/>
            <wp:docPr id="50" name="Imagen 50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A1B7987" wp14:editId="2B11E29F">
            <wp:extent cx="365760" cy="365760"/>
            <wp:effectExtent l="0" t="0" r="0" b="0"/>
            <wp:docPr id="51" name="Imagen 51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82FB88A" wp14:editId="09C76A9E">
            <wp:extent cx="365760" cy="365760"/>
            <wp:effectExtent l="0" t="0" r="0" b="0"/>
            <wp:docPr id="52" name="Imagen 52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251D2C4" wp14:editId="580F78DA">
            <wp:extent cx="365760" cy="365760"/>
            <wp:effectExtent l="0" t="0" r="0" b="0"/>
            <wp:docPr id="53" name="Imagen 5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649C2041" wp14:editId="548E4E61">
            <wp:extent cx="2286000" cy="274320"/>
            <wp:effectExtent l="0" t="0" r="0" b="0"/>
            <wp:docPr id="54" name="Imagen 5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CD40" w14:textId="77777777" w:rsidR="00801F92" w:rsidRDefault="00801F92" w:rsidP="00801F92">
      <w:pPr>
        <w:spacing w:line="220" w:lineRule="exact"/>
        <w:rPr>
          <w:b/>
        </w:rPr>
      </w:pPr>
    </w:p>
    <w:p w14:paraId="2FC8D1D0" w14:textId="77777777" w:rsidR="00801F92" w:rsidRPr="0083010F" w:rsidRDefault="00801F92" w:rsidP="00801F92">
      <w:pPr>
        <w:ind w:left="-567" w:right="-518"/>
        <w:contextualSpacing/>
        <w:jc w:val="center"/>
        <w:rPr>
          <w:sz w:val="20"/>
          <w:szCs w:val="20"/>
        </w:rPr>
      </w:pPr>
    </w:p>
    <w:p w14:paraId="4625EFEE" w14:textId="77777777" w:rsidR="00801F92" w:rsidRDefault="00801F92" w:rsidP="00801F92">
      <w:pPr>
        <w:ind w:left="-567"/>
        <w:jc w:val="center"/>
        <w:rPr>
          <w:noProof/>
          <w:lang w:eastAsia="es-MX"/>
        </w:rPr>
        <w:sectPr w:rsidR="00801F92" w:rsidSect="00C814A7">
          <w:headerReference w:type="default" r:id="rId20"/>
          <w:footerReference w:type="default" r:id="rId21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p w14:paraId="38724F5C" w14:textId="77777777" w:rsidR="00801F92" w:rsidRDefault="00801F92" w:rsidP="00801F92">
      <w:pPr>
        <w:pStyle w:val="Profesin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ANEXO</w:t>
      </w:r>
    </w:p>
    <w:p w14:paraId="145B445B" w14:textId="77777777" w:rsidR="00801F92" w:rsidRPr="002A470D" w:rsidRDefault="00801F92" w:rsidP="00801F92">
      <w:pPr>
        <w:pStyle w:val="Profesin"/>
        <w:spacing w:before="24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3439E538" w14:textId="36C57934" w:rsidR="007335B2" w:rsidRDefault="00AA504B" w:rsidP="00801F92">
      <w:pPr>
        <w:autoSpaceDE w:val="0"/>
        <w:autoSpaceDN w:val="0"/>
        <w:adjustRightInd w:val="0"/>
        <w:spacing w:before="360"/>
        <w:jc w:val="both"/>
        <w:rPr>
          <w:color w:val="000000"/>
        </w:rPr>
      </w:pPr>
      <w:r w:rsidRPr="008C57DA">
        <w:rPr>
          <w:color w:val="000000"/>
        </w:rPr>
        <w:t xml:space="preserve">Con el </w:t>
      </w:r>
      <w:r w:rsidR="007A4FB6">
        <w:rPr>
          <w:color w:val="000000"/>
        </w:rPr>
        <w:t>fin</w:t>
      </w:r>
      <w:r w:rsidRPr="008C57DA">
        <w:rPr>
          <w:color w:val="000000"/>
        </w:rPr>
        <w:t xml:space="preserve"> de proporcionar una medición periódica</w:t>
      </w:r>
      <w:r>
        <w:rPr>
          <w:color w:val="000000"/>
        </w:rPr>
        <w:t xml:space="preserve">, amplia, integral y oportuna de </w:t>
      </w:r>
      <w:r w:rsidRPr="008C57DA">
        <w:rPr>
          <w:color w:val="000000"/>
        </w:rPr>
        <w:t>seguridad pública</w:t>
      </w:r>
      <w:r>
        <w:rPr>
          <w:color w:val="000000"/>
        </w:rPr>
        <w:t xml:space="preserve"> en el país</w:t>
      </w:r>
      <w:r w:rsidRPr="008C57DA">
        <w:rPr>
          <w:color w:val="000000"/>
        </w:rPr>
        <w:t xml:space="preserve">, el </w:t>
      </w:r>
      <w:r>
        <w:rPr>
          <w:color w:val="000000"/>
        </w:rPr>
        <w:t xml:space="preserve">Instituto Nacional de Estadística y Geografía </w:t>
      </w:r>
      <w:r w:rsidRPr="008C57DA">
        <w:rPr>
          <w:color w:val="000000"/>
        </w:rPr>
        <w:t xml:space="preserve">diseñó la </w:t>
      </w:r>
      <w:r w:rsidRPr="008C57DA">
        <w:rPr>
          <w:b/>
          <w:bCs/>
          <w:color w:val="000000"/>
        </w:rPr>
        <w:t>Encuesta Nacional de Seguridad Pública Urbana</w:t>
      </w:r>
      <w:r>
        <w:rPr>
          <w:color w:val="000000"/>
        </w:rPr>
        <w:t xml:space="preserve"> </w:t>
      </w:r>
      <w:r w:rsidRPr="008C57DA">
        <w:rPr>
          <w:b/>
          <w:bCs/>
          <w:color w:val="000000"/>
        </w:rPr>
        <w:t>(ENSU)</w:t>
      </w:r>
      <w:r w:rsidRPr="007668C9">
        <w:rPr>
          <w:bCs/>
          <w:color w:val="000000"/>
        </w:rPr>
        <w:t>,</w:t>
      </w:r>
      <w:r w:rsidRPr="007A4FB6">
        <w:rPr>
          <w:bCs/>
          <w:color w:val="000000"/>
        </w:rPr>
        <w:t xml:space="preserve"> </w:t>
      </w:r>
      <w:r w:rsidR="00C9389C">
        <w:rPr>
          <w:color w:val="000000"/>
        </w:rPr>
        <w:t xml:space="preserve">que se </w:t>
      </w:r>
      <w:r w:rsidR="00344747">
        <w:rPr>
          <w:color w:val="000000"/>
        </w:rPr>
        <w:t xml:space="preserve">publica </w:t>
      </w:r>
      <w:r w:rsidRPr="008C57DA">
        <w:rPr>
          <w:color w:val="000000"/>
        </w:rPr>
        <w:t>con periodicidad trimestral</w:t>
      </w:r>
      <w:r w:rsidR="00450909">
        <w:rPr>
          <w:color w:val="000000"/>
        </w:rPr>
        <w:t>. E</w:t>
      </w:r>
      <w:r w:rsidRPr="008C57DA">
        <w:rPr>
          <w:color w:val="000000"/>
        </w:rPr>
        <w:t xml:space="preserve">n </w:t>
      </w:r>
      <w:r w:rsidR="00450909">
        <w:rPr>
          <w:color w:val="000000"/>
        </w:rPr>
        <w:t xml:space="preserve">ésta </w:t>
      </w:r>
      <w:r>
        <w:rPr>
          <w:color w:val="000000"/>
        </w:rPr>
        <w:t xml:space="preserve">se incluyen los siguientes </w:t>
      </w:r>
      <w:r w:rsidRPr="008C57DA">
        <w:rPr>
          <w:color w:val="000000"/>
        </w:rPr>
        <w:t>conceptos relevantes</w:t>
      </w:r>
      <w:r w:rsidR="009C4E12">
        <w:rPr>
          <w:rStyle w:val="Refdenotaalpie"/>
          <w:color w:val="000000"/>
        </w:rPr>
        <w:footnoteReference w:id="2"/>
      </w:r>
      <w:r w:rsidR="007335B2">
        <w:rPr>
          <w:color w:val="000000"/>
        </w:rPr>
        <w:t>:</w:t>
      </w:r>
    </w:p>
    <w:p w14:paraId="32D7A793" w14:textId="011F88A2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before="240" w:line="340" w:lineRule="exact"/>
        <w:ind w:left="714" w:hanging="357"/>
        <w:contextualSpacing/>
        <w:jc w:val="both"/>
        <w:rPr>
          <w:color w:val="000000"/>
        </w:rPr>
      </w:pPr>
      <w:r w:rsidRPr="00D51B5F">
        <w:rPr>
          <w:color w:val="000000"/>
        </w:rPr>
        <w:t>Sensación de inseguridad por temor al delito (percepción)</w:t>
      </w:r>
      <w:r w:rsidR="007A398F" w:rsidRPr="00D51B5F">
        <w:rPr>
          <w:color w:val="000000"/>
        </w:rPr>
        <w:t>,</w:t>
      </w:r>
    </w:p>
    <w:p w14:paraId="16447012" w14:textId="1A2B9E14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ind w:left="714" w:hanging="357"/>
        <w:contextualSpacing/>
        <w:jc w:val="both"/>
        <w:rPr>
          <w:color w:val="000000"/>
        </w:rPr>
      </w:pPr>
      <w:r w:rsidRPr="00D51B5F">
        <w:rPr>
          <w:color w:val="000000"/>
        </w:rPr>
        <w:t>Expectativa social sobre la tendencia del delito (percepción)</w:t>
      </w:r>
      <w:r w:rsidR="007A398F" w:rsidRPr="00D51B5F">
        <w:rPr>
          <w:color w:val="000000"/>
        </w:rPr>
        <w:t>,</w:t>
      </w:r>
    </w:p>
    <w:p w14:paraId="5A8C28D2" w14:textId="0F1E9683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>Atestiguación de conductas delictivas o antisociales (conocimiento)</w:t>
      </w:r>
      <w:r w:rsidR="007A398F" w:rsidRPr="00D51B5F">
        <w:rPr>
          <w:color w:val="000000"/>
        </w:rPr>
        <w:t>,</w:t>
      </w:r>
    </w:p>
    <w:p w14:paraId="4E06E8AA" w14:textId="166A5DC7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>Cambio de rutinas por temor a ser víctima del delito (experiencias)</w:t>
      </w:r>
      <w:r w:rsidR="007A398F" w:rsidRPr="00D51B5F">
        <w:rPr>
          <w:color w:val="000000"/>
        </w:rPr>
        <w:t>,</w:t>
      </w:r>
    </w:p>
    <w:p w14:paraId="7A189C91" w14:textId="7E52FB94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 xml:space="preserve">Percepción del desempeño de las policías </w:t>
      </w:r>
      <w:r w:rsidR="00DB2EF5" w:rsidRPr="00D51B5F">
        <w:rPr>
          <w:color w:val="000000"/>
        </w:rPr>
        <w:t>p</w:t>
      </w:r>
      <w:r w:rsidRPr="00D51B5F">
        <w:rPr>
          <w:color w:val="000000"/>
        </w:rPr>
        <w:t xml:space="preserve">reventiva </w:t>
      </w:r>
      <w:r w:rsidR="00DB2EF5" w:rsidRPr="00D51B5F">
        <w:rPr>
          <w:color w:val="000000"/>
        </w:rPr>
        <w:t>m</w:t>
      </w:r>
      <w:r w:rsidRPr="00D51B5F">
        <w:rPr>
          <w:color w:val="000000"/>
        </w:rPr>
        <w:t xml:space="preserve">unicipal, </w:t>
      </w:r>
      <w:r w:rsidR="00DB2EF5" w:rsidRPr="00D51B5F">
        <w:rPr>
          <w:color w:val="000000"/>
        </w:rPr>
        <w:t>e</w:t>
      </w:r>
      <w:r w:rsidRPr="00D51B5F">
        <w:rPr>
          <w:color w:val="000000"/>
        </w:rPr>
        <w:t>statal, Guardia Nacional, Ejército y Marina como autoridades de seguridad pública (percepción)</w:t>
      </w:r>
      <w:r w:rsidR="007A398F" w:rsidRPr="00D51B5F">
        <w:rPr>
          <w:color w:val="000000"/>
        </w:rPr>
        <w:t>,</w:t>
      </w:r>
    </w:p>
    <w:p w14:paraId="1D3B6C93" w14:textId="5D5E9FAA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>Conflictos y conductas antisociales (experiencias)</w:t>
      </w:r>
      <w:r w:rsidR="00DB2EF5" w:rsidRPr="00D51B5F">
        <w:rPr>
          <w:color w:val="000000"/>
        </w:rPr>
        <w:t>, y</w:t>
      </w:r>
    </w:p>
    <w:p w14:paraId="0BC10DA9" w14:textId="2E394DDC" w:rsidR="00AA504B" w:rsidRPr="00D51B5F" w:rsidRDefault="00AA504B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>Desempeño gubernamental (percepción)</w:t>
      </w:r>
      <w:r w:rsidR="00DB2EF5" w:rsidRPr="00D51B5F">
        <w:rPr>
          <w:color w:val="000000"/>
        </w:rPr>
        <w:t>.</w:t>
      </w:r>
    </w:p>
    <w:p w14:paraId="0835C019" w14:textId="510B792D" w:rsidR="00AA504B" w:rsidRPr="00D51B5F" w:rsidRDefault="00AA504B" w:rsidP="002367B9">
      <w:pPr>
        <w:autoSpaceDE w:val="0"/>
        <w:autoSpaceDN w:val="0"/>
        <w:adjustRightInd w:val="0"/>
        <w:spacing w:line="340" w:lineRule="exact"/>
        <w:ind w:left="360"/>
        <w:contextualSpacing/>
        <w:jc w:val="both"/>
        <w:rPr>
          <w:b/>
          <w:bCs/>
        </w:rPr>
      </w:pPr>
      <w:r w:rsidRPr="00D51B5F">
        <w:rPr>
          <w:b/>
          <w:bCs/>
        </w:rPr>
        <w:t>Trimestre I (</w:t>
      </w:r>
      <w:r w:rsidR="002A2C07" w:rsidRPr="00D51B5F">
        <w:rPr>
          <w:b/>
        </w:rPr>
        <w:t>marzo</w:t>
      </w:r>
      <w:r w:rsidRPr="00D51B5F">
        <w:rPr>
          <w:b/>
          <w:bCs/>
        </w:rPr>
        <w:t xml:space="preserve"> </w:t>
      </w:r>
      <w:r w:rsidR="007A4FB6" w:rsidRPr="00D51B5F">
        <w:rPr>
          <w:b/>
          <w:bCs/>
        </w:rPr>
        <w:t xml:space="preserve">de </w:t>
      </w:r>
      <w:r w:rsidRPr="00D51B5F">
        <w:rPr>
          <w:b/>
          <w:bCs/>
        </w:rPr>
        <w:t>202</w:t>
      </w:r>
      <w:r w:rsidR="002A2C07" w:rsidRPr="00D51B5F">
        <w:rPr>
          <w:b/>
          <w:bCs/>
        </w:rPr>
        <w:t>2</w:t>
      </w:r>
      <w:r w:rsidRPr="00D51B5F">
        <w:rPr>
          <w:b/>
          <w:bCs/>
        </w:rPr>
        <w:t>)</w:t>
      </w:r>
    </w:p>
    <w:p w14:paraId="6CE41865" w14:textId="35FA6736" w:rsidR="00304F92" w:rsidRPr="00D51B5F" w:rsidRDefault="002A2C07" w:rsidP="00EE40E2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line="340" w:lineRule="exact"/>
        <w:contextualSpacing/>
        <w:jc w:val="both"/>
        <w:rPr>
          <w:color w:val="000000"/>
        </w:rPr>
      </w:pPr>
      <w:r w:rsidRPr="00D51B5F">
        <w:rPr>
          <w:color w:val="000000"/>
        </w:rPr>
        <w:t>Fuentes de consulta de información sobre seguridad pública (experiencias).</w:t>
      </w:r>
    </w:p>
    <w:p w14:paraId="14B8FEE6" w14:textId="3562A71F" w:rsidR="00886E1E" w:rsidRPr="00294051" w:rsidRDefault="00886E1E" w:rsidP="00DA44B4">
      <w:pPr>
        <w:autoSpaceDE w:val="0"/>
        <w:autoSpaceDN w:val="0"/>
        <w:spacing w:before="240"/>
        <w:jc w:val="both"/>
        <w:rPr>
          <w:color w:val="000000" w:themeColor="text1"/>
        </w:rPr>
      </w:pPr>
      <w:r w:rsidRPr="00294051">
        <w:rPr>
          <w:color w:val="000000" w:themeColor="text1"/>
        </w:rPr>
        <w:t>A partir del segundo trimestre de 2018 se agregó el concepto de hogares víctima o con algún integrante víctima</w:t>
      </w:r>
      <w:r w:rsidR="007E450C" w:rsidRPr="00294051">
        <w:rPr>
          <w:color w:val="000000" w:themeColor="text1"/>
        </w:rPr>
        <w:t xml:space="preserve"> </w:t>
      </w:r>
      <w:r w:rsidRPr="00294051">
        <w:rPr>
          <w:color w:val="000000" w:themeColor="text1"/>
        </w:rPr>
        <w:t>de robo y/o extorsión</w:t>
      </w:r>
      <w:r w:rsidR="00D02981">
        <w:rPr>
          <w:color w:val="000000" w:themeColor="text1"/>
        </w:rPr>
        <w:t>,</w:t>
      </w:r>
      <w:r w:rsidRPr="00294051">
        <w:rPr>
          <w:color w:val="000000" w:themeColor="text1"/>
        </w:rPr>
        <w:t xml:space="preserve"> que se</w:t>
      </w:r>
      <w:r w:rsidR="007E450C" w:rsidRPr="00294051">
        <w:rPr>
          <w:color w:val="000000" w:themeColor="text1"/>
        </w:rPr>
        <w:t xml:space="preserve"> </w:t>
      </w:r>
      <w:r w:rsidRPr="00294051">
        <w:rPr>
          <w:color w:val="000000" w:themeColor="text1"/>
        </w:rPr>
        <w:t>ha venido</w:t>
      </w:r>
      <w:r w:rsidR="007E450C" w:rsidRPr="00294051">
        <w:rPr>
          <w:color w:val="000000" w:themeColor="text1"/>
        </w:rPr>
        <w:t xml:space="preserve"> </w:t>
      </w:r>
      <w:r w:rsidRPr="00294051">
        <w:rPr>
          <w:color w:val="000000" w:themeColor="text1"/>
        </w:rPr>
        <w:t>alternando con el tema de fuentes de consulta sobre la seguridad</w:t>
      </w:r>
      <w:r w:rsidR="00877B15" w:rsidRPr="00294051">
        <w:rPr>
          <w:color w:val="000000" w:themeColor="text1"/>
        </w:rPr>
        <w:t xml:space="preserve"> pública en la aplicación de la </w:t>
      </w:r>
      <w:r w:rsidRPr="00294051">
        <w:rPr>
          <w:color w:val="000000" w:themeColor="text1"/>
        </w:rPr>
        <w:t>encuesta. En esta ocasión, se tienen los resultados correspondientes al segundo de estos temas.</w:t>
      </w:r>
    </w:p>
    <w:p w14:paraId="18176C17" w14:textId="21C43E78" w:rsidR="00886E1E" w:rsidRPr="00294051" w:rsidRDefault="00886E1E" w:rsidP="00DA44B4">
      <w:pPr>
        <w:autoSpaceDE w:val="0"/>
        <w:autoSpaceDN w:val="0"/>
        <w:spacing w:before="240"/>
        <w:jc w:val="both"/>
        <w:rPr>
          <w:color w:val="000000" w:themeColor="text1"/>
        </w:rPr>
      </w:pPr>
      <w:r w:rsidRPr="00294051">
        <w:rPr>
          <w:color w:val="000000" w:themeColor="text1"/>
        </w:rPr>
        <w:t>A</w:t>
      </w:r>
      <w:r w:rsidR="00877B15" w:rsidRPr="00294051">
        <w:rPr>
          <w:color w:val="000000" w:themeColor="text1"/>
        </w:rPr>
        <w:t xml:space="preserve"> partir de </w:t>
      </w:r>
      <w:r w:rsidRPr="00294051">
        <w:rPr>
          <w:color w:val="000000" w:themeColor="text1"/>
        </w:rPr>
        <w:t>marzo de 2021, en el apartado de problemáticas urbanas, se estima el porcentaje de personas que identificó hospitales saturados o con servicio deficiente como uno de los problemas más importantes en las ciudades.</w:t>
      </w:r>
    </w:p>
    <w:p w14:paraId="51CB232C" w14:textId="20CD676F" w:rsidR="00AA504B" w:rsidRPr="00294051" w:rsidRDefault="00AA504B" w:rsidP="00877B15">
      <w:pPr>
        <w:autoSpaceDE w:val="0"/>
        <w:autoSpaceDN w:val="0"/>
        <w:spacing w:before="240"/>
        <w:jc w:val="both"/>
        <w:rPr>
          <w:color w:val="000000"/>
        </w:rPr>
      </w:pPr>
      <w:r w:rsidRPr="00294051">
        <w:rPr>
          <w:color w:val="000000"/>
        </w:rPr>
        <w:t xml:space="preserve">Los levantamientos de la encuesta se han realizado desde 2013, siendo los primeros en septiembre y diciembre de ese año. Debido a la contingencia sanitaria causada por el virus SARS-CoV2 no fue posible llevar a cabo el levantamiento correspondiente al segundo trimestre de 2020, que abarcaría el periodo de abril-junio. </w:t>
      </w:r>
    </w:p>
    <w:p w14:paraId="243DC278" w14:textId="1983E495" w:rsidR="00AA504B" w:rsidRPr="00294051" w:rsidRDefault="00EE40E2" w:rsidP="00B62158">
      <w:pPr>
        <w:autoSpaceDE w:val="0"/>
        <w:autoSpaceDN w:val="0"/>
        <w:spacing w:before="240"/>
        <w:jc w:val="both"/>
        <w:rPr>
          <w:color w:val="000000"/>
        </w:rPr>
      </w:pPr>
      <w:r w:rsidRPr="00294051">
        <w:rPr>
          <w:color w:val="000000"/>
        </w:rPr>
        <w:t xml:space="preserve">Los resultados obtenidos del </w:t>
      </w:r>
      <w:r w:rsidR="00886E1E" w:rsidRPr="00294051">
        <w:rPr>
          <w:color w:val="000000"/>
        </w:rPr>
        <w:t xml:space="preserve">primer </w:t>
      </w:r>
      <w:r w:rsidRPr="00294051">
        <w:rPr>
          <w:color w:val="000000"/>
        </w:rPr>
        <w:t xml:space="preserve">levantamiento </w:t>
      </w:r>
      <w:r w:rsidR="00886E1E" w:rsidRPr="00294051">
        <w:rPr>
          <w:color w:val="000000"/>
        </w:rPr>
        <w:t xml:space="preserve">de 2022 </w:t>
      </w:r>
      <w:r w:rsidRPr="00294051">
        <w:rPr>
          <w:color w:val="000000"/>
        </w:rPr>
        <w:t>se presentan a continuación.</w:t>
      </w:r>
    </w:p>
    <w:p w14:paraId="36A92E5C" w14:textId="52B4B1DC" w:rsidR="00FA44D9" w:rsidRPr="008C57DA" w:rsidRDefault="00FA44D9" w:rsidP="00450909">
      <w:pPr>
        <w:keepNext/>
        <w:keepLines/>
        <w:autoSpaceDE w:val="0"/>
        <w:autoSpaceDN w:val="0"/>
        <w:adjustRightInd w:val="0"/>
        <w:spacing w:before="240"/>
        <w:rPr>
          <w:b/>
          <w:bCs/>
          <w:color w:val="000000"/>
        </w:rPr>
      </w:pPr>
      <w:r w:rsidRPr="008C57DA">
        <w:rPr>
          <w:b/>
          <w:bCs/>
          <w:color w:val="000000"/>
        </w:rPr>
        <w:lastRenderedPageBreak/>
        <w:t>Sensación de inseguridad por temor al delito (percepción)</w:t>
      </w:r>
    </w:p>
    <w:p w14:paraId="38FB1283" w14:textId="3C3B89DF" w:rsidR="00AA504B" w:rsidRDefault="00AA504B" w:rsidP="00D51B5F">
      <w:pPr>
        <w:keepNext/>
        <w:keepLines/>
        <w:widowControl w:val="0"/>
        <w:autoSpaceDE w:val="0"/>
        <w:autoSpaceDN w:val="0"/>
        <w:adjustRightInd w:val="0"/>
        <w:spacing w:before="240"/>
        <w:jc w:val="both"/>
        <w:rPr>
          <w:color w:val="000000"/>
        </w:rPr>
      </w:pPr>
      <w:r>
        <w:rPr>
          <w:color w:val="000000"/>
        </w:rPr>
        <w:t>En</w:t>
      </w:r>
      <w:r w:rsidRPr="0078738D">
        <w:rPr>
          <w:color w:val="000000"/>
        </w:rPr>
        <w:t xml:space="preserve"> </w:t>
      </w:r>
      <w:r w:rsidR="00FC5BD1">
        <w:rPr>
          <w:color w:val="000000"/>
        </w:rPr>
        <w:t>marzo</w:t>
      </w:r>
      <w:r>
        <w:rPr>
          <w:color w:val="000000"/>
        </w:rPr>
        <w:t xml:space="preserve"> de 202</w:t>
      </w:r>
      <w:r w:rsidR="00FC5BD1">
        <w:rPr>
          <w:color w:val="000000"/>
        </w:rPr>
        <w:t>2</w:t>
      </w:r>
      <w:r w:rsidRPr="0078738D">
        <w:rPr>
          <w:color w:val="000000"/>
        </w:rPr>
        <w:t xml:space="preserve">, </w:t>
      </w:r>
      <w:r>
        <w:rPr>
          <w:color w:val="000000"/>
        </w:rPr>
        <w:t>6</w:t>
      </w:r>
      <w:r w:rsidR="00071352">
        <w:rPr>
          <w:color w:val="000000"/>
        </w:rPr>
        <w:t>6.2</w:t>
      </w:r>
      <w:r>
        <w:rPr>
          <w:color w:val="000000"/>
        </w:rPr>
        <w:t xml:space="preserve">% </w:t>
      </w:r>
      <w:r w:rsidRPr="0078738D">
        <w:rPr>
          <w:color w:val="000000"/>
        </w:rPr>
        <w:t>de la población de 18 años y más residente en</w:t>
      </w:r>
      <w:r w:rsidRPr="007B3DF8">
        <w:rPr>
          <w:color w:val="000000"/>
        </w:rPr>
        <w:t xml:space="preserve"> </w:t>
      </w:r>
      <w:r>
        <w:rPr>
          <w:color w:val="000000"/>
        </w:rPr>
        <w:t>75</w:t>
      </w:r>
      <w:r w:rsidRPr="007B3DF8">
        <w:rPr>
          <w:color w:val="000000"/>
        </w:rPr>
        <w:t xml:space="preserve"> ciudades</w:t>
      </w:r>
      <w:r w:rsidR="007335B2">
        <w:rPr>
          <w:color w:val="000000"/>
        </w:rPr>
        <w:t xml:space="preserve"> </w:t>
      </w:r>
      <w:r w:rsidR="00B8409E">
        <w:rPr>
          <w:color w:val="000000"/>
        </w:rPr>
        <w:t>d</w:t>
      </w:r>
      <w:r w:rsidRPr="007B3DF8">
        <w:rPr>
          <w:color w:val="000000"/>
        </w:rPr>
        <w:t>e interés</w:t>
      </w:r>
      <w:r w:rsidR="007335B2">
        <w:rPr>
          <w:rStyle w:val="Refdenotaalpie"/>
          <w:color w:val="000000"/>
        </w:rPr>
        <w:footnoteReference w:id="3"/>
      </w:r>
      <w:r w:rsidR="007335B2">
        <w:rPr>
          <w:color w:val="000000"/>
        </w:rPr>
        <w:t xml:space="preserve"> </w:t>
      </w:r>
      <w:r w:rsidRPr="0078738D">
        <w:rPr>
          <w:color w:val="000000"/>
        </w:rPr>
        <w:t>consideró que</w:t>
      </w:r>
      <w:r>
        <w:rPr>
          <w:color w:val="000000"/>
        </w:rPr>
        <w:t xml:space="preserve"> es inseguro vivir en su ciudad. </w:t>
      </w:r>
      <w:r w:rsidR="00944E81">
        <w:t xml:space="preserve">Lo anterior </w:t>
      </w:r>
      <w:r w:rsidR="00C44AC1">
        <w:t xml:space="preserve">no </w:t>
      </w:r>
      <w:r w:rsidRPr="00AF561E">
        <w:t>represent</w:t>
      </w:r>
      <w:r w:rsidR="00D40B41">
        <w:t xml:space="preserve">ó </w:t>
      </w:r>
      <w:r w:rsidRPr="00AF561E">
        <w:t xml:space="preserve">un cambio </w:t>
      </w:r>
      <w:r>
        <w:t xml:space="preserve">estadísticamente </w:t>
      </w:r>
      <w:r w:rsidRPr="00AF561E">
        <w:t>significativo</w:t>
      </w:r>
      <w:r>
        <w:rPr>
          <w:rStyle w:val="Refdenotaalpie"/>
        </w:rPr>
        <w:footnoteReference w:id="4"/>
      </w:r>
      <w:r>
        <w:t xml:space="preserve"> </w:t>
      </w:r>
      <w:r w:rsidR="003027D8">
        <w:t>a nivel nacional</w:t>
      </w:r>
      <w:r w:rsidR="003027D8" w:rsidRPr="00AF561E">
        <w:t xml:space="preserve"> </w:t>
      </w:r>
      <w:r w:rsidRPr="00AF561E">
        <w:t xml:space="preserve">respecto </w:t>
      </w:r>
      <w:r w:rsidR="007335B2">
        <w:t xml:space="preserve">a </w:t>
      </w:r>
      <w:r w:rsidR="00FC5BD1">
        <w:t>marzo</w:t>
      </w:r>
      <w:r>
        <w:t xml:space="preserve"> y </w:t>
      </w:r>
      <w:r w:rsidR="007335B2">
        <w:t xml:space="preserve">a </w:t>
      </w:r>
      <w:r w:rsidR="00FC5BD1">
        <w:t>diciembre</w:t>
      </w:r>
      <w:r>
        <w:t xml:space="preserve"> de 2021, en donde esta percepción fue de 6</w:t>
      </w:r>
      <w:r w:rsidR="00C44AC1">
        <w:t>6.4</w:t>
      </w:r>
      <w:r>
        <w:t xml:space="preserve"> y 6</w:t>
      </w:r>
      <w:r w:rsidR="00C44AC1">
        <w:t>5.8</w:t>
      </w:r>
      <w:r>
        <w:t xml:space="preserve">%, </w:t>
      </w:r>
      <w:r w:rsidR="007335B2">
        <w:t>en ese orden</w:t>
      </w:r>
      <w:r w:rsidRPr="007B3DF8">
        <w:rPr>
          <w:color w:val="000000"/>
        </w:rPr>
        <w:t>.</w:t>
      </w:r>
      <w:r>
        <w:rPr>
          <w:color w:val="000000"/>
        </w:rPr>
        <w:t xml:space="preserve"> </w:t>
      </w:r>
      <w:r w:rsidR="00D40B41">
        <w:rPr>
          <w:color w:val="000000"/>
        </w:rPr>
        <w:t>Sin embargo,</w:t>
      </w:r>
      <w:r>
        <w:rPr>
          <w:color w:val="000000"/>
        </w:rPr>
        <w:t xml:space="preserve"> 1</w:t>
      </w:r>
      <w:r w:rsidR="00E33898">
        <w:rPr>
          <w:color w:val="000000"/>
        </w:rPr>
        <w:t>6</w:t>
      </w:r>
      <w:r>
        <w:rPr>
          <w:color w:val="000000"/>
        </w:rPr>
        <w:t xml:space="preserve"> ciudades </w:t>
      </w:r>
      <w:r w:rsidR="00A92D37">
        <w:rPr>
          <w:color w:val="000000"/>
        </w:rPr>
        <w:t xml:space="preserve">y demarcaciones </w:t>
      </w:r>
      <w:r>
        <w:rPr>
          <w:color w:val="000000"/>
        </w:rPr>
        <w:t xml:space="preserve">tuvieron cambios estadísticamente significativos </w:t>
      </w:r>
      <w:r w:rsidR="007335B2">
        <w:rPr>
          <w:color w:val="000000"/>
        </w:rPr>
        <w:t xml:space="preserve">frente </w:t>
      </w:r>
      <w:r>
        <w:rPr>
          <w:color w:val="000000"/>
        </w:rPr>
        <w:t xml:space="preserve">a </w:t>
      </w:r>
      <w:r w:rsidR="00FC5BD1">
        <w:rPr>
          <w:color w:val="000000"/>
        </w:rPr>
        <w:t>diciembre</w:t>
      </w:r>
      <w:r>
        <w:rPr>
          <w:color w:val="000000"/>
        </w:rPr>
        <w:t xml:space="preserve"> de 2021, </w:t>
      </w:r>
      <w:r w:rsidR="00F930F1">
        <w:rPr>
          <w:color w:val="000000"/>
        </w:rPr>
        <w:t>7</w:t>
      </w:r>
      <w:r>
        <w:rPr>
          <w:color w:val="000000"/>
        </w:rPr>
        <w:t xml:space="preserve"> tuvieron reducciones y </w:t>
      </w:r>
      <w:r w:rsidR="00F930F1">
        <w:rPr>
          <w:color w:val="000000"/>
        </w:rPr>
        <w:t>9</w:t>
      </w:r>
      <w:r>
        <w:rPr>
          <w:color w:val="000000"/>
        </w:rPr>
        <w:t xml:space="preserve"> incrementaron. </w:t>
      </w:r>
      <w:r w:rsidR="00D51B5F" w:rsidRPr="00D51B5F">
        <w:rPr>
          <w:color w:val="000000"/>
        </w:rPr>
        <w:t>Es importante señalar que las comparaciones contra marzo de 2021 deben ser tomadas con reserva, dado que se aumentó el número de ciudades contempladas en la muestra a partir de septiembre de 2021. Este incremento en la muestra permitió obtener estimaciones más representativas al incluir una mayor cobertura de las principales concentraciones urbanas del país.</w:t>
      </w:r>
    </w:p>
    <w:p w14:paraId="56BD93A7" w14:textId="2E4C5C75" w:rsidR="007A249C" w:rsidRPr="00DC3F6F" w:rsidRDefault="00433299" w:rsidP="00D51B5F">
      <w:pPr>
        <w:widowControl w:val="0"/>
        <w:autoSpaceDE w:val="0"/>
        <w:autoSpaceDN w:val="0"/>
        <w:adjustRightInd w:val="0"/>
        <w:spacing w:before="240"/>
        <w:jc w:val="both"/>
        <w:rPr>
          <w:color w:val="000000"/>
        </w:rPr>
      </w:pPr>
      <w:r w:rsidRPr="00DC3F6F">
        <w:rPr>
          <w:bCs/>
        </w:rPr>
        <w:t xml:space="preserve">En </w:t>
      </w:r>
      <w:r w:rsidR="00FC5BD1">
        <w:rPr>
          <w:bCs/>
        </w:rPr>
        <w:t>marzo</w:t>
      </w:r>
      <w:r w:rsidRPr="00DC3F6F">
        <w:rPr>
          <w:bCs/>
        </w:rPr>
        <w:t xml:space="preserve"> de 202</w:t>
      </w:r>
      <w:r w:rsidR="00FC5BD1">
        <w:rPr>
          <w:bCs/>
        </w:rPr>
        <w:t>2</w:t>
      </w:r>
      <w:r w:rsidR="00BE6870" w:rsidRPr="00DC3F6F">
        <w:rPr>
          <w:bCs/>
        </w:rPr>
        <w:t>, 7</w:t>
      </w:r>
      <w:r w:rsidR="00F930F1">
        <w:rPr>
          <w:bCs/>
        </w:rPr>
        <w:t>1.1</w:t>
      </w:r>
      <w:r w:rsidR="00BE6870" w:rsidRPr="00DC3F6F">
        <w:rPr>
          <w:bCs/>
        </w:rPr>
        <w:t xml:space="preserve">% de las mujeres </w:t>
      </w:r>
      <w:r w:rsidR="00D86645">
        <w:rPr>
          <w:bCs/>
        </w:rPr>
        <w:t xml:space="preserve">y </w:t>
      </w:r>
      <w:r w:rsidR="00D86645" w:rsidRPr="00DC3F6F">
        <w:rPr>
          <w:bCs/>
        </w:rPr>
        <w:t>60.</w:t>
      </w:r>
      <w:r w:rsidR="00D86645">
        <w:rPr>
          <w:bCs/>
        </w:rPr>
        <w:t>4</w:t>
      </w:r>
      <w:r w:rsidR="00D86645" w:rsidRPr="00DC3F6F">
        <w:rPr>
          <w:bCs/>
        </w:rPr>
        <w:t xml:space="preserve">% de los hombres </w:t>
      </w:r>
      <w:r w:rsidR="00BE6870" w:rsidRPr="00DC3F6F">
        <w:rPr>
          <w:bCs/>
        </w:rPr>
        <w:t>tuv</w:t>
      </w:r>
      <w:r w:rsidR="008B2482">
        <w:rPr>
          <w:bCs/>
        </w:rPr>
        <w:t>ier</w:t>
      </w:r>
      <w:r w:rsidR="00BE6870" w:rsidRPr="00DC3F6F">
        <w:rPr>
          <w:bCs/>
        </w:rPr>
        <w:t>o</w:t>
      </w:r>
      <w:r w:rsidR="008B2482">
        <w:rPr>
          <w:bCs/>
        </w:rPr>
        <w:t>n</w:t>
      </w:r>
      <w:r w:rsidR="00BE6870" w:rsidRPr="00DC3F6F">
        <w:rPr>
          <w:bCs/>
        </w:rPr>
        <w:t xml:space="preserve"> una percepción de inseguridad.</w:t>
      </w:r>
    </w:p>
    <w:p w14:paraId="1154B0EF" w14:textId="569EBDB7" w:rsidR="0015112F" w:rsidRPr="004C0DE4" w:rsidRDefault="0015112F" w:rsidP="00D51B5F">
      <w:pPr>
        <w:autoSpaceDE w:val="0"/>
        <w:autoSpaceDN w:val="0"/>
        <w:adjustRightInd w:val="0"/>
        <w:spacing w:before="240"/>
        <w:jc w:val="center"/>
        <w:rPr>
          <w:color w:val="000000"/>
          <w:sz w:val="20"/>
        </w:rPr>
      </w:pPr>
      <w:r w:rsidRPr="004C0DE4">
        <w:rPr>
          <w:color w:val="000000"/>
          <w:sz w:val="20"/>
        </w:rPr>
        <w:t>Gráfica 1</w:t>
      </w:r>
    </w:p>
    <w:p w14:paraId="20A5611D" w14:textId="1DBB9D39" w:rsidR="00FA44D9" w:rsidRPr="00CC54A7" w:rsidRDefault="00CC54A7" w:rsidP="0015112F">
      <w:pPr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22"/>
        </w:rPr>
      </w:pPr>
      <w:r w:rsidRPr="00CC54A7">
        <w:rPr>
          <w:b/>
          <w:bCs/>
          <w:smallCaps/>
          <w:color w:val="000000"/>
          <w:sz w:val="22"/>
          <w:szCs w:val="22"/>
        </w:rPr>
        <w:t xml:space="preserve">Percepción social sobre inseguridad pública </w:t>
      </w:r>
      <w:r>
        <w:rPr>
          <w:b/>
          <w:bCs/>
          <w:smallCaps/>
          <w:color w:val="000000"/>
          <w:sz w:val="22"/>
          <w:szCs w:val="22"/>
        </w:rPr>
        <w:br/>
      </w:r>
      <w:r w:rsidRPr="00CC54A7">
        <w:rPr>
          <w:b/>
          <w:bCs/>
          <w:smallCaps/>
          <w:color w:val="000000"/>
          <w:sz w:val="22"/>
          <w:szCs w:val="22"/>
        </w:rPr>
        <w:t>a nivel nacional</w:t>
      </w:r>
      <w:r>
        <w:rPr>
          <w:b/>
          <w:bCs/>
          <w:smallCaps/>
          <w:color w:val="000000"/>
          <w:sz w:val="22"/>
          <w:szCs w:val="22"/>
        </w:rPr>
        <w:t xml:space="preserve"> según sexo</w:t>
      </w:r>
      <w:r w:rsidRPr="00CC54A7">
        <w:rPr>
          <w:b/>
          <w:bCs/>
          <w:smallCaps/>
          <w:color w:val="000000"/>
          <w:sz w:val="22"/>
          <w:szCs w:val="22"/>
        </w:rPr>
        <w:t xml:space="preserve"> </w:t>
      </w:r>
    </w:p>
    <w:p w14:paraId="038B4737" w14:textId="64E22EF1" w:rsidR="00FA44D9" w:rsidRDefault="00FA44D9" w:rsidP="0015112F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1137CCDE" w14:textId="1C0EC4C9" w:rsidR="00FA44D9" w:rsidRDefault="0023006A" w:rsidP="0015112F">
      <w:pPr>
        <w:jc w:val="center"/>
        <w:rPr>
          <w:sz w:val="18"/>
          <w:szCs w:val="16"/>
          <w:lang w:val="es-ES"/>
        </w:rPr>
      </w:pPr>
      <w:r w:rsidRPr="002300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26CD6" wp14:editId="7022BA6B">
                <wp:simplePos x="0" y="0"/>
                <wp:positionH relativeFrom="column">
                  <wp:posOffset>5180124</wp:posOffset>
                </wp:positionH>
                <wp:positionV relativeFrom="paragraph">
                  <wp:posOffset>2219325</wp:posOffset>
                </wp:positionV>
                <wp:extent cx="185435" cy="95860"/>
                <wp:effectExtent l="0" t="0" r="8890" b="1905"/>
                <wp:wrapNone/>
                <wp:docPr id="23" name="Cuadro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35" cy="95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B0A2C35" w14:textId="7F567C59" w:rsidR="003B0E72" w:rsidRDefault="003B0E72" w:rsidP="0023006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2022 </w:t>
                            </w:r>
                          </w:p>
                        </w:txbxContent>
                      </wps:txbx>
                      <wps:bodyPr vertOverflow="clip" horzOverflow="clip" wrap="none" lIns="18000" tIns="0" rIns="18000" bIns="1800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6CD6" id="_x0000_s1029" type="#_x0000_t202" style="position:absolute;left:0;text-align:left;margin-left:407.9pt;margin-top:174.75pt;width:14.6pt;height:7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" fillcolor="white [3212]" stroked="f">
                <v:textbox style="mso-fit-shape-to-text:t" inset=".5mm,0,.5mm,.5mm">
                  <w:txbxContent>
                    <w:p w14:paraId="5B0A2C35" w14:textId="7F567C59" w:rsidR="003B0E72" w:rsidRDefault="003B0E72" w:rsidP="0023006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3"/>
                          <w:szCs w:val="13"/>
                        </w:rPr>
                        <w:t xml:space="preserve">2022 </w:t>
                      </w:r>
                    </w:p>
                  </w:txbxContent>
                </v:textbox>
              </v:shape>
            </w:pict>
          </mc:Fallback>
        </mc:AlternateContent>
      </w:r>
      <w:r w:rsidR="00CA3FAB" w:rsidRPr="00CA3FAB">
        <w:rPr>
          <w:noProof/>
        </w:rPr>
        <w:t xml:space="preserve"> </w:t>
      </w:r>
      <w:r w:rsidR="00CA3FAB">
        <w:rPr>
          <w:noProof/>
        </w:rPr>
        <w:drawing>
          <wp:inline distT="0" distB="0" distL="0" distR="0" wp14:anchorId="4DE2080C" wp14:editId="735B9923">
            <wp:extent cx="5040000" cy="2520000"/>
            <wp:effectExtent l="0" t="0" r="8255" b="139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0E5197C-7CBB-4C20-BFBE-07208C2CE0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AE8ABC2" w14:textId="1FFCCB59" w:rsidR="00FB6E9A" w:rsidRDefault="00FB6E9A" w:rsidP="00A8022B">
      <w:pPr>
        <w:tabs>
          <w:tab w:val="left" w:pos="1246"/>
        </w:tabs>
        <w:autoSpaceDE w:val="0"/>
        <w:autoSpaceDN w:val="0"/>
        <w:adjustRightInd w:val="0"/>
        <w:ind w:left="1456" w:right="771" w:hanging="657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Nota:</w:t>
      </w:r>
      <w:r w:rsidRPr="000D767F">
        <w:rPr>
          <w:color w:val="000000"/>
          <w:sz w:val="16"/>
          <w:szCs w:val="14"/>
        </w:rPr>
        <w:tab/>
        <w:t>a)</w:t>
      </w:r>
      <w:r w:rsidRPr="000D767F">
        <w:rPr>
          <w:color w:val="000000"/>
          <w:sz w:val="16"/>
          <w:szCs w:val="14"/>
        </w:rPr>
        <w:tab/>
        <w:t>Porcentaje de la población de 18 años y más residente en las ciudades de interés que considera que vivir actualmente en su ciudad es inseguro.</w:t>
      </w:r>
    </w:p>
    <w:p w14:paraId="2B121E80" w14:textId="3049D105" w:rsidR="00FB6E9A" w:rsidRPr="000D767F" w:rsidRDefault="00FB6E9A" w:rsidP="00A8022B">
      <w:pPr>
        <w:tabs>
          <w:tab w:val="left" w:pos="1246"/>
        </w:tabs>
        <w:autoSpaceDE w:val="0"/>
        <w:autoSpaceDN w:val="0"/>
        <w:adjustRightInd w:val="0"/>
        <w:ind w:left="1456" w:right="771" w:hanging="657"/>
        <w:jc w:val="both"/>
        <w:rPr>
          <w:color w:val="000000"/>
          <w:sz w:val="16"/>
          <w:szCs w:val="14"/>
        </w:rPr>
      </w:pPr>
      <w:r>
        <w:rPr>
          <w:color w:val="000000"/>
          <w:sz w:val="16"/>
          <w:szCs w:val="14"/>
        </w:rPr>
        <w:tab/>
      </w:r>
      <w:r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Excluye la opción de respuesta “No sabe o no responde”.</w:t>
      </w:r>
    </w:p>
    <w:p w14:paraId="7128D2FD" w14:textId="285901FC" w:rsidR="00FB6E9A" w:rsidRPr="000D767F" w:rsidRDefault="00FB6E9A" w:rsidP="00A8022B">
      <w:pPr>
        <w:tabs>
          <w:tab w:val="left" w:pos="1246"/>
        </w:tabs>
        <w:autoSpaceDE w:val="0"/>
        <w:autoSpaceDN w:val="0"/>
        <w:adjustRightInd w:val="0"/>
        <w:ind w:left="1456" w:right="771" w:hanging="657"/>
        <w:jc w:val="both"/>
        <w:rPr>
          <w:color w:val="000000"/>
          <w:spacing w:val="-2"/>
          <w:sz w:val="16"/>
          <w:szCs w:val="14"/>
        </w:rPr>
      </w:pPr>
      <w:r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b)</w:t>
      </w:r>
      <w:r w:rsidRPr="000D767F">
        <w:rPr>
          <w:color w:val="000000"/>
          <w:sz w:val="16"/>
          <w:szCs w:val="14"/>
        </w:rPr>
        <w:tab/>
      </w:r>
      <w:r w:rsidRPr="000D767F">
        <w:rPr>
          <w:color w:val="000000"/>
          <w:spacing w:val="-2"/>
          <w:sz w:val="16"/>
          <w:szCs w:val="14"/>
        </w:rPr>
        <w:t>Debido a la emergencia sanitaria generada por el virus SARS-CoV2, fue cancelado el levantamiento correspondiente al segundo trimestre de 2020</w:t>
      </w:r>
      <w:r w:rsidRPr="00C63073">
        <w:rPr>
          <w:color w:val="000000"/>
          <w:spacing w:val="-2"/>
          <w:sz w:val="16"/>
          <w:szCs w:val="14"/>
        </w:rPr>
        <w:t>, cuyos resultados serían publicados el 15 de julio de 2020</w:t>
      </w:r>
      <w:r w:rsidRPr="000D767F">
        <w:rPr>
          <w:color w:val="000000"/>
          <w:spacing w:val="-2"/>
          <w:sz w:val="16"/>
          <w:szCs w:val="14"/>
        </w:rPr>
        <w:t xml:space="preserve">. </w:t>
      </w:r>
    </w:p>
    <w:p w14:paraId="35DE1FC5" w14:textId="25CCAA30" w:rsidR="00FB6E9A" w:rsidRPr="000D767F" w:rsidRDefault="00FB6E9A" w:rsidP="00B8409E">
      <w:pPr>
        <w:autoSpaceDE w:val="0"/>
        <w:autoSpaceDN w:val="0"/>
        <w:adjustRightInd w:val="0"/>
        <w:ind w:left="1372" w:right="769" w:hanging="574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Fuente:</w:t>
      </w:r>
      <w:r w:rsidRPr="000D767F">
        <w:rPr>
          <w:color w:val="000000"/>
          <w:sz w:val="16"/>
          <w:szCs w:val="14"/>
        </w:rPr>
        <w:tab/>
        <w:t>INEGI. Encuesta Nacional de Seguridad Pública Urbana (ENSU).</w:t>
      </w:r>
    </w:p>
    <w:p w14:paraId="67EA2AAD" w14:textId="722B5545" w:rsidR="00AA504B" w:rsidRPr="00AA504B" w:rsidRDefault="00FB6E9A" w:rsidP="00D51B5F">
      <w:pPr>
        <w:keepNext/>
        <w:keepLines/>
        <w:widowControl w:val="0"/>
        <w:autoSpaceDE w:val="0"/>
        <w:autoSpaceDN w:val="0"/>
        <w:adjustRightInd w:val="0"/>
        <w:spacing w:before="240"/>
        <w:jc w:val="both"/>
        <w:rPr>
          <w:color w:val="000000"/>
        </w:rPr>
      </w:pPr>
      <w:r w:rsidRPr="008C57DA">
        <w:rPr>
          <w:color w:val="000000"/>
        </w:rPr>
        <w:lastRenderedPageBreak/>
        <w:t xml:space="preserve">A partir de 2016 se </w:t>
      </w:r>
      <w:r>
        <w:rPr>
          <w:color w:val="000000"/>
        </w:rPr>
        <w:t>han generado</w:t>
      </w:r>
      <w:r w:rsidRPr="008C57DA">
        <w:rPr>
          <w:color w:val="000000"/>
        </w:rPr>
        <w:t xml:space="preserve"> estima</w:t>
      </w:r>
      <w:r>
        <w:rPr>
          <w:color w:val="000000"/>
        </w:rPr>
        <w:t>ciones</w:t>
      </w:r>
      <w:r w:rsidRPr="008C57DA">
        <w:rPr>
          <w:color w:val="000000"/>
        </w:rPr>
        <w:t xml:space="preserve"> representativ</w:t>
      </w:r>
      <w:r>
        <w:rPr>
          <w:color w:val="000000"/>
        </w:rPr>
        <w:t xml:space="preserve">as por ciudad. </w:t>
      </w:r>
      <w:r w:rsidR="00AA504B" w:rsidRPr="00AA504B">
        <w:rPr>
          <w:color w:val="000000"/>
        </w:rPr>
        <w:t xml:space="preserve">En </w:t>
      </w:r>
      <w:r w:rsidR="00FC5BD1">
        <w:rPr>
          <w:color w:val="000000"/>
        </w:rPr>
        <w:t>marzo</w:t>
      </w:r>
      <w:r>
        <w:rPr>
          <w:color w:val="000000"/>
        </w:rPr>
        <w:t xml:space="preserve"> </w:t>
      </w:r>
      <w:r w:rsidR="008D6B72">
        <w:rPr>
          <w:color w:val="000000"/>
        </w:rPr>
        <w:t>de 202</w:t>
      </w:r>
      <w:r w:rsidR="00FC5BD1">
        <w:rPr>
          <w:color w:val="000000"/>
        </w:rPr>
        <w:t>2</w:t>
      </w:r>
      <w:r w:rsidR="00AA504B" w:rsidRPr="00AA504B">
        <w:rPr>
          <w:color w:val="000000"/>
        </w:rPr>
        <w:t xml:space="preserve">, las ciudades con mayor porcentaje de personas de 18 años y más que consideraron que vivir en su ciudad es inseguro fueron: </w:t>
      </w:r>
      <w:bookmarkStart w:id="2" w:name="_Hlk92807128"/>
      <w:r w:rsidR="00AA504B" w:rsidRPr="00AA504B">
        <w:rPr>
          <w:color w:val="000000"/>
        </w:rPr>
        <w:t xml:space="preserve">Fresnillo, Ciudad Obregón, </w:t>
      </w:r>
      <w:r w:rsidRPr="00AA504B">
        <w:rPr>
          <w:color w:val="000000"/>
        </w:rPr>
        <w:t>Zacatecas</w:t>
      </w:r>
      <w:r>
        <w:rPr>
          <w:color w:val="000000"/>
        </w:rPr>
        <w:t>,</w:t>
      </w:r>
      <w:r w:rsidRPr="00AA504B">
        <w:rPr>
          <w:color w:val="000000"/>
        </w:rPr>
        <w:t xml:space="preserve"> </w:t>
      </w:r>
      <w:r w:rsidR="00A92D37" w:rsidRPr="00A92D37">
        <w:rPr>
          <w:color w:val="000000"/>
        </w:rPr>
        <w:t>Cuautitlán Izcalli</w:t>
      </w:r>
      <w:r w:rsidR="00A92D37">
        <w:rPr>
          <w:color w:val="000000"/>
        </w:rPr>
        <w:t xml:space="preserve">, </w:t>
      </w:r>
      <w:r w:rsidR="00AA504B" w:rsidRPr="00AA504B">
        <w:rPr>
          <w:color w:val="000000"/>
        </w:rPr>
        <w:t>Irapuato</w:t>
      </w:r>
      <w:r>
        <w:rPr>
          <w:color w:val="000000"/>
        </w:rPr>
        <w:t xml:space="preserve"> </w:t>
      </w:r>
      <w:r w:rsidR="00AA504B" w:rsidRPr="00AA504B">
        <w:rPr>
          <w:color w:val="000000"/>
        </w:rPr>
        <w:t>y</w:t>
      </w:r>
      <w:r>
        <w:rPr>
          <w:color w:val="000000"/>
        </w:rPr>
        <w:t xml:space="preserve"> </w:t>
      </w:r>
      <w:r w:rsidR="00A92D37">
        <w:rPr>
          <w:color w:val="000000"/>
        </w:rPr>
        <w:t xml:space="preserve">Guadalajara </w:t>
      </w:r>
      <w:r w:rsidR="00AA504B" w:rsidRPr="00AA504B">
        <w:rPr>
          <w:color w:val="000000"/>
        </w:rPr>
        <w:t>con 9</w:t>
      </w:r>
      <w:r w:rsidR="00A92D37">
        <w:rPr>
          <w:color w:val="000000"/>
        </w:rPr>
        <w:t>7.1</w:t>
      </w:r>
      <w:r w:rsidR="00AA504B" w:rsidRPr="00AA504B">
        <w:rPr>
          <w:color w:val="000000"/>
        </w:rPr>
        <w:t>, 9</w:t>
      </w:r>
      <w:r w:rsidR="00A92D37">
        <w:rPr>
          <w:color w:val="000000"/>
        </w:rPr>
        <w:t>4.1</w:t>
      </w:r>
      <w:r w:rsidR="00AA504B" w:rsidRPr="00AA504B">
        <w:rPr>
          <w:color w:val="000000"/>
        </w:rPr>
        <w:t>, 9</w:t>
      </w:r>
      <w:r w:rsidR="00A92D37">
        <w:rPr>
          <w:color w:val="000000"/>
        </w:rPr>
        <w:t>1.7</w:t>
      </w:r>
      <w:r w:rsidR="00AA504B" w:rsidRPr="00AA504B">
        <w:rPr>
          <w:color w:val="000000"/>
        </w:rPr>
        <w:t>, 89</w:t>
      </w:r>
      <w:r>
        <w:rPr>
          <w:color w:val="000000"/>
        </w:rPr>
        <w:t>.</w:t>
      </w:r>
      <w:r w:rsidR="00A92D37">
        <w:rPr>
          <w:color w:val="000000"/>
        </w:rPr>
        <w:t>5</w:t>
      </w:r>
      <w:r w:rsidR="00B8409E">
        <w:rPr>
          <w:color w:val="000000"/>
        </w:rPr>
        <w:t>,</w:t>
      </w:r>
      <w:r w:rsidR="00AA504B" w:rsidRPr="00AA504B">
        <w:rPr>
          <w:color w:val="000000"/>
        </w:rPr>
        <w:t xml:space="preserve"> 8</w:t>
      </w:r>
      <w:r w:rsidR="00A92D37">
        <w:rPr>
          <w:color w:val="000000"/>
        </w:rPr>
        <w:t>7.6</w:t>
      </w:r>
      <w:r w:rsidR="00B8409E">
        <w:rPr>
          <w:color w:val="000000"/>
        </w:rPr>
        <w:t xml:space="preserve"> y 8</w:t>
      </w:r>
      <w:r w:rsidR="00A92D37">
        <w:rPr>
          <w:color w:val="000000"/>
        </w:rPr>
        <w:t>7.1</w:t>
      </w:r>
      <w:r w:rsidR="00AA504B" w:rsidRPr="00AA504B">
        <w:rPr>
          <w:color w:val="000000"/>
        </w:rPr>
        <w:t>%, respectivamente.</w:t>
      </w:r>
      <w:bookmarkEnd w:id="2"/>
    </w:p>
    <w:p w14:paraId="2248C91F" w14:textId="5F707A74" w:rsidR="00FB6E9A" w:rsidRDefault="007A249C" w:rsidP="00D51B5F">
      <w:pPr>
        <w:keepNext/>
        <w:keepLines/>
        <w:widowControl w:val="0"/>
        <w:autoSpaceDE w:val="0"/>
        <w:autoSpaceDN w:val="0"/>
        <w:adjustRightInd w:val="0"/>
        <w:spacing w:before="240"/>
        <w:jc w:val="both"/>
        <w:rPr>
          <w:color w:val="000000"/>
        </w:rPr>
      </w:pPr>
      <w:r>
        <w:rPr>
          <w:color w:val="000000"/>
        </w:rPr>
        <w:t>En contraste, las ciudades</w:t>
      </w:r>
      <w:r w:rsidR="00AA504B" w:rsidRPr="00AA504B">
        <w:rPr>
          <w:color w:val="000000"/>
        </w:rPr>
        <w:t xml:space="preserve"> </w:t>
      </w:r>
      <w:r w:rsidR="00D51B5F">
        <w:rPr>
          <w:color w:val="000000"/>
        </w:rPr>
        <w:t xml:space="preserve">y demarcaciones </w:t>
      </w:r>
      <w:r w:rsidR="00AA504B" w:rsidRPr="00AA504B">
        <w:rPr>
          <w:color w:val="000000"/>
        </w:rPr>
        <w:t xml:space="preserve">donde la percepción de inseguridad es menor fueron: San Pedro Garza García, </w:t>
      </w:r>
      <w:r w:rsidR="00A92D37">
        <w:rPr>
          <w:color w:val="000000"/>
        </w:rPr>
        <w:t>Tampico,</w:t>
      </w:r>
      <w:r w:rsidR="00FB6E9A">
        <w:rPr>
          <w:color w:val="000000"/>
        </w:rPr>
        <w:t xml:space="preserve"> Piedras Negras, </w:t>
      </w:r>
      <w:r w:rsidR="00A92D37">
        <w:rPr>
          <w:color w:val="000000"/>
        </w:rPr>
        <w:t>Mérida</w:t>
      </w:r>
      <w:r w:rsidR="00D51B5F">
        <w:rPr>
          <w:color w:val="000000"/>
        </w:rPr>
        <w:t>,</w:t>
      </w:r>
      <w:r w:rsidR="00AA504B" w:rsidRPr="00AA504B">
        <w:rPr>
          <w:color w:val="000000"/>
        </w:rPr>
        <w:t xml:space="preserve"> </w:t>
      </w:r>
      <w:r w:rsidR="00A92D37">
        <w:rPr>
          <w:color w:val="000000"/>
        </w:rPr>
        <w:t xml:space="preserve">Saltillo </w:t>
      </w:r>
      <w:r w:rsidR="00D51B5F">
        <w:rPr>
          <w:color w:val="000000"/>
        </w:rPr>
        <w:t xml:space="preserve">y Benito Juárez </w:t>
      </w:r>
      <w:r w:rsidR="00AA504B" w:rsidRPr="00AA504B">
        <w:rPr>
          <w:color w:val="000000"/>
        </w:rPr>
        <w:t>con 1</w:t>
      </w:r>
      <w:r w:rsidR="00A92D37">
        <w:rPr>
          <w:color w:val="000000"/>
        </w:rPr>
        <w:t>1.7</w:t>
      </w:r>
      <w:r w:rsidR="00AA504B" w:rsidRPr="00AA504B">
        <w:rPr>
          <w:color w:val="000000"/>
        </w:rPr>
        <w:t>, 2</w:t>
      </w:r>
      <w:r w:rsidR="00FB6E9A">
        <w:rPr>
          <w:color w:val="000000"/>
        </w:rPr>
        <w:t>0.</w:t>
      </w:r>
      <w:r w:rsidR="00A92D37">
        <w:rPr>
          <w:color w:val="000000"/>
        </w:rPr>
        <w:t>4</w:t>
      </w:r>
      <w:r w:rsidR="00AA504B" w:rsidRPr="00AA504B">
        <w:rPr>
          <w:color w:val="000000"/>
        </w:rPr>
        <w:t>, 2</w:t>
      </w:r>
      <w:r w:rsidR="00A92D37">
        <w:rPr>
          <w:color w:val="000000"/>
        </w:rPr>
        <w:t>2.2</w:t>
      </w:r>
      <w:r w:rsidR="00AA504B" w:rsidRPr="00AA504B">
        <w:rPr>
          <w:color w:val="000000"/>
        </w:rPr>
        <w:t>, 2</w:t>
      </w:r>
      <w:r w:rsidR="00A92D37">
        <w:rPr>
          <w:color w:val="000000"/>
        </w:rPr>
        <w:t>2.</w:t>
      </w:r>
      <w:r w:rsidR="00FB6E9A">
        <w:rPr>
          <w:color w:val="000000"/>
        </w:rPr>
        <w:t>4</w:t>
      </w:r>
      <w:r w:rsidR="00AA504B" w:rsidRPr="00AA504B">
        <w:rPr>
          <w:color w:val="000000"/>
        </w:rPr>
        <w:t>, 2</w:t>
      </w:r>
      <w:r w:rsidR="00A92D37">
        <w:rPr>
          <w:color w:val="000000"/>
        </w:rPr>
        <w:t>4.1</w:t>
      </w:r>
      <w:r w:rsidR="00AA504B" w:rsidRPr="00AA504B">
        <w:rPr>
          <w:color w:val="000000"/>
        </w:rPr>
        <w:t xml:space="preserve"> y 2</w:t>
      </w:r>
      <w:r w:rsidR="00A92D37">
        <w:rPr>
          <w:color w:val="000000"/>
        </w:rPr>
        <w:t>5</w:t>
      </w:r>
      <w:r w:rsidR="00AA504B" w:rsidRPr="00AA504B">
        <w:rPr>
          <w:color w:val="000000"/>
        </w:rPr>
        <w:t>%, en ese orden.</w:t>
      </w:r>
    </w:p>
    <w:p w14:paraId="17F54012" w14:textId="294C8964" w:rsidR="00D51B5F" w:rsidRDefault="00D51B5F">
      <w:pPr>
        <w:rPr>
          <w:color w:val="000000"/>
        </w:rPr>
      </w:pPr>
      <w:r>
        <w:rPr>
          <w:color w:val="000000"/>
        </w:rPr>
        <w:br w:type="page"/>
      </w:r>
    </w:p>
    <w:tbl>
      <w:tblPr>
        <w:tblStyle w:val="Tablaconcuadrcula6concolores-nfasis2"/>
        <w:tblW w:w="9526" w:type="dxa"/>
        <w:tblLayout w:type="fixed"/>
        <w:tblLook w:val="0400" w:firstRow="0" w:lastRow="0" w:firstColumn="0" w:lastColumn="0" w:noHBand="0" w:noVBand="1"/>
      </w:tblPr>
      <w:tblGrid>
        <w:gridCol w:w="2674"/>
        <w:gridCol w:w="919"/>
        <w:gridCol w:w="815"/>
        <w:gridCol w:w="236"/>
        <w:gridCol w:w="236"/>
        <w:gridCol w:w="2640"/>
        <w:gridCol w:w="958"/>
        <w:gridCol w:w="812"/>
        <w:gridCol w:w="236"/>
      </w:tblGrid>
      <w:tr w:rsidR="008B17C5" w:rsidRPr="008B17C5" w14:paraId="3AFF383B" w14:textId="77777777" w:rsidTr="00D20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FA07C" w14:textId="77777777" w:rsidR="008B17C5" w:rsidRPr="00C83396" w:rsidRDefault="008B17C5" w:rsidP="008B17C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16"/>
              </w:rPr>
            </w:pPr>
            <w:bookmarkStart w:id="3" w:name="OLE_LINK12"/>
            <w:r w:rsidRPr="00C83396">
              <w:rPr>
                <w:bCs/>
                <w:color w:val="000000"/>
                <w:sz w:val="20"/>
                <w:szCs w:val="16"/>
              </w:rPr>
              <w:lastRenderedPageBreak/>
              <w:t>Cuadro 1</w:t>
            </w:r>
          </w:p>
          <w:p w14:paraId="3F999E07" w14:textId="2640B66F" w:rsidR="008B17C5" w:rsidRPr="00CC54A7" w:rsidRDefault="00CC54A7" w:rsidP="00D91023">
            <w:pPr>
              <w:autoSpaceDE w:val="0"/>
              <w:autoSpaceDN w:val="0"/>
              <w:adjustRightInd w:val="0"/>
              <w:jc w:val="center"/>
              <w:rPr>
                <w:smallCaps/>
                <w:sz w:val="18"/>
                <w:szCs w:val="14"/>
              </w:rPr>
            </w:pP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t xml:space="preserve">Percepción social sobre inseguridad pública </w:t>
            </w:r>
            <w:r w:rsidR="00FB6E9A" w:rsidRPr="00CC54A7">
              <w:rPr>
                <w:b/>
                <w:bCs/>
                <w:smallCaps/>
                <w:color w:val="000000"/>
                <w:sz w:val="22"/>
                <w:szCs w:val="16"/>
              </w:rPr>
              <w:br/>
            </w: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t>por ciudad de interés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XSpec="center" w:tblpY="1980"/>
              <w:tblOverlap w:val="never"/>
              <w:tblW w:w="198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336"/>
              <w:gridCol w:w="382"/>
            </w:tblGrid>
            <w:tr w:rsidR="008B17C5" w14:paraId="18F8EA29" w14:textId="77777777" w:rsidTr="002C5A5E">
              <w:trPr>
                <w:trHeight w:hRule="exact" w:val="340"/>
              </w:trPr>
              <w:tc>
                <w:tcPr>
                  <w:tcW w:w="1985" w:type="dxa"/>
                  <w:gridSpan w:val="3"/>
                  <w:shd w:val="clear" w:color="auto" w:fill="C0504D" w:themeFill="accent2"/>
                  <w:vAlign w:val="center"/>
                </w:tcPr>
                <w:p w14:paraId="1591E488" w14:textId="77777777" w:rsidR="008B17C5" w:rsidRPr="00BA4C18" w:rsidRDefault="008B17C5" w:rsidP="008B17C5">
                  <w:pPr>
                    <w:autoSpaceDE w:val="0"/>
                    <w:autoSpaceDN w:val="0"/>
                    <w:adjustRightInd w:val="0"/>
                    <w:ind w:left="-111" w:right="-82"/>
                    <w:jc w:val="center"/>
                    <w:rPr>
                      <w:b/>
                      <w:bCs/>
                      <w:color w:val="000000"/>
                      <w:spacing w:val="-6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FFFFFF" w:themeColor="background1"/>
                      <w:spacing w:val="-6"/>
                      <w:sz w:val="16"/>
                      <w:szCs w:val="16"/>
                    </w:rPr>
                    <w:t>Ciudades y demarcaciones</w:t>
                  </w:r>
                </w:p>
              </w:tc>
            </w:tr>
            <w:tr w:rsidR="004057F7" w14:paraId="572BAA7A" w14:textId="77777777" w:rsidTr="004057F7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203BD594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 la baja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327D4876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224E3DA6" wp14:editId="2E0C6502">
                            <wp:extent cx="162000" cy="126000"/>
                            <wp:effectExtent l="0" t="0" r="9525" b="7620"/>
                            <wp:docPr id="11" name="Flecha: hacia abaj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00CC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6E38FF65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Flecha: hacia abajo 11" o:spid="_x0000_s1026" type="#_x0000_t67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" adj="10800" fillcolor="#0c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0B51AB77" w14:textId="462501DE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</w:t>
                  </w:r>
                </w:p>
              </w:tc>
            </w:tr>
            <w:tr w:rsidR="004057F7" w14:paraId="19D12D1F" w14:textId="77777777" w:rsidTr="004057F7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7E9E9"/>
                  <w:vAlign w:val="center"/>
                </w:tcPr>
                <w:p w14:paraId="4137F7A4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Al alza</w:t>
                  </w:r>
                  <w:r w:rsidRPr="00BA4C18"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7E9E9"/>
                  <w:vAlign w:val="center"/>
                </w:tcPr>
                <w:p w14:paraId="1B2428F2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noProof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1A13040" wp14:editId="51893B4D">
                            <wp:extent cx="162000" cy="126000"/>
                            <wp:effectExtent l="0" t="0" r="9525" b="7620"/>
                            <wp:docPr id="16" name="Flecha: hacia abaj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9B89443" id="Flecha: hacia abajo 16" o:spid="_x0000_s1026" type="#_x0000_t67" style="width:12.75pt;height:9.9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" adj="10800" fillcolor="#c0000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7E9E9"/>
                  <w:vAlign w:val="center"/>
                </w:tcPr>
                <w:p w14:paraId="554381A3" w14:textId="78A62A7E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9</w:t>
                  </w:r>
                </w:p>
              </w:tc>
            </w:tr>
            <w:tr w:rsidR="004057F7" w14:paraId="545A2BC6" w14:textId="77777777" w:rsidTr="004057F7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08BCCF1D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Sin cambio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4E623EA3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1EA2E50A" wp14:editId="64640C94">
                            <wp:extent cx="162000" cy="126000"/>
                            <wp:effectExtent l="0" t="0" r="9525" b="7620"/>
                            <wp:docPr id="17" name="Flecha: a la izquierda y derecha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w14:anchorId="738533D3" id="_x0000_t69" coordsize="21600,21600" o:spt="69" adj="4320,5400" path="m,10800l@0,21600@0@3@2@3@2,21600,21600,10800@2,0@2@1@0@1@0,xe">
                            <v:stroke joinstyle="miter"/>
                            <v:formulas>
                              <v:f eqn="val #0"/>
                              <v:f eqn="val #1"/>
                              <v:f eqn="sum 21600 0 #0"/>
                              <v:f eqn="sum 21600 0 #1"/>
                              <v:f eqn="prod #0 #1 10800"/>
                              <v:f eqn="sum #0 0 @4"/>
                              <v:f eqn="sum 21600 0 @5"/>
                            </v:formulas>
                            <v:path o:connecttype="custom" o:connectlocs="@2,0;10800,@1;@0,0;0,10800;@0,21600;10800,@3;@2,21600;21600,10800" o:connectangles="270,270,270,180,90,90,90,0" textboxrect="@5,@1,@6,@3"/>
                            <v:handles>
                              <v:h position="#0,#1" xrange="0,10800" yrange="0,10800"/>
                            </v:handles>
                          </v:shapetype>
                          <v:shape id="Flecha: a la izquierda y derecha 17" o:spid="_x0000_s1026" type="#_x0000_t69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" adj="8400" fillcolor="#5a5a5a [2109]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2A09C869" w14:textId="6B13E8B1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74</w:t>
                  </w:r>
                </w:p>
              </w:tc>
            </w:tr>
          </w:tbl>
          <w:p w14:paraId="03504F4F" w14:textId="77777777" w:rsidR="008B17C5" w:rsidRPr="008B17C5" w:rsidRDefault="008B17C5" w:rsidP="008B17C5">
            <w:pPr>
              <w:autoSpaceDE w:val="0"/>
              <w:autoSpaceDN w:val="0"/>
              <w:adjustRightInd w:val="0"/>
              <w:ind w:right="50"/>
              <w:jc w:val="center"/>
              <w:rPr>
                <w:sz w:val="18"/>
                <w:szCs w:val="14"/>
              </w:rPr>
            </w:pPr>
          </w:p>
        </w:tc>
      </w:tr>
      <w:tr w:rsidR="0083725F" w14:paraId="54A90EAF" w14:textId="79036C12" w:rsidTr="00FB6E9A">
        <w:trPr>
          <w:trHeight w:val="284"/>
        </w:trPr>
        <w:tc>
          <w:tcPr>
            <w:tcW w:w="2674" w:type="dxa"/>
            <w:vMerge w:val="restart"/>
            <w:shd w:val="clear" w:color="auto" w:fill="C0504D" w:themeFill="accent2"/>
            <w:vAlign w:val="center"/>
          </w:tcPr>
          <w:p w14:paraId="48403A73" w14:textId="699ED2CF" w:rsidR="0083725F" w:rsidRPr="009244C9" w:rsidRDefault="0083725F" w:rsidP="009244C9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1970" w:type="dxa"/>
            <w:gridSpan w:val="3"/>
            <w:shd w:val="clear" w:color="auto" w:fill="C0504D" w:themeFill="accent2"/>
            <w:vAlign w:val="center"/>
          </w:tcPr>
          <w:p w14:paraId="35976ABE" w14:textId="7EBE8189" w:rsidR="0083725F" w:rsidRPr="009244C9" w:rsidRDefault="00FB6E9A" w:rsidP="00E109C3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717EF69B" w14:textId="5AE245AA" w:rsidR="0083725F" w:rsidRPr="00A77D91" w:rsidRDefault="0083725F" w:rsidP="005027A0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 w:val="restart"/>
            <w:shd w:val="clear" w:color="auto" w:fill="C0504D" w:themeFill="accent2"/>
            <w:vAlign w:val="center"/>
          </w:tcPr>
          <w:p w14:paraId="2EC7893A" w14:textId="2CEFD7B3" w:rsidR="0083725F" w:rsidRPr="009244C9" w:rsidRDefault="0083725F" w:rsidP="009244C9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2006" w:type="dxa"/>
            <w:gridSpan w:val="3"/>
            <w:shd w:val="clear" w:color="auto" w:fill="C0504D" w:themeFill="accent2"/>
            <w:vAlign w:val="center"/>
          </w:tcPr>
          <w:p w14:paraId="1355DC2A" w14:textId="4DF705B0" w:rsidR="0083725F" w:rsidRPr="009244C9" w:rsidRDefault="00FB6E9A" w:rsidP="00E109C3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</w:tr>
      <w:tr w:rsidR="0083725F" w14:paraId="7A434B93" w14:textId="5FEBE0D7" w:rsidTr="00FB6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674" w:type="dxa"/>
            <w:vMerge/>
            <w:shd w:val="clear" w:color="auto" w:fill="C0504D" w:themeFill="accent2"/>
          </w:tcPr>
          <w:p w14:paraId="578205EB" w14:textId="77777777" w:rsidR="0083725F" w:rsidRPr="009244C9" w:rsidRDefault="0083725F" w:rsidP="0000790F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19" w:type="dxa"/>
            <w:shd w:val="clear" w:color="auto" w:fill="C0504D" w:themeFill="accent2"/>
            <w:vAlign w:val="center"/>
          </w:tcPr>
          <w:p w14:paraId="3229DE77" w14:textId="3FA27386" w:rsidR="0083725F" w:rsidRPr="009244C9" w:rsidRDefault="00FC5BD1" w:rsidP="00BC47EE">
            <w:pPr>
              <w:autoSpaceDE w:val="0"/>
              <w:autoSpaceDN w:val="0"/>
              <w:adjustRightInd w:val="0"/>
              <w:spacing w:line="180" w:lineRule="exact"/>
              <w:ind w:left="-92" w:right="-66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Diciembre</w:t>
            </w:r>
            <w:r w:rsidR="0083725F">
              <w:rPr>
                <w:color w:val="FFFFFF" w:themeColor="background1"/>
                <w:sz w:val="16"/>
                <w:szCs w:val="14"/>
              </w:rPr>
              <w:br/>
              <w:t>2</w:t>
            </w:r>
            <w:r w:rsidR="0083725F" w:rsidRPr="009244C9">
              <w:rPr>
                <w:color w:val="FFFFFF" w:themeColor="background1"/>
                <w:sz w:val="16"/>
                <w:szCs w:val="14"/>
              </w:rPr>
              <w:t>0</w:t>
            </w:r>
            <w:r w:rsidR="0083725F">
              <w:rPr>
                <w:color w:val="FFFFFF" w:themeColor="background1"/>
                <w:sz w:val="16"/>
                <w:szCs w:val="14"/>
              </w:rPr>
              <w:t>2</w:t>
            </w:r>
            <w:r w:rsidR="00E83635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51" w:type="dxa"/>
            <w:gridSpan w:val="2"/>
            <w:shd w:val="clear" w:color="auto" w:fill="C0504D" w:themeFill="accent2"/>
            <w:vAlign w:val="center"/>
          </w:tcPr>
          <w:p w14:paraId="0CAC690A" w14:textId="0E2046FF" w:rsidR="0083725F" w:rsidRPr="009244C9" w:rsidRDefault="00FC5BD1" w:rsidP="00E109C3">
            <w:pPr>
              <w:autoSpaceDE w:val="0"/>
              <w:autoSpaceDN w:val="0"/>
              <w:adjustRightInd w:val="0"/>
              <w:spacing w:line="180" w:lineRule="exact"/>
              <w:ind w:left="-101" w:right="3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 w:rsidR="0083725F"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="0083725F"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6F4258BD" w14:textId="0CE6C8A7" w:rsidR="0083725F" w:rsidRPr="00A77D91" w:rsidRDefault="0083725F" w:rsidP="0000790F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/>
            <w:shd w:val="clear" w:color="auto" w:fill="C0504D" w:themeFill="accent2"/>
          </w:tcPr>
          <w:p w14:paraId="5F532C84" w14:textId="77777777" w:rsidR="0083725F" w:rsidRPr="009244C9" w:rsidRDefault="0083725F" w:rsidP="0000790F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58" w:type="dxa"/>
            <w:shd w:val="clear" w:color="auto" w:fill="C0504D" w:themeFill="accent2"/>
            <w:vAlign w:val="center"/>
          </w:tcPr>
          <w:p w14:paraId="14DFA67D" w14:textId="3298A7F4" w:rsidR="0083725F" w:rsidRPr="009244C9" w:rsidRDefault="00FC5BD1" w:rsidP="00FC5BD1">
            <w:pPr>
              <w:autoSpaceDE w:val="0"/>
              <w:autoSpaceDN w:val="0"/>
              <w:adjustRightInd w:val="0"/>
              <w:spacing w:line="180" w:lineRule="exact"/>
              <w:ind w:left="-113" w:right="-99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 xml:space="preserve">Diciembre </w:t>
            </w:r>
            <w:r w:rsidR="0083725F" w:rsidRPr="009244C9">
              <w:rPr>
                <w:color w:val="FFFFFF" w:themeColor="background1"/>
                <w:sz w:val="16"/>
                <w:szCs w:val="14"/>
              </w:rPr>
              <w:t>20</w:t>
            </w:r>
            <w:r w:rsidR="0083725F">
              <w:rPr>
                <w:color w:val="FFFFFF" w:themeColor="background1"/>
                <w:sz w:val="16"/>
                <w:szCs w:val="14"/>
              </w:rPr>
              <w:t>2</w:t>
            </w:r>
            <w:r w:rsidR="00E83635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48" w:type="dxa"/>
            <w:gridSpan w:val="2"/>
            <w:shd w:val="clear" w:color="auto" w:fill="C0504D" w:themeFill="accent2"/>
            <w:vAlign w:val="center"/>
          </w:tcPr>
          <w:p w14:paraId="771D9109" w14:textId="59003554" w:rsidR="0083725F" w:rsidRDefault="00FC5BD1" w:rsidP="00E109C3">
            <w:pPr>
              <w:autoSpaceDE w:val="0"/>
              <w:autoSpaceDN w:val="0"/>
              <w:adjustRightInd w:val="0"/>
              <w:spacing w:line="180" w:lineRule="exact"/>
              <w:ind w:left="-100" w:right="-24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 w:rsidR="0083725F"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="0083725F"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</w:tr>
      <w:tr w:rsidR="00BC2BEC" w:rsidRPr="00476ABE" w14:paraId="1C194703" w14:textId="44520CEA" w:rsidTr="003C72CA">
        <w:trPr>
          <w:trHeight w:hRule="exact" w:val="198"/>
        </w:trPr>
        <w:tc>
          <w:tcPr>
            <w:tcW w:w="2674" w:type="dxa"/>
            <w:vAlign w:val="bottom"/>
          </w:tcPr>
          <w:p w14:paraId="32E82857" w14:textId="3B47A18C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b/>
                <w:color w:val="auto"/>
                <w:sz w:val="16"/>
                <w:szCs w:val="16"/>
              </w:rPr>
            </w:pPr>
            <w:r w:rsidRPr="00476ABE">
              <w:rPr>
                <w:b/>
                <w:bCs/>
                <w:color w:val="auto"/>
                <w:sz w:val="16"/>
                <w:szCs w:val="16"/>
              </w:rPr>
              <w:t>Nacional</w:t>
            </w:r>
          </w:p>
        </w:tc>
        <w:tc>
          <w:tcPr>
            <w:tcW w:w="919" w:type="dxa"/>
            <w:vAlign w:val="bottom"/>
          </w:tcPr>
          <w:p w14:paraId="0F60545F" w14:textId="05DF0A68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476ABE">
              <w:rPr>
                <w:b/>
                <w:bCs/>
                <w:color w:val="auto"/>
                <w:sz w:val="16"/>
                <w:szCs w:val="16"/>
              </w:rPr>
              <w:t>65.8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D916DEA" w14:textId="60DCD55E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476ABE">
              <w:rPr>
                <w:b/>
                <w:bCs/>
                <w:color w:val="auto"/>
                <w:sz w:val="16"/>
                <w:szCs w:val="16"/>
              </w:rPr>
              <w:t>66.2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18BFADE" w14:textId="760E209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F32AD0F" w14:textId="4D466B37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625E673" w14:textId="32C08E21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14:paraId="5706A6FD" w14:textId="39A2B9D9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5411040" w14:textId="6CBA141E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AC65696" w14:textId="33DAD214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</w:p>
        </w:tc>
      </w:tr>
      <w:tr w:rsidR="00BC2BEC" w:rsidRPr="00476ABE" w14:paraId="3DDC055E" w14:textId="45F46958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74A53792" w14:textId="390C19ED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Aguascalientes, Ags.</w:t>
            </w:r>
          </w:p>
        </w:tc>
        <w:tc>
          <w:tcPr>
            <w:tcW w:w="919" w:type="dxa"/>
            <w:vAlign w:val="bottom"/>
          </w:tcPr>
          <w:p w14:paraId="0151E0BE" w14:textId="0AA1C60F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45.8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278083" w14:textId="2BC4FE5D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57AB7DB" w14:textId="3A4C5CCD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F79F0DE" w14:textId="3AF4DAAF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41A3A54" w14:textId="79EA49D5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Puerto Vallarta, Jal.</w:t>
            </w:r>
          </w:p>
        </w:tc>
        <w:tc>
          <w:tcPr>
            <w:tcW w:w="958" w:type="dxa"/>
            <w:vAlign w:val="bottom"/>
          </w:tcPr>
          <w:p w14:paraId="2D3CA5DF" w14:textId="4C5A1F72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26.6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AB43182" w14:textId="03C51166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C7A3F4B" w14:textId="407C1B3D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78DB7F6" w14:textId="08DAF06C" w:rsidTr="003C72CA">
        <w:trPr>
          <w:trHeight w:hRule="exact" w:val="198"/>
        </w:trPr>
        <w:tc>
          <w:tcPr>
            <w:tcW w:w="2674" w:type="dxa"/>
            <w:vAlign w:val="bottom"/>
          </w:tcPr>
          <w:p w14:paraId="18B9C17D" w14:textId="1C4F287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Mexicali, B.C.</w:t>
            </w:r>
          </w:p>
        </w:tc>
        <w:tc>
          <w:tcPr>
            <w:tcW w:w="919" w:type="dxa"/>
            <w:vAlign w:val="bottom"/>
          </w:tcPr>
          <w:p w14:paraId="294096D4" w14:textId="124E6FEC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69.5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DE70242" w14:textId="36657F9E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D14BC12" w14:textId="4865BD01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24E5D25" w14:textId="4FEC08A7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3580CA3" w14:textId="55E16E6C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Toluca, Edo. Mex.</w:t>
            </w:r>
          </w:p>
        </w:tc>
        <w:tc>
          <w:tcPr>
            <w:tcW w:w="958" w:type="dxa"/>
            <w:vAlign w:val="bottom"/>
          </w:tcPr>
          <w:p w14:paraId="43E9ABE5" w14:textId="32AB9EA1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674527F" w14:textId="51F274BB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84.3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2462059" w14:textId="6F7A3971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4E822A6" w14:textId="6753CA40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9AD733D" w14:textId="2D34C920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Tijuana, B.C.</w:t>
            </w:r>
          </w:p>
        </w:tc>
        <w:tc>
          <w:tcPr>
            <w:tcW w:w="919" w:type="dxa"/>
            <w:vAlign w:val="bottom"/>
          </w:tcPr>
          <w:p w14:paraId="2E2AB437" w14:textId="7A33278D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7507FA4" w14:textId="533047DE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4834B18" w14:textId="43E33859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63D925E" w14:textId="2A3CAB44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324E72F" w14:textId="62993C4F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Ecatepec, Edo. Mex.</w:t>
            </w:r>
          </w:p>
        </w:tc>
        <w:tc>
          <w:tcPr>
            <w:tcW w:w="958" w:type="dxa"/>
            <w:vAlign w:val="bottom"/>
          </w:tcPr>
          <w:p w14:paraId="59C5B10B" w14:textId="71815601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84.3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025CAF7" w14:textId="2392CEB9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482E3E0" w14:textId="7ED2BBB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30CF898E" w14:textId="7C6CCE0E" w:rsidTr="003C72CA">
        <w:trPr>
          <w:trHeight w:hRule="exact" w:val="198"/>
        </w:trPr>
        <w:tc>
          <w:tcPr>
            <w:tcW w:w="2674" w:type="dxa"/>
            <w:vAlign w:val="bottom"/>
          </w:tcPr>
          <w:p w14:paraId="231829FE" w14:textId="3989D242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La Paz, B.C.S.</w:t>
            </w:r>
          </w:p>
        </w:tc>
        <w:tc>
          <w:tcPr>
            <w:tcW w:w="919" w:type="dxa"/>
            <w:vAlign w:val="bottom"/>
          </w:tcPr>
          <w:p w14:paraId="710FACCB" w14:textId="6B0ACDA2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32.0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164D871" w14:textId="76AA39D5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FECA793" w14:textId="01F2FE6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4D021B9" w14:textId="2BE4B47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FAA724E" w14:textId="090943D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Ciudad Nezahualcóyotl, Edo. Mex.</w:t>
            </w:r>
          </w:p>
        </w:tc>
        <w:tc>
          <w:tcPr>
            <w:tcW w:w="958" w:type="dxa"/>
            <w:vAlign w:val="bottom"/>
          </w:tcPr>
          <w:p w14:paraId="18EFCCE1" w14:textId="19AA1CDE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29387DA" w14:textId="73799BA0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71.8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529EC70" w14:textId="0826F460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4F06AA1D" w14:textId="6460808B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0CEABE3" w14:textId="31055CCE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Los Cabos, B.C.S. </w:t>
            </w:r>
            <w:r w:rsidRPr="00476ABE">
              <w:rPr>
                <w:color w:val="auto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19" w:type="dxa"/>
            <w:vAlign w:val="bottom"/>
          </w:tcPr>
          <w:p w14:paraId="23A4FFDA" w14:textId="0A4C571F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20.2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BF8269D" w14:textId="60ED7198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9D9A34C" w14:textId="7A44FEA4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9EE1566" w14:textId="79AE698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DB7C504" w14:textId="6865BE89" w:rsidR="00BC2BEC" w:rsidRPr="00476ABE" w:rsidRDefault="00BC2BEC" w:rsidP="00BC2BEC">
            <w:pPr>
              <w:autoSpaceDE w:val="0"/>
              <w:autoSpaceDN w:val="0"/>
              <w:adjustRightInd w:val="0"/>
              <w:ind w:right="-128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Naucalpan de Juárez, Edo. Mex.</w:t>
            </w:r>
          </w:p>
        </w:tc>
        <w:tc>
          <w:tcPr>
            <w:tcW w:w="958" w:type="dxa"/>
            <w:vAlign w:val="bottom"/>
          </w:tcPr>
          <w:p w14:paraId="1E0E17ED" w14:textId="46B50516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92.1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DB8A109" w14:textId="3AD869DA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84.2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5303813" w14:textId="0B0D20B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71982083" w14:textId="05E41A1B" w:rsidTr="003C72CA">
        <w:trPr>
          <w:trHeight w:hRule="exact" w:val="198"/>
        </w:trPr>
        <w:tc>
          <w:tcPr>
            <w:tcW w:w="2674" w:type="dxa"/>
            <w:vAlign w:val="bottom"/>
          </w:tcPr>
          <w:p w14:paraId="2C98955C" w14:textId="44BBA6C1" w:rsidR="00BC2BEC" w:rsidRPr="00476ABE" w:rsidRDefault="00BC2BEC" w:rsidP="00BC2BEC">
            <w:pPr>
              <w:autoSpaceDE w:val="0"/>
              <w:autoSpaceDN w:val="0"/>
              <w:adjustRightInd w:val="0"/>
              <w:ind w:right="-243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Campeche, Camp.</w:t>
            </w:r>
          </w:p>
        </w:tc>
        <w:tc>
          <w:tcPr>
            <w:tcW w:w="919" w:type="dxa"/>
            <w:vAlign w:val="bottom"/>
          </w:tcPr>
          <w:p w14:paraId="74A6C1DC" w14:textId="05A4FEA8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39.5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C681427" w14:textId="55906DC7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43.4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83F8BBD" w14:textId="74D5CE88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FD9E020" w14:textId="5D5A9CD5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4782229" w14:textId="31D2EB1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Tlalnepantla de Baz, Edo. Mex.</w:t>
            </w:r>
          </w:p>
        </w:tc>
        <w:tc>
          <w:tcPr>
            <w:tcW w:w="958" w:type="dxa"/>
            <w:vAlign w:val="bottom"/>
          </w:tcPr>
          <w:p w14:paraId="6FC36685" w14:textId="07BD3F31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640DE2C" w14:textId="370C8C1D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ACA3230" w14:textId="6B41E0F9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56C04C4" w14:textId="59F40DA3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6F718E5" w14:textId="6C971E73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Ciudad del Carmen, Camp.</w:t>
            </w:r>
          </w:p>
        </w:tc>
        <w:tc>
          <w:tcPr>
            <w:tcW w:w="919" w:type="dxa"/>
            <w:vAlign w:val="bottom"/>
          </w:tcPr>
          <w:p w14:paraId="5082CC1A" w14:textId="272F9258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63.8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4DCE327" w14:textId="1FE75739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65.9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4613724" w14:textId="5A1CEEE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903239C" w14:textId="335715F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87A0CB6" w14:textId="3CB44975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Atizapán de Zaragoza, Edo. Mex.</w:t>
            </w:r>
          </w:p>
        </w:tc>
        <w:tc>
          <w:tcPr>
            <w:tcW w:w="958" w:type="dxa"/>
            <w:vAlign w:val="bottom"/>
          </w:tcPr>
          <w:p w14:paraId="3D467151" w14:textId="339D5B92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2760A0A" w14:textId="350F9AD4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63.7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2BC1AE2" w14:textId="29C3E188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164909B5" w14:textId="055FFC77" w:rsidTr="003C72CA">
        <w:trPr>
          <w:trHeight w:hRule="exact" w:val="198"/>
        </w:trPr>
        <w:tc>
          <w:tcPr>
            <w:tcW w:w="2674" w:type="dxa"/>
            <w:vAlign w:val="bottom"/>
          </w:tcPr>
          <w:p w14:paraId="2B3868EF" w14:textId="28A2FF4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Saltillo,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2E1E6A59" w14:textId="7CD2533E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28.5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FE2A3C8" w14:textId="74F2D1F9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017160C" w14:textId="775D8F73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4B22C7D" w14:textId="408D1979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261826B" w14:textId="6DBBC7B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Chimalhuacán, Edo. Mex.</w:t>
            </w:r>
          </w:p>
        </w:tc>
        <w:tc>
          <w:tcPr>
            <w:tcW w:w="958" w:type="dxa"/>
            <w:vAlign w:val="bottom"/>
          </w:tcPr>
          <w:p w14:paraId="41D4EF87" w14:textId="3FB67E2D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83.4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0F5F1C6" w14:textId="1CBDCCDD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72.1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E6502BA" w14:textId="2D0E7CA9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5AC58F2B" w14:textId="14266B76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4A33FE46" w14:textId="347FD32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La Laguna, </w:t>
            </w:r>
            <w:proofErr w:type="spellStart"/>
            <w:proofErr w:type="gramStart"/>
            <w:r w:rsidRPr="00476ABE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.-</w:t>
            </w:r>
            <w:proofErr w:type="spellStart"/>
            <w:proofErr w:type="gramEnd"/>
            <w:r w:rsidRPr="00476ABE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 xml:space="preserve">. </w:t>
            </w:r>
            <w:r w:rsidRPr="00476ABE">
              <w:rPr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19" w:type="dxa"/>
            <w:vAlign w:val="bottom"/>
          </w:tcPr>
          <w:p w14:paraId="47AEAA75" w14:textId="3FD1209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2CE1AFB" w14:textId="02A9A855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49.2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ACC4D65" w14:textId="67A88A1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7EDC5CF" w14:textId="225607A6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7CA59A2" w14:textId="402E0FB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Cuautitlán Izcalli, Edo. Mex.</w:t>
            </w:r>
          </w:p>
        </w:tc>
        <w:tc>
          <w:tcPr>
            <w:tcW w:w="958" w:type="dxa"/>
            <w:vAlign w:val="bottom"/>
          </w:tcPr>
          <w:p w14:paraId="38DD87F9" w14:textId="2B61089B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79.8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5B6396B" w14:textId="795D3095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0F54684" w14:textId="1910A483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16EAFF13" w14:textId="7C9EF5B7" w:rsidTr="003C72CA">
        <w:trPr>
          <w:trHeight w:hRule="exact" w:val="198"/>
        </w:trPr>
        <w:tc>
          <w:tcPr>
            <w:tcW w:w="2674" w:type="dxa"/>
            <w:vAlign w:val="bottom"/>
          </w:tcPr>
          <w:p w14:paraId="6C678814" w14:textId="175FCE07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Piedras Negras,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5ADC54BC" w14:textId="44D78194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24.8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1AB98AC" w14:textId="0F8149AF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C71DD7C" w14:textId="560A4B6B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F0CD94C" w14:textId="2AC1EB6F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AF91824" w14:textId="5DA2B263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Morelia,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71200D9E" w14:textId="02BD6A18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73.7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B76001" w14:textId="707E579C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9455D6C" w14:textId="5EC24154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26C18A7B" w14:textId="751DE075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F47C274" w14:textId="09045309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Colima, Col.</w:t>
            </w:r>
          </w:p>
        </w:tc>
        <w:tc>
          <w:tcPr>
            <w:tcW w:w="919" w:type="dxa"/>
            <w:vAlign w:val="bottom"/>
          </w:tcPr>
          <w:p w14:paraId="1EFB9D1B" w14:textId="39F9BE11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66.5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5C6DACB" w14:textId="5DAD6F16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85.7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AE47589" w14:textId="3FB2A90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8C46A40" w14:textId="7A95229D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22CDE30" w14:textId="1B238C7F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Uruapan,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E548F1C" w14:textId="30DCA3BA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86.0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D02FD6F" w14:textId="63B714E4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638DBD2" w14:textId="59A593A4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DD79447" w14:textId="1E55CFBF" w:rsidTr="003C72CA">
        <w:trPr>
          <w:trHeight w:hRule="exact" w:val="198"/>
        </w:trPr>
        <w:tc>
          <w:tcPr>
            <w:tcW w:w="2674" w:type="dxa"/>
            <w:vAlign w:val="bottom"/>
          </w:tcPr>
          <w:p w14:paraId="388FB132" w14:textId="5522B63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Manzanillo, Col.</w:t>
            </w:r>
          </w:p>
        </w:tc>
        <w:tc>
          <w:tcPr>
            <w:tcW w:w="919" w:type="dxa"/>
            <w:vAlign w:val="bottom"/>
          </w:tcPr>
          <w:p w14:paraId="7B8DA8AC" w14:textId="5D9831FC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65.4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48CC2B4" w14:textId="67F0E434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E76A052" w14:textId="1534D00E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7161C61" w14:textId="697DE993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64B766E" w14:textId="748A20B9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Lázaro Cárdenas,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680B0E7C" w14:textId="5FC9D35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48.5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B37918D" w14:textId="1E10E4BF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D0F9EAA" w14:textId="4DF05B8E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C7806E2" w14:textId="3B46B627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67BCBC7" w14:textId="13B0FBDB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Tuxtla Gutiérrez, Chis.</w:t>
            </w:r>
          </w:p>
        </w:tc>
        <w:tc>
          <w:tcPr>
            <w:tcW w:w="919" w:type="dxa"/>
            <w:vAlign w:val="bottom"/>
          </w:tcPr>
          <w:p w14:paraId="36457EB0" w14:textId="21D5C0B8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31A0745" w14:textId="13AF3E15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7F9AB82" w14:textId="6479FD0B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895BA08" w14:textId="500C06AF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30EA82F" w14:textId="7BC2715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Cuernavaca, Mor.</w:t>
            </w:r>
          </w:p>
        </w:tc>
        <w:tc>
          <w:tcPr>
            <w:tcW w:w="958" w:type="dxa"/>
            <w:vAlign w:val="bottom"/>
          </w:tcPr>
          <w:p w14:paraId="445706C3" w14:textId="7909649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85.6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9AB5210" w14:textId="0370F0F6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2C6BA34" w14:textId="7E08DD84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FE56FEF" w14:textId="3CE23408" w:rsidTr="003C72CA">
        <w:trPr>
          <w:trHeight w:hRule="exact" w:val="198"/>
        </w:trPr>
        <w:tc>
          <w:tcPr>
            <w:tcW w:w="2674" w:type="dxa"/>
            <w:vAlign w:val="bottom"/>
          </w:tcPr>
          <w:p w14:paraId="74674C75" w14:textId="3406DD1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Tapachula, Chis.</w:t>
            </w:r>
          </w:p>
        </w:tc>
        <w:tc>
          <w:tcPr>
            <w:tcW w:w="919" w:type="dxa"/>
            <w:vAlign w:val="bottom"/>
          </w:tcPr>
          <w:p w14:paraId="39ED25AE" w14:textId="2C412965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78.7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9CB63BE" w14:textId="08ACC36D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87F9DB9" w14:textId="1A7482C3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ABE6090" w14:textId="1035516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248B6DC6" w14:textId="7A3FDE0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Tepic, Nay.</w:t>
            </w:r>
          </w:p>
        </w:tc>
        <w:tc>
          <w:tcPr>
            <w:tcW w:w="958" w:type="dxa"/>
            <w:vAlign w:val="bottom"/>
          </w:tcPr>
          <w:p w14:paraId="13FF0944" w14:textId="6B6D922A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37.4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A13425B" w14:textId="7A14619C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CF2FA43" w14:textId="233C80F3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C8E4914" w14:textId="2077B0A3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F16499D" w14:textId="1B5B4645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Chihuahua, Chih.</w:t>
            </w:r>
          </w:p>
        </w:tc>
        <w:tc>
          <w:tcPr>
            <w:tcW w:w="919" w:type="dxa"/>
            <w:vAlign w:val="bottom"/>
          </w:tcPr>
          <w:p w14:paraId="6512CD98" w14:textId="788A592D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D663DF3" w14:textId="105DC862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51.0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8E3BA0D" w14:textId="563AAAB1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663652C" w14:textId="2A820D2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E2D3747" w14:textId="2B5DCBFB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Monterrey, N.L.</w:t>
            </w:r>
          </w:p>
        </w:tc>
        <w:tc>
          <w:tcPr>
            <w:tcW w:w="958" w:type="dxa"/>
            <w:vAlign w:val="bottom"/>
          </w:tcPr>
          <w:p w14:paraId="07AE8706" w14:textId="3AEC51B7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69.1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D7E97B1" w14:textId="1AE20035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AC01DF4" w14:textId="7B71BD90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9F36314" w14:textId="2749F115" w:rsidTr="003C72CA">
        <w:trPr>
          <w:trHeight w:hRule="exact" w:val="198"/>
        </w:trPr>
        <w:tc>
          <w:tcPr>
            <w:tcW w:w="2674" w:type="dxa"/>
            <w:vAlign w:val="bottom"/>
          </w:tcPr>
          <w:p w14:paraId="48706296" w14:textId="7F0ED340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Ciudad Juárez, Chih.</w:t>
            </w:r>
          </w:p>
        </w:tc>
        <w:tc>
          <w:tcPr>
            <w:tcW w:w="919" w:type="dxa"/>
            <w:vAlign w:val="bottom"/>
          </w:tcPr>
          <w:p w14:paraId="1A82F0A8" w14:textId="6DB1DF4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73.3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C57208B" w14:textId="2FE2EF48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3AFFA10" w14:textId="66ADA810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5884139" w14:textId="036563BD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73B018B" w14:textId="5E9001A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San Pedro Garza García, N.L.</w:t>
            </w:r>
          </w:p>
        </w:tc>
        <w:tc>
          <w:tcPr>
            <w:tcW w:w="958" w:type="dxa"/>
            <w:vAlign w:val="bottom"/>
          </w:tcPr>
          <w:p w14:paraId="2DB72988" w14:textId="6F172C7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16.2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6C11FF2" w14:textId="5C615464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11.7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AB28B7E" w14:textId="2A175F1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478565D5" w14:textId="0E9E4AF3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19F3661" w14:textId="20A3DB67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Gustavo A. Madero, CDMX</w:t>
            </w:r>
          </w:p>
        </w:tc>
        <w:tc>
          <w:tcPr>
            <w:tcW w:w="919" w:type="dxa"/>
            <w:vAlign w:val="bottom"/>
          </w:tcPr>
          <w:p w14:paraId="53F5E773" w14:textId="20C3849D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68.1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BBD1A2C" w14:textId="698DDEB6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72.3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BBB2ED6" w14:textId="305F8EDF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0A1BE6F" w14:textId="4EAC4B8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81387DC" w14:textId="2A63A34A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Apodaca, N.L. </w:t>
            </w:r>
          </w:p>
        </w:tc>
        <w:tc>
          <w:tcPr>
            <w:tcW w:w="958" w:type="dxa"/>
            <w:vAlign w:val="bottom"/>
          </w:tcPr>
          <w:p w14:paraId="404FCD1A" w14:textId="7146E154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37.6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07C318A" w14:textId="63F44628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43.0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9AE0E83" w14:textId="4D45309A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1DA833A" w14:textId="556FA74F" w:rsidTr="003C72CA">
        <w:trPr>
          <w:trHeight w:hRule="exact" w:val="198"/>
        </w:trPr>
        <w:tc>
          <w:tcPr>
            <w:tcW w:w="2674" w:type="dxa"/>
            <w:vAlign w:val="bottom"/>
          </w:tcPr>
          <w:p w14:paraId="39669B2A" w14:textId="5AEF67C9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Iztacalco, CDMX</w:t>
            </w:r>
          </w:p>
        </w:tc>
        <w:tc>
          <w:tcPr>
            <w:tcW w:w="919" w:type="dxa"/>
            <w:vAlign w:val="bottom"/>
          </w:tcPr>
          <w:p w14:paraId="305B7E10" w14:textId="5CA1D24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73.5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100038E" w14:textId="6A60377C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68.2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FF88F38" w14:textId="3B80882F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8952CF6" w14:textId="0700ACF9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DEAB30E" w14:textId="77A614EC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Guadalupe, N.L.</w:t>
            </w:r>
          </w:p>
        </w:tc>
        <w:tc>
          <w:tcPr>
            <w:tcW w:w="958" w:type="dxa"/>
            <w:vAlign w:val="bottom"/>
          </w:tcPr>
          <w:p w14:paraId="3FE40A2F" w14:textId="20A6A95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52.4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A678EB5" w14:textId="3B8D779F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55.4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77254DF" w14:textId="63E45B32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80920AF" w14:textId="382EBA51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D8BC3B9" w14:textId="62853151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Venustiano Carranza, CDMX</w:t>
            </w:r>
          </w:p>
        </w:tc>
        <w:tc>
          <w:tcPr>
            <w:tcW w:w="919" w:type="dxa"/>
            <w:vAlign w:val="bottom"/>
          </w:tcPr>
          <w:p w14:paraId="25E084F2" w14:textId="6908F266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15911C1" w14:textId="4276DB1D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4D1D43A" w14:textId="510C79F4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10AEAC9" w14:textId="70C3A54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ADDFA68" w14:textId="1F1A7E1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General Escobedo, N.L.</w:t>
            </w:r>
          </w:p>
        </w:tc>
        <w:tc>
          <w:tcPr>
            <w:tcW w:w="958" w:type="dxa"/>
            <w:vAlign w:val="bottom"/>
          </w:tcPr>
          <w:p w14:paraId="10DC5C5F" w14:textId="76FE960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44.0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0D07443" w14:textId="7CA08462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57.3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3AE7DF4" w14:textId="6842810F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2686D028" w14:textId="0822F341" w:rsidTr="003C72CA">
        <w:trPr>
          <w:trHeight w:hRule="exact" w:val="198"/>
        </w:trPr>
        <w:tc>
          <w:tcPr>
            <w:tcW w:w="2674" w:type="dxa"/>
            <w:vAlign w:val="bottom"/>
          </w:tcPr>
          <w:p w14:paraId="1AB2D1A1" w14:textId="66C32CBE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Benito Juárez, CDMX</w:t>
            </w:r>
          </w:p>
        </w:tc>
        <w:tc>
          <w:tcPr>
            <w:tcW w:w="919" w:type="dxa"/>
            <w:vAlign w:val="bottom"/>
          </w:tcPr>
          <w:p w14:paraId="5920DFD5" w14:textId="3BAAE5AF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27.5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D37E01E" w14:textId="221222B2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25.0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B398917" w14:textId="5205281A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39DD4C3" w14:textId="00C75CA3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8F80BF8" w14:textId="7BB38F50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San Nicolás de los Garza, N.L.</w:t>
            </w:r>
          </w:p>
        </w:tc>
        <w:tc>
          <w:tcPr>
            <w:tcW w:w="958" w:type="dxa"/>
            <w:vAlign w:val="bottom"/>
          </w:tcPr>
          <w:p w14:paraId="7EEFD55F" w14:textId="0B4706DE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24.6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1D9AB20" w14:textId="143BEEFA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FDAB099" w14:textId="24FA96A2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2B32D1DC" w14:textId="43B5A8F6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278F71A" w14:textId="6B2CFD23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Coyoacán, CDMX</w:t>
            </w:r>
          </w:p>
        </w:tc>
        <w:tc>
          <w:tcPr>
            <w:tcW w:w="919" w:type="dxa"/>
            <w:vAlign w:val="bottom"/>
          </w:tcPr>
          <w:p w14:paraId="75AC5471" w14:textId="456B1C31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42.7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F307580" w14:textId="681EDE6A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55.3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2BDE1A2" w14:textId="66F90675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118A969" w14:textId="25418188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A27E901" w14:textId="3FB004E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Santa Catarina, N.L.</w:t>
            </w:r>
          </w:p>
        </w:tc>
        <w:tc>
          <w:tcPr>
            <w:tcW w:w="958" w:type="dxa"/>
            <w:vAlign w:val="bottom"/>
          </w:tcPr>
          <w:p w14:paraId="08228643" w14:textId="7A91DC9B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33.5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F8562FA" w14:textId="67B4C2E3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61.2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B1FB4DE" w14:textId="10DCFB9F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68F087BD" w14:textId="7A6A77C5" w:rsidTr="003C72CA">
        <w:trPr>
          <w:trHeight w:hRule="exact" w:val="198"/>
        </w:trPr>
        <w:tc>
          <w:tcPr>
            <w:tcW w:w="2674" w:type="dxa"/>
            <w:vAlign w:val="bottom"/>
          </w:tcPr>
          <w:p w14:paraId="28A4DA0F" w14:textId="09BC84C7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La Magdalena Contreras, CDMX</w:t>
            </w:r>
          </w:p>
        </w:tc>
        <w:tc>
          <w:tcPr>
            <w:tcW w:w="919" w:type="dxa"/>
            <w:vAlign w:val="bottom"/>
          </w:tcPr>
          <w:p w14:paraId="574E31A9" w14:textId="182B683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69.6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DD413C8" w14:textId="46243ABC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65.6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0BEB3A8" w14:textId="25E7767C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C07D55E" w14:textId="5985E568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3915EC6" w14:textId="4D0CC60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Oaxaca,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Oax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AEDB3DD" w14:textId="4C0DD4CF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71.4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C19E845" w14:textId="142A574F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69.9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181B993" w14:textId="1A882347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D54AD45" w14:textId="48B923BA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74DAABA9" w14:textId="5ED42C1D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Tlalpan, CDMX</w:t>
            </w:r>
          </w:p>
        </w:tc>
        <w:tc>
          <w:tcPr>
            <w:tcW w:w="919" w:type="dxa"/>
            <w:vAlign w:val="bottom"/>
          </w:tcPr>
          <w:p w14:paraId="03F87479" w14:textId="6DDB47E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72.5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D990605" w14:textId="0ECE19E5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3941CF3" w14:textId="6652D8B2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288D345" w14:textId="007E7A0C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61DD5CE" w14:textId="5D85C91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Puebla, Pue.</w:t>
            </w:r>
          </w:p>
        </w:tc>
        <w:tc>
          <w:tcPr>
            <w:tcW w:w="958" w:type="dxa"/>
            <w:vAlign w:val="bottom"/>
          </w:tcPr>
          <w:p w14:paraId="71A03492" w14:textId="2CD7EA2A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A0DC53E" w14:textId="796A572B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19C82EC" w14:textId="1262DBEC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773C0B1C" w14:textId="6C573DDF" w:rsidTr="003C72CA">
        <w:trPr>
          <w:trHeight w:hRule="exact" w:val="198"/>
        </w:trPr>
        <w:tc>
          <w:tcPr>
            <w:tcW w:w="2674" w:type="dxa"/>
            <w:vAlign w:val="bottom"/>
          </w:tcPr>
          <w:p w14:paraId="75991964" w14:textId="6EBA0526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Iztapalapa, CDMX</w:t>
            </w:r>
          </w:p>
        </w:tc>
        <w:tc>
          <w:tcPr>
            <w:tcW w:w="919" w:type="dxa"/>
            <w:vAlign w:val="bottom"/>
          </w:tcPr>
          <w:p w14:paraId="0D70179A" w14:textId="357352F6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046359B" w14:textId="2475362C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F445561" w14:textId="43D446C2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08339CD" w14:textId="642735B5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54D33AF" w14:textId="68218B29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Querétaro,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Qro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7DC47B9D" w14:textId="023BF2FC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39.7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C73B54" w14:textId="09A881CA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48.1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9ED7F4F" w14:textId="1809F4BE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5C613CE" w14:textId="5739E346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4FA3DAAC" w14:textId="599D3B2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Milpa Alta, CDMX </w:t>
            </w:r>
          </w:p>
        </w:tc>
        <w:tc>
          <w:tcPr>
            <w:tcW w:w="919" w:type="dxa"/>
            <w:vAlign w:val="bottom"/>
          </w:tcPr>
          <w:p w14:paraId="5C08DAB7" w14:textId="3F34ACDE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53.8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ABB7D57" w14:textId="276FA454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50.8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0671611" w14:textId="7846ADA4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5C44ACB" w14:textId="3C418D49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67645EF" w14:textId="63E0FFDB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Cancún, Q. Roo</w:t>
            </w:r>
          </w:p>
        </w:tc>
        <w:tc>
          <w:tcPr>
            <w:tcW w:w="958" w:type="dxa"/>
            <w:vAlign w:val="bottom"/>
          </w:tcPr>
          <w:p w14:paraId="7265A2C9" w14:textId="0FD758FE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85.5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022E55E" w14:textId="17CF7AFD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80.0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2D0CBA5" w14:textId="652A161C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2ABFF8BD" w14:textId="7F216343" w:rsidTr="003C72CA">
        <w:trPr>
          <w:trHeight w:hRule="exact" w:val="198"/>
        </w:trPr>
        <w:tc>
          <w:tcPr>
            <w:tcW w:w="2674" w:type="dxa"/>
            <w:vAlign w:val="bottom"/>
          </w:tcPr>
          <w:p w14:paraId="136230F9" w14:textId="63A037A1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Tláhuac, CDMX</w:t>
            </w:r>
          </w:p>
        </w:tc>
        <w:tc>
          <w:tcPr>
            <w:tcW w:w="919" w:type="dxa"/>
            <w:vAlign w:val="bottom"/>
          </w:tcPr>
          <w:p w14:paraId="38FD7A9A" w14:textId="01746D6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65.9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F553DFC" w14:textId="75B901D5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CDE374F" w14:textId="6974C0F1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437D6CC" w14:textId="2DC6560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D381976" w14:textId="016FCCAF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Chetumal, Q. Roo</w:t>
            </w:r>
          </w:p>
        </w:tc>
        <w:tc>
          <w:tcPr>
            <w:tcW w:w="958" w:type="dxa"/>
            <w:vAlign w:val="bottom"/>
          </w:tcPr>
          <w:p w14:paraId="4C35BD67" w14:textId="1AAD8CF6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69.0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4AFE3B9" w14:textId="62F0354E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EE9F7E0" w14:textId="2ABDF1C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0AEA9A07" w14:textId="30D73401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725A23D" w14:textId="7D7F294D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Xochimilco, CDMX</w:t>
            </w:r>
          </w:p>
        </w:tc>
        <w:tc>
          <w:tcPr>
            <w:tcW w:w="919" w:type="dxa"/>
            <w:vAlign w:val="bottom"/>
          </w:tcPr>
          <w:p w14:paraId="59CDEA6E" w14:textId="17EF2A99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BA769DB" w14:textId="75FDCD9B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FBDB9C2" w14:textId="4F539C9C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094E5F9" w14:textId="3FBC957E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B47857C" w14:textId="1CB8969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San Luis Potosí, S.L.P.</w:t>
            </w:r>
          </w:p>
        </w:tc>
        <w:tc>
          <w:tcPr>
            <w:tcW w:w="958" w:type="dxa"/>
            <w:vAlign w:val="bottom"/>
          </w:tcPr>
          <w:p w14:paraId="21D89B9F" w14:textId="172C58C5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DD6F7BC" w14:textId="5841DB06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AF2C5DB" w14:textId="4B3AAA1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9B85462" w14:textId="5E9D44F0" w:rsidTr="003C72CA">
        <w:trPr>
          <w:trHeight w:hRule="exact" w:val="198"/>
        </w:trPr>
        <w:tc>
          <w:tcPr>
            <w:tcW w:w="2674" w:type="dxa"/>
            <w:vAlign w:val="bottom"/>
          </w:tcPr>
          <w:p w14:paraId="3A8D562C" w14:textId="294B57CE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Álvaro Obregón, CDMX</w:t>
            </w:r>
          </w:p>
        </w:tc>
        <w:tc>
          <w:tcPr>
            <w:tcW w:w="919" w:type="dxa"/>
            <w:vAlign w:val="bottom"/>
          </w:tcPr>
          <w:p w14:paraId="5B2FB30B" w14:textId="69F4B9F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FF49DC3" w14:textId="364F85F1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7E9D35" w14:textId="55FEECB0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65529D6" w14:textId="5C8C3FF6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C32FB71" w14:textId="19B9542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Culiacán, Sin.</w:t>
            </w:r>
          </w:p>
        </w:tc>
        <w:tc>
          <w:tcPr>
            <w:tcW w:w="958" w:type="dxa"/>
            <w:vAlign w:val="bottom"/>
          </w:tcPr>
          <w:p w14:paraId="0AE4EBE8" w14:textId="68ED3AD8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56.3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B3ACC32" w14:textId="00F55BD1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26A97FC" w14:textId="4E82EFE2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1C422D1" w14:textId="5E556E7E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C741E78" w14:textId="08AE4715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Azcapotzalco, CDMX</w:t>
            </w:r>
          </w:p>
        </w:tc>
        <w:tc>
          <w:tcPr>
            <w:tcW w:w="919" w:type="dxa"/>
            <w:vAlign w:val="bottom"/>
          </w:tcPr>
          <w:p w14:paraId="5DC18B67" w14:textId="3F1B480A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77.4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50DD5E4" w14:textId="79F666ED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82.9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5A04D1E" w14:textId="74AFCA2B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ED3861C" w14:textId="6EBA27F3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3CCCACB" w14:textId="494C86CF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Mazatlán, Sin.</w:t>
            </w:r>
          </w:p>
        </w:tc>
        <w:tc>
          <w:tcPr>
            <w:tcW w:w="958" w:type="dxa"/>
            <w:vAlign w:val="bottom"/>
          </w:tcPr>
          <w:p w14:paraId="128CB9CC" w14:textId="01B71A58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46.1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BC077E3" w14:textId="39F2F3A8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E7CD0B6" w14:textId="44D3EF29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65E7809" w14:textId="655F9009" w:rsidTr="003C72CA">
        <w:trPr>
          <w:trHeight w:hRule="exact" w:val="198"/>
        </w:trPr>
        <w:tc>
          <w:tcPr>
            <w:tcW w:w="2674" w:type="dxa"/>
            <w:vAlign w:val="bottom"/>
          </w:tcPr>
          <w:p w14:paraId="26F5932E" w14:textId="167A4103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Cuajimalpa de Morelos, CDMX</w:t>
            </w:r>
          </w:p>
        </w:tc>
        <w:tc>
          <w:tcPr>
            <w:tcW w:w="919" w:type="dxa"/>
            <w:vAlign w:val="bottom"/>
          </w:tcPr>
          <w:p w14:paraId="361C185D" w14:textId="4DA653E2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39.0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EDF7AA7" w14:textId="1D732FB8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4FD2DBA" w14:textId="320FC49D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E7154D4" w14:textId="11BB2EC0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2CCFFBBE" w14:textId="083C2F45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Los Mochis, Sin.</w:t>
            </w:r>
          </w:p>
        </w:tc>
        <w:tc>
          <w:tcPr>
            <w:tcW w:w="958" w:type="dxa"/>
            <w:vAlign w:val="bottom"/>
          </w:tcPr>
          <w:p w14:paraId="41F980BD" w14:textId="5737B4EA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28.9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BCCAEE6" w14:textId="7FFD0079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27.2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E2592C5" w14:textId="5B1070D8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24CF1199" w14:textId="227C5FD1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2C48293A" w14:textId="661171F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Cuauhtémoc, CDMX</w:t>
            </w:r>
          </w:p>
        </w:tc>
        <w:tc>
          <w:tcPr>
            <w:tcW w:w="919" w:type="dxa"/>
            <w:vAlign w:val="bottom"/>
          </w:tcPr>
          <w:p w14:paraId="67626F9C" w14:textId="4BB31CC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61.1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6608FD5" w14:textId="75BF7527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64.9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D422D9A" w14:textId="52C059D1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17AC842" w14:textId="69195EF8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E613257" w14:textId="4E20B954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Hermosillo, Son.</w:t>
            </w:r>
          </w:p>
        </w:tc>
        <w:tc>
          <w:tcPr>
            <w:tcW w:w="958" w:type="dxa"/>
            <w:vAlign w:val="bottom"/>
          </w:tcPr>
          <w:p w14:paraId="51D50D72" w14:textId="3F2A9DA8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59.5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71AB8C" w14:textId="4D7498DD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58.6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749D02" w14:textId="1DE18490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77EF7879" w14:textId="4CB82586" w:rsidTr="003C72CA">
        <w:trPr>
          <w:trHeight w:hRule="exact" w:val="198"/>
        </w:trPr>
        <w:tc>
          <w:tcPr>
            <w:tcW w:w="2674" w:type="dxa"/>
            <w:vAlign w:val="bottom"/>
          </w:tcPr>
          <w:p w14:paraId="34F9521F" w14:textId="7E8ADC1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Miguel Hidalgo, CDMX</w:t>
            </w:r>
          </w:p>
        </w:tc>
        <w:tc>
          <w:tcPr>
            <w:tcW w:w="919" w:type="dxa"/>
            <w:vAlign w:val="bottom"/>
          </w:tcPr>
          <w:p w14:paraId="5BD03FBC" w14:textId="689C361A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F29EC48" w14:textId="30B780E7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64.5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0B75FAB" w14:textId="3FD98855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65A6FF4" w14:textId="2EDC33AE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685CFC3" w14:textId="70B563FD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Nogales, Son.</w:t>
            </w:r>
          </w:p>
        </w:tc>
        <w:tc>
          <w:tcPr>
            <w:tcW w:w="958" w:type="dxa"/>
            <w:vAlign w:val="bottom"/>
          </w:tcPr>
          <w:p w14:paraId="468049CD" w14:textId="51AB3D40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55.3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29C0EC5" w14:textId="53DB48A6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F8470AD" w14:textId="075718D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1792BED1" w14:textId="26E38560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2D34317" w14:textId="3394DDC5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Durango,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0DC1B063" w14:textId="0E85A55E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43.6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A987013" w14:textId="1DF63573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45.1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26EC1D2" w14:textId="3F989FFD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51065E4" w14:textId="42B8C5F0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1219F45" w14:textId="04BA9C8B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Ciudad Obregón, Son.</w:t>
            </w:r>
          </w:p>
        </w:tc>
        <w:tc>
          <w:tcPr>
            <w:tcW w:w="958" w:type="dxa"/>
            <w:vAlign w:val="bottom"/>
          </w:tcPr>
          <w:p w14:paraId="01E7B977" w14:textId="501AA921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95.0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1C2C1D4" w14:textId="3F67C777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1807644" w14:textId="6078EE86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2176CF6B" w14:textId="3845BFA2" w:rsidTr="003C72CA">
        <w:trPr>
          <w:trHeight w:hRule="exact" w:val="198"/>
        </w:trPr>
        <w:tc>
          <w:tcPr>
            <w:tcW w:w="2674" w:type="dxa"/>
            <w:vAlign w:val="bottom"/>
          </w:tcPr>
          <w:p w14:paraId="758D8F11" w14:textId="732247D4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León,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52B66394" w14:textId="4C4A8D55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A170DE4" w14:textId="646AAB3A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B0673F3" w14:textId="55FECD75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17CB79A" w14:textId="7E0E70B3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89C4545" w14:textId="0C991656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Villahermosa,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Tab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2E1A35FE" w14:textId="11847B66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82.5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E962784" w14:textId="74642596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6D574C7" w14:textId="284C9B16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1FDB8EBB" w14:textId="25EDF42D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639AAD13" w14:textId="28B8F39E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Guanajuato,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3FEE8C31" w14:textId="34F46C7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8508EB" w14:textId="331859C7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CBFA35F" w14:textId="4E7460F2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3B40666" w14:textId="6A358AC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C664788" w14:textId="48D94215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Tampico,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1AD2E308" w14:textId="28D78295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25.3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75C6D58" w14:textId="57F09C9F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4BD1BD2" w14:textId="7D0FF10B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98119DE" w14:textId="55E106FA" w:rsidTr="003C72CA">
        <w:trPr>
          <w:trHeight w:hRule="exact" w:val="198"/>
        </w:trPr>
        <w:tc>
          <w:tcPr>
            <w:tcW w:w="2674" w:type="dxa"/>
            <w:vAlign w:val="bottom"/>
          </w:tcPr>
          <w:p w14:paraId="1DBCFE90" w14:textId="61B57AB0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Irapuato,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767E9A60" w14:textId="038EC18C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1F53A53" w14:textId="239FE0B8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772DFDF" w14:textId="179A6035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7CB8041" w14:textId="5EEB6447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504326E" w14:textId="273A7BE3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Reynosa,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D0F6042" w14:textId="2B0F8613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75.1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1EC8398" w14:textId="02059A9B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83.2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4D58DCC" w14:textId="6CA6065F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*</w:t>
            </w:r>
          </w:p>
        </w:tc>
      </w:tr>
      <w:tr w:rsidR="00BC2BEC" w:rsidRPr="00476ABE" w14:paraId="07CBA4AB" w14:textId="7FAD90F0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96B5AC8" w14:textId="57005FC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Acapulco, Gro.</w:t>
            </w:r>
          </w:p>
        </w:tc>
        <w:tc>
          <w:tcPr>
            <w:tcW w:w="919" w:type="dxa"/>
            <w:vAlign w:val="bottom"/>
          </w:tcPr>
          <w:p w14:paraId="46866E3E" w14:textId="4D784197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E401438" w14:textId="55CB369E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DE0564B" w14:textId="15065656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B547E0F" w14:textId="1D3FF9B4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374FDDC" w14:textId="55C48C98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Nuevo Laredo,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A3BB6DD" w14:textId="29E49F7B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70.4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FE3233D" w14:textId="6842EEA9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09E527B" w14:textId="7F0C969D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62D7C4B" w14:textId="14CF05F0" w:rsidTr="003C72CA">
        <w:trPr>
          <w:trHeight w:hRule="exact" w:val="198"/>
        </w:trPr>
        <w:tc>
          <w:tcPr>
            <w:tcW w:w="2674" w:type="dxa"/>
            <w:vAlign w:val="bottom"/>
          </w:tcPr>
          <w:p w14:paraId="3CC6C961" w14:textId="5A6936DF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Chilpancingo, Gro.</w:t>
            </w:r>
          </w:p>
        </w:tc>
        <w:tc>
          <w:tcPr>
            <w:tcW w:w="919" w:type="dxa"/>
            <w:vAlign w:val="bottom"/>
          </w:tcPr>
          <w:p w14:paraId="31286D19" w14:textId="4BB040D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6EE3045" w14:textId="6237DA3E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76.5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8097A12" w14:textId="3F51F108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ABEBF41" w14:textId="025B6A4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2BBE193" w14:textId="06FF0C37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Ciudad Victoria,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2CC9B0C0" w14:textId="49C20884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55.9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08E8267" w14:textId="6D8580E4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5238614" w14:textId="066BC01C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43D5D1B" w14:textId="1EDB8875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1A05F8AE" w14:textId="487E500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Ixtapa-Zihuatanejo, Gro.</w:t>
            </w:r>
          </w:p>
        </w:tc>
        <w:tc>
          <w:tcPr>
            <w:tcW w:w="919" w:type="dxa"/>
            <w:vAlign w:val="bottom"/>
          </w:tcPr>
          <w:p w14:paraId="7221DDDC" w14:textId="6BDC633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61.3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8493909" w14:textId="70F42269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58.4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AEDD569" w14:textId="7F727D1F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C1DC857" w14:textId="6A215251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2D9B82AE" w14:textId="46ED5089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Tlaxcala,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Tlax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1F11538" w14:textId="7F3F1D24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49.1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8C7CE2C" w14:textId="50A9A73E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56.7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70EA627" w14:textId="6C7DF79D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5998F22B" w14:textId="3809021B" w:rsidTr="003C72CA">
        <w:trPr>
          <w:trHeight w:hRule="exact" w:val="198"/>
        </w:trPr>
        <w:tc>
          <w:tcPr>
            <w:tcW w:w="2674" w:type="dxa"/>
            <w:vAlign w:val="bottom"/>
          </w:tcPr>
          <w:p w14:paraId="41299699" w14:textId="5AD7CDA2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Pachuca,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Hgo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19" w:type="dxa"/>
            <w:vAlign w:val="bottom"/>
          </w:tcPr>
          <w:p w14:paraId="7383317D" w14:textId="141B823E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49.3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B0E744F" w14:textId="4CBB84E3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53.1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12B3E2" w14:textId="1BD8CAFA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490C3C1" w14:textId="6120D185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0B2A0C7" w14:textId="0FA3C8C0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Veracruz, Ver.</w:t>
            </w:r>
          </w:p>
        </w:tc>
        <w:tc>
          <w:tcPr>
            <w:tcW w:w="958" w:type="dxa"/>
            <w:vAlign w:val="bottom"/>
          </w:tcPr>
          <w:p w14:paraId="5FCEA7B7" w14:textId="0AC70678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62.9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60504E1" w14:textId="662DE730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CA29AC7" w14:textId="63ECB890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08BA12C2" w14:textId="15189D63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5B8F51EE" w14:textId="1751AD2A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Guadalajara, Jal.</w:t>
            </w:r>
          </w:p>
        </w:tc>
        <w:tc>
          <w:tcPr>
            <w:tcW w:w="919" w:type="dxa"/>
            <w:vAlign w:val="bottom"/>
          </w:tcPr>
          <w:p w14:paraId="24471066" w14:textId="74B67546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81.7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54CD2F9" w14:textId="0E12CA50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D6E4923" w14:textId="41DC4A1F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F4683F4" w14:textId="15F840FB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F411E40" w14:textId="3AED7B46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Coatzacoalcos, Ver.</w:t>
            </w:r>
          </w:p>
        </w:tc>
        <w:tc>
          <w:tcPr>
            <w:tcW w:w="958" w:type="dxa"/>
            <w:vAlign w:val="bottom"/>
          </w:tcPr>
          <w:p w14:paraId="10326BC6" w14:textId="479ACCE9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85.6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95D3B55" w14:textId="46B5125C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C5A9150" w14:textId="06714BC7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6D4DE4C7" w14:textId="6985ACA9" w:rsidTr="003C72CA">
        <w:trPr>
          <w:trHeight w:hRule="exact" w:val="198"/>
        </w:trPr>
        <w:tc>
          <w:tcPr>
            <w:tcW w:w="2674" w:type="dxa"/>
            <w:vAlign w:val="bottom"/>
          </w:tcPr>
          <w:p w14:paraId="656E5F16" w14:textId="7112523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Tonalá, Jal.</w:t>
            </w:r>
          </w:p>
        </w:tc>
        <w:tc>
          <w:tcPr>
            <w:tcW w:w="919" w:type="dxa"/>
            <w:vAlign w:val="bottom"/>
          </w:tcPr>
          <w:p w14:paraId="5642BB30" w14:textId="19751093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80.1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914055D" w14:textId="7C911853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1CEFF27" w14:textId="0C0F7A17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01EB452" w14:textId="3AF8B1EF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4F8B170" w14:textId="42E5FF5A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Xalapa, Ver.</w:t>
            </w:r>
          </w:p>
        </w:tc>
        <w:tc>
          <w:tcPr>
            <w:tcW w:w="958" w:type="dxa"/>
            <w:vAlign w:val="bottom"/>
          </w:tcPr>
          <w:p w14:paraId="33BBF513" w14:textId="6E43D17C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58.8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CB59625" w14:textId="39CC3C7A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83DC050" w14:textId="015A94FA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57910DD2" w14:textId="77777777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056189D1" w14:textId="49C76D18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Tlajomulco de Zúñiga, Jal.</w:t>
            </w:r>
          </w:p>
        </w:tc>
        <w:tc>
          <w:tcPr>
            <w:tcW w:w="919" w:type="dxa"/>
            <w:vAlign w:val="bottom"/>
          </w:tcPr>
          <w:p w14:paraId="09F0D785" w14:textId="5BE31C6E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72.3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788AC74" w14:textId="076B1BC0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14CE59C" w14:textId="2D293EFA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E117B19" w14:textId="19EE7730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4FAC375C" w14:textId="19F33330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Mérida, </w:t>
            </w:r>
            <w:proofErr w:type="spellStart"/>
            <w:r w:rsidRPr="00476ABE">
              <w:rPr>
                <w:color w:val="auto"/>
                <w:sz w:val="16"/>
                <w:szCs w:val="16"/>
              </w:rPr>
              <w:t>Yuc</w:t>
            </w:r>
            <w:proofErr w:type="spellEnd"/>
            <w:r w:rsidRPr="00476ABE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1CD4B6FD" w14:textId="62795809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27.9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77CD756" w14:textId="1C540877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22.4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B5DC665" w14:textId="3DBEDC83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5DA87150" w14:textId="77777777" w:rsidTr="003C72CA">
        <w:trPr>
          <w:trHeight w:hRule="exact" w:val="198"/>
        </w:trPr>
        <w:tc>
          <w:tcPr>
            <w:tcW w:w="2674" w:type="dxa"/>
            <w:vAlign w:val="bottom"/>
          </w:tcPr>
          <w:p w14:paraId="526320AD" w14:textId="4EE8BED7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San Pedro Tlaquepaque, Jal.</w:t>
            </w:r>
          </w:p>
        </w:tc>
        <w:tc>
          <w:tcPr>
            <w:tcW w:w="919" w:type="dxa"/>
            <w:vAlign w:val="bottom"/>
          </w:tcPr>
          <w:p w14:paraId="3FE96DF4" w14:textId="36EE2704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74.3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92C1310" w14:textId="7B0DF254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68.9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AE43C75" w14:textId="36692F32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0F020DC" w14:textId="77777777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7294EEB" w14:textId="67AA3875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Zacatecas, Zac.</w:t>
            </w:r>
          </w:p>
        </w:tc>
        <w:tc>
          <w:tcPr>
            <w:tcW w:w="958" w:type="dxa"/>
            <w:vAlign w:val="bottom"/>
          </w:tcPr>
          <w:p w14:paraId="36C573A6" w14:textId="50AA8842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89.4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FF27ED2" w14:textId="09DD312A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4F81E20" w14:textId="60CC183D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BC2BEC" w:rsidRPr="00476ABE" w14:paraId="50CB7FDA" w14:textId="77777777" w:rsidTr="003C72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74" w:type="dxa"/>
            <w:vAlign w:val="bottom"/>
          </w:tcPr>
          <w:p w14:paraId="31CE3382" w14:textId="4E780FDB" w:rsidR="00BC2BEC" w:rsidRPr="00476ABE" w:rsidRDefault="00BC2BEC" w:rsidP="00BC2BEC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Zapopan, Jal.</w:t>
            </w:r>
          </w:p>
        </w:tc>
        <w:tc>
          <w:tcPr>
            <w:tcW w:w="919" w:type="dxa"/>
            <w:vAlign w:val="bottom"/>
          </w:tcPr>
          <w:p w14:paraId="4E9ABD1F" w14:textId="35A7DB7B" w:rsidR="00BC2BEC" w:rsidRPr="00476ABE" w:rsidRDefault="00BC2BEC" w:rsidP="00BC2BEC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1561F43" w14:textId="0CF87DBC" w:rsidR="00BC2BEC" w:rsidRPr="00476ABE" w:rsidRDefault="00BC2BEC" w:rsidP="00BC2BEC">
            <w:pPr>
              <w:tabs>
                <w:tab w:val="decimal" w:pos="33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FFA0E60" w14:textId="7063E6E4" w:rsidR="00BC2BEC" w:rsidRPr="00476ABE" w:rsidRDefault="00BC2BEC" w:rsidP="00BC2BEC">
            <w:pPr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37066C31" w14:textId="152C3584" w:rsidR="00BC2BEC" w:rsidRPr="00476ABE" w:rsidRDefault="00BC2BEC" w:rsidP="00BC2BEC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0C715C43" w14:textId="1A388923" w:rsidR="00BC2BEC" w:rsidRPr="00476ABE" w:rsidRDefault="00BC2BEC" w:rsidP="00BC2BEC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Fresnillo, Zac.</w:t>
            </w:r>
          </w:p>
        </w:tc>
        <w:tc>
          <w:tcPr>
            <w:tcW w:w="958" w:type="dxa"/>
            <w:vAlign w:val="bottom"/>
          </w:tcPr>
          <w:p w14:paraId="73ED1C40" w14:textId="291B55CA" w:rsidR="00BC2BEC" w:rsidRPr="00476ABE" w:rsidRDefault="00BC2BEC" w:rsidP="00BC2BEC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96.8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A61C001" w14:textId="3B0430C2" w:rsidR="00BC2BEC" w:rsidRPr="00476ABE" w:rsidRDefault="00BC2BEC" w:rsidP="00BC2BEC">
            <w:pPr>
              <w:tabs>
                <w:tab w:val="decimal" w:pos="31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>97.1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0FD0D6" w14:textId="6D2CE297" w:rsidR="00BC2BEC" w:rsidRPr="00476ABE" w:rsidRDefault="00BC2BEC" w:rsidP="00BC2BEC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  <w:r w:rsidRPr="00476ABE">
              <w:rPr>
                <w:color w:val="auto"/>
                <w:sz w:val="16"/>
                <w:szCs w:val="16"/>
              </w:rPr>
              <w:t xml:space="preserve"> </w:t>
            </w:r>
          </w:p>
        </w:tc>
      </w:tr>
    </w:tbl>
    <w:bookmarkEnd w:id="3"/>
    <w:p w14:paraId="10695995" w14:textId="20E15FC5" w:rsidR="00656618" w:rsidRPr="000D767F" w:rsidRDefault="00656618" w:rsidP="000D767F">
      <w:pPr>
        <w:autoSpaceDE w:val="0"/>
        <w:autoSpaceDN w:val="0"/>
        <w:adjustRightInd w:val="0"/>
        <w:ind w:left="714" w:right="-85" w:hanging="572"/>
        <w:jc w:val="both"/>
        <w:rPr>
          <w:sz w:val="16"/>
          <w:szCs w:val="16"/>
          <w:lang w:val="es-ES"/>
        </w:rPr>
      </w:pPr>
      <w:r w:rsidRPr="000D767F">
        <w:rPr>
          <w:sz w:val="16"/>
          <w:szCs w:val="16"/>
          <w:lang w:val="es-ES"/>
        </w:rPr>
        <w:t>Nota</w:t>
      </w:r>
      <w:r w:rsidR="00C93327">
        <w:rPr>
          <w:sz w:val="16"/>
          <w:szCs w:val="16"/>
          <w:lang w:val="es-ES"/>
        </w:rPr>
        <w:t>s</w:t>
      </w:r>
      <w:r w:rsidRPr="000D767F">
        <w:rPr>
          <w:sz w:val="16"/>
          <w:szCs w:val="16"/>
          <w:lang w:val="es-ES"/>
        </w:rPr>
        <w:t>:</w:t>
      </w:r>
      <w:r w:rsidR="00BC47EE" w:rsidRPr="000D767F">
        <w:rPr>
          <w:b/>
          <w:sz w:val="16"/>
          <w:szCs w:val="16"/>
          <w:lang w:val="es-ES"/>
        </w:rPr>
        <w:tab/>
      </w:r>
      <w:r w:rsidRPr="000D767F">
        <w:rPr>
          <w:sz w:val="16"/>
          <w:szCs w:val="16"/>
          <w:lang w:val="es-ES"/>
        </w:rPr>
        <w:t>Porcentaje de la población de 18 años y más residente en las ciudades de interés</w:t>
      </w:r>
      <w:r w:rsidR="00BC47EE" w:rsidRPr="000D767F">
        <w:rPr>
          <w:color w:val="000000"/>
          <w:spacing w:val="-2"/>
          <w:sz w:val="16"/>
          <w:szCs w:val="14"/>
        </w:rPr>
        <w:t xml:space="preserve"> que considera que</w:t>
      </w:r>
      <w:r w:rsidR="008B3D8F">
        <w:rPr>
          <w:color w:val="000000"/>
          <w:spacing w:val="-2"/>
          <w:sz w:val="16"/>
          <w:szCs w:val="14"/>
        </w:rPr>
        <w:t xml:space="preserve"> vivir </w:t>
      </w:r>
      <w:r w:rsidR="00BC47EE" w:rsidRPr="000D767F">
        <w:rPr>
          <w:color w:val="000000"/>
          <w:spacing w:val="-2"/>
          <w:sz w:val="16"/>
          <w:szCs w:val="14"/>
        </w:rPr>
        <w:t>actualmente</w:t>
      </w:r>
      <w:r w:rsidR="008B3D8F">
        <w:rPr>
          <w:color w:val="000000"/>
          <w:spacing w:val="-2"/>
          <w:sz w:val="16"/>
          <w:szCs w:val="14"/>
        </w:rPr>
        <w:t xml:space="preserve"> en su ciudad </w:t>
      </w:r>
      <w:r w:rsidR="00BC47EE" w:rsidRPr="000D767F">
        <w:rPr>
          <w:color w:val="000000"/>
          <w:spacing w:val="-2"/>
          <w:sz w:val="16"/>
          <w:szCs w:val="14"/>
        </w:rPr>
        <w:t>es inseguro</w:t>
      </w:r>
      <w:r w:rsidR="00BC47EE" w:rsidRPr="000D767F">
        <w:rPr>
          <w:color w:val="000000"/>
          <w:sz w:val="16"/>
          <w:szCs w:val="14"/>
        </w:rPr>
        <w:t>.</w:t>
      </w:r>
      <w:r w:rsidRPr="000D767F">
        <w:rPr>
          <w:sz w:val="16"/>
          <w:szCs w:val="16"/>
          <w:lang w:val="es-ES"/>
        </w:rPr>
        <w:t xml:space="preserve"> Excluye la opción de respuesta “No sabe o no responde”.</w:t>
      </w:r>
    </w:p>
    <w:p w14:paraId="349E673F" w14:textId="7731816E" w:rsidR="00656618" w:rsidRPr="000D767F" w:rsidRDefault="00656618" w:rsidP="000D767F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  <w:vertAlign w:val="superscript"/>
        </w:rPr>
        <w:t>1</w:t>
      </w:r>
      <w:r w:rsidR="00BC47EE" w:rsidRPr="000D767F">
        <w:rPr>
          <w:color w:val="000000"/>
          <w:sz w:val="16"/>
          <w:szCs w:val="14"/>
          <w:vertAlign w:val="superscript"/>
        </w:rPr>
        <w:tab/>
      </w:r>
      <w:r w:rsidRPr="000D767F">
        <w:rPr>
          <w:color w:val="000000"/>
          <w:sz w:val="16"/>
          <w:szCs w:val="14"/>
        </w:rPr>
        <w:t>Incluye las localidades urbanas de San José del Cabo y Cabo San Lucas.</w:t>
      </w:r>
    </w:p>
    <w:p w14:paraId="3BEBA59E" w14:textId="28BF6174" w:rsidR="00656618" w:rsidRPr="000D767F" w:rsidRDefault="00656618" w:rsidP="000D767F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  <w:vertAlign w:val="superscript"/>
        </w:rPr>
        <w:t>2</w:t>
      </w:r>
      <w:r w:rsidR="00BC47EE" w:rsidRPr="000D767F">
        <w:rPr>
          <w:color w:val="000000"/>
          <w:sz w:val="16"/>
          <w:szCs w:val="14"/>
          <w:vertAlign w:val="superscript"/>
        </w:rPr>
        <w:tab/>
      </w:r>
      <w:r w:rsidRPr="000D767F">
        <w:rPr>
          <w:color w:val="000000"/>
          <w:sz w:val="16"/>
          <w:szCs w:val="14"/>
        </w:rPr>
        <w:t xml:space="preserve">Incluye los municipios de Matamoros, </w:t>
      </w:r>
      <w:proofErr w:type="spellStart"/>
      <w:r w:rsidRPr="000D767F">
        <w:rPr>
          <w:color w:val="000000"/>
          <w:sz w:val="16"/>
          <w:szCs w:val="14"/>
        </w:rPr>
        <w:t>C</w:t>
      </w:r>
      <w:r w:rsidR="00BC47EE" w:rsidRPr="000D767F">
        <w:rPr>
          <w:color w:val="000000"/>
          <w:sz w:val="16"/>
          <w:szCs w:val="14"/>
        </w:rPr>
        <w:t>oah</w:t>
      </w:r>
      <w:proofErr w:type="spellEnd"/>
      <w:r w:rsidRPr="000D767F">
        <w:rPr>
          <w:color w:val="000000"/>
          <w:sz w:val="16"/>
          <w:szCs w:val="14"/>
        </w:rPr>
        <w:t xml:space="preserve">; Torreón, </w:t>
      </w:r>
      <w:proofErr w:type="spellStart"/>
      <w:r w:rsidRPr="000D767F">
        <w:rPr>
          <w:color w:val="000000"/>
          <w:sz w:val="16"/>
          <w:szCs w:val="14"/>
        </w:rPr>
        <w:t>C</w:t>
      </w:r>
      <w:r w:rsidR="00BC47EE" w:rsidRPr="000D767F">
        <w:rPr>
          <w:color w:val="000000"/>
          <w:sz w:val="16"/>
          <w:szCs w:val="14"/>
        </w:rPr>
        <w:t>oah</w:t>
      </w:r>
      <w:proofErr w:type="spellEnd"/>
      <w:r w:rsidRPr="000D767F">
        <w:rPr>
          <w:color w:val="000000"/>
          <w:sz w:val="16"/>
          <w:szCs w:val="14"/>
        </w:rPr>
        <w:t xml:space="preserve">; Gómez Palacio, </w:t>
      </w:r>
      <w:proofErr w:type="spellStart"/>
      <w:r w:rsidRPr="000D767F">
        <w:rPr>
          <w:color w:val="000000"/>
          <w:sz w:val="16"/>
          <w:szCs w:val="14"/>
        </w:rPr>
        <w:t>D</w:t>
      </w:r>
      <w:r w:rsidR="00941414" w:rsidRPr="000D767F">
        <w:rPr>
          <w:color w:val="000000"/>
          <w:sz w:val="16"/>
          <w:szCs w:val="14"/>
        </w:rPr>
        <w:t>go</w:t>
      </w:r>
      <w:proofErr w:type="spellEnd"/>
      <w:r w:rsidR="00D13822" w:rsidRPr="000D767F">
        <w:rPr>
          <w:color w:val="000000"/>
          <w:sz w:val="16"/>
          <w:szCs w:val="14"/>
        </w:rPr>
        <w:t>;</w:t>
      </w:r>
      <w:r w:rsidRPr="000D767F">
        <w:rPr>
          <w:color w:val="000000"/>
          <w:sz w:val="16"/>
          <w:szCs w:val="14"/>
        </w:rPr>
        <w:t xml:space="preserve"> y Lerdo, </w:t>
      </w:r>
      <w:proofErr w:type="spellStart"/>
      <w:r w:rsidRPr="000D767F">
        <w:rPr>
          <w:color w:val="000000"/>
          <w:sz w:val="16"/>
          <w:szCs w:val="14"/>
        </w:rPr>
        <w:t>D</w:t>
      </w:r>
      <w:r w:rsidR="00941414" w:rsidRPr="000D767F">
        <w:rPr>
          <w:color w:val="000000"/>
          <w:sz w:val="16"/>
          <w:szCs w:val="14"/>
        </w:rPr>
        <w:t>go</w:t>
      </w:r>
      <w:proofErr w:type="spellEnd"/>
      <w:r w:rsidRPr="000D767F">
        <w:rPr>
          <w:color w:val="000000"/>
          <w:sz w:val="16"/>
          <w:szCs w:val="14"/>
        </w:rPr>
        <w:t>.</w:t>
      </w:r>
    </w:p>
    <w:p w14:paraId="01B39F6D" w14:textId="780AB147" w:rsidR="00656618" w:rsidRPr="000D767F" w:rsidRDefault="00656618" w:rsidP="000D767F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8"/>
          <w:szCs w:val="14"/>
        </w:rPr>
        <w:t>*</w:t>
      </w:r>
      <w:r w:rsidR="00BC47EE" w:rsidRPr="000D767F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 xml:space="preserve">En estos casos sí </w:t>
      </w:r>
      <w:r w:rsidR="008274A2">
        <w:rPr>
          <w:color w:val="000000"/>
          <w:sz w:val="16"/>
          <w:szCs w:val="14"/>
        </w:rPr>
        <w:t>hubo</w:t>
      </w:r>
      <w:r w:rsidR="008274A2" w:rsidRPr="000D767F">
        <w:rPr>
          <w:color w:val="000000"/>
          <w:sz w:val="16"/>
          <w:szCs w:val="14"/>
        </w:rPr>
        <w:t xml:space="preserve"> </w:t>
      </w:r>
      <w:r w:rsidRPr="000D767F">
        <w:rPr>
          <w:color w:val="000000"/>
          <w:sz w:val="16"/>
          <w:szCs w:val="14"/>
        </w:rPr>
        <w:t>un cambio estadísticamente significativo respecto a</w:t>
      </w:r>
      <w:r w:rsidR="00BC47EE" w:rsidRPr="000D767F">
        <w:rPr>
          <w:color w:val="000000"/>
          <w:sz w:val="16"/>
          <w:szCs w:val="14"/>
        </w:rPr>
        <w:t xml:space="preserve"> </w:t>
      </w:r>
      <w:r w:rsidR="00894CC8">
        <w:rPr>
          <w:color w:val="000000"/>
          <w:sz w:val="16"/>
          <w:szCs w:val="14"/>
        </w:rPr>
        <w:t>diciembre</w:t>
      </w:r>
      <w:r w:rsidR="00BC47EE" w:rsidRPr="000D767F">
        <w:rPr>
          <w:color w:val="000000"/>
          <w:sz w:val="16"/>
          <w:szCs w:val="14"/>
        </w:rPr>
        <w:t xml:space="preserve"> </w:t>
      </w:r>
      <w:r w:rsidRPr="000D767F">
        <w:rPr>
          <w:color w:val="000000"/>
          <w:sz w:val="16"/>
          <w:szCs w:val="14"/>
        </w:rPr>
        <w:t>de 2021.</w:t>
      </w:r>
    </w:p>
    <w:p w14:paraId="62F7BCA3" w14:textId="57697D82" w:rsidR="00656618" w:rsidRPr="000D767F" w:rsidRDefault="00656618" w:rsidP="000D767F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0D767F">
        <w:rPr>
          <w:color w:val="000000"/>
          <w:sz w:val="16"/>
          <w:szCs w:val="14"/>
        </w:rPr>
        <w:t>Fuente:</w:t>
      </w:r>
      <w:r w:rsidR="00BC47EE" w:rsidRPr="000D767F">
        <w:rPr>
          <w:color w:val="000000"/>
          <w:sz w:val="16"/>
          <w:szCs w:val="14"/>
        </w:rPr>
        <w:tab/>
      </w:r>
      <w:r w:rsidRPr="000D767F">
        <w:rPr>
          <w:color w:val="000000"/>
          <w:sz w:val="16"/>
          <w:szCs w:val="14"/>
        </w:rPr>
        <w:t>INEGI. Encuesta Nacional de Seguridad Pública Urbana (ENSU).</w:t>
      </w:r>
    </w:p>
    <w:tbl>
      <w:tblPr>
        <w:tblStyle w:val="Tablaconcuadrcula6concolores-nfasis2"/>
        <w:tblW w:w="9526" w:type="dxa"/>
        <w:tblLayout w:type="fixed"/>
        <w:tblLook w:val="0400" w:firstRow="0" w:lastRow="0" w:firstColumn="0" w:lastColumn="0" w:noHBand="0" w:noVBand="1"/>
      </w:tblPr>
      <w:tblGrid>
        <w:gridCol w:w="2660"/>
        <w:gridCol w:w="933"/>
        <w:gridCol w:w="815"/>
        <w:gridCol w:w="236"/>
        <w:gridCol w:w="236"/>
        <w:gridCol w:w="2640"/>
        <w:gridCol w:w="958"/>
        <w:gridCol w:w="812"/>
        <w:gridCol w:w="236"/>
      </w:tblGrid>
      <w:tr w:rsidR="000C4A24" w14:paraId="6A6C14B1" w14:textId="77777777" w:rsidTr="00D20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ACC7B2" w14:textId="77777777" w:rsidR="000C4A24" w:rsidRDefault="000C4A24" w:rsidP="00D20E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6"/>
              </w:rPr>
            </w:pPr>
            <w:bookmarkStart w:id="4" w:name="OLE_LINK13"/>
            <w:bookmarkStart w:id="5" w:name="OLE_LINK14"/>
            <w:r w:rsidRPr="003D7BA9">
              <w:rPr>
                <w:bCs/>
                <w:color w:val="000000"/>
                <w:sz w:val="20"/>
                <w:szCs w:val="16"/>
              </w:rPr>
              <w:lastRenderedPageBreak/>
              <w:t>Cuadro 2</w:t>
            </w:r>
          </w:p>
          <w:p w14:paraId="18D42B6A" w14:textId="4A4210C3" w:rsidR="005C78B3" w:rsidRPr="00CC54A7" w:rsidRDefault="00CC54A7" w:rsidP="00E4364C">
            <w:pPr>
              <w:autoSpaceDE w:val="0"/>
              <w:autoSpaceDN w:val="0"/>
              <w:adjustRightInd w:val="0"/>
              <w:jc w:val="center"/>
              <w:rPr>
                <w:smallCaps/>
                <w:color w:val="FFFFFF" w:themeColor="background1"/>
                <w:sz w:val="18"/>
                <w:szCs w:val="14"/>
              </w:rPr>
            </w:pP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t xml:space="preserve">Percepción social sobre inseguridad pública </w:t>
            </w:r>
            <w:r w:rsidR="008B3D8F" w:rsidRPr="00CC54A7">
              <w:rPr>
                <w:b/>
                <w:bCs/>
                <w:smallCaps/>
                <w:color w:val="000000"/>
                <w:sz w:val="22"/>
                <w:szCs w:val="16"/>
              </w:rPr>
              <w:br/>
            </w:r>
            <w:r w:rsidRPr="00CC54A7">
              <w:rPr>
                <w:b/>
                <w:bCs/>
                <w:smallCaps/>
                <w:color w:val="000000"/>
                <w:sz w:val="22"/>
                <w:szCs w:val="16"/>
              </w:rPr>
              <w:t>por ciudad de interés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Y="-363"/>
              <w:tblOverlap w:val="never"/>
              <w:tblW w:w="198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336"/>
              <w:gridCol w:w="382"/>
            </w:tblGrid>
            <w:tr w:rsidR="008B17C5" w14:paraId="48BB6AA9" w14:textId="77777777" w:rsidTr="008B17C5">
              <w:trPr>
                <w:trHeight w:hRule="exact" w:val="340"/>
              </w:trPr>
              <w:tc>
                <w:tcPr>
                  <w:tcW w:w="1985" w:type="dxa"/>
                  <w:gridSpan w:val="3"/>
                  <w:shd w:val="clear" w:color="auto" w:fill="C0504D" w:themeFill="accent2"/>
                  <w:vAlign w:val="center"/>
                </w:tcPr>
                <w:p w14:paraId="24C5863C" w14:textId="77777777" w:rsidR="008B17C5" w:rsidRPr="00BA4C18" w:rsidRDefault="008B17C5" w:rsidP="008B17C5">
                  <w:pPr>
                    <w:autoSpaceDE w:val="0"/>
                    <w:autoSpaceDN w:val="0"/>
                    <w:adjustRightInd w:val="0"/>
                    <w:ind w:right="-82"/>
                    <w:rPr>
                      <w:b/>
                      <w:bCs/>
                      <w:color w:val="000000"/>
                      <w:spacing w:val="-6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FFFFFF" w:themeColor="background1"/>
                      <w:spacing w:val="-6"/>
                      <w:sz w:val="16"/>
                      <w:szCs w:val="16"/>
                    </w:rPr>
                    <w:t>Ciudades y demarcaciones</w:t>
                  </w:r>
                </w:p>
              </w:tc>
            </w:tr>
            <w:tr w:rsidR="004057F7" w14:paraId="6FE220EE" w14:textId="77777777" w:rsidTr="00D20EE8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58F7BE71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 la baja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3351E837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4F15D21" wp14:editId="3C15EBA0">
                            <wp:extent cx="162000" cy="126000"/>
                            <wp:effectExtent l="0" t="0" r="9525" b="7620"/>
                            <wp:docPr id="18" name="Flecha: hacia abajo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00CC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005A6FD" id="Flecha: hacia abajo 18" o:spid="_x0000_s1026" type="#_x0000_t67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" adj="10800" fillcolor="#0c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684666C9" w14:textId="5D4CD1E3" w:rsidR="004057F7" w:rsidRPr="004057F7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20"/>
                    </w:rPr>
                    <w:t>12</w:t>
                  </w:r>
                </w:p>
              </w:tc>
            </w:tr>
            <w:tr w:rsidR="004057F7" w14:paraId="31500480" w14:textId="77777777" w:rsidTr="00D20EE8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E5B8B7" w:themeFill="accent2" w:themeFillTint="66"/>
                  <w:vAlign w:val="center"/>
                </w:tcPr>
                <w:p w14:paraId="51164A96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Al alza</w:t>
                  </w:r>
                  <w:r w:rsidRPr="00BA4C18"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E5B8B7" w:themeFill="accent2" w:themeFillTint="66"/>
                  <w:vAlign w:val="center"/>
                </w:tcPr>
                <w:p w14:paraId="5F384DB5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noProof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9B428EA" wp14:editId="7D282038">
                            <wp:extent cx="162000" cy="126000"/>
                            <wp:effectExtent l="0" t="0" r="9525" b="7620"/>
                            <wp:docPr id="19" name="Flecha: hacia abajo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2F9621E5" id="Flecha: hacia abajo 19" o:spid="_x0000_s1026" type="#_x0000_t67" style="width:12.75pt;height:9.9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" adj="10800" fillcolor="#c0000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E5B8B7" w:themeFill="accent2" w:themeFillTint="66"/>
                  <w:vAlign w:val="center"/>
                </w:tcPr>
                <w:p w14:paraId="0E0A0434" w14:textId="5AB83294" w:rsidR="004057F7" w:rsidRPr="004057F7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20"/>
                    </w:rPr>
                    <w:t>8</w:t>
                  </w:r>
                </w:p>
              </w:tc>
            </w:tr>
            <w:tr w:rsidR="004057F7" w14:paraId="1BE896E4" w14:textId="77777777" w:rsidTr="00D20EE8">
              <w:trPr>
                <w:trHeight w:hRule="exact" w:val="227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65C97285" w14:textId="77777777" w:rsidR="004057F7" w:rsidRPr="00BA4C18" w:rsidRDefault="004057F7" w:rsidP="004057F7">
                  <w:pPr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Sin cambio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7C3B5837" w14:textId="77777777" w:rsidR="004057F7" w:rsidRPr="00254194" w:rsidRDefault="004057F7" w:rsidP="004057F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F2D4D70" wp14:editId="1D32D3BA">
                            <wp:extent cx="162000" cy="126000"/>
                            <wp:effectExtent l="0" t="0" r="9525" b="7620"/>
                            <wp:docPr id="20" name="Flecha: a la izquierda y derecha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A1E43AE" id="Flecha: a la izquierda y derecha 20" o:spid="_x0000_s1026" type="#_x0000_t69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" adj="8400" fillcolor="#5a5a5a [2109]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0BB43882" w14:textId="31E09CEB" w:rsidR="004057F7" w:rsidRPr="004057F7" w:rsidRDefault="004057F7" w:rsidP="004057F7">
                  <w:pPr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20"/>
                    </w:rPr>
                    <w:t>70</w:t>
                  </w:r>
                </w:p>
              </w:tc>
            </w:tr>
          </w:tbl>
          <w:p w14:paraId="1E92379C" w14:textId="77777777" w:rsidR="000C4A24" w:rsidRPr="008B17C5" w:rsidRDefault="000C4A24" w:rsidP="008B17C5">
            <w:pPr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</w:p>
        </w:tc>
      </w:tr>
      <w:tr w:rsidR="00A934FE" w14:paraId="22027768" w14:textId="77777777" w:rsidTr="008B3D8F">
        <w:trPr>
          <w:trHeight w:val="284"/>
        </w:trPr>
        <w:tc>
          <w:tcPr>
            <w:tcW w:w="2660" w:type="dxa"/>
            <w:vMerge w:val="restart"/>
            <w:shd w:val="clear" w:color="auto" w:fill="C0504D" w:themeFill="accent2"/>
            <w:vAlign w:val="center"/>
          </w:tcPr>
          <w:p w14:paraId="48166AE8" w14:textId="77777777" w:rsidR="00A934FE" w:rsidRPr="009244C9" w:rsidRDefault="00A934FE" w:rsidP="00A934FE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1984" w:type="dxa"/>
            <w:gridSpan w:val="3"/>
            <w:shd w:val="clear" w:color="auto" w:fill="C0504D" w:themeFill="accent2"/>
            <w:vAlign w:val="center"/>
          </w:tcPr>
          <w:p w14:paraId="1F102AC3" w14:textId="1A370FED" w:rsidR="00A934FE" w:rsidRPr="009244C9" w:rsidRDefault="008B3D8F" w:rsidP="00E109C3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4A454492" w14:textId="77777777" w:rsidR="00A934FE" w:rsidRPr="00A77D91" w:rsidRDefault="00A934FE" w:rsidP="00E109C3">
            <w:pPr>
              <w:autoSpaceDE w:val="0"/>
              <w:autoSpaceDN w:val="0"/>
              <w:adjustRightInd w:val="0"/>
              <w:spacing w:line="200" w:lineRule="exact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 w:val="restart"/>
            <w:shd w:val="clear" w:color="auto" w:fill="C0504D" w:themeFill="accent2"/>
            <w:vAlign w:val="center"/>
          </w:tcPr>
          <w:p w14:paraId="5E6464B0" w14:textId="77777777" w:rsidR="00A934FE" w:rsidRPr="009244C9" w:rsidRDefault="00A934FE" w:rsidP="00E109C3">
            <w:pPr>
              <w:autoSpaceDE w:val="0"/>
              <w:autoSpaceDN w:val="0"/>
              <w:adjustRightInd w:val="0"/>
              <w:spacing w:line="200" w:lineRule="exact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2006" w:type="dxa"/>
            <w:gridSpan w:val="3"/>
            <w:shd w:val="clear" w:color="auto" w:fill="C0504D" w:themeFill="accent2"/>
            <w:vAlign w:val="center"/>
          </w:tcPr>
          <w:p w14:paraId="4C7790FF" w14:textId="1CE88027" w:rsidR="00A934FE" w:rsidRPr="009244C9" w:rsidRDefault="008B3D8F" w:rsidP="00E109C3">
            <w:pPr>
              <w:autoSpaceDE w:val="0"/>
              <w:autoSpaceDN w:val="0"/>
              <w:adjustRightInd w:val="0"/>
              <w:spacing w:before="20" w:after="20" w:line="180" w:lineRule="exact"/>
              <w:ind w:right="51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</w:tr>
      <w:tr w:rsidR="0024512A" w14:paraId="515FFA22" w14:textId="77777777" w:rsidTr="008B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660" w:type="dxa"/>
            <w:vMerge/>
            <w:shd w:val="clear" w:color="auto" w:fill="C0504D" w:themeFill="accent2"/>
          </w:tcPr>
          <w:p w14:paraId="53AB926B" w14:textId="77777777" w:rsidR="0024512A" w:rsidRPr="009244C9" w:rsidRDefault="0024512A" w:rsidP="0024512A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33" w:type="dxa"/>
            <w:shd w:val="clear" w:color="auto" w:fill="C0504D" w:themeFill="accent2"/>
            <w:vAlign w:val="center"/>
          </w:tcPr>
          <w:p w14:paraId="73128CD0" w14:textId="4D3FE1DC" w:rsidR="00240A56" w:rsidRDefault="00240A56" w:rsidP="0024512A">
            <w:pPr>
              <w:autoSpaceDE w:val="0"/>
              <w:autoSpaceDN w:val="0"/>
              <w:adjustRightInd w:val="0"/>
              <w:ind w:left="-137" w:right="-119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</w:p>
          <w:p w14:paraId="781CF134" w14:textId="77A95A0B" w:rsidR="0024512A" w:rsidRPr="009244C9" w:rsidRDefault="0024512A" w:rsidP="0024512A">
            <w:pPr>
              <w:autoSpaceDE w:val="0"/>
              <w:autoSpaceDN w:val="0"/>
              <w:adjustRightInd w:val="0"/>
              <w:ind w:left="-137" w:right="-119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2</w:t>
            </w:r>
            <w:r w:rsidRPr="009244C9">
              <w:rPr>
                <w:color w:val="FFFFFF" w:themeColor="background1"/>
                <w:sz w:val="16"/>
                <w:szCs w:val="14"/>
              </w:rPr>
              <w:t>0</w:t>
            </w:r>
            <w:r w:rsidR="00735735">
              <w:rPr>
                <w:color w:val="FFFFFF" w:themeColor="background1"/>
                <w:sz w:val="16"/>
                <w:szCs w:val="14"/>
              </w:rPr>
              <w:t>2</w:t>
            </w:r>
            <w:r w:rsidR="00240A56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51" w:type="dxa"/>
            <w:gridSpan w:val="2"/>
            <w:shd w:val="clear" w:color="auto" w:fill="C0504D" w:themeFill="accent2"/>
            <w:vAlign w:val="center"/>
          </w:tcPr>
          <w:p w14:paraId="095E4C08" w14:textId="3B41079F" w:rsidR="0024512A" w:rsidRPr="009244C9" w:rsidRDefault="00240A56" w:rsidP="0024512A">
            <w:pPr>
              <w:autoSpaceDE w:val="0"/>
              <w:autoSpaceDN w:val="0"/>
              <w:adjustRightInd w:val="0"/>
              <w:ind w:left="-112" w:right="-13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 w:rsidR="0024512A"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="0024512A"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0197975E" w14:textId="77777777" w:rsidR="0024512A" w:rsidRPr="00A77D91" w:rsidRDefault="0024512A" w:rsidP="0024512A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/>
            <w:shd w:val="clear" w:color="auto" w:fill="C0504D" w:themeFill="accent2"/>
          </w:tcPr>
          <w:p w14:paraId="2F969710" w14:textId="77777777" w:rsidR="0024512A" w:rsidRPr="009244C9" w:rsidRDefault="0024512A" w:rsidP="0024512A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58" w:type="dxa"/>
            <w:shd w:val="clear" w:color="auto" w:fill="C0504D" w:themeFill="accent2"/>
            <w:vAlign w:val="center"/>
          </w:tcPr>
          <w:p w14:paraId="15E06762" w14:textId="48CE4138" w:rsidR="00240A56" w:rsidRDefault="00240A56" w:rsidP="0024512A">
            <w:pPr>
              <w:autoSpaceDE w:val="0"/>
              <w:autoSpaceDN w:val="0"/>
              <w:adjustRightInd w:val="0"/>
              <w:ind w:left="-125" w:right="-128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</w:p>
          <w:p w14:paraId="3F2E1735" w14:textId="06104138" w:rsidR="0024512A" w:rsidRPr="009244C9" w:rsidRDefault="0024512A" w:rsidP="0024512A">
            <w:pPr>
              <w:autoSpaceDE w:val="0"/>
              <w:autoSpaceDN w:val="0"/>
              <w:adjustRightInd w:val="0"/>
              <w:ind w:left="-125" w:right="-128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2</w:t>
            </w:r>
            <w:r w:rsidRPr="009244C9">
              <w:rPr>
                <w:color w:val="FFFFFF" w:themeColor="background1"/>
                <w:sz w:val="16"/>
                <w:szCs w:val="14"/>
              </w:rPr>
              <w:t>0</w:t>
            </w:r>
            <w:r w:rsidR="00735735">
              <w:rPr>
                <w:color w:val="FFFFFF" w:themeColor="background1"/>
                <w:sz w:val="16"/>
                <w:szCs w:val="14"/>
              </w:rPr>
              <w:t>2</w:t>
            </w:r>
            <w:r w:rsidR="00240A56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48" w:type="dxa"/>
            <w:gridSpan w:val="2"/>
            <w:shd w:val="clear" w:color="auto" w:fill="C0504D" w:themeFill="accent2"/>
            <w:vAlign w:val="center"/>
          </w:tcPr>
          <w:p w14:paraId="663D1BCA" w14:textId="53F739DC" w:rsidR="0024512A" w:rsidRDefault="00240A56" w:rsidP="0024512A">
            <w:pPr>
              <w:autoSpaceDE w:val="0"/>
              <w:autoSpaceDN w:val="0"/>
              <w:adjustRightInd w:val="0"/>
              <w:ind w:left="-117" w:right="-21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Marzo</w:t>
            </w:r>
            <w:r w:rsidR="0024512A">
              <w:rPr>
                <w:color w:val="FFFFFF" w:themeColor="background1"/>
                <w:sz w:val="16"/>
                <w:szCs w:val="14"/>
              </w:rPr>
              <w:br/>
              <w:t>20</w:t>
            </w:r>
            <w:r w:rsidR="0024512A" w:rsidRPr="009244C9">
              <w:rPr>
                <w:color w:val="FFFFFF" w:themeColor="background1"/>
                <w:sz w:val="16"/>
                <w:szCs w:val="14"/>
              </w:rPr>
              <w:t>2</w:t>
            </w:r>
            <w:r>
              <w:rPr>
                <w:color w:val="FFFFFF" w:themeColor="background1"/>
                <w:sz w:val="16"/>
                <w:szCs w:val="14"/>
              </w:rPr>
              <w:t>2</w:t>
            </w:r>
          </w:p>
        </w:tc>
      </w:tr>
      <w:tr w:rsidR="003D528E" w:rsidRPr="00D55204" w14:paraId="3F0D303C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6A0BDDD0" w14:textId="3D7ABA85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b/>
                <w:color w:val="auto"/>
                <w:sz w:val="16"/>
                <w:szCs w:val="16"/>
              </w:rPr>
            </w:pPr>
            <w:r w:rsidRPr="00D55204">
              <w:rPr>
                <w:b/>
                <w:bCs/>
                <w:color w:val="auto"/>
                <w:sz w:val="16"/>
                <w:szCs w:val="16"/>
              </w:rPr>
              <w:t>Nacional</w:t>
            </w:r>
          </w:p>
        </w:tc>
        <w:tc>
          <w:tcPr>
            <w:tcW w:w="933" w:type="dxa"/>
            <w:vAlign w:val="bottom"/>
          </w:tcPr>
          <w:p w14:paraId="6449713E" w14:textId="787697ED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D55204">
              <w:rPr>
                <w:b/>
                <w:bCs/>
                <w:color w:val="auto"/>
                <w:sz w:val="16"/>
                <w:szCs w:val="16"/>
              </w:rPr>
              <w:t>66.4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08A3AF3" w14:textId="7B1B9C63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D55204">
              <w:rPr>
                <w:b/>
                <w:bCs/>
                <w:color w:val="auto"/>
                <w:sz w:val="16"/>
                <w:szCs w:val="16"/>
              </w:rPr>
              <w:t>66.2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2047DE8" w14:textId="062C2D98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15EEA0D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145B41E" w14:textId="20CF4D8D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14:paraId="5A1BA0A2" w14:textId="3EFD91CD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0EE4752" w14:textId="3761D38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032FC7E" w14:textId="1E29745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sz w:val="16"/>
                <w:szCs w:val="16"/>
              </w:rPr>
            </w:pPr>
          </w:p>
        </w:tc>
      </w:tr>
      <w:tr w:rsidR="003D528E" w:rsidRPr="00D55204" w14:paraId="5E6F3D6B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78004C0E" w14:textId="4470E0F0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Aguascalientes, Ags.</w:t>
            </w:r>
          </w:p>
        </w:tc>
        <w:tc>
          <w:tcPr>
            <w:tcW w:w="933" w:type="dxa"/>
            <w:vAlign w:val="bottom"/>
          </w:tcPr>
          <w:p w14:paraId="3E72B0A5" w14:textId="6EBE14F8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48.3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0EF71A6" w14:textId="1FC08BB1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CE7C0A1" w14:textId="14D1DA49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1D5935E" w14:textId="6518621F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9833D6F" w14:textId="0A4B8F06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Puerto Vallarta, Jal.</w:t>
            </w:r>
          </w:p>
        </w:tc>
        <w:tc>
          <w:tcPr>
            <w:tcW w:w="958" w:type="dxa"/>
            <w:vAlign w:val="bottom"/>
          </w:tcPr>
          <w:p w14:paraId="6AD8C5AE" w14:textId="01AA669B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35.5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92495CE" w14:textId="01C0683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B93C166" w14:textId="2D3DBFF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474465A2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6C942A21" w14:textId="6F71EC29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Mexicali, B.C.</w:t>
            </w:r>
          </w:p>
        </w:tc>
        <w:tc>
          <w:tcPr>
            <w:tcW w:w="933" w:type="dxa"/>
            <w:vAlign w:val="bottom"/>
          </w:tcPr>
          <w:p w14:paraId="0B212249" w14:textId="785F4BC2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55.7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12D0C62" w14:textId="0724A1C4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840D87B" w14:textId="7E954E0D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ABDA819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8E69084" w14:textId="7657C97B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Toluca, Edo. Mex.</w:t>
            </w:r>
          </w:p>
        </w:tc>
        <w:tc>
          <w:tcPr>
            <w:tcW w:w="958" w:type="dxa"/>
            <w:vAlign w:val="bottom"/>
          </w:tcPr>
          <w:p w14:paraId="6042CBBA" w14:textId="505107DF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80.6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D8E8C1D" w14:textId="7350D634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84.3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0A223CD" w14:textId="65E940E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028DB8FA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25FBE2DA" w14:textId="1CF78B48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Tijuana, B.C.</w:t>
            </w:r>
          </w:p>
        </w:tc>
        <w:tc>
          <w:tcPr>
            <w:tcW w:w="933" w:type="dxa"/>
            <w:vAlign w:val="bottom"/>
          </w:tcPr>
          <w:p w14:paraId="4B3A875B" w14:textId="2824B74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F6796D0" w14:textId="7DAA61BB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4115A7D" w14:textId="6066484F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8C95EB5" w14:textId="0B4DB9AD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042EB72" w14:textId="7C404589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Ecatepec, Edo. Mex.</w:t>
            </w:r>
          </w:p>
        </w:tc>
        <w:tc>
          <w:tcPr>
            <w:tcW w:w="958" w:type="dxa"/>
            <w:vAlign w:val="bottom"/>
          </w:tcPr>
          <w:p w14:paraId="124F35E8" w14:textId="6E38A9F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89.9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3D3AF52" w14:textId="56C8E9F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AF98C71" w14:textId="2951EE9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7109B1DD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11FDEDEB" w14:textId="59B58ED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La Paz, B.C.S.</w:t>
            </w:r>
          </w:p>
        </w:tc>
        <w:tc>
          <w:tcPr>
            <w:tcW w:w="933" w:type="dxa"/>
            <w:vAlign w:val="bottom"/>
          </w:tcPr>
          <w:p w14:paraId="559D1276" w14:textId="0550863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39.3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5DA0B4B" w14:textId="1065DD81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EFE83B" w14:textId="2D7ACF01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6ACEAD0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2B8FD0F" w14:textId="2B9A7FC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Ciudad Nezahualcóyotl, Edo. Mex.</w:t>
            </w:r>
          </w:p>
        </w:tc>
        <w:tc>
          <w:tcPr>
            <w:tcW w:w="958" w:type="dxa"/>
            <w:vAlign w:val="bottom"/>
          </w:tcPr>
          <w:p w14:paraId="3DD11DF0" w14:textId="3C028F6A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A7652D6" w14:textId="68FC928A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8549CA1" w14:textId="479C2B6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1CA9E05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1BF96246" w14:textId="7182156D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Los Cabos, B.C.S. </w:t>
            </w:r>
            <w:r w:rsidRPr="00D55204">
              <w:rPr>
                <w:color w:val="auto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33" w:type="dxa"/>
            <w:vAlign w:val="bottom"/>
          </w:tcPr>
          <w:p w14:paraId="493BDBFD" w14:textId="1F0A16C7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26.2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8735A78" w14:textId="095AD681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28.5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C62741B" w14:textId="4773BDD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80CE05E" w14:textId="3AE622EE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1081E3B" w14:textId="33CD39A1" w:rsidR="003D528E" w:rsidRPr="00D55204" w:rsidRDefault="003D528E" w:rsidP="003D528E">
            <w:pPr>
              <w:autoSpaceDE w:val="0"/>
              <w:autoSpaceDN w:val="0"/>
              <w:adjustRightInd w:val="0"/>
              <w:ind w:right="-128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Naucalpan de Juárez, Edo. Mex.</w:t>
            </w:r>
          </w:p>
        </w:tc>
        <w:tc>
          <w:tcPr>
            <w:tcW w:w="958" w:type="dxa"/>
            <w:vAlign w:val="bottom"/>
          </w:tcPr>
          <w:p w14:paraId="5F7CC474" w14:textId="26FE27AD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0897C44" w14:textId="12A2827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84.2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5712CA5" w14:textId="40760DF4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3433981D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751CE4C1" w14:textId="4B56DD7D" w:rsidR="003D528E" w:rsidRPr="00D55204" w:rsidRDefault="003D528E" w:rsidP="003D528E">
            <w:pPr>
              <w:autoSpaceDE w:val="0"/>
              <w:autoSpaceDN w:val="0"/>
              <w:adjustRightInd w:val="0"/>
              <w:ind w:right="-215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Campeche, Camp.</w:t>
            </w:r>
          </w:p>
        </w:tc>
        <w:tc>
          <w:tcPr>
            <w:tcW w:w="933" w:type="dxa"/>
            <w:vAlign w:val="bottom"/>
          </w:tcPr>
          <w:p w14:paraId="7080B021" w14:textId="53EFAD8E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40.6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3F1D11C" w14:textId="75E36729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43.4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EEFE109" w14:textId="13CF2432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398E326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B4EEA37" w14:textId="47C1D8B5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Tlalnepantla de Baz, Edo. Mex.</w:t>
            </w:r>
          </w:p>
        </w:tc>
        <w:tc>
          <w:tcPr>
            <w:tcW w:w="958" w:type="dxa"/>
            <w:vAlign w:val="bottom"/>
          </w:tcPr>
          <w:p w14:paraId="4D7C2FC6" w14:textId="0374C3F4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82.6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0419912" w14:textId="35E0C67B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F9A0EB8" w14:textId="14B1FA87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A80A06B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3A5F6042" w14:textId="03B7CBA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Ciudad del Carmen, Camp.</w:t>
            </w:r>
          </w:p>
        </w:tc>
        <w:tc>
          <w:tcPr>
            <w:tcW w:w="933" w:type="dxa"/>
            <w:vAlign w:val="bottom"/>
          </w:tcPr>
          <w:p w14:paraId="77FCA801" w14:textId="03D7B3F4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61.6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2C61B03" w14:textId="1BF6568E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65.9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5070440" w14:textId="021A383E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93AF400" w14:textId="7D506AD4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5AF7B71" w14:textId="78D39776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Atizapán de Zaragoza, Edo. Mex.</w:t>
            </w:r>
          </w:p>
        </w:tc>
        <w:tc>
          <w:tcPr>
            <w:tcW w:w="958" w:type="dxa"/>
            <w:vAlign w:val="bottom"/>
          </w:tcPr>
          <w:p w14:paraId="481F76EA" w14:textId="427DB2D5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62.5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A21D92E" w14:textId="6F72205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63.7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F95A24F" w14:textId="7D81053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54BB3082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2396FC1E" w14:textId="27F048AD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Saltillo,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7252DD2B" w14:textId="2ED6F120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32.9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FFBA564" w14:textId="51AAD3F3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404E763" w14:textId="768848F9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B2D96C1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EFD697E" w14:textId="57A43D87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Chimalhuacán, Edo. Mex.</w:t>
            </w:r>
          </w:p>
        </w:tc>
        <w:tc>
          <w:tcPr>
            <w:tcW w:w="958" w:type="dxa"/>
            <w:vAlign w:val="bottom"/>
          </w:tcPr>
          <w:p w14:paraId="6AC4D885" w14:textId="72DFFC01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CB346AD" w14:textId="73962BF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4AB251B" w14:textId="798BAEB8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33969504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2C40D1CE" w14:textId="5ADFEFCC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La Laguna, </w:t>
            </w:r>
            <w:proofErr w:type="spellStart"/>
            <w:proofErr w:type="gramStart"/>
            <w:r w:rsidRPr="00D55204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.-</w:t>
            </w:r>
            <w:proofErr w:type="spellStart"/>
            <w:proofErr w:type="gramEnd"/>
            <w:r w:rsidRPr="00D55204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 xml:space="preserve">. </w:t>
            </w:r>
            <w:r w:rsidRPr="00D55204">
              <w:rPr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33" w:type="dxa"/>
            <w:vAlign w:val="bottom"/>
          </w:tcPr>
          <w:p w14:paraId="4DBD98DD" w14:textId="6C802688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50.7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D9E25A1" w14:textId="0CD2B969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49.2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7169F67" w14:textId="5A038206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9EE0D74" w14:textId="3E695F68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C870F94" w14:textId="59EB6E45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Cuautitlán Izcalli, Edo. Mex.</w:t>
            </w:r>
          </w:p>
        </w:tc>
        <w:tc>
          <w:tcPr>
            <w:tcW w:w="958" w:type="dxa"/>
            <w:vAlign w:val="bottom"/>
          </w:tcPr>
          <w:p w14:paraId="246D8519" w14:textId="5FEDE26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897CBE1" w14:textId="3519009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2752845" w14:textId="3B977CAA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663E7074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32DF8BE7" w14:textId="4B8B118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Piedras Negras,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4506E167" w14:textId="76BAA9A9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29.4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4020702" w14:textId="43A1FAC4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CD3A25B" w14:textId="7155D0CA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E085399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07C0CEB" w14:textId="6B3DC1EE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Morelia,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208626C" w14:textId="7B57E120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6B494E9" w14:textId="2B1EB32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8C19A04" w14:textId="39880B8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0EEC8CF9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046D0CA7" w14:textId="5DD947E6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Colima, Col.</w:t>
            </w:r>
          </w:p>
        </w:tc>
        <w:tc>
          <w:tcPr>
            <w:tcW w:w="933" w:type="dxa"/>
            <w:vAlign w:val="bottom"/>
          </w:tcPr>
          <w:p w14:paraId="668B1578" w14:textId="155B891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0C37C48" w14:textId="6391D5CF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85.7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68387E8" w14:textId="4503D5D1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F01C07F" w14:textId="756E28CE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142BF0C" w14:textId="5D376FB4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Uruapan,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8A81350" w14:textId="540A2C8E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2F9C9BE" w14:textId="5D992576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3BD4429" w14:textId="2879A9D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7FE9D2FF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23E8E927" w14:textId="628DC0F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Manzanillo, Col.</w:t>
            </w:r>
          </w:p>
        </w:tc>
        <w:tc>
          <w:tcPr>
            <w:tcW w:w="933" w:type="dxa"/>
            <w:vAlign w:val="bottom"/>
          </w:tcPr>
          <w:p w14:paraId="39453597" w14:textId="1057CFE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68.4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F25B314" w14:textId="1534AC22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453DC35" w14:textId="73B48F52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033C435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CFAEEC2" w14:textId="0A08BF9D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Lázaro Cárdenas,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1A66995" w14:textId="2D848ABF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50.2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82D628D" w14:textId="2E2B907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02AAADF" w14:textId="4535B5C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31BD1963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4850845D" w14:textId="3F43DEC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Tuxtla Gutiérrez, Chis.</w:t>
            </w:r>
          </w:p>
        </w:tc>
        <w:tc>
          <w:tcPr>
            <w:tcW w:w="933" w:type="dxa"/>
            <w:vAlign w:val="bottom"/>
          </w:tcPr>
          <w:p w14:paraId="53F2B216" w14:textId="2527906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0A6C8B7" w14:textId="6D478CBF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96EDC56" w14:textId="3AB59DFB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D07B07F" w14:textId="4B7FACFD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B0AEF7F" w14:textId="6292BCBF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Cuernavaca, Mor.</w:t>
            </w:r>
          </w:p>
        </w:tc>
        <w:tc>
          <w:tcPr>
            <w:tcW w:w="958" w:type="dxa"/>
            <w:vAlign w:val="bottom"/>
          </w:tcPr>
          <w:p w14:paraId="4D92C29D" w14:textId="246AD6B4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87.8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240D4F5" w14:textId="7FA3456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C367F43" w14:textId="18D37F9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4A7D3F80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3E83C1F5" w14:textId="43D57EC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Tapachula, Chis.</w:t>
            </w:r>
          </w:p>
        </w:tc>
        <w:tc>
          <w:tcPr>
            <w:tcW w:w="933" w:type="dxa"/>
            <w:vAlign w:val="bottom"/>
          </w:tcPr>
          <w:p w14:paraId="5FB4A96C" w14:textId="16DBE9C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74.3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0D470C6" w14:textId="58919082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73.6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0F71BEB" w14:textId="3633F5C2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2F6E4DC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4B68145" w14:textId="68E28444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Tepic, Nay.</w:t>
            </w:r>
          </w:p>
        </w:tc>
        <w:tc>
          <w:tcPr>
            <w:tcW w:w="958" w:type="dxa"/>
            <w:vAlign w:val="bottom"/>
          </w:tcPr>
          <w:p w14:paraId="788A1A7E" w14:textId="74070C98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36.1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527503A" w14:textId="04B4FE78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03DB609" w14:textId="5849144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0E846EE2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41F9EF3C" w14:textId="14651F8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Chihuahua, Chih.</w:t>
            </w:r>
          </w:p>
        </w:tc>
        <w:tc>
          <w:tcPr>
            <w:tcW w:w="933" w:type="dxa"/>
            <w:vAlign w:val="bottom"/>
          </w:tcPr>
          <w:p w14:paraId="2C5BB38E" w14:textId="17F24B6A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48.7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504117F" w14:textId="59A452CF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51.0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2016D9" w14:textId="5E2250BE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21930EA" w14:textId="0B7CD185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B764FAF" w14:textId="666A083D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Monterrey, N.L.</w:t>
            </w:r>
          </w:p>
        </w:tc>
        <w:tc>
          <w:tcPr>
            <w:tcW w:w="958" w:type="dxa"/>
            <w:vAlign w:val="bottom"/>
          </w:tcPr>
          <w:p w14:paraId="44DBBBC6" w14:textId="60872CEB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65.9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CBF748B" w14:textId="0A0D270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7E6DBA1" w14:textId="0C06C87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76C9F20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99E7AD8" w14:textId="076FFD4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Ciudad Juárez, Chih.</w:t>
            </w:r>
          </w:p>
        </w:tc>
        <w:tc>
          <w:tcPr>
            <w:tcW w:w="933" w:type="dxa"/>
            <w:vAlign w:val="bottom"/>
          </w:tcPr>
          <w:p w14:paraId="1FDB606D" w14:textId="1742537C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80.5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E0EF2AA" w14:textId="424BB08F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E803F05" w14:textId="49B46701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8FE85CB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75FBAED" w14:textId="46BC61B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San Pedro Garza García, N.L.</w:t>
            </w:r>
          </w:p>
        </w:tc>
        <w:tc>
          <w:tcPr>
            <w:tcW w:w="958" w:type="dxa"/>
            <w:vAlign w:val="bottom"/>
          </w:tcPr>
          <w:p w14:paraId="0E92EB72" w14:textId="55CA9C2B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55F239F" w14:textId="2515A96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11.7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DE64EE0" w14:textId="07AD1D4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10A8D9A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0D214780" w14:textId="7D4D4C25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Gustavo A. Madero, CDMX</w:t>
            </w:r>
          </w:p>
        </w:tc>
        <w:tc>
          <w:tcPr>
            <w:tcW w:w="933" w:type="dxa"/>
            <w:vAlign w:val="bottom"/>
          </w:tcPr>
          <w:p w14:paraId="50C0A7CE" w14:textId="586D7565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9F26D6B" w14:textId="249275BE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45C64B5" w14:textId="3C292910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7904E7E" w14:textId="69C82A8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6201056" w14:textId="0D1ECDB4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Apodaca, N.L. </w:t>
            </w:r>
          </w:p>
        </w:tc>
        <w:tc>
          <w:tcPr>
            <w:tcW w:w="958" w:type="dxa"/>
            <w:vAlign w:val="bottom"/>
          </w:tcPr>
          <w:p w14:paraId="271FA7E8" w14:textId="5BA7304D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37.4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4794202" w14:textId="45AB2D07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43.0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AE5E838" w14:textId="279A90E0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551C1C76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2CE71DF2" w14:textId="02C706EF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Iztacalco, CDMX</w:t>
            </w:r>
          </w:p>
        </w:tc>
        <w:tc>
          <w:tcPr>
            <w:tcW w:w="933" w:type="dxa"/>
            <w:vAlign w:val="bottom"/>
          </w:tcPr>
          <w:p w14:paraId="39748DF4" w14:textId="463E8E71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7769698" w14:textId="2806099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68.2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B7C0D9A" w14:textId="756EFAE6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1229241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651A221" w14:textId="2DF1DE3B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Guadalupe, N.L.</w:t>
            </w:r>
          </w:p>
        </w:tc>
        <w:tc>
          <w:tcPr>
            <w:tcW w:w="958" w:type="dxa"/>
            <w:vAlign w:val="bottom"/>
          </w:tcPr>
          <w:p w14:paraId="74C58FA5" w14:textId="6D292B5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46.5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A24ADF7" w14:textId="77F61BDA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55.4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C32D4D7" w14:textId="4A89FE0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099B43B1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327CCB56" w14:textId="45A92AB1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Venustiano Carranza, CDMX</w:t>
            </w:r>
          </w:p>
        </w:tc>
        <w:tc>
          <w:tcPr>
            <w:tcW w:w="933" w:type="dxa"/>
            <w:vAlign w:val="bottom"/>
          </w:tcPr>
          <w:p w14:paraId="78916E5E" w14:textId="3D00EA6A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64.4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E43FAF7" w14:textId="5F56E03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59.5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0FFC873" w14:textId="551A4EBF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FB99ADA" w14:textId="13A9AF98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E766414" w14:textId="044EE36C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General Escobedo, N.L.</w:t>
            </w:r>
          </w:p>
        </w:tc>
        <w:tc>
          <w:tcPr>
            <w:tcW w:w="958" w:type="dxa"/>
            <w:vAlign w:val="bottom"/>
          </w:tcPr>
          <w:p w14:paraId="2EEA26AA" w14:textId="3D48CF4E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39.4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7DA019A" w14:textId="64919A62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57.3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17C537A" w14:textId="6983412A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408E9682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2480A502" w14:textId="085FB5CF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Benito Juárez, CDMX</w:t>
            </w:r>
          </w:p>
        </w:tc>
        <w:tc>
          <w:tcPr>
            <w:tcW w:w="933" w:type="dxa"/>
            <w:vAlign w:val="bottom"/>
          </w:tcPr>
          <w:p w14:paraId="7647110B" w14:textId="3BBD4EF0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35.0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F65D29A" w14:textId="15A958FF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25.0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04D1E50" w14:textId="3BC43E00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99097A9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B171BDD" w14:textId="66F157E6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San Nicolás de los Garza, N.L.</w:t>
            </w:r>
          </w:p>
        </w:tc>
        <w:tc>
          <w:tcPr>
            <w:tcW w:w="958" w:type="dxa"/>
            <w:vAlign w:val="bottom"/>
          </w:tcPr>
          <w:p w14:paraId="5094D596" w14:textId="6C58215C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26.2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8D2AF55" w14:textId="2B8D192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59D59E6" w14:textId="5374B58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4789B3F6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3930DDC8" w14:textId="365AEF2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Coyoacán, CDMX</w:t>
            </w:r>
          </w:p>
        </w:tc>
        <w:tc>
          <w:tcPr>
            <w:tcW w:w="933" w:type="dxa"/>
            <w:vAlign w:val="bottom"/>
          </w:tcPr>
          <w:p w14:paraId="22B9125B" w14:textId="45E3214B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50.0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101F896" w14:textId="35D7EB8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55.3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3AA6FEE" w14:textId="037F62B5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C94C458" w14:textId="49DE665F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23D375D" w14:textId="47321F10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Santa Catarina, N.L.</w:t>
            </w:r>
          </w:p>
        </w:tc>
        <w:tc>
          <w:tcPr>
            <w:tcW w:w="958" w:type="dxa"/>
            <w:vAlign w:val="bottom"/>
          </w:tcPr>
          <w:p w14:paraId="6181CAFE" w14:textId="3958A89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35.5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B5554CE" w14:textId="04F75DF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61.2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3A33735" w14:textId="6B1A99B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32E42F32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8C9B7B1" w14:textId="427A3F68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La Magdalena Contreras, CDMX</w:t>
            </w:r>
          </w:p>
        </w:tc>
        <w:tc>
          <w:tcPr>
            <w:tcW w:w="933" w:type="dxa"/>
            <w:vAlign w:val="bottom"/>
          </w:tcPr>
          <w:p w14:paraId="3D98B42D" w14:textId="2060303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66.0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6450900" w14:textId="4A592F7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65.6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17718FF" w14:textId="6F74A4C3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106B9DE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A153B36" w14:textId="38E2F7FC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Oaxaca,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Oax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2B8D5DFC" w14:textId="046CB35B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70.5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95B5E71" w14:textId="21B9F0AB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69.9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1430358" w14:textId="7E2FA0F8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56D3E465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76F35E1D" w14:textId="098B28F3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Tlalpan, CDMX</w:t>
            </w:r>
          </w:p>
        </w:tc>
        <w:tc>
          <w:tcPr>
            <w:tcW w:w="933" w:type="dxa"/>
            <w:vAlign w:val="bottom"/>
          </w:tcPr>
          <w:p w14:paraId="716E6D47" w14:textId="57D4DD6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463289E" w14:textId="2278D976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B19F78F" w14:textId="27CF9C41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E3B11B4" w14:textId="36FF00EE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B22D753" w14:textId="1CD59A3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Puebla, Pue.</w:t>
            </w:r>
          </w:p>
        </w:tc>
        <w:tc>
          <w:tcPr>
            <w:tcW w:w="958" w:type="dxa"/>
            <w:vAlign w:val="bottom"/>
          </w:tcPr>
          <w:p w14:paraId="52AB2FB7" w14:textId="2F11C644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80.4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C5271E6" w14:textId="2A8C5046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75.8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1E8460B" w14:textId="18DED1E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0A1C2AD7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19EDCCB6" w14:textId="22988ACA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Iztapalapa, CDMX</w:t>
            </w:r>
          </w:p>
        </w:tc>
        <w:tc>
          <w:tcPr>
            <w:tcW w:w="933" w:type="dxa"/>
            <w:vAlign w:val="bottom"/>
          </w:tcPr>
          <w:p w14:paraId="52D329AC" w14:textId="1A3FE494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82.2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9F2973C" w14:textId="06E265FE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AA093EA" w14:textId="6E8DE805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D575DE9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BBA8EAE" w14:textId="228781D8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Querétaro,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Qro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1F009DA7" w14:textId="10F9A89D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40.5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ACCD7B" w14:textId="57EC2AF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48.1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0153E245" w14:textId="41FAE5E4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718ABAB6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75A42F4E" w14:textId="5BA4FE7D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Milpa Alta, CDMX </w:t>
            </w:r>
          </w:p>
        </w:tc>
        <w:tc>
          <w:tcPr>
            <w:tcW w:w="933" w:type="dxa"/>
            <w:vAlign w:val="bottom"/>
          </w:tcPr>
          <w:p w14:paraId="36B7A754" w14:textId="6C740FC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52.1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E9B179C" w14:textId="51D240A0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50.8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EE58A32" w14:textId="255B665D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6F387CB" w14:textId="528577CF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7AD323D" w14:textId="1DC5B4E1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Cancún, Q. Roo</w:t>
            </w:r>
          </w:p>
        </w:tc>
        <w:tc>
          <w:tcPr>
            <w:tcW w:w="958" w:type="dxa"/>
            <w:vAlign w:val="bottom"/>
          </w:tcPr>
          <w:p w14:paraId="7A6D308A" w14:textId="03620698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9EC0AEE" w14:textId="39B13BA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80.0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F6C1C68" w14:textId="61B0E59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4D9F58CA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7229DEE9" w14:textId="0FD4BA3C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Tláhuac, CDMX</w:t>
            </w:r>
          </w:p>
        </w:tc>
        <w:tc>
          <w:tcPr>
            <w:tcW w:w="933" w:type="dxa"/>
            <w:vAlign w:val="bottom"/>
          </w:tcPr>
          <w:p w14:paraId="4B598828" w14:textId="6C517DB1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4C93595" w14:textId="4EAF7918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61960CE" w14:textId="7AA45BD1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6A3AA35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FC59856" w14:textId="17274E6E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Chetumal, Q. Roo</w:t>
            </w:r>
          </w:p>
        </w:tc>
        <w:tc>
          <w:tcPr>
            <w:tcW w:w="958" w:type="dxa"/>
            <w:vAlign w:val="bottom"/>
          </w:tcPr>
          <w:p w14:paraId="2A71CFFE" w14:textId="2D3B15D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jc w:val="center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ND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B451851" w14:textId="7071F65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4C2BB7C" w14:textId="2FAAB0B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</w:p>
        </w:tc>
      </w:tr>
      <w:tr w:rsidR="003D528E" w:rsidRPr="00D55204" w14:paraId="547405E7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751E27EE" w14:textId="6432926B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Xochimilco, CDMX</w:t>
            </w:r>
          </w:p>
        </w:tc>
        <w:tc>
          <w:tcPr>
            <w:tcW w:w="933" w:type="dxa"/>
            <w:vAlign w:val="bottom"/>
          </w:tcPr>
          <w:p w14:paraId="20EEBA8B" w14:textId="3117CC9B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71.4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1771B53" w14:textId="20380F99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15FF4CD" w14:textId="245BAE53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93F3869" w14:textId="404B54B9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963F494" w14:textId="4350F2D3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San Luis Potosí, S.L.P.</w:t>
            </w:r>
          </w:p>
        </w:tc>
        <w:tc>
          <w:tcPr>
            <w:tcW w:w="958" w:type="dxa"/>
            <w:vAlign w:val="bottom"/>
          </w:tcPr>
          <w:p w14:paraId="4AAAA2D6" w14:textId="3E581891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82.7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F35DA1D" w14:textId="7ED8A69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FFD535E" w14:textId="50D531C6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6A12E0FE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2135713" w14:textId="35DF763F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Álvaro Obregón, CDMX</w:t>
            </w:r>
          </w:p>
        </w:tc>
        <w:tc>
          <w:tcPr>
            <w:tcW w:w="933" w:type="dxa"/>
            <w:vAlign w:val="bottom"/>
          </w:tcPr>
          <w:p w14:paraId="3B001373" w14:textId="10FD62B0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83.2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CF6E851" w14:textId="4A72786E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74.6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73B251E" w14:textId="4FD52D0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30BEADB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B3DB03E" w14:textId="26749B47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Culiacán, Sin.</w:t>
            </w:r>
          </w:p>
        </w:tc>
        <w:tc>
          <w:tcPr>
            <w:tcW w:w="958" w:type="dxa"/>
            <w:vAlign w:val="bottom"/>
          </w:tcPr>
          <w:p w14:paraId="389F2ED0" w14:textId="5BD958CA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59.1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DD3B7CE" w14:textId="1F08741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E3F364C" w14:textId="699EBF1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65DCDD61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714E52E0" w14:textId="5DBAAA3B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Azcapotzalco, CDMX</w:t>
            </w:r>
          </w:p>
        </w:tc>
        <w:tc>
          <w:tcPr>
            <w:tcW w:w="933" w:type="dxa"/>
            <w:vAlign w:val="bottom"/>
          </w:tcPr>
          <w:p w14:paraId="64CE5D13" w14:textId="6A44141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72.0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BD58BED" w14:textId="77FB914B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82.9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A65DDC3" w14:textId="269DD15B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0F95370" w14:textId="22E8B6B5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802C21D" w14:textId="6677EDA0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Mazatlán, Sin.</w:t>
            </w:r>
          </w:p>
        </w:tc>
        <w:tc>
          <w:tcPr>
            <w:tcW w:w="958" w:type="dxa"/>
            <w:vAlign w:val="bottom"/>
          </w:tcPr>
          <w:p w14:paraId="3CDD7E85" w14:textId="42201938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45.1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84B7FB2" w14:textId="5D156A57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36E9F2A" w14:textId="48F8992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17CC405F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6525CB3F" w14:textId="56B62749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Cuajimalpa de Morelos, CDMX</w:t>
            </w:r>
          </w:p>
        </w:tc>
        <w:tc>
          <w:tcPr>
            <w:tcW w:w="933" w:type="dxa"/>
            <w:vAlign w:val="bottom"/>
          </w:tcPr>
          <w:p w14:paraId="75F31723" w14:textId="27870E2F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35.5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9CB7F19" w14:textId="14CA1E62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ED78C6A" w14:textId="71CE89F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E32B067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9A6167D" w14:textId="71FA7A29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Los Mochis, Sin.</w:t>
            </w:r>
          </w:p>
        </w:tc>
        <w:tc>
          <w:tcPr>
            <w:tcW w:w="958" w:type="dxa"/>
            <w:vAlign w:val="bottom"/>
          </w:tcPr>
          <w:p w14:paraId="03B9A6A9" w14:textId="3686FFB1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31.6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43B4E6E" w14:textId="0AA7FBDA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27.2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23C8BCE" w14:textId="5C0E2512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1FB01964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11CE2A99" w14:textId="150320BD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Cuauhtémoc, CDMX</w:t>
            </w:r>
          </w:p>
        </w:tc>
        <w:tc>
          <w:tcPr>
            <w:tcW w:w="933" w:type="dxa"/>
            <w:vAlign w:val="bottom"/>
          </w:tcPr>
          <w:p w14:paraId="2D44D7E5" w14:textId="3C9E2DA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65.7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51B3B64" w14:textId="01DEDA5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64.9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0C244F1" w14:textId="09CDA074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7DBB4AE" w14:textId="4DE25EA6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2AF5CF7" w14:textId="786829EA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Hermosillo, Son.</w:t>
            </w:r>
          </w:p>
        </w:tc>
        <w:tc>
          <w:tcPr>
            <w:tcW w:w="958" w:type="dxa"/>
            <w:vAlign w:val="bottom"/>
          </w:tcPr>
          <w:p w14:paraId="5C8E3CFB" w14:textId="22F38EA3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63.0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7C64D70" w14:textId="30E12E88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58.6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D959CDF" w14:textId="523B82C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12F7BB0F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41CAC6E7" w14:textId="44561989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Miguel Hidalgo, CDMX</w:t>
            </w:r>
          </w:p>
        </w:tc>
        <w:tc>
          <w:tcPr>
            <w:tcW w:w="933" w:type="dxa"/>
            <w:vAlign w:val="bottom"/>
          </w:tcPr>
          <w:p w14:paraId="1B3D60E4" w14:textId="49A21161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62.6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CBABD8F" w14:textId="29A0EB07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64.5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06C94D" w14:textId="4D803C2D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6656B35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2BCEC119" w14:textId="228CA4D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Nogales, Son.</w:t>
            </w:r>
          </w:p>
        </w:tc>
        <w:tc>
          <w:tcPr>
            <w:tcW w:w="958" w:type="dxa"/>
            <w:vAlign w:val="bottom"/>
          </w:tcPr>
          <w:p w14:paraId="35D2A4D7" w14:textId="5C407B0B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58.6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D0A8DE4" w14:textId="66D1415B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49.7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8F25019" w14:textId="1E4A9B7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41AF8BA2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44CFD81C" w14:textId="30A615B9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Durango,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74A283B5" w14:textId="754CB2A8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40.2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9A3B948" w14:textId="25B7936A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45.1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907C2D1" w14:textId="0505B998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9C9A696" w14:textId="6B37887C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808C074" w14:textId="472EA5EE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Ciudad Obregón, Son.</w:t>
            </w:r>
          </w:p>
        </w:tc>
        <w:tc>
          <w:tcPr>
            <w:tcW w:w="958" w:type="dxa"/>
            <w:vAlign w:val="bottom"/>
          </w:tcPr>
          <w:p w14:paraId="12CBF4A4" w14:textId="20366053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jc w:val="center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ND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574EA88" w14:textId="40B34A8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94.1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1562AA9" w14:textId="25DE55C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</w:tr>
      <w:tr w:rsidR="003D528E" w:rsidRPr="00D55204" w14:paraId="3B190DAA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68C9175" w14:textId="3C357DE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León,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59B4F38B" w14:textId="6F343F6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79.3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DF004A0" w14:textId="7623DEE7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81.3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BEE1B88" w14:textId="6CEC7EE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8A30D19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23A1FA4" w14:textId="2D83EB37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Villahermosa,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Tab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3ADCD32F" w14:textId="0635EBCA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83.6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49E8E9C" w14:textId="5CF5D58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74.0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1D1DD07" w14:textId="5148C85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49DF4B45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4B2E0E78" w14:textId="094D9EF0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Guanajuato,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40EDF805" w14:textId="3170A966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68.2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450BD46" w14:textId="3451A007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879D7A9" w14:textId="328BFCED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5532ED5" w14:textId="35FE53F0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338834F" w14:textId="4FFC93C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Tampico,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6A12570C" w14:textId="24E75F76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25.2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CA25008" w14:textId="27F9FEE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20.4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9E53997" w14:textId="087CC76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6CF3C31A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165761BF" w14:textId="0B16720E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Irapuato,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314DA166" w14:textId="74F056DD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jc w:val="center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ND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A3584B3" w14:textId="3BA30EE2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23074CF" w14:textId="3BD3A01A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57FE025D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6AD8978" w14:textId="11EE79DF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Reynosa,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A7F98B7" w14:textId="3E482FAF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76.3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C1248F8" w14:textId="096EEBF0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83.2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4863D8A" w14:textId="589C6E4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6B3F9737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5E90B2D5" w14:textId="2066B13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Acapulco, Gro.</w:t>
            </w:r>
          </w:p>
        </w:tc>
        <w:tc>
          <w:tcPr>
            <w:tcW w:w="933" w:type="dxa"/>
            <w:vAlign w:val="bottom"/>
          </w:tcPr>
          <w:p w14:paraId="70296EEA" w14:textId="421D5F18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79.0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0910989" w14:textId="599947D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76.3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727906E" w14:textId="4963F3C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3DCA6A1" w14:textId="09314C0A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2F1252F" w14:textId="5D232541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Nuevo Laredo,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82C6CD7" w14:textId="7CD3C2B8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B585C1B" w14:textId="15F5CD48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7D25625" w14:textId="189B162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CF375D0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19907A7" w14:textId="595B8D5F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Chilpancingo, Gro.</w:t>
            </w:r>
          </w:p>
        </w:tc>
        <w:tc>
          <w:tcPr>
            <w:tcW w:w="933" w:type="dxa"/>
            <w:vAlign w:val="bottom"/>
          </w:tcPr>
          <w:p w14:paraId="66C75015" w14:textId="6E3E09B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73.9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7581B3D" w14:textId="705F6D76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76.5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A19976D" w14:textId="03A0575C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2D30724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4C5C20D" w14:textId="015BE681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Ciudad Victoria,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1B23BA0" w14:textId="37C05D5C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jc w:val="center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ND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DA626DE" w14:textId="172386F2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A2DDFE7" w14:textId="0DCF2671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</w:p>
        </w:tc>
      </w:tr>
      <w:tr w:rsidR="003D528E" w:rsidRPr="00D55204" w14:paraId="5FF9D800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12FB7EB0" w14:textId="1E480BAD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Ixtapa-Zihuatanejo, Gro.</w:t>
            </w:r>
          </w:p>
        </w:tc>
        <w:tc>
          <w:tcPr>
            <w:tcW w:w="933" w:type="dxa"/>
            <w:vAlign w:val="bottom"/>
          </w:tcPr>
          <w:p w14:paraId="5537DC69" w14:textId="6287E2AE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60.1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B0F8401" w14:textId="0F88E5C1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58.4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D480EB9" w14:textId="47B36825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069D2C8" w14:textId="03D62FEB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6C81B00" w14:textId="4CA545B6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Tlaxcala,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Tlax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5C08865" w14:textId="1AE7AF1C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49.0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63D69C7" w14:textId="2F9BC764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56.7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7D0FBE06" w14:textId="71428AE5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61A73713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0EE06087" w14:textId="0347C8E4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Pachuca,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Hgo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33" w:type="dxa"/>
            <w:vAlign w:val="bottom"/>
          </w:tcPr>
          <w:p w14:paraId="50E3DD6E" w14:textId="3C0E3961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54.8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0B29C40" w14:textId="31BE16E8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53.1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F21348A" w14:textId="58F37E17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7E9848C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48ED6CA" w14:textId="7BA0B59F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Veracruz, Ver.</w:t>
            </w:r>
          </w:p>
        </w:tc>
        <w:tc>
          <w:tcPr>
            <w:tcW w:w="958" w:type="dxa"/>
            <w:vAlign w:val="bottom"/>
          </w:tcPr>
          <w:p w14:paraId="76D2B462" w14:textId="302F5F6D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64.8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C5F0BDD" w14:textId="79AA1CF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556E54B" w14:textId="06021380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23C7FDAC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66F8C305" w14:textId="1C792025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Guadalajara, Jal.</w:t>
            </w:r>
          </w:p>
        </w:tc>
        <w:tc>
          <w:tcPr>
            <w:tcW w:w="933" w:type="dxa"/>
            <w:vAlign w:val="bottom"/>
          </w:tcPr>
          <w:p w14:paraId="705E7EF7" w14:textId="4DAA8FF3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439B600" w14:textId="6210DCA4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50809F8" w14:textId="1C83646C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073658F" w14:textId="427F8421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660BD917" w14:textId="69DC8AC2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Coatzacoalcos, Ver.</w:t>
            </w:r>
          </w:p>
        </w:tc>
        <w:tc>
          <w:tcPr>
            <w:tcW w:w="958" w:type="dxa"/>
            <w:vAlign w:val="bottom"/>
          </w:tcPr>
          <w:p w14:paraId="6F9445C2" w14:textId="195D3FFA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85.4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6451931" w14:textId="3596BC9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86.4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3E42E10" w14:textId="07C92BF3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  <w:tr w:rsidR="003D528E" w:rsidRPr="00D55204" w14:paraId="0DD7EB49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4A5B6B80" w14:textId="7F34706F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Tonalá, Jal.</w:t>
            </w:r>
          </w:p>
        </w:tc>
        <w:tc>
          <w:tcPr>
            <w:tcW w:w="933" w:type="dxa"/>
            <w:vAlign w:val="bottom"/>
          </w:tcPr>
          <w:p w14:paraId="3037FA4C" w14:textId="016B1B31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85.0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E8A058E" w14:textId="3F03133C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77.0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0041185" w14:textId="1BCC82B8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720FBBF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766C5D3" w14:textId="41069753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Xalapa, Ver.</w:t>
            </w:r>
          </w:p>
        </w:tc>
        <w:tc>
          <w:tcPr>
            <w:tcW w:w="958" w:type="dxa"/>
            <w:vAlign w:val="bottom"/>
          </w:tcPr>
          <w:p w14:paraId="4CBFF7CF" w14:textId="464AD3B1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jc w:val="center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ND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B9296F6" w14:textId="2A6655E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60.7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1B6689B" w14:textId="4475789C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</w:p>
        </w:tc>
      </w:tr>
      <w:tr w:rsidR="003D528E" w:rsidRPr="00D55204" w14:paraId="56842A27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362B1E8A" w14:textId="6A349FAB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Tlajomulco de Zúñiga, Jal.</w:t>
            </w:r>
          </w:p>
        </w:tc>
        <w:tc>
          <w:tcPr>
            <w:tcW w:w="933" w:type="dxa"/>
            <w:vAlign w:val="bottom"/>
          </w:tcPr>
          <w:p w14:paraId="2F3F697A" w14:textId="11503BEE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70.2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EBE42E4" w14:textId="05653F1A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67.8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5418E8F0" w14:textId="619B377E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5AAD1D4C" w14:textId="73A93FDF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3E49CBD8" w14:textId="20034AB7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Mérida, </w:t>
            </w:r>
            <w:proofErr w:type="spellStart"/>
            <w:r w:rsidRPr="00D55204">
              <w:rPr>
                <w:color w:val="auto"/>
                <w:sz w:val="16"/>
                <w:szCs w:val="16"/>
              </w:rPr>
              <w:t>Yuc</w:t>
            </w:r>
            <w:proofErr w:type="spellEnd"/>
            <w:r w:rsidRPr="00D55204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301DF224" w14:textId="38B78A93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30.3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7DF0C4C" w14:textId="228CDA0D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22.4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2E78273" w14:textId="638200EF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7A9E692B" w14:textId="77777777" w:rsidTr="00802CBF">
        <w:trPr>
          <w:trHeight w:hRule="exact" w:val="198"/>
        </w:trPr>
        <w:tc>
          <w:tcPr>
            <w:tcW w:w="2660" w:type="dxa"/>
            <w:vAlign w:val="bottom"/>
          </w:tcPr>
          <w:p w14:paraId="7B76F852" w14:textId="5260F390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San Pedro Tlaquepaque, Jal.</w:t>
            </w:r>
          </w:p>
        </w:tc>
        <w:tc>
          <w:tcPr>
            <w:tcW w:w="933" w:type="dxa"/>
            <w:vAlign w:val="bottom"/>
          </w:tcPr>
          <w:p w14:paraId="1E21607F" w14:textId="2454097A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69.6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17FA19C" w14:textId="57E111AD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68.9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18679D5D" w14:textId="1199BBFA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5A0CBB65" w14:textId="77777777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57E0964" w14:textId="430E58C4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Zacatecas, Zac.</w:t>
            </w:r>
          </w:p>
        </w:tc>
        <w:tc>
          <w:tcPr>
            <w:tcW w:w="958" w:type="dxa"/>
            <w:vAlign w:val="bottom"/>
          </w:tcPr>
          <w:p w14:paraId="3F3B0E81" w14:textId="23330360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85.4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7A84826" w14:textId="07BAEAD9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91.7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DE4B91C" w14:textId="55BBCCFE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*</w:t>
            </w:r>
          </w:p>
        </w:tc>
      </w:tr>
      <w:tr w:rsidR="003D528E" w:rsidRPr="00D55204" w14:paraId="6089E73E" w14:textId="77777777" w:rsidTr="00802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60" w:type="dxa"/>
            <w:vAlign w:val="bottom"/>
          </w:tcPr>
          <w:p w14:paraId="1753E2CF" w14:textId="37FBF9F2" w:rsidR="003D528E" w:rsidRPr="00D55204" w:rsidRDefault="003D528E" w:rsidP="003D528E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Zapopan, Jal.</w:t>
            </w:r>
          </w:p>
        </w:tc>
        <w:tc>
          <w:tcPr>
            <w:tcW w:w="933" w:type="dxa"/>
            <w:vAlign w:val="bottom"/>
          </w:tcPr>
          <w:p w14:paraId="0830E6AF" w14:textId="0820519E" w:rsidR="003D528E" w:rsidRPr="00D55204" w:rsidRDefault="003D528E" w:rsidP="003D528E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66.1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70E85FD" w14:textId="0AB211F7" w:rsidR="003D528E" w:rsidRPr="00D55204" w:rsidRDefault="003D528E" w:rsidP="003D528E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60.6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3372083" w14:textId="666BB0CA" w:rsidR="003D528E" w:rsidRPr="00D55204" w:rsidRDefault="003D528E" w:rsidP="003D528E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54E7271E" w14:textId="1E942FD3" w:rsidR="003D528E" w:rsidRPr="00D55204" w:rsidRDefault="003D528E" w:rsidP="003D528E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42D48875" w14:textId="0CDB8131" w:rsidR="003D528E" w:rsidRPr="00D55204" w:rsidRDefault="003D528E" w:rsidP="003D528E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Fresnillo, Zac.</w:t>
            </w:r>
          </w:p>
        </w:tc>
        <w:tc>
          <w:tcPr>
            <w:tcW w:w="958" w:type="dxa"/>
            <w:vAlign w:val="bottom"/>
          </w:tcPr>
          <w:p w14:paraId="6E83D32F" w14:textId="51EFADF2" w:rsidR="003D528E" w:rsidRPr="00D55204" w:rsidRDefault="003D528E" w:rsidP="003D528E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94.2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2499461" w14:textId="21C6D552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>97.1</w:t>
            </w: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6BCE3310" w14:textId="67A37F82" w:rsidR="003D528E" w:rsidRPr="00D55204" w:rsidRDefault="003D528E" w:rsidP="003D528E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D55204">
              <w:rPr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1B4BC979" w14:textId="4347B7F5" w:rsidR="00B62158" w:rsidRPr="001648B2" w:rsidRDefault="00B62158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bookmarkStart w:id="6" w:name="OLE_LINK3"/>
      <w:bookmarkStart w:id="7" w:name="OLE_LINK4"/>
      <w:bookmarkEnd w:id="4"/>
      <w:bookmarkEnd w:id="5"/>
      <w:r w:rsidRPr="001648B2">
        <w:rPr>
          <w:color w:val="000000"/>
          <w:sz w:val="16"/>
          <w:szCs w:val="14"/>
        </w:rPr>
        <w:t>Nota</w:t>
      </w:r>
      <w:r w:rsidR="00C93327">
        <w:rPr>
          <w:color w:val="000000"/>
          <w:sz w:val="16"/>
          <w:szCs w:val="14"/>
        </w:rPr>
        <w:t>s</w:t>
      </w:r>
      <w:r w:rsidRPr="001648B2">
        <w:rPr>
          <w:color w:val="000000"/>
          <w:spacing w:val="-2"/>
          <w:sz w:val="16"/>
          <w:szCs w:val="14"/>
        </w:rPr>
        <w:t>:</w:t>
      </w:r>
      <w:r w:rsidR="00BC47EE" w:rsidRPr="001648B2">
        <w:rPr>
          <w:color w:val="000000"/>
          <w:spacing w:val="-2"/>
          <w:sz w:val="16"/>
          <w:szCs w:val="14"/>
        </w:rPr>
        <w:tab/>
      </w:r>
      <w:r w:rsidRPr="001648B2">
        <w:rPr>
          <w:color w:val="000000"/>
          <w:spacing w:val="-2"/>
          <w:sz w:val="16"/>
          <w:szCs w:val="14"/>
        </w:rPr>
        <w:t>Porcentaje de la población de 18 años y más residente en las ciudades de interés que considera que</w:t>
      </w:r>
      <w:r w:rsidR="008B3D8F">
        <w:rPr>
          <w:color w:val="000000"/>
          <w:spacing w:val="-2"/>
          <w:sz w:val="16"/>
          <w:szCs w:val="14"/>
        </w:rPr>
        <w:t xml:space="preserve"> vivir</w:t>
      </w:r>
      <w:r w:rsidRPr="001648B2">
        <w:rPr>
          <w:color w:val="000000"/>
          <w:spacing w:val="-2"/>
          <w:sz w:val="16"/>
          <w:szCs w:val="14"/>
        </w:rPr>
        <w:t xml:space="preserve"> actualmente</w:t>
      </w:r>
      <w:r w:rsidR="008B3D8F">
        <w:rPr>
          <w:color w:val="000000"/>
          <w:spacing w:val="-2"/>
          <w:sz w:val="16"/>
          <w:szCs w:val="14"/>
        </w:rPr>
        <w:t xml:space="preserve"> en su ciudad </w:t>
      </w:r>
      <w:r w:rsidRPr="001648B2">
        <w:rPr>
          <w:color w:val="000000"/>
          <w:spacing w:val="-2"/>
          <w:sz w:val="16"/>
          <w:szCs w:val="14"/>
        </w:rPr>
        <w:t>es inseguro</w:t>
      </w:r>
      <w:r w:rsidRPr="001648B2">
        <w:rPr>
          <w:color w:val="000000"/>
          <w:sz w:val="16"/>
          <w:szCs w:val="14"/>
        </w:rPr>
        <w:t>. Excluye la opción de respuesta “No sabe o no responde”.</w:t>
      </w:r>
    </w:p>
    <w:p w14:paraId="457CD530" w14:textId="0AF4D293" w:rsidR="00B62158" w:rsidRPr="001648B2" w:rsidRDefault="00B62158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8"/>
          <w:szCs w:val="14"/>
          <w:vertAlign w:val="superscript"/>
        </w:rPr>
        <w:t>1</w:t>
      </w:r>
      <w:r w:rsidR="00BC47EE" w:rsidRPr="001648B2">
        <w:rPr>
          <w:color w:val="000000"/>
          <w:sz w:val="16"/>
          <w:szCs w:val="14"/>
          <w:vertAlign w:val="superscript"/>
        </w:rPr>
        <w:tab/>
      </w:r>
      <w:r w:rsidRPr="001648B2">
        <w:rPr>
          <w:color w:val="000000"/>
          <w:sz w:val="16"/>
          <w:szCs w:val="14"/>
        </w:rPr>
        <w:t>Incluye las localidades urbanas de San José del Cabo y Cabo San Lucas.</w:t>
      </w:r>
    </w:p>
    <w:p w14:paraId="610B6F0C" w14:textId="2F187ADE" w:rsidR="00B62158" w:rsidRPr="001648B2" w:rsidRDefault="00B62158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8"/>
          <w:szCs w:val="14"/>
          <w:vertAlign w:val="superscript"/>
        </w:rPr>
        <w:t>2</w:t>
      </w:r>
      <w:r w:rsidR="00BC47EE" w:rsidRPr="001648B2">
        <w:rPr>
          <w:color w:val="000000"/>
          <w:sz w:val="16"/>
          <w:szCs w:val="14"/>
          <w:vertAlign w:val="superscript"/>
        </w:rPr>
        <w:tab/>
      </w:r>
      <w:r w:rsidRPr="001648B2">
        <w:rPr>
          <w:color w:val="000000"/>
          <w:sz w:val="16"/>
          <w:szCs w:val="14"/>
        </w:rPr>
        <w:t xml:space="preserve">Incluye los municipios de Matamoros, </w:t>
      </w:r>
      <w:proofErr w:type="spellStart"/>
      <w:r w:rsidRPr="001648B2">
        <w:rPr>
          <w:color w:val="000000"/>
          <w:sz w:val="16"/>
          <w:szCs w:val="14"/>
        </w:rPr>
        <w:t>C</w:t>
      </w:r>
      <w:r w:rsidR="00D13822" w:rsidRPr="001648B2">
        <w:rPr>
          <w:color w:val="000000"/>
          <w:sz w:val="16"/>
          <w:szCs w:val="14"/>
        </w:rPr>
        <w:t>oah</w:t>
      </w:r>
      <w:proofErr w:type="spellEnd"/>
      <w:r w:rsidRPr="001648B2">
        <w:rPr>
          <w:color w:val="000000"/>
          <w:sz w:val="16"/>
          <w:szCs w:val="14"/>
        </w:rPr>
        <w:t xml:space="preserve">; Torreón, </w:t>
      </w:r>
      <w:proofErr w:type="spellStart"/>
      <w:r w:rsidRPr="001648B2">
        <w:rPr>
          <w:color w:val="000000"/>
          <w:sz w:val="16"/>
          <w:szCs w:val="14"/>
        </w:rPr>
        <w:t>C</w:t>
      </w:r>
      <w:r w:rsidR="00D13822" w:rsidRPr="001648B2">
        <w:rPr>
          <w:color w:val="000000"/>
          <w:sz w:val="16"/>
          <w:szCs w:val="14"/>
        </w:rPr>
        <w:t>oah</w:t>
      </w:r>
      <w:proofErr w:type="spellEnd"/>
      <w:r w:rsidRPr="001648B2">
        <w:rPr>
          <w:color w:val="000000"/>
          <w:sz w:val="16"/>
          <w:szCs w:val="14"/>
        </w:rPr>
        <w:t xml:space="preserve">; Gómez Palacio, </w:t>
      </w:r>
      <w:proofErr w:type="spellStart"/>
      <w:r w:rsidRPr="001648B2">
        <w:rPr>
          <w:color w:val="000000"/>
          <w:sz w:val="16"/>
          <w:szCs w:val="14"/>
        </w:rPr>
        <w:t>D</w:t>
      </w:r>
      <w:r w:rsidR="00D13822" w:rsidRPr="001648B2">
        <w:rPr>
          <w:color w:val="000000"/>
          <w:sz w:val="16"/>
          <w:szCs w:val="14"/>
        </w:rPr>
        <w:t>go</w:t>
      </w:r>
      <w:proofErr w:type="spellEnd"/>
      <w:r w:rsidRPr="001648B2">
        <w:rPr>
          <w:color w:val="000000"/>
          <w:sz w:val="16"/>
          <w:szCs w:val="14"/>
        </w:rPr>
        <w:t xml:space="preserve">; y Lerdo, </w:t>
      </w:r>
      <w:proofErr w:type="spellStart"/>
      <w:r w:rsidRPr="001648B2">
        <w:rPr>
          <w:color w:val="000000"/>
          <w:sz w:val="16"/>
          <w:szCs w:val="14"/>
        </w:rPr>
        <w:t>D</w:t>
      </w:r>
      <w:r w:rsidR="00D13822" w:rsidRPr="001648B2">
        <w:rPr>
          <w:color w:val="000000"/>
          <w:sz w:val="16"/>
          <w:szCs w:val="14"/>
        </w:rPr>
        <w:t>go</w:t>
      </w:r>
      <w:proofErr w:type="spellEnd"/>
      <w:r w:rsidRPr="001648B2">
        <w:rPr>
          <w:color w:val="000000"/>
          <w:sz w:val="16"/>
          <w:szCs w:val="14"/>
        </w:rPr>
        <w:t>.</w:t>
      </w:r>
    </w:p>
    <w:p w14:paraId="0EB00CAF" w14:textId="68BA60E0" w:rsidR="00B62158" w:rsidRPr="001648B2" w:rsidRDefault="00BC47EE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6"/>
          <w:szCs w:val="14"/>
        </w:rPr>
        <w:t>ND</w:t>
      </w:r>
      <w:r w:rsidRPr="001648B2">
        <w:rPr>
          <w:color w:val="000000"/>
          <w:sz w:val="16"/>
          <w:szCs w:val="14"/>
        </w:rPr>
        <w:tab/>
      </w:r>
      <w:r w:rsidR="00B62158" w:rsidRPr="001648B2">
        <w:rPr>
          <w:color w:val="000000"/>
          <w:sz w:val="16"/>
          <w:szCs w:val="14"/>
        </w:rPr>
        <w:t xml:space="preserve">No disponible, dado que la información relativa a dicha ciudad no formó parte de la muestra en </w:t>
      </w:r>
      <w:r w:rsidR="00A92D37">
        <w:rPr>
          <w:color w:val="000000"/>
          <w:sz w:val="16"/>
          <w:szCs w:val="14"/>
        </w:rPr>
        <w:t xml:space="preserve">marzo </w:t>
      </w:r>
      <w:r w:rsidR="00B62158" w:rsidRPr="001648B2">
        <w:rPr>
          <w:color w:val="000000"/>
          <w:sz w:val="16"/>
          <w:szCs w:val="14"/>
        </w:rPr>
        <w:t>de 202</w:t>
      </w:r>
      <w:r w:rsidR="00A92D37">
        <w:rPr>
          <w:color w:val="000000"/>
          <w:sz w:val="16"/>
          <w:szCs w:val="14"/>
        </w:rPr>
        <w:t>1</w:t>
      </w:r>
      <w:r w:rsidR="00B62158" w:rsidRPr="001648B2">
        <w:rPr>
          <w:color w:val="000000"/>
          <w:sz w:val="16"/>
          <w:szCs w:val="14"/>
        </w:rPr>
        <w:t>.</w:t>
      </w:r>
    </w:p>
    <w:p w14:paraId="12E34994" w14:textId="255D0633" w:rsidR="00B62158" w:rsidRPr="001648B2" w:rsidRDefault="00B62158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8"/>
          <w:szCs w:val="14"/>
        </w:rPr>
        <w:t>*</w:t>
      </w:r>
      <w:r w:rsidR="00BC47EE" w:rsidRPr="001648B2">
        <w:rPr>
          <w:color w:val="000000"/>
          <w:sz w:val="16"/>
          <w:szCs w:val="14"/>
        </w:rPr>
        <w:tab/>
      </w:r>
      <w:r w:rsidRPr="001648B2">
        <w:rPr>
          <w:color w:val="000000"/>
          <w:sz w:val="16"/>
          <w:szCs w:val="14"/>
        </w:rPr>
        <w:t xml:space="preserve">En estos casos sí </w:t>
      </w:r>
      <w:r w:rsidR="00670C26">
        <w:rPr>
          <w:color w:val="000000"/>
          <w:sz w:val="16"/>
          <w:szCs w:val="14"/>
        </w:rPr>
        <w:t>hubo</w:t>
      </w:r>
      <w:r w:rsidRPr="001648B2">
        <w:rPr>
          <w:color w:val="000000"/>
          <w:sz w:val="16"/>
          <w:szCs w:val="14"/>
        </w:rPr>
        <w:t xml:space="preserve"> un cambio estadísticamente significativo respecto</w:t>
      </w:r>
      <w:r w:rsidR="00D871B1">
        <w:rPr>
          <w:color w:val="000000"/>
          <w:sz w:val="16"/>
          <w:szCs w:val="14"/>
        </w:rPr>
        <w:t xml:space="preserve"> a</w:t>
      </w:r>
      <w:r w:rsidRPr="001648B2">
        <w:rPr>
          <w:color w:val="000000"/>
          <w:sz w:val="16"/>
          <w:szCs w:val="14"/>
        </w:rPr>
        <w:t xml:space="preserve"> </w:t>
      </w:r>
      <w:r w:rsidR="00A20AB8">
        <w:rPr>
          <w:color w:val="000000"/>
          <w:sz w:val="16"/>
          <w:szCs w:val="14"/>
        </w:rPr>
        <w:t>marzo</w:t>
      </w:r>
      <w:r w:rsidRPr="001648B2">
        <w:rPr>
          <w:color w:val="000000"/>
          <w:sz w:val="16"/>
          <w:szCs w:val="14"/>
        </w:rPr>
        <w:t xml:space="preserve"> de 202</w:t>
      </w:r>
      <w:r w:rsidR="00A20AB8">
        <w:rPr>
          <w:color w:val="000000"/>
          <w:sz w:val="16"/>
          <w:szCs w:val="14"/>
        </w:rPr>
        <w:t>1</w:t>
      </w:r>
      <w:r w:rsidRPr="001648B2">
        <w:rPr>
          <w:color w:val="000000"/>
          <w:sz w:val="16"/>
          <w:szCs w:val="14"/>
        </w:rPr>
        <w:t>.</w:t>
      </w:r>
    </w:p>
    <w:p w14:paraId="348A687E" w14:textId="68ACB7CC" w:rsidR="00B62158" w:rsidRPr="001648B2" w:rsidRDefault="00B62158" w:rsidP="001648B2">
      <w:pPr>
        <w:autoSpaceDE w:val="0"/>
        <w:autoSpaceDN w:val="0"/>
        <w:adjustRightInd w:val="0"/>
        <w:ind w:left="714" w:right="-85" w:hanging="572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6"/>
          <w:szCs w:val="14"/>
        </w:rPr>
        <w:t>Fuente:</w:t>
      </w:r>
      <w:r w:rsidR="00BC47EE" w:rsidRPr="001648B2">
        <w:rPr>
          <w:color w:val="000000"/>
          <w:sz w:val="16"/>
          <w:szCs w:val="14"/>
        </w:rPr>
        <w:tab/>
      </w:r>
      <w:r w:rsidRPr="001648B2">
        <w:rPr>
          <w:color w:val="000000"/>
          <w:sz w:val="16"/>
          <w:szCs w:val="14"/>
        </w:rPr>
        <w:t>INEGI. Encuesta Nacional de Seguridad Pública Urbana (ENSU).</w:t>
      </w:r>
    </w:p>
    <w:p w14:paraId="07FB58FA" w14:textId="6FF2ADA8" w:rsidR="00C33192" w:rsidRPr="000C6AEF" w:rsidRDefault="00C33192" w:rsidP="00622A55">
      <w:pPr>
        <w:widowControl w:val="0"/>
        <w:autoSpaceDE w:val="0"/>
        <w:autoSpaceDN w:val="0"/>
        <w:adjustRightInd w:val="0"/>
        <w:spacing w:before="240"/>
        <w:jc w:val="center"/>
        <w:rPr>
          <w:bCs/>
          <w:color w:val="000000"/>
          <w:sz w:val="20"/>
          <w:szCs w:val="16"/>
        </w:rPr>
      </w:pPr>
      <w:r w:rsidRPr="000C6AEF">
        <w:rPr>
          <w:bCs/>
          <w:color w:val="000000"/>
          <w:sz w:val="20"/>
          <w:szCs w:val="16"/>
        </w:rPr>
        <w:lastRenderedPageBreak/>
        <w:t>Mapa 1</w:t>
      </w:r>
    </w:p>
    <w:p w14:paraId="379184B7" w14:textId="66A630E8" w:rsidR="00FA44D9" w:rsidRPr="00CC54A7" w:rsidRDefault="00CC54A7" w:rsidP="00622A55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color w:val="000000"/>
          <w:sz w:val="22"/>
          <w:szCs w:val="16"/>
        </w:rPr>
      </w:pPr>
      <w:r w:rsidRPr="00CC54A7">
        <w:rPr>
          <w:b/>
          <w:bCs/>
          <w:smallCaps/>
          <w:color w:val="000000"/>
          <w:sz w:val="22"/>
          <w:szCs w:val="16"/>
        </w:rPr>
        <w:t>Percepción social sobre inseguridad pública</w:t>
      </w:r>
      <w:r w:rsidR="00C33192" w:rsidRPr="00CC54A7">
        <w:rPr>
          <w:b/>
          <w:bCs/>
          <w:smallCaps/>
          <w:color w:val="000000"/>
          <w:sz w:val="22"/>
          <w:szCs w:val="16"/>
        </w:rPr>
        <w:t xml:space="preserve"> </w:t>
      </w:r>
      <w:r w:rsidRPr="00CC54A7">
        <w:rPr>
          <w:b/>
          <w:bCs/>
          <w:smallCaps/>
          <w:color w:val="000000"/>
          <w:sz w:val="22"/>
          <w:szCs w:val="16"/>
        </w:rPr>
        <w:t>por ciudad de interés</w:t>
      </w:r>
      <w:bookmarkEnd w:id="6"/>
      <w:bookmarkEnd w:id="7"/>
    </w:p>
    <w:p w14:paraId="649D2809" w14:textId="5FE2793D" w:rsidR="00FA44D9" w:rsidRPr="00C33192" w:rsidRDefault="00CC54A7" w:rsidP="00622A55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16"/>
        </w:rPr>
      </w:pPr>
      <w:r>
        <w:rPr>
          <w:b/>
          <w:bCs/>
          <w:smallCaps/>
          <w:color w:val="000000"/>
          <w:sz w:val="22"/>
          <w:szCs w:val="16"/>
        </w:rPr>
        <w:t>m</w:t>
      </w:r>
      <w:r w:rsidRPr="00CC54A7">
        <w:rPr>
          <w:b/>
          <w:bCs/>
          <w:smallCaps/>
          <w:color w:val="000000"/>
          <w:sz w:val="22"/>
          <w:szCs w:val="16"/>
        </w:rPr>
        <w:t>arzo de 202</w:t>
      </w:r>
      <w:r w:rsidR="00A20AB8" w:rsidRPr="00CC54A7">
        <w:rPr>
          <w:b/>
          <w:bCs/>
          <w:smallCaps/>
          <w:color w:val="000000"/>
          <w:sz w:val="22"/>
          <w:szCs w:val="16"/>
        </w:rPr>
        <w:t>2</w:t>
      </w:r>
    </w:p>
    <w:p w14:paraId="7C15CD03" w14:textId="4F4CD608" w:rsidR="00FA44D9" w:rsidRDefault="00FA44D9" w:rsidP="00622A55">
      <w:pPr>
        <w:widowControl w:val="0"/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51BBCDF7" w14:textId="759BF825" w:rsidR="005A28EA" w:rsidRDefault="00B31429" w:rsidP="00325DD3">
      <w:pPr>
        <w:widowControl w:val="0"/>
        <w:spacing w:after="20"/>
        <w:jc w:val="center"/>
        <w:rPr>
          <w:sz w:val="18"/>
          <w:szCs w:val="16"/>
          <w:lang w:val="es-ES"/>
        </w:rPr>
      </w:pPr>
      <w:r>
        <w:rPr>
          <w:noProof/>
          <w:sz w:val="18"/>
          <w:szCs w:val="16"/>
          <w:lang w:val="es-ES"/>
        </w:rPr>
        <w:drawing>
          <wp:inline distT="0" distB="0" distL="0" distR="0" wp14:anchorId="231165B8" wp14:editId="06EB8437">
            <wp:extent cx="5940000" cy="4022957"/>
            <wp:effectExtent l="0" t="0" r="381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022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7C5860" w14:textId="77777777" w:rsidR="00B4775D" w:rsidRDefault="00B4775D" w:rsidP="00030BF8">
      <w:pPr>
        <w:keepNext/>
        <w:keepLines/>
        <w:jc w:val="center"/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0869DC7" w14:textId="48B7F997" w:rsidR="00FA44D9" w:rsidRPr="001648B2" w:rsidRDefault="00FA44D9" w:rsidP="00EB2185">
      <w:pPr>
        <w:autoSpaceDE w:val="0"/>
        <w:autoSpaceDN w:val="0"/>
        <w:adjustRightInd w:val="0"/>
        <w:ind w:left="630" w:hanging="578"/>
        <w:rPr>
          <w:color w:val="000000"/>
          <w:sz w:val="16"/>
          <w:szCs w:val="14"/>
        </w:rPr>
      </w:pPr>
      <w:r w:rsidRPr="001648B2">
        <w:rPr>
          <w:color w:val="000000"/>
          <w:sz w:val="16"/>
          <w:szCs w:val="14"/>
        </w:rPr>
        <w:t>Fuente:</w:t>
      </w:r>
      <w:r w:rsidR="001709AA" w:rsidRPr="001648B2">
        <w:rPr>
          <w:color w:val="000000"/>
          <w:sz w:val="16"/>
          <w:szCs w:val="14"/>
        </w:rPr>
        <w:tab/>
      </w:r>
      <w:r w:rsidRPr="001648B2">
        <w:rPr>
          <w:color w:val="000000"/>
          <w:sz w:val="16"/>
          <w:szCs w:val="14"/>
        </w:rPr>
        <w:t>INEGI. Encuesta Nacional de Seguridad Pública Urbana (ENSU).</w:t>
      </w:r>
    </w:p>
    <w:p w14:paraId="6FE53B16" w14:textId="77777777" w:rsidR="00F705F6" w:rsidRDefault="00F705F6">
      <w:pPr>
        <w:rPr>
          <w:color w:val="000000"/>
        </w:rPr>
      </w:pPr>
      <w:bookmarkStart w:id="8" w:name="_Hlk86838155"/>
      <w:r>
        <w:rPr>
          <w:color w:val="000000"/>
        </w:rPr>
        <w:br w:type="page"/>
      </w:r>
    </w:p>
    <w:p w14:paraId="04B097F9" w14:textId="0B48D859" w:rsidR="00FA44D9" w:rsidRDefault="00656618" w:rsidP="004709C6">
      <w:pPr>
        <w:autoSpaceDE w:val="0"/>
        <w:autoSpaceDN w:val="0"/>
        <w:adjustRightInd w:val="0"/>
        <w:spacing w:before="240"/>
        <w:jc w:val="both"/>
        <w:rPr>
          <w:color w:val="000000"/>
        </w:rPr>
      </w:pPr>
      <w:r w:rsidRPr="00D2716B">
        <w:rPr>
          <w:color w:val="000000"/>
        </w:rPr>
        <w:lastRenderedPageBreak/>
        <w:t xml:space="preserve">En lo referente a la percepción de </w:t>
      </w:r>
      <w:r>
        <w:rPr>
          <w:color w:val="000000"/>
        </w:rPr>
        <w:t>in</w:t>
      </w:r>
      <w:r w:rsidRPr="00D2716B">
        <w:rPr>
          <w:color w:val="000000"/>
        </w:rPr>
        <w:t xml:space="preserve">seguridad </w:t>
      </w:r>
      <w:r>
        <w:rPr>
          <w:color w:val="000000"/>
        </w:rPr>
        <w:t xml:space="preserve">en espacios físicos específicos, en </w:t>
      </w:r>
      <w:r w:rsidR="00A20AB8">
        <w:rPr>
          <w:color w:val="000000"/>
        </w:rPr>
        <w:t>marzo</w:t>
      </w:r>
      <w:r>
        <w:rPr>
          <w:color w:val="000000"/>
        </w:rPr>
        <w:t xml:space="preserve"> de 202</w:t>
      </w:r>
      <w:r w:rsidR="00A20AB8">
        <w:rPr>
          <w:color w:val="000000"/>
        </w:rPr>
        <w:t>2</w:t>
      </w:r>
      <w:r>
        <w:rPr>
          <w:color w:val="000000"/>
        </w:rPr>
        <w:t>,</w:t>
      </w:r>
      <w:r w:rsidRPr="00D2716B">
        <w:rPr>
          <w:color w:val="000000"/>
        </w:rPr>
        <w:t xml:space="preserve"> </w:t>
      </w:r>
      <w:r>
        <w:rPr>
          <w:color w:val="000000"/>
        </w:rPr>
        <w:t>7</w:t>
      </w:r>
      <w:r w:rsidR="00440688">
        <w:rPr>
          <w:color w:val="000000"/>
        </w:rPr>
        <w:t>6.</w:t>
      </w:r>
      <w:r w:rsidR="00A87949">
        <w:rPr>
          <w:color w:val="000000"/>
        </w:rPr>
        <w:t>4</w:t>
      </w:r>
      <w:r w:rsidRPr="00EA49D6">
        <w:rPr>
          <w:color w:val="000000"/>
        </w:rPr>
        <w:t>%</w:t>
      </w:r>
      <w:r>
        <w:rPr>
          <w:color w:val="000000"/>
        </w:rPr>
        <w:t xml:space="preserve"> de la población</w:t>
      </w:r>
      <w:r w:rsidRPr="00D2716B">
        <w:rPr>
          <w:color w:val="000000"/>
        </w:rPr>
        <w:t xml:space="preserve"> </w:t>
      </w:r>
      <w:r w:rsidRPr="00EA49D6">
        <w:rPr>
          <w:color w:val="000000"/>
        </w:rPr>
        <w:t>manifestó sentirse insegura en los cajeros automáticos l</w:t>
      </w:r>
      <w:r>
        <w:rPr>
          <w:color w:val="000000"/>
        </w:rPr>
        <w:t xml:space="preserve">ocalizados en la vía pública, </w:t>
      </w:r>
      <w:r w:rsidR="00440688">
        <w:rPr>
          <w:color w:val="000000"/>
        </w:rPr>
        <w:t>70.2</w:t>
      </w:r>
      <w:r w:rsidRPr="00EA49D6">
        <w:rPr>
          <w:color w:val="000000"/>
        </w:rPr>
        <w:t xml:space="preserve">% en el transporte público, </w:t>
      </w:r>
      <w:r>
        <w:rPr>
          <w:color w:val="000000"/>
        </w:rPr>
        <w:t>6</w:t>
      </w:r>
      <w:r w:rsidR="00A87949">
        <w:rPr>
          <w:color w:val="000000"/>
        </w:rPr>
        <w:t>1.7</w:t>
      </w:r>
      <w:r w:rsidRPr="00EA49D6">
        <w:rPr>
          <w:color w:val="000000"/>
        </w:rPr>
        <w:t xml:space="preserve">% en </w:t>
      </w:r>
      <w:r>
        <w:rPr>
          <w:color w:val="000000"/>
        </w:rPr>
        <w:t>el banco</w:t>
      </w:r>
      <w:r w:rsidRPr="00EA49D6">
        <w:rPr>
          <w:color w:val="000000"/>
        </w:rPr>
        <w:t xml:space="preserve"> y </w:t>
      </w:r>
      <w:r>
        <w:rPr>
          <w:color w:val="000000"/>
        </w:rPr>
        <w:t>5</w:t>
      </w:r>
      <w:r w:rsidR="00A87949">
        <w:rPr>
          <w:color w:val="000000"/>
        </w:rPr>
        <w:t>8.6</w:t>
      </w:r>
      <w:r w:rsidRPr="00EA49D6">
        <w:rPr>
          <w:color w:val="000000"/>
        </w:rPr>
        <w:t>%</w:t>
      </w:r>
      <w:r w:rsidRPr="00610716">
        <w:rPr>
          <w:color w:val="000000"/>
        </w:rPr>
        <w:t xml:space="preserve"> </w:t>
      </w:r>
      <w:r w:rsidRPr="00EA49D6">
        <w:rPr>
          <w:color w:val="000000"/>
        </w:rPr>
        <w:t>en</w:t>
      </w:r>
      <w:r>
        <w:rPr>
          <w:color w:val="000000"/>
        </w:rPr>
        <w:t xml:space="preserve"> </w:t>
      </w:r>
      <w:r w:rsidRPr="00EA49D6">
        <w:rPr>
          <w:color w:val="000000"/>
        </w:rPr>
        <w:t>las calles que habitualmente usa.</w:t>
      </w:r>
      <w:bookmarkEnd w:id="8"/>
    </w:p>
    <w:p w14:paraId="09BF033A" w14:textId="4BFE13AE" w:rsidR="00337205" w:rsidRPr="000C6AEF" w:rsidRDefault="00337205" w:rsidP="003B26F3">
      <w:pPr>
        <w:autoSpaceDE w:val="0"/>
        <w:autoSpaceDN w:val="0"/>
        <w:adjustRightInd w:val="0"/>
        <w:spacing w:before="360"/>
        <w:jc w:val="center"/>
        <w:rPr>
          <w:color w:val="000000"/>
          <w:sz w:val="20"/>
        </w:rPr>
      </w:pPr>
      <w:r w:rsidRPr="000C6AEF">
        <w:rPr>
          <w:color w:val="000000"/>
          <w:sz w:val="20"/>
        </w:rPr>
        <w:t>Gráfica 2</w:t>
      </w:r>
    </w:p>
    <w:p w14:paraId="43DE007B" w14:textId="009C6CFA" w:rsidR="00FA44D9" w:rsidRPr="00337205" w:rsidRDefault="00CC54A7" w:rsidP="00337205">
      <w:pPr>
        <w:autoSpaceDE w:val="0"/>
        <w:autoSpaceDN w:val="0"/>
        <w:adjustRightInd w:val="0"/>
        <w:jc w:val="center"/>
        <w:rPr>
          <w:sz w:val="18"/>
          <w:szCs w:val="16"/>
          <w:lang w:val="es-ES"/>
        </w:rPr>
      </w:pPr>
      <w:r w:rsidRPr="00CC54A7">
        <w:rPr>
          <w:b/>
          <w:smallCaps/>
          <w:color w:val="000000"/>
          <w:sz w:val="22"/>
          <w:szCs w:val="18"/>
        </w:rPr>
        <w:t>Población de 18 años y más que se siente insegura por tipo de lugar</w:t>
      </w:r>
      <w:r w:rsidR="00B047C5" w:rsidRPr="00CC54A7">
        <w:rPr>
          <w:b/>
          <w:smallCaps/>
          <w:color w:val="000000"/>
          <w:sz w:val="22"/>
          <w:szCs w:val="18"/>
        </w:rPr>
        <w:br/>
      </w:r>
      <w:r w:rsidR="00FA44D9" w:rsidRPr="00254424">
        <w:rPr>
          <w:sz w:val="18"/>
          <w:szCs w:val="16"/>
          <w:lang w:val="es-ES"/>
        </w:rPr>
        <w:t>(Porcentaje)</w:t>
      </w:r>
    </w:p>
    <w:p w14:paraId="36C543BA" w14:textId="3BDB2467" w:rsidR="00FA44D9" w:rsidRDefault="008929B9" w:rsidP="009E6DBB">
      <w:pPr>
        <w:spacing w:after="20"/>
        <w:jc w:val="center"/>
        <w:rPr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61106220" wp14:editId="4C91563E">
            <wp:extent cx="5040000" cy="3310796"/>
            <wp:effectExtent l="0" t="0" r="8255" b="4445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9E0782ED-DA84-44C9-BD1B-EB8994F2D7B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25A4F316" w14:textId="69AAC4CD" w:rsidR="00FA44D9" w:rsidRPr="001648B2" w:rsidRDefault="00FA44D9" w:rsidP="00142363">
      <w:pPr>
        <w:autoSpaceDE w:val="0"/>
        <w:autoSpaceDN w:val="0"/>
        <w:adjustRightInd w:val="0"/>
        <w:spacing w:before="20"/>
        <w:ind w:left="1429" w:right="782" w:hanging="578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6"/>
          <w:szCs w:val="14"/>
        </w:rPr>
        <w:t>Fuente:</w:t>
      </w:r>
      <w:r w:rsidR="00B174A1" w:rsidRPr="001648B2">
        <w:rPr>
          <w:color w:val="000000"/>
          <w:sz w:val="16"/>
          <w:szCs w:val="14"/>
        </w:rPr>
        <w:tab/>
      </w:r>
      <w:r w:rsidRPr="001648B2">
        <w:rPr>
          <w:color w:val="000000"/>
          <w:sz w:val="16"/>
          <w:szCs w:val="14"/>
        </w:rPr>
        <w:t>INEGI. Encuesta Nacional de Seguridad Pública Urbana (ENSU).</w:t>
      </w:r>
    </w:p>
    <w:p w14:paraId="58CE4004" w14:textId="7B57A1AB" w:rsidR="00FA44D9" w:rsidRDefault="00440688" w:rsidP="003B26F3">
      <w:pPr>
        <w:autoSpaceDE w:val="0"/>
        <w:autoSpaceDN w:val="0"/>
        <w:adjustRightInd w:val="0"/>
        <w:spacing w:before="360"/>
        <w:jc w:val="both"/>
        <w:rPr>
          <w:color w:val="000000"/>
        </w:rPr>
      </w:pPr>
      <w:r w:rsidRPr="00440688">
        <w:t xml:space="preserve">Respecto a la percepción de inseguridad en espacios físicos específicos por sexo, en </w:t>
      </w:r>
      <w:r w:rsidR="00A20AB8">
        <w:t>marzo</w:t>
      </w:r>
      <w:r w:rsidRPr="00440688">
        <w:t xml:space="preserve"> de 202</w:t>
      </w:r>
      <w:r w:rsidR="00A20AB8">
        <w:t>2</w:t>
      </w:r>
      <w:r w:rsidRPr="00440688">
        <w:t>,</w:t>
      </w:r>
      <w:r w:rsidR="00656618" w:rsidRPr="00440688">
        <w:t xml:space="preserve"> 8</w:t>
      </w:r>
      <w:r>
        <w:t>1.</w:t>
      </w:r>
      <w:r w:rsidR="00F3622B">
        <w:t>6</w:t>
      </w:r>
      <w:r w:rsidR="00656618" w:rsidRPr="00440688">
        <w:t>% de</w:t>
      </w:r>
      <w:r w:rsidR="00656618">
        <w:rPr>
          <w:color w:val="000000"/>
        </w:rPr>
        <w:t xml:space="preserve"> las mujeres</w:t>
      </w:r>
      <w:r w:rsidR="00656618" w:rsidRPr="00D2716B">
        <w:rPr>
          <w:color w:val="000000"/>
        </w:rPr>
        <w:t xml:space="preserve"> </w:t>
      </w:r>
      <w:r w:rsidR="00656618" w:rsidRPr="00EA49D6">
        <w:rPr>
          <w:color w:val="000000"/>
        </w:rPr>
        <w:t>manifest</w:t>
      </w:r>
      <w:r w:rsidR="00F21420">
        <w:rPr>
          <w:color w:val="000000"/>
        </w:rPr>
        <w:t>aron</w:t>
      </w:r>
      <w:r w:rsidR="00656618" w:rsidRPr="00EA49D6">
        <w:rPr>
          <w:color w:val="000000"/>
        </w:rPr>
        <w:t xml:space="preserve"> sentirse insegura</w:t>
      </w:r>
      <w:r w:rsidR="00F21420">
        <w:rPr>
          <w:color w:val="000000"/>
        </w:rPr>
        <w:t>s</w:t>
      </w:r>
      <w:r w:rsidR="00656618" w:rsidRPr="00EA49D6">
        <w:rPr>
          <w:color w:val="000000"/>
        </w:rPr>
        <w:t xml:space="preserve"> en los cajeros automáticos l</w:t>
      </w:r>
      <w:r w:rsidR="00656618">
        <w:rPr>
          <w:color w:val="000000"/>
        </w:rPr>
        <w:t>ocalizados en la vía pública y 7</w:t>
      </w:r>
      <w:r>
        <w:rPr>
          <w:color w:val="000000"/>
        </w:rPr>
        <w:t>4.8</w:t>
      </w:r>
      <w:r w:rsidR="00656618" w:rsidRPr="00EA49D6">
        <w:rPr>
          <w:color w:val="000000"/>
        </w:rPr>
        <w:t>% en el transporte público</w:t>
      </w:r>
      <w:r w:rsidR="00CD5A30">
        <w:rPr>
          <w:color w:val="000000"/>
        </w:rPr>
        <w:t>.</w:t>
      </w:r>
      <w:r w:rsidR="00656618" w:rsidRPr="00EA49D6">
        <w:rPr>
          <w:color w:val="000000"/>
        </w:rPr>
        <w:t xml:space="preserve"> </w:t>
      </w:r>
      <w:r w:rsidR="00F3791A">
        <w:rPr>
          <w:color w:val="000000"/>
        </w:rPr>
        <w:t xml:space="preserve">Por su parte, </w:t>
      </w:r>
      <w:r>
        <w:rPr>
          <w:color w:val="000000"/>
        </w:rPr>
        <w:t>7</w:t>
      </w:r>
      <w:r w:rsidR="00F3622B">
        <w:rPr>
          <w:color w:val="000000"/>
        </w:rPr>
        <w:t>0.5</w:t>
      </w:r>
      <w:r w:rsidR="00656618">
        <w:rPr>
          <w:color w:val="000000"/>
        </w:rPr>
        <w:t xml:space="preserve">% de los hombres manifestaron sentirse inseguros en los cajeros automáticos localizados en la vía pública </w:t>
      </w:r>
      <w:r w:rsidR="00656618" w:rsidRPr="00EA49D6">
        <w:rPr>
          <w:color w:val="000000"/>
        </w:rPr>
        <w:t xml:space="preserve">y </w:t>
      </w:r>
      <w:r w:rsidR="00656618">
        <w:rPr>
          <w:color w:val="000000"/>
        </w:rPr>
        <w:t>6</w:t>
      </w:r>
      <w:r>
        <w:rPr>
          <w:color w:val="000000"/>
        </w:rPr>
        <w:t>4.</w:t>
      </w:r>
      <w:r w:rsidR="00F3622B">
        <w:rPr>
          <w:color w:val="000000"/>
        </w:rPr>
        <w:t>3</w:t>
      </w:r>
      <w:r w:rsidR="00656618" w:rsidRPr="00EA49D6">
        <w:rPr>
          <w:color w:val="000000"/>
        </w:rPr>
        <w:t>%</w:t>
      </w:r>
      <w:r w:rsidR="00656618" w:rsidRPr="00610716">
        <w:rPr>
          <w:color w:val="000000"/>
        </w:rPr>
        <w:t xml:space="preserve"> </w:t>
      </w:r>
      <w:r w:rsidR="00656618" w:rsidRPr="00EA49D6">
        <w:rPr>
          <w:color w:val="000000"/>
        </w:rPr>
        <w:t>en</w:t>
      </w:r>
      <w:r w:rsidR="00656618">
        <w:rPr>
          <w:color w:val="000000"/>
        </w:rPr>
        <w:t xml:space="preserve"> el transporte público</w:t>
      </w:r>
      <w:r w:rsidR="00656618" w:rsidRPr="00EA49D6">
        <w:rPr>
          <w:color w:val="000000"/>
        </w:rPr>
        <w:t>.</w:t>
      </w:r>
    </w:p>
    <w:p w14:paraId="3CBAFF5D" w14:textId="77777777" w:rsidR="00F705F6" w:rsidRDefault="00F705F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14:paraId="19FFA972" w14:textId="34585B80" w:rsidR="00DD0C77" w:rsidRPr="000C6AEF" w:rsidRDefault="00DD0C77" w:rsidP="00DD0C77">
      <w:pPr>
        <w:autoSpaceDE w:val="0"/>
        <w:autoSpaceDN w:val="0"/>
        <w:adjustRightInd w:val="0"/>
        <w:spacing w:before="240"/>
        <w:jc w:val="center"/>
        <w:rPr>
          <w:color w:val="000000"/>
          <w:sz w:val="20"/>
        </w:rPr>
      </w:pPr>
      <w:r w:rsidRPr="000C6AEF">
        <w:rPr>
          <w:color w:val="000000"/>
          <w:sz w:val="20"/>
        </w:rPr>
        <w:lastRenderedPageBreak/>
        <w:t xml:space="preserve">Gráfica </w:t>
      </w:r>
      <w:r w:rsidR="00DD1D74">
        <w:rPr>
          <w:color w:val="000000"/>
          <w:sz w:val="20"/>
        </w:rPr>
        <w:t>3</w:t>
      </w:r>
    </w:p>
    <w:p w14:paraId="6939EE07" w14:textId="0360CED9" w:rsidR="00B047C5" w:rsidRPr="00CC54A7" w:rsidRDefault="00CC54A7" w:rsidP="00DD0C77">
      <w:pPr>
        <w:autoSpaceDE w:val="0"/>
        <w:autoSpaceDN w:val="0"/>
        <w:adjustRightInd w:val="0"/>
        <w:jc w:val="center"/>
        <w:rPr>
          <w:b/>
          <w:smallCaps/>
          <w:color w:val="000000"/>
          <w:sz w:val="22"/>
          <w:szCs w:val="18"/>
        </w:rPr>
      </w:pPr>
      <w:r w:rsidRPr="00CC54A7">
        <w:rPr>
          <w:b/>
          <w:smallCaps/>
          <w:color w:val="000000"/>
          <w:sz w:val="22"/>
          <w:szCs w:val="18"/>
        </w:rPr>
        <w:t xml:space="preserve">Población de 18 años y más que se siente </w:t>
      </w:r>
      <w:r w:rsidR="00DD0C77" w:rsidRPr="00CC54A7">
        <w:rPr>
          <w:b/>
          <w:smallCaps/>
          <w:color w:val="000000"/>
          <w:sz w:val="22"/>
          <w:szCs w:val="18"/>
        </w:rPr>
        <w:br/>
      </w:r>
      <w:r w:rsidRPr="00CC54A7">
        <w:rPr>
          <w:b/>
          <w:smallCaps/>
          <w:color w:val="000000"/>
          <w:sz w:val="22"/>
          <w:szCs w:val="18"/>
        </w:rPr>
        <w:t>insegura por tipo de lugar y sexo</w:t>
      </w:r>
      <w:r w:rsidR="00B047C5" w:rsidRPr="00CC54A7">
        <w:rPr>
          <w:b/>
          <w:smallCaps/>
          <w:color w:val="000000"/>
          <w:sz w:val="22"/>
          <w:szCs w:val="18"/>
        </w:rPr>
        <w:t xml:space="preserve">, </w:t>
      </w:r>
      <w:r w:rsidRPr="00CC54A7">
        <w:rPr>
          <w:b/>
          <w:smallCaps/>
          <w:color w:val="000000"/>
          <w:sz w:val="22"/>
          <w:szCs w:val="18"/>
        </w:rPr>
        <w:t>marzo de 202</w:t>
      </w:r>
      <w:r w:rsidR="00A20AB8" w:rsidRPr="00CC54A7">
        <w:rPr>
          <w:b/>
          <w:smallCaps/>
          <w:color w:val="000000"/>
          <w:sz w:val="22"/>
          <w:szCs w:val="18"/>
        </w:rPr>
        <w:t>2</w:t>
      </w:r>
    </w:p>
    <w:p w14:paraId="498FB30D" w14:textId="6499540A" w:rsidR="00FA44D9" w:rsidRPr="00DD0C77" w:rsidRDefault="00FA44D9" w:rsidP="00DD0C77">
      <w:pPr>
        <w:autoSpaceDE w:val="0"/>
        <w:autoSpaceDN w:val="0"/>
        <w:adjustRightInd w:val="0"/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28D4D13E" w14:textId="5E781D93" w:rsidR="00FA44D9" w:rsidRDefault="008929B9" w:rsidP="009E6DBB">
      <w:pPr>
        <w:spacing w:after="20"/>
        <w:jc w:val="center"/>
        <w:rPr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41138B83" wp14:editId="25DBE4C7">
            <wp:extent cx="5040000" cy="3310796"/>
            <wp:effectExtent l="0" t="0" r="8255" b="4445"/>
            <wp:docPr id="30" name="Gráfico 30">
              <a:extLst xmlns:a="http://schemas.openxmlformats.org/drawingml/2006/main">
                <a:ext uri="{FF2B5EF4-FFF2-40B4-BE49-F238E27FC236}">
                  <a16:creationId xmlns:a16="http://schemas.microsoft.com/office/drawing/2014/main" id="{A4813BEC-3787-42C2-B476-421F481B2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CB80D18" w14:textId="77777777" w:rsidR="00CF7D57" w:rsidRPr="001648B2" w:rsidRDefault="00CF7D57" w:rsidP="001648B2">
      <w:pPr>
        <w:autoSpaceDE w:val="0"/>
        <w:autoSpaceDN w:val="0"/>
        <w:adjustRightInd w:val="0"/>
        <w:ind w:left="1428" w:right="783" w:hanging="577"/>
        <w:jc w:val="both"/>
        <w:rPr>
          <w:color w:val="000000"/>
          <w:sz w:val="16"/>
          <w:szCs w:val="14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</w:p>
    <w:p w14:paraId="2EA54796" w14:textId="77777777" w:rsidR="00FA44D9" w:rsidRPr="008C57DA" w:rsidRDefault="00FA44D9" w:rsidP="00DD0C77">
      <w:pPr>
        <w:autoSpaceDE w:val="0"/>
        <w:autoSpaceDN w:val="0"/>
        <w:adjustRightInd w:val="0"/>
        <w:spacing w:before="480"/>
        <w:rPr>
          <w:b/>
          <w:bCs/>
          <w:color w:val="000000"/>
        </w:rPr>
      </w:pPr>
      <w:bookmarkStart w:id="9" w:name="_Hlk93053982"/>
      <w:r w:rsidRPr="008C57DA">
        <w:rPr>
          <w:b/>
          <w:bCs/>
          <w:color w:val="000000"/>
        </w:rPr>
        <w:t>Expectativa social sobre la seguridad pública (percepción)</w:t>
      </w:r>
    </w:p>
    <w:p w14:paraId="545D28A0" w14:textId="6BE20E8F" w:rsidR="00FA44D9" w:rsidRPr="002A2AD0" w:rsidRDefault="00656618" w:rsidP="0014646A">
      <w:pPr>
        <w:autoSpaceDE w:val="0"/>
        <w:autoSpaceDN w:val="0"/>
        <w:adjustRightInd w:val="0"/>
        <w:spacing w:before="240"/>
        <w:jc w:val="both"/>
      </w:pPr>
      <w:r>
        <w:rPr>
          <w:lang w:val="es-ES"/>
        </w:rPr>
        <w:t xml:space="preserve">En </w:t>
      </w:r>
      <w:r w:rsidR="00A20AB8">
        <w:rPr>
          <w:lang w:val="es-ES"/>
        </w:rPr>
        <w:t>marzo</w:t>
      </w:r>
      <w:r>
        <w:rPr>
          <w:lang w:val="es-ES"/>
        </w:rPr>
        <w:t xml:space="preserve"> de 202</w:t>
      </w:r>
      <w:r w:rsidR="00A20AB8">
        <w:rPr>
          <w:lang w:val="es-ES"/>
        </w:rPr>
        <w:t>2</w:t>
      </w:r>
      <w:r>
        <w:rPr>
          <w:lang w:val="es-ES"/>
        </w:rPr>
        <w:t>,</w:t>
      </w:r>
      <w:r w:rsidRPr="00D2716B">
        <w:rPr>
          <w:lang w:val="es-ES"/>
        </w:rPr>
        <w:t xml:space="preserve"> </w:t>
      </w:r>
      <w:r>
        <w:rPr>
          <w:lang w:val="es-ES"/>
        </w:rPr>
        <w:t>3</w:t>
      </w:r>
      <w:r w:rsidR="00F3622B">
        <w:rPr>
          <w:lang w:val="es-ES"/>
        </w:rPr>
        <w:t>5.2</w:t>
      </w:r>
      <w:r w:rsidRPr="00D20047">
        <w:rPr>
          <w:lang w:val="es-ES"/>
        </w:rPr>
        <w:t>% de la población de 18 años y más</w:t>
      </w:r>
      <w:r>
        <w:rPr>
          <w:lang w:val="es-ES"/>
        </w:rPr>
        <w:t xml:space="preserve"> residente en las ciudades de interés</w:t>
      </w:r>
      <w:r w:rsidRPr="00D20047">
        <w:rPr>
          <w:lang w:val="es-ES"/>
        </w:rPr>
        <w:t xml:space="preserve"> consideró que en los próximos 12 meses la situación de la delincuencia en</w:t>
      </w:r>
      <w:r>
        <w:rPr>
          <w:lang w:val="es-ES"/>
        </w:rPr>
        <w:t xml:space="preserve"> su ciudad seguirá igual de mal</w:t>
      </w:r>
      <w:r w:rsidR="00FE4145">
        <w:rPr>
          <w:lang w:val="es-ES"/>
        </w:rPr>
        <w:t>. Esto</w:t>
      </w:r>
      <w:r>
        <w:rPr>
          <w:lang w:val="es-ES"/>
        </w:rPr>
        <w:t xml:space="preserve"> representa un cambio estadísticamente significativo </w:t>
      </w:r>
      <w:r w:rsidR="001E3CC4">
        <w:rPr>
          <w:lang w:val="es-ES"/>
        </w:rPr>
        <w:t>con un</w:t>
      </w:r>
      <w:r w:rsidR="004A701A">
        <w:rPr>
          <w:lang w:val="es-ES"/>
        </w:rPr>
        <w:t xml:space="preserve"> alza </w:t>
      </w:r>
      <w:r>
        <w:rPr>
          <w:lang w:val="es-ES"/>
        </w:rPr>
        <w:t xml:space="preserve">de </w:t>
      </w:r>
      <w:r w:rsidR="005B3372">
        <w:rPr>
          <w:lang w:val="es-ES"/>
        </w:rPr>
        <w:t>2</w:t>
      </w:r>
      <w:r w:rsidR="004A701A">
        <w:rPr>
          <w:lang w:val="es-ES"/>
        </w:rPr>
        <w:t>.6</w:t>
      </w:r>
      <w:r>
        <w:rPr>
          <w:lang w:val="es-ES"/>
        </w:rPr>
        <w:t xml:space="preserve"> puntos porcentuales respecto a </w:t>
      </w:r>
      <w:r w:rsidR="00A20AB8">
        <w:rPr>
          <w:lang w:val="es-ES"/>
        </w:rPr>
        <w:t>diciembre</w:t>
      </w:r>
      <w:r>
        <w:rPr>
          <w:lang w:val="es-ES"/>
        </w:rPr>
        <w:t xml:space="preserve"> de 202</w:t>
      </w:r>
      <w:r w:rsidR="005B3372">
        <w:rPr>
          <w:lang w:val="es-ES"/>
        </w:rPr>
        <w:t>1</w:t>
      </w:r>
      <w:r>
        <w:rPr>
          <w:lang w:val="es-ES"/>
        </w:rPr>
        <w:t>, en donde se registró 3</w:t>
      </w:r>
      <w:r w:rsidR="004A701A">
        <w:rPr>
          <w:lang w:val="es-ES"/>
        </w:rPr>
        <w:t>2</w:t>
      </w:r>
      <w:r w:rsidR="005B3372">
        <w:rPr>
          <w:lang w:val="es-ES"/>
        </w:rPr>
        <w:t>.6</w:t>
      </w:r>
      <w:r w:rsidR="00FE4145">
        <w:rPr>
          <w:lang w:val="es-ES"/>
        </w:rPr>
        <w:t>%</w:t>
      </w:r>
      <w:r>
        <w:rPr>
          <w:lang w:val="es-ES"/>
        </w:rPr>
        <w:t xml:space="preserve">. </w:t>
      </w:r>
      <w:r w:rsidRPr="00D20047">
        <w:rPr>
          <w:lang w:val="es-ES"/>
        </w:rPr>
        <w:t xml:space="preserve">Por otra parte, </w:t>
      </w:r>
      <w:r>
        <w:rPr>
          <w:lang w:val="es-ES"/>
        </w:rPr>
        <w:t>2</w:t>
      </w:r>
      <w:r w:rsidR="005B3372">
        <w:rPr>
          <w:lang w:val="es-ES"/>
        </w:rPr>
        <w:t>5</w:t>
      </w:r>
      <w:r>
        <w:rPr>
          <w:lang w:val="es-ES"/>
        </w:rPr>
        <w:t>%</w:t>
      </w:r>
      <w:r w:rsidRPr="00D20047">
        <w:rPr>
          <w:lang w:val="es-ES"/>
        </w:rPr>
        <w:t xml:space="preserve"> de </w:t>
      </w:r>
      <w:r>
        <w:rPr>
          <w:lang w:val="es-ES"/>
        </w:rPr>
        <w:t xml:space="preserve">la </w:t>
      </w:r>
      <w:r w:rsidRPr="00D20047">
        <w:rPr>
          <w:lang w:val="es-ES"/>
        </w:rPr>
        <w:t xml:space="preserve">población </w:t>
      </w:r>
      <w:r>
        <w:rPr>
          <w:lang w:val="es-ES"/>
        </w:rPr>
        <w:t>refiere</w:t>
      </w:r>
      <w:r w:rsidRPr="00D20047">
        <w:rPr>
          <w:lang w:val="es-ES"/>
        </w:rPr>
        <w:t xml:space="preserve"> que la situación empeorará en los próximos 12 meses</w:t>
      </w:r>
      <w:r w:rsidRPr="00406419">
        <w:rPr>
          <w:lang w:val="es-ES"/>
        </w:rPr>
        <w:t>,</w:t>
      </w:r>
      <w:r w:rsidRPr="00406419">
        <w:rPr>
          <w:color w:val="000000"/>
        </w:rPr>
        <w:t xml:space="preserve"> </w:t>
      </w:r>
      <w:r>
        <w:rPr>
          <w:color w:val="000000"/>
        </w:rPr>
        <w:t xml:space="preserve">lo que representa un cambio </w:t>
      </w:r>
      <w:r w:rsidR="00374EE7">
        <w:rPr>
          <w:color w:val="000000"/>
        </w:rPr>
        <w:t xml:space="preserve">estadísticamente significativo </w:t>
      </w:r>
      <w:r>
        <w:rPr>
          <w:color w:val="000000"/>
        </w:rPr>
        <w:t>a</w:t>
      </w:r>
      <w:r w:rsidR="005B3372">
        <w:rPr>
          <w:color w:val="000000"/>
        </w:rPr>
        <w:t xml:space="preserve"> la baja </w:t>
      </w:r>
      <w:r>
        <w:rPr>
          <w:color w:val="000000"/>
        </w:rPr>
        <w:t>de</w:t>
      </w:r>
      <w:r w:rsidRPr="009867BE">
        <w:rPr>
          <w:color w:val="000000"/>
        </w:rPr>
        <w:t xml:space="preserve"> </w:t>
      </w:r>
      <w:r w:rsidR="004A701A">
        <w:rPr>
          <w:color w:val="000000"/>
        </w:rPr>
        <w:t>1.</w:t>
      </w:r>
      <w:r w:rsidR="001C7A20">
        <w:rPr>
          <w:color w:val="000000"/>
        </w:rPr>
        <w:t>7</w:t>
      </w:r>
      <w:r>
        <w:rPr>
          <w:color w:val="000000"/>
        </w:rPr>
        <w:t xml:space="preserve"> </w:t>
      </w:r>
      <w:r w:rsidR="001C7A20">
        <w:rPr>
          <w:color w:val="000000"/>
        </w:rPr>
        <w:t xml:space="preserve">y 1.5 </w:t>
      </w:r>
      <w:r w:rsidRPr="009867BE">
        <w:rPr>
          <w:color w:val="000000"/>
        </w:rPr>
        <w:t>puntos porcentuales</w:t>
      </w:r>
      <w:r w:rsidRPr="00406419">
        <w:rPr>
          <w:color w:val="000000"/>
          <w:vertAlign w:val="superscript"/>
        </w:rPr>
        <w:t xml:space="preserve"> </w:t>
      </w:r>
      <w:r w:rsidR="00593378">
        <w:t>frente a</w:t>
      </w:r>
      <w:r w:rsidRPr="00406419">
        <w:t xml:space="preserve"> </w:t>
      </w:r>
      <w:r w:rsidR="00A20AB8">
        <w:t>marzo</w:t>
      </w:r>
      <w:r>
        <w:t xml:space="preserve"> </w:t>
      </w:r>
      <w:r w:rsidR="001C7A20">
        <w:t>y</w:t>
      </w:r>
      <w:r w:rsidR="00374EE7">
        <w:t xml:space="preserve"> </w:t>
      </w:r>
      <w:r w:rsidR="00A20AB8">
        <w:t>diciembre</w:t>
      </w:r>
      <w:r w:rsidR="00374EE7">
        <w:t xml:space="preserve"> de 2021</w:t>
      </w:r>
      <w:r>
        <w:t xml:space="preserve">, </w:t>
      </w:r>
      <w:r w:rsidR="001C7A20">
        <w:t xml:space="preserve">respectivamente, </w:t>
      </w:r>
      <w:r w:rsidR="00BB17EB">
        <w:t>cuando</w:t>
      </w:r>
      <w:r>
        <w:t xml:space="preserve"> se </w:t>
      </w:r>
      <w:r w:rsidR="00593378">
        <w:t>report</w:t>
      </w:r>
      <w:r w:rsidR="00374EE7">
        <w:t>aron</w:t>
      </w:r>
      <w:r w:rsidR="00593378">
        <w:t xml:space="preserve"> </w:t>
      </w:r>
      <w:r w:rsidR="001C7A20">
        <w:t>26.7</w:t>
      </w:r>
      <w:r w:rsidR="00374EE7">
        <w:t xml:space="preserve"> y 2</w:t>
      </w:r>
      <w:r w:rsidR="001C7A20">
        <w:t>6.5</w:t>
      </w:r>
      <w:r w:rsidR="00112EF8">
        <w:t>%</w:t>
      </w:r>
      <w:r w:rsidR="00374EE7">
        <w:t xml:space="preserve">, </w:t>
      </w:r>
      <w:bookmarkEnd w:id="9"/>
      <w:r w:rsidR="001C7A20">
        <w:t>en ese orden</w:t>
      </w:r>
      <w:r>
        <w:rPr>
          <w:rStyle w:val="Refdenotaalpie"/>
        </w:rPr>
        <w:footnoteReference w:id="5"/>
      </w:r>
      <w:r w:rsidRPr="00406419">
        <w:t>.</w:t>
      </w:r>
    </w:p>
    <w:p w14:paraId="14EC7212" w14:textId="7A012876" w:rsidR="00DD0C77" w:rsidRDefault="00DD0C77">
      <w:pPr>
        <w:rPr>
          <w:b/>
          <w:sz w:val="18"/>
          <w:szCs w:val="16"/>
          <w:lang w:val="es-ES"/>
        </w:rPr>
      </w:pPr>
      <w:r>
        <w:rPr>
          <w:b/>
          <w:sz w:val="18"/>
          <w:szCs w:val="16"/>
          <w:lang w:val="es-ES"/>
        </w:rPr>
        <w:br w:type="page"/>
      </w:r>
    </w:p>
    <w:p w14:paraId="62882F23" w14:textId="1ACD6246" w:rsidR="00DD1D74" w:rsidRPr="000C6AEF" w:rsidRDefault="00DD1D74" w:rsidP="00DD1D74">
      <w:pPr>
        <w:autoSpaceDE w:val="0"/>
        <w:autoSpaceDN w:val="0"/>
        <w:adjustRightInd w:val="0"/>
        <w:spacing w:before="240"/>
        <w:jc w:val="center"/>
        <w:rPr>
          <w:sz w:val="20"/>
          <w:szCs w:val="16"/>
          <w:lang w:val="es-ES"/>
        </w:rPr>
      </w:pPr>
      <w:r w:rsidRPr="000C6AEF">
        <w:rPr>
          <w:sz w:val="20"/>
          <w:szCs w:val="16"/>
          <w:lang w:val="es-ES"/>
        </w:rPr>
        <w:lastRenderedPageBreak/>
        <w:t xml:space="preserve">Gráfica </w:t>
      </w:r>
      <w:r>
        <w:rPr>
          <w:sz w:val="20"/>
          <w:szCs w:val="16"/>
          <w:lang w:val="es-ES"/>
        </w:rPr>
        <w:t>4</w:t>
      </w:r>
    </w:p>
    <w:p w14:paraId="47030D1F" w14:textId="4AAD4512" w:rsidR="00DD1D74" w:rsidRPr="00CC54A7" w:rsidRDefault="00CC54A7" w:rsidP="00DD1D74">
      <w:pPr>
        <w:jc w:val="center"/>
        <w:rPr>
          <w:b/>
          <w:smallCaps/>
          <w:sz w:val="22"/>
          <w:szCs w:val="16"/>
          <w:lang w:val="es-ES"/>
        </w:rPr>
      </w:pPr>
      <w:bookmarkStart w:id="10" w:name="_Hlk93054006"/>
      <w:r w:rsidRPr="00CC54A7">
        <w:rPr>
          <w:b/>
          <w:smallCaps/>
          <w:sz w:val="22"/>
          <w:szCs w:val="16"/>
          <w:lang w:val="es-ES"/>
        </w:rPr>
        <w:t xml:space="preserve">Expectativa sobre las condiciones de seguridad pública </w:t>
      </w:r>
      <w:r w:rsidR="009D3ED3" w:rsidRPr="00CC54A7">
        <w:rPr>
          <w:b/>
          <w:smallCaps/>
          <w:sz w:val="22"/>
          <w:szCs w:val="16"/>
          <w:lang w:val="es-ES"/>
        </w:rPr>
        <w:br/>
      </w:r>
      <w:r w:rsidRPr="00CC54A7">
        <w:rPr>
          <w:b/>
          <w:smallCaps/>
          <w:sz w:val="22"/>
          <w:szCs w:val="16"/>
          <w:lang w:val="es-ES"/>
        </w:rPr>
        <w:t xml:space="preserve">a nivel nacional para los próximos 12 meses </w:t>
      </w:r>
    </w:p>
    <w:p w14:paraId="14296B3E" w14:textId="46409286" w:rsidR="00FA44D9" w:rsidRPr="00CC54A7" w:rsidRDefault="00DD1D74" w:rsidP="00DD1D74">
      <w:pPr>
        <w:jc w:val="center"/>
        <w:rPr>
          <w:b/>
          <w:smallCaps/>
          <w:sz w:val="22"/>
          <w:szCs w:val="16"/>
          <w:lang w:val="es-ES"/>
        </w:rPr>
      </w:pPr>
      <w:r w:rsidRPr="00CC54A7">
        <w:rPr>
          <w:b/>
          <w:smallCaps/>
          <w:sz w:val="22"/>
          <w:szCs w:val="16"/>
          <w:lang w:val="es-ES"/>
        </w:rPr>
        <w:t>“</w:t>
      </w:r>
      <w:r w:rsidR="00CC54A7" w:rsidRPr="00CC54A7">
        <w:rPr>
          <w:b/>
          <w:smallCaps/>
          <w:sz w:val="22"/>
          <w:szCs w:val="16"/>
          <w:lang w:val="es-ES"/>
        </w:rPr>
        <w:t>seguirá igual de mal o empeorará</w:t>
      </w:r>
      <w:r w:rsidRPr="00CC54A7">
        <w:rPr>
          <w:b/>
          <w:smallCaps/>
          <w:sz w:val="22"/>
          <w:szCs w:val="16"/>
          <w:lang w:val="es-ES"/>
        </w:rPr>
        <w:t>”</w:t>
      </w:r>
    </w:p>
    <w:p w14:paraId="766F9612" w14:textId="7190D8C3" w:rsidR="00FA44D9" w:rsidRDefault="00FA44D9" w:rsidP="00DD1D74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0B4535FD" w14:textId="1D701EEB" w:rsidR="00FA44D9" w:rsidRDefault="00044A11" w:rsidP="009E6DBB">
      <w:pPr>
        <w:spacing w:after="20"/>
        <w:jc w:val="center"/>
        <w:rPr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715ED3B1" wp14:editId="5DEC2197">
            <wp:extent cx="5040000" cy="2520000"/>
            <wp:effectExtent l="0" t="0" r="8255" b="13970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2D41B034-4CDF-4813-A33E-3127EA76D4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bookmarkEnd w:id="10"/>
    <w:p w14:paraId="2024A907" w14:textId="76A47523" w:rsidR="00CF7D57" w:rsidRPr="001648B2" w:rsidRDefault="00FA44D9" w:rsidP="001648B2">
      <w:pPr>
        <w:autoSpaceDE w:val="0"/>
        <w:autoSpaceDN w:val="0"/>
        <w:adjustRightInd w:val="0"/>
        <w:ind w:left="1428" w:right="783" w:hanging="577"/>
        <w:jc w:val="both"/>
        <w:rPr>
          <w:color w:val="000000"/>
          <w:spacing w:val="-2"/>
          <w:sz w:val="16"/>
          <w:szCs w:val="16"/>
        </w:rPr>
      </w:pPr>
      <w:r w:rsidRPr="001648B2">
        <w:rPr>
          <w:color w:val="000000"/>
          <w:sz w:val="16"/>
          <w:szCs w:val="16"/>
        </w:rPr>
        <w:t>Nota:</w:t>
      </w:r>
      <w:r w:rsidR="00723C9F"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pacing w:val="-2"/>
          <w:sz w:val="16"/>
          <w:szCs w:val="16"/>
        </w:rPr>
        <w:t>Debido a la emergencia sanitaria generada por el virus SARS-CoV2, fue cancelado el levantamiento correspondiente al segundo trimestre de 2020</w:t>
      </w:r>
      <w:r w:rsidR="00374EE7" w:rsidRPr="00112EF8">
        <w:rPr>
          <w:color w:val="000000"/>
          <w:spacing w:val="-2"/>
          <w:sz w:val="16"/>
          <w:szCs w:val="16"/>
        </w:rPr>
        <w:t>, cuyos resultados serían publicados el 15 de julio de 2020.</w:t>
      </w:r>
    </w:p>
    <w:p w14:paraId="7A478486" w14:textId="1209F2E7" w:rsidR="00FA44D9" w:rsidRPr="001648B2" w:rsidRDefault="00CF7D57" w:rsidP="001648B2">
      <w:pPr>
        <w:autoSpaceDE w:val="0"/>
        <w:autoSpaceDN w:val="0"/>
        <w:adjustRightInd w:val="0"/>
        <w:ind w:left="1428" w:right="783" w:hanging="577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="00FA44D9" w:rsidRPr="001648B2">
        <w:rPr>
          <w:color w:val="000000"/>
          <w:sz w:val="16"/>
          <w:szCs w:val="16"/>
        </w:rPr>
        <w:t xml:space="preserve"> </w:t>
      </w:r>
    </w:p>
    <w:p w14:paraId="119A6349" w14:textId="77777777" w:rsidR="00FA44D9" w:rsidRPr="005A270D" w:rsidRDefault="00FA44D9" w:rsidP="00723C9F">
      <w:pPr>
        <w:spacing w:before="360"/>
        <w:rPr>
          <w:b/>
          <w:lang w:val="es-ES"/>
        </w:rPr>
      </w:pPr>
      <w:r w:rsidRPr="005A270D">
        <w:rPr>
          <w:b/>
          <w:lang w:val="es-ES"/>
        </w:rPr>
        <w:t>Atestiguación de conductas delictivas o antisociales (conocimiento)</w:t>
      </w:r>
    </w:p>
    <w:p w14:paraId="6ADFB36B" w14:textId="5A558473" w:rsidR="00FA44D9" w:rsidRDefault="00112EF8" w:rsidP="004709C6">
      <w:pPr>
        <w:autoSpaceDE w:val="0"/>
        <w:autoSpaceDN w:val="0"/>
        <w:adjustRightInd w:val="0"/>
        <w:spacing w:before="240"/>
        <w:jc w:val="both"/>
        <w:rPr>
          <w:sz w:val="20"/>
          <w:lang w:val="es-ES"/>
        </w:rPr>
      </w:pPr>
      <w:r>
        <w:rPr>
          <w:lang w:val="es-ES"/>
        </w:rPr>
        <w:t>D</w:t>
      </w:r>
      <w:r w:rsidRPr="001B28C2">
        <w:rPr>
          <w:lang w:val="es-ES"/>
        </w:rPr>
        <w:t xml:space="preserve">urante el </w:t>
      </w:r>
      <w:r w:rsidR="000A2704">
        <w:rPr>
          <w:lang w:val="es-ES"/>
        </w:rPr>
        <w:t>primer</w:t>
      </w:r>
      <w:r>
        <w:rPr>
          <w:lang w:val="es-ES"/>
        </w:rPr>
        <w:t xml:space="preserve"> </w:t>
      </w:r>
      <w:r w:rsidRPr="001B28C2">
        <w:rPr>
          <w:lang w:val="es-ES"/>
        </w:rPr>
        <w:t xml:space="preserve">trimestre de </w:t>
      </w:r>
      <w:r>
        <w:rPr>
          <w:lang w:val="es-ES"/>
        </w:rPr>
        <w:t>202</w:t>
      </w:r>
      <w:r w:rsidR="000A2704">
        <w:rPr>
          <w:lang w:val="es-ES"/>
        </w:rPr>
        <w:t>2</w:t>
      </w:r>
      <w:r w:rsidR="00433299">
        <w:rPr>
          <w:lang w:val="es-ES"/>
        </w:rPr>
        <w:t xml:space="preserve"> (I T 202</w:t>
      </w:r>
      <w:r w:rsidR="000A2704">
        <w:rPr>
          <w:lang w:val="es-ES"/>
        </w:rPr>
        <w:t>2</w:t>
      </w:r>
      <w:r w:rsidR="00433299">
        <w:rPr>
          <w:lang w:val="es-ES"/>
        </w:rPr>
        <w:t>)</w:t>
      </w:r>
      <w:r w:rsidRPr="001B28C2">
        <w:rPr>
          <w:lang w:val="es-ES"/>
        </w:rPr>
        <w:t xml:space="preserve">, </w:t>
      </w:r>
      <w:r>
        <w:rPr>
          <w:lang w:val="es-ES"/>
        </w:rPr>
        <w:t>l</w:t>
      </w:r>
      <w:r w:rsidR="00656618" w:rsidRPr="005A270D">
        <w:rPr>
          <w:lang w:val="es-ES"/>
        </w:rPr>
        <w:t xml:space="preserve">os resultados </w:t>
      </w:r>
      <w:r w:rsidR="00656618" w:rsidRPr="001B28C2">
        <w:rPr>
          <w:lang w:val="es-ES"/>
        </w:rPr>
        <w:t xml:space="preserve">de la ENSU revelan que el porcentaje de la población que mencionó haber visto o escuchado conductas delictivas o antisociales en los alrededores de su vivienda </w:t>
      </w:r>
      <w:r w:rsidR="00BD1858">
        <w:rPr>
          <w:lang w:val="es-ES"/>
        </w:rPr>
        <w:t>se distribuyó de</w:t>
      </w:r>
      <w:r w:rsidR="00182529">
        <w:rPr>
          <w:lang w:val="es-ES"/>
        </w:rPr>
        <w:t xml:space="preserve"> la siguiente manera</w:t>
      </w:r>
      <w:r w:rsidR="00656618" w:rsidRPr="001B28C2">
        <w:rPr>
          <w:lang w:val="es-ES"/>
        </w:rPr>
        <w:t>: cons</w:t>
      </w:r>
      <w:r w:rsidR="00656618">
        <w:rPr>
          <w:lang w:val="es-ES"/>
        </w:rPr>
        <w:t>umo de alcohol en las calles (6</w:t>
      </w:r>
      <w:r w:rsidR="00574602">
        <w:rPr>
          <w:lang w:val="es-ES"/>
        </w:rPr>
        <w:t>0</w:t>
      </w:r>
      <w:r w:rsidR="00A43F81">
        <w:rPr>
          <w:lang w:val="es-ES"/>
        </w:rPr>
        <w:t>.7</w:t>
      </w:r>
      <w:r w:rsidR="00656618" w:rsidRPr="001B28C2">
        <w:rPr>
          <w:lang w:val="es-ES"/>
        </w:rPr>
        <w:t>%), robos o asaltos (</w:t>
      </w:r>
      <w:r w:rsidR="00656618">
        <w:rPr>
          <w:lang w:val="es-ES"/>
        </w:rPr>
        <w:t>5</w:t>
      </w:r>
      <w:r w:rsidR="00574602">
        <w:rPr>
          <w:lang w:val="es-ES"/>
        </w:rPr>
        <w:t>4.6</w:t>
      </w:r>
      <w:r w:rsidR="00656618" w:rsidRPr="001B28C2">
        <w:rPr>
          <w:lang w:val="es-ES"/>
        </w:rPr>
        <w:t>%), vandalismo en las viviendas o negocios (</w:t>
      </w:r>
      <w:r w:rsidR="00656618">
        <w:rPr>
          <w:lang w:val="es-ES"/>
        </w:rPr>
        <w:t>42.</w:t>
      </w:r>
      <w:r w:rsidR="00574602">
        <w:rPr>
          <w:lang w:val="es-ES"/>
        </w:rPr>
        <w:t>2</w:t>
      </w:r>
      <w:r w:rsidR="00656618" w:rsidRPr="001B28C2">
        <w:rPr>
          <w:lang w:val="es-ES"/>
        </w:rPr>
        <w:t>%), venta o consumo de drogas (</w:t>
      </w:r>
      <w:r w:rsidR="00574602">
        <w:rPr>
          <w:lang w:val="es-ES"/>
        </w:rPr>
        <w:t>39.3</w:t>
      </w:r>
      <w:r w:rsidR="00656618" w:rsidRPr="001B28C2">
        <w:rPr>
          <w:lang w:val="es-ES"/>
        </w:rPr>
        <w:t>%)</w:t>
      </w:r>
      <w:r w:rsidR="00656618">
        <w:rPr>
          <w:lang w:val="es-ES"/>
        </w:rPr>
        <w:t>,</w:t>
      </w:r>
      <w:r w:rsidR="00656618" w:rsidRPr="00B07FC2">
        <w:rPr>
          <w:lang w:val="es-ES"/>
        </w:rPr>
        <w:t xml:space="preserve"> </w:t>
      </w:r>
      <w:r w:rsidR="00656618" w:rsidRPr="001B28C2">
        <w:rPr>
          <w:lang w:val="es-ES"/>
        </w:rPr>
        <w:t>disparos frecuentes con armas (</w:t>
      </w:r>
      <w:r w:rsidR="00656618">
        <w:rPr>
          <w:lang w:val="es-ES"/>
        </w:rPr>
        <w:t>3</w:t>
      </w:r>
      <w:r w:rsidR="00574602">
        <w:rPr>
          <w:lang w:val="es-ES"/>
        </w:rPr>
        <w:t>8.9</w:t>
      </w:r>
      <w:r w:rsidR="00656618" w:rsidRPr="001B28C2">
        <w:rPr>
          <w:lang w:val="es-ES"/>
        </w:rPr>
        <w:t>%)</w:t>
      </w:r>
      <w:r w:rsidR="00656618">
        <w:rPr>
          <w:lang w:val="es-ES"/>
        </w:rPr>
        <w:t>,</w:t>
      </w:r>
      <w:r w:rsidR="00656618" w:rsidRPr="001B28C2">
        <w:rPr>
          <w:lang w:val="es-ES"/>
        </w:rPr>
        <w:t xml:space="preserve"> bandas violentas o pandillerismo (</w:t>
      </w:r>
      <w:r w:rsidR="00656618">
        <w:rPr>
          <w:lang w:val="es-ES"/>
        </w:rPr>
        <w:t>2</w:t>
      </w:r>
      <w:r w:rsidR="00574602">
        <w:rPr>
          <w:lang w:val="es-ES"/>
        </w:rPr>
        <w:t>6.6</w:t>
      </w:r>
      <w:r w:rsidR="00656618">
        <w:rPr>
          <w:lang w:val="es-ES"/>
        </w:rPr>
        <w:t>%</w:t>
      </w:r>
      <w:r w:rsidR="00656618" w:rsidRPr="001B28C2">
        <w:rPr>
          <w:lang w:val="es-ES"/>
        </w:rPr>
        <w:t>)</w:t>
      </w:r>
      <w:r w:rsidR="00656618">
        <w:rPr>
          <w:lang w:val="es-ES"/>
        </w:rPr>
        <w:t>,</w:t>
      </w:r>
      <w:r w:rsidR="00656618" w:rsidRPr="001B28C2">
        <w:rPr>
          <w:lang w:val="es-ES"/>
        </w:rPr>
        <w:t xml:space="preserve"> </w:t>
      </w:r>
      <w:r w:rsidR="00656618">
        <w:rPr>
          <w:lang w:val="es-ES"/>
        </w:rPr>
        <w:t>tomas irregulares de luz (diablitos) (1</w:t>
      </w:r>
      <w:r w:rsidR="00574602">
        <w:rPr>
          <w:lang w:val="es-ES"/>
        </w:rPr>
        <w:t>3.8</w:t>
      </w:r>
      <w:r w:rsidR="00656618">
        <w:rPr>
          <w:lang w:val="es-ES"/>
        </w:rPr>
        <w:t xml:space="preserve">%) y </w:t>
      </w:r>
      <w:r w:rsidR="00656618" w:rsidRPr="001B28C2">
        <w:rPr>
          <w:lang w:val="es-ES"/>
        </w:rPr>
        <w:t>robo o venta ilegal de gasolina o diésel</w:t>
      </w:r>
      <w:r w:rsidR="00656618">
        <w:rPr>
          <w:lang w:val="es-ES"/>
        </w:rPr>
        <w:t xml:space="preserve"> (huachicol) (3.</w:t>
      </w:r>
      <w:r w:rsidR="00574602">
        <w:rPr>
          <w:lang w:val="es-ES"/>
        </w:rPr>
        <w:t>1</w:t>
      </w:r>
      <w:r w:rsidR="001405BA">
        <w:rPr>
          <w:lang w:val="es-ES"/>
        </w:rPr>
        <w:t>%</w:t>
      </w:r>
      <w:r w:rsidR="00656618">
        <w:rPr>
          <w:lang w:val="es-ES"/>
        </w:rPr>
        <w:t>)</w:t>
      </w:r>
      <w:r w:rsidR="00FE4145">
        <w:rPr>
          <w:lang w:val="es-ES"/>
        </w:rPr>
        <w:t>.</w:t>
      </w:r>
      <w:r w:rsidR="00DC3F6F">
        <w:rPr>
          <w:lang w:val="es-ES"/>
        </w:rPr>
        <w:t xml:space="preserve"> </w:t>
      </w:r>
      <w:r w:rsidR="00FE4145">
        <w:rPr>
          <w:lang w:val="es-ES"/>
        </w:rPr>
        <w:t>V</w:t>
      </w:r>
      <w:r w:rsidR="001405BA">
        <w:rPr>
          <w:lang w:val="es-ES"/>
        </w:rPr>
        <w:t>éase gráfica 5</w:t>
      </w:r>
      <w:r w:rsidR="00656618" w:rsidRPr="001B28C2">
        <w:rPr>
          <w:lang w:val="es-ES"/>
        </w:rPr>
        <w:t>.</w:t>
      </w:r>
    </w:p>
    <w:p w14:paraId="6FDDE745" w14:textId="3979651B" w:rsidR="001405BA" w:rsidRDefault="00774D8F" w:rsidP="00E20946">
      <w:pPr>
        <w:widowControl w:val="0"/>
        <w:autoSpaceDE w:val="0"/>
        <w:autoSpaceDN w:val="0"/>
        <w:adjustRightInd w:val="0"/>
        <w:spacing w:before="240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>R</w:t>
      </w:r>
      <w:r w:rsidR="001405BA" w:rsidRPr="00F609AE">
        <w:rPr>
          <w:color w:val="000000" w:themeColor="text1"/>
          <w:lang w:val="es-ES"/>
        </w:rPr>
        <w:t xml:space="preserve">especto al </w:t>
      </w:r>
      <w:r w:rsidR="000A2704">
        <w:rPr>
          <w:color w:val="000000" w:themeColor="text1"/>
          <w:lang w:val="es-ES"/>
        </w:rPr>
        <w:t>cuarto</w:t>
      </w:r>
      <w:r w:rsidR="001405BA">
        <w:rPr>
          <w:color w:val="000000" w:themeColor="text1"/>
          <w:lang w:val="es-ES"/>
        </w:rPr>
        <w:t xml:space="preserve"> trimestre de 2021</w:t>
      </w:r>
      <w:r w:rsidR="00433299">
        <w:rPr>
          <w:color w:val="000000" w:themeColor="text1"/>
          <w:lang w:val="es-ES"/>
        </w:rPr>
        <w:t xml:space="preserve"> (I</w:t>
      </w:r>
      <w:r w:rsidR="000A2704">
        <w:rPr>
          <w:color w:val="000000" w:themeColor="text1"/>
          <w:lang w:val="es-ES"/>
        </w:rPr>
        <w:t>V</w:t>
      </w:r>
      <w:r w:rsidR="00433299">
        <w:rPr>
          <w:color w:val="000000" w:themeColor="text1"/>
          <w:lang w:val="es-ES"/>
        </w:rPr>
        <w:t xml:space="preserve"> T 2021)</w:t>
      </w:r>
      <w:r w:rsidR="001405BA">
        <w:rPr>
          <w:color w:val="000000" w:themeColor="text1"/>
          <w:lang w:val="es-ES"/>
        </w:rPr>
        <w:t xml:space="preserve"> </w:t>
      </w:r>
      <w:r w:rsidR="001405BA" w:rsidRPr="00F609AE">
        <w:rPr>
          <w:color w:val="000000" w:themeColor="text1"/>
          <w:lang w:val="es-ES"/>
        </w:rPr>
        <w:t xml:space="preserve">se presentó un </w:t>
      </w:r>
      <w:r w:rsidR="00574602">
        <w:rPr>
          <w:color w:val="000000" w:themeColor="text1"/>
          <w:lang w:val="es-ES"/>
        </w:rPr>
        <w:t>descenso</w:t>
      </w:r>
      <w:r w:rsidR="001405BA">
        <w:rPr>
          <w:color w:val="000000" w:themeColor="text1"/>
          <w:lang w:val="es-ES"/>
        </w:rPr>
        <w:t xml:space="preserve"> </w:t>
      </w:r>
      <w:r w:rsidR="00E20946">
        <w:rPr>
          <w:color w:val="000000" w:themeColor="text1"/>
          <w:lang w:val="es-ES"/>
        </w:rPr>
        <w:t xml:space="preserve">estadísticamente significativo </w:t>
      </w:r>
      <w:r w:rsidR="001405BA">
        <w:rPr>
          <w:color w:val="000000" w:themeColor="text1"/>
          <w:lang w:val="es-ES"/>
        </w:rPr>
        <w:t xml:space="preserve">de </w:t>
      </w:r>
      <w:r w:rsidR="00574602">
        <w:rPr>
          <w:color w:val="000000" w:themeColor="text1"/>
          <w:lang w:val="es-ES"/>
        </w:rPr>
        <w:t>1.2</w:t>
      </w:r>
      <w:r w:rsidR="001405BA">
        <w:rPr>
          <w:color w:val="000000" w:themeColor="text1"/>
          <w:lang w:val="es-ES"/>
        </w:rPr>
        <w:t xml:space="preserve"> puntos porcentuales</w:t>
      </w:r>
      <w:r w:rsidR="001405BA" w:rsidRPr="00F609AE">
        <w:rPr>
          <w:color w:val="000000" w:themeColor="text1"/>
          <w:lang w:val="es-ES"/>
        </w:rPr>
        <w:t xml:space="preserve"> </w:t>
      </w:r>
      <w:r>
        <w:rPr>
          <w:color w:val="000000" w:themeColor="text1"/>
          <w:lang w:val="es-ES"/>
        </w:rPr>
        <w:t>en</w:t>
      </w:r>
      <w:r w:rsidR="001405BA">
        <w:rPr>
          <w:color w:val="000000" w:themeColor="text1"/>
          <w:lang w:val="es-ES"/>
        </w:rPr>
        <w:t xml:space="preserve"> la atestiguación de </w:t>
      </w:r>
      <w:r w:rsidR="00574602">
        <w:rPr>
          <w:color w:val="000000" w:themeColor="text1"/>
          <w:lang w:val="es-ES"/>
        </w:rPr>
        <w:t>v</w:t>
      </w:r>
      <w:r w:rsidR="00574602" w:rsidRPr="00E20946">
        <w:rPr>
          <w:color w:val="000000" w:themeColor="text1"/>
          <w:lang w:val="es-ES"/>
        </w:rPr>
        <w:t>enta o consumo de drogas</w:t>
      </w:r>
      <w:r w:rsidR="00C751BC">
        <w:rPr>
          <w:color w:val="000000" w:themeColor="text1"/>
          <w:lang w:val="es-ES"/>
        </w:rPr>
        <w:t xml:space="preserve">, de 1.1 en </w:t>
      </w:r>
      <w:r w:rsidR="00E20946">
        <w:rPr>
          <w:color w:val="000000" w:themeColor="text1"/>
          <w:lang w:val="es-ES"/>
        </w:rPr>
        <w:t xml:space="preserve">robos o asaltos </w:t>
      </w:r>
      <w:r w:rsidR="00C751BC">
        <w:rPr>
          <w:color w:val="000000" w:themeColor="text1"/>
          <w:lang w:val="es-ES"/>
        </w:rPr>
        <w:t>y de 0.7 puntos porcentuales</w:t>
      </w:r>
      <w:r w:rsidR="00C751BC" w:rsidRPr="00F609AE">
        <w:rPr>
          <w:color w:val="000000" w:themeColor="text1"/>
          <w:lang w:val="es-ES"/>
        </w:rPr>
        <w:t xml:space="preserve"> </w:t>
      </w:r>
      <w:r w:rsidR="00C751BC">
        <w:rPr>
          <w:color w:val="000000" w:themeColor="text1"/>
          <w:lang w:val="es-ES"/>
        </w:rPr>
        <w:t>en r</w:t>
      </w:r>
      <w:r w:rsidR="00C751BC" w:rsidRPr="00C751BC">
        <w:rPr>
          <w:color w:val="000000" w:themeColor="text1"/>
          <w:lang w:val="es-ES"/>
        </w:rPr>
        <w:t>obo o venta ilegal de gasolina o diésel (huachicol)</w:t>
      </w:r>
      <w:r w:rsidR="00C751BC">
        <w:rPr>
          <w:color w:val="000000" w:themeColor="text1"/>
          <w:lang w:val="es-ES"/>
        </w:rPr>
        <w:t xml:space="preserve">. Con relación al </w:t>
      </w:r>
      <w:r w:rsidR="00EE2DD1">
        <w:rPr>
          <w:color w:val="000000" w:themeColor="text1"/>
          <w:lang w:val="es-ES"/>
        </w:rPr>
        <w:t>I T </w:t>
      </w:r>
      <w:r w:rsidR="00C751BC">
        <w:rPr>
          <w:color w:val="000000" w:themeColor="text1"/>
          <w:lang w:val="es-ES"/>
        </w:rPr>
        <w:t xml:space="preserve">2021 se registró un aumento estadísticamente significativo de 1.9 y 1.2 puntos porcentuales en atestiguación de robos o asaltos y en </w:t>
      </w:r>
      <w:r w:rsidR="00EE2DD1">
        <w:rPr>
          <w:color w:val="000000" w:themeColor="text1"/>
          <w:lang w:val="es-ES"/>
        </w:rPr>
        <w:t xml:space="preserve">la </w:t>
      </w:r>
      <w:r w:rsidR="00C751BC">
        <w:rPr>
          <w:color w:val="000000" w:themeColor="text1"/>
          <w:lang w:val="es-ES"/>
        </w:rPr>
        <w:t>v</w:t>
      </w:r>
      <w:r w:rsidR="00C751BC" w:rsidRPr="00E20946">
        <w:rPr>
          <w:color w:val="000000" w:themeColor="text1"/>
          <w:lang w:val="es-ES"/>
        </w:rPr>
        <w:t>enta o consumo de drogas</w:t>
      </w:r>
      <w:r w:rsidR="00C751BC">
        <w:rPr>
          <w:color w:val="000000" w:themeColor="text1"/>
          <w:lang w:val="es-ES"/>
        </w:rPr>
        <w:t>, respectivamente y una reducción de 1.5 puntos porcentuales</w:t>
      </w:r>
      <w:r w:rsidR="00C751BC" w:rsidRPr="00F609AE">
        <w:rPr>
          <w:color w:val="000000" w:themeColor="text1"/>
          <w:lang w:val="es-ES"/>
        </w:rPr>
        <w:t xml:space="preserve"> </w:t>
      </w:r>
      <w:r w:rsidR="00C751BC">
        <w:rPr>
          <w:color w:val="000000" w:themeColor="text1"/>
          <w:lang w:val="es-ES"/>
        </w:rPr>
        <w:t xml:space="preserve">en </w:t>
      </w:r>
      <w:r w:rsidR="001405BA">
        <w:rPr>
          <w:color w:val="000000" w:themeColor="text1"/>
          <w:lang w:val="es-ES"/>
        </w:rPr>
        <w:t>atestiguación de</w:t>
      </w:r>
      <w:r w:rsidR="00C751BC">
        <w:rPr>
          <w:color w:val="000000" w:themeColor="text1"/>
          <w:lang w:val="es-ES"/>
        </w:rPr>
        <w:t xml:space="preserve"> t</w:t>
      </w:r>
      <w:r w:rsidR="00C751BC" w:rsidRPr="00C751BC">
        <w:rPr>
          <w:color w:val="000000" w:themeColor="text1"/>
          <w:lang w:val="es-ES"/>
        </w:rPr>
        <w:t>omas irregulares de luz</w:t>
      </w:r>
      <w:r w:rsidR="00D97E2E">
        <w:rPr>
          <w:color w:val="000000" w:themeColor="text1"/>
          <w:lang w:val="es-ES"/>
        </w:rPr>
        <w:t xml:space="preserve"> (</w:t>
      </w:r>
      <w:r w:rsidR="00C751BC" w:rsidRPr="00C751BC">
        <w:rPr>
          <w:color w:val="000000" w:themeColor="text1"/>
          <w:lang w:val="es-ES"/>
        </w:rPr>
        <w:t>diablitos</w:t>
      </w:r>
      <w:r w:rsidR="00D97E2E">
        <w:rPr>
          <w:color w:val="000000" w:themeColor="text1"/>
          <w:lang w:val="es-ES"/>
        </w:rPr>
        <w:t>)</w:t>
      </w:r>
      <w:r w:rsidR="001405BA" w:rsidRPr="00F609AE">
        <w:rPr>
          <w:color w:val="000000" w:themeColor="text1"/>
          <w:lang w:val="es-ES"/>
        </w:rPr>
        <w:t>.</w:t>
      </w:r>
    </w:p>
    <w:p w14:paraId="1FE58416" w14:textId="77777777" w:rsidR="00A43F81" w:rsidRDefault="00A43F81">
      <w:pPr>
        <w:rPr>
          <w:bCs/>
          <w:noProof/>
          <w:color w:val="000000"/>
          <w:sz w:val="20"/>
          <w:lang w:eastAsia="es-MX"/>
        </w:rPr>
      </w:pPr>
      <w:r>
        <w:rPr>
          <w:bCs/>
          <w:noProof/>
          <w:color w:val="000000"/>
          <w:sz w:val="20"/>
          <w:lang w:eastAsia="es-MX"/>
        </w:rPr>
        <w:br w:type="page"/>
      </w:r>
    </w:p>
    <w:p w14:paraId="7C03DA3A" w14:textId="68A1BD3C" w:rsidR="00723C9F" w:rsidRPr="000C6AEF" w:rsidRDefault="00723C9F" w:rsidP="00723C9F">
      <w:pPr>
        <w:autoSpaceDE w:val="0"/>
        <w:autoSpaceDN w:val="0"/>
        <w:adjustRightInd w:val="0"/>
        <w:spacing w:before="240"/>
        <w:jc w:val="center"/>
        <w:rPr>
          <w:bCs/>
          <w:noProof/>
          <w:color w:val="000000"/>
          <w:sz w:val="20"/>
          <w:lang w:eastAsia="es-MX"/>
        </w:rPr>
      </w:pPr>
      <w:r w:rsidRPr="000C6AEF">
        <w:rPr>
          <w:bCs/>
          <w:noProof/>
          <w:color w:val="000000"/>
          <w:sz w:val="20"/>
          <w:lang w:eastAsia="es-MX"/>
        </w:rPr>
        <w:lastRenderedPageBreak/>
        <w:t xml:space="preserve">Gráfica </w:t>
      </w:r>
      <w:r w:rsidR="003753FF">
        <w:rPr>
          <w:bCs/>
          <w:noProof/>
          <w:color w:val="000000"/>
          <w:sz w:val="20"/>
          <w:lang w:eastAsia="es-MX"/>
        </w:rPr>
        <w:t>5</w:t>
      </w:r>
    </w:p>
    <w:p w14:paraId="4EBCEA94" w14:textId="1CA58F75" w:rsidR="00FA44D9" w:rsidRPr="00CC54A7" w:rsidRDefault="00CC54A7" w:rsidP="00723C9F">
      <w:pPr>
        <w:jc w:val="center"/>
        <w:rPr>
          <w:b/>
          <w:smallCaps/>
          <w:sz w:val="22"/>
          <w:lang w:val="es-ES"/>
        </w:rPr>
      </w:pPr>
      <w:r w:rsidRPr="00CC54A7">
        <w:rPr>
          <w:b/>
          <w:smallCaps/>
          <w:sz w:val="22"/>
          <w:lang w:val="es-ES"/>
        </w:rPr>
        <w:t xml:space="preserve">Atestiguación de conductas delictivas o antisociales a nivel nacional </w:t>
      </w:r>
    </w:p>
    <w:p w14:paraId="0B92CA42" w14:textId="3BBB8345" w:rsidR="00FA44D9" w:rsidRDefault="00FA44D9" w:rsidP="00723C9F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tbl>
      <w:tblPr>
        <w:tblW w:w="968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22"/>
        <w:gridCol w:w="4730"/>
      </w:tblGrid>
      <w:tr w:rsidR="00F700FD" w:rsidRPr="0063555B" w14:paraId="26BBD379" w14:textId="77777777" w:rsidTr="0063555B">
        <w:trPr>
          <w:trHeight w:val="1985"/>
          <w:jc w:val="center"/>
        </w:trPr>
        <w:tc>
          <w:tcPr>
            <w:tcW w:w="4730" w:type="dxa"/>
            <w:vAlign w:val="center"/>
          </w:tcPr>
          <w:p w14:paraId="08C0D670" w14:textId="24C60548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5BC569AE" wp14:editId="7132C0D0">
                  <wp:extent cx="2880000" cy="1260000"/>
                  <wp:effectExtent l="0" t="0" r="0" b="0"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459E6AC-1CDA-4457-9A34-CA62F712F95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68EF3391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3B9A3A50" w14:textId="5C641EA6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07F8B14E" wp14:editId="431BDA88">
                  <wp:extent cx="2882098" cy="1260000"/>
                  <wp:effectExtent l="0" t="0" r="0" b="0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8C2B02-6142-42EF-8072-AD0A2F73BE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8"/>
                    </a:graphicData>
                  </a:graphic>
                </wp:inline>
              </w:drawing>
            </w:r>
          </w:p>
        </w:tc>
      </w:tr>
      <w:tr w:rsidR="00F700FD" w:rsidRPr="0063555B" w14:paraId="2B21C8C2" w14:textId="77777777" w:rsidTr="0063555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30" w:type="dxa"/>
            <w:vAlign w:val="center"/>
          </w:tcPr>
          <w:p w14:paraId="0EAC9C95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  <w:vAlign w:val="center"/>
          </w:tcPr>
          <w:p w14:paraId="0EFFA885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00F0A620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F700FD" w:rsidRPr="0063555B" w14:paraId="2F7B59AD" w14:textId="77777777" w:rsidTr="0063555B">
        <w:trPr>
          <w:trHeight w:val="1985"/>
          <w:jc w:val="center"/>
        </w:trPr>
        <w:tc>
          <w:tcPr>
            <w:tcW w:w="4730" w:type="dxa"/>
            <w:vAlign w:val="center"/>
          </w:tcPr>
          <w:p w14:paraId="4A1F779E" w14:textId="763D700F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2E00F619" wp14:editId="1E9B6DB2">
                  <wp:extent cx="2881794" cy="1260000"/>
                  <wp:effectExtent l="0" t="0" r="0" b="0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5ABB02A-48E1-43E4-947D-9529293E03B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9"/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343CD622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1CEF9D89" w14:textId="0CAA37DE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792DF91E" wp14:editId="4BCC1AC8">
                  <wp:extent cx="2876614" cy="1260000"/>
                  <wp:effectExtent l="0" t="0" r="0" b="0"/>
                  <wp:docPr id="6" name="Gráfico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47F0FF3-A814-432B-921C-0342437AE5A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0"/>
                    </a:graphicData>
                  </a:graphic>
                </wp:inline>
              </w:drawing>
            </w:r>
          </w:p>
        </w:tc>
      </w:tr>
      <w:tr w:rsidR="00F700FD" w:rsidRPr="0063555B" w14:paraId="737CFAD0" w14:textId="77777777" w:rsidTr="0063555B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30" w:type="dxa"/>
            <w:vAlign w:val="center"/>
          </w:tcPr>
          <w:p w14:paraId="2A2C1193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  <w:vAlign w:val="center"/>
          </w:tcPr>
          <w:p w14:paraId="77AAF211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741562D2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F700FD" w:rsidRPr="0063555B" w14:paraId="5DA9FB34" w14:textId="77777777" w:rsidTr="0063555B">
        <w:trPr>
          <w:trHeight w:val="1985"/>
          <w:jc w:val="center"/>
        </w:trPr>
        <w:tc>
          <w:tcPr>
            <w:tcW w:w="4730" w:type="dxa"/>
            <w:vAlign w:val="center"/>
          </w:tcPr>
          <w:p w14:paraId="1CAEE664" w14:textId="13177711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063F9062" wp14:editId="702C51AE">
                  <wp:extent cx="2886807" cy="1260000"/>
                  <wp:effectExtent l="0" t="0" r="8890" b="0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E5E4C8-333E-4E07-9675-6CBE3C1D696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1"/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7CC9424C" w14:textId="212BBC2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500151BF" w14:textId="4CE942F0" w:rsidR="0079009F" w:rsidRPr="0063555B" w:rsidRDefault="00D97E2E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2BB9CBED" wp14:editId="6F46770B">
                  <wp:extent cx="2885851" cy="1260000"/>
                  <wp:effectExtent l="0" t="0" r="0" b="0"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E78ABF-02AE-478F-9DD6-E31079AA7D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2"/>
                    </a:graphicData>
                  </a:graphic>
                </wp:inline>
              </w:drawing>
            </w:r>
          </w:p>
        </w:tc>
      </w:tr>
      <w:tr w:rsidR="00F700FD" w:rsidRPr="0063555B" w14:paraId="07D6295F" w14:textId="77777777" w:rsidTr="0063555B">
        <w:tblPrEx>
          <w:tblCellMar>
            <w:left w:w="108" w:type="dxa"/>
            <w:right w:w="108" w:type="dxa"/>
          </w:tblCellMar>
        </w:tblPrEx>
        <w:trPr>
          <w:trHeight w:val="113"/>
          <w:jc w:val="center"/>
        </w:trPr>
        <w:tc>
          <w:tcPr>
            <w:tcW w:w="4730" w:type="dxa"/>
            <w:vAlign w:val="center"/>
          </w:tcPr>
          <w:p w14:paraId="5D16EC88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  <w:vAlign w:val="center"/>
          </w:tcPr>
          <w:p w14:paraId="537CF3CC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7BA1C381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E20BC1" w:rsidRPr="0063555B" w14:paraId="6937267E" w14:textId="77777777" w:rsidTr="008A483D">
        <w:trPr>
          <w:trHeight w:val="1985"/>
          <w:jc w:val="center"/>
        </w:trPr>
        <w:tc>
          <w:tcPr>
            <w:tcW w:w="4730" w:type="dxa"/>
            <w:vAlign w:val="center"/>
          </w:tcPr>
          <w:p w14:paraId="3DFDDE94" w14:textId="0A53F59B" w:rsidR="0079009F" w:rsidRPr="0063555B" w:rsidRDefault="00FB4D41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5201FD65" wp14:editId="3162ED79">
                  <wp:extent cx="2876932" cy="1260000"/>
                  <wp:effectExtent l="0" t="0" r="0" b="0"/>
                  <wp:docPr id="14" name="Gráfico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B1D593D-685D-41BE-B37B-E7276A13E7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3"/>
                    </a:graphicData>
                  </a:graphic>
                </wp:inline>
              </w:drawing>
            </w:r>
          </w:p>
        </w:tc>
        <w:tc>
          <w:tcPr>
            <w:tcW w:w="222" w:type="dxa"/>
            <w:vAlign w:val="center"/>
          </w:tcPr>
          <w:p w14:paraId="4F50AF07" w14:textId="77777777" w:rsidR="0079009F" w:rsidRPr="0063555B" w:rsidRDefault="0079009F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30" w:type="dxa"/>
            <w:vAlign w:val="center"/>
          </w:tcPr>
          <w:p w14:paraId="65578285" w14:textId="77ADC818" w:rsidR="0079009F" w:rsidRPr="0063555B" w:rsidRDefault="008A483D" w:rsidP="0063555B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7AD518A" wp14:editId="4FD168F3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1041400</wp:posOffset>
                      </wp:positionV>
                      <wp:extent cx="1742440" cy="24130"/>
                      <wp:effectExtent l="0" t="0" r="10160" b="33020"/>
                      <wp:wrapNone/>
                      <wp:docPr id="40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2440" cy="24130"/>
                                <a:chOff x="0" y="0"/>
                                <a:chExt cx="1742721" cy="24702"/>
                              </a:xfrm>
                            </wpg:grpSpPr>
                            <wps:wsp>
                              <wps:cNvPr id="41" name="Conector recto 41"/>
                              <wps:cNvCnPr/>
                              <wps:spPr>
                                <a:xfrm>
                                  <a:off x="0" y="3088"/>
                                  <a:ext cx="0" cy="18526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Conector recto 42"/>
                              <wps:cNvCnPr/>
                              <wps:spPr>
                                <a:xfrm>
                                  <a:off x="1742721" y="0"/>
                                  <a:ext cx="0" cy="2161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Conector recto 43"/>
                              <wps:cNvCnPr/>
                              <wps:spPr>
                                <a:xfrm>
                                  <a:off x="868292" y="3088"/>
                                  <a:ext cx="0" cy="21614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C93A5" id="Grupo 9" o:spid="_x0000_s1026" style="position:absolute;margin-left:68.35pt;margin-top:82pt;width:137.2pt;height:1.9pt;z-index:251661312;mso-width-relative:margin;mso-height-relative:margin" coordsize="17427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">
                      <v:line id="Conector recto 41" o:spid="_x0000_s1027" style="position:absolute;visibility:visible;mso-wrap-style:square" from="0,30" to="0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" strokecolor="black [3040]"/>
                      <v:line id="Conector recto 42" o:spid="_x0000_s1028" style="position:absolute;visibility:visible;mso-wrap-style:square" from="17427,0" to="17427,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ZmN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" strokecolor="black [3040]"/>
                      <v:line id="Conector recto 43" o:spid="_x0000_s1029" style="position:absolute;visibility:visible;mso-wrap-style:square" from="8682,30" to="8682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" strokecolor="black [3040]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5BDBA923" wp14:editId="14F49D07">
                  <wp:extent cx="2887125" cy="1260000"/>
                  <wp:effectExtent l="0" t="0" r="8890" b="0"/>
                  <wp:docPr id="39" name="Gráfico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2BBBD6-5A34-48DD-B199-AE4CE7F5E3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4"/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</w:tbl>
    <w:p w14:paraId="413D3DD5" w14:textId="3C44B955" w:rsidR="00CF7D57" w:rsidRPr="001648B2" w:rsidRDefault="00CF7D57" w:rsidP="001648B2">
      <w:pPr>
        <w:autoSpaceDE w:val="0"/>
        <w:autoSpaceDN w:val="0"/>
        <w:adjustRightInd w:val="0"/>
        <w:ind w:left="644" w:right="-43" w:hanging="605"/>
        <w:jc w:val="both"/>
        <w:rPr>
          <w:color w:val="000000"/>
          <w:spacing w:val="-2"/>
          <w:sz w:val="16"/>
          <w:szCs w:val="16"/>
        </w:rPr>
      </w:pPr>
      <w:r w:rsidRPr="001648B2">
        <w:rPr>
          <w:color w:val="000000"/>
          <w:sz w:val="16"/>
          <w:szCs w:val="16"/>
        </w:rPr>
        <w:t>Nota:</w:t>
      </w:r>
      <w:r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pacing w:val="-2"/>
          <w:sz w:val="16"/>
          <w:szCs w:val="16"/>
        </w:rPr>
        <w:t>Debido a la emergencia sanitaria generada por el virus SARS-CoV2, fue cancelado el levantamiento correspondiente al segundo trimestre de 2020</w:t>
      </w:r>
      <w:r w:rsidR="00C74092" w:rsidRPr="00C74092">
        <w:rPr>
          <w:color w:val="000000"/>
          <w:spacing w:val="-2"/>
          <w:sz w:val="16"/>
          <w:szCs w:val="16"/>
        </w:rPr>
        <w:t>, cuyos resultados serían publicados el 15 de julio de 2020.</w:t>
      </w:r>
    </w:p>
    <w:p w14:paraId="11027409" w14:textId="5E85DC74" w:rsidR="00CF7D57" w:rsidRPr="001648B2" w:rsidRDefault="00CF7D57" w:rsidP="001648B2">
      <w:pPr>
        <w:autoSpaceDE w:val="0"/>
        <w:autoSpaceDN w:val="0"/>
        <w:adjustRightInd w:val="0"/>
        <w:ind w:left="644" w:right="-43" w:hanging="605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Pr="001648B2">
        <w:rPr>
          <w:color w:val="000000"/>
          <w:sz w:val="16"/>
          <w:szCs w:val="16"/>
        </w:rPr>
        <w:t xml:space="preserve"> </w:t>
      </w:r>
    </w:p>
    <w:p w14:paraId="6A51820E" w14:textId="77777777" w:rsidR="00FA44D9" w:rsidRPr="007D3F39" w:rsidRDefault="00FA44D9" w:rsidP="00721E1A">
      <w:pPr>
        <w:spacing w:before="600"/>
        <w:jc w:val="both"/>
        <w:rPr>
          <w:b/>
          <w:lang w:val="es-ES"/>
        </w:rPr>
      </w:pPr>
      <w:r w:rsidRPr="005A270D">
        <w:rPr>
          <w:b/>
          <w:lang w:val="es-ES"/>
        </w:rPr>
        <w:t>Conflictos y conductas antisociales (existencia)</w:t>
      </w:r>
    </w:p>
    <w:p w14:paraId="005E28C6" w14:textId="2FA36499" w:rsidR="00721E1A" w:rsidRDefault="00411B68" w:rsidP="00C93327">
      <w:pPr>
        <w:spacing w:before="240" w:after="240"/>
        <w:jc w:val="both"/>
      </w:pPr>
      <w:r>
        <w:rPr>
          <w:lang w:val="es-ES"/>
        </w:rPr>
        <w:t>D</w:t>
      </w:r>
      <w:r w:rsidRPr="008D758F">
        <w:rPr>
          <w:lang w:val="es-ES"/>
        </w:rPr>
        <w:t>urante el</w:t>
      </w:r>
      <w:r>
        <w:rPr>
          <w:lang w:val="es-ES"/>
        </w:rPr>
        <w:t xml:space="preserve"> </w:t>
      </w:r>
      <w:r w:rsidR="00C91534">
        <w:rPr>
          <w:lang w:val="es-ES"/>
        </w:rPr>
        <w:t>I</w:t>
      </w:r>
      <w:r w:rsidR="0013769C">
        <w:rPr>
          <w:lang w:val="es-ES"/>
        </w:rPr>
        <w:t> </w:t>
      </w:r>
      <w:r w:rsidR="00C91534">
        <w:rPr>
          <w:lang w:val="es-ES"/>
        </w:rPr>
        <w:t>T</w:t>
      </w:r>
      <w:r w:rsidR="0013769C">
        <w:rPr>
          <w:lang w:val="es-ES"/>
        </w:rPr>
        <w:t> </w:t>
      </w:r>
      <w:r w:rsidRPr="008D758F">
        <w:rPr>
          <w:lang w:val="es-ES"/>
        </w:rPr>
        <w:t>202</w:t>
      </w:r>
      <w:r w:rsidR="000A2704">
        <w:rPr>
          <w:lang w:val="es-ES"/>
        </w:rPr>
        <w:t>2</w:t>
      </w:r>
      <w:r>
        <w:rPr>
          <w:lang w:val="es-ES"/>
        </w:rPr>
        <w:t xml:space="preserve">, </w:t>
      </w:r>
      <w:r w:rsidR="008D758F" w:rsidRPr="008D758F">
        <w:rPr>
          <w:lang w:val="es-ES"/>
        </w:rPr>
        <w:t>3</w:t>
      </w:r>
      <w:r>
        <w:rPr>
          <w:lang w:val="es-ES"/>
        </w:rPr>
        <w:t>2.</w:t>
      </w:r>
      <w:r w:rsidR="0013769C">
        <w:rPr>
          <w:lang w:val="es-ES"/>
        </w:rPr>
        <w:t>5</w:t>
      </w:r>
      <w:r w:rsidR="008D758F" w:rsidRPr="008D758F">
        <w:rPr>
          <w:lang w:val="es-ES"/>
        </w:rPr>
        <w:t xml:space="preserve">% de la población de 18 años y más tuvo de manera directa algún conflicto o enfrentamiento con familiares, vecinos, compañeros de trabajo o escuela, </w:t>
      </w:r>
      <w:r w:rsidR="00FB4D41">
        <w:rPr>
          <w:lang w:val="es-ES"/>
        </w:rPr>
        <w:t xml:space="preserve">desconocidos en la calle, </w:t>
      </w:r>
      <w:r w:rsidR="008D758F" w:rsidRPr="008D758F">
        <w:rPr>
          <w:lang w:val="es-ES"/>
        </w:rPr>
        <w:t>establecimientos o con autoridades de gobierno.</w:t>
      </w:r>
    </w:p>
    <w:tbl>
      <w:tblPr>
        <w:tblStyle w:val="Tablaconcuadrcula6concolores-nfasis2"/>
        <w:tblW w:w="9526" w:type="dxa"/>
        <w:tblLayout w:type="fixed"/>
        <w:tblLook w:val="0400" w:firstRow="0" w:lastRow="0" w:firstColumn="0" w:lastColumn="0" w:noHBand="0" w:noVBand="1"/>
      </w:tblPr>
      <w:tblGrid>
        <w:gridCol w:w="2639"/>
        <w:gridCol w:w="954"/>
        <w:gridCol w:w="815"/>
        <w:gridCol w:w="236"/>
        <w:gridCol w:w="236"/>
        <w:gridCol w:w="2640"/>
        <w:gridCol w:w="958"/>
        <w:gridCol w:w="812"/>
        <w:gridCol w:w="236"/>
      </w:tblGrid>
      <w:tr w:rsidR="00F81FBC" w14:paraId="0DE82969" w14:textId="77777777" w:rsidTr="00F81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9AFD9" w14:textId="77777777" w:rsidR="00F81FBC" w:rsidRPr="008538E7" w:rsidRDefault="00F81FBC" w:rsidP="00721E1A">
            <w:pPr>
              <w:keepNext/>
              <w:keepLines/>
              <w:jc w:val="center"/>
              <w:rPr>
                <w:sz w:val="20"/>
                <w:szCs w:val="22"/>
                <w:lang w:val="es-ES"/>
              </w:rPr>
            </w:pPr>
            <w:bookmarkStart w:id="11" w:name="OLE_LINK15"/>
            <w:r w:rsidRPr="008538E7">
              <w:rPr>
                <w:sz w:val="20"/>
                <w:szCs w:val="22"/>
                <w:lang w:val="es-ES"/>
              </w:rPr>
              <w:lastRenderedPageBreak/>
              <w:t>Cuadro 3</w:t>
            </w:r>
          </w:p>
          <w:p w14:paraId="2A167E17" w14:textId="45055CFF" w:rsidR="00F81FBC" w:rsidRPr="00CC54A7" w:rsidRDefault="00CC54A7" w:rsidP="00DC3F6F">
            <w:pPr>
              <w:keepNext/>
              <w:keepLines/>
              <w:jc w:val="center"/>
              <w:rPr>
                <w:b/>
                <w:smallCaps/>
                <w:sz w:val="22"/>
                <w:szCs w:val="16"/>
                <w:lang w:val="es-ES"/>
              </w:rPr>
            </w:pPr>
            <w:r w:rsidRPr="00CC54A7">
              <w:rPr>
                <w:b/>
                <w:smallCaps/>
                <w:sz w:val="22"/>
                <w:szCs w:val="16"/>
                <w:lang w:val="es-ES"/>
              </w:rPr>
              <w:t>Población de 18 años y más que experimentó conflictos</w:t>
            </w:r>
            <w:r w:rsidR="00F81FBC" w:rsidRPr="00CC54A7">
              <w:rPr>
                <w:b/>
                <w:smallCaps/>
                <w:sz w:val="22"/>
                <w:szCs w:val="16"/>
                <w:lang w:val="es-ES"/>
              </w:rPr>
              <w:br/>
            </w:r>
            <w:r w:rsidRPr="00CC54A7">
              <w:rPr>
                <w:b/>
                <w:smallCaps/>
                <w:sz w:val="22"/>
                <w:szCs w:val="16"/>
                <w:lang w:val="es-ES"/>
              </w:rPr>
              <w:t xml:space="preserve"> o enfrentamientos, por ciudad de interés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tbl>
            <w:tblPr>
              <w:tblW w:w="1985" w:type="dxa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7"/>
              <w:gridCol w:w="336"/>
              <w:gridCol w:w="382"/>
            </w:tblGrid>
            <w:tr w:rsidR="00F81FBC" w14:paraId="25E926E7" w14:textId="77777777" w:rsidTr="00F81FBC">
              <w:trPr>
                <w:trHeight w:hRule="exact" w:val="340"/>
                <w:jc w:val="center"/>
              </w:trPr>
              <w:tc>
                <w:tcPr>
                  <w:tcW w:w="1985" w:type="dxa"/>
                  <w:gridSpan w:val="3"/>
                  <w:shd w:val="clear" w:color="auto" w:fill="C0504D" w:themeFill="accent2"/>
                  <w:vAlign w:val="center"/>
                </w:tcPr>
                <w:p w14:paraId="0C6F53A9" w14:textId="77777777" w:rsidR="00F81FBC" w:rsidRPr="00BA4C18" w:rsidRDefault="00F81FBC" w:rsidP="00721E1A">
                  <w:pPr>
                    <w:keepNext/>
                    <w:autoSpaceDE w:val="0"/>
                    <w:autoSpaceDN w:val="0"/>
                    <w:adjustRightInd w:val="0"/>
                    <w:ind w:right="-82"/>
                    <w:rPr>
                      <w:b/>
                      <w:bCs/>
                      <w:color w:val="000000"/>
                      <w:spacing w:val="-6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FFFFFF" w:themeColor="background1"/>
                      <w:spacing w:val="-6"/>
                      <w:sz w:val="16"/>
                      <w:szCs w:val="16"/>
                    </w:rPr>
                    <w:t>Ciudades y demarcaciones</w:t>
                  </w:r>
                </w:p>
              </w:tc>
            </w:tr>
            <w:tr w:rsidR="004057F7" w14:paraId="10193D71" w14:textId="77777777" w:rsidTr="004057F7">
              <w:trPr>
                <w:trHeight w:hRule="exact" w:val="227"/>
                <w:jc w:val="center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7C8641B5" w14:textId="77777777" w:rsidR="004057F7" w:rsidRPr="00BA4C18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 la baja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4593BC22" w14:textId="77777777" w:rsidR="004057F7" w:rsidRPr="00254194" w:rsidRDefault="004057F7" w:rsidP="004057F7">
                  <w:pPr>
                    <w:keepNext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4BE0C345" wp14:editId="143C9970">
                            <wp:extent cx="162000" cy="126000"/>
                            <wp:effectExtent l="0" t="0" r="9525" b="7620"/>
                            <wp:docPr id="32" name="Flecha: hacia abajo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00CC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453CC06" id="Flecha: hacia abajo 32" o:spid="_x0000_s1026" type="#_x0000_t67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" adj="10800" fillcolor="#0c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4FA53619" w14:textId="1AA2C588" w:rsidR="004057F7" w:rsidRPr="004057F7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18"/>
                    </w:rPr>
                    <w:t>14</w:t>
                  </w:r>
                </w:p>
              </w:tc>
            </w:tr>
            <w:tr w:rsidR="004057F7" w14:paraId="1E2C4A7A" w14:textId="77777777" w:rsidTr="004057F7">
              <w:trPr>
                <w:trHeight w:hRule="exact" w:val="227"/>
                <w:jc w:val="center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E5B8B7" w:themeFill="accent2" w:themeFillTint="66"/>
                  <w:vAlign w:val="center"/>
                </w:tcPr>
                <w:p w14:paraId="3356E228" w14:textId="77777777" w:rsidR="004057F7" w:rsidRPr="00BA4C18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</w:pPr>
                  <w:r w:rsidRPr="00BA4C18">
                    <w:rPr>
                      <w:b/>
                      <w:bCs/>
                      <w:color w:val="000000"/>
                      <w:sz w:val="16"/>
                      <w:szCs w:val="16"/>
                    </w:rPr>
                    <w:t>Al alza</w:t>
                  </w:r>
                  <w:r w:rsidRPr="00BA4C18">
                    <w:rPr>
                      <w:b/>
                      <w:bCs/>
                      <w:noProof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E5B8B7" w:themeFill="accent2" w:themeFillTint="66"/>
                  <w:vAlign w:val="center"/>
                </w:tcPr>
                <w:p w14:paraId="272EE4A9" w14:textId="77777777" w:rsidR="004057F7" w:rsidRPr="00254194" w:rsidRDefault="004057F7" w:rsidP="004057F7">
                  <w:pPr>
                    <w:keepNext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noProof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6628EA0F" wp14:editId="26F92B6D">
                            <wp:extent cx="162000" cy="126000"/>
                            <wp:effectExtent l="0" t="0" r="9525" b="7620"/>
                            <wp:docPr id="33" name="Flecha: hacia abajo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162000" cy="126000"/>
                                    </a:xfrm>
                                    <a:prstGeom prst="downArrow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5A9E56AD" id="Flecha: hacia abajo 33" o:spid="_x0000_s1026" type="#_x0000_t67" style="width:12.75pt;height:9.9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" adj="10800" fillcolor="#c00000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E5B8B7" w:themeFill="accent2" w:themeFillTint="66"/>
                  <w:vAlign w:val="center"/>
                </w:tcPr>
                <w:p w14:paraId="4D06EFDA" w14:textId="70E9CF71" w:rsidR="004057F7" w:rsidRPr="004057F7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18"/>
                    </w:rPr>
                    <w:t>19</w:t>
                  </w:r>
                </w:p>
              </w:tc>
            </w:tr>
            <w:tr w:rsidR="004057F7" w14:paraId="47DB8742" w14:textId="77777777" w:rsidTr="004057F7">
              <w:trPr>
                <w:trHeight w:hRule="exact" w:val="227"/>
                <w:jc w:val="center"/>
              </w:trPr>
              <w:tc>
                <w:tcPr>
                  <w:tcW w:w="1267" w:type="dxa"/>
                  <w:tcBorders>
                    <w:left w:val="nil"/>
                    <w:right w:val="nil"/>
                  </w:tcBorders>
                  <w:shd w:val="clear" w:color="auto" w:fill="F2DBDB" w:themeFill="accent2" w:themeFillTint="33"/>
                  <w:vAlign w:val="center"/>
                </w:tcPr>
                <w:p w14:paraId="2431DA5A" w14:textId="77777777" w:rsidR="004057F7" w:rsidRPr="00BA4C18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left="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Sin cambio</w:t>
                  </w:r>
                </w:p>
              </w:tc>
              <w:tc>
                <w:tcPr>
                  <w:tcW w:w="336" w:type="dxa"/>
                  <w:tcBorders>
                    <w:left w:val="nil"/>
                  </w:tcBorders>
                  <w:shd w:val="clear" w:color="auto" w:fill="F2DBDB" w:themeFill="accent2" w:themeFillTint="33"/>
                  <w:vAlign w:val="center"/>
                </w:tcPr>
                <w:p w14:paraId="279272BB" w14:textId="77777777" w:rsidR="004057F7" w:rsidRPr="00254194" w:rsidRDefault="004057F7" w:rsidP="004057F7">
                  <w:pPr>
                    <w:keepNext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4"/>
                      <w:szCs w:val="4"/>
                    </w:rPr>
                  </w:pPr>
                  <w:r>
                    <w:rPr>
                      <w:b/>
                      <w:bCs/>
                      <w:noProof/>
                      <w:color w:val="000000"/>
                      <w:sz w:val="4"/>
                      <w:szCs w:val="4"/>
                      <w:lang w:val="es-MX" w:eastAsia="es-MX"/>
                    </w:rPr>
                    <mc:AlternateContent>
                      <mc:Choice Requires="wps">
                        <w:drawing>
                          <wp:inline distT="0" distB="0" distL="0" distR="0" wp14:anchorId="33C61706" wp14:editId="17F80204">
                            <wp:extent cx="162000" cy="126000"/>
                            <wp:effectExtent l="0" t="0" r="9525" b="7620"/>
                            <wp:docPr id="34" name="Flecha: a la izquierda y derecha 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2000" cy="126000"/>
                                    </a:xfrm>
                                    <a:prstGeom prst="leftRightArrow">
                                      <a:avLst/>
                                    </a:prstGeom>
                                    <a:solidFill>
                                      <a:schemeClr val="tx1">
                                        <a:lumMod val="65000"/>
                                        <a:lumOff val="3500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30EBC67" id="Flecha: a la izquierda y derecha 34" o:spid="_x0000_s1026" type="#_x0000_t69" style="width:12.7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" adj="8400" fillcolor="#5a5a5a [2109]" stroked="f" strokeweight="2pt"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82" w:type="dxa"/>
                  <w:shd w:val="clear" w:color="auto" w:fill="F2DBDB" w:themeFill="accent2" w:themeFillTint="33"/>
                  <w:vAlign w:val="center"/>
                </w:tcPr>
                <w:p w14:paraId="38484713" w14:textId="1A810443" w:rsidR="004057F7" w:rsidRPr="004057F7" w:rsidRDefault="004057F7" w:rsidP="004057F7">
                  <w:pPr>
                    <w:keepNext/>
                    <w:autoSpaceDE w:val="0"/>
                    <w:autoSpaceDN w:val="0"/>
                    <w:adjustRightInd w:val="0"/>
                    <w:ind w:right="113"/>
                    <w:jc w:val="right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4057F7">
                    <w:rPr>
                      <w:b/>
                      <w:bCs/>
                      <w:color w:val="000000"/>
                      <w:sz w:val="16"/>
                      <w:szCs w:val="18"/>
                    </w:rPr>
                    <w:t>57</w:t>
                  </w:r>
                </w:p>
              </w:tc>
            </w:tr>
          </w:tbl>
          <w:p w14:paraId="79F6D8CD" w14:textId="77777777" w:rsidR="00F81FBC" w:rsidRPr="008B17C5" w:rsidRDefault="00F81FBC" w:rsidP="00721E1A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18"/>
                <w:szCs w:val="14"/>
              </w:rPr>
            </w:pPr>
          </w:p>
        </w:tc>
      </w:tr>
      <w:tr w:rsidR="00D11397" w14:paraId="42DD0FF9" w14:textId="77777777" w:rsidTr="00411B68">
        <w:trPr>
          <w:trHeight w:val="284"/>
        </w:trPr>
        <w:tc>
          <w:tcPr>
            <w:tcW w:w="2639" w:type="dxa"/>
            <w:vMerge w:val="restart"/>
            <w:shd w:val="clear" w:color="auto" w:fill="C0504D" w:themeFill="accent2"/>
            <w:vAlign w:val="center"/>
          </w:tcPr>
          <w:p w14:paraId="1E895B37" w14:textId="77777777" w:rsidR="00D11397" w:rsidRPr="009244C9" w:rsidRDefault="00D11397" w:rsidP="00D11397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2005" w:type="dxa"/>
            <w:gridSpan w:val="3"/>
            <w:shd w:val="clear" w:color="auto" w:fill="C0504D" w:themeFill="accent2"/>
          </w:tcPr>
          <w:p w14:paraId="167D1E0E" w14:textId="2A2F013B" w:rsidR="00D11397" w:rsidRPr="009244C9" w:rsidRDefault="00411B68" w:rsidP="002D4B7D">
            <w:pPr>
              <w:autoSpaceDE w:val="0"/>
              <w:autoSpaceDN w:val="0"/>
              <w:adjustRightInd w:val="0"/>
              <w:spacing w:before="20" w:after="20" w:line="180" w:lineRule="exact"/>
              <w:ind w:left="-45" w:right="-85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  <w:tc>
          <w:tcPr>
            <w:tcW w:w="236" w:type="dxa"/>
            <w:tcBorders>
              <w:top w:val="nil"/>
            </w:tcBorders>
            <w:shd w:val="clear" w:color="auto" w:fill="auto"/>
          </w:tcPr>
          <w:p w14:paraId="58F6C717" w14:textId="77777777" w:rsidR="00D11397" w:rsidRPr="00A77D91" w:rsidRDefault="00D11397" w:rsidP="00D11397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 w:val="restart"/>
            <w:shd w:val="clear" w:color="auto" w:fill="C0504D" w:themeFill="accent2"/>
            <w:vAlign w:val="center"/>
          </w:tcPr>
          <w:p w14:paraId="0E40AC8D" w14:textId="77777777" w:rsidR="00D11397" w:rsidRPr="009244C9" w:rsidRDefault="00D11397" w:rsidP="00D11397">
            <w:pPr>
              <w:autoSpaceDE w:val="0"/>
              <w:autoSpaceDN w:val="0"/>
              <w:adjustRightInd w:val="0"/>
              <w:ind w:left="284"/>
              <w:rPr>
                <w:color w:val="FFFFFF" w:themeColor="background1"/>
                <w:sz w:val="18"/>
                <w:szCs w:val="14"/>
              </w:rPr>
            </w:pPr>
            <w:r w:rsidRPr="009244C9">
              <w:rPr>
                <w:color w:val="FFFFFF" w:themeColor="background1"/>
                <w:sz w:val="18"/>
                <w:szCs w:val="14"/>
              </w:rPr>
              <w:t>Ciudad</w:t>
            </w:r>
          </w:p>
        </w:tc>
        <w:tc>
          <w:tcPr>
            <w:tcW w:w="2006" w:type="dxa"/>
            <w:gridSpan w:val="3"/>
            <w:shd w:val="clear" w:color="auto" w:fill="C0504D" w:themeFill="accent2"/>
          </w:tcPr>
          <w:p w14:paraId="622865FA" w14:textId="2459CAB0" w:rsidR="00D11397" w:rsidRPr="009244C9" w:rsidRDefault="00411B68" w:rsidP="002D4B7D">
            <w:pPr>
              <w:autoSpaceDE w:val="0"/>
              <w:autoSpaceDN w:val="0"/>
              <w:adjustRightInd w:val="0"/>
              <w:spacing w:before="20" w:after="20" w:line="180" w:lineRule="exact"/>
              <w:ind w:left="-45" w:right="-85"/>
              <w:jc w:val="center"/>
              <w:rPr>
                <w:color w:val="FFFFFF" w:themeColor="background1"/>
                <w:sz w:val="18"/>
                <w:szCs w:val="14"/>
              </w:rPr>
            </w:pPr>
            <w:r>
              <w:rPr>
                <w:color w:val="FFFFFF" w:themeColor="background1"/>
                <w:sz w:val="18"/>
                <w:szCs w:val="14"/>
              </w:rPr>
              <w:t>Porcentaje</w:t>
            </w:r>
          </w:p>
        </w:tc>
      </w:tr>
      <w:tr w:rsidR="00AE26F3" w14:paraId="1AC644FD" w14:textId="77777777" w:rsidTr="00411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639" w:type="dxa"/>
            <w:vMerge/>
            <w:shd w:val="clear" w:color="auto" w:fill="C0504D" w:themeFill="accent2"/>
          </w:tcPr>
          <w:p w14:paraId="35BA895E" w14:textId="77777777" w:rsidR="00AE26F3" w:rsidRPr="009244C9" w:rsidRDefault="00AE26F3" w:rsidP="00AE26F3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54" w:type="dxa"/>
            <w:shd w:val="clear" w:color="auto" w:fill="C0504D" w:themeFill="accent2"/>
            <w:vAlign w:val="center"/>
          </w:tcPr>
          <w:p w14:paraId="5034A0AE" w14:textId="4CDFF301" w:rsidR="00AE26F3" w:rsidRPr="00D11397" w:rsidRDefault="00C91534" w:rsidP="00AE26F3">
            <w:pPr>
              <w:autoSpaceDE w:val="0"/>
              <w:autoSpaceDN w:val="0"/>
              <w:adjustRightInd w:val="0"/>
              <w:spacing w:before="20" w:after="20"/>
              <w:ind w:left="-137" w:right="-119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I</w:t>
            </w:r>
            <w:r w:rsidR="000A2704">
              <w:rPr>
                <w:color w:val="FFFFFF" w:themeColor="background1"/>
                <w:sz w:val="16"/>
                <w:szCs w:val="14"/>
              </w:rPr>
              <w:t>V</w:t>
            </w:r>
            <w:r>
              <w:rPr>
                <w:color w:val="FFFFFF" w:themeColor="background1"/>
                <w:sz w:val="16"/>
                <w:szCs w:val="14"/>
              </w:rPr>
              <w:t xml:space="preserve"> T</w:t>
            </w:r>
            <w:r w:rsidR="00AE26F3" w:rsidRPr="00D11397">
              <w:rPr>
                <w:color w:val="FFFFFF" w:themeColor="background1"/>
                <w:sz w:val="16"/>
                <w:szCs w:val="14"/>
              </w:rPr>
              <w:t xml:space="preserve"> 202</w:t>
            </w:r>
            <w:r w:rsidR="00AE26F3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51" w:type="dxa"/>
            <w:gridSpan w:val="2"/>
            <w:shd w:val="clear" w:color="auto" w:fill="C0504D" w:themeFill="accent2"/>
            <w:vAlign w:val="center"/>
          </w:tcPr>
          <w:p w14:paraId="0E0522A2" w14:textId="3D651D5F" w:rsidR="00AE26F3" w:rsidRPr="00D11397" w:rsidRDefault="00C91534" w:rsidP="00AE26F3">
            <w:pPr>
              <w:autoSpaceDE w:val="0"/>
              <w:autoSpaceDN w:val="0"/>
              <w:adjustRightInd w:val="0"/>
              <w:spacing w:before="20" w:after="20"/>
              <w:ind w:left="-94" w:right="-73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I T</w:t>
            </w:r>
            <w:r w:rsidR="00AE26F3" w:rsidRPr="00D11397">
              <w:rPr>
                <w:color w:val="FFFFFF" w:themeColor="background1"/>
                <w:sz w:val="16"/>
                <w:szCs w:val="14"/>
              </w:rPr>
              <w:t xml:space="preserve"> 202</w:t>
            </w:r>
            <w:r w:rsidR="000A2704">
              <w:rPr>
                <w:color w:val="FFFFFF" w:themeColor="background1"/>
                <w:sz w:val="16"/>
                <w:szCs w:val="14"/>
              </w:rPr>
              <w:t>2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</w:tcBorders>
            <w:shd w:val="clear" w:color="auto" w:fill="auto"/>
          </w:tcPr>
          <w:p w14:paraId="760E5825" w14:textId="77777777" w:rsidR="00AE26F3" w:rsidRPr="00A77D91" w:rsidRDefault="00AE26F3" w:rsidP="00AE26F3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8"/>
                <w:szCs w:val="14"/>
              </w:rPr>
            </w:pPr>
          </w:p>
        </w:tc>
        <w:tc>
          <w:tcPr>
            <w:tcW w:w="2640" w:type="dxa"/>
            <w:vMerge/>
            <w:shd w:val="clear" w:color="auto" w:fill="C0504D" w:themeFill="accent2"/>
            <w:vAlign w:val="center"/>
          </w:tcPr>
          <w:p w14:paraId="1F588598" w14:textId="77777777" w:rsidR="00AE26F3" w:rsidRPr="009244C9" w:rsidRDefault="00AE26F3" w:rsidP="00AE26F3">
            <w:pPr>
              <w:autoSpaceDE w:val="0"/>
              <w:autoSpaceDN w:val="0"/>
              <w:adjustRightInd w:val="0"/>
              <w:ind w:right="50"/>
              <w:rPr>
                <w:color w:val="FFFFFF" w:themeColor="background1"/>
                <w:sz w:val="16"/>
                <w:szCs w:val="14"/>
              </w:rPr>
            </w:pPr>
          </w:p>
        </w:tc>
        <w:tc>
          <w:tcPr>
            <w:tcW w:w="958" w:type="dxa"/>
            <w:shd w:val="clear" w:color="auto" w:fill="C0504D" w:themeFill="accent2"/>
            <w:vAlign w:val="center"/>
          </w:tcPr>
          <w:p w14:paraId="2209DF54" w14:textId="07456C2C" w:rsidR="00AE26F3" w:rsidRPr="009244C9" w:rsidRDefault="00C91534" w:rsidP="00AE26F3">
            <w:pPr>
              <w:autoSpaceDE w:val="0"/>
              <w:autoSpaceDN w:val="0"/>
              <w:adjustRightInd w:val="0"/>
              <w:spacing w:before="20" w:after="20"/>
              <w:ind w:left="-125" w:right="-128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I</w:t>
            </w:r>
            <w:r w:rsidR="000A2704">
              <w:rPr>
                <w:color w:val="FFFFFF" w:themeColor="background1"/>
                <w:sz w:val="16"/>
                <w:szCs w:val="14"/>
              </w:rPr>
              <w:t>V</w:t>
            </w:r>
            <w:r>
              <w:rPr>
                <w:color w:val="FFFFFF" w:themeColor="background1"/>
                <w:sz w:val="16"/>
                <w:szCs w:val="14"/>
              </w:rPr>
              <w:t xml:space="preserve"> T</w:t>
            </w:r>
            <w:r w:rsidR="00AE26F3" w:rsidRPr="00D11397">
              <w:rPr>
                <w:color w:val="FFFFFF" w:themeColor="background1"/>
                <w:sz w:val="16"/>
                <w:szCs w:val="14"/>
              </w:rPr>
              <w:t xml:space="preserve"> 202</w:t>
            </w:r>
            <w:r w:rsidR="00AE26F3">
              <w:rPr>
                <w:color w:val="FFFFFF" w:themeColor="background1"/>
                <w:sz w:val="16"/>
                <w:szCs w:val="14"/>
              </w:rPr>
              <w:t>1</w:t>
            </w:r>
          </w:p>
        </w:tc>
        <w:tc>
          <w:tcPr>
            <w:tcW w:w="1048" w:type="dxa"/>
            <w:gridSpan w:val="2"/>
            <w:shd w:val="clear" w:color="auto" w:fill="C0504D" w:themeFill="accent2"/>
            <w:vAlign w:val="center"/>
          </w:tcPr>
          <w:p w14:paraId="6FC95B73" w14:textId="25E0EB05" w:rsidR="00AE26F3" w:rsidRDefault="00C91534" w:rsidP="00AE26F3">
            <w:pPr>
              <w:autoSpaceDE w:val="0"/>
              <w:autoSpaceDN w:val="0"/>
              <w:adjustRightInd w:val="0"/>
              <w:spacing w:before="20" w:after="20"/>
              <w:ind w:right="50"/>
              <w:jc w:val="center"/>
              <w:rPr>
                <w:color w:val="FFFFFF" w:themeColor="background1"/>
                <w:sz w:val="16"/>
                <w:szCs w:val="14"/>
              </w:rPr>
            </w:pPr>
            <w:r>
              <w:rPr>
                <w:color w:val="FFFFFF" w:themeColor="background1"/>
                <w:sz w:val="16"/>
                <w:szCs w:val="14"/>
              </w:rPr>
              <w:t>I T</w:t>
            </w:r>
            <w:r w:rsidR="00AE26F3" w:rsidRPr="00D11397">
              <w:rPr>
                <w:color w:val="FFFFFF" w:themeColor="background1"/>
                <w:sz w:val="16"/>
                <w:szCs w:val="14"/>
              </w:rPr>
              <w:t xml:space="preserve"> 202</w:t>
            </w:r>
            <w:r w:rsidR="000A2704">
              <w:rPr>
                <w:color w:val="FFFFFF" w:themeColor="background1"/>
                <w:sz w:val="16"/>
                <w:szCs w:val="14"/>
              </w:rPr>
              <w:t>2</w:t>
            </w:r>
          </w:p>
        </w:tc>
      </w:tr>
      <w:tr w:rsidR="00A8022B" w:rsidRPr="00A8022B" w14:paraId="66FC48C5" w14:textId="77777777" w:rsidTr="00721E1A">
        <w:trPr>
          <w:trHeight w:hRule="exact" w:val="198"/>
        </w:trPr>
        <w:tc>
          <w:tcPr>
            <w:tcW w:w="2639" w:type="dxa"/>
            <w:vAlign w:val="bottom"/>
          </w:tcPr>
          <w:p w14:paraId="43515B47" w14:textId="0F7B2A40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b/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Nacional</w:t>
            </w:r>
          </w:p>
        </w:tc>
        <w:tc>
          <w:tcPr>
            <w:tcW w:w="954" w:type="dxa"/>
            <w:vAlign w:val="bottom"/>
          </w:tcPr>
          <w:p w14:paraId="23278391" w14:textId="2F29D3C4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32.7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EF242C" w14:textId="12791A2F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b/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32.5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A4B854D" w14:textId="30954E3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E45A23A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06D814F" w14:textId="42576C79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14:paraId="74067F4D" w14:textId="17EEE1C1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84E9161" w14:textId="3B85D2A5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392BF900" w14:textId="3A286A6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left="-57"/>
              <w:rPr>
                <w:color w:val="auto"/>
                <w:position w:val="-2"/>
                <w:sz w:val="16"/>
                <w:szCs w:val="16"/>
              </w:rPr>
            </w:pPr>
          </w:p>
        </w:tc>
      </w:tr>
      <w:tr w:rsidR="00A8022B" w:rsidRPr="00A8022B" w14:paraId="432B1256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77808A40" w14:textId="12AB76CD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Aguascalientes, Ags.</w:t>
            </w:r>
          </w:p>
        </w:tc>
        <w:tc>
          <w:tcPr>
            <w:tcW w:w="954" w:type="dxa"/>
            <w:vAlign w:val="bottom"/>
          </w:tcPr>
          <w:p w14:paraId="1944AD8B" w14:textId="34464492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AC25D5F" w14:textId="45C1BFAB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D850857" w14:textId="7F6E8D96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39DAAC7" w14:textId="18FE5192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2AD5E7A" w14:textId="6AACC4E8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Puerto Vallarta, Jal.</w:t>
            </w:r>
          </w:p>
        </w:tc>
        <w:tc>
          <w:tcPr>
            <w:tcW w:w="958" w:type="dxa"/>
            <w:vAlign w:val="bottom"/>
          </w:tcPr>
          <w:p w14:paraId="200E1B0E" w14:textId="18BE2ED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830AC6B" w14:textId="40D47618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40.2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E5377E2" w14:textId="2DE4E4E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5CFE6055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66B4308" w14:textId="1188873A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Mexicali, B.C.</w:t>
            </w:r>
          </w:p>
        </w:tc>
        <w:tc>
          <w:tcPr>
            <w:tcW w:w="954" w:type="dxa"/>
            <w:vAlign w:val="bottom"/>
          </w:tcPr>
          <w:p w14:paraId="3BF78949" w14:textId="67B03EA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25A8745" w14:textId="3966FAC1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6041C11" w14:textId="4AFCBDD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6B55BEA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694127F" w14:textId="1737928F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Toluca, Edo. Mex.</w:t>
            </w:r>
          </w:p>
        </w:tc>
        <w:tc>
          <w:tcPr>
            <w:tcW w:w="958" w:type="dxa"/>
            <w:vAlign w:val="bottom"/>
          </w:tcPr>
          <w:p w14:paraId="099680F6" w14:textId="36D4C64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33.6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DDE0347" w14:textId="40E83CBB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930B78C" w14:textId="36A434E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3E8A49FC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25C27B11" w14:textId="06B0605A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Tijuana, B.C.</w:t>
            </w:r>
          </w:p>
        </w:tc>
        <w:tc>
          <w:tcPr>
            <w:tcW w:w="954" w:type="dxa"/>
            <w:vAlign w:val="bottom"/>
          </w:tcPr>
          <w:p w14:paraId="30F7FB04" w14:textId="6D7140E5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4659901" w14:textId="4B83612E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11.3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8AB78F5" w14:textId="070404D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54C0E52" w14:textId="4B1318B1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1CE25EB" w14:textId="41DD5FB1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Ecatepec, Edo. Mex.</w:t>
            </w:r>
          </w:p>
        </w:tc>
        <w:tc>
          <w:tcPr>
            <w:tcW w:w="958" w:type="dxa"/>
            <w:vAlign w:val="bottom"/>
          </w:tcPr>
          <w:p w14:paraId="0C91A92D" w14:textId="57EBC9BD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B13E01D" w14:textId="2BEB819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26.9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4899E49" w14:textId="5312C76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64FE3073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5A451EDD" w14:textId="631CDBF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La Paz, B.C.S.</w:t>
            </w:r>
          </w:p>
        </w:tc>
        <w:tc>
          <w:tcPr>
            <w:tcW w:w="954" w:type="dxa"/>
            <w:vAlign w:val="bottom"/>
          </w:tcPr>
          <w:p w14:paraId="28BDE7B7" w14:textId="76905FFD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44.5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86F32BF" w14:textId="18FDAC64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47.0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CFA8600" w14:textId="4EE5C6C5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1F3AC2E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C21360D" w14:textId="140EB67F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Ciudad Nezahualcóyotl, Edo. Mex.</w:t>
            </w:r>
          </w:p>
        </w:tc>
        <w:tc>
          <w:tcPr>
            <w:tcW w:w="958" w:type="dxa"/>
            <w:vAlign w:val="bottom"/>
          </w:tcPr>
          <w:p w14:paraId="51238CA7" w14:textId="15771E3F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BD7CD4A" w14:textId="6C691E1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16.1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0EB7BEF" w14:textId="6B23A22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52368D41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0695A790" w14:textId="16C634FF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Los Cabos, B.C.S. </w:t>
            </w:r>
            <w:r w:rsidRPr="00A8022B">
              <w:rPr>
                <w:color w:val="auto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54" w:type="dxa"/>
            <w:vAlign w:val="bottom"/>
          </w:tcPr>
          <w:p w14:paraId="364A00F3" w14:textId="11347356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013489D" w14:textId="4626A087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ED57CD0" w14:textId="5659C263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F21FFDF" w14:textId="5FA26D1A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661CC5A" w14:textId="409059CE" w:rsidR="00663B2F" w:rsidRPr="00A8022B" w:rsidRDefault="00663B2F" w:rsidP="00663B2F">
            <w:pPr>
              <w:autoSpaceDE w:val="0"/>
              <w:autoSpaceDN w:val="0"/>
              <w:adjustRightInd w:val="0"/>
              <w:ind w:right="-128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Naucalpan de Juárez, Edo. Mex.</w:t>
            </w:r>
          </w:p>
        </w:tc>
        <w:tc>
          <w:tcPr>
            <w:tcW w:w="958" w:type="dxa"/>
            <w:vAlign w:val="bottom"/>
          </w:tcPr>
          <w:p w14:paraId="30E97755" w14:textId="1F7ACD82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793BB2B" w14:textId="11E0658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9801871" w14:textId="528B3C12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07155C43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11D5C72A" w14:textId="1C7ADAAC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Campeche, Camp.</w:t>
            </w:r>
          </w:p>
        </w:tc>
        <w:tc>
          <w:tcPr>
            <w:tcW w:w="954" w:type="dxa"/>
            <w:vAlign w:val="bottom"/>
          </w:tcPr>
          <w:p w14:paraId="514653D9" w14:textId="6606F154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20B9183" w14:textId="4527546B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0DA14B9" w14:textId="408CD4FA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959D7A6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6B2B7FE" w14:textId="47862784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Tlalnepantla de Baz, Edo. Mex.</w:t>
            </w:r>
          </w:p>
        </w:tc>
        <w:tc>
          <w:tcPr>
            <w:tcW w:w="958" w:type="dxa"/>
            <w:vAlign w:val="bottom"/>
          </w:tcPr>
          <w:p w14:paraId="4149906C" w14:textId="18566D14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E365088" w14:textId="036F404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4BC4E51" w14:textId="55A5F57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2BC8279F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598119DB" w14:textId="6FCDEDC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Ciudad del Carmen, Camp.</w:t>
            </w:r>
          </w:p>
        </w:tc>
        <w:tc>
          <w:tcPr>
            <w:tcW w:w="954" w:type="dxa"/>
            <w:vAlign w:val="bottom"/>
          </w:tcPr>
          <w:p w14:paraId="48C9C425" w14:textId="7F5E89F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F769442" w14:textId="424D4CE7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26.9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322997F" w14:textId="5A746FE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16757CE" w14:textId="013796E4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4A05C4B" w14:textId="58A10C11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Atizapán de Zaragoza, Edo. Mex.</w:t>
            </w:r>
          </w:p>
        </w:tc>
        <w:tc>
          <w:tcPr>
            <w:tcW w:w="958" w:type="dxa"/>
            <w:vAlign w:val="bottom"/>
          </w:tcPr>
          <w:p w14:paraId="27018DA7" w14:textId="2CFA7861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34.9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1A4026F" w14:textId="46EC8BD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BFE09BC" w14:textId="2BF0F05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23A479B8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38A4D830" w14:textId="37470B2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Saltillo,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27068E55" w14:textId="21E5CD2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31.0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18F096D" w14:textId="41D351B4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7697D6E" w14:textId="0360200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4FDAED8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3294BB0" w14:textId="229582F3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Chimalhuacán, Edo. Mex.</w:t>
            </w:r>
          </w:p>
        </w:tc>
        <w:tc>
          <w:tcPr>
            <w:tcW w:w="958" w:type="dxa"/>
            <w:vAlign w:val="bottom"/>
          </w:tcPr>
          <w:p w14:paraId="42499A1F" w14:textId="4DDD0B13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CAA626B" w14:textId="506AEFD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32.7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8E5D77" w14:textId="346DA2C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6B40B304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77DE595D" w14:textId="32DA8917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La Laguna, </w:t>
            </w:r>
            <w:proofErr w:type="spellStart"/>
            <w:proofErr w:type="gramStart"/>
            <w:r w:rsidRPr="00A8022B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.-</w:t>
            </w:r>
            <w:proofErr w:type="spellStart"/>
            <w:proofErr w:type="gramEnd"/>
            <w:r w:rsidRPr="00A8022B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 xml:space="preserve">. </w:t>
            </w:r>
            <w:r w:rsidRPr="00A8022B">
              <w:rPr>
                <w:color w:val="auto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54" w:type="dxa"/>
            <w:vAlign w:val="bottom"/>
          </w:tcPr>
          <w:p w14:paraId="2817369A" w14:textId="5290300C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D96887D" w14:textId="35B8914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2FEF562" w14:textId="14DB24C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A187F7F" w14:textId="00A7D03C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8E0359B" w14:textId="41C4D549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Cuautitlán Izcalli, Edo. Mex.</w:t>
            </w:r>
          </w:p>
        </w:tc>
        <w:tc>
          <w:tcPr>
            <w:tcW w:w="958" w:type="dxa"/>
            <w:vAlign w:val="bottom"/>
          </w:tcPr>
          <w:p w14:paraId="6C75488F" w14:textId="5A08BFC8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A6D7A33" w14:textId="7FD72B79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30.2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4F5F83B" w14:textId="623B295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29DED86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2C209A83" w14:textId="596FB11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Piedras Negras,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Coah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79D46961" w14:textId="23E72341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4DBAD9D" w14:textId="3B5434C0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AA05825" w14:textId="3063204A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46263CC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D9B7993" w14:textId="0C53A1DE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Morelia,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3093EEE5" w14:textId="56E4AC43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20.2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6408FA6" w14:textId="3C2D6F1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42.8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5D39F94" w14:textId="56514A2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359CA0E8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7FADF1B6" w14:textId="23E73B27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Colima, Col.</w:t>
            </w:r>
          </w:p>
        </w:tc>
        <w:tc>
          <w:tcPr>
            <w:tcW w:w="954" w:type="dxa"/>
            <w:vAlign w:val="bottom"/>
          </w:tcPr>
          <w:p w14:paraId="4F1ED0A0" w14:textId="1DC89BCE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41.6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C365E1E" w14:textId="16526BAA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CC5967D" w14:textId="5956D473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32B2156" w14:textId="571D1CDD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8AAB7AE" w14:textId="16D09DA4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Uruapan,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78558D70" w14:textId="14A38F0C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51FEBDD" w14:textId="4031A069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32.1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4A83F99" w14:textId="1A84B058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1508D5C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54D5B354" w14:textId="67496090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Manzanillo, Col.</w:t>
            </w:r>
          </w:p>
        </w:tc>
        <w:tc>
          <w:tcPr>
            <w:tcW w:w="954" w:type="dxa"/>
            <w:vAlign w:val="bottom"/>
          </w:tcPr>
          <w:p w14:paraId="254D8F8F" w14:textId="786D73F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B8925F6" w14:textId="6A010D17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33.4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7820D02" w14:textId="11D36865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339D9DF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D68192D" w14:textId="44A99BE6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Lázaro Cárdenas,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Mich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5D9AB308" w14:textId="488FC17B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2D31206" w14:textId="354A032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18.2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6673B08" w14:textId="1368C6D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759EAA78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0A4BA1AC" w14:textId="09D31F78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Tuxtla Gutiérrez, Chis.</w:t>
            </w:r>
          </w:p>
        </w:tc>
        <w:tc>
          <w:tcPr>
            <w:tcW w:w="954" w:type="dxa"/>
            <w:vAlign w:val="bottom"/>
          </w:tcPr>
          <w:p w14:paraId="1285ED26" w14:textId="37B03B67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6E7897C" w14:textId="00D01146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21.9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B921E7E" w14:textId="52A65EF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FA8B205" w14:textId="2D7B1D59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5C25988" w14:textId="0F2C33D0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Cuernavaca, Mor.</w:t>
            </w:r>
          </w:p>
        </w:tc>
        <w:tc>
          <w:tcPr>
            <w:tcW w:w="958" w:type="dxa"/>
            <w:vAlign w:val="bottom"/>
          </w:tcPr>
          <w:p w14:paraId="6BF1AFF0" w14:textId="163F7620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20.1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1F77BDB" w14:textId="674B483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E574929" w14:textId="57AE529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70626CEB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2FEB21B" w14:textId="1F8A97C5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Tapachula, Chis.</w:t>
            </w:r>
          </w:p>
        </w:tc>
        <w:tc>
          <w:tcPr>
            <w:tcW w:w="954" w:type="dxa"/>
            <w:vAlign w:val="bottom"/>
          </w:tcPr>
          <w:p w14:paraId="6003A108" w14:textId="7D65CD4F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7.4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64586FA" w14:textId="339EFE53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8.4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457DAD8" w14:textId="1C6099CE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97368E3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B8B8CD4" w14:textId="34E111A5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Tepic, Nay.</w:t>
            </w:r>
          </w:p>
        </w:tc>
        <w:tc>
          <w:tcPr>
            <w:tcW w:w="958" w:type="dxa"/>
            <w:vAlign w:val="bottom"/>
          </w:tcPr>
          <w:p w14:paraId="43A67BFB" w14:textId="671A9F0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15.0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64EF134A" w14:textId="31191F1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2C3E62F" w14:textId="6E7D9421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59B965C9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0AF95708" w14:textId="7E289E8C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Chihuahua, Chih.</w:t>
            </w:r>
          </w:p>
        </w:tc>
        <w:tc>
          <w:tcPr>
            <w:tcW w:w="954" w:type="dxa"/>
            <w:vAlign w:val="bottom"/>
          </w:tcPr>
          <w:p w14:paraId="1A8C7180" w14:textId="6BC3B0B2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8EAF9B1" w14:textId="3FC658A4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979CC01" w14:textId="2D8E42F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093E788" w14:textId="57F619FD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526037A" w14:textId="6EA81EFF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Monterrey, N.L.</w:t>
            </w:r>
          </w:p>
        </w:tc>
        <w:tc>
          <w:tcPr>
            <w:tcW w:w="958" w:type="dxa"/>
            <w:vAlign w:val="bottom"/>
          </w:tcPr>
          <w:p w14:paraId="7E604C90" w14:textId="752E4119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F662A12" w14:textId="12AFD00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D68D4D3" w14:textId="20B3D22C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51EC9BA8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3882C6A2" w14:textId="705C296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Ciudad Juárez, Chih.</w:t>
            </w:r>
          </w:p>
        </w:tc>
        <w:tc>
          <w:tcPr>
            <w:tcW w:w="954" w:type="dxa"/>
            <w:vAlign w:val="bottom"/>
          </w:tcPr>
          <w:p w14:paraId="0C0AFCF0" w14:textId="0E704EFC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34.1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1C962CA0" w14:textId="6BAAD28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31.2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83ABAC2" w14:textId="3B49DA15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01B8D01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BFD21C1" w14:textId="07B6C5C8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San Pedro Garza García, N.L.</w:t>
            </w:r>
          </w:p>
        </w:tc>
        <w:tc>
          <w:tcPr>
            <w:tcW w:w="958" w:type="dxa"/>
            <w:vAlign w:val="bottom"/>
          </w:tcPr>
          <w:p w14:paraId="09049A0C" w14:textId="457410E6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09662ED" w14:textId="28209E6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16.6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45DEA26" w14:textId="41052618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0D80E92A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7D1C4C93" w14:textId="1493A5F6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Gustavo A. Madero, CDMX</w:t>
            </w:r>
          </w:p>
        </w:tc>
        <w:tc>
          <w:tcPr>
            <w:tcW w:w="954" w:type="dxa"/>
            <w:vAlign w:val="bottom"/>
          </w:tcPr>
          <w:p w14:paraId="41B2ADB8" w14:textId="1CC1BC55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EBF51AB" w14:textId="1A033F2E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56.9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CAD078F" w14:textId="30D6C3D0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507A4EE" w14:textId="63BC4C20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14F3033" w14:textId="1A65D0F3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Apodaca, N.L. </w:t>
            </w:r>
          </w:p>
        </w:tc>
        <w:tc>
          <w:tcPr>
            <w:tcW w:w="958" w:type="dxa"/>
            <w:vAlign w:val="bottom"/>
          </w:tcPr>
          <w:p w14:paraId="05F90A65" w14:textId="5EA0EAD0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17.8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E106D87" w14:textId="349DED5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12.1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746ADA9" w14:textId="5A9E68D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D46E711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257DAFA6" w14:textId="08FFA71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Iztacalco, CDMX</w:t>
            </w:r>
          </w:p>
        </w:tc>
        <w:tc>
          <w:tcPr>
            <w:tcW w:w="954" w:type="dxa"/>
            <w:vAlign w:val="bottom"/>
          </w:tcPr>
          <w:p w14:paraId="61C84067" w14:textId="47ED558E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59.2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A5BAC19" w14:textId="21F5331E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56.5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9E61E84" w14:textId="3F9E33B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C2D62DA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436282D" w14:textId="6EB42ED3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Guadalupe, N.L.</w:t>
            </w:r>
          </w:p>
        </w:tc>
        <w:tc>
          <w:tcPr>
            <w:tcW w:w="958" w:type="dxa"/>
            <w:vAlign w:val="bottom"/>
          </w:tcPr>
          <w:p w14:paraId="3CB01E2A" w14:textId="5A14CC08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21.6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B82069A" w14:textId="51E16C2F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13.6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6441783" w14:textId="2E57D59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4922843D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741B2EEB" w14:textId="373CF29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Venustiano Carranza, CDMX</w:t>
            </w:r>
          </w:p>
        </w:tc>
        <w:tc>
          <w:tcPr>
            <w:tcW w:w="954" w:type="dxa"/>
            <w:vAlign w:val="bottom"/>
          </w:tcPr>
          <w:p w14:paraId="51E3F2F8" w14:textId="0465DD0B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31.3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0ECE8D7" w14:textId="1AC3183C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BAD444B" w14:textId="22B93F57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121AFF7" w14:textId="4E58CCB2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54684B7B" w14:textId="1DBC74A4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General Escobedo, N.L.</w:t>
            </w:r>
          </w:p>
        </w:tc>
        <w:tc>
          <w:tcPr>
            <w:tcW w:w="958" w:type="dxa"/>
            <w:vAlign w:val="bottom"/>
          </w:tcPr>
          <w:p w14:paraId="402482BA" w14:textId="075A02C7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16.9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3B7F9A1" w14:textId="01942DD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3F06A15" w14:textId="47CA75E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6E5B2A48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4C38057B" w14:textId="3A58FD97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Benito Juárez, CDMX</w:t>
            </w:r>
          </w:p>
        </w:tc>
        <w:tc>
          <w:tcPr>
            <w:tcW w:w="954" w:type="dxa"/>
            <w:vAlign w:val="bottom"/>
          </w:tcPr>
          <w:p w14:paraId="1C371A0D" w14:textId="7DC6584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8EF1A73" w14:textId="2464BE56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58.1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7D66A51" w14:textId="7622647C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7B99CA3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6BAF2AF" w14:textId="667F2E33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San Nicolás de los Garza, N.L.</w:t>
            </w:r>
          </w:p>
        </w:tc>
        <w:tc>
          <w:tcPr>
            <w:tcW w:w="958" w:type="dxa"/>
            <w:vAlign w:val="bottom"/>
          </w:tcPr>
          <w:p w14:paraId="4CFCD267" w14:textId="2FB54D6E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A20A76A" w14:textId="102B511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20.0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1C359DB" w14:textId="71B0E30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211B1FDB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3A71F295" w14:textId="4CCD380C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Coyoacán, CDMX</w:t>
            </w:r>
          </w:p>
        </w:tc>
        <w:tc>
          <w:tcPr>
            <w:tcW w:w="954" w:type="dxa"/>
            <w:vAlign w:val="bottom"/>
          </w:tcPr>
          <w:p w14:paraId="407423A8" w14:textId="324A6A4C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288C297" w14:textId="0CEEC45E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39.4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39DFD8A" w14:textId="1AEF919F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F145314" w14:textId="1AF766E1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9C3E5BB" w14:textId="4F3258AE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Santa Catarina, N.L.</w:t>
            </w:r>
          </w:p>
        </w:tc>
        <w:tc>
          <w:tcPr>
            <w:tcW w:w="958" w:type="dxa"/>
            <w:vAlign w:val="bottom"/>
          </w:tcPr>
          <w:p w14:paraId="2B510B01" w14:textId="438C169D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30.3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F1FF78F" w14:textId="3F4D6D1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15.8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8690CC0" w14:textId="2CD3818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0A82C67C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28A1E2EF" w14:textId="62DD5E93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La Magdalena Contreras, CDMX</w:t>
            </w:r>
          </w:p>
        </w:tc>
        <w:tc>
          <w:tcPr>
            <w:tcW w:w="954" w:type="dxa"/>
            <w:vAlign w:val="bottom"/>
          </w:tcPr>
          <w:p w14:paraId="658BC483" w14:textId="578182FC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54.8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DFEBFB0" w14:textId="4EF18896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47.7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10CA491" w14:textId="7A0B5F3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D124285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08E94E7" w14:textId="1FFC0A0A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Oaxaca,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Oax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8F31851" w14:textId="31C0BCF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30F8B052" w14:textId="736F618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910BE9" w14:textId="0A2CC139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217A14F2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5605388B" w14:textId="208E8104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Tlalpan, CDMX</w:t>
            </w:r>
          </w:p>
        </w:tc>
        <w:tc>
          <w:tcPr>
            <w:tcW w:w="954" w:type="dxa"/>
            <w:vAlign w:val="bottom"/>
          </w:tcPr>
          <w:p w14:paraId="215720DD" w14:textId="6CDA9C37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38.3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6947522" w14:textId="5945E507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60.1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85E71B2" w14:textId="0E1DE6AE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A3C730F" w14:textId="7C30925F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C16E589" w14:textId="4C9F3842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Puebla, Pue.</w:t>
            </w:r>
          </w:p>
        </w:tc>
        <w:tc>
          <w:tcPr>
            <w:tcW w:w="958" w:type="dxa"/>
            <w:vAlign w:val="bottom"/>
          </w:tcPr>
          <w:p w14:paraId="65707F80" w14:textId="4E22D841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7D83D53" w14:textId="096251D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DB55B3E" w14:textId="2E31E9B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345394C4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3823CF6" w14:textId="66F4CA3D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Iztapalapa, CDMX</w:t>
            </w:r>
          </w:p>
        </w:tc>
        <w:tc>
          <w:tcPr>
            <w:tcW w:w="954" w:type="dxa"/>
            <w:vAlign w:val="bottom"/>
          </w:tcPr>
          <w:p w14:paraId="16699A49" w14:textId="7B9CAB76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70.2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C50B217" w14:textId="4F79256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41.6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ECD18CF" w14:textId="20BACA68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D3DB229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52E8BD90" w14:textId="7A1730F4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Querétaro,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Qro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5BD2204" w14:textId="1E679BEE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38.5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3CED217" w14:textId="2E18852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30.7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05E7FA4" w14:textId="5E4DDDF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1B9054D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057EE30C" w14:textId="4E2E3724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Milpa Alta, CDMX </w:t>
            </w:r>
          </w:p>
        </w:tc>
        <w:tc>
          <w:tcPr>
            <w:tcW w:w="954" w:type="dxa"/>
            <w:vAlign w:val="bottom"/>
          </w:tcPr>
          <w:p w14:paraId="6FD8ED8B" w14:textId="30223B75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01DD173" w14:textId="0C333940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44.3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2F90E9B" w14:textId="2C5F61B2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7B22473" w14:textId="720BF524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82D4F4E" w14:textId="57111E01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Cancún, Q. Roo</w:t>
            </w:r>
          </w:p>
        </w:tc>
        <w:tc>
          <w:tcPr>
            <w:tcW w:w="958" w:type="dxa"/>
            <w:vAlign w:val="bottom"/>
          </w:tcPr>
          <w:p w14:paraId="3D484305" w14:textId="400AB78D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33.4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83FEEEF" w14:textId="3D50686C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33.0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7BE11AD" w14:textId="5DAA8E4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69A4A4C4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320CFA38" w14:textId="4171B792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Tláhuac, CDMX</w:t>
            </w:r>
          </w:p>
        </w:tc>
        <w:tc>
          <w:tcPr>
            <w:tcW w:w="954" w:type="dxa"/>
            <w:vAlign w:val="bottom"/>
          </w:tcPr>
          <w:p w14:paraId="36E8065F" w14:textId="7DEE48DB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E4934B0" w14:textId="4958D381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50.7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9773D65" w14:textId="528A9F13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E7B3677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67E546D9" w14:textId="0A40DA2F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Chetumal, Q. Roo</w:t>
            </w:r>
          </w:p>
        </w:tc>
        <w:tc>
          <w:tcPr>
            <w:tcW w:w="958" w:type="dxa"/>
            <w:vAlign w:val="bottom"/>
          </w:tcPr>
          <w:p w14:paraId="61DBE7F1" w14:textId="737BE199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20.7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C5E0515" w14:textId="4C483875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31.2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DF5CC1F" w14:textId="75261A5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74CFCA23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6C51D56F" w14:textId="731F54D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Xochimilco, CDMX</w:t>
            </w:r>
          </w:p>
        </w:tc>
        <w:tc>
          <w:tcPr>
            <w:tcW w:w="954" w:type="dxa"/>
            <w:vAlign w:val="bottom"/>
          </w:tcPr>
          <w:p w14:paraId="1A75E230" w14:textId="6A93EB3A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25.6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772FD6A" w14:textId="5FE455FE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170AB44" w14:textId="5356C91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6A672EC9" w14:textId="41E22B5F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37AC21E" w14:textId="3FE48DC2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San Luis Potosí, S.L.P.</w:t>
            </w:r>
          </w:p>
        </w:tc>
        <w:tc>
          <w:tcPr>
            <w:tcW w:w="958" w:type="dxa"/>
            <w:vAlign w:val="bottom"/>
          </w:tcPr>
          <w:p w14:paraId="6775BE5B" w14:textId="4D3D76B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32.3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B149183" w14:textId="782C864F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1F0A02" w14:textId="55301702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412E48D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28A91A1" w14:textId="715871AE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Álvaro Obregón, CDMX</w:t>
            </w:r>
          </w:p>
        </w:tc>
        <w:tc>
          <w:tcPr>
            <w:tcW w:w="954" w:type="dxa"/>
            <w:vAlign w:val="bottom"/>
          </w:tcPr>
          <w:p w14:paraId="7901C37F" w14:textId="5A24608A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18.4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3B5E28F" w14:textId="30E5381F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21.2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3C178DF" w14:textId="70462A3A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046AC39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2249DCCD" w14:textId="7118DBA0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Culiacán, Sin.</w:t>
            </w:r>
          </w:p>
        </w:tc>
        <w:tc>
          <w:tcPr>
            <w:tcW w:w="958" w:type="dxa"/>
            <w:vAlign w:val="bottom"/>
          </w:tcPr>
          <w:p w14:paraId="06A87300" w14:textId="7C5EF54C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11.8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7508844" w14:textId="1B8B8F85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15.4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7885432" w14:textId="2A42883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4105FDB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63D6954A" w14:textId="4121D31B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Azcapotzalco, CDMX</w:t>
            </w:r>
          </w:p>
        </w:tc>
        <w:tc>
          <w:tcPr>
            <w:tcW w:w="954" w:type="dxa"/>
            <w:vAlign w:val="bottom"/>
          </w:tcPr>
          <w:p w14:paraId="3A2A2E32" w14:textId="7A12BFB1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38.7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F3B06BB" w14:textId="0568BF11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33.0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67E3A95" w14:textId="497E4480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39A2958" w14:textId="621B668E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4C30C5D2" w14:textId="67E32499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Mazatlán, Sin.</w:t>
            </w:r>
          </w:p>
        </w:tc>
        <w:tc>
          <w:tcPr>
            <w:tcW w:w="958" w:type="dxa"/>
            <w:vAlign w:val="bottom"/>
          </w:tcPr>
          <w:p w14:paraId="0621F39E" w14:textId="67EA54E0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F8B9E35" w14:textId="24EA5F1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A413EBC" w14:textId="3D42077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1091F2FC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033A18D3" w14:textId="686FAE3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Cuajimalpa de Morelos, CDMX</w:t>
            </w:r>
          </w:p>
        </w:tc>
        <w:tc>
          <w:tcPr>
            <w:tcW w:w="954" w:type="dxa"/>
            <w:vAlign w:val="bottom"/>
          </w:tcPr>
          <w:p w14:paraId="66D6F5F8" w14:textId="396A87C6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53.8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FA72873" w14:textId="39037145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53.5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AC7B033" w14:textId="004A258E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9BF67FF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F0588D0" w14:textId="1120B6CC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Los Mochis, Sin.</w:t>
            </w:r>
          </w:p>
        </w:tc>
        <w:tc>
          <w:tcPr>
            <w:tcW w:w="958" w:type="dxa"/>
            <w:vAlign w:val="bottom"/>
          </w:tcPr>
          <w:p w14:paraId="225E71F9" w14:textId="475D37BA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C473234" w14:textId="678D8D4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25DB913" w14:textId="0407C0C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3F032AFA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4A23625F" w14:textId="465C3BF0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Cuauhtémoc, CDMX</w:t>
            </w:r>
          </w:p>
        </w:tc>
        <w:tc>
          <w:tcPr>
            <w:tcW w:w="954" w:type="dxa"/>
            <w:vAlign w:val="bottom"/>
          </w:tcPr>
          <w:p w14:paraId="4A81B286" w14:textId="152B0555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58.2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CAA9A9D" w14:textId="55D7B895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32.3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7FA745D" w14:textId="24C9FFA2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E4F1364" w14:textId="3C5D7036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AA7A39F" w14:textId="7C3CB1D0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Hermosillo, Son.</w:t>
            </w:r>
          </w:p>
        </w:tc>
        <w:tc>
          <w:tcPr>
            <w:tcW w:w="958" w:type="dxa"/>
            <w:vAlign w:val="bottom"/>
          </w:tcPr>
          <w:p w14:paraId="5C3CB864" w14:textId="72984130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49.8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207AC5EC" w14:textId="4FB3EDA2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50.7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107B04D" w14:textId="3A7F0BFF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6D8B249D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77948AB7" w14:textId="7C9787C2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Miguel Hidalgo, CDMX</w:t>
            </w:r>
          </w:p>
        </w:tc>
        <w:tc>
          <w:tcPr>
            <w:tcW w:w="954" w:type="dxa"/>
            <w:vAlign w:val="bottom"/>
          </w:tcPr>
          <w:p w14:paraId="189A7CC7" w14:textId="2409FF2A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39.7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9B1A027" w14:textId="30DC9B19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E59EB69" w14:textId="47F8F412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4AA8DCB5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4B27E31F" w14:textId="178F7D26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Nogales, Son.</w:t>
            </w:r>
          </w:p>
        </w:tc>
        <w:tc>
          <w:tcPr>
            <w:tcW w:w="958" w:type="dxa"/>
            <w:vAlign w:val="bottom"/>
          </w:tcPr>
          <w:p w14:paraId="5440EE28" w14:textId="5E7CC8E7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45.1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9FD62D3" w14:textId="120600DF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55.4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8C520E0" w14:textId="6929E62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44C654A6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0E0882D0" w14:textId="4DA1D05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Durango,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Dgo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778F2F10" w14:textId="45F01D5F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34.5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B0D8048" w14:textId="4B86CCF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34.6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FFF3394" w14:textId="702E4F40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C6AA468" w14:textId="7F9D763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02321C5A" w14:textId="15E46711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Ciudad Obregón, Son.</w:t>
            </w:r>
          </w:p>
        </w:tc>
        <w:tc>
          <w:tcPr>
            <w:tcW w:w="958" w:type="dxa"/>
            <w:vAlign w:val="bottom"/>
          </w:tcPr>
          <w:p w14:paraId="577651C1" w14:textId="5FD09327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12B47A2" w14:textId="1E17D62C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467FFA0" w14:textId="360E167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4F2D50FB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07AA2EA3" w14:textId="43D5A4B6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León,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26CBDDE3" w14:textId="47728131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35.5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60C098E" w14:textId="51ABFDD6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6D7805A" w14:textId="02F260C1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5463C899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3136F80" w14:textId="04FBB8B6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Villahermosa,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Tab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6BA933C6" w14:textId="6EFDF2B1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28.6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5342E8F" w14:textId="03420FA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DEB1910" w14:textId="110F92C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0E97F1C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188882AE" w14:textId="15708E86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Guanajuato,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480A0A5A" w14:textId="37F18763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22.6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43C00ED" w14:textId="0717BBC9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25.2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CFC62F5" w14:textId="72DB1C2A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96D2933" w14:textId="2328C4ED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3BD234FD" w14:textId="18B99C33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Tampico,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0A478EE0" w14:textId="4DDE1B39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13.2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640ED5B" w14:textId="6133D1F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18.3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3DEAEED" w14:textId="7A4E5FC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4EB02C55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18BE13D1" w14:textId="0594A092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Irapuato,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Gto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4F0AE6B5" w14:textId="143220DC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25.8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041926B" w14:textId="02F00D1D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13.0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E9B012B" w14:textId="32AF7A8D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B88907C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011BB1ED" w14:textId="5DFE4D74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Reynosa,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1E859283" w14:textId="70BE0F7E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26.8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5527506" w14:textId="33D981D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7602675" w14:textId="420E8AD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79E1A6DC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57A1A885" w14:textId="318C625E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Acapulco, Gro.</w:t>
            </w:r>
          </w:p>
        </w:tc>
        <w:tc>
          <w:tcPr>
            <w:tcW w:w="954" w:type="dxa"/>
            <w:vAlign w:val="bottom"/>
          </w:tcPr>
          <w:p w14:paraId="6FCAE8E1" w14:textId="1A53BFC1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21.2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654F586" w14:textId="26EDF48C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25.1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45C0434" w14:textId="43DCD3FA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919EF4C" w14:textId="33530A99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62FDF71F" w14:textId="58211B8F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Nuevo Laredo,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3FE4929" w14:textId="575ABAEE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D498F20" w14:textId="0887C682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30.5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A04814F" w14:textId="66F9311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5B683AB1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0CB4D17" w14:textId="5FDFD47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Chilpancingo, Gro.</w:t>
            </w:r>
          </w:p>
        </w:tc>
        <w:tc>
          <w:tcPr>
            <w:tcW w:w="954" w:type="dxa"/>
            <w:vAlign w:val="bottom"/>
          </w:tcPr>
          <w:p w14:paraId="72595F44" w14:textId="154DC8CF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69A8B3D4" w14:textId="57576FE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45.0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807BD3C" w14:textId="7D8DADE3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2BF36BE2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47E82B6" w14:textId="37470998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Ciudad Victoria,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Tamps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74695023" w14:textId="4E99D2E8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07344E9F" w14:textId="041182E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26.0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CB8DFA2" w14:textId="73F5D81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44BBA9C2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48A0876B" w14:textId="7C42A4AD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Ixtapa-Zihuatanejo, Gro.</w:t>
            </w:r>
          </w:p>
        </w:tc>
        <w:tc>
          <w:tcPr>
            <w:tcW w:w="954" w:type="dxa"/>
            <w:vAlign w:val="bottom"/>
          </w:tcPr>
          <w:p w14:paraId="5177FC05" w14:textId="5E070A0F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27.8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030C3818" w14:textId="2A43EB45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35.3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06D08FE5" w14:textId="0B4F7750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0A2CE6E4" w14:textId="71F7849F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77A260C1" w14:textId="21A9A340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Tlaxcala,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Tlax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2B66B5F1" w14:textId="0DD8FF4D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19.4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1E5EABCE" w14:textId="6094CDD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30.6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0F1BBBA" w14:textId="4A4D853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487AF7F0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E6C537C" w14:textId="02456AC1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Pachuca,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Hgo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4" w:type="dxa"/>
            <w:vAlign w:val="bottom"/>
          </w:tcPr>
          <w:p w14:paraId="4CCBBE59" w14:textId="44D50D13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23.0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F523160" w14:textId="4A8E47B3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39.4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F3D0FEF" w14:textId="68BC1744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499186A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304A9D7C" w14:textId="24FD999C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Veracruz, Ver.</w:t>
            </w:r>
          </w:p>
        </w:tc>
        <w:tc>
          <w:tcPr>
            <w:tcW w:w="958" w:type="dxa"/>
            <w:vAlign w:val="bottom"/>
          </w:tcPr>
          <w:p w14:paraId="39886501" w14:textId="4322EFD5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12.7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097B1BA" w14:textId="711B722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36.5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68A08A9" w14:textId="596CEE47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1312A374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30868309" w14:textId="27CB0DBC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Guadalajara, Jal.</w:t>
            </w:r>
          </w:p>
        </w:tc>
        <w:tc>
          <w:tcPr>
            <w:tcW w:w="954" w:type="dxa"/>
            <w:vAlign w:val="bottom"/>
          </w:tcPr>
          <w:p w14:paraId="335DC9BC" w14:textId="67C42BD4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55.1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3011067E" w14:textId="7D4818F5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57.6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832D768" w14:textId="5C8A1709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17E7D21" w14:textId="4F5DB7E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C935EB7" w14:textId="12EC9531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Coatzacoalcos, Ver.</w:t>
            </w:r>
          </w:p>
        </w:tc>
        <w:tc>
          <w:tcPr>
            <w:tcW w:w="958" w:type="dxa"/>
            <w:vAlign w:val="bottom"/>
          </w:tcPr>
          <w:p w14:paraId="5CA5528B" w14:textId="1D3C0087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32.0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D5C83F3" w14:textId="190B9B8D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37.8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13ED8DE" w14:textId="5FF3537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0DA7A88A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4D1554B5" w14:textId="7F1A1506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Tonalá, Jal.</w:t>
            </w:r>
          </w:p>
        </w:tc>
        <w:tc>
          <w:tcPr>
            <w:tcW w:w="954" w:type="dxa"/>
            <w:vAlign w:val="bottom"/>
          </w:tcPr>
          <w:p w14:paraId="465F8D1A" w14:textId="37250DE7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61.7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5AB5071E" w14:textId="5DA617F8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58.6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DDF0095" w14:textId="3C77F739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1F26498B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1AE02540" w14:textId="73A42B85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Xalapa, Ver.</w:t>
            </w:r>
          </w:p>
        </w:tc>
        <w:tc>
          <w:tcPr>
            <w:tcW w:w="958" w:type="dxa"/>
            <w:vAlign w:val="bottom"/>
          </w:tcPr>
          <w:p w14:paraId="2401D43B" w14:textId="6C18EF9E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35.3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753795F3" w14:textId="00F4F3AA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48.9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70808628" w14:textId="060BA29B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position w:val="-2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</w:tr>
      <w:tr w:rsidR="00A8022B" w:rsidRPr="00A8022B" w14:paraId="03924E0A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6E0868F0" w14:textId="7F4D8542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Tlajomulco de Zúñiga, Jal.</w:t>
            </w:r>
          </w:p>
        </w:tc>
        <w:tc>
          <w:tcPr>
            <w:tcW w:w="954" w:type="dxa"/>
            <w:vAlign w:val="bottom"/>
          </w:tcPr>
          <w:p w14:paraId="53AEB918" w14:textId="41EEFB99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51.2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70FFBBF0" w14:textId="3D5698E7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55.7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1DD9C772" w14:textId="03DD72F5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46C53190" w14:textId="6652DECB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2640" w:type="dxa"/>
            <w:vAlign w:val="bottom"/>
          </w:tcPr>
          <w:p w14:paraId="160B304A" w14:textId="0F2EF2BA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 xml:space="preserve">Mérida, </w:t>
            </w:r>
            <w:proofErr w:type="spellStart"/>
            <w:r w:rsidRPr="00A8022B">
              <w:rPr>
                <w:color w:val="auto"/>
                <w:sz w:val="16"/>
                <w:szCs w:val="16"/>
              </w:rPr>
              <w:t>Yuc</w:t>
            </w:r>
            <w:proofErr w:type="spellEnd"/>
            <w:r w:rsidRPr="00A8022B">
              <w:rPr>
                <w:color w:val="auto"/>
                <w:sz w:val="16"/>
                <w:szCs w:val="16"/>
              </w:rPr>
              <w:t>.</w:t>
            </w:r>
          </w:p>
        </w:tc>
        <w:tc>
          <w:tcPr>
            <w:tcW w:w="958" w:type="dxa"/>
            <w:vAlign w:val="bottom"/>
          </w:tcPr>
          <w:p w14:paraId="46484B98" w14:textId="1F553BDB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24.0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E88CF59" w14:textId="49709C30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22.7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41876DF6" w14:textId="1DF6752E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2CF46D33" w14:textId="77777777" w:rsidTr="00CF7D57">
        <w:trPr>
          <w:trHeight w:hRule="exact" w:val="198"/>
        </w:trPr>
        <w:tc>
          <w:tcPr>
            <w:tcW w:w="2639" w:type="dxa"/>
            <w:vAlign w:val="bottom"/>
          </w:tcPr>
          <w:p w14:paraId="665D53BC" w14:textId="217F7129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San Pedro Tlaquepaque, Jal.</w:t>
            </w:r>
          </w:p>
        </w:tc>
        <w:tc>
          <w:tcPr>
            <w:tcW w:w="954" w:type="dxa"/>
            <w:vAlign w:val="bottom"/>
          </w:tcPr>
          <w:p w14:paraId="25623561" w14:textId="704C5600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44.2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43A69B29" w14:textId="0A8F2CDB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43.6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699B5453" w14:textId="0EE4A051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06FEEB98" w14:textId="77777777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</w:p>
        </w:tc>
        <w:tc>
          <w:tcPr>
            <w:tcW w:w="2640" w:type="dxa"/>
            <w:vAlign w:val="bottom"/>
          </w:tcPr>
          <w:p w14:paraId="7CA0C7DC" w14:textId="7C9844BC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Zacatecas, Zac.</w:t>
            </w:r>
          </w:p>
        </w:tc>
        <w:tc>
          <w:tcPr>
            <w:tcW w:w="958" w:type="dxa"/>
            <w:vAlign w:val="bottom"/>
          </w:tcPr>
          <w:p w14:paraId="3F20321E" w14:textId="10A051C4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20.0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512F71A7" w14:textId="1196FE93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25.8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2427FBD2" w14:textId="6AF6F856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  <w:tr w:rsidR="00A8022B" w:rsidRPr="00A8022B" w14:paraId="1843231F" w14:textId="77777777" w:rsidTr="00CF7D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8"/>
        </w:trPr>
        <w:tc>
          <w:tcPr>
            <w:tcW w:w="2639" w:type="dxa"/>
            <w:vAlign w:val="bottom"/>
          </w:tcPr>
          <w:p w14:paraId="20B960CF" w14:textId="231E62D6" w:rsidR="00663B2F" w:rsidRPr="00A8022B" w:rsidRDefault="00663B2F" w:rsidP="00663B2F">
            <w:pPr>
              <w:autoSpaceDE w:val="0"/>
              <w:autoSpaceDN w:val="0"/>
              <w:adjustRightInd w:val="0"/>
              <w:ind w:right="-102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Zapopan, Jal.</w:t>
            </w:r>
          </w:p>
        </w:tc>
        <w:tc>
          <w:tcPr>
            <w:tcW w:w="954" w:type="dxa"/>
            <w:vAlign w:val="bottom"/>
          </w:tcPr>
          <w:p w14:paraId="02C3B899" w14:textId="42CDEAD9" w:rsidR="00663B2F" w:rsidRPr="00A8022B" w:rsidRDefault="00663B2F" w:rsidP="00663B2F">
            <w:pPr>
              <w:tabs>
                <w:tab w:val="decimal" w:pos="395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52.2</w:t>
            </w:r>
          </w:p>
        </w:tc>
        <w:tc>
          <w:tcPr>
            <w:tcW w:w="815" w:type="dxa"/>
            <w:tcBorders>
              <w:right w:val="nil"/>
            </w:tcBorders>
            <w:vAlign w:val="bottom"/>
          </w:tcPr>
          <w:p w14:paraId="298D7F6E" w14:textId="43F0B015" w:rsidR="00663B2F" w:rsidRPr="00A8022B" w:rsidRDefault="00663B2F" w:rsidP="00663B2F">
            <w:pPr>
              <w:tabs>
                <w:tab w:val="decimal" w:pos="464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36.1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345E5B22" w14:textId="28E96952" w:rsidR="00663B2F" w:rsidRPr="00A8022B" w:rsidRDefault="00663B2F" w:rsidP="00663B2F">
            <w:pPr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>*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auto"/>
            <w:vAlign w:val="bottom"/>
          </w:tcPr>
          <w:p w14:paraId="22DAEC5D" w14:textId="746CBABF" w:rsidR="00663B2F" w:rsidRPr="00A8022B" w:rsidRDefault="00663B2F" w:rsidP="00663B2F">
            <w:pPr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  <w:tc>
          <w:tcPr>
            <w:tcW w:w="2640" w:type="dxa"/>
            <w:vAlign w:val="bottom"/>
          </w:tcPr>
          <w:p w14:paraId="43AA6A6D" w14:textId="1BE27BBA" w:rsidR="00663B2F" w:rsidRPr="00A8022B" w:rsidRDefault="00663B2F" w:rsidP="00663B2F">
            <w:pPr>
              <w:autoSpaceDE w:val="0"/>
              <w:autoSpaceDN w:val="0"/>
              <w:adjustRightInd w:val="0"/>
              <w:ind w:right="-11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Fresnillo, Zac.</w:t>
            </w:r>
          </w:p>
        </w:tc>
        <w:tc>
          <w:tcPr>
            <w:tcW w:w="958" w:type="dxa"/>
            <w:vAlign w:val="bottom"/>
          </w:tcPr>
          <w:p w14:paraId="7BC1ABBD" w14:textId="5CF1FB86" w:rsidR="00663B2F" w:rsidRPr="00A8022B" w:rsidRDefault="00663B2F" w:rsidP="00663B2F">
            <w:pPr>
              <w:tabs>
                <w:tab w:val="decimal" w:pos="383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31.6</w:t>
            </w:r>
          </w:p>
        </w:tc>
        <w:tc>
          <w:tcPr>
            <w:tcW w:w="812" w:type="dxa"/>
            <w:tcBorders>
              <w:right w:val="nil"/>
            </w:tcBorders>
            <w:vAlign w:val="bottom"/>
          </w:tcPr>
          <w:p w14:paraId="4FE67130" w14:textId="3E14705C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ind w:right="50"/>
              <w:rPr>
                <w:color w:val="auto"/>
                <w:sz w:val="16"/>
                <w:szCs w:val="16"/>
              </w:rPr>
            </w:pPr>
            <w:r w:rsidRPr="00A8022B">
              <w:rPr>
                <w:color w:val="auto"/>
                <w:sz w:val="16"/>
                <w:szCs w:val="16"/>
              </w:rPr>
              <w:t>29.7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14:paraId="56911E45" w14:textId="4D55DBA4" w:rsidR="00663B2F" w:rsidRPr="00A8022B" w:rsidRDefault="00663B2F" w:rsidP="00663B2F">
            <w:pPr>
              <w:tabs>
                <w:tab w:val="decimal" w:pos="502"/>
              </w:tabs>
              <w:autoSpaceDE w:val="0"/>
              <w:autoSpaceDN w:val="0"/>
              <w:adjustRightInd w:val="0"/>
              <w:rPr>
                <w:color w:val="auto"/>
                <w:sz w:val="16"/>
                <w:szCs w:val="16"/>
              </w:rPr>
            </w:pPr>
            <w:r w:rsidRPr="00A8022B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63B7A3F8" w14:textId="6293DFB6" w:rsidR="008D758F" w:rsidRPr="001648B2" w:rsidRDefault="008D758F" w:rsidP="001648B2">
      <w:pPr>
        <w:autoSpaceDE w:val="0"/>
        <w:autoSpaceDN w:val="0"/>
        <w:adjustRightInd w:val="0"/>
        <w:ind w:left="742" w:right="-85" w:hanging="600"/>
        <w:jc w:val="both"/>
        <w:rPr>
          <w:sz w:val="16"/>
          <w:szCs w:val="16"/>
          <w:lang w:val="es-ES"/>
        </w:rPr>
      </w:pPr>
      <w:bookmarkStart w:id="12" w:name="_Hlk86838966"/>
      <w:bookmarkEnd w:id="11"/>
      <w:r w:rsidRPr="001648B2">
        <w:rPr>
          <w:sz w:val="16"/>
          <w:szCs w:val="16"/>
          <w:lang w:val="es-ES"/>
        </w:rPr>
        <w:t>Nota:</w:t>
      </w:r>
      <w:r w:rsidR="000E4CD2" w:rsidRPr="001648B2">
        <w:rPr>
          <w:b/>
          <w:sz w:val="16"/>
          <w:szCs w:val="16"/>
          <w:lang w:val="es-ES"/>
        </w:rPr>
        <w:tab/>
      </w:r>
      <w:r w:rsidRPr="001648B2">
        <w:rPr>
          <w:sz w:val="16"/>
          <w:szCs w:val="16"/>
          <w:lang w:val="es-ES"/>
        </w:rPr>
        <w:t>Porcentaje de la población de 18 años y más residente en las ciudades de interés. Excluye la opción de respuesta “No sabe o no responde”.</w:t>
      </w:r>
    </w:p>
    <w:p w14:paraId="171A3AF0" w14:textId="34E72E2C" w:rsidR="008D758F" w:rsidRPr="001648B2" w:rsidRDefault="008D758F" w:rsidP="001648B2">
      <w:pPr>
        <w:autoSpaceDE w:val="0"/>
        <w:autoSpaceDN w:val="0"/>
        <w:adjustRightInd w:val="0"/>
        <w:ind w:left="742" w:right="-85" w:hanging="600"/>
        <w:jc w:val="both"/>
        <w:rPr>
          <w:color w:val="000000"/>
          <w:sz w:val="16"/>
          <w:szCs w:val="16"/>
        </w:rPr>
      </w:pPr>
      <w:r w:rsidRPr="001648B2">
        <w:rPr>
          <w:color w:val="000000"/>
          <w:sz w:val="18"/>
          <w:szCs w:val="16"/>
          <w:vertAlign w:val="superscript"/>
        </w:rPr>
        <w:t>1</w:t>
      </w:r>
      <w:r w:rsidR="000E4CD2" w:rsidRPr="001648B2">
        <w:rPr>
          <w:color w:val="000000"/>
          <w:sz w:val="16"/>
          <w:szCs w:val="16"/>
          <w:vertAlign w:val="superscript"/>
        </w:rPr>
        <w:tab/>
      </w:r>
      <w:r w:rsidRPr="001648B2">
        <w:rPr>
          <w:color w:val="000000"/>
          <w:sz w:val="16"/>
          <w:szCs w:val="16"/>
        </w:rPr>
        <w:t>Incluye las localidades urbanas de San José del Cabo y Cabo San Lucas.</w:t>
      </w:r>
    </w:p>
    <w:p w14:paraId="6453B47F" w14:textId="6A698F8A" w:rsidR="008D758F" w:rsidRPr="001648B2" w:rsidRDefault="008D758F" w:rsidP="001648B2">
      <w:pPr>
        <w:autoSpaceDE w:val="0"/>
        <w:autoSpaceDN w:val="0"/>
        <w:adjustRightInd w:val="0"/>
        <w:ind w:left="742" w:right="-85" w:hanging="600"/>
        <w:jc w:val="both"/>
        <w:rPr>
          <w:color w:val="000000"/>
          <w:sz w:val="16"/>
          <w:szCs w:val="16"/>
        </w:rPr>
      </w:pPr>
      <w:r w:rsidRPr="001648B2">
        <w:rPr>
          <w:color w:val="000000"/>
          <w:sz w:val="18"/>
          <w:szCs w:val="16"/>
          <w:vertAlign w:val="superscript"/>
        </w:rPr>
        <w:t>2</w:t>
      </w:r>
      <w:r w:rsidR="000E4CD2"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z w:val="16"/>
          <w:szCs w:val="16"/>
        </w:rPr>
        <w:t xml:space="preserve">Incluye los municipios de Matamoros, </w:t>
      </w:r>
      <w:proofErr w:type="spellStart"/>
      <w:r w:rsidRPr="001648B2">
        <w:rPr>
          <w:color w:val="000000"/>
          <w:sz w:val="16"/>
          <w:szCs w:val="16"/>
        </w:rPr>
        <w:t>C</w:t>
      </w:r>
      <w:r w:rsidR="00AD5E16" w:rsidRPr="001648B2">
        <w:rPr>
          <w:color w:val="000000"/>
          <w:sz w:val="16"/>
          <w:szCs w:val="16"/>
        </w:rPr>
        <w:t>oah</w:t>
      </w:r>
      <w:proofErr w:type="spellEnd"/>
      <w:r w:rsidR="00DA7963" w:rsidRPr="001648B2">
        <w:rPr>
          <w:color w:val="000000"/>
          <w:sz w:val="16"/>
          <w:szCs w:val="16"/>
        </w:rPr>
        <w:t>;</w:t>
      </w:r>
      <w:r w:rsidRPr="001648B2">
        <w:rPr>
          <w:color w:val="000000"/>
          <w:sz w:val="16"/>
          <w:szCs w:val="16"/>
        </w:rPr>
        <w:t xml:space="preserve"> Torreón, </w:t>
      </w:r>
      <w:proofErr w:type="spellStart"/>
      <w:r w:rsidRPr="001648B2">
        <w:rPr>
          <w:color w:val="000000"/>
          <w:sz w:val="16"/>
          <w:szCs w:val="16"/>
        </w:rPr>
        <w:t>C</w:t>
      </w:r>
      <w:r w:rsidR="00AD5E16" w:rsidRPr="001648B2">
        <w:rPr>
          <w:color w:val="000000"/>
          <w:sz w:val="16"/>
          <w:szCs w:val="16"/>
        </w:rPr>
        <w:t>oah</w:t>
      </w:r>
      <w:proofErr w:type="spellEnd"/>
      <w:r w:rsidRPr="001648B2">
        <w:rPr>
          <w:color w:val="000000"/>
          <w:sz w:val="16"/>
          <w:szCs w:val="16"/>
        </w:rPr>
        <w:t xml:space="preserve">; Gómez Palacio, </w:t>
      </w:r>
      <w:proofErr w:type="spellStart"/>
      <w:r w:rsidRPr="001648B2">
        <w:rPr>
          <w:color w:val="000000"/>
          <w:sz w:val="16"/>
          <w:szCs w:val="16"/>
        </w:rPr>
        <w:t>D</w:t>
      </w:r>
      <w:r w:rsidR="00DA7963" w:rsidRPr="001648B2">
        <w:rPr>
          <w:color w:val="000000"/>
          <w:sz w:val="16"/>
          <w:szCs w:val="16"/>
        </w:rPr>
        <w:t>go</w:t>
      </w:r>
      <w:proofErr w:type="spellEnd"/>
      <w:r w:rsidRPr="001648B2">
        <w:rPr>
          <w:color w:val="000000"/>
          <w:sz w:val="16"/>
          <w:szCs w:val="16"/>
        </w:rPr>
        <w:t xml:space="preserve">; y Lerdo, </w:t>
      </w:r>
      <w:proofErr w:type="spellStart"/>
      <w:r w:rsidRPr="001648B2">
        <w:rPr>
          <w:color w:val="000000"/>
          <w:sz w:val="16"/>
          <w:szCs w:val="16"/>
        </w:rPr>
        <w:t>D</w:t>
      </w:r>
      <w:r w:rsidR="00DA7963" w:rsidRPr="001648B2">
        <w:rPr>
          <w:color w:val="000000"/>
          <w:sz w:val="16"/>
          <w:szCs w:val="16"/>
        </w:rPr>
        <w:t>go</w:t>
      </w:r>
      <w:proofErr w:type="spellEnd"/>
      <w:r w:rsidRPr="001648B2">
        <w:rPr>
          <w:color w:val="000000"/>
          <w:sz w:val="16"/>
          <w:szCs w:val="16"/>
        </w:rPr>
        <w:t>.</w:t>
      </w:r>
    </w:p>
    <w:p w14:paraId="0EB81A45" w14:textId="29B67671" w:rsidR="008D758F" w:rsidRPr="001648B2" w:rsidRDefault="008D758F" w:rsidP="001648B2">
      <w:pPr>
        <w:autoSpaceDE w:val="0"/>
        <w:autoSpaceDN w:val="0"/>
        <w:adjustRightInd w:val="0"/>
        <w:ind w:left="742" w:right="-85" w:hanging="600"/>
        <w:jc w:val="both"/>
        <w:rPr>
          <w:color w:val="000000"/>
          <w:sz w:val="16"/>
          <w:szCs w:val="16"/>
        </w:rPr>
      </w:pPr>
      <w:r w:rsidRPr="001648B2">
        <w:rPr>
          <w:color w:val="000000"/>
          <w:sz w:val="18"/>
          <w:szCs w:val="16"/>
        </w:rPr>
        <w:t>*</w:t>
      </w:r>
      <w:r w:rsidR="000E4CD2"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z w:val="16"/>
          <w:szCs w:val="16"/>
        </w:rPr>
        <w:t xml:space="preserve">En estos casos sí existió un cambio estadísticamente significativo respecto al </w:t>
      </w:r>
      <w:r w:rsidR="00C91534">
        <w:rPr>
          <w:color w:val="000000"/>
          <w:sz w:val="16"/>
          <w:szCs w:val="16"/>
        </w:rPr>
        <w:t>I</w:t>
      </w:r>
      <w:r w:rsidR="000A2704">
        <w:rPr>
          <w:color w:val="000000"/>
          <w:sz w:val="16"/>
          <w:szCs w:val="16"/>
        </w:rPr>
        <w:t>V</w:t>
      </w:r>
      <w:r w:rsidR="004057F7">
        <w:rPr>
          <w:color w:val="000000"/>
          <w:sz w:val="16"/>
          <w:szCs w:val="16"/>
        </w:rPr>
        <w:t> </w:t>
      </w:r>
      <w:r w:rsidR="00C91534">
        <w:rPr>
          <w:color w:val="000000"/>
          <w:sz w:val="16"/>
          <w:szCs w:val="16"/>
        </w:rPr>
        <w:t>T</w:t>
      </w:r>
      <w:r w:rsidR="004057F7">
        <w:rPr>
          <w:color w:val="000000"/>
          <w:sz w:val="16"/>
          <w:szCs w:val="16"/>
        </w:rPr>
        <w:t> </w:t>
      </w:r>
      <w:r w:rsidRPr="001648B2">
        <w:rPr>
          <w:color w:val="000000"/>
          <w:sz w:val="16"/>
          <w:szCs w:val="16"/>
        </w:rPr>
        <w:t>2021.</w:t>
      </w:r>
    </w:p>
    <w:p w14:paraId="47D494D2" w14:textId="4CA44D6D" w:rsidR="008D758F" w:rsidRPr="001648B2" w:rsidRDefault="008D758F" w:rsidP="001648B2">
      <w:pPr>
        <w:autoSpaceDE w:val="0"/>
        <w:autoSpaceDN w:val="0"/>
        <w:adjustRightInd w:val="0"/>
        <w:ind w:left="742" w:right="-85" w:hanging="600"/>
        <w:jc w:val="both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6"/>
        </w:rPr>
        <w:t>Fuente:</w:t>
      </w:r>
      <w:r w:rsidR="000E4CD2"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z w:val="16"/>
          <w:szCs w:val="16"/>
        </w:rPr>
        <w:t>INEGI. Encuesta Nacional de Seguridad Pública Urbana (ENSU).</w:t>
      </w:r>
    </w:p>
    <w:bookmarkEnd w:id="12"/>
    <w:p w14:paraId="27733EFD" w14:textId="7D68A274" w:rsidR="000703E6" w:rsidRPr="000703E6" w:rsidRDefault="008D758F" w:rsidP="007F2CEB">
      <w:pPr>
        <w:keepLines/>
        <w:spacing w:before="240"/>
        <w:jc w:val="both"/>
        <w:rPr>
          <w:lang w:val="es-ES"/>
        </w:rPr>
      </w:pPr>
      <w:r w:rsidRPr="008D758F">
        <w:rPr>
          <w:lang w:val="es-ES"/>
        </w:rPr>
        <w:lastRenderedPageBreak/>
        <w:t>Las tres ciudades</w:t>
      </w:r>
      <w:r w:rsidR="00FB4D41">
        <w:rPr>
          <w:lang w:val="es-ES"/>
        </w:rPr>
        <w:t xml:space="preserve"> y demarcaciones</w:t>
      </w:r>
      <w:r w:rsidRPr="008D758F">
        <w:rPr>
          <w:lang w:val="es-ES"/>
        </w:rPr>
        <w:t xml:space="preserve"> con mayor porcentaje de población de 18 años y más que reportó haber tenido conflictos o enfrentamientos fueron: </w:t>
      </w:r>
      <w:r w:rsidR="00493DB3">
        <w:rPr>
          <w:lang w:val="es-ES"/>
        </w:rPr>
        <w:t xml:space="preserve">Tlalpan (60.1%), </w:t>
      </w:r>
      <w:r w:rsidR="0069458B" w:rsidRPr="0069458B">
        <w:rPr>
          <w:lang w:val="es-ES"/>
        </w:rPr>
        <w:t>Tonalá (</w:t>
      </w:r>
      <w:r w:rsidR="00493DB3">
        <w:rPr>
          <w:lang w:val="es-ES"/>
        </w:rPr>
        <w:t>58.6</w:t>
      </w:r>
      <w:r w:rsidR="0069458B" w:rsidRPr="0069458B">
        <w:rPr>
          <w:lang w:val="es-ES"/>
        </w:rPr>
        <w:t xml:space="preserve">%) </w:t>
      </w:r>
      <w:r w:rsidR="00493DB3">
        <w:rPr>
          <w:lang w:val="es-ES"/>
        </w:rPr>
        <w:t xml:space="preserve">y Benito Juárez </w:t>
      </w:r>
      <w:r w:rsidR="0069458B" w:rsidRPr="0069458B">
        <w:rPr>
          <w:lang w:val="es-ES"/>
        </w:rPr>
        <w:t>(5</w:t>
      </w:r>
      <w:r w:rsidR="00493DB3">
        <w:rPr>
          <w:lang w:val="es-ES"/>
        </w:rPr>
        <w:t>8.1</w:t>
      </w:r>
      <w:r w:rsidR="0069458B" w:rsidRPr="0069458B">
        <w:rPr>
          <w:lang w:val="es-ES"/>
        </w:rPr>
        <w:t>%)</w:t>
      </w:r>
      <w:r w:rsidR="00C91534">
        <w:rPr>
          <w:lang w:val="es-ES"/>
        </w:rPr>
        <w:t>. L</w:t>
      </w:r>
      <w:r w:rsidR="0069458B" w:rsidRPr="0069458B">
        <w:rPr>
          <w:lang w:val="es-ES"/>
        </w:rPr>
        <w:t>as ciudades donde se obtuvieron los menores porcentajes de conflicto entre la población fueron: Tapachula (</w:t>
      </w:r>
      <w:r w:rsidR="00493DB3">
        <w:rPr>
          <w:lang w:val="es-ES"/>
        </w:rPr>
        <w:t>8</w:t>
      </w:r>
      <w:r w:rsidR="0069458B" w:rsidRPr="0069458B">
        <w:rPr>
          <w:lang w:val="es-ES"/>
        </w:rPr>
        <w:t xml:space="preserve">.4%), </w:t>
      </w:r>
      <w:r w:rsidR="00493DB3">
        <w:rPr>
          <w:lang w:val="es-ES"/>
        </w:rPr>
        <w:t xml:space="preserve">Tijuana </w:t>
      </w:r>
      <w:r w:rsidR="0069458B" w:rsidRPr="0069458B">
        <w:rPr>
          <w:lang w:val="es-ES"/>
        </w:rPr>
        <w:t>(11.</w:t>
      </w:r>
      <w:r w:rsidR="00493DB3">
        <w:rPr>
          <w:lang w:val="es-ES"/>
        </w:rPr>
        <w:t>3</w:t>
      </w:r>
      <w:r w:rsidR="0069458B" w:rsidRPr="0069458B">
        <w:rPr>
          <w:lang w:val="es-ES"/>
        </w:rPr>
        <w:t xml:space="preserve">%) y </w:t>
      </w:r>
      <w:r w:rsidR="00493DB3">
        <w:rPr>
          <w:lang w:val="es-ES"/>
        </w:rPr>
        <w:t xml:space="preserve">Apodaca </w:t>
      </w:r>
      <w:r w:rsidR="0069458B" w:rsidRPr="0069458B">
        <w:rPr>
          <w:lang w:val="es-ES"/>
        </w:rPr>
        <w:t>(12.</w:t>
      </w:r>
      <w:r w:rsidR="00493DB3">
        <w:rPr>
          <w:lang w:val="es-ES"/>
        </w:rPr>
        <w:t>1</w:t>
      </w:r>
      <w:r w:rsidR="0069458B">
        <w:rPr>
          <w:lang w:val="es-ES"/>
        </w:rPr>
        <w:t>%</w:t>
      </w:r>
      <w:r w:rsidR="0069458B" w:rsidRPr="0069458B">
        <w:rPr>
          <w:lang w:val="es-ES"/>
        </w:rPr>
        <w:t>)</w:t>
      </w:r>
      <w:r w:rsidR="0069458B">
        <w:rPr>
          <w:lang w:val="es-ES"/>
        </w:rPr>
        <w:t>.</w:t>
      </w:r>
    </w:p>
    <w:p w14:paraId="65CC6E45" w14:textId="3290A66A" w:rsidR="00FA44D9" w:rsidRPr="000A6239" w:rsidRDefault="008D758F" w:rsidP="000703E6">
      <w:pPr>
        <w:spacing w:before="240"/>
        <w:jc w:val="both"/>
        <w:rPr>
          <w:lang w:val="es-ES"/>
        </w:rPr>
      </w:pPr>
      <w:r w:rsidRPr="008D758F">
        <w:rPr>
          <w:lang w:val="es-ES"/>
        </w:rPr>
        <w:t xml:space="preserve">De la población de 18 años y más que reconoció haber tenido conflictos o enfrentamientos de manera directa por causa de incivilidades en su entorno, </w:t>
      </w:r>
      <w:r w:rsidR="007F2CEB">
        <w:rPr>
          <w:lang w:val="es-ES"/>
        </w:rPr>
        <w:t>7</w:t>
      </w:r>
      <w:r w:rsidR="00164381">
        <w:rPr>
          <w:lang w:val="es-ES"/>
        </w:rPr>
        <w:t>2.8</w:t>
      </w:r>
      <w:r w:rsidRPr="008D758F">
        <w:rPr>
          <w:lang w:val="es-ES"/>
        </w:rPr>
        <w:t xml:space="preserve">% mencionó que estos conflictos se dieron con los vecinos, mientras que </w:t>
      </w:r>
      <w:r w:rsidR="007F2CEB">
        <w:rPr>
          <w:lang w:val="es-ES"/>
        </w:rPr>
        <w:t>3</w:t>
      </w:r>
      <w:r w:rsidR="00164381">
        <w:rPr>
          <w:lang w:val="es-ES"/>
        </w:rPr>
        <w:t>0</w:t>
      </w:r>
      <w:r w:rsidRPr="008D758F">
        <w:rPr>
          <w:lang w:val="es-ES"/>
        </w:rPr>
        <w:t>% manifestó haber tenido conflictos o enfrentamientos con desconocidos en la calle.</w:t>
      </w:r>
    </w:p>
    <w:p w14:paraId="1D22D2AA" w14:textId="089EE04F" w:rsidR="00E510F2" w:rsidRPr="000C6AEF" w:rsidRDefault="00E510F2" w:rsidP="00E510F2">
      <w:pPr>
        <w:autoSpaceDE w:val="0"/>
        <w:autoSpaceDN w:val="0"/>
        <w:adjustRightInd w:val="0"/>
        <w:spacing w:before="240"/>
        <w:jc w:val="center"/>
        <w:rPr>
          <w:color w:val="000000"/>
          <w:sz w:val="20"/>
        </w:rPr>
      </w:pPr>
      <w:r w:rsidRPr="000C6AEF">
        <w:rPr>
          <w:color w:val="000000"/>
          <w:sz w:val="20"/>
        </w:rPr>
        <w:t xml:space="preserve">Gráfica </w:t>
      </w:r>
      <w:r w:rsidR="003753FF">
        <w:rPr>
          <w:color w:val="000000"/>
          <w:sz w:val="20"/>
        </w:rPr>
        <w:t>6</w:t>
      </w:r>
    </w:p>
    <w:p w14:paraId="0278E380" w14:textId="3B7934E1" w:rsidR="00FA44D9" w:rsidRPr="00CC54A7" w:rsidRDefault="00CC54A7" w:rsidP="00E510F2">
      <w:pPr>
        <w:autoSpaceDE w:val="0"/>
        <w:autoSpaceDN w:val="0"/>
        <w:adjustRightInd w:val="0"/>
        <w:jc w:val="center"/>
        <w:rPr>
          <w:b/>
          <w:smallCaps/>
          <w:color w:val="000000"/>
          <w:sz w:val="22"/>
          <w:szCs w:val="21"/>
        </w:rPr>
      </w:pPr>
      <w:r w:rsidRPr="00CC54A7">
        <w:rPr>
          <w:b/>
          <w:smallCaps/>
          <w:color w:val="000000"/>
          <w:sz w:val="22"/>
          <w:szCs w:val="21"/>
        </w:rPr>
        <w:t xml:space="preserve">Población de 18 años y más con existencia de conflictos </w:t>
      </w:r>
      <w:r w:rsidR="000703E6" w:rsidRPr="00CC54A7">
        <w:rPr>
          <w:b/>
          <w:smallCaps/>
          <w:color w:val="000000"/>
          <w:sz w:val="22"/>
          <w:szCs w:val="21"/>
        </w:rPr>
        <w:br/>
      </w:r>
      <w:r w:rsidRPr="00CC54A7">
        <w:rPr>
          <w:b/>
          <w:smallCaps/>
          <w:color w:val="000000"/>
          <w:sz w:val="22"/>
          <w:szCs w:val="21"/>
        </w:rPr>
        <w:t>o enfrentamientos, por tipo de actor</w:t>
      </w:r>
    </w:p>
    <w:p w14:paraId="3C32FD13" w14:textId="3CB0768C" w:rsidR="00FA44D9" w:rsidRDefault="00FA44D9" w:rsidP="00E510F2">
      <w:pPr>
        <w:autoSpaceDE w:val="0"/>
        <w:autoSpaceDN w:val="0"/>
        <w:adjustRightInd w:val="0"/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71FD83F7" w14:textId="68E1FCD6" w:rsidR="00FA44D9" w:rsidRDefault="004057F7" w:rsidP="009E6DBB">
      <w:pPr>
        <w:spacing w:after="20"/>
        <w:jc w:val="center"/>
        <w:rPr>
          <w:b/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40AD98ED" wp14:editId="27E1E76C">
            <wp:extent cx="5040000" cy="2880000"/>
            <wp:effectExtent l="0" t="0" r="8255" b="15875"/>
            <wp:docPr id="45" name="Gráfico 45">
              <a:extLst xmlns:a="http://schemas.openxmlformats.org/drawingml/2006/main">
                <a:ext uri="{FF2B5EF4-FFF2-40B4-BE49-F238E27FC236}">
                  <a16:creationId xmlns:a16="http://schemas.microsoft.com/office/drawing/2014/main" id="{E71CADDE-86A0-467C-8FB9-2F97777D7C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14:paraId="685F5CA2" w14:textId="77777777" w:rsidR="00CF7D57" w:rsidRPr="001648B2" w:rsidRDefault="00CF7D57" w:rsidP="001648B2">
      <w:pPr>
        <w:autoSpaceDE w:val="0"/>
        <w:autoSpaceDN w:val="0"/>
        <w:adjustRightInd w:val="0"/>
        <w:ind w:left="1428" w:right="-43" w:hanging="591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Pr="001648B2">
        <w:rPr>
          <w:color w:val="000000"/>
          <w:sz w:val="16"/>
          <w:szCs w:val="16"/>
        </w:rPr>
        <w:t xml:space="preserve"> </w:t>
      </w:r>
    </w:p>
    <w:p w14:paraId="0F7B63D1" w14:textId="1F199C86" w:rsidR="00FA44D9" w:rsidRPr="000A6239" w:rsidRDefault="008D758F" w:rsidP="00893985">
      <w:pPr>
        <w:autoSpaceDE w:val="0"/>
        <w:autoSpaceDN w:val="0"/>
        <w:adjustRightInd w:val="0"/>
        <w:spacing w:before="360"/>
        <w:jc w:val="both"/>
        <w:rPr>
          <w:lang w:val="es-ES"/>
        </w:rPr>
      </w:pPr>
      <w:r w:rsidRPr="001B28C2">
        <w:rPr>
          <w:lang w:val="es-ES"/>
        </w:rPr>
        <w:t>De la población de 18 años y más que reconoció</w:t>
      </w:r>
      <w:r w:rsidRPr="007D3F39">
        <w:rPr>
          <w:lang w:val="es-ES"/>
        </w:rPr>
        <w:t xml:space="preserve"> haber tenido conflictos o enfrentamientos de manera directa por causa de incivilidades en su entorno,</w:t>
      </w:r>
      <w:r>
        <w:rPr>
          <w:lang w:val="es-ES"/>
        </w:rPr>
        <w:t xml:space="preserve"> </w:t>
      </w:r>
      <w:r w:rsidR="00292421">
        <w:rPr>
          <w:lang w:val="es-ES"/>
        </w:rPr>
        <w:t xml:space="preserve">las </w:t>
      </w:r>
      <w:r>
        <w:rPr>
          <w:lang w:val="es-ES"/>
        </w:rPr>
        <w:t xml:space="preserve">mujeres </w:t>
      </w:r>
      <w:r w:rsidR="00292421">
        <w:rPr>
          <w:lang w:val="es-ES"/>
        </w:rPr>
        <w:t xml:space="preserve">declararon principalmente </w:t>
      </w:r>
      <w:r>
        <w:rPr>
          <w:lang w:val="es-ES"/>
        </w:rPr>
        <w:t xml:space="preserve">conflictos </w:t>
      </w:r>
      <w:r w:rsidR="003A3A77">
        <w:rPr>
          <w:lang w:val="es-ES"/>
        </w:rPr>
        <w:t>por</w:t>
      </w:r>
      <w:r>
        <w:rPr>
          <w:lang w:val="es-ES"/>
        </w:rPr>
        <w:t xml:space="preserve"> ruido </w:t>
      </w:r>
      <w:r w:rsidR="00292421">
        <w:rPr>
          <w:lang w:val="es-ES"/>
        </w:rPr>
        <w:t>(</w:t>
      </w:r>
      <w:r w:rsidR="007F2CEB">
        <w:rPr>
          <w:lang w:val="es-ES"/>
        </w:rPr>
        <w:t>1</w:t>
      </w:r>
      <w:r w:rsidR="00164381">
        <w:rPr>
          <w:lang w:val="es-ES"/>
        </w:rPr>
        <w:t>3.3</w:t>
      </w:r>
      <w:r w:rsidRPr="00DB1EF6">
        <w:rPr>
          <w:lang w:val="es-ES"/>
        </w:rPr>
        <w:t>%</w:t>
      </w:r>
      <w:r w:rsidR="00292421">
        <w:rPr>
          <w:lang w:val="es-ES"/>
        </w:rPr>
        <w:t>)</w:t>
      </w:r>
      <w:r w:rsidRPr="00DB1EF6">
        <w:rPr>
          <w:lang w:val="es-ES"/>
        </w:rPr>
        <w:t xml:space="preserve"> </w:t>
      </w:r>
      <w:r>
        <w:rPr>
          <w:lang w:val="es-ES"/>
        </w:rPr>
        <w:t xml:space="preserve">y </w:t>
      </w:r>
      <w:r w:rsidR="003A3A77">
        <w:rPr>
          <w:lang w:val="es-ES"/>
        </w:rPr>
        <w:t xml:space="preserve">por </w:t>
      </w:r>
      <w:r>
        <w:rPr>
          <w:lang w:val="es-ES"/>
        </w:rPr>
        <w:t xml:space="preserve">basura tirada o quemada por vecinos </w:t>
      </w:r>
      <w:r w:rsidR="00292421">
        <w:rPr>
          <w:lang w:val="es-ES"/>
        </w:rPr>
        <w:t>(</w:t>
      </w:r>
      <w:r w:rsidR="007F2CEB">
        <w:rPr>
          <w:lang w:val="es-ES"/>
        </w:rPr>
        <w:t>1</w:t>
      </w:r>
      <w:r w:rsidR="00164381">
        <w:rPr>
          <w:lang w:val="es-ES"/>
        </w:rPr>
        <w:t>1</w:t>
      </w:r>
      <w:r w:rsidR="007F2CEB">
        <w:rPr>
          <w:lang w:val="es-ES"/>
        </w:rPr>
        <w:t>.1</w:t>
      </w:r>
      <w:r>
        <w:rPr>
          <w:lang w:val="es-ES"/>
        </w:rPr>
        <w:t>%</w:t>
      </w:r>
      <w:r w:rsidR="00292421">
        <w:rPr>
          <w:lang w:val="es-ES"/>
        </w:rPr>
        <w:t>)</w:t>
      </w:r>
      <w:r w:rsidR="00F26378">
        <w:rPr>
          <w:lang w:val="es-ES"/>
        </w:rPr>
        <w:t>.</w:t>
      </w:r>
      <w:r w:rsidR="00AA22E4">
        <w:rPr>
          <w:lang w:val="es-ES"/>
        </w:rPr>
        <w:t xml:space="preserve"> P</w:t>
      </w:r>
      <w:r w:rsidR="003A3A77">
        <w:rPr>
          <w:lang w:val="es-ES"/>
        </w:rPr>
        <w:t xml:space="preserve">ara los </w:t>
      </w:r>
      <w:r>
        <w:rPr>
          <w:lang w:val="es-ES"/>
        </w:rPr>
        <w:t xml:space="preserve">hombres </w:t>
      </w:r>
      <w:r w:rsidR="003A3A77">
        <w:rPr>
          <w:lang w:val="es-ES"/>
        </w:rPr>
        <w:t xml:space="preserve">estos </w:t>
      </w:r>
      <w:r w:rsidR="00BB17EB">
        <w:rPr>
          <w:lang w:val="es-ES"/>
        </w:rPr>
        <w:t xml:space="preserve">porcentajes </w:t>
      </w:r>
      <w:r>
        <w:rPr>
          <w:lang w:val="es-ES"/>
        </w:rPr>
        <w:t>fue</w:t>
      </w:r>
      <w:r w:rsidR="00D672A7">
        <w:rPr>
          <w:lang w:val="es-ES"/>
        </w:rPr>
        <w:t>ron</w:t>
      </w:r>
      <w:r>
        <w:rPr>
          <w:lang w:val="es-ES"/>
        </w:rPr>
        <w:t xml:space="preserve"> 1</w:t>
      </w:r>
      <w:r w:rsidR="00164381">
        <w:rPr>
          <w:lang w:val="es-ES"/>
        </w:rPr>
        <w:t>2</w:t>
      </w:r>
      <w:r w:rsidR="007F2CEB">
        <w:rPr>
          <w:lang w:val="es-ES"/>
        </w:rPr>
        <w:t>.5</w:t>
      </w:r>
      <w:r>
        <w:rPr>
          <w:lang w:val="es-ES"/>
        </w:rPr>
        <w:t xml:space="preserve"> y </w:t>
      </w:r>
      <w:r w:rsidR="007F2CEB">
        <w:rPr>
          <w:lang w:val="es-ES"/>
        </w:rPr>
        <w:t>1</w:t>
      </w:r>
      <w:r w:rsidR="00164381">
        <w:rPr>
          <w:lang w:val="es-ES"/>
        </w:rPr>
        <w:t>0</w:t>
      </w:r>
      <w:r w:rsidR="007F2CEB">
        <w:rPr>
          <w:lang w:val="es-ES"/>
        </w:rPr>
        <w:t>.5</w:t>
      </w:r>
      <w:r>
        <w:rPr>
          <w:lang w:val="es-ES"/>
        </w:rPr>
        <w:t>%, respectivamente</w:t>
      </w:r>
      <w:r w:rsidRPr="00DB1EF6">
        <w:rPr>
          <w:lang w:val="es-ES"/>
        </w:rPr>
        <w:t>.</w:t>
      </w:r>
    </w:p>
    <w:p w14:paraId="70010D4C" w14:textId="77777777" w:rsidR="00C93F1F" w:rsidRDefault="00C93F1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14:paraId="59E327A6" w14:textId="4A7D30A7" w:rsidR="00C93F1F" w:rsidRPr="00DD6AEC" w:rsidRDefault="00C93F1F" w:rsidP="00C93F1F">
      <w:pPr>
        <w:autoSpaceDE w:val="0"/>
        <w:autoSpaceDN w:val="0"/>
        <w:adjustRightInd w:val="0"/>
        <w:spacing w:before="240"/>
        <w:jc w:val="center"/>
        <w:rPr>
          <w:color w:val="000000"/>
          <w:sz w:val="20"/>
        </w:rPr>
      </w:pPr>
      <w:r w:rsidRPr="00DD6AEC">
        <w:rPr>
          <w:color w:val="000000"/>
          <w:sz w:val="20"/>
        </w:rPr>
        <w:lastRenderedPageBreak/>
        <w:t xml:space="preserve">Gráfica </w:t>
      </w:r>
      <w:r w:rsidR="003753FF" w:rsidRPr="00DD6AEC">
        <w:rPr>
          <w:color w:val="000000"/>
          <w:sz w:val="20"/>
        </w:rPr>
        <w:t>7</w:t>
      </w:r>
    </w:p>
    <w:p w14:paraId="35D8B927" w14:textId="3ADBCB39" w:rsidR="00FA44D9" w:rsidRPr="00CC54A7" w:rsidRDefault="00CC54A7" w:rsidP="001315B2">
      <w:pPr>
        <w:autoSpaceDE w:val="0"/>
        <w:autoSpaceDN w:val="0"/>
        <w:adjustRightInd w:val="0"/>
        <w:jc w:val="center"/>
        <w:rPr>
          <w:b/>
          <w:smallCaps/>
          <w:color w:val="000000"/>
          <w:sz w:val="22"/>
          <w:szCs w:val="18"/>
        </w:rPr>
      </w:pPr>
      <w:r w:rsidRPr="00CC54A7">
        <w:rPr>
          <w:b/>
          <w:smallCaps/>
          <w:color w:val="000000"/>
          <w:sz w:val="22"/>
          <w:szCs w:val="18"/>
        </w:rPr>
        <w:t xml:space="preserve">Población de 18 años y más por tipo de conflictos o </w:t>
      </w:r>
      <w:r w:rsidR="001315B2" w:rsidRPr="00CC54A7">
        <w:rPr>
          <w:b/>
          <w:smallCaps/>
          <w:color w:val="000000"/>
          <w:sz w:val="22"/>
          <w:szCs w:val="18"/>
        </w:rPr>
        <w:br/>
      </w:r>
      <w:r w:rsidRPr="00CC54A7">
        <w:rPr>
          <w:b/>
          <w:smallCaps/>
          <w:color w:val="000000"/>
          <w:sz w:val="22"/>
          <w:szCs w:val="18"/>
        </w:rPr>
        <w:t>enfrentamientos según sexo</w:t>
      </w:r>
      <w:r w:rsidR="0008590A" w:rsidRPr="00CC54A7">
        <w:rPr>
          <w:b/>
          <w:smallCaps/>
          <w:color w:val="000000"/>
          <w:sz w:val="22"/>
          <w:szCs w:val="18"/>
        </w:rPr>
        <w:t>,</w:t>
      </w:r>
      <w:r w:rsidR="00C93F1F" w:rsidRPr="00CC54A7">
        <w:rPr>
          <w:b/>
          <w:smallCaps/>
          <w:color w:val="000000"/>
          <w:sz w:val="22"/>
          <w:szCs w:val="18"/>
        </w:rPr>
        <w:t xml:space="preserve"> </w:t>
      </w:r>
      <w:r w:rsidRPr="00CC54A7">
        <w:rPr>
          <w:b/>
          <w:smallCaps/>
          <w:color w:val="000000"/>
          <w:sz w:val="22"/>
          <w:szCs w:val="18"/>
        </w:rPr>
        <w:t>i t</w:t>
      </w:r>
      <w:r w:rsidR="00C93F1F" w:rsidRPr="00CC54A7">
        <w:rPr>
          <w:b/>
          <w:smallCaps/>
          <w:color w:val="000000"/>
          <w:sz w:val="22"/>
          <w:szCs w:val="18"/>
        </w:rPr>
        <w:t xml:space="preserve"> </w:t>
      </w:r>
      <w:r w:rsidR="00FA44D9" w:rsidRPr="00CC54A7">
        <w:rPr>
          <w:b/>
          <w:smallCaps/>
          <w:color w:val="000000"/>
          <w:sz w:val="22"/>
          <w:szCs w:val="18"/>
        </w:rPr>
        <w:t>202</w:t>
      </w:r>
      <w:r w:rsidR="00971906" w:rsidRPr="00CC54A7">
        <w:rPr>
          <w:b/>
          <w:smallCaps/>
          <w:color w:val="000000"/>
          <w:sz w:val="22"/>
          <w:szCs w:val="18"/>
        </w:rPr>
        <w:t>2</w:t>
      </w:r>
    </w:p>
    <w:p w14:paraId="5643DCBE" w14:textId="6C468035" w:rsidR="00FA44D9" w:rsidRDefault="00FA44D9" w:rsidP="00C93F1F">
      <w:pPr>
        <w:jc w:val="center"/>
        <w:rPr>
          <w:sz w:val="18"/>
          <w:szCs w:val="16"/>
          <w:lang w:val="es-ES"/>
        </w:rPr>
      </w:pPr>
      <w:r w:rsidRPr="00DD6AEC">
        <w:rPr>
          <w:sz w:val="18"/>
          <w:szCs w:val="16"/>
          <w:lang w:val="es-ES"/>
        </w:rPr>
        <w:t>(Porcentaje)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4139"/>
      </w:tblGrid>
      <w:tr w:rsidR="00C93F1F" w14:paraId="5219223F" w14:textId="77777777" w:rsidTr="004057F7">
        <w:trPr>
          <w:trHeight w:hRule="exact" w:val="5670"/>
          <w:jc w:val="center"/>
        </w:trPr>
        <w:tc>
          <w:tcPr>
            <w:tcW w:w="3969" w:type="dxa"/>
            <w:shd w:val="clear" w:color="auto" w:fill="auto"/>
          </w:tcPr>
          <w:p w14:paraId="4607C2AA" w14:textId="6EE2E378" w:rsidR="00C93F1F" w:rsidRDefault="004057F7" w:rsidP="00972646">
            <w:pPr>
              <w:ind w:left="-81"/>
              <w:jc w:val="center"/>
              <w:rPr>
                <w:sz w:val="18"/>
                <w:szCs w:val="1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113D5E1E" wp14:editId="1A6B33D7">
                  <wp:extent cx="2520000" cy="3600000"/>
                  <wp:effectExtent l="0" t="0" r="0" b="0"/>
                  <wp:docPr id="46" name="Gráfico 4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9870E6-4BAF-4C5F-B7C1-D9B57D26B3C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6"/>
                    </a:graphicData>
                  </a:graphic>
                </wp:inline>
              </w:drawing>
            </w:r>
          </w:p>
        </w:tc>
        <w:tc>
          <w:tcPr>
            <w:tcW w:w="4139" w:type="dxa"/>
            <w:shd w:val="clear" w:color="auto" w:fill="auto"/>
          </w:tcPr>
          <w:p w14:paraId="1AB94F05" w14:textId="6085F0DD" w:rsidR="00C93F1F" w:rsidRPr="00881662" w:rsidRDefault="004057F7" w:rsidP="00622A55">
            <w:pPr>
              <w:ind w:left="-53" w:right="-80"/>
              <w:jc w:val="center"/>
              <w:rPr>
                <w:color w:val="000000"/>
                <w:sz w:val="18"/>
                <w:szCs w:val="16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0D7629C7" wp14:editId="5D97E90E">
                  <wp:extent cx="2556000" cy="3600000"/>
                  <wp:effectExtent l="0" t="0" r="0" b="0"/>
                  <wp:docPr id="47" name="Gráfico 4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E3ED4BF-587E-4445-9292-1753F69249D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7"/>
                    </a:graphicData>
                  </a:graphic>
                </wp:inline>
              </w:drawing>
            </w:r>
          </w:p>
        </w:tc>
      </w:tr>
    </w:tbl>
    <w:p w14:paraId="6EC67CD2" w14:textId="77777777" w:rsidR="00CF7D57" w:rsidRPr="001648B2" w:rsidRDefault="00CF7D57" w:rsidP="001648B2">
      <w:pPr>
        <w:autoSpaceDE w:val="0"/>
        <w:autoSpaceDN w:val="0"/>
        <w:adjustRightInd w:val="0"/>
        <w:ind w:left="1428" w:right="-43" w:hanging="591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Pr="001648B2">
        <w:rPr>
          <w:color w:val="000000"/>
          <w:sz w:val="16"/>
          <w:szCs w:val="16"/>
        </w:rPr>
        <w:t xml:space="preserve"> </w:t>
      </w:r>
    </w:p>
    <w:p w14:paraId="7DB3DB4B" w14:textId="77777777" w:rsidR="00FA44D9" w:rsidRPr="00F76C4F" w:rsidRDefault="00FA44D9" w:rsidP="004A60E5">
      <w:pPr>
        <w:spacing w:before="480"/>
        <w:rPr>
          <w:b/>
          <w:lang w:val="es-ES"/>
        </w:rPr>
      </w:pPr>
      <w:r w:rsidRPr="007A4C9A">
        <w:rPr>
          <w:b/>
          <w:lang w:val="es-ES"/>
        </w:rPr>
        <w:t>Cambio de rutinas o hábitos (experiencias)</w:t>
      </w:r>
    </w:p>
    <w:p w14:paraId="756C4A04" w14:textId="01FDCB37" w:rsidR="008D758F" w:rsidRDefault="00F76C4F" w:rsidP="008D758F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>
        <w:rPr>
          <w:lang w:val="es-ES"/>
        </w:rPr>
        <w:t>D</w:t>
      </w:r>
      <w:r w:rsidRPr="00F76C4F">
        <w:rPr>
          <w:lang w:val="es-ES"/>
        </w:rPr>
        <w:t xml:space="preserve">urante el </w:t>
      </w:r>
      <w:r w:rsidR="003A3A77">
        <w:rPr>
          <w:lang w:val="es-ES"/>
        </w:rPr>
        <w:t>I</w:t>
      </w:r>
      <w:r w:rsidR="007A4C9A">
        <w:t> </w:t>
      </w:r>
      <w:r w:rsidR="003A3A77">
        <w:rPr>
          <w:lang w:val="es-ES"/>
        </w:rPr>
        <w:t>T</w:t>
      </w:r>
      <w:r w:rsidR="007A4C9A">
        <w:rPr>
          <w:lang w:val="es-ES"/>
        </w:rPr>
        <w:t> </w:t>
      </w:r>
      <w:r w:rsidRPr="00F76C4F">
        <w:rPr>
          <w:lang w:val="es-ES"/>
        </w:rPr>
        <w:t>202</w:t>
      </w:r>
      <w:r w:rsidR="00803692">
        <w:rPr>
          <w:lang w:val="es-ES"/>
        </w:rPr>
        <w:t>2</w:t>
      </w:r>
      <w:r w:rsidR="001338BB">
        <w:rPr>
          <w:lang w:val="es-ES"/>
        </w:rPr>
        <w:t>,</w:t>
      </w:r>
      <w:r>
        <w:rPr>
          <w:lang w:val="es-ES"/>
        </w:rPr>
        <w:t xml:space="preserve"> </w:t>
      </w:r>
      <w:r w:rsidR="008D758F" w:rsidRPr="00F76C4F">
        <w:rPr>
          <w:lang w:val="es-ES"/>
        </w:rPr>
        <w:t>5</w:t>
      </w:r>
      <w:r w:rsidR="007A4C9A">
        <w:rPr>
          <w:lang w:val="es-ES"/>
        </w:rPr>
        <w:t>5.8</w:t>
      </w:r>
      <w:r w:rsidR="008D758F" w:rsidRPr="00F76C4F">
        <w:rPr>
          <w:lang w:val="es-ES"/>
        </w:rPr>
        <w:t>% de la población de 18 años y más residente en las ciudades objeto de estudio</w:t>
      </w:r>
      <w:r>
        <w:rPr>
          <w:lang w:val="es-ES"/>
        </w:rPr>
        <w:t>,</w:t>
      </w:r>
      <w:r w:rsidR="008D758F" w:rsidRPr="00F76C4F">
        <w:rPr>
          <w:lang w:val="es-ES"/>
        </w:rPr>
        <w:t xml:space="preserve"> manifestó que modificó sus hábitos respecto a “llevar cosas</w:t>
      </w:r>
      <w:r w:rsidR="008D758F" w:rsidRPr="00DB1EF6">
        <w:rPr>
          <w:lang w:val="es-ES"/>
        </w:rPr>
        <w:t xml:space="preserve"> de valor como joyas, dinero o tarjetas de crédito” por temor a sufrir algún delito</w:t>
      </w:r>
      <w:r w:rsidR="003A3A77">
        <w:rPr>
          <w:lang w:val="es-ES"/>
        </w:rPr>
        <w:t>.</w:t>
      </w:r>
      <w:r w:rsidR="003A3A77" w:rsidRPr="00DB1EF6">
        <w:rPr>
          <w:lang w:val="es-ES"/>
        </w:rPr>
        <w:t xml:space="preserve"> </w:t>
      </w:r>
      <w:r w:rsidR="003A3A77">
        <w:rPr>
          <w:lang w:val="es-ES"/>
        </w:rPr>
        <w:t xml:space="preserve">Además, </w:t>
      </w:r>
      <w:r w:rsidR="008D758F">
        <w:rPr>
          <w:lang w:val="es-ES"/>
        </w:rPr>
        <w:t>4</w:t>
      </w:r>
      <w:r w:rsidR="007A4C9A">
        <w:rPr>
          <w:lang w:val="es-ES"/>
        </w:rPr>
        <w:t>8.4</w:t>
      </w:r>
      <w:r w:rsidR="008D758F" w:rsidRPr="00DB1EF6">
        <w:rPr>
          <w:lang w:val="es-ES"/>
        </w:rPr>
        <w:t xml:space="preserve">% reconoció haber cambiado hábitos </w:t>
      </w:r>
      <w:r>
        <w:rPr>
          <w:lang w:val="es-ES"/>
        </w:rPr>
        <w:t>de</w:t>
      </w:r>
      <w:r w:rsidR="008D758F" w:rsidRPr="00DB1EF6">
        <w:rPr>
          <w:lang w:val="es-ES"/>
        </w:rPr>
        <w:t xml:space="preserve"> “caminar por los alrededores de su vivienda, pasadas las ocho </w:t>
      </w:r>
      <w:r w:rsidR="008D758F" w:rsidRPr="001B28C2">
        <w:rPr>
          <w:lang w:val="es-ES"/>
        </w:rPr>
        <w:t>de la noche</w:t>
      </w:r>
      <w:r w:rsidR="004746D2" w:rsidRPr="001B28C2">
        <w:rPr>
          <w:lang w:val="es-ES"/>
        </w:rPr>
        <w:t>”</w:t>
      </w:r>
      <w:r w:rsidR="004746D2">
        <w:rPr>
          <w:lang w:val="es-ES"/>
        </w:rPr>
        <w:t>,</w:t>
      </w:r>
      <w:r w:rsidR="004746D2" w:rsidRPr="00DB1EF6">
        <w:rPr>
          <w:lang w:val="es-ES"/>
        </w:rPr>
        <w:t xml:space="preserve"> </w:t>
      </w:r>
      <w:r w:rsidR="008D758F">
        <w:rPr>
          <w:lang w:val="es-ES"/>
        </w:rPr>
        <w:t>4</w:t>
      </w:r>
      <w:r w:rsidR="007A4C9A">
        <w:rPr>
          <w:lang w:val="es-ES"/>
        </w:rPr>
        <w:t>6.5</w:t>
      </w:r>
      <w:r w:rsidR="008D758F" w:rsidRPr="00DB1EF6">
        <w:rPr>
          <w:lang w:val="es-ES"/>
        </w:rPr>
        <w:t xml:space="preserve">% </w:t>
      </w:r>
      <w:r w:rsidR="004A60E5">
        <w:rPr>
          <w:lang w:val="es-ES"/>
        </w:rPr>
        <w:t>modificó</w:t>
      </w:r>
      <w:r w:rsidR="008D758F" w:rsidRPr="00DB1EF6">
        <w:rPr>
          <w:lang w:val="es-ES"/>
        </w:rPr>
        <w:t xml:space="preserve"> rutinas en cuanto a “permitir que sus hijos menores salgan de su vivienda”</w:t>
      </w:r>
      <w:r w:rsidR="008D758F" w:rsidRPr="001B28C2">
        <w:rPr>
          <w:lang w:val="es-ES"/>
        </w:rPr>
        <w:t xml:space="preserve"> y </w:t>
      </w:r>
      <w:r w:rsidR="008D758F">
        <w:rPr>
          <w:lang w:val="es-ES"/>
        </w:rPr>
        <w:t>3</w:t>
      </w:r>
      <w:r w:rsidR="007A4C9A">
        <w:rPr>
          <w:lang w:val="es-ES"/>
        </w:rPr>
        <w:t>0.3</w:t>
      </w:r>
      <w:r w:rsidR="008D758F" w:rsidRPr="001B28C2">
        <w:rPr>
          <w:lang w:val="es-ES"/>
        </w:rPr>
        <w:t xml:space="preserve">% cambió rutinas relacionadas con “visitar parientes o amigos”. </w:t>
      </w:r>
    </w:p>
    <w:p w14:paraId="77F0D5BD" w14:textId="3C58FD73" w:rsidR="00FA44D9" w:rsidRPr="00693009" w:rsidRDefault="004A60E5" w:rsidP="000B007C">
      <w:pPr>
        <w:keepNext/>
        <w:keepLines/>
        <w:widowControl w:val="0"/>
        <w:spacing w:before="240"/>
        <w:jc w:val="both"/>
        <w:rPr>
          <w:lang w:val="es-ES"/>
        </w:rPr>
      </w:pPr>
      <w:r>
        <w:rPr>
          <w:lang w:val="es-ES"/>
        </w:rPr>
        <w:lastRenderedPageBreak/>
        <w:t>Con</w:t>
      </w:r>
      <w:r w:rsidR="008D758F">
        <w:rPr>
          <w:lang w:val="es-ES"/>
        </w:rPr>
        <w:t xml:space="preserve"> relación</w:t>
      </w:r>
      <w:r w:rsidR="008D758F" w:rsidRPr="001B28C2">
        <w:rPr>
          <w:lang w:val="es-ES"/>
        </w:rPr>
        <w:t xml:space="preserve"> </w:t>
      </w:r>
      <w:r>
        <w:rPr>
          <w:lang w:val="es-ES"/>
        </w:rPr>
        <w:t xml:space="preserve">al </w:t>
      </w:r>
      <w:r w:rsidR="004746D2">
        <w:rPr>
          <w:lang w:val="es-ES"/>
        </w:rPr>
        <w:t>I</w:t>
      </w:r>
      <w:r w:rsidR="00803692">
        <w:rPr>
          <w:lang w:val="es-ES"/>
        </w:rPr>
        <w:t>V</w:t>
      </w:r>
      <w:r w:rsidR="007A4C9A">
        <w:rPr>
          <w:lang w:val="es-ES"/>
        </w:rPr>
        <w:t> </w:t>
      </w:r>
      <w:r w:rsidR="004746D2">
        <w:rPr>
          <w:lang w:val="es-ES"/>
        </w:rPr>
        <w:t>T</w:t>
      </w:r>
      <w:r w:rsidR="007A4C9A">
        <w:rPr>
          <w:lang w:val="es-ES"/>
        </w:rPr>
        <w:t> </w:t>
      </w:r>
      <w:r w:rsidR="008D758F" w:rsidRPr="001B28C2">
        <w:rPr>
          <w:lang w:val="es-ES"/>
        </w:rPr>
        <w:t>20</w:t>
      </w:r>
      <w:r w:rsidR="008D758F">
        <w:rPr>
          <w:lang w:val="es-ES"/>
        </w:rPr>
        <w:t>21</w:t>
      </w:r>
      <w:r w:rsidR="008D758F" w:rsidRPr="001B28C2">
        <w:rPr>
          <w:lang w:val="es-ES"/>
        </w:rPr>
        <w:t xml:space="preserve"> se tiene</w:t>
      </w:r>
      <w:r w:rsidR="001338BB">
        <w:rPr>
          <w:lang w:val="es-ES"/>
        </w:rPr>
        <w:t xml:space="preserve"> u</w:t>
      </w:r>
      <w:r>
        <w:rPr>
          <w:lang w:val="es-ES"/>
        </w:rPr>
        <w:t>n</w:t>
      </w:r>
      <w:r w:rsidR="008D758F" w:rsidRPr="001B28C2">
        <w:rPr>
          <w:lang w:val="es-ES"/>
        </w:rPr>
        <w:t xml:space="preserve"> </w:t>
      </w:r>
      <w:r w:rsidR="001338BB">
        <w:rPr>
          <w:lang w:val="es-ES"/>
        </w:rPr>
        <w:t xml:space="preserve">aumento </w:t>
      </w:r>
      <w:r w:rsidR="008D758F" w:rsidRPr="001B28C2">
        <w:rPr>
          <w:lang w:val="es-ES"/>
        </w:rPr>
        <w:t>estadísticamente significativ</w:t>
      </w:r>
      <w:r w:rsidR="00722A15">
        <w:rPr>
          <w:lang w:val="es-ES"/>
        </w:rPr>
        <w:t>o</w:t>
      </w:r>
      <w:r w:rsidR="008D758F" w:rsidRPr="001B28C2">
        <w:rPr>
          <w:lang w:val="es-ES"/>
        </w:rPr>
        <w:t xml:space="preserve"> de </w:t>
      </w:r>
      <w:r w:rsidR="007A4C9A">
        <w:rPr>
          <w:lang w:val="es-ES"/>
        </w:rPr>
        <w:t>1.7</w:t>
      </w:r>
      <w:r w:rsidR="008D758F" w:rsidRPr="001B28C2">
        <w:rPr>
          <w:lang w:val="es-ES"/>
        </w:rPr>
        <w:t xml:space="preserve"> puntos porcentuales </w:t>
      </w:r>
      <w:r w:rsidR="00ED7CE5">
        <w:rPr>
          <w:lang w:val="es-ES"/>
        </w:rPr>
        <w:t>en cambio de hábito como</w:t>
      </w:r>
      <w:r w:rsidR="001338BB">
        <w:rPr>
          <w:lang w:val="es-ES"/>
        </w:rPr>
        <w:t xml:space="preserve"> </w:t>
      </w:r>
      <w:r w:rsidR="007A4C9A">
        <w:rPr>
          <w:lang w:val="es-ES"/>
        </w:rPr>
        <w:t>permitir que menores salgan de su vivienda</w:t>
      </w:r>
      <w:r w:rsidR="00ED7CE5">
        <w:rPr>
          <w:lang w:val="es-ES"/>
        </w:rPr>
        <w:t>, pero, se dio un</w:t>
      </w:r>
      <w:r w:rsidR="00471C38">
        <w:rPr>
          <w:lang w:val="es-ES"/>
        </w:rPr>
        <w:t>a reducción</w:t>
      </w:r>
      <w:r w:rsidR="00ED7CE5">
        <w:rPr>
          <w:lang w:val="es-ES"/>
        </w:rPr>
        <w:t xml:space="preserve"> de 1.9 puntos porcentuales respecto a visitar parientes o amigos</w:t>
      </w:r>
      <w:r w:rsidR="00B75535">
        <w:rPr>
          <w:lang w:val="es-ES"/>
        </w:rPr>
        <w:t xml:space="preserve"> y</w:t>
      </w:r>
      <w:r w:rsidR="00ED7CE5">
        <w:rPr>
          <w:lang w:val="es-ES"/>
        </w:rPr>
        <w:t xml:space="preserve"> </w:t>
      </w:r>
      <w:r w:rsidR="00B75535">
        <w:rPr>
          <w:lang w:val="es-ES"/>
        </w:rPr>
        <w:t xml:space="preserve">una de </w:t>
      </w:r>
      <w:r w:rsidR="00ED7CE5">
        <w:rPr>
          <w:lang w:val="es-ES"/>
        </w:rPr>
        <w:t xml:space="preserve">1.7 </w:t>
      </w:r>
      <w:r w:rsidR="00B75535" w:rsidRPr="001B28C2">
        <w:rPr>
          <w:lang w:val="es-ES"/>
        </w:rPr>
        <w:t>puntos porcentuales</w:t>
      </w:r>
      <w:r w:rsidR="00B75535">
        <w:rPr>
          <w:lang w:val="es-ES"/>
        </w:rPr>
        <w:t xml:space="preserve"> </w:t>
      </w:r>
      <w:r w:rsidR="00ED7CE5">
        <w:rPr>
          <w:lang w:val="es-ES"/>
        </w:rPr>
        <w:t xml:space="preserve">en </w:t>
      </w:r>
      <w:r w:rsidR="001338BB">
        <w:rPr>
          <w:lang w:val="es-ES"/>
        </w:rPr>
        <w:t>llevar cosas de valor</w:t>
      </w:r>
      <w:r w:rsidR="0057796B">
        <w:rPr>
          <w:lang w:val="es-ES"/>
        </w:rPr>
        <w:t>.</w:t>
      </w:r>
      <w:r w:rsidR="008D758F">
        <w:rPr>
          <w:lang w:val="es-ES"/>
        </w:rPr>
        <w:t xml:space="preserve"> En comparación</w:t>
      </w:r>
      <w:r>
        <w:rPr>
          <w:lang w:val="es-ES"/>
        </w:rPr>
        <w:t xml:space="preserve"> </w:t>
      </w:r>
      <w:r w:rsidR="008D758F">
        <w:rPr>
          <w:lang w:val="es-ES"/>
        </w:rPr>
        <w:t>con</w:t>
      </w:r>
      <w:r w:rsidR="008D758F" w:rsidRPr="00570524">
        <w:rPr>
          <w:lang w:val="es-ES"/>
        </w:rPr>
        <w:t xml:space="preserve"> </w:t>
      </w:r>
      <w:r w:rsidR="008D758F">
        <w:rPr>
          <w:lang w:val="es-ES"/>
        </w:rPr>
        <w:t>e</w:t>
      </w:r>
      <w:r w:rsidR="008D758F" w:rsidRPr="00570524">
        <w:rPr>
          <w:lang w:val="es-ES"/>
        </w:rPr>
        <w:t xml:space="preserve">l </w:t>
      </w:r>
      <w:r w:rsidR="004D1C6B">
        <w:rPr>
          <w:lang w:val="es-ES"/>
        </w:rPr>
        <w:t>I</w:t>
      </w:r>
      <w:r w:rsidR="00ED7CE5">
        <w:rPr>
          <w:lang w:val="es-ES"/>
        </w:rPr>
        <w:t> </w:t>
      </w:r>
      <w:r w:rsidR="004D1C6B">
        <w:rPr>
          <w:lang w:val="es-ES"/>
        </w:rPr>
        <w:t>T</w:t>
      </w:r>
      <w:r w:rsidR="00ED7CE5">
        <w:rPr>
          <w:lang w:val="es-ES"/>
        </w:rPr>
        <w:t> </w:t>
      </w:r>
      <w:r w:rsidR="004D1C6B">
        <w:rPr>
          <w:lang w:val="es-ES"/>
        </w:rPr>
        <w:t>202</w:t>
      </w:r>
      <w:r w:rsidR="00803692">
        <w:rPr>
          <w:lang w:val="es-ES"/>
        </w:rPr>
        <w:t>1</w:t>
      </w:r>
      <w:r w:rsidR="004D1C6B">
        <w:rPr>
          <w:lang w:val="es-ES"/>
        </w:rPr>
        <w:t xml:space="preserve"> </w:t>
      </w:r>
      <w:r w:rsidR="008D758F" w:rsidRPr="00570524">
        <w:rPr>
          <w:lang w:val="es-ES"/>
        </w:rPr>
        <w:t xml:space="preserve">se </w:t>
      </w:r>
      <w:r>
        <w:rPr>
          <w:lang w:val="es-ES"/>
        </w:rPr>
        <w:t>registr</w:t>
      </w:r>
      <w:r w:rsidR="0057796B">
        <w:rPr>
          <w:lang w:val="es-ES"/>
        </w:rPr>
        <w:t xml:space="preserve">ó un </w:t>
      </w:r>
      <w:r>
        <w:rPr>
          <w:lang w:val="es-ES"/>
        </w:rPr>
        <w:t>descenso</w:t>
      </w:r>
      <w:r w:rsidR="008D758F" w:rsidRPr="00570524">
        <w:rPr>
          <w:lang w:val="es-ES"/>
        </w:rPr>
        <w:t xml:space="preserve"> </w:t>
      </w:r>
      <w:r w:rsidR="0057796B" w:rsidRPr="001B28C2">
        <w:rPr>
          <w:lang w:val="es-ES"/>
        </w:rPr>
        <w:t>estadísticamente significativ</w:t>
      </w:r>
      <w:r w:rsidR="00820199">
        <w:rPr>
          <w:lang w:val="es-ES"/>
        </w:rPr>
        <w:t>o</w:t>
      </w:r>
      <w:r w:rsidR="0057796B" w:rsidRPr="001B28C2">
        <w:rPr>
          <w:lang w:val="es-ES"/>
        </w:rPr>
        <w:t xml:space="preserve"> de</w:t>
      </w:r>
      <w:r w:rsidR="0057796B" w:rsidRPr="00570524">
        <w:rPr>
          <w:lang w:val="es-ES"/>
        </w:rPr>
        <w:t xml:space="preserve"> </w:t>
      </w:r>
      <w:r w:rsidR="00ED7CE5">
        <w:rPr>
          <w:lang w:val="es-ES"/>
        </w:rPr>
        <w:t>4</w:t>
      </w:r>
      <w:r w:rsidR="0057796B">
        <w:rPr>
          <w:lang w:val="es-ES"/>
        </w:rPr>
        <w:t>.</w:t>
      </w:r>
      <w:r w:rsidR="00ED7CE5">
        <w:rPr>
          <w:lang w:val="es-ES"/>
        </w:rPr>
        <w:t>4</w:t>
      </w:r>
      <w:r w:rsidR="00EC6604">
        <w:rPr>
          <w:lang w:val="es-ES"/>
        </w:rPr>
        <w:t xml:space="preserve"> puntos porcentuales en el cambio de rutina relativa a</w:t>
      </w:r>
      <w:r w:rsidR="00EC6604" w:rsidRPr="00EC6604">
        <w:rPr>
          <w:lang w:val="es-ES"/>
        </w:rPr>
        <w:t xml:space="preserve"> </w:t>
      </w:r>
      <w:r w:rsidR="00EC6604">
        <w:rPr>
          <w:lang w:val="es-ES"/>
        </w:rPr>
        <w:t>visitar parientes o amigos, de</w:t>
      </w:r>
      <w:r w:rsidR="00ED7CE5">
        <w:rPr>
          <w:lang w:val="es-ES"/>
        </w:rPr>
        <w:t xml:space="preserve"> 3.3</w:t>
      </w:r>
      <w:r w:rsidR="00EC6604" w:rsidRPr="00EC6604">
        <w:rPr>
          <w:lang w:val="es-ES"/>
        </w:rPr>
        <w:t xml:space="preserve"> </w:t>
      </w:r>
      <w:r w:rsidR="000B007C">
        <w:rPr>
          <w:lang w:val="es-ES"/>
        </w:rPr>
        <w:t xml:space="preserve">respecto a </w:t>
      </w:r>
      <w:r w:rsidR="00EC6604">
        <w:rPr>
          <w:lang w:val="es-ES"/>
        </w:rPr>
        <w:t>llevar cosas de valor, de</w:t>
      </w:r>
      <w:r w:rsidR="00ED7CE5">
        <w:rPr>
          <w:lang w:val="es-ES"/>
        </w:rPr>
        <w:t xml:space="preserve"> 3.2 </w:t>
      </w:r>
      <w:r w:rsidR="000B007C">
        <w:rPr>
          <w:lang w:val="es-ES"/>
        </w:rPr>
        <w:t>a</w:t>
      </w:r>
      <w:r w:rsidR="00EC6604">
        <w:rPr>
          <w:lang w:val="es-ES"/>
        </w:rPr>
        <w:t xml:space="preserve"> c</w:t>
      </w:r>
      <w:r w:rsidR="00EC6604" w:rsidRPr="00EC6604">
        <w:rPr>
          <w:lang w:val="es-ES"/>
        </w:rPr>
        <w:t xml:space="preserve">aminar de noche en </w:t>
      </w:r>
      <w:r w:rsidR="00EC6604">
        <w:rPr>
          <w:lang w:val="es-ES"/>
        </w:rPr>
        <w:t xml:space="preserve">los </w:t>
      </w:r>
      <w:r w:rsidR="00EC6604" w:rsidRPr="00EC6604">
        <w:rPr>
          <w:lang w:val="es-ES"/>
        </w:rPr>
        <w:t>alrededores de su vivienda</w:t>
      </w:r>
      <w:r w:rsidR="00EC6604">
        <w:rPr>
          <w:lang w:val="es-ES"/>
        </w:rPr>
        <w:t xml:space="preserve"> </w:t>
      </w:r>
      <w:r w:rsidR="00ED7CE5">
        <w:rPr>
          <w:lang w:val="es-ES"/>
        </w:rPr>
        <w:t xml:space="preserve">y </w:t>
      </w:r>
      <w:r w:rsidR="00EC6604">
        <w:rPr>
          <w:lang w:val="es-ES"/>
        </w:rPr>
        <w:t xml:space="preserve">de </w:t>
      </w:r>
      <w:r w:rsidR="00ED7CE5">
        <w:rPr>
          <w:lang w:val="es-ES"/>
        </w:rPr>
        <w:t>1.8</w:t>
      </w:r>
      <w:r w:rsidR="00EC6604">
        <w:rPr>
          <w:lang w:val="es-ES"/>
        </w:rPr>
        <w:t xml:space="preserve"> puntos porcentuales</w:t>
      </w:r>
      <w:r w:rsidR="008D758F">
        <w:rPr>
          <w:lang w:val="es-ES"/>
        </w:rPr>
        <w:t xml:space="preserve"> </w:t>
      </w:r>
      <w:r w:rsidR="000B007C">
        <w:rPr>
          <w:lang w:val="es-ES"/>
        </w:rPr>
        <w:t xml:space="preserve">con relación a </w:t>
      </w:r>
      <w:r w:rsidR="00EC6604">
        <w:rPr>
          <w:lang w:val="es-ES"/>
        </w:rPr>
        <w:t>p</w:t>
      </w:r>
      <w:r w:rsidR="00EC6604" w:rsidRPr="00EC6604">
        <w:rPr>
          <w:lang w:val="es-ES"/>
        </w:rPr>
        <w:t>ermitir que menores salgan de su vivienda</w:t>
      </w:r>
      <w:r w:rsidR="008D758F">
        <w:rPr>
          <w:lang w:val="es-ES"/>
        </w:rPr>
        <w:t>.</w:t>
      </w:r>
    </w:p>
    <w:p w14:paraId="20711CB0" w14:textId="516FCACB" w:rsidR="000F1819" w:rsidRPr="009F1D98" w:rsidRDefault="000F1819" w:rsidP="000F1819">
      <w:pPr>
        <w:spacing w:before="240"/>
        <w:jc w:val="center"/>
        <w:rPr>
          <w:sz w:val="20"/>
          <w:lang w:val="es-ES"/>
        </w:rPr>
      </w:pPr>
      <w:r w:rsidRPr="009F1D98">
        <w:rPr>
          <w:sz w:val="20"/>
          <w:lang w:val="es-ES"/>
        </w:rPr>
        <w:t xml:space="preserve">Gráfica </w:t>
      </w:r>
      <w:r w:rsidR="003753FF">
        <w:rPr>
          <w:sz w:val="20"/>
          <w:lang w:val="es-ES"/>
        </w:rPr>
        <w:t>8</w:t>
      </w:r>
    </w:p>
    <w:p w14:paraId="133E0500" w14:textId="77777777" w:rsidR="001623BD" w:rsidRDefault="001623BD" w:rsidP="000F1819">
      <w:pPr>
        <w:jc w:val="center"/>
        <w:rPr>
          <w:b/>
          <w:sz w:val="22"/>
          <w:szCs w:val="16"/>
          <w:lang w:val="es-ES"/>
        </w:rPr>
      </w:pPr>
      <w:r w:rsidRPr="001623BD">
        <w:rPr>
          <w:b/>
          <w:smallCaps/>
          <w:sz w:val="22"/>
          <w:szCs w:val="16"/>
          <w:lang w:val="es-ES"/>
        </w:rPr>
        <w:t>Cambio de rutinas por temor a sufrir algún delito</w:t>
      </w:r>
    </w:p>
    <w:p w14:paraId="3BA434D3" w14:textId="4D355D02" w:rsidR="00FA44D9" w:rsidRDefault="00FA44D9" w:rsidP="000F1819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tbl>
      <w:tblPr>
        <w:tblW w:w="96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22"/>
        <w:gridCol w:w="4700"/>
      </w:tblGrid>
      <w:tr w:rsidR="000F1819" w:rsidRPr="0063555B" w14:paraId="42F60A94" w14:textId="77777777" w:rsidTr="007B4EB9">
        <w:trPr>
          <w:trHeight w:val="1985"/>
          <w:jc w:val="center"/>
        </w:trPr>
        <w:tc>
          <w:tcPr>
            <w:tcW w:w="4700" w:type="dxa"/>
          </w:tcPr>
          <w:p w14:paraId="7CDF14A6" w14:textId="786F3E27" w:rsidR="000F1819" w:rsidRPr="0063555B" w:rsidRDefault="00FB4D41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5EB0657D" wp14:editId="3032480C">
                  <wp:extent cx="2879035" cy="1260000"/>
                  <wp:effectExtent l="0" t="0" r="0" b="0"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CA7DAB-738D-4185-83C4-402D10C98C5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8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152819CC" w14:textId="77777777" w:rsidR="000F1819" w:rsidRPr="0063555B" w:rsidRDefault="000F181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3E725364" w14:textId="109CF492" w:rsidR="000F1819" w:rsidRPr="0063555B" w:rsidRDefault="007B4EB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705F4493" wp14:editId="11D6BCCF">
                  <wp:extent cx="2880000" cy="1260000"/>
                  <wp:effectExtent l="0" t="0" r="0" b="0"/>
                  <wp:docPr id="22" name="Gráfico 2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5D0659-698E-4F90-9FDA-42B4F158DA8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39"/>
                    </a:graphicData>
                  </a:graphic>
                </wp:inline>
              </w:drawing>
            </w:r>
          </w:p>
        </w:tc>
      </w:tr>
      <w:tr w:rsidR="000F1819" w:rsidRPr="0063555B" w14:paraId="295AE2DB" w14:textId="77777777" w:rsidTr="00E261A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00" w:type="dxa"/>
          </w:tcPr>
          <w:p w14:paraId="7400B524" w14:textId="77777777" w:rsidR="000F1819" w:rsidRPr="0063555B" w:rsidRDefault="000F181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</w:tcPr>
          <w:p w14:paraId="5A321D10" w14:textId="77777777" w:rsidR="000F1819" w:rsidRPr="0063555B" w:rsidRDefault="000F181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4F91D9BC" w14:textId="77777777" w:rsidR="000F1819" w:rsidRPr="0063555B" w:rsidRDefault="000F181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F1819" w:rsidRPr="0063555B" w14:paraId="5A42F25A" w14:textId="77777777" w:rsidTr="007B4EB9">
        <w:trPr>
          <w:trHeight w:val="1985"/>
          <w:jc w:val="center"/>
        </w:trPr>
        <w:tc>
          <w:tcPr>
            <w:tcW w:w="4700" w:type="dxa"/>
          </w:tcPr>
          <w:p w14:paraId="1EBDB212" w14:textId="61AABD55" w:rsidR="000F1819" w:rsidRPr="0063555B" w:rsidRDefault="007B4EB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6E2E4A0E" wp14:editId="00DBF5AC">
                  <wp:extent cx="2880000" cy="1260000"/>
                  <wp:effectExtent l="0" t="0" r="0" b="0"/>
                  <wp:docPr id="24" name="Gráfico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07C71F-1E76-4858-B7DF-65B3D42AC5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0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6E650D17" w14:textId="77777777" w:rsidR="000F1819" w:rsidRPr="0063555B" w:rsidRDefault="000F181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35B4202B" w14:textId="44DA6583" w:rsidR="000F1819" w:rsidRPr="0063555B" w:rsidRDefault="007B4EB9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097522EB" wp14:editId="6DC94585">
                  <wp:extent cx="2880000" cy="1260000"/>
                  <wp:effectExtent l="0" t="0" r="0" b="0"/>
                  <wp:docPr id="25" name="Gráfico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9369C6-5E47-4FDC-A2D2-C7EE0AE41BE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1"/>
                    </a:graphicData>
                  </a:graphic>
                </wp:inline>
              </w:drawing>
            </w:r>
          </w:p>
        </w:tc>
      </w:tr>
    </w:tbl>
    <w:p w14:paraId="18578D98" w14:textId="76B73E9A" w:rsidR="00CF7D57" w:rsidRPr="0057796B" w:rsidRDefault="00CF7D57" w:rsidP="0008590A">
      <w:pPr>
        <w:autoSpaceDE w:val="0"/>
        <w:autoSpaceDN w:val="0"/>
        <w:adjustRightInd w:val="0"/>
        <w:spacing w:before="20"/>
        <w:ind w:left="647" w:right="-45" w:hanging="607"/>
        <w:jc w:val="both"/>
        <w:rPr>
          <w:color w:val="000000"/>
          <w:spacing w:val="-2"/>
          <w:sz w:val="16"/>
          <w:szCs w:val="16"/>
        </w:rPr>
      </w:pPr>
      <w:r w:rsidRPr="001648B2">
        <w:rPr>
          <w:color w:val="000000"/>
          <w:sz w:val="16"/>
          <w:szCs w:val="16"/>
        </w:rPr>
        <w:t>Nota:</w:t>
      </w:r>
      <w:r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pacing w:val="-2"/>
          <w:sz w:val="16"/>
          <w:szCs w:val="16"/>
        </w:rPr>
        <w:t xml:space="preserve">Debido a la emergencia sanitaria generada por el virus SARS-CoV2, fue cancelado el levantamiento correspondiente al segundo trimestre </w:t>
      </w:r>
      <w:r w:rsidRPr="0057796B">
        <w:rPr>
          <w:color w:val="000000"/>
          <w:spacing w:val="-2"/>
          <w:sz w:val="16"/>
          <w:szCs w:val="16"/>
        </w:rPr>
        <w:t>de 2020</w:t>
      </w:r>
      <w:r w:rsidR="0057796B" w:rsidRPr="0057796B">
        <w:rPr>
          <w:color w:val="000000"/>
          <w:sz w:val="16"/>
          <w:szCs w:val="16"/>
        </w:rPr>
        <w:t>, cuyos resultados serían publicados el 15 de julio de 2020.</w:t>
      </w:r>
    </w:p>
    <w:p w14:paraId="2E6220D0" w14:textId="77777777" w:rsidR="00CF7D57" w:rsidRPr="001648B2" w:rsidRDefault="00CF7D57" w:rsidP="001648B2">
      <w:pPr>
        <w:autoSpaceDE w:val="0"/>
        <w:autoSpaceDN w:val="0"/>
        <w:adjustRightInd w:val="0"/>
        <w:ind w:left="644" w:right="-43" w:hanging="605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Pr="001648B2">
        <w:rPr>
          <w:color w:val="000000"/>
          <w:sz w:val="16"/>
          <w:szCs w:val="16"/>
        </w:rPr>
        <w:t xml:space="preserve"> </w:t>
      </w:r>
    </w:p>
    <w:p w14:paraId="1F9F51B1" w14:textId="069B9AA0" w:rsidR="00FA44D9" w:rsidRPr="001B28C2" w:rsidRDefault="00FA44D9" w:rsidP="008C742B">
      <w:pPr>
        <w:spacing w:before="480"/>
        <w:rPr>
          <w:b/>
          <w:lang w:val="es-ES"/>
        </w:rPr>
      </w:pPr>
      <w:r w:rsidRPr="00FD78F4">
        <w:rPr>
          <w:b/>
          <w:lang w:val="es-ES"/>
        </w:rPr>
        <w:t xml:space="preserve">Percepción del </w:t>
      </w:r>
      <w:r w:rsidRPr="0008590A">
        <w:rPr>
          <w:b/>
          <w:lang w:val="es-ES"/>
        </w:rPr>
        <w:t xml:space="preserve">desempeño de las </w:t>
      </w:r>
      <w:r w:rsidR="0008590A" w:rsidRPr="0008590A">
        <w:rPr>
          <w:b/>
          <w:lang w:val="es-ES"/>
        </w:rPr>
        <w:t xml:space="preserve">policías </w:t>
      </w:r>
      <w:r w:rsidR="004746D2">
        <w:rPr>
          <w:b/>
          <w:lang w:val="es-ES"/>
        </w:rPr>
        <w:t>p</w:t>
      </w:r>
      <w:r w:rsidR="0008590A" w:rsidRPr="0008590A">
        <w:rPr>
          <w:b/>
          <w:lang w:val="es-ES"/>
        </w:rPr>
        <w:t xml:space="preserve">reventiva </w:t>
      </w:r>
      <w:r w:rsidR="004746D2">
        <w:rPr>
          <w:b/>
          <w:lang w:val="es-ES"/>
        </w:rPr>
        <w:t>m</w:t>
      </w:r>
      <w:r w:rsidR="0008590A" w:rsidRPr="0008590A">
        <w:rPr>
          <w:b/>
          <w:lang w:val="es-ES"/>
        </w:rPr>
        <w:t xml:space="preserve">unicipal, </w:t>
      </w:r>
      <w:r w:rsidR="004746D2">
        <w:rPr>
          <w:b/>
          <w:lang w:val="es-ES"/>
        </w:rPr>
        <w:t>e</w:t>
      </w:r>
      <w:r w:rsidR="0008590A" w:rsidRPr="0008590A">
        <w:rPr>
          <w:b/>
          <w:lang w:val="es-ES"/>
        </w:rPr>
        <w:t xml:space="preserve">statal, Guardia Nacional, Ejército y Marina, </w:t>
      </w:r>
      <w:r w:rsidRPr="0008590A">
        <w:rPr>
          <w:b/>
          <w:lang w:val="es-ES"/>
        </w:rPr>
        <w:t>para prevenir y combatir la delincuencia</w:t>
      </w:r>
    </w:p>
    <w:p w14:paraId="307063F3" w14:textId="2EF86C3E" w:rsidR="00295A5A" w:rsidRPr="00295A5A" w:rsidRDefault="00617FC1" w:rsidP="00295A5A">
      <w:pPr>
        <w:spacing w:before="240"/>
        <w:jc w:val="both"/>
        <w:rPr>
          <w:lang w:val="es-ES"/>
        </w:rPr>
      </w:pPr>
      <w:r w:rsidRPr="001B28C2">
        <w:rPr>
          <w:lang w:val="es-ES"/>
        </w:rPr>
        <w:t xml:space="preserve">Entre los resultados de la ENSU, correspondientes a </w:t>
      </w:r>
      <w:r w:rsidR="00803692">
        <w:rPr>
          <w:lang w:val="es-ES"/>
        </w:rPr>
        <w:t>marzo</w:t>
      </w:r>
      <w:r w:rsidRPr="001B28C2">
        <w:rPr>
          <w:lang w:val="es-ES"/>
        </w:rPr>
        <w:t xml:space="preserve"> de </w:t>
      </w:r>
      <w:r>
        <w:rPr>
          <w:lang w:val="es-ES"/>
        </w:rPr>
        <w:t>202</w:t>
      </w:r>
      <w:r w:rsidR="00803692">
        <w:rPr>
          <w:lang w:val="es-ES"/>
        </w:rPr>
        <w:t>2</w:t>
      </w:r>
      <w:r w:rsidRPr="001B28C2">
        <w:rPr>
          <w:lang w:val="es-ES"/>
        </w:rPr>
        <w:t xml:space="preserve">, destaca que los porcentajes de </w:t>
      </w:r>
      <w:r>
        <w:rPr>
          <w:lang w:val="es-ES"/>
        </w:rPr>
        <w:t xml:space="preserve">la </w:t>
      </w:r>
      <w:r w:rsidRPr="001B28C2">
        <w:rPr>
          <w:lang w:val="es-ES"/>
        </w:rPr>
        <w:t xml:space="preserve">población de 18 años y más que identificó a las diversas </w:t>
      </w:r>
      <w:r>
        <w:rPr>
          <w:lang w:val="es-ES"/>
        </w:rPr>
        <w:t>autoridades de seguridad pública</w:t>
      </w:r>
      <w:r w:rsidRPr="001B28C2">
        <w:rPr>
          <w:lang w:val="es-ES"/>
        </w:rPr>
        <w:t xml:space="preserve"> y que percibió su desempeño como “muy o algo efectivo” en sus labores para prevenir y combatir la delincuencia fueron: Marina (8</w:t>
      </w:r>
      <w:r w:rsidR="000B007C">
        <w:rPr>
          <w:lang w:val="es-ES"/>
        </w:rPr>
        <w:t>6</w:t>
      </w:r>
      <w:r w:rsidRPr="001B28C2">
        <w:rPr>
          <w:lang w:val="es-ES"/>
        </w:rPr>
        <w:t>%), Ejército (8</w:t>
      </w:r>
      <w:r w:rsidR="000B007C">
        <w:rPr>
          <w:lang w:val="es-ES"/>
        </w:rPr>
        <w:t>3.4</w:t>
      </w:r>
      <w:r w:rsidRPr="001B28C2">
        <w:rPr>
          <w:lang w:val="es-ES"/>
        </w:rPr>
        <w:t xml:space="preserve">%), </w:t>
      </w:r>
      <w:r>
        <w:rPr>
          <w:lang w:val="es-ES"/>
        </w:rPr>
        <w:t>Guardia Nacional (7</w:t>
      </w:r>
      <w:r w:rsidR="000B007C">
        <w:rPr>
          <w:lang w:val="es-ES"/>
        </w:rPr>
        <w:t>3.6</w:t>
      </w:r>
      <w:r>
        <w:rPr>
          <w:lang w:val="es-ES"/>
        </w:rPr>
        <w:t xml:space="preserve">%), </w:t>
      </w:r>
      <w:r w:rsidR="004746D2">
        <w:rPr>
          <w:lang w:val="es-ES"/>
        </w:rPr>
        <w:t>p</w:t>
      </w:r>
      <w:r w:rsidRPr="001B28C2">
        <w:rPr>
          <w:lang w:val="es-ES"/>
        </w:rPr>
        <w:t xml:space="preserve">olicía </w:t>
      </w:r>
      <w:r w:rsidR="004746D2">
        <w:rPr>
          <w:lang w:val="es-ES"/>
        </w:rPr>
        <w:t>e</w:t>
      </w:r>
      <w:r w:rsidRPr="001B28C2">
        <w:rPr>
          <w:lang w:val="es-ES"/>
        </w:rPr>
        <w:t>statal (</w:t>
      </w:r>
      <w:r w:rsidR="000B007C">
        <w:rPr>
          <w:lang w:val="es-ES"/>
        </w:rPr>
        <w:t>50.4</w:t>
      </w:r>
      <w:r w:rsidRPr="001B28C2">
        <w:rPr>
          <w:lang w:val="es-ES"/>
        </w:rPr>
        <w:t xml:space="preserve">%) y </w:t>
      </w:r>
      <w:r w:rsidR="004746D2">
        <w:rPr>
          <w:lang w:val="es-ES"/>
        </w:rPr>
        <w:t>p</w:t>
      </w:r>
      <w:r w:rsidRPr="001B28C2">
        <w:rPr>
          <w:lang w:val="es-ES"/>
        </w:rPr>
        <w:t xml:space="preserve">olicía </w:t>
      </w:r>
      <w:r w:rsidR="004746D2">
        <w:rPr>
          <w:lang w:val="es-ES"/>
        </w:rPr>
        <w:t>p</w:t>
      </w:r>
      <w:r w:rsidRPr="001B28C2">
        <w:rPr>
          <w:lang w:val="es-ES"/>
        </w:rPr>
        <w:t xml:space="preserve">reventiva </w:t>
      </w:r>
      <w:r w:rsidR="004746D2">
        <w:rPr>
          <w:lang w:val="es-ES"/>
        </w:rPr>
        <w:t>m</w:t>
      </w:r>
      <w:r w:rsidRPr="001B28C2">
        <w:rPr>
          <w:lang w:val="es-ES"/>
        </w:rPr>
        <w:t>unicipal (</w:t>
      </w:r>
      <w:r>
        <w:rPr>
          <w:lang w:val="es-ES"/>
        </w:rPr>
        <w:t>4</w:t>
      </w:r>
      <w:r w:rsidR="000B007C">
        <w:rPr>
          <w:lang w:val="es-ES"/>
        </w:rPr>
        <w:t>4.6</w:t>
      </w:r>
      <w:r w:rsidR="001648B2">
        <w:rPr>
          <w:lang w:val="es-ES"/>
        </w:rPr>
        <w:t>%</w:t>
      </w:r>
      <w:r w:rsidRPr="001B28C2">
        <w:rPr>
          <w:lang w:val="es-ES"/>
        </w:rPr>
        <w:t>).</w:t>
      </w:r>
    </w:p>
    <w:p w14:paraId="46E776FD" w14:textId="724D779E" w:rsidR="008C742B" w:rsidRDefault="008C742B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 w:type="page"/>
      </w:r>
    </w:p>
    <w:p w14:paraId="5B2FE1DC" w14:textId="14B63A88" w:rsidR="008C742B" w:rsidRPr="00061DB5" w:rsidRDefault="008C742B" w:rsidP="008C742B">
      <w:pPr>
        <w:spacing w:before="240"/>
        <w:jc w:val="center"/>
        <w:rPr>
          <w:sz w:val="20"/>
          <w:szCs w:val="20"/>
          <w:lang w:val="es-ES"/>
        </w:rPr>
      </w:pPr>
      <w:r w:rsidRPr="00061DB5">
        <w:rPr>
          <w:sz w:val="20"/>
          <w:szCs w:val="20"/>
          <w:lang w:val="es-ES"/>
        </w:rPr>
        <w:lastRenderedPageBreak/>
        <w:t xml:space="preserve">Gráfica </w:t>
      </w:r>
      <w:r w:rsidR="003753FF">
        <w:rPr>
          <w:sz w:val="20"/>
          <w:szCs w:val="20"/>
          <w:lang w:val="es-ES"/>
        </w:rPr>
        <w:t>9</w:t>
      </w:r>
    </w:p>
    <w:p w14:paraId="6568CAA1" w14:textId="3F95BD83" w:rsidR="00FA44D9" w:rsidRPr="001623BD" w:rsidRDefault="001623BD" w:rsidP="008C742B">
      <w:pPr>
        <w:jc w:val="center"/>
        <w:rPr>
          <w:b/>
          <w:smallCaps/>
          <w:sz w:val="22"/>
          <w:lang w:val="es-ES"/>
        </w:rPr>
      </w:pPr>
      <w:r w:rsidRPr="001623BD">
        <w:rPr>
          <w:b/>
          <w:smallCaps/>
          <w:sz w:val="22"/>
          <w:lang w:val="es-ES"/>
        </w:rPr>
        <w:t xml:space="preserve">Percepción del desempeño de las autoridades de seguridad pública </w:t>
      </w:r>
      <w:r w:rsidR="008C742B" w:rsidRPr="001623BD">
        <w:rPr>
          <w:b/>
          <w:smallCaps/>
          <w:sz w:val="22"/>
          <w:lang w:val="es-ES"/>
        </w:rPr>
        <w:br/>
        <w:t>“</w:t>
      </w:r>
      <w:r w:rsidRPr="001623BD">
        <w:rPr>
          <w:b/>
          <w:smallCaps/>
          <w:sz w:val="22"/>
          <w:lang w:val="es-ES"/>
        </w:rPr>
        <w:t>muy o algo efectivo</w:t>
      </w:r>
      <w:r w:rsidR="008C742B" w:rsidRPr="001623BD">
        <w:rPr>
          <w:b/>
          <w:smallCaps/>
          <w:sz w:val="22"/>
          <w:lang w:val="es-ES"/>
        </w:rPr>
        <w:t>”</w:t>
      </w:r>
    </w:p>
    <w:p w14:paraId="003268FF" w14:textId="7129C11A" w:rsidR="00FA44D9" w:rsidRDefault="00FA44D9" w:rsidP="008C742B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tbl>
      <w:tblPr>
        <w:tblW w:w="96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0"/>
        <w:gridCol w:w="222"/>
        <w:gridCol w:w="4700"/>
      </w:tblGrid>
      <w:tr w:rsidR="008C742B" w:rsidRPr="0063555B" w14:paraId="6910B521" w14:textId="77777777" w:rsidTr="00B0174A">
        <w:trPr>
          <w:trHeight w:val="1985"/>
          <w:jc w:val="center"/>
        </w:trPr>
        <w:tc>
          <w:tcPr>
            <w:tcW w:w="4730" w:type="dxa"/>
          </w:tcPr>
          <w:p w14:paraId="59992DA5" w14:textId="1C36D1E4" w:rsidR="008C742B" w:rsidRPr="0063555B" w:rsidRDefault="00B0174A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7E1EC77B" wp14:editId="7DD7A79A">
                  <wp:extent cx="2888190" cy="1260000"/>
                  <wp:effectExtent l="0" t="0" r="26670" b="16510"/>
                  <wp:docPr id="59" name="Gráfico 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24AA50-0DAB-42A0-9569-06BCA2BD50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2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6478FB04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1042ADC2" w14:textId="6C90BE96" w:rsidR="008C742B" w:rsidRPr="0063555B" w:rsidRDefault="00B0174A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07EC61AE" wp14:editId="126BF3F4">
                  <wp:extent cx="2881108" cy="1260000"/>
                  <wp:effectExtent l="0" t="0" r="14605" b="16510"/>
                  <wp:docPr id="60" name="Gráfico 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49F876-A54D-4A3D-A50F-4E2BED54764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3"/>
                    </a:graphicData>
                  </a:graphic>
                </wp:inline>
              </w:drawing>
            </w:r>
          </w:p>
        </w:tc>
      </w:tr>
      <w:tr w:rsidR="008C742B" w:rsidRPr="0063555B" w14:paraId="7953451F" w14:textId="77777777" w:rsidTr="00E261A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30" w:type="dxa"/>
          </w:tcPr>
          <w:p w14:paraId="4101A208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</w:tcPr>
          <w:p w14:paraId="76B1EE16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2307B263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8C742B" w:rsidRPr="0063555B" w14:paraId="5E6723D1" w14:textId="77777777" w:rsidTr="00742E52">
        <w:trPr>
          <w:trHeight w:val="1985"/>
          <w:jc w:val="center"/>
        </w:trPr>
        <w:tc>
          <w:tcPr>
            <w:tcW w:w="4730" w:type="dxa"/>
          </w:tcPr>
          <w:p w14:paraId="0A8FA935" w14:textId="43850720" w:rsidR="008C742B" w:rsidRPr="0063555B" w:rsidRDefault="00FC1D8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616F2E5D" wp14:editId="01529A87">
                  <wp:extent cx="2880000" cy="1260000"/>
                  <wp:effectExtent l="0" t="0" r="15875" b="16510"/>
                  <wp:docPr id="61" name="Gráfico 6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1ECBAB9-6397-4112-B2D6-19B9E3CCF0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4"/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14:paraId="445AFBF1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71803466" w14:textId="09656821" w:rsidR="008C742B" w:rsidRPr="0063555B" w:rsidRDefault="00742E52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12586B98" wp14:editId="65246322">
                  <wp:extent cx="2880000" cy="1260000"/>
                  <wp:effectExtent l="0" t="0" r="15875" b="16510"/>
                  <wp:docPr id="26" name="Gráfico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B7E221-5023-4A71-934C-42982C3B8B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5"/>
                    </a:graphicData>
                  </a:graphic>
                </wp:inline>
              </w:drawing>
            </w:r>
          </w:p>
        </w:tc>
      </w:tr>
      <w:tr w:rsidR="008C742B" w:rsidRPr="0063555B" w14:paraId="6F281F4A" w14:textId="77777777" w:rsidTr="00E261AC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730" w:type="dxa"/>
          </w:tcPr>
          <w:p w14:paraId="35D5DF05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22" w:type="dxa"/>
          </w:tcPr>
          <w:p w14:paraId="68D99157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4700" w:type="dxa"/>
          </w:tcPr>
          <w:p w14:paraId="7DA99E3A" w14:textId="77777777" w:rsidR="008C742B" w:rsidRPr="0063555B" w:rsidRDefault="008C742B" w:rsidP="005027A0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85388C" w:rsidRPr="0063555B" w14:paraId="5748677F" w14:textId="77777777" w:rsidTr="00742E52">
        <w:trPr>
          <w:trHeight w:hRule="exact" w:val="2041"/>
          <w:jc w:val="center"/>
        </w:trPr>
        <w:tc>
          <w:tcPr>
            <w:tcW w:w="9652" w:type="dxa"/>
            <w:gridSpan w:val="3"/>
          </w:tcPr>
          <w:p w14:paraId="084B9965" w14:textId="3551A480" w:rsidR="0085388C" w:rsidRPr="0063555B" w:rsidRDefault="00742E52" w:rsidP="00FC1D8B">
            <w:pPr>
              <w:spacing w:after="40"/>
              <w:jc w:val="center"/>
              <w:rPr>
                <w:b/>
                <w:sz w:val="16"/>
                <w:szCs w:val="16"/>
                <w:lang w:val="es-ES"/>
              </w:rPr>
            </w:pPr>
            <w:r w:rsidRPr="0063555B">
              <w:rPr>
                <w:noProof/>
                <w:sz w:val="16"/>
                <w:szCs w:val="16"/>
              </w:rPr>
              <w:drawing>
                <wp:inline distT="0" distB="0" distL="0" distR="0" wp14:anchorId="18209C91" wp14:editId="362326E4">
                  <wp:extent cx="2882330" cy="1260000"/>
                  <wp:effectExtent l="0" t="0" r="13335" b="16510"/>
                  <wp:docPr id="28" name="Gráfico 2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23E2BCA-D3D5-41A8-B598-EFC9740E04B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</w:tbl>
    <w:p w14:paraId="247BCEBE" w14:textId="2BDE56A9" w:rsidR="00D72DC2" w:rsidRPr="001648B2" w:rsidRDefault="00D72DC2" w:rsidP="001648B2">
      <w:pPr>
        <w:autoSpaceDE w:val="0"/>
        <w:autoSpaceDN w:val="0"/>
        <w:adjustRightInd w:val="0"/>
        <w:ind w:left="644" w:right="-43" w:hanging="605"/>
        <w:jc w:val="both"/>
        <w:rPr>
          <w:color w:val="000000"/>
          <w:spacing w:val="-2"/>
          <w:sz w:val="16"/>
          <w:szCs w:val="16"/>
        </w:rPr>
      </w:pPr>
      <w:r w:rsidRPr="001648B2">
        <w:rPr>
          <w:color w:val="000000"/>
          <w:sz w:val="16"/>
          <w:szCs w:val="16"/>
        </w:rPr>
        <w:t>Nota:</w:t>
      </w:r>
      <w:r w:rsidRPr="001648B2">
        <w:rPr>
          <w:color w:val="000000"/>
          <w:sz w:val="16"/>
          <w:szCs w:val="16"/>
        </w:rPr>
        <w:tab/>
      </w:r>
      <w:r w:rsidRPr="001648B2">
        <w:rPr>
          <w:color w:val="000000"/>
          <w:spacing w:val="-2"/>
          <w:sz w:val="16"/>
          <w:szCs w:val="16"/>
        </w:rPr>
        <w:t>Debido a la emergencia sanitaria generada por el virus SARS-CoV2, fue cancelado el levantamiento correspondiente al segundo trimestre de 2020</w:t>
      </w:r>
      <w:r w:rsidR="00C466C3" w:rsidRPr="00C466C3">
        <w:rPr>
          <w:color w:val="000000"/>
          <w:spacing w:val="-2"/>
          <w:sz w:val="16"/>
          <w:szCs w:val="16"/>
        </w:rPr>
        <w:t>, cuyos resultados serían publicados el 15 de julio de 2020</w:t>
      </w:r>
      <w:r w:rsidRPr="001648B2">
        <w:rPr>
          <w:color w:val="000000"/>
          <w:spacing w:val="-2"/>
          <w:sz w:val="16"/>
          <w:szCs w:val="16"/>
        </w:rPr>
        <w:t>.</w:t>
      </w:r>
    </w:p>
    <w:p w14:paraId="58C4622C" w14:textId="77777777" w:rsidR="00D72DC2" w:rsidRPr="001648B2" w:rsidRDefault="00D72DC2" w:rsidP="001648B2">
      <w:pPr>
        <w:autoSpaceDE w:val="0"/>
        <w:autoSpaceDN w:val="0"/>
        <w:adjustRightInd w:val="0"/>
        <w:ind w:left="644" w:right="-43" w:hanging="605"/>
        <w:rPr>
          <w:color w:val="000000"/>
          <w:sz w:val="16"/>
          <w:szCs w:val="16"/>
        </w:rPr>
      </w:pPr>
      <w:r w:rsidRPr="001648B2">
        <w:rPr>
          <w:color w:val="000000"/>
          <w:sz w:val="16"/>
          <w:szCs w:val="14"/>
        </w:rPr>
        <w:t>Fuente:</w:t>
      </w:r>
      <w:r w:rsidRPr="001648B2">
        <w:rPr>
          <w:color w:val="000000"/>
          <w:sz w:val="16"/>
          <w:szCs w:val="14"/>
        </w:rPr>
        <w:tab/>
        <w:t>INEGI. Encuesta Nacional de Seguridad Pública Urbana (ENSU).</w:t>
      </w:r>
      <w:r w:rsidRPr="001648B2">
        <w:rPr>
          <w:color w:val="000000"/>
          <w:sz w:val="16"/>
          <w:szCs w:val="16"/>
        </w:rPr>
        <w:t xml:space="preserve"> </w:t>
      </w:r>
    </w:p>
    <w:p w14:paraId="7F26A05B" w14:textId="77777777" w:rsidR="00FA44D9" w:rsidRPr="004A3402" w:rsidRDefault="00FA44D9" w:rsidP="0085388C">
      <w:pPr>
        <w:spacing w:before="480"/>
        <w:rPr>
          <w:b/>
          <w:lang w:val="es-ES"/>
        </w:rPr>
      </w:pPr>
      <w:r w:rsidRPr="004A3402">
        <w:rPr>
          <w:b/>
          <w:lang w:val="es-ES"/>
        </w:rPr>
        <w:t>Desempeño gubernamental (percepción)</w:t>
      </w:r>
    </w:p>
    <w:p w14:paraId="40F54D01" w14:textId="20BA024D" w:rsidR="00617FC1" w:rsidRDefault="00617FC1" w:rsidP="00617FC1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>
        <w:rPr>
          <w:lang w:val="es-ES"/>
        </w:rPr>
        <w:t xml:space="preserve">En </w:t>
      </w:r>
      <w:r w:rsidR="003F77C0">
        <w:rPr>
          <w:lang w:val="es-ES"/>
        </w:rPr>
        <w:t xml:space="preserve">marzo </w:t>
      </w:r>
      <w:r>
        <w:rPr>
          <w:lang w:val="es-ES"/>
        </w:rPr>
        <w:t>de 202</w:t>
      </w:r>
      <w:r w:rsidR="00803692">
        <w:rPr>
          <w:lang w:val="es-ES"/>
        </w:rPr>
        <w:t>2</w:t>
      </w:r>
      <w:r>
        <w:rPr>
          <w:lang w:val="es-ES"/>
        </w:rPr>
        <w:t xml:space="preserve">, </w:t>
      </w:r>
      <w:r w:rsidR="000B007C">
        <w:rPr>
          <w:lang w:val="es-ES"/>
        </w:rPr>
        <w:t>76.6</w:t>
      </w:r>
      <w:r w:rsidRPr="00514587">
        <w:rPr>
          <w:lang w:val="es-ES"/>
        </w:rPr>
        <w:t>% de la población de 18 años y más manifestó como uno de los problemas más importantes en su ciudad l</w:t>
      </w:r>
      <w:r>
        <w:rPr>
          <w:lang w:val="es-ES"/>
        </w:rPr>
        <w:t>a existencia de</w:t>
      </w:r>
      <w:r w:rsidRPr="00514587">
        <w:rPr>
          <w:lang w:val="es-ES"/>
        </w:rPr>
        <w:t xml:space="preserve"> “bache</w:t>
      </w:r>
      <w:r>
        <w:rPr>
          <w:lang w:val="es-ES"/>
        </w:rPr>
        <w:t>s en calles y avenidas”,</w:t>
      </w:r>
      <w:r w:rsidRPr="00514587">
        <w:rPr>
          <w:lang w:val="es-ES"/>
        </w:rPr>
        <w:t xml:space="preserve"> </w:t>
      </w:r>
      <w:r w:rsidR="000B007C">
        <w:rPr>
          <w:lang w:val="es-ES"/>
        </w:rPr>
        <w:t>58.5</w:t>
      </w:r>
      <w:r w:rsidRPr="00514587">
        <w:rPr>
          <w:lang w:val="es-ES"/>
        </w:rPr>
        <w:t xml:space="preserve">% </w:t>
      </w:r>
      <w:r>
        <w:rPr>
          <w:lang w:val="es-ES"/>
        </w:rPr>
        <w:t>e</w:t>
      </w:r>
      <w:r w:rsidRPr="00514587">
        <w:rPr>
          <w:lang w:val="es-ES"/>
        </w:rPr>
        <w:t>l</w:t>
      </w:r>
      <w:r>
        <w:rPr>
          <w:lang w:val="es-ES"/>
        </w:rPr>
        <w:t xml:space="preserve"> </w:t>
      </w:r>
      <w:r w:rsidRPr="00514587">
        <w:rPr>
          <w:lang w:val="es-ES"/>
        </w:rPr>
        <w:t>“alumbrado público insuficiente”</w:t>
      </w:r>
      <w:r>
        <w:rPr>
          <w:lang w:val="es-ES"/>
        </w:rPr>
        <w:t xml:space="preserve"> </w:t>
      </w:r>
      <w:r w:rsidRPr="00514587">
        <w:rPr>
          <w:lang w:val="es-ES"/>
        </w:rPr>
        <w:t xml:space="preserve">y </w:t>
      </w:r>
      <w:r>
        <w:rPr>
          <w:lang w:val="es-ES"/>
        </w:rPr>
        <w:t>5</w:t>
      </w:r>
      <w:r w:rsidR="000B007C">
        <w:rPr>
          <w:lang w:val="es-ES"/>
        </w:rPr>
        <w:t>5.5</w:t>
      </w:r>
      <w:r>
        <w:rPr>
          <w:lang w:val="es-ES"/>
        </w:rPr>
        <w:t>% consideró a la</w:t>
      </w:r>
      <w:r w:rsidRPr="00514587">
        <w:rPr>
          <w:lang w:val="es-ES"/>
        </w:rPr>
        <w:t xml:space="preserve"> “</w:t>
      </w:r>
      <w:r>
        <w:rPr>
          <w:lang w:val="es-ES"/>
        </w:rPr>
        <w:t>delincuencia (robos, extorsiones, secuestros, fraudes, etc.)</w:t>
      </w:r>
      <w:r w:rsidRPr="00514587">
        <w:rPr>
          <w:lang w:val="es-ES"/>
        </w:rPr>
        <w:t>”.</w:t>
      </w:r>
    </w:p>
    <w:p w14:paraId="2191F147" w14:textId="2CCE2C60" w:rsidR="00FA44D9" w:rsidRDefault="00617FC1" w:rsidP="00617FC1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 w:rsidRPr="00341C10">
        <w:rPr>
          <w:lang w:val="es-ES"/>
        </w:rPr>
        <w:t xml:space="preserve">Respecto </w:t>
      </w:r>
      <w:r w:rsidR="007952FD">
        <w:rPr>
          <w:lang w:val="es-ES"/>
        </w:rPr>
        <w:t>a</w:t>
      </w:r>
      <w:r w:rsidRPr="00341C10">
        <w:rPr>
          <w:lang w:val="es-ES"/>
        </w:rPr>
        <w:t xml:space="preserve"> “hospitales saturados o con servicio deficiente”, </w:t>
      </w:r>
      <w:r w:rsidR="000B007C">
        <w:rPr>
          <w:lang w:val="es-ES"/>
        </w:rPr>
        <w:t>35.2</w:t>
      </w:r>
      <w:r w:rsidRPr="00341C10">
        <w:rPr>
          <w:lang w:val="es-ES"/>
        </w:rPr>
        <w:t xml:space="preserve">% de la población de 18 años y más </w:t>
      </w:r>
      <w:r w:rsidR="003F77C0">
        <w:rPr>
          <w:lang w:val="es-ES"/>
        </w:rPr>
        <w:t xml:space="preserve">los </w:t>
      </w:r>
      <w:r w:rsidRPr="00341C10">
        <w:rPr>
          <w:lang w:val="es-ES"/>
        </w:rPr>
        <w:t>identific</w:t>
      </w:r>
      <w:r w:rsidR="00742E52">
        <w:rPr>
          <w:lang w:val="es-ES"/>
        </w:rPr>
        <w:t>ó</w:t>
      </w:r>
      <w:r w:rsidRPr="00341C10">
        <w:rPr>
          <w:lang w:val="es-ES"/>
        </w:rPr>
        <w:t xml:space="preserve"> como uno de los problemas más importantes en las ciudades.</w:t>
      </w:r>
    </w:p>
    <w:p w14:paraId="4EE92CF3" w14:textId="77777777" w:rsidR="0085388C" w:rsidRDefault="0085388C">
      <w:pPr>
        <w:rPr>
          <w:sz w:val="20"/>
          <w:lang w:val="es-ES"/>
        </w:rPr>
      </w:pPr>
      <w:r>
        <w:rPr>
          <w:sz w:val="20"/>
          <w:lang w:val="es-ES"/>
        </w:rPr>
        <w:br w:type="page"/>
      </w:r>
    </w:p>
    <w:p w14:paraId="0CC61D78" w14:textId="61E79A90" w:rsidR="0085388C" w:rsidRPr="00160511" w:rsidRDefault="0085388C" w:rsidP="0085388C">
      <w:pPr>
        <w:spacing w:before="240"/>
        <w:jc w:val="center"/>
        <w:rPr>
          <w:sz w:val="20"/>
          <w:lang w:val="es-ES"/>
        </w:rPr>
      </w:pPr>
      <w:r>
        <w:rPr>
          <w:sz w:val="20"/>
          <w:lang w:val="es-ES"/>
        </w:rPr>
        <w:lastRenderedPageBreak/>
        <w:t xml:space="preserve">Gráfica </w:t>
      </w:r>
      <w:r w:rsidR="003753FF">
        <w:rPr>
          <w:sz w:val="20"/>
          <w:lang w:val="es-ES"/>
        </w:rPr>
        <w:t>10</w:t>
      </w:r>
    </w:p>
    <w:p w14:paraId="0E216143" w14:textId="77777777" w:rsidR="001623BD" w:rsidRDefault="001623BD" w:rsidP="0085388C">
      <w:pPr>
        <w:jc w:val="center"/>
        <w:rPr>
          <w:b/>
          <w:bCs/>
          <w:sz w:val="22"/>
          <w:szCs w:val="18"/>
        </w:rPr>
      </w:pPr>
      <w:r w:rsidRPr="001623BD">
        <w:rPr>
          <w:b/>
          <w:bCs/>
          <w:smallCaps/>
          <w:sz w:val="22"/>
          <w:szCs w:val="18"/>
        </w:rPr>
        <w:t>Problemáticas más importantes en ciudades</w:t>
      </w:r>
    </w:p>
    <w:p w14:paraId="68754DF6" w14:textId="319D0C5A" w:rsidR="00FA44D9" w:rsidRDefault="00FA44D9" w:rsidP="0085388C">
      <w:pPr>
        <w:jc w:val="center"/>
        <w:rPr>
          <w:sz w:val="18"/>
          <w:szCs w:val="16"/>
          <w:lang w:val="es-ES"/>
        </w:rPr>
      </w:pPr>
      <w:r>
        <w:rPr>
          <w:sz w:val="18"/>
          <w:szCs w:val="16"/>
          <w:lang w:val="es-ES"/>
        </w:rPr>
        <w:t>(Porcentaje)</w:t>
      </w:r>
    </w:p>
    <w:p w14:paraId="773CB8E5" w14:textId="17A4E461" w:rsidR="00FA44D9" w:rsidRDefault="00FC1D8B" w:rsidP="009E6DBB">
      <w:pPr>
        <w:spacing w:after="20"/>
        <w:jc w:val="center"/>
        <w:rPr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2BDA1031" wp14:editId="7319FE13">
            <wp:extent cx="5040000" cy="4032000"/>
            <wp:effectExtent l="0" t="0" r="8255" b="6985"/>
            <wp:docPr id="129" name="Gráfico 129">
              <a:extLst xmlns:a="http://schemas.openxmlformats.org/drawingml/2006/main">
                <a:ext uri="{FF2B5EF4-FFF2-40B4-BE49-F238E27FC236}">
                  <a16:creationId xmlns:a16="http://schemas.microsoft.com/office/drawing/2014/main" id="{6AD7A9C8-3B98-4585-AA05-3A9A911FD3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14:paraId="19CB1FFA" w14:textId="77777777" w:rsidR="00D72DC2" w:rsidRPr="00BD202F" w:rsidRDefault="00D72DC2" w:rsidP="00D72DC2">
      <w:pPr>
        <w:autoSpaceDE w:val="0"/>
        <w:autoSpaceDN w:val="0"/>
        <w:adjustRightInd w:val="0"/>
        <w:ind w:left="1358" w:right="-43" w:hanging="521"/>
        <w:rPr>
          <w:color w:val="000000"/>
          <w:sz w:val="16"/>
          <w:szCs w:val="16"/>
        </w:rPr>
      </w:pPr>
      <w:r w:rsidRPr="00BD202F">
        <w:rPr>
          <w:color w:val="000000"/>
          <w:sz w:val="16"/>
          <w:szCs w:val="14"/>
        </w:rPr>
        <w:t>Fuente:</w:t>
      </w:r>
      <w:r w:rsidRPr="00BD202F">
        <w:rPr>
          <w:color w:val="000000"/>
          <w:sz w:val="16"/>
          <w:szCs w:val="14"/>
        </w:rPr>
        <w:tab/>
        <w:t>INEGI. Encuesta Nacional de Seguridad Pública Urbana (ENSU).</w:t>
      </w:r>
      <w:r w:rsidRPr="00BD202F">
        <w:rPr>
          <w:color w:val="000000"/>
          <w:sz w:val="16"/>
          <w:szCs w:val="16"/>
        </w:rPr>
        <w:t xml:space="preserve"> </w:t>
      </w:r>
    </w:p>
    <w:p w14:paraId="6AEC68BF" w14:textId="64CB1E35" w:rsidR="00FA44D9" w:rsidRPr="00FD78F4" w:rsidRDefault="004C3D04" w:rsidP="00030BF8">
      <w:pPr>
        <w:spacing w:before="360"/>
        <w:jc w:val="both"/>
        <w:rPr>
          <w:lang w:val="es-ES"/>
        </w:rPr>
      </w:pPr>
      <w:r w:rsidRPr="004C3D04">
        <w:rPr>
          <w:lang w:val="es-ES"/>
        </w:rPr>
        <w:t xml:space="preserve">En </w:t>
      </w:r>
      <w:r w:rsidR="00FF7923">
        <w:rPr>
          <w:lang w:val="es-ES"/>
        </w:rPr>
        <w:t>marzo</w:t>
      </w:r>
      <w:r w:rsidRPr="004C3D04">
        <w:rPr>
          <w:lang w:val="es-ES"/>
        </w:rPr>
        <w:t xml:space="preserve"> de 202</w:t>
      </w:r>
      <w:r w:rsidR="00FF7923">
        <w:rPr>
          <w:lang w:val="es-ES"/>
        </w:rPr>
        <w:t>2</w:t>
      </w:r>
      <w:r w:rsidRPr="004C3D04">
        <w:rPr>
          <w:lang w:val="es-ES"/>
        </w:rPr>
        <w:t xml:space="preserve">, </w:t>
      </w:r>
      <w:r w:rsidR="004F6B69">
        <w:rPr>
          <w:lang w:val="es-ES"/>
        </w:rPr>
        <w:t>28.</w:t>
      </w:r>
      <w:r w:rsidR="000B007C">
        <w:rPr>
          <w:lang w:val="es-ES"/>
        </w:rPr>
        <w:t>9</w:t>
      </w:r>
      <w:r w:rsidR="004F6B69" w:rsidRPr="00C60E12">
        <w:rPr>
          <w:lang w:val="es-ES"/>
        </w:rPr>
        <w:t>%</w:t>
      </w:r>
      <w:r w:rsidR="00471C38">
        <w:rPr>
          <w:lang w:val="es-ES"/>
        </w:rPr>
        <w:t xml:space="preserve"> </w:t>
      </w:r>
      <w:r w:rsidR="00617FC1" w:rsidRPr="002B3A10">
        <w:rPr>
          <w:lang w:val="es-ES"/>
        </w:rPr>
        <w:t xml:space="preserve">de la población de 18 años y más </w:t>
      </w:r>
      <w:r w:rsidR="004F6B69" w:rsidRPr="00C60E12">
        <w:rPr>
          <w:lang w:val="es-ES"/>
        </w:rPr>
        <w:t>a nivel nacional</w:t>
      </w:r>
      <w:r w:rsidR="004F6B69" w:rsidRPr="002B3A10">
        <w:rPr>
          <w:lang w:val="es-ES"/>
        </w:rPr>
        <w:t xml:space="preserve"> </w:t>
      </w:r>
      <w:r w:rsidR="00617FC1" w:rsidRPr="002B3A10">
        <w:rPr>
          <w:lang w:val="es-ES"/>
        </w:rPr>
        <w:t>consideró al gobierno de su ciudad como “muy o algo efectivo” para resolve</w:t>
      </w:r>
      <w:r w:rsidR="00617FC1">
        <w:rPr>
          <w:lang w:val="es-ES"/>
        </w:rPr>
        <w:t>r los problemas más importantes</w:t>
      </w:r>
      <w:r w:rsidR="00617FC1" w:rsidRPr="00C60E12">
        <w:rPr>
          <w:lang w:val="es-ES"/>
        </w:rPr>
        <w:t xml:space="preserve">. </w:t>
      </w:r>
      <w:r w:rsidR="00617FC1" w:rsidRPr="009E3BDC">
        <w:rPr>
          <w:lang w:val="es-ES"/>
        </w:rPr>
        <w:t xml:space="preserve">Las </w:t>
      </w:r>
      <w:r w:rsidR="00617FC1" w:rsidRPr="001B28C2">
        <w:rPr>
          <w:lang w:val="es-ES"/>
        </w:rPr>
        <w:t xml:space="preserve">ciudades con mayor porcentaje en dicha percepción fueron: </w:t>
      </w:r>
      <w:r w:rsidR="00617FC1">
        <w:rPr>
          <w:lang w:val="es-ES"/>
        </w:rPr>
        <w:t>Piedras Negras (6</w:t>
      </w:r>
      <w:r w:rsidR="00EA18BD">
        <w:rPr>
          <w:lang w:val="es-ES"/>
        </w:rPr>
        <w:t>2.3</w:t>
      </w:r>
      <w:r w:rsidR="00617FC1">
        <w:rPr>
          <w:lang w:val="es-ES"/>
        </w:rPr>
        <w:t>%), Apodaca (</w:t>
      </w:r>
      <w:r w:rsidR="00EA18BD">
        <w:rPr>
          <w:lang w:val="es-ES"/>
        </w:rPr>
        <w:t>58.5</w:t>
      </w:r>
      <w:r w:rsidR="00617FC1">
        <w:rPr>
          <w:lang w:val="es-ES"/>
        </w:rPr>
        <w:t xml:space="preserve">%) y </w:t>
      </w:r>
      <w:r w:rsidR="00EA18BD">
        <w:rPr>
          <w:lang w:val="es-ES"/>
        </w:rPr>
        <w:t xml:space="preserve">Tampico </w:t>
      </w:r>
      <w:r w:rsidR="00617FC1">
        <w:rPr>
          <w:lang w:val="es-ES"/>
        </w:rPr>
        <w:t>(5</w:t>
      </w:r>
      <w:r w:rsidR="00EA18BD">
        <w:rPr>
          <w:lang w:val="es-ES"/>
        </w:rPr>
        <w:t>3.3</w:t>
      </w:r>
      <w:r w:rsidR="00617FC1">
        <w:rPr>
          <w:lang w:val="es-ES"/>
        </w:rPr>
        <w:t>%)</w:t>
      </w:r>
      <w:r w:rsidR="004F6B69">
        <w:rPr>
          <w:lang w:val="es-ES"/>
        </w:rPr>
        <w:t>.</w:t>
      </w:r>
      <w:r w:rsidR="00617FC1" w:rsidRPr="001B28C2">
        <w:rPr>
          <w:lang w:val="es-ES"/>
        </w:rPr>
        <w:t xml:space="preserve"> </w:t>
      </w:r>
      <w:r w:rsidR="004F6B69">
        <w:rPr>
          <w:lang w:val="es-ES"/>
        </w:rPr>
        <w:t>L</w:t>
      </w:r>
      <w:r w:rsidR="00617FC1" w:rsidRPr="001B28C2">
        <w:rPr>
          <w:lang w:val="es-ES"/>
        </w:rPr>
        <w:t xml:space="preserve">as ciudades con menor porcentaje de percepción de efectividad para resolver problemas fueron: </w:t>
      </w:r>
      <w:r w:rsidR="00EA18BD">
        <w:rPr>
          <w:lang w:val="es-ES"/>
        </w:rPr>
        <w:t>Ecatepec</w:t>
      </w:r>
      <w:r w:rsidR="003C48C7">
        <w:rPr>
          <w:lang w:val="es-ES"/>
        </w:rPr>
        <w:t xml:space="preserve"> (10.</w:t>
      </w:r>
      <w:r w:rsidR="00EA18BD">
        <w:rPr>
          <w:lang w:val="es-ES"/>
        </w:rPr>
        <w:t>9</w:t>
      </w:r>
      <w:r w:rsidR="003C48C7" w:rsidRPr="001B28C2">
        <w:rPr>
          <w:lang w:val="es-ES"/>
        </w:rPr>
        <w:t>%)</w:t>
      </w:r>
      <w:r w:rsidR="003C48C7">
        <w:rPr>
          <w:lang w:val="es-ES"/>
        </w:rPr>
        <w:t xml:space="preserve">, </w:t>
      </w:r>
      <w:r w:rsidR="00EA18BD">
        <w:rPr>
          <w:lang w:eastAsia="es-MX"/>
        </w:rPr>
        <w:t xml:space="preserve">Fresnillo </w:t>
      </w:r>
      <w:r w:rsidR="00617FC1">
        <w:rPr>
          <w:lang w:val="es-ES"/>
        </w:rPr>
        <w:t>(</w:t>
      </w:r>
      <w:r w:rsidR="003C48C7">
        <w:rPr>
          <w:lang w:val="es-ES"/>
        </w:rPr>
        <w:t>1</w:t>
      </w:r>
      <w:r w:rsidR="00EA18BD">
        <w:rPr>
          <w:lang w:val="es-ES"/>
        </w:rPr>
        <w:t>3.4</w:t>
      </w:r>
      <w:r w:rsidR="00617FC1">
        <w:rPr>
          <w:lang w:val="es-ES"/>
        </w:rPr>
        <w:t>%) y</w:t>
      </w:r>
      <w:r w:rsidR="00617FC1" w:rsidRPr="001B28C2">
        <w:rPr>
          <w:lang w:eastAsia="es-MX"/>
        </w:rPr>
        <w:t xml:space="preserve"> </w:t>
      </w:r>
      <w:r w:rsidR="00EA18BD" w:rsidRPr="00EA18BD">
        <w:rPr>
          <w:lang w:eastAsia="es-MX"/>
        </w:rPr>
        <w:t>Cuautitlán Izcalli</w:t>
      </w:r>
      <w:r w:rsidR="003C48C7">
        <w:rPr>
          <w:lang w:eastAsia="es-MX"/>
        </w:rPr>
        <w:t xml:space="preserve"> </w:t>
      </w:r>
      <w:r w:rsidR="00617FC1">
        <w:rPr>
          <w:lang w:eastAsia="es-MX"/>
        </w:rPr>
        <w:t>(1</w:t>
      </w:r>
      <w:r w:rsidR="00EA18BD">
        <w:rPr>
          <w:lang w:eastAsia="es-MX"/>
        </w:rPr>
        <w:t>4.</w:t>
      </w:r>
      <w:r w:rsidR="003C48C7">
        <w:rPr>
          <w:lang w:eastAsia="es-MX"/>
        </w:rPr>
        <w:t>3</w:t>
      </w:r>
      <w:r>
        <w:rPr>
          <w:lang w:eastAsia="es-MX"/>
        </w:rPr>
        <w:t>%</w:t>
      </w:r>
      <w:r w:rsidR="00617FC1">
        <w:rPr>
          <w:lang w:eastAsia="es-MX"/>
        </w:rPr>
        <w:t>)</w:t>
      </w:r>
      <w:r w:rsidR="00617FC1" w:rsidRPr="009E3BDC">
        <w:rPr>
          <w:lang w:val="es-ES"/>
        </w:rPr>
        <w:t>.</w:t>
      </w:r>
    </w:p>
    <w:p w14:paraId="2C160247" w14:textId="77777777" w:rsidR="00975836" w:rsidRDefault="00975836">
      <w:pPr>
        <w:rPr>
          <w:sz w:val="20"/>
          <w:lang w:val="es-ES"/>
        </w:rPr>
      </w:pPr>
      <w:bookmarkStart w:id="13" w:name="_Hlk74140258"/>
      <w:r>
        <w:rPr>
          <w:sz w:val="20"/>
          <w:lang w:val="es-ES"/>
        </w:rPr>
        <w:br w:type="page"/>
      </w:r>
    </w:p>
    <w:p w14:paraId="73BA4F8F" w14:textId="54E68F58" w:rsidR="00975836" w:rsidRPr="00160511" w:rsidRDefault="00975836" w:rsidP="00975836">
      <w:pPr>
        <w:spacing w:before="240"/>
        <w:jc w:val="center"/>
        <w:rPr>
          <w:sz w:val="20"/>
          <w:lang w:val="es-ES"/>
        </w:rPr>
      </w:pPr>
      <w:r w:rsidRPr="00160511">
        <w:rPr>
          <w:sz w:val="20"/>
          <w:lang w:val="es-ES"/>
        </w:rPr>
        <w:lastRenderedPageBreak/>
        <w:t>Mapa 2</w:t>
      </w:r>
    </w:p>
    <w:bookmarkEnd w:id="13"/>
    <w:p w14:paraId="01164CDE" w14:textId="3587E6B1" w:rsidR="00FA44D9" w:rsidRPr="001623BD" w:rsidRDefault="001623BD" w:rsidP="00975836">
      <w:pPr>
        <w:jc w:val="center"/>
        <w:rPr>
          <w:b/>
          <w:bCs/>
          <w:smallCaps/>
          <w:sz w:val="22"/>
          <w:szCs w:val="18"/>
        </w:rPr>
      </w:pPr>
      <w:r w:rsidRPr="001623BD">
        <w:rPr>
          <w:b/>
          <w:bCs/>
          <w:smallCaps/>
          <w:sz w:val="22"/>
          <w:szCs w:val="18"/>
        </w:rPr>
        <w:t>Percepción de la población sobre la efectividad del gobierno de su ciudad</w:t>
      </w:r>
      <w:r>
        <w:rPr>
          <w:b/>
          <w:bCs/>
          <w:smallCaps/>
          <w:sz w:val="22"/>
          <w:szCs w:val="18"/>
        </w:rPr>
        <w:br/>
      </w:r>
      <w:r w:rsidRPr="001623BD">
        <w:rPr>
          <w:b/>
          <w:bCs/>
          <w:smallCaps/>
          <w:sz w:val="22"/>
          <w:szCs w:val="18"/>
        </w:rPr>
        <w:t xml:space="preserve"> para resolver las principales problemáticas, por ciudad de interés</w:t>
      </w:r>
      <w:r w:rsidR="00D95532" w:rsidRPr="001623BD">
        <w:rPr>
          <w:b/>
          <w:bCs/>
          <w:smallCaps/>
          <w:sz w:val="22"/>
          <w:szCs w:val="18"/>
        </w:rPr>
        <w:t xml:space="preserve">, </w:t>
      </w:r>
      <w:r w:rsidRPr="001623BD">
        <w:rPr>
          <w:b/>
          <w:bCs/>
          <w:smallCaps/>
          <w:sz w:val="22"/>
          <w:szCs w:val="18"/>
        </w:rPr>
        <w:t>marzo</w:t>
      </w:r>
      <w:r w:rsidR="00D95532" w:rsidRPr="001623BD">
        <w:rPr>
          <w:b/>
          <w:bCs/>
          <w:smallCaps/>
          <w:sz w:val="22"/>
          <w:szCs w:val="18"/>
        </w:rPr>
        <w:t xml:space="preserve"> </w:t>
      </w:r>
      <w:r w:rsidRPr="001623BD">
        <w:rPr>
          <w:b/>
          <w:bCs/>
          <w:smallCaps/>
          <w:sz w:val="22"/>
          <w:szCs w:val="18"/>
        </w:rPr>
        <w:t>de 202</w:t>
      </w:r>
      <w:r w:rsidR="00841DAA" w:rsidRPr="001623BD">
        <w:rPr>
          <w:b/>
          <w:bCs/>
          <w:smallCaps/>
          <w:sz w:val="22"/>
          <w:szCs w:val="18"/>
        </w:rPr>
        <w:t>2</w:t>
      </w:r>
    </w:p>
    <w:p w14:paraId="3A53AE2B" w14:textId="6CE82BAC" w:rsidR="0073314B" w:rsidRPr="001623BD" w:rsidRDefault="0073314B" w:rsidP="00975836">
      <w:pPr>
        <w:jc w:val="center"/>
        <w:rPr>
          <w:smallCaps/>
          <w:sz w:val="18"/>
          <w:szCs w:val="16"/>
          <w:lang w:val="es-ES"/>
        </w:rPr>
      </w:pPr>
      <w:r w:rsidRPr="001623BD">
        <w:rPr>
          <w:b/>
          <w:smallCaps/>
          <w:sz w:val="22"/>
          <w:lang w:val="es-ES"/>
        </w:rPr>
        <w:t>“</w:t>
      </w:r>
      <w:r w:rsidR="001623BD" w:rsidRPr="001623BD">
        <w:rPr>
          <w:b/>
          <w:smallCaps/>
          <w:sz w:val="22"/>
          <w:lang w:val="es-ES"/>
        </w:rPr>
        <w:t>muy o algo efectivo</w:t>
      </w:r>
      <w:r w:rsidRPr="001623BD">
        <w:rPr>
          <w:b/>
          <w:smallCaps/>
          <w:sz w:val="22"/>
          <w:lang w:val="es-ES"/>
        </w:rPr>
        <w:t>”</w:t>
      </w:r>
      <w:r w:rsidR="003E5E74" w:rsidRPr="001623BD">
        <w:rPr>
          <w:b/>
          <w:smallCaps/>
          <w:sz w:val="22"/>
          <w:vertAlign w:val="superscript"/>
          <w:lang w:val="es-ES"/>
        </w:rPr>
        <w:t>1/</w:t>
      </w:r>
    </w:p>
    <w:p w14:paraId="4F8F9685" w14:textId="75853660" w:rsidR="00FA44D9" w:rsidRDefault="00FA44D9" w:rsidP="00975836">
      <w:pPr>
        <w:jc w:val="center"/>
        <w:rPr>
          <w:sz w:val="18"/>
          <w:szCs w:val="16"/>
          <w:lang w:val="es-ES"/>
        </w:rPr>
      </w:pPr>
      <w:r w:rsidRPr="00254424">
        <w:rPr>
          <w:sz w:val="18"/>
          <w:szCs w:val="16"/>
          <w:lang w:val="es-ES"/>
        </w:rPr>
        <w:t>(Porcentaje)</w:t>
      </w:r>
    </w:p>
    <w:p w14:paraId="1283EF66" w14:textId="20F7E104" w:rsidR="007636DF" w:rsidRDefault="00AA221D" w:rsidP="00325DD3">
      <w:pPr>
        <w:spacing w:after="20"/>
        <w:jc w:val="center"/>
        <w:rPr>
          <w:sz w:val="18"/>
          <w:szCs w:val="16"/>
          <w:lang w:val="es-ES"/>
        </w:rPr>
      </w:pPr>
      <w:r>
        <w:rPr>
          <w:noProof/>
          <w:sz w:val="18"/>
          <w:szCs w:val="16"/>
          <w:lang w:val="es-ES"/>
        </w:rPr>
        <w:drawing>
          <wp:inline distT="0" distB="0" distL="0" distR="0" wp14:anchorId="5A8C15E7" wp14:editId="2B9B7ADE">
            <wp:extent cx="5940000" cy="4027679"/>
            <wp:effectExtent l="0" t="0" r="3810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40276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841059" w14:textId="5BC24388" w:rsidR="003E5E74" w:rsidRPr="007952FD" w:rsidRDefault="003E5E74" w:rsidP="006D3DFE">
      <w:pPr>
        <w:autoSpaceDE w:val="0"/>
        <w:autoSpaceDN w:val="0"/>
        <w:adjustRightInd w:val="0"/>
        <w:ind w:left="629" w:hanging="578"/>
        <w:rPr>
          <w:color w:val="000000"/>
          <w:sz w:val="16"/>
          <w:szCs w:val="16"/>
        </w:rPr>
      </w:pPr>
      <w:r w:rsidRPr="006D3DFE">
        <w:rPr>
          <w:color w:val="000000"/>
          <w:sz w:val="18"/>
          <w:szCs w:val="18"/>
          <w:vertAlign w:val="superscript"/>
        </w:rPr>
        <w:t>1/</w:t>
      </w:r>
      <w:r w:rsidRPr="007952FD">
        <w:rPr>
          <w:color w:val="000000"/>
          <w:sz w:val="16"/>
          <w:szCs w:val="16"/>
          <w:vertAlign w:val="superscript"/>
        </w:rPr>
        <w:tab/>
      </w:r>
      <w:r w:rsidRPr="007952FD">
        <w:rPr>
          <w:color w:val="000000"/>
          <w:sz w:val="16"/>
          <w:szCs w:val="16"/>
        </w:rPr>
        <w:t>Incluye las opciones de respuesta "Muy efectivo" y "Algo efectivo".</w:t>
      </w:r>
    </w:p>
    <w:p w14:paraId="1155F2EE" w14:textId="1751E34A" w:rsidR="00FA44D9" w:rsidRPr="007952FD" w:rsidRDefault="00FA44D9" w:rsidP="00C65CFF">
      <w:pPr>
        <w:autoSpaceDE w:val="0"/>
        <w:autoSpaceDN w:val="0"/>
        <w:adjustRightInd w:val="0"/>
        <w:ind w:left="630" w:hanging="578"/>
        <w:rPr>
          <w:color w:val="000000"/>
          <w:sz w:val="16"/>
          <w:szCs w:val="16"/>
        </w:rPr>
      </w:pPr>
      <w:r w:rsidRPr="007952FD">
        <w:rPr>
          <w:color w:val="000000"/>
          <w:sz w:val="16"/>
          <w:szCs w:val="16"/>
        </w:rPr>
        <w:t>Fuente:</w:t>
      </w:r>
      <w:r w:rsidR="003E5E74" w:rsidRPr="007952FD">
        <w:rPr>
          <w:color w:val="000000"/>
          <w:sz w:val="16"/>
          <w:szCs w:val="16"/>
        </w:rPr>
        <w:tab/>
      </w:r>
      <w:r w:rsidR="00D72DC2" w:rsidRPr="007952FD">
        <w:rPr>
          <w:color w:val="000000"/>
          <w:sz w:val="16"/>
          <w:szCs w:val="16"/>
        </w:rPr>
        <w:t>I</w:t>
      </w:r>
      <w:r w:rsidRPr="007952FD">
        <w:rPr>
          <w:color w:val="000000"/>
          <w:sz w:val="16"/>
          <w:szCs w:val="16"/>
        </w:rPr>
        <w:t>NEGI. Encuesta Nacional de Seguridad Pública Urbana (ENSU).</w:t>
      </w:r>
    </w:p>
    <w:p w14:paraId="56E81711" w14:textId="77777777" w:rsidR="00C71992" w:rsidRDefault="00C71992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1ED34B99" w14:textId="74A3CA24" w:rsidR="00877B15" w:rsidRPr="003A3618" w:rsidRDefault="00DA44B4" w:rsidP="00877B15">
      <w:pPr>
        <w:autoSpaceDE w:val="0"/>
        <w:autoSpaceDN w:val="0"/>
        <w:adjustRightInd w:val="0"/>
        <w:spacing w:before="480"/>
        <w:rPr>
          <w:color w:val="000000"/>
        </w:rPr>
      </w:pPr>
      <w:r w:rsidRPr="003A3618">
        <w:rPr>
          <w:b/>
          <w:lang w:val="es-ES"/>
        </w:rPr>
        <w:lastRenderedPageBreak/>
        <w:t>Fuentes de c</w:t>
      </w:r>
      <w:r w:rsidR="00877B15" w:rsidRPr="003A3618">
        <w:rPr>
          <w:b/>
          <w:lang w:val="es-ES"/>
        </w:rPr>
        <w:t>onsulta de información sobre seguridad pública (experiencia)</w:t>
      </w:r>
    </w:p>
    <w:p w14:paraId="423468E9" w14:textId="250B9A8E" w:rsidR="00DA44B4" w:rsidRDefault="00BE3359" w:rsidP="00DA44B4">
      <w:pPr>
        <w:spacing w:before="240"/>
        <w:jc w:val="both"/>
        <w:rPr>
          <w:lang w:val="es-ES"/>
        </w:rPr>
      </w:pPr>
      <w:r>
        <w:rPr>
          <w:lang w:val="es-ES"/>
        </w:rPr>
        <w:t xml:space="preserve">En marzo de 2022, </w:t>
      </w:r>
      <w:r w:rsidR="00DA44B4" w:rsidRPr="003A3618">
        <w:rPr>
          <w:lang w:val="es-ES"/>
        </w:rPr>
        <w:t>6</w:t>
      </w:r>
      <w:r w:rsidR="00DF5766">
        <w:rPr>
          <w:lang w:val="es-ES"/>
        </w:rPr>
        <w:t>3.2</w:t>
      </w:r>
      <w:r w:rsidR="00DA44B4" w:rsidRPr="003A3618">
        <w:rPr>
          <w:lang w:val="es-ES"/>
        </w:rPr>
        <w:t>% de la población de 18</w:t>
      </w:r>
      <w:r w:rsidR="00DA44B4" w:rsidRPr="00CD0B21">
        <w:rPr>
          <w:lang w:val="es-ES"/>
        </w:rPr>
        <w:t xml:space="preserve"> años y más consult</w:t>
      </w:r>
      <w:r w:rsidR="00A62FAD">
        <w:rPr>
          <w:lang w:val="es-ES"/>
        </w:rPr>
        <w:t>ó</w:t>
      </w:r>
      <w:r w:rsidR="00DA44B4" w:rsidRPr="00CD0B21">
        <w:rPr>
          <w:lang w:val="es-ES"/>
        </w:rPr>
        <w:t xml:space="preserve"> los “noticieros en televisión” para informarse sobre la seguridad pública, el</w:t>
      </w:r>
      <w:r w:rsidR="00DA44B4">
        <w:rPr>
          <w:lang w:val="es-ES"/>
        </w:rPr>
        <w:t xml:space="preserve"> narcotráfico y la violencia</w:t>
      </w:r>
      <w:r w:rsidR="0046246C">
        <w:rPr>
          <w:lang w:val="es-ES"/>
        </w:rPr>
        <w:t>,</w:t>
      </w:r>
      <w:r w:rsidR="00DA44B4" w:rsidRPr="00CD0B21">
        <w:rPr>
          <w:lang w:val="es-ES"/>
        </w:rPr>
        <w:t xml:space="preserve"> </w:t>
      </w:r>
      <w:r w:rsidR="00DF5766">
        <w:rPr>
          <w:lang w:val="es-ES"/>
        </w:rPr>
        <w:t>55.5% se inform</w:t>
      </w:r>
      <w:r w:rsidR="00A62FAD">
        <w:rPr>
          <w:lang w:val="es-ES"/>
        </w:rPr>
        <w:t>ó</w:t>
      </w:r>
      <w:r w:rsidR="00DF5766">
        <w:rPr>
          <w:lang w:val="es-ES"/>
        </w:rPr>
        <w:t xml:space="preserve"> por medio de </w:t>
      </w:r>
      <w:r w:rsidR="00DF5766" w:rsidRPr="00CF015F">
        <w:rPr>
          <w:i/>
          <w:lang w:val="es-ES"/>
        </w:rPr>
        <w:t>Facebook</w:t>
      </w:r>
      <w:r w:rsidR="0046246C">
        <w:rPr>
          <w:lang w:val="es-ES"/>
        </w:rPr>
        <w:t>,</w:t>
      </w:r>
      <w:r w:rsidR="00DA44B4" w:rsidRPr="00CD0B21">
        <w:rPr>
          <w:lang w:val="es-ES"/>
        </w:rPr>
        <w:t xml:space="preserve"> </w:t>
      </w:r>
      <w:r w:rsidR="00DF5766" w:rsidRPr="00CD0B21">
        <w:rPr>
          <w:lang w:val="es-ES"/>
        </w:rPr>
        <w:t>5</w:t>
      </w:r>
      <w:r w:rsidR="00DF5766">
        <w:rPr>
          <w:lang w:val="es-ES"/>
        </w:rPr>
        <w:t>5.1</w:t>
      </w:r>
      <w:r w:rsidR="00DF5766" w:rsidRPr="00CD0B21">
        <w:rPr>
          <w:lang w:val="es-ES"/>
        </w:rPr>
        <w:t>% mant</w:t>
      </w:r>
      <w:r w:rsidR="00A62FAD">
        <w:rPr>
          <w:lang w:val="es-ES"/>
        </w:rPr>
        <w:t>uvo</w:t>
      </w:r>
      <w:r w:rsidR="00DF5766" w:rsidRPr="00CD0B21">
        <w:rPr>
          <w:lang w:val="es-ES"/>
        </w:rPr>
        <w:t xml:space="preserve"> “comunicación personal en el entorno de la vivienda” para dicho propósito</w:t>
      </w:r>
      <w:r w:rsidR="00DA44B4">
        <w:rPr>
          <w:lang w:val="es-ES"/>
        </w:rPr>
        <w:t xml:space="preserve"> y 2</w:t>
      </w:r>
      <w:r w:rsidR="00DF5766">
        <w:rPr>
          <w:lang w:val="es-ES"/>
        </w:rPr>
        <w:t>1.9</w:t>
      </w:r>
      <w:r w:rsidR="00DA44B4" w:rsidRPr="00CD0B21">
        <w:rPr>
          <w:lang w:val="es-ES"/>
        </w:rPr>
        <w:t xml:space="preserve">% </w:t>
      </w:r>
      <w:r w:rsidR="00DA44B4">
        <w:rPr>
          <w:lang w:val="es-ES"/>
        </w:rPr>
        <w:t>a través de</w:t>
      </w:r>
      <w:r w:rsidR="00DA44B4" w:rsidRPr="00CD0B21">
        <w:rPr>
          <w:lang w:val="es-ES"/>
        </w:rPr>
        <w:t xml:space="preserve"> “</w:t>
      </w:r>
      <w:r w:rsidR="00DA44B4">
        <w:rPr>
          <w:lang w:val="es-ES"/>
        </w:rPr>
        <w:t>internet</w:t>
      </w:r>
      <w:r w:rsidR="00DA44B4" w:rsidRPr="00CD0B21">
        <w:rPr>
          <w:lang w:val="es-ES"/>
        </w:rPr>
        <w:t>”.</w:t>
      </w:r>
    </w:p>
    <w:p w14:paraId="387F5115" w14:textId="77777777" w:rsidR="00DA44B4" w:rsidRPr="003960F4" w:rsidRDefault="00DA44B4" w:rsidP="00DA44B4">
      <w:pPr>
        <w:spacing w:before="240"/>
        <w:jc w:val="center"/>
        <w:rPr>
          <w:sz w:val="20"/>
          <w:lang w:val="es-ES"/>
        </w:rPr>
      </w:pPr>
      <w:r w:rsidRPr="003960F4">
        <w:rPr>
          <w:sz w:val="20"/>
          <w:lang w:val="es-ES"/>
        </w:rPr>
        <w:t>Gráfica 1</w:t>
      </w:r>
      <w:r>
        <w:rPr>
          <w:sz w:val="20"/>
          <w:lang w:val="es-ES"/>
        </w:rPr>
        <w:t>1</w:t>
      </w:r>
    </w:p>
    <w:p w14:paraId="07567670" w14:textId="154322AB" w:rsidR="00DA44B4" w:rsidRPr="00CC54A7" w:rsidRDefault="00CC54A7" w:rsidP="00DA44B4">
      <w:pPr>
        <w:jc w:val="center"/>
        <w:rPr>
          <w:b/>
          <w:smallCaps/>
          <w:sz w:val="22"/>
          <w:lang w:val="es-ES"/>
        </w:rPr>
      </w:pPr>
      <w:r w:rsidRPr="00CC54A7">
        <w:rPr>
          <w:b/>
          <w:bCs/>
          <w:smallCaps/>
          <w:sz w:val="22"/>
          <w:szCs w:val="18"/>
          <w:lang w:val="es-ES"/>
        </w:rPr>
        <w:t xml:space="preserve">Formas de enterarse sobre </w:t>
      </w:r>
      <w:r w:rsidRPr="00CC54A7">
        <w:rPr>
          <w:b/>
          <w:smallCaps/>
          <w:sz w:val="22"/>
          <w:lang w:val="es-ES"/>
        </w:rPr>
        <w:t xml:space="preserve">la situación de la seguridad pública </w:t>
      </w:r>
      <w:r w:rsidR="00DA44B4" w:rsidRPr="00CC54A7">
        <w:rPr>
          <w:b/>
          <w:smallCaps/>
          <w:sz w:val="22"/>
          <w:lang w:val="es-ES"/>
        </w:rPr>
        <w:br/>
      </w:r>
      <w:r w:rsidRPr="00CC54A7">
        <w:rPr>
          <w:b/>
          <w:smallCaps/>
          <w:sz w:val="22"/>
          <w:lang w:val="es-ES"/>
        </w:rPr>
        <w:t>en su ciudad,</w:t>
      </w:r>
      <w:r w:rsidR="00DA44B4" w:rsidRPr="00CC54A7">
        <w:rPr>
          <w:b/>
          <w:smallCaps/>
          <w:sz w:val="22"/>
          <w:lang w:val="es-ES"/>
        </w:rPr>
        <w:t xml:space="preserve"> </w:t>
      </w:r>
      <w:r w:rsidRPr="00CC54A7">
        <w:rPr>
          <w:b/>
          <w:smallCaps/>
          <w:sz w:val="22"/>
          <w:lang w:val="es-ES"/>
        </w:rPr>
        <w:t>a nivel nacional</w:t>
      </w:r>
    </w:p>
    <w:p w14:paraId="76E1528C" w14:textId="77777777" w:rsidR="00DA44B4" w:rsidRDefault="00DA44B4" w:rsidP="00DA44B4">
      <w:pPr>
        <w:autoSpaceDE w:val="0"/>
        <w:autoSpaceDN w:val="0"/>
        <w:adjustRightInd w:val="0"/>
        <w:jc w:val="center"/>
        <w:rPr>
          <w:sz w:val="18"/>
          <w:szCs w:val="16"/>
          <w:lang w:val="es-ES"/>
        </w:rPr>
      </w:pPr>
      <w:r>
        <w:rPr>
          <w:sz w:val="18"/>
          <w:szCs w:val="16"/>
          <w:lang w:val="es-ES"/>
        </w:rPr>
        <w:t>(Porcentaje)</w:t>
      </w:r>
    </w:p>
    <w:p w14:paraId="3D28C4EA" w14:textId="1F47FFB5" w:rsidR="00DA44B4" w:rsidRPr="00473EE1" w:rsidRDefault="00FC1D8B" w:rsidP="00DA44B4">
      <w:pPr>
        <w:autoSpaceDE w:val="0"/>
        <w:autoSpaceDN w:val="0"/>
        <w:adjustRightInd w:val="0"/>
        <w:jc w:val="center"/>
        <w:rPr>
          <w:sz w:val="18"/>
          <w:szCs w:val="16"/>
          <w:lang w:val="es-ES"/>
        </w:rPr>
      </w:pPr>
      <w:r>
        <w:rPr>
          <w:noProof/>
        </w:rPr>
        <w:drawing>
          <wp:inline distT="0" distB="0" distL="0" distR="0" wp14:anchorId="28297BA0" wp14:editId="5A787DCB">
            <wp:extent cx="5040000" cy="3420000"/>
            <wp:effectExtent l="0" t="0" r="8255" b="9525"/>
            <wp:docPr id="140" name="Gráfico 140">
              <a:extLst xmlns:a="http://schemas.openxmlformats.org/drawingml/2006/main">
                <a:ext uri="{FF2B5EF4-FFF2-40B4-BE49-F238E27FC236}">
                  <a16:creationId xmlns:a16="http://schemas.microsoft.com/office/drawing/2014/main" id="{ABC0333F-1205-4492-B249-878CE4E66A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14:paraId="601708D1" w14:textId="77777777" w:rsidR="00DA44B4" w:rsidRPr="001C6E79" w:rsidRDefault="00DA44B4" w:rsidP="00DA44B4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1</w:t>
      </w:r>
      <w:r w:rsidRPr="001C6E79">
        <w:rPr>
          <w:bCs/>
          <w:color w:val="000000"/>
          <w:sz w:val="16"/>
          <w:szCs w:val="16"/>
        </w:rPr>
        <w:tab/>
        <w:t>Se refiere a "platicando con familiares, vecinos o conocidos en los alrededores de su vivienda".</w:t>
      </w:r>
    </w:p>
    <w:p w14:paraId="6EBA2286" w14:textId="063EA222" w:rsidR="00DA44B4" w:rsidRPr="001C6E79" w:rsidRDefault="00DA44B4" w:rsidP="00DA44B4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2</w:t>
      </w:r>
      <w:r w:rsidRPr="001C6E79">
        <w:rPr>
          <w:bCs/>
          <w:color w:val="000000"/>
          <w:sz w:val="16"/>
          <w:szCs w:val="16"/>
        </w:rPr>
        <w:tab/>
        <w:t xml:space="preserve">Incluye páginas, periódicos, revistas y </w:t>
      </w:r>
      <w:r w:rsidRPr="00DF5766">
        <w:rPr>
          <w:bCs/>
          <w:i/>
          <w:color w:val="000000"/>
          <w:sz w:val="16"/>
          <w:szCs w:val="16"/>
        </w:rPr>
        <w:t>YouTube</w:t>
      </w:r>
      <w:r w:rsidRPr="001C6E79">
        <w:rPr>
          <w:bCs/>
          <w:color w:val="000000"/>
          <w:sz w:val="16"/>
          <w:szCs w:val="16"/>
        </w:rPr>
        <w:t>.</w:t>
      </w:r>
    </w:p>
    <w:p w14:paraId="75CB5E65" w14:textId="77777777" w:rsidR="00DA44B4" w:rsidRPr="001C6E79" w:rsidRDefault="00DA44B4" w:rsidP="00DA44B4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3</w:t>
      </w:r>
      <w:r w:rsidRPr="001C6E79">
        <w:rPr>
          <w:bCs/>
          <w:color w:val="000000"/>
          <w:sz w:val="16"/>
          <w:szCs w:val="16"/>
        </w:rPr>
        <w:tab/>
        <w:t>Se refiere a "platicando con compañeros de su trabajo o escuela".</w:t>
      </w:r>
    </w:p>
    <w:p w14:paraId="15F1424E" w14:textId="77777777" w:rsidR="00DA44B4" w:rsidRPr="001C6E79" w:rsidRDefault="00DA44B4" w:rsidP="00DA44B4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4</w:t>
      </w:r>
      <w:r w:rsidRPr="001C6E79">
        <w:rPr>
          <w:bCs/>
          <w:color w:val="000000"/>
          <w:sz w:val="16"/>
          <w:szCs w:val="16"/>
        </w:rPr>
        <w:tab/>
        <w:t xml:space="preserve">Diferente de </w:t>
      </w:r>
      <w:r w:rsidRPr="00DF5766">
        <w:rPr>
          <w:bCs/>
          <w:i/>
          <w:color w:val="000000"/>
          <w:sz w:val="16"/>
          <w:szCs w:val="16"/>
        </w:rPr>
        <w:t>Facebook, Twitter y WhatsApp</w:t>
      </w:r>
      <w:r w:rsidRPr="001C6E79">
        <w:rPr>
          <w:bCs/>
          <w:color w:val="000000"/>
          <w:sz w:val="16"/>
          <w:szCs w:val="16"/>
        </w:rPr>
        <w:t>.</w:t>
      </w:r>
    </w:p>
    <w:p w14:paraId="63895651" w14:textId="77777777" w:rsidR="00DA44B4" w:rsidRPr="001C6E79" w:rsidRDefault="00DA44B4" w:rsidP="00DA44B4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6"/>
          <w:szCs w:val="16"/>
        </w:rPr>
        <w:t>Fuente:</w:t>
      </w:r>
      <w:r w:rsidRPr="001C6E79">
        <w:rPr>
          <w:bCs/>
          <w:color w:val="000000"/>
          <w:sz w:val="16"/>
          <w:szCs w:val="16"/>
        </w:rPr>
        <w:tab/>
        <w:t>INEGI. Encuesta Nacional de Seguridad Pública Urbana (ENSU).</w:t>
      </w:r>
    </w:p>
    <w:p w14:paraId="2B07FFD4" w14:textId="3FD8431B" w:rsidR="00877B15" w:rsidRDefault="00AA50B7" w:rsidP="00DA44B4">
      <w:pPr>
        <w:spacing w:before="240"/>
        <w:jc w:val="both"/>
        <w:rPr>
          <w:lang w:val="es-ES"/>
        </w:rPr>
      </w:pPr>
      <w:r>
        <w:rPr>
          <w:lang w:val="es-ES"/>
        </w:rPr>
        <w:t>D</w:t>
      </w:r>
      <w:r w:rsidR="00877B15" w:rsidRPr="00694F2D">
        <w:rPr>
          <w:lang w:val="es-ES"/>
        </w:rPr>
        <w:t>e las mujeres de 18 años y más</w:t>
      </w:r>
      <w:r>
        <w:rPr>
          <w:lang w:val="es-ES"/>
        </w:rPr>
        <w:t>, 65.5</w:t>
      </w:r>
      <w:r w:rsidRPr="00694F2D">
        <w:rPr>
          <w:lang w:val="es-ES"/>
        </w:rPr>
        <w:t>%</w:t>
      </w:r>
      <w:r w:rsidR="00877B15" w:rsidRPr="00694F2D">
        <w:rPr>
          <w:lang w:val="es-ES"/>
        </w:rPr>
        <w:t xml:space="preserve"> manifestó</w:t>
      </w:r>
      <w:r w:rsidR="00877B15">
        <w:rPr>
          <w:lang w:val="es-ES"/>
        </w:rPr>
        <w:t xml:space="preserve"> haber </w:t>
      </w:r>
      <w:r w:rsidR="00877B15" w:rsidRPr="00694F2D">
        <w:rPr>
          <w:lang w:val="es-ES"/>
        </w:rPr>
        <w:t>consult</w:t>
      </w:r>
      <w:r w:rsidR="00877B15">
        <w:rPr>
          <w:lang w:val="es-ES"/>
        </w:rPr>
        <w:t>ado</w:t>
      </w:r>
      <w:r w:rsidR="00877B15" w:rsidRPr="00694F2D">
        <w:rPr>
          <w:lang w:val="es-ES"/>
        </w:rPr>
        <w:t xml:space="preserve"> los “noticieros en televisión” para informarse sobre la </w:t>
      </w:r>
      <w:r w:rsidR="00877B15">
        <w:rPr>
          <w:lang w:val="es-ES"/>
        </w:rPr>
        <w:t xml:space="preserve">situación de la </w:t>
      </w:r>
      <w:r w:rsidR="00877B15" w:rsidRPr="00694F2D">
        <w:rPr>
          <w:lang w:val="es-ES"/>
        </w:rPr>
        <w:t>seguridad pública</w:t>
      </w:r>
      <w:r w:rsidR="00877B15">
        <w:rPr>
          <w:lang w:val="es-ES"/>
        </w:rPr>
        <w:t xml:space="preserve"> en su ciudad,</w:t>
      </w:r>
      <w:r w:rsidR="00877B15" w:rsidRPr="00694F2D">
        <w:rPr>
          <w:lang w:val="es-ES"/>
        </w:rPr>
        <w:t xml:space="preserve"> mientras que </w:t>
      </w:r>
      <w:r w:rsidR="00877B15">
        <w:rPr>
          <w:lang w:val="es-ES"/>
        </w:rPr>
        <w:t>5</w:t>
      </w:r>
      <w:r w:rsidR="001A20A7">
        <w:rPr>
          <w:lang w:val="es-ES"/>
        </w:rPr>
        <w:t>8.5</w:t>
      </w:r>
      <w:r w:rsidR="00877B15" w:rsidRPr="00694F2D">
        <w:rPr>
          <w:lang w:val="es-ES"/>
        </w:rPr>
        <w:t xml:space="preserve">% </w:t>
      </w:r>
      <w:r w:rsidR="00877B15">
        <w:rPr>
          <w:lang w:val="es-ES"/>
        </w:rPr>
        <w:t xml:space="preserve">lo hizo a través </w:t>
      </w:r>
      <w:r w:rsidR="001A20A7">
        <w:rPr>
          <w:lang w:val="es-ES"/>
        </w:rPr>
        <w:t>de “c</w:t>
      </w:r>
      <w:r w:rsidR="001A20A7" w:rsidRPr="001A20A7">
        <w:rPr>
          <w:lang w:val="es-ES"/>
        </w:rPr>
        <w:t>omunicación personal en el entorno de la vivienda</w:t>
      </w:r>
      <w:r w:rsidR="001A20A7">
        <w:rPr>
          <w:lang w:val="es-ES"/>
        </w:rPr>
        <w:t>”</w:t>
      </w:r>
      <w:r w:rsidR="00877B15">
        <w:rPr>
          <w:i/>
          <w:lang w:val="es-ES"/>
        </w:rPr>
        <w:t xml:space="preserve">. </w:t>
      </w:r>
      <w:r w:rsidR="00877B15">
        <w:rPr>
          <w:lang w:val="es-ES"/>
        </w:rPr>
        <w:t>Por su parte, 6</w:t>
      </w:r>
      <w:r w:rsidR="001A20A7">
        <w:rPr>
          <w:lang w:val="es-ES"/>
        </w:rPr>
        <w:t>0.3</w:t>
      </w:r>
      <w:r w:rsidR="00877B15">
        <w:rPr>
          <w:lang w:val="es-ES"/>
        </w:rPr>
        <w:t>% de</w:t>
      </w:r>
      <w:r w:rsidR="00877B15" w:rsidRPr="00694F2D">
        <w:rPr>
          <w:lang w:val="es-ES"/>
        </w:rPr>
        <w:t xml:space="preserve"> los hom</w:t>
      </w:r>
      <w:r w:rsidR="00877B15">
        <w:rPr>
          <w:lang w:val="es-ES"/>
        </w:rPr>
        <w:t xml:space="preserve">bres recurrió a los </w:t>
      </w:r>
      <w:r w:rsidR="00A62FAD">
        <w:rPr>
          <w:lang w:val="es-ES"/>
        </w:rPr>
        <w:t>“</w:t>
      </w:r>
      <w:r w:rsidR="00877B15">
        <w:rPr>
          <w:lang w:val="es-ES"/>
        </w:rPr>
        <w:t>noticieros en televisión</w:t>
      </w:r>
      <w:r w:rsidR="00A62FAD">
        <w:rPr>
          <w:lang w:val="es-ES"/>
        </w:rPr>
        <w:t>”</w:t>
      </w:r>
      <w:r w:rsidR="00877B15">
        <w:rPr>
          <w:lang w:val="es-ES"/>
        </w:rPr>
        <w:t xml:space="preserve"> y 5</w:t>
      </w:r>
      <w:r w:rsidR="00A62FAD">
        <w:rPr>
          <w:lang w:val="es-ES"/>
        </w:rPr>
        <w:t>4.8</w:t>
      </w:r>
      <w:r w:rsidR="00877B15">
        <w:rPr>
          <w:lang w:val="es-ES"/>
        </w:rPr>
        <w:t xml:space="preserve">% se informó a través de </w:t>
      </w:r>
      <w:r w:rsidR="00877B15">
        <w:rPr>
          <w:i/>
          <w:lang w:val="es-ES"/>
        </w:rPr>
        <w:t>Facebook</w:t>
      </w:r>
      <w:r w:rsidR="00877B15" w:rsidRPr="00694F2D">
        <w:rPr>
          <w:lang w:val="es-ES"/>
        </w:rPr>
        <w:t>.</w:t>
      </w:r>
    </w:p>
    <w:p w14:paraId="0073D5D1" w14:textId="77777777" w:rsidR="00DA44B4" w:rsidRDefault="00DA44B4">
      <w:pPr>
        <w:rPr>
          <w:sz w:val="20"/>
          <w:lang w:val="es-ES"/>
        </w:rPr>
      </w:pPr>
      <w:r>
        <w:rPr>
          <w:sz w:val="20"/>
          <w:lang w:val="es-ES"/>
        </w:rPr>
        <w:br w:type="page"/>
      </w:r>
    </w:p>
    <w:p w14:paraId="0A3EED4C" w14:textId="15D3CB01" w:rsidR="00877B15" w:rsidRPr="003960F4" w:rsidRDefault="00877B15" w:rsidP="00877B15">
      <w:pPr>
        <w:spacing w:before="240"/>
        <w:jc w:val="center"/>
        <w:rPr>
          <w:sz w:val="20"/>
          <w:lang w:val="es-ES"/>
        </w:rPr>
      </w:pPr>
      <w:r w:rsidRPr="003960F4">
        <w:rPr>
          <w:sz w:val="20"/>
          <w:lang w:val="es-ES"/>
        </w:rPr>
        <w:lastRenderedPageBreak/>
        <w:t xml:space="preserve">Gráfica </w:t>
      </w:r>
      <w:r w:rsidR="00DA44B4" w:rsidRPr="003960F4">
        <w:rPr>
          <w:sz w:val="20"/>
          <w:lang w:val="es-ES"/>
        </w:rPr>
        <w:t>1</w:t>
      </w:r>
      <w:r w:rsidR="00DA44B4">
        <w:rPr>
          <w:sz w:val="20"/>
          <w:lang w:val="es-ES"/>
        </w:rPr>
        <w:t>2</w:t>
      </w:r>
    </w:p>
    <w:p w14:paraId="58AFD844" w14:textId="7851806D" w:rsidR="00877B15" w:rsidRPr="00CC54A7" w:rsidRDefault="001623BD" w:rsidP="00877B15">
      <w:pPr>
        <w:jc w:val="center"/>
        <w:rPr>
          <w:b/>
          <w:bCs/>
          <w:smallCaps/>
          <w:sz w:val="22"/>
          <w:szCs w:val="18"/>
          <w:lang w:val="es-ES"/>
        </w:rPr>
      </w:pPr>
      <w:r w:rsidRPr="00CC54A7">
        <w:rPr>
          <w:b/>
          <w:bCs/>
          <w:smallCaps/>
          <w:sz w:val="22"/>
          <w:szCs w:val="18"/>
          <w:lang w:val="es-ES"/>
        </w:rPr>
        <w:t xml:space="preserve">Formas de enterarse sobre la situación de seguridad pública </w:t>
      </w:r>
      <w:r w:rsidRPr="00CC54A7">
        <w:rPr>
          <w:b/>
          <w:bCs/>
          <w:smallCaps/>
          <w:sz w:val="22"/>
          <w:szCs w:val="18"/>
          <w:lang w:val="es-ES"/>
        </w:rPr>
        <w:br/>
        <w:t>en su ciudad</w:t>
      </w:r>
      <w:r w:rsidRPr="00CC54A7">
        <w:rPr>
          <w:b/>
          <w:smallCaps/>
          <w:sz w:val="22"/>
          <w:lang w:val="es-ES"/>
        </w:rPr>
        <w:t>, a nivel nacional</w:t>
      </w:r>
      <w:r w:rsidRPr="00CC54A7">
        <w:rPr>
          <w:b/>
          <w:bCs/>
          <w:smallCaps/>
          <w:sz w:val="22"/>
          <w:szCs w:val="18"/>
          <w:lang w:val="es-ES"/>
        </w:rPr>
        <w:t xml:space="preserve"> i t 2022</w:t>
      </w:r>
    </w:p>
    <w:p w14:paraId="6D08A11C" w14:textId="77777777" w:rsidR="00877B15" w:rsidRDefault="00877B15" w:rsidP="00877B15">
      <w:pPr>
        <w:autoSpaceDE w:val="0"/>
        <w:autoSpaceDN w:val="0"/>
        <w:spacing w:before="40" w:after="40"/>
        <w:jc w:val="center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(Porcentaje)</w:t>
      </w:r>
    </w:p>
    <w:p w14:paraId="7F19AB66" w14:textId="3D691541" w:rsidR="00877B15" w:rsidRDefault="00FC1D8B" w:rsidP="00877B15">
      <w:pPr>
        <w:autoSpaceDE w:val="0"/>
        <w:autoSpaceDN w:val="0"/>
        <w:spacing w:before="40" w:after="40"/>
        <w:jc w:val="center"/>
        <w:rPr>
          <w:sz w:val="18"/>
          <w:szCs w:val="18"/>
          <w:lang w:val="es-ES"/>
        </w:rPr>
      </w:pPr>
      <w:r>
        <w:rPr>
          <w:noProof/>
        </w:rPr>
        <w:drawing>
          <wp:inline distT="0" distB="0" distL="0" distR="0" wp14:anchorId="036120B4" wp14:editId="403054CF">
            <wp:extent cx="5038724" cy="3420000"/>
            <wp:effectExtent l="0" t="0" r="10160" b="9525"/>
            <wp:docPr id="141" name="Gráfico 141">
              <a:extLst xmlns:a="http://schemas.openxmlformats.org/drawingml/2006/main">
                <a:ext uri="{FF2B5EF4-FFF2-40B4-BE49-F238E27FC236}">
                  <a16:creationId xmlns:a16="http://schemas.microsoft.com/office/drawing/2014/main" id="{C9B1961E-6626-4A93-B86C-D829DDC769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14:paraId="16D16E8E" w14:textId="77777777" w:rsidR="00877B15" w:rsidRPr="001C6E79" w:rsidRDefault="00877B15" w:rsidP="00877B15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1</w:t>
      </w:r>
      <w:r>
        <w:rPr>
          <w:bCs/>
          <w:color w:val="000000"/>
          <w:sz w:val="18"/>
          <w:szCs w:val="16"/>
          <w:vertAlign w:val="superscript"/>
        </w:rPr>
        <w:tab/>
      </w:r>
      <w:r w:rsidRPr="001C6E79">
        <w:rPr>
          <w:bCs/>
          <w:color w:val="000000"/>
          <w:sz w:val="16"/>
          <w:szCs w:val="16"/>
        </w:rPr>
        <w:t>Se refiere a "platicando con familiares, vecinos o conocidos en los alrededores de su vivienda".</w:t>
      </w:r>
    </w:p>
    <w:p w14:paraId="7B8AF2DB" w14:textId="26EC3CE6" w:rsidR="00877B15" w:rsidRPr="001C6E79" w:rsidRDefault="00877B15" w:rsidP="00877B15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2</w:t>
      </w:r>
      <w:r>
        <w:rPr>
          <w:bCs/>
          <w:color w:val="000000"/>
          <w:sz w:val="18"/>
          <w:szCs w:val="16"/>
          <w:vertAlign w:val="superscript"/>
        </w:rPr>
        <w:tab/>
      </w:r>
      <w:r w:rsidRPr="001C6E79">
        <w:rPr>
          <w:bCs/>
          <w:color w:val="000000"/>
          <w:sz w:val="16"/>
          <w:szCs w:val="16"/>
        </w:rPr>
        <w:t xml:space="preserve">Incluye páginas, periódicos, revistas y </w:t>
      </w:r>
      <w:r w:rsidRPr="00DF5766">
        <w:rPr>
          <w:bCs/>
          <w:i/>
          <w:color w:val="000000"/>
          <w:sz w:val="16"/>
          <w:szCs w:val="16"/>
        </w:rPr>
        <w:t>YouTube</w:t>
      </w:r>
      <w:r w:rsidRPr="001C6E79">
        <w:rPr>
          <w:bCs/>
          <w:color w:val="000000"/>
          <w:sz w:val="16"/>
          <w:szCs w:val="16"/>
        </w:rPr>
        <w:t>.</w:t>
      </w:r>
    </w:p>
    <w:p w14:paraId="1C93C162" w14:textId="77777777" w:rsidR="00877B15" w:rsidRPr="001C6E79" w:rsidRDefault="00877B15" w:rsidP="00877B15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3</w:t>
      </w:r>
      <w:r>
        <w:rPr>
          <w:bCs/>
          <w:color w:val="000000"/>
          <w:sz w:val="18"/>
          <w:szCs w:val="16"/>
          <w:vertAlign w:val="superscript"/>
        </w:rPr>
        <w:tab/>
      </w:r>
      <w:r w:rsidRPr="001C6E79">
        <w:rPr>
          <w:bCs/>
          <w:color w:val="000000"/>
          <w:sz w:val="16"/>
          <w:szCs w:val="16"/>
        </w:rPr>
        <w:t>Se refiere a "platicando con compañeros de su trabajo o escuela".</w:t>
      </w:r>
    </w:p>
    <w:p w14:paraId="6B6E8FF6" w14:textId="77777777" w:rsidR="00877B15" w:rsidRPr="00ED3924" w:rsidRDefault="00877B15" w:rsidP="00877B15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1C6E79">
        <w:rPr>
          <w:bCs/>
          <w:color w:val="000000"/>
          <w:sz w:val="18"/>
          <w:szCs w:val="16"/>
          <w:vertAlign w:val="superscript"/>
        </w:rPr>
        <w:t>4</w:t>
      </w:r>
      <w:r>
        <w:rPr>
          <w:bCs/>
          <w:color w:val="000000"/>
          <w:sz w:val="18"/>
          <w:szCs w:val="16"/>
          <w:vertAlign w:val="superscript"/>
        </w:rPr>
        <w:tab/>
      </w:r>
      <w:r w:rsidRPr="00ED3924">
        <w:rPr>
          <w:bCs/>
          <w:color w:val="000000"/>
          <w:sz w:val="16"/>
          <w:szCs w:val="16"/>
        </w:rPr>
        <w:t xml:space="preserve">Diferente de </w:t>
      </w:r>
      <w:r w:rsidRPr="00DF5766">
        <w:rPr>
          <w:bCs/>
          <w:i/>
          <w:color w:val="000000"/>
          <w:sz w:val="16"/>
          <w:szCs w:val="16"/>
        </w:rPr>
        <w:t>Facebook, Twitter y WhatsApp</w:t>
      </w:r>
      <w:r w:rsidRPr="00ED3924">
        <w:rPr>
          <w:bCs/>
          <w:color w:val="000000"/>
          <w:sz w:val="16"/>
          <w:szCs w:val="16"/>
        </w:rPr>
        <w:t xml:space="preserve">.  </w:t>
      </w:r>
    </w:p>
    <w:p w14:paraId="0B95B586" w14:textId="77777777" w:rsidR="00877B15" w:rsidRPr="00ED3924" w:rsidRDefault="00877B15" w:rsidP="00877B15">
      <w:pPr>
        <w:autoSpaceDE w:val="0"/>
        <w:autoSpaceDN w:val="0"/>
        <w:adjustRightInd w:val="0"/>
        <w:ind w:left="1400" w:hanging="601"/>
        <w:rPr>
          <w:bCs/>
          <w:color w:val="000000"/>
          <w:sz w:val="16"/>
          <w:szCs w:val="16"/>
        </w:rPr>
      </w:pPr>
      <w:r w:rsidRPr="00ED3924">
        <w:rPr>
          <w:bCs/>
          <w:color w:val="000000"/>
          <w:sz w:val="16"/>
          <w:szCs w:val="16"/>
        </w:rPr>
        <w:t>Fuente:</w:t>
      </w:r>
      <w:r>
        <w:rPr>
          <w:bCs/>
          <w:color w:val="000000"/>
          <w:sz w:val="18"/>
          <w:szCs w:val="16"/>
          <w:vertAlign w:val="superscript"/>
        </w:rPr>
        <w:tab/>
      </w:r>
      <w:r w:rsidRPr="00ED3924">
        <w:rPr>
          <w:bCs/>
          <w:color w:val="000000"/>
          <w:sz w:val="16"/>
          <w:szCs w:val="16"/>
        </w:rPr>
        <w:t>INEGI. Encuesta Nacional de Seguridad Pública Urbana (ENSU).</w:t>
      </w:r>
    </w:p>
    <w:p w14:paraId="15535BF9" w14:textId="77777777" w:rsidR="009077DE" w:rsidRPr="009077DE" w:rsidRDefault="009077DE" w:rsidP="009077DE">
      <w:pPr>
        <w:keepNext/>
        <w:widowControl w:val="0"/>
        <w:spacing w:before="480"/>
        <w:ind w:left="794" w:hanging="794"/>
        <w:jc w:val="both"/>
        <w:rPr>
          <w:b/>
          <w:lang w:val="es-ES"/>
        </w:rPr>
      </w:pPr>
      <w:r w:rsidRPr="009077DE">
        <w:rPr>
          <w:b/>
          <w:lang w:val="es-ES"/>
        </w:rPr>
        <w:t>Nota</w:t>
      </w:r>
      <w:r w:rsidR="00854E69" w:rsidRPr="009077DE">
        <w:rPr>
          <w:b/>
          <w:lang w:val="es-ES"/>
        </w:rPr>
        <w:t xml:space="preserve"> metodológic</w:t>
      </w:r>
      <w:r w:rsidRPr="009077DE">
        <w:rPr>
          <w:b/>
          <w:lang w:val="es-ES"/>
        </w:rPr>
        <w:t>a</w:t>
      </w:r>
    </w:p>
    <w:p w14:paraId="69756776" w14:textId="1C4E6E8B" w:rsidR="00617FC1" w:rsidRPr="00650BCB" w:rsidRDefault="00617FC1" w:rsidP="009077DE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 w:rsidRPr="00650BCB">
        <w:rPr>
          <w:lang w:val="es-ES"/>
        </w:rPr>
        <w:t>La Encuesta Nacional de Seguridad Pública Urbana (ENSU) se lleva a cabo</w:t>
      </w:r>
      <w:r>
        <w:rPr>
          <w:lang w:val="es-ES"/>
        </w:rPr>
        <w:t xml:space="preserve"> en</w:t>
      </w:r>
      <w:r w:rsidRPr="00650BCB">
        <w:rPr>
          <w:lang w:val="es-ES"/>
        </w:rPr>
        <w:t xml:space="preserve"> la primer</w:t>
      </w:r>
      <w:r>
        <w:rPr>
          <w:lang w:val="es-ES"/>
        </w:rPr>
        <w:t>a</w:t>
      </w:r>
      <w:r w:rsidRPr="00650BCB">
        <w:rPr>
          <w:lang w:val="es-ES"/>
        </w:rPr>
        <w:t xml:space="preserve"> quincena de los meses de </w:t>
      </w:r>
      <w:r>
        <w:rPr>
          <w:lang w:val="es-ES"/>
        </w:rPr>
        <w:t>marzo</w:t>
      </w:r>
      <w:r w:rsidRPr="00650BCB">
        <w:rPr>
          <w:lang w:val="es-ES"/>
        </w:rPr>
        <w:t xml:space="preserve">, </w:t>
      </w:r>
      <w:r>
        <w:rPr>
          <w:lang w:val="es-ES"/>
        </w:rPr>
        <w:t>junio</w:t>
      </w:r>
      <w:r w:rsidRPr="00650BCB">
        <w:rPr>
          <w:lang w:val="es-ES"/>
        </w:rPr>
        <w:t xml:space="preserve">, </w:t>
      </w:r>
      <w:r w:rsidR="007A012C">
        <w:rPr>
          <w:lang w:val="es-ES"/>
        </w:rPr>
        <w:t>septiembre</w:t>
      </w:r>
      <w:r w:rsidRPr="00650BCB">
        <w:rPr>
          <w:lang w:val="es-ES"/>
        </w:rPr>
        <w:t xml:space="preserve"> y </w:t>
      </w:r>
      <w:r>
        <w:rPr>
          <w:lang w:val="es-ES"/>
        </w:rPr>
        <w:t>diciembre</w:t>
      </w:r>
      <w:r w:rsidRPr="00650BCB">
        <w:rPr>
          <w:lang w:val="es-ES"/>
        </w:rPr>
        <w:t xml:space="preserve"> de cada año</w:t>
      </w:r>
      <w:r>
        <w:rPr>
          <w:lang w:val="es-ES"/>
        </w:rPr>
        <w:t>. A partir de 2016 cuenta</w:t>
      </w:r>
      <w:r w:rsidRPr="00650BCB">
        <w:rPr>
          <w:lang w:val="es-ES"/>
        </w:rPr>
        <w:t xml:space="preserve"> con </w:t>
      </w:r>
      <w:r w:rsidRPr="001B28C2">
        <w:rPr>
          <w:lang w:val="es-ES"/>
        </w:rPr>
        <w:t>una muestra de 300 viviendas por ciudad de interés</w:t>
      </w:r>
      <w:r w:rsidR="00246BC7">
        <w:rPr>
          <w:lang w:val="es-ES"/>
        </w:rPr>
        <w:t xml:space="preserve"> cada trimestre</w:t>
      </w:r>
      <w:r w:rsidRPr="001B28C2">
        <w:rPr>
          <w:lang w:val="es-ES"/>
        </w:rPr>
        <w:t xml:space="preserve"> </w:t>
      </w:r>
      <w:r w:rsidRPr="00650BCB">
        <w:rPr>
          <w:lang w:val="es-ES"/>
        </w:rPr>
        <w:t>y</w:t>
      </w:r>
      <w:r w:rsidR="005C352A">
        <w:rPr>
          <w:lang w:val="es-ES"/>
        </w:rPr>
        <w:t>,</w:t>
      </w:r>
      <w:r w:rsidRPr="00650BCB">
        <w:rPr>
          <w:lang w:val="es-ES"/>
        </w:rPr>
        <w:t xml:space="preserve"> </w:t>
      </w:r>
      <w:r>
        <w:rPr>
          <w:lang w:val="es-ES"/>
        </w:rPr>
        <w:t>de</w:t>
      </w:r>
      <w:r w:rsidR="00246BC7">
        <w:rPr>
          <w:lang w:val="es-ES"/>
        </w:rPr>
        <w:t>sde</w:t>
      </w:r>
      <w:r>
        <w:rPr>
          <w:lang w:val="es-ES"/>
        </w:rPr>
        <w:t xml:space="preserve"> septiembre de 2019, </w:t>
      </w:r>
      <w:r w:rsidRPr="00650BCB">
        <w:rPr>
          <w:lang w:val="es-ES"/>
        </w:rPr>
        <w:t xml:space="preserve">300 viviendas por cada una de las </w:t>
      </w:r>
      <w:r>
        <w:rPr>
          <w:lang w:val="es-ES"/>
        </w:rPr>
        <w:t>16</w:t>
      </w:r>
      <w:r w:rsidRPr="00650BCB">
        <w:rPr>
          <w:lang w:val="es-ES"/>
        </w:rPr>
        <w:t xml:space="preserve"> </w:t>
      </w:r>
      <w:r>
        <w:rPr>
          <w:lang w:val="es-ES"/>
        </w:rPr>
        <w:t>demarcaciones territoriales</w:t>
      </w:r>
      <w:r w:rsidRPr="00650BCB">
        <w:rPr>
          <w:lang w:val="es-ES"/>
        </w:rPr>
        <w:t xml:space="preserve"> en que se divide la Ciudad de México.</w:t>
      </w:r>
      <w:r w:rsidRPr="001B28C2">
        <w:rPr>
          <w:lang w:val="es-ES"/>
        </w:rPr>
        <w:t xml:space="preserve"> El agrupado nacional fue de </w:t>
      </w:r>
      <w:r>
        <w:rPr>
          <w:lang w:val="es-ES"/>
        </w:rPr>
        <w:t>27</w:t>
      </w:r>
      <w:r w:rsidR="00854E69">
        <w:rPr>
          <w:lang w:val="es-ES"/>
        </w:rPr>
        <w:t xml:space="preserve"> mil</w:t>
      </w:r>
      <w:r w:rsidRPr="001B28C2">
        <w:rPr>
          <w:lang w:val="es-ES"/>
        </w:rPr>
        <w:t xml:space="preserve"> viviendas. </w:t>
      </w:r>
      <w:r w:rsidR="005C5EC3">
        <w:rPr>
          <w:lang w:val="es-ES"/>
        </w:rPr>
        <w:t>La persona</w:t>
      </w:r>
      <w:r w:rsidRPr="001B28C2">
        <w:rPr>
          <w:lang w:val="es-ES"/>
        </w:rPr>
        <w:t xml:space="preserve"> entrevistad</w:t>
      </w:r>
      <w:r w:rsidR="005C5EC3">
        <w:rPr>
          <w:lang w:val="es-ES"/>
        </w:rPr>
        <w:t>a</w:t>
      </w:r>
      <w:r w:rsidRPr="001B28C2">
        <w:rPr>
          <w:lang w:val="es-ES"/>
        </w:rPr>
        <w:t>, qu</w:t>
      </w:r>
      <w:r w:rsidR="00A40AC6">
        <w:rPr>
          <w:lang w:val="es-ES"/>
        </w:rPr>
        <w:t>i</w:t>
      </w:r>
      <w:r w:rsidRPr="001B28C2">
        <w:rPr>
          <w:lang w:val="es-ES"/>
        </w:rPr>
        <w:t>e</w:t>
      </w:r>
      <w:r w:rsidR="00A40AC6">
        <w:rPr>
          <w:lang w:val="es-ES"/>
        </w:rPr>
        <w:t>n</w:t>
      </w:r>
      <w:r w:rsidRPr="001B28C2">
        <w:rPr>
          <w:lang w:val="es-ES"/>
        </w:rPr>
        <w:t xml:space="preserve"> debe </w:t>
      </w:r>
      <w:r w:rsidR="006F105A">
        <w:rPr>
          <w:lang w:val="es-ES"/>
        </w:rPr>
        <w:t>tener</w:t>
      </w:r>
      <w:r w:rsidRPr="001B28C2">
        <w:rPr>
          <w:lang w:val="es-ES"/>
        </w:rPr>
        <w:t xml:space="preserve"> al menos 18 años, </w:t>
      </w:r>
      <w:r w:rsidR="005C5EC3">
        <w:rPr>
          <w:lang w:val="es-ES"/>
        </w:rPr>
        <w:t>s</w:t>
      </w:r>
      <w:r w:rsidRPr="001B28C2">
        <w:rPr>
          <w:lang w:val="es-ES"/>
        </w:rPr>
        <w:t xml:space="preserve">e selecciona aleatoriamente. El esquema de muestreo es probabilístico, </w:t>
      </w:r>
      <w:proofErr w:type="spellStart"/>
      <w:r w:rsidRPr="001B28C2">
        <w:rPr>
          <w:lang w:val="es-ES"/>
        </w:rPr>
        <w:t>trietápico</w:t>
      </w:r>
      <w:proofErr w:type="spellEnd"/>
      <w:r w:rsidRPr="001B28C2">
        <w:rPr>
          <w:lang w:val="es-ES"/>
        </w:rPr>
        <w:t>, estratificado y por conglomerados</w:t>
      </w:r>
      <w:r w:rsidR="00CB1FD9">
        <w:rPr>
          <w:lang w:val="es-ES"/>
        </w:rPr>
        <w:t>. Además,</w:t>
      </w:r>
      <w:r>
        <w:rPr>
          <w:lang w:val="es-ES"/>
        </w:rPr>
        <w:t xml:space="preserve"> </w:t>
      </w:r>
      <w:r w:rsidRPr="00650BCB">
        <w:rPr>
          <w:lang w:val="es-ES"/>
        </w:rPr>
        <w:t xml:space="preserve">tiene como última </w:t>
      </w:r>
      <w:r>
        <w:rPr>
          <w:lang w:val="es-ES"/>
        </w:rPr>
        <w:t>unidad</w:t>
      </w:r>
      <w:r w:rsidRPr="00650BCB">
        <w:rPr>
          <w:lang w:val="es-ES"/>
        </w:rPr>
        <w:t xml:space="preserve"> de selección la viviend</w:t>
      </w:r>
      <w:r>
        <w:rPr>
          <w:lang w:val="es-ES"/>
        </w:rPr>
        <w:t>a</w:t>
      </w:r>
      <w:r w:rsidRPr="00650BCB">
        <w:rPr>
          <w:lang w:val="es-ES"/>
        </w:rPr>
        <w:t xml:space="preserve"> particular y c</w:t>
      </w:r>
      <w:r>
        <w:rPr>
          <w:lang w:val="es-ES"/>
        </w:rPr>
        <w:t xml:space="preserve">omo unidad de observación a la </w:t>
      </w:r>
      <w:r w:rsidRPr="00650BCB">
        <w:rPr>
          <w:lang w:val="es-ES"/>
        </w:rPr>
        <w:t>persona.</w:t>
      </w:r>
    </w:p>
    <w:p w14:paraId="580F19C5" w14:textId="56C3B86D" w:rsidR="00617FC1" w:rsidRPr="00650BCB" w:rsidRDefault="00310C8A" w:rsidP="00617FC1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>
        <w:rPr>
          <w:lang w:val="es-ES"/>
        </w:rPr>
        <w:t>La</w:t>
      </w:r>
      <w:r w:rsidR="00617FC1" w:rsidRPr="003351E3">
        <w:rPr>
          <w:lang w:val="es-ES"/>
        </w:rPr>
        <w:t xml:space="preserve"> ENSU se aplicó en </w:t>
      </w:r>
      <w:r w:rsidR="00617FC1">
        <w:rPr>
          <w:lang w:val="es-ES"/>
        </w:rPr>
        <w:t>74</w:t>
      </w:r>
      <w:r w:rsidR="00617FC1" w:rsidRPr="003351E3">
        <w:rPr>
          <w:lang w:val="es-ES"/>
        </w:rPr>
        <w:t xml:space="preserve"> ciudades, </w:t>
      </w:r>
      <w:r w:rsidR="00617FC1">
        <w:rPr>
          <w:lang w:val="es-ES"/>
        </w:rPr>
        <w:t>más la Ciudad de México dividida en</w:t>
      </w:r>
      <w:r w:rsidR="00617FC1" w:rsidRPr="003351E3">
        <w:rPr>
          <w:lang w:val="es-ES"/>
        </w:rPr>
        <w:t xml:space="preserve"> </w:t>
      </w:r>
      <w:r w:rsidR="00617FC1">
        <w:rPr>
          <w:lang w:val="es-ES"/>
        </w:rPr>
        <w:t>16 demarcaciones territoriales</w:t>
      </w:r>
      <w:r w:rsidR="00363B40">
        <w:rPr>
          <w:lang w:val="es-ES"/>
        </w:rPr>
        <w:t>, para u</w:t>
      </w:r>
      <w:r w:rsidR="00617FC1">
        <w:rPr>
          <w:lang w:val="es-ES"/>
        </w:rPr>
        <w:t>n total de 75</w:t>
      </w:r>
      <w:r w:rsidR="007B47FE">
        <w:rPr>
          <w:lang w:val="es-ES"/>
        </w:rPr>
        <w:t xml:space="preserve"> </w:t>
      </w:r>
      <w:r w:rsidR="00617FC1">
        <w:rPr>
          <w:lang w:val="es-ES"/>
        </w:rPr>
        <w:t>ciudades de interés. Asimismo</w:t>
      </w:r>
      <w:r w:rsidR="00617FC1" w:rsidRPr="00650BCB">
        <w:rPr>
          <w:lang w:val="es-ES"/>
        </w:rPr>
        <w:t xml:space="preserve">, a partir de 2016 se seleccionó un nuevo panel de viviendas </w:t>
      </w:r>
      <w:r w:rsidR="001708DD">
        <w:rPr>
          <w:lang w:val="es-ES"/>
        </w:rPr>
        <w:t xml:space="preserve">que </w:t>
      </w:r>
      <w:r w:rsidR="00617FC1" w:rsidRPr="00650BCB">
        <w:rPr>
          <w:lang w:val="es-ES"/>
        </w:rPr>
        <w:t>será</w:t>
      </w:r>
      <w:r w:rsidR="001708DD">
        <w:rPr>
          <w:lang w:val="es-ES"/>
        </w:rPr>
        <w:t>n</w:t>
      </w:r>
      <w:r w:rsidR="00617FC1" w:rsidRPr="00650BCB">
        <w:rPr>
          <w:lang w:val="es-ES"/>
        </w:rPr>
        <w:t xml:space="preserve"> visitada</w:t>
      </w:r>
      <w:r w:rsidR="001708DD">
        <w:rPr>
          <w:lang w:val="es-ES"/>
        </w:rPr>
        <w:t>s</w:t>
      </w:r>
      <w:r w:rsidR="00617FC1" w:rsidRPr="00650BCB">
        <w:rPr>
          <w:lang w:val="es-ES"/>
        </w:rPr>
        <w:t xml:space="preserve"> en cinco ocasiones, una cada trimestre, de manera que una vivienda participa en el proyecto a lo largo de un año con tres meses.</w:t>
      </w:r>
    </w:p>
    <w:p w14:paraId="565C76BA" w14:textId="27637106" w:rsidR="00617FC1" w:rsidRPr="00650BCB" w:rsidRDefault="00617FC1" w:rsidP="00617FC1">
      <w:pPr>
        <w:autoSpaceDE w:val="0"/>
        <w:autoSpaceDN w:val="0"/>
        <w:adjustRightInd w:val="0"/>
        <w:spacing w:before="240"/>
        <w:jc w:val="both"/>
        <w:rPr>
          <w:lang w:val="es-ES"/>
        </w:rPr>
      </w:pPr>
      <w:r w:rsidRPr="00D56BD4">
        <w:rPr>
          <w:lang w:val="es-ES"/>
        </w:rPr>
        <w:lastRenderedPageBreak/>
        <w:t xml:space="preserve">El tamaño de la muestra garantiza un nivel de confianza en los resultados de </w:t>
      </w:r>
      <w:r w:rsidRPr="00837638">
        <w:rPr>
          <w:lang w:val="es-ES"/>
        </w:rPr>
        <w:t>90%, con errores relativos acotados a 15%</w:t>
      </w:r>
      <w:r w:rsidR="00735103">
        <w:rPr>
          <w:lang w:val="es-ES"/>
        </w:rPr>
        <w:t xml:space="preserve"> y</w:t>
      </w:r>
      <w:r w:rsidRPr="00837638">
        <w:rPr>
          <w:lang w:val="es-ES"/>
        </w:rPr>
        <w:t xml:space="preserve"> </w:t>
      </w:r>
      <w:r w:rsidRPr="00C6118C">
        <w:rPr>
          <w:lang w:val="es-ES"/>
        </w:rPr>
        <w:t>considerando una tasa de no respuesta de 15</w:t>
      </w:r>
      <w:r w:rsidR="00A62FAD" w:rsidRPr="00C6118C">
        <w:rPr>
          <w:lang w:val="es-ES"/>
        </w:rPr>
        <w:t>%</w:t>
      </w:r>
      <w:r w:rsidRPr="00C6118C">
        <w:rPr>
          <w:lang w:val="es-ES"/>
        </w:rPr>
        <w:t xml:space="preserve">. </w:t>
      </w:r>
      <w:r w:rsidR="00310C8A" w:rsidRPr="00C6118C">
        <w:rPr>
          <w:lang w:val="es-ES"/>
        </w:rPr>
        <w:t>L</w:t>
      </w:r>
      <w:r w:rsidRPr="00C6118C">
        <w:rPr>
          <w:lang w:val="es-ES"/>
        </w:rPr>
        <w:t>a tasa de respuesta neta total fue de 8</w:t>
      </w:r>
      <w:r w:rsidR="00C6118C" w:rsidRPr="00C6118C">
        <w:rPr>
          <w:lang w:val="es-ES"/>
        </w:rPr>
        <w:t>7</w:t>
      </w:r>
      <w:r w:rsidRPr="00C6118C">
        <w:rPr>
          <w:lang w:val="es-ES"/>
        </w:rPr>
        <w:t>.</w:t>
      </w:r>
      <w:r w:rsidR="00C6118C" w:rsidRPr="00C6118C">
        <w:rPr>
          <w:lang w:val="es-ES"/>
        </w:rPr>
        <w:t>32</w:t>
      </w:r>
      <w:r w:rsidR="00A62FAD" w:rsidRPr="00C6118C">
        <w:rPr>
          <w:lang w:val="es-ES"/>
        </w:rPr>
        <w:t>%</w:t>
      </w:r>
      <w:r w:rsidRPr="00C6118C">
        <w:rPr>
          <w:lang w:val="es-ES"/>
        </w:rPr>
        <w:t>.</w:t>
      </w:r>
    </w:p>
    <w:p w14:paraId="3443A772" w14:textId="54697076" w:rsidR="00617FC1" w:rsidRDefault="00617FC1" w:rsidP="00617FC1">
      <w:pPr>
        <w:autoSpaceDE w:val="0"/>
        <w:autoSpaceDN w:val="0"/>
        <w:adjustRightInd w:val="0"/>
        <w:spacing w:before="240"/>
        <w:jc w:val="both"/>
        <w:rPr>
          <w:color w:val="000000"/>
          <w:lang w:val="es-ES"/>
        </w:rPr>
      </w:pPr>
      <w:r>
        <w:rPr>
          <w:color w:val="000000"/>
          <w:lang w:val="es-ES"/>
        </w:rPr>
        <w:t>La información que se genera</w:t>
      </w:r>
      <w:r w:rsidRPr="00650BCB">
        <w:rPr>
          <w:color w:val="000000"/>
          <w:lang w:val="es-ES"/>
        </w:rPr>
        <w:t xml:space="preserve"> con esta encuesta permite tener un panorama amplio de aspectos relacionados con la seguridad pública</w:t>
      </w:r>
      <w:r w:rsidR="00251EFF">
        <w:rPr>
          <w:color w:val="000000"/>
          <w:lang w:val="es-ES"/>
        </w:rPr>
        <w:t xml:space="preserve"> y se divide en 5 aspectos</w:t>
      </w:r>
      <w:r w:rsidRPr="00650BCB">
        <w:rPr>
          <w:color w:val="000000"/>
          <w:lang w:val="es-ES"/>
        </w:rPr>
        <w:t xml:space="preserve">. </w:t>
      </w:r>
      <w:r>
        <w:rPr>
          <w:color w:val="000000"/>
          <w:lang w:val="es-ES"/>
        </w:rPr>
        <w:t>Los d</w:t>
      </w:r>
      <w:r w:rsidRPr="00650BCB">
        <w:rPr>
          <w:color w:val="000000"/>
          <w:lang w:val="es-ES"/>
        </w:rPr>
        <w:t xml:space="preserve">os </w:t>
      </w:r>
      <w:r>
        <w:rPr>
          <w:color w:val="000000"/>
          <w:lang w:val="es-ES"/>
        </w:rPr>
        <w:t>primeros</w:t>
      </w:r>
      <w:r w:rsidRPr="00650BCB">
        <w:rPr>
          <w:color w:val="000000"/>
          <w:lang w:val="es-ES"/>
        </w:rPr>
        <w:t xml:space="preserve"> se refieren a la percepción de seguridad en términos del temor a la delincuencia; </w:t>
      </w:r>
      <w:r>
        <w:rPr>
          <w:color w:val="000000"/>
          <w:lang w:val="es-ES"/>
        </w:rPr>
        <w:t>el tercero</w:t>
      </w:r>
      <w:r w:rsidRPr="00650BCB">
        <w:rPr>
          <w:color w:val="000000"/>
          <w:lang w:val="es-ES"/>
        </w:rPr>
        <w:t xml:space="preserve"> se enfoca en el conocimiento de conductas delictivas o antisociales; el cuarto aspecto en el cambio de rutinas</w:t>
      </w:r>
      <w:r>
        <w:rPr>
          <w:color w:val="000000"/>
          <w:lang w:val="es-ES"/>
        </w:rPr>
        <w:t xml:space="preserve"> o hábitos</w:t>
      </w:r>
      <w:r w:rsidRPr="00650BCB">
        <w:rPr>
          <w:color w:val="000000"/>
          <w:lang w:val="es-ES"/>
        </w:rPr>
        <w:t xml:space="preserve"> por temor a ser víctima del delito</w:t>
      </w:r>
      <w:r w:rsidR="00DB00AB">
        <w:rPr>
          <w:color w:val="000000"/>
          <w:lang w:val="es-ES"/>
        </w:rPr>
        <w:t>, y</w:t>
      </w:r>
      <w:r w:rsidRPr="00650BCB">
        <w:rPr>
          <w:color w:val="000000"/>
          <w:lang w:val="es-ES"/>
        </w:rPr>
        <w:t xml:space="preserve"> el quinto muestra la percepción sobre el desempeño de las policías </w:t>
      </w:r>
      <w:r w:rsidR="00852073" w:rsidRPr="006F17CB">
        <w:rPr>
          <w:color w:val="000000"/>
          <w:lang w:val="es-ES"/>
        </w:rPr>
        <w:t>p</w:t>
      </w:r>
      <w:r w:rsidRPr="006F17CB">
        <w:rPr>
          <w:color w:val="000000"/>
          <w:lang w:val="es-ES"/>
        </w:rPr>
        <w:t xml:space="preserve">reventiva </w:t>
      </w:r>
      <w:r w:rsidR="00852073" w:rsidRPr="006F17CB">
        <w:rPr>
          <w:color w:val="000000"/>
          <w:lang w:val="es-ES"/>
        </w:rPr>
        <w:t>m</w:t>
      </w:r>
      <w:r w:rsidRPr="006F17CB">
        <w:rPr>
          <w:color w:val="000000"/>
          <w:lang w:val="es-ES"/>
        </w:rPr>
        <w:t xml:space="preserve">unicipal, </w:t>
      </w:r>
      <w:r w:rsidR="00852073" w:rsidRPr="006F17CB">
        <w:rPr>
          <w:color w:val="000000"/>
          <w:lang w:val="es-ES"/>
        </w:rPr>
        <w:t>e</w:t>
      </w:r>
      <w:r w:rsidRPr="006F17CB">
        <w:rPr>
          <w:color w:val="000000"/>
          <w:lang w:val="es-ES"/>
        </w:rPr>
        <w:t>statal</w:t>
      </w:r>
      <w:r>
        <w:rPr>
          <w:color w:val="000000"/>
          <w:lang w:val="es-ES"/>
        </w:rPr>
        <w:t>,</w:t>
      </w:r>
      <w:r w:rsidRPr="00650BCB">
        <w:rPr>
          <w:color w:val="000000"/>
          <w:lang w:val="es-ES"/>
        </w:rPr>
        <w:t xml:space="preserve"> G</w:t>
      </w:r>
      <w:r>
        <w:rPr>
          <w:color w:val="000000"/>
          <w:lang w:val="es-ES"/>
        </w:rPr>
        <w:t>uardia</w:t>
      </w:r>
      <w:r w:rsidRPr="00650BCB">
        <w:rPr>
          <w:color w:val="000000"/>
          <w:lang w:val="es-ES"/>
        </w:rPr>
        <w:t xml:space="preserve"> </w:t>
      </w:r>
      <w:r>
        <w:rPr>
          <w:lang w:val="es-ES"/>
        </w:rPr>
        <w:t xml:space="preserve">Nacional, Ejército y Marina. </w:t>
      </w:r>
      <w:r w:rsidRPr="00C34DE7">
        <w:rPr>
          <w:lang w:val="es-ES"/>
        </w:rPr>
        <w:t>Además</w:t>
      </w:r>
      <w:r>
        <w:rPr>
          <w:lang w:val="es-ES"/>
        </w:rPr>
        <w:t>, se genera</w:t>
      </w:r>
      <w:r w:rsidRPr="00C34DE7">
        <w:rPr>
          <w:lang w:val="es-ES"/>
        </w:rPr>
        <w:t xml:space="preserve"> información que permite identificar los conflictos o enfrentamientos directos y conductas antisociales con familiares, vecinos, compañeros de trabajo</w:t>
      </w:r>
      <w:r>
        <w:rPr>
          <w:lang w:val="es-ES"/>
        </w:rPr>
        <w:t xml:space="preserve"> o </w:t>
      </w:r>
      <w:r w:rsidRPr="00C34DE7">
        <w:rPr>
          <w:lang w:val="es-ES"/>
        </w:rPr>
        <w:t>escuela, establecimi</w:t>
      </w:r>
      <w:r>
        <w:rPr>
          <w:lang w:val="es-ES"/>
        </w:rPr>
        <w:t xml:space="preserve">entos o autoridades de gobierno, </w:t>
      </w:r>
      <w:r w:rsidRPr="00C34DE7">
        <w:rPr>
          <w:lang w:val="es-ES"/>
        </w:rPr>
        <w:t xml:space="preserve">la percepción sobre </w:t>
      </w:r>
      <w:r w:rsidRPr="00650BCB">
        <w:rPr>
          <w:color w:val="000000"/>
          <w:lang w:val="es-ES"/>
        </w:rPr>
        <w:t>el desempeño gubernamental</w:t>
      </w:r>
      <w:r>
        <w:rPr>
          <w:color w:val="000000"/>
          <w:lang w:val="es-ES"/>
        </w:rPr>
        <w:t>,</w:t>
      </w:r>
      <w:r w:rsidRPr="00650BCB">
        <w:rPr>
          <w:color w:val="000000"/>
          <w:lang w:val="es-ES"/>
        </w:rPr>
        <w:t xml:space="preserve"> los principales problemas que enfrentan las personas en su ciudad y la efectividad de las autoridades</w:t>
      </w:r>
      <w:r>
        <w:rPr>
          <w:color w:val="000000"/>
          <w:lang w:val="es-ES"/>
        </w:rPr>
        <w:t xml:space="preserve"> para atenderlos</w:t>
      </w:r>
      <w:r w:rsidR="007956EF" w:rsidRPr="006F17CB">
        <w:rPr>
          <w:color w:val="000000"/>
          <w:lang w:val="es-ES"/>
        </w:rPr>
        <w:t>.</w:t>
      </w:r>
      <w:r w:rsidRPr="00A644DF">
        <w:rPr>
          <w:color w:val="000000"/>
          <w:lang w:val="es-ES"/>
        </w:rPr>
        <w:t xml:space="preserve"> Asimismo,</w:t>
      </w:r>
      <w:r w:rsidRPr="00DB5DBE">
        <w:rPr>
          <w:color w:val="000000"/>
          <w:lang w:val="es-ES"/>
        </w:rPr>
        <w:t xml:space="preserve"> se producen estimaciones sobre </w:t>
      </w:r>
      <w:r>
        <w:rPr>
          <w:color w:val="000000"/>
          <w:lang w:val="es-ES"/>
        </w:rPr>
        <w:t>formas de enterarse de la seguridad pública, violencia en el entorno familiar y</w:t>
      </w:r>
      <w:r w:rsidR="00113DA8">
        <w:rPr>
          <w:color w:val="000000"/>
          <w:lang w:val="es-ES"/>
        </w:rPr>
        <w:t>,</w:t>
      </w:r>
      <w:r>
        <w:rPr>
          <w:color w:val="000000"/>
          <w:lang w:val="es-ES"/>
        </w:rPr>
        <w:t xml:space="preserve"> finalmente</w:t>
      </w:r>
      <w:r w:rsidR="00D33405">
        <w:rPr>
          <w:color w:val="000000"/>
          <w:lang w:val="es-ES"/>
        </w:rPr>
        <w:t>,</w:t>
      </w:r>
      <w:r>
        <w:rPr>
          <w:color w:val="000000"/>
          <w:lang w:val="es-ES"/>
        </w:rPr>
        <w:t xml:space="preserve"> se presentan datos sobre la frecuencia de movilidad.</w:t>
      </w:r>
    </w:p>
    <w:p w14:paraId="0C92ACB7" w14:textId="7E4E6E63" w:rsidR="00854E69" w:rsidRPr="003806EC" w:rsidRDefault="00854E69" w:rsidP="00BB17EB">
      <w:pPr>
        <w:widowControl w:val="0"/>
        <w:spacing w:before="240"/>
        <w:jc w:val="both"/>
      </w:pPr>
      <w:r w:rsidRPr="00BB17EB">
        <w:t xml:space="preserve">La información contenida en este documento es generada por el INEGI a través de la </w:t>
      </w:r>
      <w:r w:rsidR="005B2BD3" w:rsidRPr="00BB17EB">
        <w:t xml:space="preserve">Encuesta Nacional de Seguridad Pública Urbana </w:t>
      </w:r>
      <w:r w:rsidRPr="00BB17EB">
        <w:t xml:space="preserve">y se da a conocer en la fecha establecida en el Calendario de </w:t>
      </w:r>
      <w:r w:rsidR="009077DE">
        <w:t>D</w:t>
      </w:r>
      <w:r w:rsidRPr="00BB17EB">
        <w:t xml:space="preserve">ifusión de </w:t>
      </w:r>
      <w:r w:rsidR="009077DE">
        <w:t>I</w:t>
      </w:r>
      <w:r w:rsidRPr="00BB17EB">
        <w:t xml:space="preserve">nformación </w:t>
      </w:r>
      <w:r w:rsidR="009077DE">
        <w:t>E</w:t>
      </w:r>
      <w:r w:rsidRPr="00BB17EB">
        <w:t xml:space="preserve">stadística y </w:t>
      </w:r>
      <w:r w:rsidR="009077DE">
        <w:t>G</w:t>
      </w:r>
      <w:r w:rsidRPr="00BB17EB">
        <w:t>eográfica y de Interés Nacional.</w:t>
      </w:r>
    </w:p>
    <w:p w14:paraId="227B8D25" w14:textId="3BEF11A9" w:rsidR="00617FC1" w:rsidRPr="00650BCB" w:rsidRDefault="00617FC1" w:rsidP="00BB17EB">
      <w:pPr>
        <w:autoSpaceDE w:val="0"/>
        <w:autoSpaceDN w:val="0"/>
        <w:adjustRightInd w:val="0"/>
        <w:spacing w:before="240"/>
        <w:jc w:val="both"/>
        <w:rPr>
          <w:color w:val="000000"/>
          <w:lang w:val="es-ES"/>
        </w:rPr>
      </w:pPr>
      <w:r w:rsidRPr="00650BCB">
        <w:rPr>
          <w:color w:val="000000"/>
          <w:lang w:val="es-ES"/>
        </w:rPr>
        <w:t>La</w:t>
      </w:r>
      <w:r>
        <w:rPr>
          <w:color w:val="000000"/>
          <w:lang w:val="es-ES"/>
        </w:rPr>
        <w:t>s cifras aquí mencionadas pueden</w:t>
      </w:r>
      <w:r w:rsidRPr="00650BCB">
        <w:rPr>
          <w:color w:val="000000"/>
          <w:lang w:val="es-ES"/>
        </w:rPr>
        <w:t xml:space="preserve"> ser consultadas en</w:t>
      </w:r>
      <w:r>
        <w:rPr>
          <w:color w:val="000000"/>
          <w:lang w:val="es-ES"/>
        </w:rPr>
        <w:t xml:space="preserve"> la página de </w:t>
      </w:r>
      <w:r w:rsidR="009077DE">
        <w:rPr>
          <w:color w:val="000000"/>
          <w:lang w:val="es-ES"/>
        </w:rPr>
        <w:t>i</w:t>
      </w:r>
      <w:r>
        <w:rPr>
          <w:color w:val="000000"/>
          <w:lang w:val="es-ES"/>
        </w:rPr>
        <w:t>nternet del I</w:t>
      </w:r>
      <w:r w:rsidR="009E6DBB">
        <w:rPr>
          <w:color w:val="000000"/>
          <w:lang w:val="es-ES"/>
        </w:rPr>
        <w:t>NEGI</w:t>
      </w:r>
      <w:r w:rsidRPr="00650BCB">
        <w:rPr>
          <w:color w:val="000000"/>
          <w:lang w:val="es-ES"/>
        </w:rPr>
        <w:t>:</w:t>
      </w:r>
    </w:p>
    <w:p w14:paraId="78E277EA" w14:textId="77777777" w:rsidR="00617FC1" w:rsidRPr="005F3927" w:rsidRDefault="00D004CF" w:rsidP="00617FC1">
      <w:pPr>
        <w:jc w:val="both"/>
        <w:rPr>
          <w:color w:val="0000FF" w:themeColor="hyperlink"/>
          <w:u w:val="single"/>
        </w:rPr>
      </w:pPr>
      <w:hyperlink r:id="rId51" w:history="1">
        <w:r w:rsidR="00617FC1" w:rsidRPr="003C2BD3">
          <w:rPr>
            <w:rStyle w:val="Hipervnculo"/>
          </w:rPr>
          <w:t>https://www.inegi.org.mx/programas/ensu/default.html</w:t>
        </w:r>
      </w:hyperlink>
    </w:p>
    <w:sectPr w:rsidR="00617FC1" w:rsidRPr="005F3927" w:rsidSect="003411D8">
      <w:headerReference w:type="default" r:id="rId52"/>
      <w:footerReference w:type="default" r:id="rId53"/>
      <w:pgSz w:w="12242" w:h="15842" w:code="119"/>
      <w:pgMar w:top="2552" w:right="1418" w:bottom="680" w:left="1418" w:header="567" w:footer="284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0D067" w14:textId="77777777" w:rsidR="00D004CF" w:rsidRDefault="00D004CF">
      <w:r>
        <w:separator/>
      </w:r>
    </w:p>
  </w:endnote>
  <w:endnote w:type="continuationSeparator" w:id="0">
    <w:p w14:paraId="0734F468" w14:textId="77777777" w:rsidR="00D004CF" w:rsidRDefault="00D0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71F3" w14:textId="77777777" w:rsidR="003B0E72" w:rsidRPr="00975B1E" w:rsidRDefault="003B0E72" w:rsidP="00C814A7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08EB3639" w14:textId="77777777" w:rsidR="003B0E72" w:rsidRPr="007B4B63" w:rsidRDefault="003B0E72" w:rsidP="00C814A7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95DCE" w14:textId="77777777" w:rsidR="003B0E72" w:rsidRDefault="003B0E72" w:rsidP="003076C4">
    <w:pPr>
      <w:pStyle w:val="Piedepgina"/>
      <w:jc w:val="center"/>
      <w:rPr>
        <w:b/>
        <w:lang w:val="es-MX"/>
      </w:rPr>
    </w:pPr>
    <w:r>
      <w:rPr>
        <w:b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F9791" w14:textId="77777777" w:rsidR="00D004CF" w:rsidRDefault="00D004CF">
      <w:r>
        <w:separator/>
      </w:r>
    </w:p>
  </w:footnote>
  <w:footnote w:type="continuationSeparator" w:id="0">
    <w:p w14:paraId="5EEC10D6" w14:textId="77777777" w:rsidR="00D004CF" w:rsidRDefault="00D004CF">
      <w:r>
        <w:continuationSeparator/>
      </w:r>
    </w:p>
  </w:footnote>
  <w:footnote w:id="1">
    <w:p w14:paraId="7261C73C" w14:textId="77777777" w:rsidR="003B0E72" w:rsidRDefault="003B0E72" w:rsidP="00801F92">
      <w:pPr>
        <w:pStyle w:val="Textonotapie"/>
        <w:ind w:left="170" w:hanging="170"/>
        <w:jc w:val="both"/>
      </w:pPr>
      <w:r w:rsidRPr="00CA1533">
        <w:rPr>
          <w:rStyle w:val="Refdenotaalpie"/>
          <w:sz w:val="18"/>
        </w:rPr>
        <w:footnoteRef/>
      </w:r>
      <w:r w:rsidRPr="00CA1533">
        <w:rPr>
          <w:sz w:val="18"/>
        </w:rPr>
        <w:tab/>
      </w:r>
      <w:r w:rsidRPr="00D91023">
        <w:rPr>
          <w:sz w:val="16"/>
          <w:szCs w:val="18"/>
        </w:rPr>
        <w:t>Es decir, que hay evidencia estadística de que los porcentajes</w:t>
      </w:r>
      <w:r>
        <w:rPr>
          <w:sz w:val="16"/>
          <w:szCs w:val="18"/>
        </w:rPr>
        <w:t xml:space="preserve"> no</w:t>
      </w:r>
      <w:r w:rsidRPr="00D91023">
        <w:rPr>
          <w:sz w:val="16"/>
          <w:szCs w:val="18"/>
        </w:rPr>
        <w:t xml:space="preserve"> son diferentes</w:t>
      </w:r>
      <w:r>
        <w:rPr>
          <w:sz w:val="18"/>
        </w:rPr>
        <w:t>.</w:t>
      </w:r>
      <w:r w:rsidRPr="00540ECC">
        <w:rPr>
          <w:sz w:val="16"/>
          <w:szCs w:val="16"/>
        </w:rPr>
        <w:t xml:space="preserve"> </w:t>
      </w:r>
    </w:p>
  </w:footnote>
  <w:footnote w:id="2">
    <w:p w14:paraId="4737D994" w14:textId="136ADA61" w:rsidR="003B0E72" w:rsidRPr="000D767F" w:rsidRDefault="003B0E72" w:rsidP="0063360F">
      <w:pPr>
        <w:pStyle w:val="Textonotapie"/>
        <w:ind w:left="170" w:hanging="170"/>
        <w:rPr>
          <w:lang w:val="es-MX"/>
        </w:rPr>
      </w:pPr>
      <w:r w:rsidRPr="000D767F">
        <w:rPr>
          <w:rStyle w:val="Refdenotaalpie"/>
          <w:sz w:val="18"/>
        </w:rPr>
        <w:footnoteRef/>
      </w:r>
      <w:r>
        <w:tab/>
      </w:r>
      <w:r w:rsidRPr="000D767F">
        <w:rPr>
          <w:color w:val="000000"/>
          <w:sz w:val="16"/>
          <w:szCs w:val="16"/>
        </w:rPr>
        <w:t xml:space="preserve">Ver cuestionario en </w:t>
      </w:r>
      <w:hyperlink r:id="rId1" w:history="1">
        <w:r w:rsidRPr="000D767F">
          <w:rPr>
            <w:rStyle w:val="Hipervnculo"/>
            <w:sz w:val="16"/>
            <w:szCs w:val="16"/>
          </w:rPr>
          <w:t>https://www.inegi.org.mx/programas/ensu/default.html</w:t>
        </w:r>
      </w:hyperlink>
      <w:r w:rsidRPr="000D767F">
        <w:rPr>
          <w:rStyle w:val="Hipervnculo"/>
          <w:sz w:val="16"/>
          <w:szCs w:val="16"/>
        </w:rPr>
        <w:t xml:space="preserve"> </w:t>
      </w:r>
    </w:p>
  </w:footnote>
  <w:footnote w:id="3">
    <w:p w14:paraId="0FDEA96A" w14:textId="565D1CE1" w:rsidR="003B0E72" w:rsidRPr="000D767F" w:rsidRDefault="003B0E72" w:rsidP="00A92D37">
      <w:pPr>
        <w:pStyle w:val="Textonotapie"/>
        <w:ind w:left="170" w:hanging="170"/>
        <w:jc w:val="both"/>
        <w:rPr>
          <w:sz w:val="16"/>
          <w:szCs w:val="14"/>
          <w:lang w:val="es-MX"/>
        </w:rPr>
      </w:pPr>
      <w:r w:rsidRPr="000D767F">
        <w:rPr>
          <w:rStyle w:val="Refdenotaalpie"/>
          <w:sz w:val="18"/>
        </w:rPr>
        <w:footnoteRef/>
      </w:r>
      <w:r>
        <w:tab/>
      </w:r>
      <w:r>
        <w:rPr>
          <w:color w:val="000000"/>
          <w:sz w:val="16"/>
          <w:szCs w:val="14"/>
        </w:rPr>
        <w:t xml:space="preserve">Desde </w:t>
      </w:r>
      <w:r w:rsidRPr="000D767F">
        <w:rPr>
          <w:color w:val="000000"/>
          <w:sz w:val="16"/>
          <w:szCs w:val="14"/>
        </w:rPr>
        <w:t>el tercer levantamiento de 2021 se integraron 74 ciudades de interés, más la Ciudad de México dividida en 16 demarcaciones territoriales. Un total de 75 ciudades de interés.</w:t>
      </w:r>
    </w:p>
  </w:footnote>
  <w:footnote w:id="4">
    <w:p w14:paraId="50661552" w14:textId="2857ED1D" w:rsidR="003B0E72" w:rsidRPr="00AF561E" w:rsidRDefault="003B0E72" w:rsidP="00AA504B">
      <w:pPr>
        <w:pStyle w:val="Textonotapie"/>
        <w:ind w:left="170" w:hanging="170"/>
        <w:jc w:val="both"/>
        <w:rPr>
          <w:lang w:val="es-ES"/>
        </w:rPr>
      </w:pPr>
      <w:r w:rsidRPr="00C85377">
        <w:rPr>
          <w:rStyle w:val="Refdenotaalpie"/>
          <w:sz w:val="18"/>
        </w:rPr>
        <w:footnoteRef/>
      </w:r>
      <w:r w:rsidRPr="00C85377">
        <w:tab/>
      </w:r>
      <w:r w:rsidRPr="009406F2">
        <w:rPr>
          <w:sz w:val="16"/>
          <w:szCs w:val="18"/>
        </w:rPr>
        <w:t xml:space="preserve">Es decir, que hay evidencia estadística de que los porcentajes </w:t>
      </w:r>
      <w:r>
        <w:rPr>
          <w:sz w:val="16"/>
          <w:szCs w:val="18"/>
        </w:rPr>
        <w:t xml:space="preserve">no </w:t>
      </w:r>
      <w:r w:rsidRPr="009406F2">
        <w:rPr>
          <w:sz w:val="16"/>
          <w:szCs w:val="18"/>
        </w:rPr>
        <w:t>son diferentes</w:t>
      </w:r>
      <w:r>
        <w:rPr>
          <w:sz w:val="16"/>
          <w:szCs w:val="18"/>
        </w:rPr>
        <w:t>.</w:t>
      </w:r>
    </w:p>
  </w:footnote>
  <w:footnote w:id="5">
    <w:p w14:paraId="35FA8C31" w14:textId="1832FEB3" w:rsidR="003B0E72" w:rsidRPr="00C85377" w:rsidRDefault="003B0E72" w:rsidP="00656618">
      <w:pPr>
        <w:pStyle w:val="Textonotapie"/>
        <w:ind w:left="170" w:hanging="170"/>
        <w:jc w:val="both"/>
        <w:rPr>
          <w:sz w:val="16"/>
          <w:szCs w:val="16"/>
        </w:rPr>
      </w:pPr>
      <w:r w:rsidRPr="00C85377">
        <w:rPr>
          <w:rStyle w:val="Refdenotaalpie"/>
          <w:sz w:val="18"/>
          <w:szCs w:val="16"/>
        </w:rPr>
        <w:footnoteRef/>
      </w:r>
      <w:r>
        <w:rPr>
          <w:sz w:val="16"/>
          <w:szCs w:val="16"/>
        </w:rPr>
        <w:tab/>
      </w:r>
      <w:r w:rsidRPr="00C85377">
        <w:rPr>
          <w:sz w:val="16"/>
          <w:szCs w:val="16"/>
        </w:rPr>
        <w:t>Con el fin de determinar si existen o no variaciones significativas</w:t>
      </w:r>
      <w:r>
        <w:rPr>
          <w:sz w:val="16"/>
          <w:szCs w:val="16"/>
        </w:rPr>
        <w:t xml:space="preserve"> en las comparaciones entre periodos a lo largo del documento,</w:t>
      </w:r>
      <w:r w:rsidRPr="00C85377">
        <w:rPr>
          <w:sz w:val="16"/>
          <w:szCs w:val="16"/>
        </w:rPr>
        <w:t xml:space="preserve"> se llevan a cabo pruebas de hipótesis.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4D7F" w14:textId="18670CC4" w:rsidR="003B0E72" w:rsidRPr="00306ECD" w:rsidRDefault="003B0E72" w:rsidP="00C814A7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81DE4AF" wp14:editId="7DDAC864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55" name="Imagen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>COMUNICADO DE PRENSA NÚM.</w:t>
    </w:r>
    <w:r w:rsidR="001A4ECB">
      <w:rPr>
        <w:b/>
        <w:color w:val="002060"/>
      </w:rPr>
      <w:t xml:space="preserve"> 189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2E1ACEFD" w14:textId="77777777" w:rsidR="003B0E72" w:rsidRPr="00306ECD" w:rsidRDefault="003B0E72" w:rsidP="00C814A7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19 </w:t>
    </w:r>
    <w:r w:rsidRPr="00306ECD">
      <w:rPr>
        <w:b/>
        <w:color w:val="002060"/>
        <w:lang w:val="pt-BR"/>
      </w:rPr>
      <w:t xml:space="preserve">DE </w:t>
    </w:r>
    <w:r>
      <w:rPr>
        <w:b/>
        <w:color w:val="002060"/>
        <w:lang w:val="pt-BR"/>
      </w:rPr>
      <w:t xml:space="preserve">ABRIL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55838F2F" w14:textId="13F0EEAA" w:rsidR="003B0E72" w:rsidRPr="00306ECD" w:rsidRDefault="003B0E72" w:rsidP="00C814A7">
    <w:pPr>
      <w:pStyle w:val="Encabezado"/>
      <w:ind w:left="-567" w:right="49"/>
      <w:jc w:val="right"/>
      <w:rPr>
        <w:b/>
        <w:color w:val="002060"/>
      </w:rPr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 w:rsidR="00E43657">
      <w:rPr>
        <w:b/>
        <w:color w:val="002060"/>
      </w:rPr>
      <w:t>23</w:t>
    </w:r>
  </w:p>
  <w:p w14:paraId="3318DEA8" w14:textId="77777777" w:rsidR="003B0E72" w:rsidRDefault="003B0E72" w:rsidP="00C814A7">
    <w:pPr>
      <w:pStyle w:val="Encabezado"/>
      <w:ind w:right="49"/>
      <w:jc w:val="center"/>
    </w:pPr>
  </w:p>
  <w:p w14:paraId="5C22B20A" w14:textId="77777777" w:rsidR="003B0E72" w:rsidRDefault="003B0E72"/>
  <w:p w14:paraId="3A150FC3" w14:textId="77777777" w:rsidR="003B0E72" w:rsidRDefault="003B0E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B3B5" w14:textId="6FE08119" w:rsidR="003B0E72" w:rsidRDefault="003B0E72" w:rsidP="00801F92">
    <w:pPr>
      <w:pStyle w:val="Encabezado"/>
      <w:tabs>
        <w:tab w:val="clear" w:pos="8640"/>
        <w:tab w:val="left" w:pos="4320"/>
      </w:tabs>
      <w:jc w:val="center"/>
    </w:pPr>
    <w:r>
      <w:rPr>
        <w:noProof/>
        <w:lang w:val="es-MX" w:eastAsia="es-MX"/>
      </w:rPr>
      <w:drawing>
        <wp:inline distT="0" distB="0" distL="0" distR="0" wp14:anchorId="65913347" wp14:editId="63289A7D">
          <wp:extent cx="828000" cy="828000"/>
          <wp:effectExtent l="0" t="0" r="0" b="0"/>
          <wp:docPr id="10" name="Imagen 10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5EB67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F55323"/>
    <w:multiLevelType w:val="hybridMultilevel"/>
    <w:tmpl w:val="35161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174B"/>
    <w:multiLevelType w:val="hybridMultilevel"/>
    <w:tmpl w:val="7222F2BC"/>
    <w:lvl w:ilvl="0" w:tplc="08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0D3B3A02"/>
    <w:multiLevelType w:val="hybridMultilevel"/>
    <w:tmpl w:val="3A98405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2ED5362"/>
    <w:multiLevelType w:val="hybridMultilevel"/>
    <w:tmpl w:val="48868A78"/>
    <w:lvl w:ilvl="0" w:tplc="AB5C8DB8">
      <w:start w:val="1"/>
      <w:numFmt w:val="decimal"/>
      <w:lvlText w:val="%1"/>
      <w:lvlJc w:val="left"/>
      <w:pPr>
        <w:ind w:left="18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11" w:hanging="360"/>
      </w:pPr>
    </w:lvl>
    <w:lvl w:ilvl="2" w:tplc="080A001B" w:tentative="1">
      <w:start w:val="1"/>
      <w:numFmt w:val="lowerRoman"/>
      <w:lvlText w:val="%3."/>
      <w:lvlJc w:val="right"/>
      <w:pPr>
        <w:ind w:left="3331" w:hanging="180"/>
      </w:pPr>
    </w:lvl>
    <w:lvl w:ilvl="3" w:tplc="080A000F" w:tentative="1">
      <w:start w:val="1"/>
      <w:numFmt w:val="decimal"/>
      <w:lvlText w:val="%4."/>
      <w:lvlJc w:val="left"/>
      <w:pPr>
        <w:ind w:left="4051" w:hanging="360"/>
      </w:pPr>
    </w:lvl>
    <w:lvl w:ilvl="4" w:tplc="080A0019" w:tentative="1">
      <w:start w:val="1"/>
      <w:numFmt w:val="lowerLetter"/>
      <w:lvlText w:val="%5."/>
      <w:lvlJc w:val="left"/>
      <w:pPr>
        <w:ind w:left="4771" w:hanging="360"/>
      </w:pPr>
    </w:lvl>
    <w:lvl w:ilvl="5" w:tplc="080A001B" w:tentative="1">
      <w:start w:val="1"/>
      <w:numFmt w:val="lowerRoman"/>
      <w:lvlText w:val="%6."/>
      <w:lvlJc w:val="right"/>
      <w:pPr>
        <w:ind w:left="5491" w:hanging="180"/>
      </w:pPr>
    </w:lvl>
    <w:lvl w:ilvl="6" w:tplc="080A000F" w:tentative="1">
      <w:start w:val="1"/>
      <w:numFmt w:val="decimal"/>
      <w:lvlText w:val="%7."/>
      <w:lvlJc w:val="left"/>
      <w:pPr>
        <w:ind w:left="6211" w:hanging="360"/>
      </w:pPr>
    </w:lvl>
    <w:lvl w:ilvl="7" w:tplc="080A0019" w:tentative="1">
      <w:start w:val="1"/>
      <w:numFmt w:val="lowerLetter"/>
      <w:lvlText w:val="%8."/>
      <w:lvlJc w:val="left"/>
      <w:pPr>
        <w:ind w:left="6931" w:hanging="360"/>
      </w:pPr>
    </w:lvl>
    <w:lvl w:ilvl="8" w:tplc="080A001B" w:tentative="1">
      <w:start w:val="1"/>
      <w:numFmt w:val="lowerRoman"/>
      <w:lvlText w:val="%9."/>
      <w:lvlJc w:val="right"/>
      <w:pPr>
        <w:ind w:left="7651" w:hanging="180"/>
      </w:pPr>
    </w:lvl>
  </w:abstractNum>
  <w:abstractNum w:abstractNumId="6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1427"/>
    <w:multiLevelType w:val="hybridMultilevel"/>
    <w:tmpl w:val="C592E7E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672A8A"/>
    <w:multiLevelType w:val="hybridMultilevel"/>
    <w:tmpl w:val="70503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2A4E2829"/>
    <w:multiLevelType w:val="hybridMultilevel"/>
    <w:tmpl w:val="E228D7F8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B202FA0"/>
    <w:multiLevelType w:val="hybridMultilevel"/>
    <w:tmpl w:val="8FAADA76"/>
    <w:lvl w:ilvl="0" w:tplc="B7AA7040">
      <w:start w:val="1"/>
      <w:numFmt w:val="bullet"/>
      <w:lvlText w:val="-"/>
      <w:lvlJc w:val="left"/>
      <w:pPr>
        <w:ind w:left="786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BA17F79"/>
    <w:multiLevelType w:val="hybridMultilevel"/>
    <w:tmpl w:val="1722BC0A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2D2F3108"/>
    <w:multiLevelType w:val="hybridMultilevel"/>
    <w:tmpl w:val="5E147986"/>
    <w:lvl w:ilvl="0" w:tplc="080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7" w15:restartNumberingAfterBreak="0">
    <w:nsid w:val="2FA9341D"/>
    <w:multiLevelType w:val="hybridMultilevel"/>
    <w:tmpl w:val="118478F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D75D69"/>
    <w:multiLevelType w:val="hybridMultilevel"/>
    <w:tmpl w:val="AD5652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E6A2F"/>
    <w:multiLevelType w:val="hybridMultilevel"/>
    <w:tmpl w:val="B33457E8"/>
    <w:lvl w:ilvl="0" w:tplc="D530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D245632"/>
    <w:multiLevelType w:val="hybridMultilevel"/>
    <w:tmpl w:val="8AB602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5440849"/>
    <w:multiLevelType w:val="hybridMultilevel"/>
    <w:tmpl w:val="EF80B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0A6286"/>
    <w:multiLevelType w:val="hybridMultilevel"/>
    <w:tmpl w:val="F5DCB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B2391"/>
    <w:multiLevelType w:val="hybridMultilevel"/>
    <w:tmpl w:val="4ACA75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5E08CD"/>
    <w:multiLevelType w:val="hybridMultilevel"/>
    <w:tmpl w:val="83CEEF08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F774B52"/>
    <w:multiLevelType w:val="hybridMultilevel"/>
    <w:tmpl w:val="8B3AA0F4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F8A3352"/>
    <w:multiLevelType w:val="hybridMultilevel"/>
    <w:tmpl w:val="1BF007F4"/>
    <w:lvl w:ilvl="0" w:tplc="92486A26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18"/>
        <w:vertAlign w:val="superscrip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8852DFA"/>
    <w:multiLevelType w:val="hybridMultilevel"/>
    <w:tmpl w:val="967A6BCE"/>
    <w:lvl w:ilvl="0" w:tplc="19AEA020">
      <w:start w:val="4"/>
      <w:numFmt w:val="decimal"/>
      <w:lvlText w:val="%1"/>
      <w:lvlJc w:val="left"/>
      <w:pPr>
        <w:ind w:left="-1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70" w:hanging="360"/>
      </w:pPr>
    </w:lvl>
    <w:lvl w:ilvl="2" w:tplc="080A001B" w:tentative="1">
      <w:start w:val="1"/>
      <w:numFmt w:val="lowerRoman"/>
      <w:lvlText w:val="%3."/>
      <w:lvlJc w:val="right"/>
      <w:pPr>
        <w:ind w:left="1290" w:hanging="180"/>
      </w:pPr>
    </w:lvl>
    <w:lvl w:ilvl="3" w:tplc="080A000F" w:tentative="1">
      <w:start w:val="1"/>
      <w:numFmt w:val="decimal"/>
      <w:lvlText w:val="%4."/>
      <w:lvlJc w:val="left"/>
      <w:pPr>
        <w:ind w:left="2010" w:hanging="360"/>
      </w:pPr>
    </w:lvl>
    <w:lvl w:ilvl="4" w:tplc="080A0019" w:tentative="1">
      <w:start w:val="1"/>
      <w:numFmt w:val="lowerLetter"/>
      <w:lvlText w:val="%5."/>
      <w:lvlJc w:val="left"/>
      <w:pPr>
        <w:ind w:left="2730" w:hanging="360"/>
      </w:pPr>
    </w:lvl>
    <w:lvl w:ilvl="5" w:tplc="080A001B" w:tentative="1">
      <w:start w:val="1"/>
      <w:numFmt w:val="lowerRoman"/>
      <w:lvlText w:val="%6."/>
      <w:lvlJc w:val="right"/>
      <w:pPr>
        <w:ind w:left="3450" w:hanging="180"/>
      </w:pPr>
    </w:lvl>
    <w:lvl w:ilvl="6" w:tplc="080A000F" w:tentative="1">
      <w:start w:val="1"/>
      <w:numFmt w:val="decimal"/>
      <w:lvlText w:val="%7."/>
      <w:lvlJc w:val="left"/>
      <w:pPr>
        <w:ind w:left="4170" w:hanging="360"/>
      </w:pPr>
    </w:lvl>
    <w:lvl w:ilvl="7" w:tplc="080A0019" w:tentative="1">
      <w:start w:val="1"/>
      <w:numFmt w:val="lowerLetter"/>
      <w:lvlText w:val="%8."/>
      <w:lvlJc w:val="left"/>
      <w:pPr>
        <w:ind w:left="4890" w:hanging="360"/>
      </w:pPr>
    </w:lvl>
    <w:lvl w:ilvl="8" w:tplc="080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34" w15:restartNumberingAfterBreak="0">
    <w:nsid w:val="5E5C33B7"/>
    <w:multiLevelType w:val="hybridMultilevel"/>
    <w:tmpl w:val="AF6AF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57EE5"/>
    <w:multiLevelType w:val="hybridMultilevel"/>
    <w:tmpl w:val="DF3E129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61B77527"/>
    <w:multiLevelType w:val="hybridMultilevel"/>
    <w:tmpl w:val="D9C64176"/>
    <w:lvl w:ilvl="0" w:tplc="449C7A3C">
      <w:start w:val="2"/>
      <w:numFmt w:val="decimal"/>
      <w:lvlText w:val="%1"/>
      <w:lvlJc w:val="left"/>
      <w:pPr>
        <w:ind w:left="-1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70" w:hanging="360"/>
      </w:pPr>
    </w:lvl>
    <w:lvl w:ilvl="2" w:tplc="080A001B" w:tentative="1">
      <w:start w:val="1"/>
      <w:numFmt w:val="lowerRoman"/>
      <w:lvlText w:val="%3."/>
      <w:lvlJc w:val="right"/>
      <w:pPr>
        <w:ind w:left="1290" w:hanging="180"/>
      </w:pPr>
    </w:lvl>
    <w:lvl w:ilvl="3" w:tplc="080A000F" w:tentative="1">
      <w:start w:val="1"/>
      <w:numFmt w:val="decimal"/>
      <w:lvlText w:val="%4."/>
      <w:lvlJc w:val="left"/>
      <w:pPr>
        <w:ind w:left="2010" w:hanging="360"/>
      </w:pPr>
    </w:lvl>
    <w:lvl w:ilvl="4" w:tplc="080A0019" w:tentative="1">
      <w:start w:val="1"/>
      <w:numFmt w:val="lowerLetter"/>
      <w:lvlText w:val="%5."/>
      <w:lvlJc w:val="left"/>
      <w:pPr>
        <w:ind w:left="2730" w:hanging="360"/>
      </w:pPr>
    </w:lvl>
    <w:lvl w:ilvl="5" w:tplc="080A001B" w:tentative="1">
      <w:start w:val="1"/>
      <w:numFmt w:val="lowerRoman"/>
      <w:lvlText w:val="%6."/>
      <w:lvlJc w:val="right"/>
      <w:pPr>
        <w:ind w:left="3450" w:hanging="180"/>
      </w:pPr>
    </w:lvl>
    <w:lvl w:ilvl="6" w:tplc="080A000F" w:tentative="1">
      <w:start w:val="1"/>
      <w:numFmt w:val="decimal"/>
      <w:lvlText w:val="%7."/>
      <w:lvlJc w:val="left"/>
      <w:pPr>
        <w:ind w:left="4170" w:hanging="360"/>
      </w:pPr>
    </w:lvl>
    <w:lvl w:ilvl="7" w:tplc="080A0019" w:tentative="1">
      <w:start w:val="1"/>
      <w:numFmt w:val="lowerLetter"/>
      <w:lvlText w:val="%8."/>
      <w:lvlJc w:val="left"/>
      <w:pPr>
        <w:ind w:left="4890" w:hanging="360"/>
      </w:pPr>
    </w:lvl>
    <w:lvl w:ilvl="8" w:tplc="080A001B" w:tentative="1">
      <w:start w:val="1"/>
      <w:numFmt w:val="lowerRoman"/>
      <w:lvlText w:val="%9."/>
      <w:lvlJc w:val="right"/>
      <w:pPr>
        <w:ind w:left="5610" w:hanging="180"/>
      </w:pPr>
    </w:lvl>
  </w:abstractNum>
  <w:abstractNum w:abstractNumId="37" w15:restartNumberingAfterBreak="0">
    <w:nsid w:val="65082A59"/>
    <w:multiLevelType w:val="hybridMultilevel"/>
    <w:tmpl w:val="C34EFAD0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39" w15:restartNumberingAfterBreak="0">
    <w:nsid w:val="6A533000"/>
    <w:multiLevelType w:val="hybridMultilevel"/>
    <w:tmpl w:val="733E7F5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 w15:restartNumberingAfterBreak="0">
    <w:nsid w:val="6FE45C99"/>
    <w:multiLevelType w:val="hybridMultilevel"/>
    <w:tmpl w:val="52CA62FC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BEA20CB"/>
    <w:multiLevelType w:val="hybridMultilevel"/>
    <w:tmpl w:val="7E98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3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4" w15:restartNumberingAfterBreak="0">
    <w:nsid w:val="7F925BF2"/>
    <w:multiLevelType w:val="hybridMultilevel"/>
    <w:tmpl w:val="7F16EAA8"/>
    <w:lvl w:ilvl="0" w:tplc="67F6D738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137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062212904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2040006384">
    <w:abstractNumId w:val="8"/>
  </w:num>
  <w:num w:numId="4" w16cid:durableId="1681351837">
    <w:abstractNumId w:val="12"/>
  </w:num>
  <w:num w:numId="5" w16cid:durableId="1817915063">
    <w:abstractNumId w:val="18"/>
  </w:num>
  <w:num w:numId="6" w16cid:durableId="1651131151">
    <w:abstractNumId w:val="6"/>
  </w:num>
  <w:num w:numId="7" w16cid:durableId="1490292675">
    <w:abstractNumId w:val="9"/>
  </w:num>
  <w:num w:numId="8" w16cid:durableId="5867250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202316699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45090095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107705634">
    <w:abstractNumId w:val="38"/>
  </w:num>
  <w:num w:numId="12" w16cid:durableId="875387463">
    <w:abstractNumId w:val="42"/>
  </w:num>
  <w:num w:numId="13" w16cid:durableId="367797366">
    <w:abstractNumId w:val="43"/>
  </w:num>
  <w:num w:numId="14" w16cid:durableId="587277939">
    <w:abstractNumId w:val="24"/>
  </w:num>
  <w:num w:numId="15" w16cid:durableId="2064139751">
    <w:abstractNumId w:val="19"/>
  </w:num>
  <w:num w:numId="16" w16cid:durableId="1513912123">
    <w:abstractNumId w:val="32"/>
  </w:num>
  <w:num w:numId="17" w16cid:durableId="1411850073">
    <w:abstractNumId w:val="22"/>
  </w:num>
  <w:num w:numId="18" w16cid:durableId="344484860">
    <w:abstractNumId w:val="28"/>
  </w:num>
  <w:num w:numId="19" w16cid:durableId="2014062038">
    <w:abstractNumId w:val="10"/>
  </w:num>
  <w:num w:numId="20" w16cid:durableId="1483348082">
    <w:abstractNumId w:val="14"/>
  </w:num>
  <w:num w:numId="21" w16cid:durableId="376903911">
    <w:abstractNumId w:val="17"/>
  </w:num>
  <w:num w:numId="22" w16cid:durableId="814948828">
    <w:abstractNumId w:val="27"/>
  </w:num>
  <w:num w:numId="23" w16cid:durableId="1227033186">
    <w:abstractNumId w:val="41"/>
  </w:num>
  <w:num w:numId="24" w16cid:durableId="966739713">
    <w:abstractNumId w:val="26"/>
  </w:num>
  <w:num w:numId="25" w16cid:durableId="69356780">
    <w:abstractNumId w:val="33"/>
  </w:num>
  <w:num w:numId="26" w16cid:durableId="265236798">
    <w:abstractNumId w:val="36"/>
  </w:num>
  <w:num w:numId="27" w16cid:durableId="1470047341">
    <w:abstractNumId w:val="20"/>
  </w:num>
  <w:num w:numId="28" w16cid:durableId="754980209">
    <w:abstractNumId w:val="44"/>
  </w:num>
  <w:num w:numId="29" w16cid:durableId="406919917">
    <w:abstractNumId w:val="31"/>
  </w:num>
  <w:num w:numId="30" w16cid:durableId="1572349884">
    <w:abstractNumId w:val="5"/>
  </w:num>
  <w:num w:numId="31" w16cid:durableId="482819679">
    <w:abstractNumId w:val="29"/>
  </w:num>
  <w:num w:numId="32" w16cid:durableId="1515339006">
    <w:abstractNumId w:val="11"/>
  </w:num>
  <w:num w:numId="33" w16cid:durableId="1359506115">
    <w:abstractNumId w:val="0"/>
  </w:num>
  <w:num w:numId="34" w16cid:durableId="910847402">
    <w:abstractNumId w:val="3"/>
  </w:num>
  <w:num w:numId="35" w16cid:durableId="1018234498">
    <w:abstractNumId w:val="15"/>
  </w:num>
  <w:num w:numId="36" w16cid:durableId="1459181335">
    <w:abstractNumId w:val="40"/>
  </w:num>
  <w:num w:numId="37" w16cid:durableId="486559224">
    <w:abstractNumId w:val="30"/>
  </w:num>
  <w:num w:numId="38" w16cid:durableId="1164398207">
    <w:abstractNumId w:val="4"/>
  </w:num>
  <w:num w:numId="39" w16cid:durableId="94639266">
    <w:abstractNumId w:val="21"/>
  </w:num>
  <w:num w:numId="40" w16cid:durableId="745343583">
    <w:abstractNumId w:val="16"/>
  </w:num>
  <w:num w:numId="41" w16cid:durableId="2038922861">
    <w:abstractNumId w:val="13"/>
  </w:num>
  <w:num w:numId="42" w16cid:durableId="624240663">
    <w:abstractNumId w:val="2"/>
  </w:num>
  <w:num w:numId="43" w16cid:durableId="177741765">
    <w:abstractNumId w:val="35"/>
  </w:num>
  <w:num w:numId="44" w16cid:durableId="457066745">
    <w:abstractNumId w:val="25"/>
  </w:num>
  <w:num w:numId="45" w16cid:durableId="1291784233">
    <w:abstractNumId w:val="34"/>
  </w:num>
  <w:num w:numId="46" w16cid:durableId="774709295">
    <w:abstractNumId w:val="23"/>
  </w:num>
  <w:num w:numId="47" w16cid:durableId="78521897">
    <w:abstractNumId w:val="39"/>
  </w:num>
  <w:num w:numId="48" w16cid:durableId="1745372941">
    <w:abstractNumId w:val="7"/>
  </w:num>
  <w:num w:numId="49" w16cid:durableId="17112228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AA9"/>
    <w:rsid w:val="00000BEA"/>
    <w:rsid w:val="0000180F"/>
    <w:rsid w:val="00002466"/>
    <w:rsid w:val="00002665"/>
    <w:rsid w:val="000027BD"/>
    <w:rsid w:val="00002B26"/>
    <w:rsid w:val="00003712"/>
    <w:rsid w:val="00003C25"/>
    <w:rsid w:val="00003C68"/>
    <w:rsid w:val="00004291"/>
    <w:rsid w:val="0000458A"/>
    <w:rsid w:val="00004804"/>
    <w:rsid w:val="000050C6"/>
    <w:rsid w:val="00005940"/>
    <w:rsid w:val="00005F56"/>
    <w:rsid w:val="00006B5A"/>
    <w:rsid w:val="000078B1"/>
    <w:rsid w:val="0000790F"/>
    <w:rsid w:val="00007A1A"/>
    <w:rsid w:val="00010A59"/>
    <w:rsid w:val="000112A7"/>
    <w:rsid w:val="00011512"/>
    <w:rsid w:val="0001151F"/>
    <w:rsid w:val="00011840"/>
    <w:rsid w:val="00011AC0"/>
    <w:rsid w:val="00011BD3"/>
    <w:rsid w:val="00012278"/>
    <w:rsid w:val="00012A27"/>
    <w:rsid w:val="00012E16"/>
    <w:rsid w:val="00012FE8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C49"/>
    <w:rsid w:val="00020D33"/>
    <w:rsid w:val="00021432"/>
    <w:rsid w:val="00021492"/>
    <w:rsid w:val="00021686"/>
    <w:rsid w:val="000216A3"/>
    <w:rsid w:val="000228C4"/>
    <w:rsid w:val="00022CA3"/>
    <w:rsid w:val="000230C9"/>
    <w:rsid w:val="00023FB8"/>
    <w:rsid w:val="000249A0"/>
    <w:rsid w:val="000256F4"/>
    <w:rsid w:val="000260EE"/>
    <w:rsid w:val="00026B3C"/>
    <w:rsid w:val="00026B52"/>
    <w:rsid w:val="00030480"/>
    <w:rsid w:val="0003065F"/>
    <w:rsid w:val="0003080B"/>
    <w:rsid w:val="00030BF8"/>
    <w:rsid w:val="00030D10"/>
    <w:rsid w:val="00031231"/>
    <w:rsid w:val="000314D3"/>
    <w:rsid w:val="00031BCF"/>
    <w:rsid w:val="00032593"/>
    <w:rsid w:val="00032B16"/>
    <w:rsid w:val="00033603"/>
    <w:rsid w:val="00033A14"/>
    <w:rsid w:val="0003447A"/>
    <w:rsid w:val="00034BC3"/>
    <w:rsid w:val="000353F3"/>
    <w:rsid w:val="00035600"/>
    <w:rsid w:val="00035B2D"/>
    <w:rsid w:val="00035C0B"/>
    <w:rsid w:val="00035DA7"/>
    <w:rsid w:val="00035E5C"/>
    <w:rsid w:val="00036179"/>
    <w:rsid w:val="00036D72"/>
    <w:rsid w:val="00037089"/>
    <w:rsid w:val="00037177"/>
    <w:rsid w:val="00037859"/>
    <w:rsid w:val="0003789E"/>
    <w:rsid w:val="00037CC4"/>
    <w:rsid w:val="0004066E"/>
    <w:rsid w:val="00040F75"/>
    <w:rsid w:val="00041220"/>
    <w:rsid w:val="0004165C"/>
    <w:rsid w:val="00041FF7"/>
    <w:rsid w:val="00042075"/>
    <w:rsid w:val="0004225C"/>
    <w:rsid w:val="000427A6"/>
    <w:rsid w:val="00043535"/>
    <w:rsid w:val="00043B32"/>
    <w:rsid w:val="00043E2B"/>
    <w:rsid w:val="00043EA5"/>
    <w:rsid w:val="00044296"/>
    <w:rsid w:val="00044699"/>
    <w:rsid w:val="00044700"/>
    <w:rsid w:val="00044A11"/>
    <w:rsid w:val="00044C5E"/>
    <w:rsid w:val="00044D67"/>
    <w:rsid w:val="00044FD9"/>
    <w:rsid w:val="0004596A"/>
    <w:rsid w:val="00045AF1"/>
    <w:rsid w:val="00045E58"/>
    <w:rsid w:val="00045E9B"/>
    <w:rsid w:val="00046139"/>
    <w:rsid w:val="000465BF"/>
    <w:rsid w:val="00046822"/>
    <w:rsid w:val="0004682E"/>
    <w:rsid w:val="00046912"/>
    <w:rsid w:val="00046AB6"/>
    <w:rsid w:val="00046D06"/>
    <w:rsid w:val="00047104"/>
    <w:rsid w:val="000471CD"/>
    <w:rsid w:val="0004735D"/>
    <w:rsid w:val="0004777C"/>
    <w:rsid w:val="00047B50"/>
    <w:rsid w:val="00047C64"/>
    <w:rsid w:val="000501E0"/>
    <w:rsid w:val="00050934"/>
    <w:rsid w:val="00050FB5"/>
    <w:rsid w:val="00051AC0"/>
    <w:rsid w:val="00051C72"/>
    <w:rsid w:val="00051D1C"/>
    <w:rsid w:val="00051D9E"/>
    <w:rsid w:val="00052410"/>
    <w:rsid w:val="00052536"/>
    <w:rsid w:val="00052F04"/>
    <w:rsid w:val="00052F1E"/>
    <w:rsid w:val="000536D2"/>
    <w:rsid w:val="00053B2C"/>
    <w:rsid w:val="00053EB7"/>
    <w:rsid w:val="00054A4F"/>
    <w:rsid w:val="00054C21"/>
    <w:rsid w:val="00055047"/>
    <w:rsid w:val="00055086"/>
    <w:rsid w:val="00055B54"/>
    <w:rsid w:val="00056F51"/>
    <w:rsid w:val="000573F5"/>
    <w:rsid w:val="00057F37"/>
    <w:rsid w:val="000602B0"/>
    <w:rsid w:val="0006056C"/>
    <w:rsid w:val="00061733"/>
    <w:rsid w:val="00061DB5"/>
    <w:rsid w:val="0006228A"/>
    <w:rsid w:val="000626C8"/>
    <w:rsid w:val="00063614"/>
    <w:rsid w:val="00063838"/>
    <w:rsid w:val="0006433F"/>
    <w:rsid w:val="000646BA"/>
    <w:rsid w:val="00064BBC"/>
    <w:rsid w:val="00064E9D"/>
    <w:rsid w:val="00064FDB"/>
    <w:rsid w:val="00065106"/>
    <w:rsid w:val="000651F1"/>
    <w:rsid w:val="000652CD"/>
    <w:rsid w:val="00065336"/>
    <w:rsid w:val="00065708"/>
    <w:rsid w:val="00065A07"/>
    <w:rsid w:val="00065BC1"/>
    <w:rsid w:val="00065DCD"/>
    <w:rsid w:val="00066638"/>
    <w:rsid w:val="00066EA7"/>
    <w:rsid w:val="0007012A"/>
    <w:rsid w:val="0007017F"/>
    <w:rsid w:val="000703E6"/>
    <w:rsid w:val="00070431"/>
    <w:rsid w:val="000704E1"/>
    <w:rsid w:val="000707FF"/>
    <w:rsid w:val="00070864"/>
    <w:rsid w:val="00070BB7"/>
    <w:rsid w:val="00071352"/>
    <w:rsid w:val="0007145A"/>
    <w:rsid w:val="00071F33"/>
    <w:rsid w:val="0007221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38F"/>
    <w:rsid w:val="00077C46"/>
    <w:rsid w:val="0008027F"/>
    <w:rsid w:val="0008084D"/>
    <w:rsid w:val="000814C6"/>
    <w:rsid w:val="000814ED"/>
    <w:rsid w:val="0008175A"/>
    <w:rsid w:val="0008195B"/>
    <w:rsid w:val="00081AB5"/>
    <w:rsid w:val="000826F7"/>
    <w:rsid w:val="00082F11"/>
    <w:rsid w:val="0008325D"/>
    <w:rsid w:val="000834DD"/>
    <w:rsid w:val="00084687"/>
    <w:rsid w:val="00084A57"/>
    <w:rsid w:val="00084BED"/>
    <w:rsid w:val="00084EDB"/>
    <w:rsid w:val="00084FF2"/>
    <w:rsid w:val="0008524D"/>
    <w:rsid w:val="000856E9"/>
    <w:rsid w:val="0008573E"/>
    <w:rsid w:val="0008590A"/>
    <w:rsid w:val="00086295"/>
    <w:rsid w:val="0008756B"/>
    <w:rsid w:val="00087B51"/>
    <w:rsid w:val="00087DB7"/>
    <w:rsid w:val="0009025D"/>
    <w:rsid w:val="00090B9C"/>
    <w:rsid w:val="00090D7B"/>
    <w:rsid w:val="00090E89"/>
    <w:rsid w:val="000912C1"/>
    <w:rsid w:val="00091474"/>
    <w:rsid w:val="00091483"/>
    <w:rsid w:val="000915F7"/>
    <w:rsid w:val="00092421"/>
    <w:rsid w:val="00092764"/>
    <w:rsid w:val="0009292F"/>
    <w:rsid w:val="00092D3A"/>
    <w:rsid w:val="00092F4C"/>
    <w:rsid w:val="00093A4B"/>
    <w:rsid w:val="00094496"/>
    <w:rsid w:val="00094FD4"/>
    <w:rsid w:val="000950E7"/>
    <w:rsid w:val="00095360"/>
    <w:rsid w:val="000955AA"/>
    <w:rsid w:val="000957BC"/>
    <w:rsid w:val="00096633"/>
    <w:rsid w:val="00096737"/>
    <w:rsid w:val="00097C0A"/>
    <w:rsid w:val="000A0344"/>
    <w:rsid w:val="000A0823"/>
    <w:rsid w:val="000A1522"/>
    <w:rsid w:val="000A21D6"/>
    <w:rsid w:val="000A2704"/>
    <w:rsid w:val="000A2F4F"/>
    <w:rsid w:val="000A31EF"/>
    <w:rsid w:val="000A3339"/>
    <w:rsid w:val="000A3354"/>
    <w:rsid w:val="000A3656"/>
    <w:rsid w:val="000A3733"/>
    <w:rsid w:val="000A43B0"/>
    <w:rsid w:val="000A53E6"/>
    <w:rsid w:val="000A574B"/>
    <w:rsid w:val="000A5B04"/>
    <w:rsid w:val="000A5E2A"/>
    <w:rsid w:val="000A609E"/>
    <w:rsid w:val="000A643B"/>
    <w:rsid w:val="000A707A"/>
    <w:rsid w:val="000A78BA"/>
    <w:rsid w:val="000B007C"/>
    <w:rsid w:val="000B0710"/>
    <w:rsid w:val="000B0746"/>
    <w:rsid w:val="000B075A"/>
    <w:rsid w:val="000B1C11"/>
    <w:rsid w:val="000B1D13"/>
    <w:rsid w:val="000B29B8"/>
    <w:rsid w:val="000B2A27"/>
    <w:rsid w:val="000B4A6A"/>
    <w:rsid w:val="000B50FB"/>
    <w:rsid w:val="000B515D"/>
    <w:rsid w:val="000B5A74"/>
    <w:rsid w:val="000B5FA3"/>
    <w:rsid w:val="000B6AF6"/>
    <w:rsid w:val="000C1051"/>
    <w:rsid w:val="000C1608"/>
    <w:rsid w:val="000C1F04"/>
    <w:rsid w:val="000C1F86"/>
    <w:rsid w:val="000C2578"/>
    <w:rsid w:val="000C2892"/>
    <w:rsid w:val="000C2B3C"/>
    <w:rsid w:val="000C30D7"/>
    <w:rsid w:val="000C3105"/>
    <w:rsid w:val="000C34DD"/>
    <w:rsid w:val="000C35CB"/>
    <w:rsid w:val="000C37BC"/>
    <w:rsid w:val="000C4466"/>
    <w:rsid w:val="000C4650"/>
    <w:rsid w:val="000C482F"/>
    <w:rsid w:val="000C4992"/>
    <w:rsid w:val="000C4A24"/>
    <w:rsid w:val="000C5299"/>
    <w:rsid w:val="000C5468"/>
    <w:rsid w:val="000C55CC"/>
    <w:rsid w:val="000C5852"/>
    <w:rsid w:val="000C5D0E"/>
    <w:rsid w:val="000C614B"/>
    <w:rsid w:val="000C6A4A"/>
    <w:rsid w:val="000C6AEF"/>
    <w:rsid w:val="000C6AFD"/>
    <w:rsid w:val="000D06FA"/>
    <w:rsid w:val="000D0DDA"/>
    <w:rsid w:val="000D0ED5"/>
    <w:rsid w:val="000D113E"/>
    <w:rsid w:val="000D1169"/>
    <w:rsid w:val="000D15C5"/>
    <w:rsid w:val="000D28A5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799"/>
    <w:rsid w:val="000D5EDB"/>
    <w:rsid w:val="000D6029"/>
    <w:rsid w:val="000D6C0F"/>
    <w:rsid w:val="000D6F1E"/>
    <w:rsid w:val="000D767F"/>
    <w:rsid w:val="000D7A95"/>
    <w:rsid w:val="000D7BBD"/>
    <w:rsid w:val="000E03C0"/>
    <w:rsid w:val="000E0654"/>
    <w:rsid w:val="000E139E"/>
    <w:rsid w:val="000E19B3"/>
    <w:rsid w:val="000E1A02"/>
    <w:rsid w:val="000E2782"/>
    <w:rsid w:val="000E2970"/>
    <w:rsid w:val="000E3CC1"/>
    <w:rsid w:val="000E4CD2"/>
    <w:rsid w:val="000E5331"/>
    <w:rsid w:val="000E5526"/>
    <w:rsid w:val="000E5D6B"/>
    <w:rsid w:val="000E5FE0"/>
    <w:rsid w:val="000E684F"/>
    <w:rsid w:val="000E6D5D"/>
    <w:rsid w:val="000E6F32"/>
    <w:rsid w:val="000E75C0"/>
    <w:rsid w:val="000F05D5"/>
    <w:rsid w:val="000F109B"/>
    <w:rsid w:val="000F14C1"/>
    <w:rsid w:val="000F1819"/>
    <w:rsid w:val="000F1DEB"/>
    <w:rsid w:val="000F20BF"/>
    <w:rsid w:val="000F2F7F"/>
    <w:rsid w:val="000F3491"/>
    <w:rsid w:val="000F3DE6"/>
    <w:rsid w:val="000F4202"/>
    <w:rsid w:val="000F44E7"/>
    <w:rsid w:val="000F4794"/>
    <w:rsid w:val="000F49F1"/>
    <w:rsid w:val="000F4C41"/>
    <w:rsid w:val="000F4FA7"/>
    <w:rsid w:val="000F536A"/>
    <w:rsid w:val="000F541D"/>
    <w:rsid w:val="000F5472"/>
    <w:rsid w:val="000F5AD1"/>
    <w:rsid w:val="000F5D0B"/>
    <w:rsid w:val="000F69FA"/>
    <w:rsid w:val="000F74EB"/>
    <w:rsid w:val="000F7577"/>
    <w:rsid w:val="000F7974"/>
    <w:rsid w:val="000F7ECD"/>
    <w:rsid w:val="000F7FB5"/>
    <w:rsid w:val="00100103"/>
    <w:rsid w:val="00100317"/>
    <w:rsid w:val="00100ACC"/>
    <w:rsid w:val="00100BDC"/>
    <w:rsid w:val="001011EC"/>
    <w:rsid w:val="001017C1"/>
    <w:rsid w:val="00101E92"/>
    <w:rsid w:val="00101F40"/>
    <w:rsid w:val="0010312A"/>
    <w:rsid w:val="00103847"/>
    <w:rsid w:val="00103913"/>
    <w:rsid w:val="00103FA2"/>
    <w:rsid w:val="00105234"/>
    <w:rsid w:val="00105E2B"/>
    <w:rsid w:val="0010619C"/>
    <w:rsid w:val="0010664D"/>
    <w:rsid w:val="00110510"/>
    <w:rsid w:val="0011076D"/>
    <w:rsid w:val="00110DB1"/>
    <w:rsid w:val="00110DF0"/>
    <w:rsid w:val="001110FE"/>
    <w:rsid w:val="001114D0"/>
    <w:rsid w:val="00111703"/>
    <w:rsid w:val="0011194A"/>
    <w:rsid w:val="00111AA3"/>
    <w:rsid w:val="00111E8C"/>
    <w:rsid w:val="00111F29"/>
    <w:rsid w:val="00111F72"/>
    <w:rsid w:val="00112876"/>
    <w:rsid w:val="00112EF8"/>
    <w:rsid w:val="00113348"/>
    <w:rsid w:val="00113404"/>
    <w:rsid w:val="001134B4"/>
    <w:rsid w:val="00113DA8"/>
    <w:rsid w:val="00113DE8"/>
    <w:rsid w:val="0011424C"/>
    <w:rsid w:val="001143A7"/>
    <w:rsid w:val="0011478A"/>
    <w:rsid w:val="00114B56"/>
    <w:rsid w:val="00114B96"/>
    <w:rsid w:val="00114E47"/>
    <w:rsid w:val="00114FA2"/>
    <w:rsid w:val="00115A20"/>
    <w:rsid w:val="0011621E"/>
    <w:rsid w:val="00116518"/>
    <w:rsid w:val="00116647"/>
    <w:rsid w:val="00116F84"/>
    <w:rsid w:val="00117D7A"/>
    <w:rsid w:val="00120112"/>
    <w:rsid w:val="001201BA"/>
    <w:rsid w:val="00120EA1"/>
    <w:rsid w:val="001215E5"/>
    <w:rsid w:val="0012181E"/>
    <w:rsid w:val="00122048"/>
    <w:rsid w:val="001228A0"/>
    <w:rsid w:val="00123EFF"/>
    <w:rsid w:val="001241F7"/>
    <w:rsid w:val="00124D1A"/>
    <w:rsid w:val="001251AF"/>
    <w:rsid w:val="00125654"/>
    <w:rsid w:val="00125943"/>
    <w:rsid w:val="00125D0D"/>
    <w:rsid w:val="00125D9D"/>
    <w:rsid w:val="001263E8"/>
    <w:rsid w:val="0012762F"/>
    <w:rsid w:val="00127810"/>
    <w:rsid w:val="001301E6"/>
    <w:rsid w:val="001304F2"/>
    <w:rsid w:val="00130C4C"/>
    <w:rsid w:val="001313EB"/>
    <w:rsid w:val="001315B2"/>
    <w:rsid w:val="0013222E"/>
    <w:rsid w:val="001338BB"/>
    <w:rsid w:val="00134904"/>
    <w:rsid w:val="001349AB"/>
    <w:rsid w:val="00134F4E"/>
    <w:rsid w:val="00134FB0"/>
    <w:rsid w:val="001350AC"/>
    <w:rsid w:val="001352EC"/>
    <w:rsid w:val="00135E0B"/>
    <w:rsid w:val="001361A8"/>
    <w:rsid w:val="001365A5"/>
    <w:rsid w:val="001368CC"/>
    <w:rsid w:val="001372CA"/>
    <w:rsid w:val="00137674"/>
    <w:rsid w:val="0013769C"/>
    <w:rsid w:val="00137AFD"/>
    <w:rsid w:val="0014012A"/>
    <w:rsid w:val="001405BA"/>
    <w:rsid w:val="001408B4"/>
    <w:rsid w:val="00140AD8"/>
    <w:rsid w:val="00140BE4"/>
    <w:rsid w:val="001411DE"/>
    <w:rsid w:val="00141399"/>
    <w:rsid w:val="00141A0B"/>
    <w:rsid w:val="00141AF4"/>
    <w:rsid w:val="00142363"/>
    <w:rsid w:val="0014285E"/>
    <w:rsid w:val="00142E09"/>
    <w:rsid w:val="0014377B"/>
    <w:rsid w:val="00143C8C"/>
    <w:rsid w:val="00143D3A"/>
    <w:rsid w:val="00145F65"/>
    <w:rsid w:val="001460E0"/>
    <w:rsid w:val="0014646A"/>
    <w:rsid w:val="00146902"/>
    <w:rsid w:val="00146DFA"/>
    <w:rsid w:val="00147D79"/>
    <w:rsid w:val="0015018D"/>
    <w:rsid w:val="00150228"/>
    <w:rsid w:val="001502C3"/>
    <w:rsid w:val="001504E8"/>
    <w:rsid w:val="00150536"/>
    <w:rsid w:val="00151068"/>
    <w:rsid w:val="0015112F"/>
    <w:rsid w:val="00152988"/>
    <w:rsid w:val="001533B2"/>
    <w:rsid w:val="001534CA"/>
    <w:rsid w:val="0015369A"/>
    <w:rsid w:val="0015386A"/>
    <w:rsid w:val="001540F9"/>
    <w:rsid w:val="00154E1D"/>
    <w:rsid w:val="00154E90"/>
    <w:rsid w:val="001557A9"/>
    <w:rsid w:val="00155878"/>
    <w:rsid w:val="0015599D"/>
    <w:rsid w:val="00155A36"/>
    <w:rsid w:val="00155EDD"/>
    <w:rsid w:val="00156C37"/>
    <w:rsid w:val="0015755C"/>
    <w:rsid w:val="00157DAA"/>
    <w:rsid w:val="001600C9"/>
    <w:rsid w:val="00160308"/>
    <w:rsid w:val="00160511"/>
    <w:rsid w:val="0016052B"/>
    <w:rsid w:val="00160957"/>
    <w:rsid w:val="00160B56"/>
    <w:rsid w:val="0016159C"/>
    <w:rsid w:val="00161833"/>
    <w:rsid w:val="00161C37"/>
    <w:rsid w:val="00161E62"/>
    <w:rsid w:val="001623BD"/>
    <w:rsid w:val="00162797"/>
    <w:rsid w:val="00162A20"/>
    <w:rsid w:val="00164381"/>
    <w:rsid w:val="001648B2"/>
    <w:rsid w:val="00164CD1"/>
    <w:rsid w:val="001655BD"/>
    <w:rsid w:val="00165810"/>
    <w:rsid w:val="00165C79"/>
    <w:rsid w:val="00165E36"/>
    <w:rsid w:val="00165FD0"/>
    <w:rsid w:val="0016614B"/>
    <w:rsid w:val="001665FD"/>
    <w:rsid w:val="0016710F"/>
    <w:rsid w:val="00167A72"/>
    <w:rsid w:val="0017080F"/>
    <w:rsid w:val="001708DD"/>
    <w:rsid w:val="00170972"/>
    <w:rsid w:val="001709AA"/>
    <w:rsid w:val="00170BD4"/>
    <w:rsid w:val="001711E3"/>
    <w:rsid w:val="00171D67"/>
    <w:rsid w:val="00171D9D"/>
    <w:rsid w:val="00171DA7"/>
    <w:rsid w:val="00171F36"/>
    <w:rsid w:val="00172464"/>
    <w:rsid w:val="00172600"/>
    <w:rsid w:val="00172614"/>
    <w:rsid w:val="00172AA4"/>
    <w:rsid w:val="0017308E"/>
    <w:rsid w:val="00173309"/>
    <w:rsid w:val="0017357E"/>
    <w:rsid w:val="001735A8"/>
    <w:rsid w:val="00173881"/>
    <w:rsid w:val="00173D1A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774FA"/>
    <w:rsid w:val="00180887"/>
    <w:rsid w:val="00180A83"/>
    <w:rsid w:val="001810DE"/>
    <w:rsid w:val="001813AB"/>
    <w:rsid w:val="001819C6"/>
    <w:rsid w:val="00181B78"/>
    <w:rsid w:val="0018211C"/>
    <w:rsid w:val="001821F8"/>
    <w:rsid w:val="00182529"/>
    <w:rsid w:val="00182CBE"/>
    <w:rsid w:val="001831B3"/>
    <w:rsid w:val="00183BFD"/>
    <w:rsid w:val="001845FA"/>
    <w:rsid w:val="0018522B"/>
    <w:rsid w:val="001854A8"/>
    <w:rsid w:val="00185D40"/>
    <w:rsid w:val="00186C17"/>
    <w:rsid w:val="00190180"/>
    <w:rsid w:val="00190196"/>
    <w:rsid w:val="00190A43"/>
    <w:rsid w:val="00190BF4"/>
    <w:rsid w:val="00190D0B"/>
    <w:rsid w:val="00190EFF"/>
    <w:rsid w:val="001912FB"/>
    <w:rsid w:val="00191608"/>
    <w:rsid w:val="00191664"/>
    <w:rsid w:val="00191C77"/>
    <w:rsid w:val="00192065"/>
    <w:rsid w:val="001941AA"/>
    <w:rsid w:val="00194F73"/>
    <w:rsid w:val="00195EC2"/>
    <w:rsid w:val="00195F99"/>
    <w:rsid w:val="0019661A"/>
    <w:rsid w:val="00196805"/>
    <w:rsid w:val="00197621"/>
    <w:rsid w:val="001A016C"/>
    <w:rsid w:val="001A03B3"/>
    <w:rsid w:val="001A0422"/>
    <w:rsid w:val="001A102F"/>
    <w:rsid w:val="001A1A27"/>
    <w:rsid w:val="001A1ED0"/>
    <w:rsid w:val="001A20A7"/>
    <w:rsid w:val="001A30A7"/>
    <w:rsid w:val="001A35A6"/>
    <w:rsid w:val="001A368A"/>
    <w:rsid w:val="001A3963"/>
    <w:rsid w:val="001A41DF"/>
    <w:rsid w:val="001A43F5"/>
    <w:rsid w:val="001A4E0E"/>
    <w:rsid w:val="001A4E8C"/>
    <w:rsid w:val="001A4ECB"/>
    <w:rsid w:val="001A4EF7"/>
    <w:rsid w:val="001A4F6E"/>
    <w:rsid w:val="001A5141"/>
    <w:rsid w:val="001A5ABD"/>
    <w:rsid w:val="001A5CE0"/>
    <w:rsid w:val="001A60E2"/>
    <w:rsid w:val="001A69F0"/>
    <w:rsid w:val="001A79AA"/>
    <w:rsid w:val="001A7DCB"/>
    <w:rsid w:val="001A7F95"/>
    <w:rsid w:val="001B07B0"/>
    <w:rsid w:val="001B091A"/>
    <w:rsid w:val="001B0992"/>
    <w:rsid w:val="001B0AC4"/>
    <w:rsid w:val="001B1120"/>
    <w:rsid w:val="001B15E2"/>
    <w:rsid w:val="001B163A"/>
    <w:rsid w:val="001B1A37"/>
    <w:rsid w:val="001B211E"/>
    <w:rsid w:val="001B253D"/>
    <w:rsid w:val="001B277C"/>
    <w:rsid w:val="001B2C6A"/>
    <w:rsid w:val="001B2F19"/>
    <w:rsid w:val="001B3280"/>
    <w:rsid w:val="001B35ED"/>
    <w:rsid w:val="001B369D"/>
    <w:rsid w:val="001B3F50"/>
    <w:rsid w:val="001B450E"/>
    <w:rsid w:val="001B46DB"/>
    <w:rsid w:val="001B4F75"/>
    <w:rsid w:val="001B5DDB"/>
    <w:rsid w:val="001B62D3"/>
    <w:rsid w:val="001B6682"/>
    <w:rsid w:val="001B6ABD"/>
    <w:rsid w:val="001B74F4"/>
    <w:rsid w:val="001B75DC"/>
    <w:rsid w:val="001C0136"/>
    <w:rsid w:val="001C01CE"/>
    <w:rsid w:val="001C0A6E"/>
    <w:rsid w:val="001C0AD1"/>
    <w:rsid w:val="001C0BB1"/>
    <w:rsid w:val="001C0BCC"/>
    <w:rsid w:val="001C117D"/>
    <w:rsid w:val="001C1F9C"/>
    <w:rsid w:val="001C219D"/>
    <w:rsid w:val="001C226A"/>
    <w:rsid w:val="001C236E"/>
    <w:rsid w:val="001C29E7"/>
    <w:rsid w:val="001C32C6"/>
    <w:rsid w:val="001C3E2D"/>
    <w:rsid w:val="001C48C7"/>
    <w:rsid w:val="001C4A9E"/>
    <w:rsid w:val="001C6CAB"/>
    <w:rsid w:val="001C6CC1"/>
    <w:rsid w:val="001C6E79"/>
    <w:rsid w:val="001C6F1B"/>
    <w:rsid w:val="001C7130"/>
    <w:rsid w:val="001C7A20"/>
    <w:rsid w:val="001C7D82"/>
    <w:rsid w:val="001C7E70"/>
    <w:rsid w:val="001D0068"/>
    <w:rsid w:val="001D01C6"/>
    <w:rsid w:val="001D050E"/>
    <w:rsid w:val="001D092F"/>
    <w:rsid w:val="001D0E2A"/>
    <w:rsid w:val="001D0E3A"/>
    <w:rsid w:val="001D182B"/>
    <w:rsid w:val="001D1AEF"/>
    <w:rsid w:val="001D244E"/>
    <w:rsid w:val="001D24F1"/>
    <w:rsid w:val="001D3407"/>
    <w:rsid w:val="001D39AE"/>
    <w:rsid w:val="001D3AD1"/>
    <w:rsid w:val="001D478B"/>
    <w:rsid w:val="001D4970"/>
    <w:rsid w:val="001D5A86"/>
    <w:rsid w:val="001D5F02"/>
    <w:rsid w:val="001D6186"/>
    <w:rsid w:val="001D62AF"/>
    <w:rsid w:val="001D637E"/>
    <w:rsid w:val="001D6652"/>
    <w:rsid w:val="001D69E5"/>
    <w:rsid w:val="001D6B3D"/>
    <w:rsid w:val="001D7104"/>
    <w:rsid w:val="001E075F"/>
    <w:rsid w:val="001E07AF"/>
    <w:rsid w:val="001E0933"/>
    <w:rsid w:val="001E14E8"/>
    <w:rsid w:val="001E1627"/>
    <w:rsid w:val="001E18BD"/>
    <w:rsid w:val="001E1D8F"/>
    <w:rsid w:val="001E1DBA"/>
    <w:rsid w:val="001E1EF2"/>
    <w:rsid w:val="001E212C"/>
    <w:rsid w:val="001E290B"/>
    <w:rsid w:val="001E385F"/>
    <w:rsid w:val="001E39E4"/>
    <w:rsid w:val="001E3CC4"/>
    <w:rsid w:val="001E490C"/>
    <w:rsid w:val="001E4C68"/>
    <w:rsid w:val="001E50FD"/>
    <w:rsid w:val="001E5310"/>
    <w:rsid w:val="001E59DC"/>
    <w:rsid w:val="001E5DD7"/>
    <w:rsid w:val="001E5EEE"/>
    <w:rsid w:val="001E65F6"/>
    <w:rsid w:val="001E6E6A"/>
    <w:rsid w:val="001E7358"/>
    <w:rsid w:val="001E759F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656"/>
    <w:rsid w:val="001F2740"/>
    <w:rsid w:val="001F27F2"/>
    <w:rsid w:val="001F2C3A"/>
    <w:rsid w:val="001F3531"/>
    <w:rsid w:val="001F3696"/>
    <w:rsid w:val="001F42FF"/>
    <w:rsid w:val="001F44B4"/>
    <w:rsid w:val="001F44D3"/>
    <w:rsid w:val="001F4510"/>
    <w:rsid w:val="001F58D3"/>
    <w:rsid w:val="001F5F60"/>
    <w:rsid w:val="001F65A4"/>
    <w:rsid w:val="001F65E0"/>
    <w:rsid w:val="001F6CEE"/>
    <w:rsid w:val="001F6EE3"/>
    <w:rsid w:val="001F7362"/>
    <w:rsid w:val="001F73D2"/>
    <w:rsid w:val="001F75E2"/>
    <w:rsid w:val="001F7863"/>
    <w:rsid w:val="001F7AE9"/>
    <w:rsid w:val="001F7CFD"/>
    <w:rsid w:val="002000BF"/>
    <w:rsid w:val="00200181"/>
    <w:rsid w:val="002011D5"/>
    <w:rsid w:val="00201C2D"/>
    <w:rsid w:val="00203367"/>
    <w:rsid w:val="002042DB"/>
    <w:rsid w:val="00204438"/>
    <w:rsid w:val="00204A44"/>
    <w:rsid w:val="00206147"/>
    <w:rsid w:val="002064F3"/>
    <w:rsid w:val="002069A8"/>
    <w:rsid w:val="00206EE7"/>
    <w:rsid w:val="0020787D"/>
    <w:rsid w:val="0020789A"/>
    <w:rsid w:val="00207BB5"/>
    <w:rsid w:val="00207C83"/>
    <w:rsid w:val="00210718"/>
    <w:rsid w:val="00210869"/>
    <w:rsid w:val="002116AD"/>
    <w:rsid w:val="00211744"/>
    <w:rsid w:val="00211999"/>
    <w:rsid w:val="002123A4"/>
    <w:rsid w:val="002126CD"/>
    <w:rsid w:val="00212814"/>
    <w:rsid w:val="00213773"/>
    <w:rsid w:val="00213B0E"/>
    <w:rsid w:val="00213CBC"/>
    <w:rsid w:val="002141FB"/>
    <w:rsid w:val="002146CA"/>
    <w:rsid w:val="002147D6"/>
    <w:rsid w:val="00214C6A"/>
    <w:rsid w:val="002154B2"/>
    <w:rsid w:val="0021575B"/>
    <w:rsid w:val="00215783"/>
    <w:rsid w:val="0021669B"/>
    <w:rsid w:val="00216876"/>
    <w:rsid w:val="0022018A"/>
    <w:rsid w:val="00220ADA"/>
    <w:rsid w:val="00220B7B"/>
    <w:rsid w:val="002215CD"/>
    <w:rsid w:val="0022180E"/>
    <w:rsid w:val="00221E3F"/>
    <w:rsid w:val="002220BA"/>
    <w:rsid w:val="002227B3"/>
    <w:rsid w:val="00222CE3"/>
    <w:rsid w:val="002235D7"/>
    <w:rsid w:val="002239C4"/>
    <w:rsid w:val="00224617"/>
    <w:rsid w:val="00224B7A"/>
    <w:rsid w:val="00225591"/>
    <w:rsid w:val="00225690"/>
    <w:rsid w:val="0022574F"/>
    <w:rsid w:val="0022593A"/>
    <w:rsid w:val="00225B52"/>
    <w:rsid w:val="00225C75"/>
    <w:rsid w:val="00225CE3"/>
    <w:rsid w:val="002260D7"/>
    <w:rsid w:val="002263E2"/>
    <w:rsid w:val="00226B17"/>
    <w:rsid w:val="0022712B"/>
    <w:rsid w:val="002276A4"/>
    <w:rsid w:val="00227843"/>
    <w:rsid w:val="00227A99"/>
    <w:rsid w:val="00227C8B"/>
    <w:rsid w:val="0023006A"/>
    <w:rsid w:val="00230A44"/>
    <w:rsid w:val="00230A47"/>
    <w:rsid w:val="00230A52"/>
    <w:rsid w:val="00230F22"/>
    <w:rsid w:val="00230FA5"/>
    <w:rsid w:val="00231131"/>
    <w:rsid w:val="0023132D"/>
    <w:rsid w:val="0023132F"/>
    <w:rsid w:val="0023170E"/>
    <w:rsid w:val="00231839"/>
    <w:rsid w:val="002318DA"/>
    <w:rsid w:val="0023262B"/>
    <w:rsid w:val="00232A4E"/>
    <w:rsid w:val="00233A7D"/>
    <w:rsid w:val="00233EAC"/>
    <w:rsid w:val="00233ED2"/>
    <w:rsid w:val="0023482B"/>
    <w:rsid w:val="0023482C"/>
    <w:rsid w:val="00234AA4"/>
    <w:rsid w:val="00234C7F"/>
    <w:rsid w:val="00234E62"/>
    <w:rsid w:val="00234F8F"/>
    <w:rsid w:val="002358A1"/>
    <w:rsid w:val="00235C73"/>
    <w:rsid w:val="0023658F"/>
    <w:rsid w:val="002367B9"/>
    <w:rsid w:val="00236872"/>
    <w:rsid w:val="00236890"/>
    <w:rsid w:val="002368C0"/>
    <w:rsid w:val="00236CC2"/>
    <w:rsid w:val="00236CDE"/>
    <w:rsid w:val="002375CF"/>
    <w:rsid w:val="0023763A"/>
    <w:rsid w:val="00237D7D"/>
    <w:rsid w:val="002404D1"/>
    <w:rsid w:val="002405C8"/>
    <w:rsid w:val="00240A56"/>
    <w:rsid w:val="00240ECB"/>
    <w:rsid w:val="002415DA"/>
    <w:rsid w:val="00241857"/>
    <w:rsid w:val="002420C0"/>
    <w:rsid w:val="00242728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12A"/>
    <w:rsid w:val="002454F0"/>
    <w:rsid w:val="00245B9E"/>
    <w:rsid w:val="002465AC"/>
    <w:rsid w:val="002465EC"/>
    <w:rsid w:val="00246614"/>
    <w:rsid w:val="00246907"/>
    <w:rsid w:val="00246BC7"/>
    <w:rsid w:val="00246C0E"/>
    <w:rsid w:val="00246EC9"/>
    <w:rsid w:val="00246FE9"/>
    <w:rsid w:val="00247130"/>
    <w:rsid w:val="0024723E"/>
    <w:rsid w:val="00247760"/>
    <w:rsid w:val="00247E6F"/>
    <w:rsid w:val="00247F58"/>
    <w:rsid w:val="00247FD9"/>
    <w:rsid w:val="0025003A"/>
    <w:rsid w:val="00250260"/>
    <w:rsid w:val="00250FD5"/>
    <w:rsid w:val="00251167"/>
    <w:rsid w:val="002511BA"/>
    <w:rsid w:val="002517BC"/>
    <w:rsid w:val="00251EFF"/>
    <w:rsid w:val="002521A6"/>
    <w:rsid w:val="002526B9"/>
    <w:rsid w:val="0025276C"/>
    <w:rsid w:val="00252780"/>
    <w:rsid w:val="002528A4"/>
    <w:rsid w:val="00252DD3"/>
    <w:rsid w:val="0025394F"/>
    <w:rsid w:val="00253B97"/>
    <w:rsid w:val="00254194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7CB"/>
    <w:rsid w:val="00257803"/>
    <w:rsid w:val="00257B74"/>
    <w:rsid w:val="00257CD8"/>
    <w:rsid w:val="00257E42"/>
    <w:rsid w:val="002610D8"/>
    <w:rsid w:val="00261A6C"/>
    <w:rsid w:val="002629E2"/>
    <w:rsid w:val="00262BA8"/>
    <w:rsid w:val="00262BC8"/>
    <w:rsid w:val="00263981"/>
    <w:rsid w:val="002641D9"/>
    <w:rsid w:val="00264220"/>
    <w:rsid w:val="002643C5"/>
    <w:rsid w:val="00264917"/>
    <w:rsid w:val="002651EC"/>
    <w:rsid w:val="00265DC2"/>
    <w:rsid w:val="0026638C"/>
    <w:rsid w:val="00266F00"/>
    <w:rsid w:val="002670EF"/>
    <w:rsid w:val="002671A2"/>
    <w:rsid w:val="00267A38"/>
    <w:rsid w:val="00267B1C"/>
    <w:rsid w:val="00267F5F"/>
    <w:rsid w:val="00270059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107"/>
    <w:rsid w:val="00275F56"/>
    <w:rsid w:val="002765B7"/>
    <w:rsid w:val="00276EAA"/>
    <w:rsid w:val="00277713"/>
    <w:rsid w:val="00277DBC"/>
    <w:rsid w:val="00277E13"/>
    <w:rsid w:val="00277F64"/>
    <w:rsid w:val="00280550"/>
    <w:rsid w:val="00280C2E"/>
    <w:rsid w:val="00281063"/>
    <w:rsid w:val="00281676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938"/>
    <w:rsid w:val="00284B5F"/>
    <w:rsid w:val="0028596B"/>
    <w:rsid w:val="00285FB9"/>
    <w:rsid w:val="00286219"/>
    <w:rsid w:val="00286A03"/>
    <w:rsid w:val="0028733B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421"/>
    <w:rsid w:val="00293271"/>
    <w:rsid w:val="00293587"/>
    <w:rsid w:val="00293896"/>
    <w:rsid w:val="00293B5C"/>
    <w:rsid w:val="00293ED1"/>
    <w:rsid w:val="00294051"/>
    <w:rsid w:val="00294A06"/>
    <w:rsid w:val="00294FFB"/>
    <w:rsid w:val="002954FD"/>
    <w:rsid w:val="00295A5A"/>
    <w:rsid w:val="00296242"/>
    <w:rsid w:val="00296AFE"/>
    <w:rsid w:val="00296CE6"/>
    <w:rsid w:val="00296F86"/>
    <w:rsid w:val="002973DF"/>
    <w:rsid w:val="002979DC"/>
    <w:rsid w:val="00297D6A"/>
    <w:rsid w:val="002A0190"/>
    <w:rsid w:val="002A0983"/>
    <w:rsid w:val="002A0BF5"/>
    <w:rsid w:val="002A1128"/>
    <w:rsid w:val="002A158C"/>
    <w:rsid w:val="002A23F4"/>
    <w:rsid w:val="002A24EB"/>
    <w:rsid w:val="002A29BF"/>
    <w:rsid w:val="002A2C07"/>
    <w:rsid w:val="002A2C5E"/>
    <w:rsid w:val="002A2D66"/>
    <w:rsid w:val="002A2E5B"/>
    <w:rsid w:val="002A407E"/>
    <w:rsid w:val="002A428E"/>
    <w:rsid w:val="002A46FA"/>
    <w:rsid w:val="002A5227"/>
    <w:rsid w:val="002A57BC"/>
    <w:rsid w:val="002A581C"/>
    <w:rsid w:val="002B00FE"/>
    <w:rsid w:val="002B062B"/>
    <w:rsid w:val="002B0E27"/>
    <w:rsid w:val="002B10B6"/>
    <w:rsid w:val="002B10D3"/>
    <w:rsid w:val="002B1113"/>
    <w:rsid w:val="002B1867"/>
    <w:rsid w:val="002B1EA3"/>
    <w:rsid w:val="002B2A55"/>
    <w:rsid w:val="002B2A5A"/>
    <w:rsid w:val="002B2DA9"/>
    <w:rsid w:val="002B30C8"/>
    <w:rsid w:val="002B31FA"/>
    <w:rsid w:val="002B33D5"/>
    <w:rsid w:val="002B3A06"/>
    <w:rsid w:val="002B4552"/>
    <w:rsid w:val="002B4C84"/>
    <w:rsid w:val="002B5746"/>
    <w:rsid w:val="002B5F27"/>
    <w:rsid w:val="002B63D3"/>
    <w:rsid w:val="002B6815"/>
    <w:rsid w:val="002B6AB1"/>
    <w:rsid w:val="002B71D1"/>
    <w:rsid w:val="002C0144"/>
    <w:rsid w:val="002C01B8"/>
    <w:rsid w:val="002C098F"/>
    <w:rsid w:val="002C0CAC"/>
    <w:rsid w:val="002C13F0"/>
    <w:rsid w:val="002C1F28"/>
    <w:rsid w:val="002C23C3"/>
    <w:rsid w:val="002C254B"/>
    <w:rsid w:val="002C25DE"/>
    <w:rsid w:val="002C27E8"/>
    <w:rsid w:val="002C2ACB"/>
    <w:rsid w:val="002C2F60"/>
    <w:rsid w:val="002C41CB"/>
    <w:rsid w:val="002C5A5E"/>
    <w:rsid w:val="002C5C58"/>
    <w:rsid w:val="002C6A1A"/>
    <w:rsid w:val="002C6B67"/>
    <w:rsid w:val="002C6D03"/>
    <w:rsid w:val="002C73EE"/>
    <w:rsid w:val="002C7660"/>
    <w:rsid w:val="002C7718"/>
    <w:rsid w:val="002C77DB"/>
    <w:rsid w:val="002C77F7"/>
    <w:rsid w:val="002C7CD4"/>
    <w:rsid w:val="002D0321"/>
    <w:rsid w:val="002D0A14"/>
    <w:rsid w:val="002D0E7A"/>
    <w:rsid w:val="002D155B"/>
    <w:rsid w:val="002D1AD3"/>
    <w:rsid w:val="002D1DB6"/>
    <w:rsid w:val="002D40A5"/>
    <w:rsid w:val="002D48E1"/>
    <w:rsid w:val="002D4B7D"/>
    <w:rsid w:val="002D61C8"/>
    <w:rsid w:val="002D629E"/>
    <w:rsid w:val="002D6E9A"/>
    <w:rsid w:val="002D726B"/>
    <w:rsid w:val="002D75DB"/>
    <w:rsid w:val="002E0067"/>
    <w:rsid w:val="002E02D0"/>
    <w:rsid w:val="002E0489"/>
    <w:rsid w:val="002E04C0"/>
    <w:rsid w:val="002E0544"/>
    <w:rsid w:val="002E0C48"/>
    <w:rsid w:val="002E1DF4"/>
    <w:rsid w:val="002E2122"/>
    <w:rsid w:val="002E2C3B"/>
    <w:rsid w:val="002E30B9"/>
    <w:rsid w:val="002E3C37"/>
    <w:rsid w:val="002E4BA7"/>
    <w:rsid w:val="002E4D3D"/>
    <w:rsid w:val="002E52A1"/>
    <w:rsid w:val="002E5CA7"/>
    <w:rsid w:val="002E668B"/>
    <w:rsid w:val="002E6B39"/>
    <w:rsid w:val="002E7235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29AD"/>
    <w:rsid w:val="002F3C64"/>
    <w:rsid w:val="002F41E5"/>
    <w:rsid w:val="002F4431"/>
    <w:rsid w:val="002F47E7"/>
    <w:rsid w:val="002F510D"/>
    <w:rsid w:val="002F5F61"/>
    <w:rsid w:val="002F60DD"/>
    <w:rsid w:val="002F6364"/>
    <w:rsid w:val="00300081"/>
    <w:rsid w:val="0030023E"/>
    <w:rsid w:val="0030059B"/>
    <w:rsid w:val="00300FC5"/>
    <w:rsid w:val="00301277"/>
    <w:rsid w:val="003017EA"/>
    <w:rsid w:val="00301837"/>
    <w:rsid w:val="003019CD"/>
    <w:rsid w:val="003027D8"/>
    <w:rsid w:val="00302B1B"/>
    <w:rsid w:val="0030341B"/>
    <w:rsid w:val="003034D2"/>
    <w:rsid w:val="0030373E"/>
    <w:rsid w:val="0030379D"/>
    <w:rsid w:val="00303A1B"/>
    <w:rsid w:val="00303B6C"/>
    <w:rsid w:val="003045BE"/>
    <w:rsid w:val="00304639"/>
    <w:rsid w:val="00304F92"/>
    <w:rsid w:val="00305F53"/>
    <w:rsid w:val="003060F3"/>
    <w:rsid w:val="0030612A"/>
    <w:rsid w:val="003068EC"/>
    <w:rsid w:val="00306C01"/>
    <w:rsid w:val="00307197"/>
    <w:rsid w:val="0030759B"/>
    <w:rsid w:val="003076C4"/>
    <w:rsid w:val="003079A6"/>
    <w:rsid w:val="00307D6F"/>
    <w:rsid w:val="003100D6"/>
    <w:rsid w:val="003106C8"/>
    <w:rsid w:val="00310C8A"/>
    <w:rsid w:val="00310E3F"/>
    <w:rsid w:val="00311270"/>
    <w:rsid w:val="0031175D"/>
    <w:rsid w:val="003119DD"/>
    <w:rsid w:val="003120FA"/>
    <w:rsid w:val="00312297"/>
    <w:rsid w:val="00313367"/>
    <w:rsid w:val="0031354F"/>
    <w:rsid w:val="00313D14"/>
    <w:rsid w:val="00314614"/>
    <w:rsid w:val="00314739"/>
    <w:rsid w:val="00314773"/>
    <w:rsid w:val="00314A41"/>
    <w:rsid w:val="00314F8A"/>
    <w:rsid w:val="003151F3"/>
    <w:rsid w:val="003152FA"/>
    <w:rsid w:val="003154DB"/>
    <w:rsid w:val="00315D25"/>
    <w:rsid w:val="00316779"/>
    <w:rsid w:val="00317DA5"/>
    <w:rsid w:val="003201D0"/>
    <w:rsid w:val="00320553"/>
    <w:rsid w:val="003205E0"/>
    <w:rsid w:val="003208D0"/>
    <w:rsid w:val="00320FDD"/>
    <w:rsid w:val="00321386"/>
    <w:rsid w:val="00321629"/>
    <w:rsid w:val="00321788"/>
    <w:rsid w:val="00321848"/>
    <w:rsid w:val="00321CB3"/>
    <w:rsid w:val="00322341"/>
    <w:rsid w:val="00322C94"/>
    <w:rsid w:val="0032345B"/>
    <w:rsid w:val="003235FE"/>
    <w:rsid w:val="00324FF5"/>
    <w:rsid w:val="003256A0"/>
    <w:rsid w:val="00325DD3"/>
    <w:rsid w:val="003265DE"/>
    <w:rsid w:val="00326943"/>
    <w:rsid w:val="00326A08"/>
    <w:rsid w:val="003275D6"/>
    <w:rsid w:val="0032767E"/>
    <w:rsid w:val="003277C6"/>
    <w:rsid w:val="00327845"/>
    <w:rsid w:val="00327B0E"/>
    <w:rsid w:val="003302CF"/>
    <w:rsid w:val="00330559"/>
    <w:rsid w:val="003309DD"/>
    <w:rsid w:val="00330B86"/>
    <w:rsid w:val="00330DB5"/>
    <w:rsid w:val="00331306"/>
    <w:rsid w:val="003314E7"/>
    <w:rsid w:val="00331659"/>
    <w:rsid w:val="003319C5"/>
    <w:rsid w:val="00331A58"/>
    <w:rsid w:val="00331ADA"/>
    <w:rsid w:val="003320F9"/>
    <w:rsid w:val="003327BD"/>
    <w:rsid w:val="00332AE6"/>
    <w:rsid w:val="00332F28"/>
    <w:rsid w:val="003338EB"/>
    <w:rsid w:val="00334446"/>
    <w:rsid w:val="0033444C"/>
    <w:rsid w:val="00334725"/>
    <w:rsid w:val="00334A38"/>
    <w:rsid w:val="00334A88"/>
    <w:rsid w:val="00334AF1"/>
    <w:rsid w:val="003353D5"/>
    <w:rsid w:val="00335A53"/>
    <w:rsid w:val="0033687A"/>
    <w:rsid w:val="003369C6"/>
    <w:rsid w:val="00336D65"/>
    <w:rsid w:val="00337095"/>
    <w:rsid w:val="0033716A"/>
    <w:rsid w:val="00337205"/>
    <w:rsid w:val="003372B8"/>
    <w:rsid w:val="003379A4"/>
    <w:rsid w:val="003379AC"/>
    <w:rsid w:val="00337BB0"/>
    <w:rsid w:val="00337CB6"/>
    <w:rsid w:val="003403AE"/>
    <w:rsid w:val="003409BD"/>
    <w:rsid w:val="0034111B"/>
    <w:rsid w:val="00341134"/>
    <w:rsid w:val="003411D8"/>
    <w:rsid w:val="00342559"/>
    <w:rsid w:val="00342D1A"/>
    <w:rsid w:val="00342E32"/>
    <w:rsid w:val="0034331D"/>
    <w:rsid w:val="0034339B"/>
    <w:rsid w:val="00343860"/>
    <w:rsid w:val="00343AB5"/>
    <w:rsid w:val="00344747"/>
    <w:rsid w:val="00344CEF"/>
    <w:rsid w:val="00344F44"/>
    <w:rsid w:val="0034511C"/>
    <w:rsid w:val="00345191"/>
    <w:rsid w:val="0034550A"/>
    <w:rsid w:val="00345B7B"/>
    <w:rsid w:val="0034620C"/>
    <w:rsid w:val="00346579"/>
    <w:rsid w:val="0034696A"/>
    <w:rsid w:val="00346C50"/>
    <w:rsid w:val="003474B3"/>
    <w:rsid w:val="00347A1B"/>
    <w:rsid w:val="00347CA3"/>
    <w:rsid w:val="00347F79"/>
    <w:rsid w:val="00347F9F"/>
    <w:rsid w:val="00350C9E"/>
    <w:rsid w:val="00351032"/>
    <w:rsid w:val="0035149A"/>
    <w:rsid w:val="00351668"/>
    <w:rsid w:val="00351D88"/>
    <w:rsid w:val="00352775"/>
    <w:rsid w:val="00352B71"/>
    <w:rsid w:val="00352F14"/>
    <w:rsid w:val="003530B3"/>
    <w:rsid w:val="00353865"/>
    <w:rsid w:val="00353BFA"/>
    <w:rsid w:val="0035546F"/>
    <w:rsid w:val="003554BD"/>
    <w:rsid w:val="003554CE"/>
    <w:rsid w:val="0035561A"/>
    <w:rsid w:val="00355C3C"/>
    <w:rsid w:val="00356210"/>
    <w:rsid w:val="00356586"/>
    <w:rsid w:val="00356636"/>
    <w:rsid w:val="00356792"/>
    <w:rsid w:val="0035690C"/>
    <w:rsid w:val="003571E2"/>
    <w:rsid w:val="003579D5"/>
    <w:rsid w:val="003605AA"/>
    <w:rsid w:val="00360A82"/>
    <w:rsid w:val="00360AA0"/>
    <w:rsid w:val="00361062"/>
    <w:rsid w:val="003610F5"/>
    <w:rsid w:val="003616F4"/>
    <w:rsid w:val="00361FEC"/>
    <w:rsid w:val="00362753"/>
    <w:rsid w:val="00362B5E"/>
    <w:rsid w:val="003638E9"/>
    <w:rsid w:val="00363B40"/>
    <w:rsid w:val="003643A5"/>
    <w:rsid w:val="00364D97"/>
    <w:rsid w:val="0036533F"/>
    <w:rsid w:val="00365370"/>
    <w:rsid w:val="00365FA4"/>
    <w:rsid w:val="003661C9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016"/>
    <w:rsid w:val="00371208"/>
    <w:rsid w:val="003718D9"/>
    <w:rsid w:val="0037207D"/>
    <w:rsid w:val="00372286"/>
    <w:rsid w:val="00372389"/>
    <w:rsid w:val="00372564"/>
    <w:rsid w:val="00372644"/>
    <w:rsid w:val="0037334A"/>
    <w:rsid w:val="003734B3"/>
    <w:rsid w:val="0037443B"/>
    <w:rsid w:val="00374783"/>
    <w:rsid w:val="00374D3E"/>
    <w:rsid w:val="00374EE7"/>
    <w:rsid w:val="003753FF"/>
    <w:rsid w:val="00375820"/>
    <w:rsid w:val="00375B14"/>
    <w:rsid w:val="00375D85"/>
    <w:rsid w:val="003760FD"/>
    <w:rsid w:val="003769D5"/>
    <w:rsid w:val="00377475"/>
    <w:rsid w:val="003777C7"/>
    <w:rsid w:val="00377A8C"/>
    <w:rsid w:val="0038054C"/>
    <w:rsid w:val="0038061C"/>
    <w:rsid w:val="00381168"/>
    <w:rsid w:val="00381E3D"/>
    <w:rsid w:val="003825F4"/>
    <w:rsid w:val="00382B86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6891"/>
    <w:rsid w:val="00386A21"/>
    <w:rsid w:val="0038735C"/>
    <w:rsid w:val="003874B4"/>
    <w:rsid w:val="00387631"/>
    <w:rsid w:val="00387823"/>
    <w:rsid w:val="00387B47"/>
    <w:rsid w:val="00390044"/>
    <w:rsid w:val="003903FB"/>
    <w:rsid w:val="00390644"/>
    <w:rsid w:val="0039066F"/>
    <w:rsid w:val="0039070C"/>
    <w:rsid w:val="00390D50"/>
    <w:rsid w:val="00390EAD"/>
    <w:rsid w:val="00390EAF"/>
    <w:rsid w:val="00391282"/>
    <w:rsid w:val="00391CBB"/>
    <w:rsid w:val="00391D90"/>
    <w:rsid w:val="00391DDE"/>
    <w:rsid w:val="0039208E"/>
    <w:rsid w:val="003922C5"/>
    <w:rsid w:val="003923A6"/>
    <w:rsid w:val="0039257A"/>
    <w:rsid w:val="00392A69"/>
    <w:rsid w:val="0039303F"/>
    <w:rsid w:val="00393231"/>
    <w:rsid w:val="0039372B"/>
    <w:rsid w:val="0039383D"/>
    <w:rsid w:val="00394BBE"/>
    <w:rsid w:val="00394FE8"/>
    <w:rsid w:val="00395069"/>
    <w:rsid w:val="003955AD"/>
    <w:rsid w:val="00395A0A"/>
    <w:rsid w:val="003960F4"/>
    <w:rsid w:val="00396C46"/>
    <w:rsid w:val="00397BF1"/>
    <w:rsid w:val="003A0A67"/>
    <w:rsid w:val="003A1131"/>
    <w:rsid w:val="003A1273"/>
    <w:rsid w:val="003A1401"/>
    <w:rsid w:val="003A1596"/>
    <w:rsid w:val="003A1FEA"/>
    <w:rsid w:val="003A329F"/>
    <w:rsid w:val="003A344A"/>
    <w:rsid w:val="003A3618"/>
    <w:rsid w:val="003A3622"/>
    <w:rsid w:val="003A36D4"/>
    <w:rsid w:val="003A3A77"/>
    <w:rsid w:val="003A3B75"/>
    <w:rsid w:val="003A4139"/>
    <w:rsid w:val="003A418E"/>
    <w:rsid w:val="003A495B"/>
    <w:rsid w:val="003A4B2F"/>
    <w:rsid w:val="003A4C4A"/>
    <w:rsid w:val="003A4F9E"/>
    <w:rsid w:val="003A5033"/>
    <w:rsid w:val="003A53AA"/>
    <w:rsid w:val="003A5EEB"/>
    <w:rsid w:val="003A701E"/>
    <w:rsid w:val="003A7161"/>
    <w:rsid w:val="003A7200"/>
    <w:rsid w:val="003A72AC"/>
    <w:rsid w:val="003A75C6"/>
    <w:rsid w:val="003A77CC"/>
    <w:rsid w:val="003A79FF"/>
    <w:rsid w:val="003A7DFF"/>
    <w:rsid w:val="003B00E9"/>
    <w:rsid w:val="003B02DF"/>
    <w:rsid w:val="003B06D2"/>
    <w:rsid w:val="003B0A8B"/>
    <w:rsid w:val="003B0E72"/>
    <w:rsid w:val="003B1083"/>
    <w:rsid w:val="003B12DB"/>
    <w:rsid w:val="003B1C5D"/>
    <w:rsid w:val="003B1EAD"/>
    <w:rsid w:val="003B1F1C"/>
    <w:rsid w:val="003B23A8"/>
    <w:rsid w:val="003B26F3"/>
    <w:rsid w:val="003B3822"/>
    <w:rsid w:val="003B3BAD"/>
    <w:rsid w:val="003B3F02"/>
    <w:rsid w:val="003B3F64"/>
    <w:rsid w:val="003B4644"/>
    <w:rsid w:val="003B4B26"/>
    <w:rsid w:val="003B4E29"/>
    <w:rsid w:val="003B5306"/>
    <w:rsid w:val="003B6179"/>
    <w:rsid w:val="003B69D0"/>
    <w:rsid w:val="003B712A"/>
    <w:rsid w:val="003B781F"/>
    <w:rsid w:val="003B7B4D"/>
    <w:rsid w:val="003B7F5C"/>
    <w:rsid w:val="003C0125"/>
    <w:rsid w:val="003C03F7"/>
    <w:rsid w:val="003C05CD"/>
    <w:rsid w:val="003C0FE5"/>
    <w:rsid w:val="003C1CAF"/>
    <w:rsid w:val="003C22D4"/>
    <w:rsid w:val="003C29AF"/>
    <w:rsid w:val="003C363E"/>
    <w:rsid w:val="003C37AE"/>
    <w:rsid w:val="003C3C30"/>
    <w:rsid w:val="003C3F73"/>
    <w:rsid w:val="003C40A2"/>
    <w:rsid w:val="003C47BD"/>
    <w:rsid w:val="003C48C7"/>
    <w:rsid w:val="003C4BD6"/>
    <w:rsid w:val="003C5519"/>
    <w:rsid w:val="003C57B8"/>
    <w:rsid w:val="003C5A97"/>
    <w:rsid w:val="003C616B"/>
    <w:rsid w:val="003C6495"/>
    <w:rsid w:val="003C681D"/>
    <w:rsid w:val="003C6BED"/>
    <w:rsid w:val="003C6F02"/>
    <w:rsid w:val="003C72CA"/>
    <w:rsid w:val="003C7965"/>
    <w:rsid w:val="003C79E6"/>
    <w:rsid w:val="003C7D06"/>
    <w:rsid w:val="003C7EF7"/>
    <w:rsid w:val="003D0E1F"/>
    <w:rsid w:val="003D1182"/>
    <w:rsid w:val="003D1AE0"/>
    <w:rsid w:val="003D2006"/>
    <w:rsid w:val="003D22DA"/>
    <w:rsid w:val="003D3779"/>
    <w:rsid w:val="003D3F02"/>
    <w:rsid w:val="003D425A"/>
    <w:rsid w:val="003D4866"/>
    <w:rsid w:val="003D507A"/>
    <w:rsid w:val="003D528E"/>
    <w:rsid w:val="003D6280"/>
    <w:rsid w:val="003D66CB"/>
    <w:rsid w:val="003D687A"/>
    <w:rsid w:val="003D6E45"/>
    <w:rsid w:val="003D7A2D"/>
    <w:rsid w:val="003D7BA9"/>
    <w:rsid w:val="003D7C91"/>
    <w:rsid w:val="003E043F"/>
    <w:rsid w:val="003E04BE"/>
    <w:rsid w:val="003E07F1"/>
    <w:rsid w:val="003E0A66"/>
    <w:rsid w:val="003E0D49"/>
    <w:rsid w:val="003E0E8C"/>
    <w:rsid w:val="003E113F"/>
    <w:rsid w:val="003E1254"/>
    <w:rsid w:val="003E1418"/>
    <w:rsid w:val="003E15CB"/>
    <w:rsid w:val="003E19FE"/>
    <w:rsid w:val="003E1E60"/>
    <w:rsid w:val="003E2BAB"/>
    <w:rsid w:val="003E4979"/>
    <w:rsid w:val="003E49FC"/>
    <w:rsid w:val="003E4B79"/>
    <w:rsid w:val="003E4B85"/>
    <w:rsid w:val="003E4C4D"/>
    <w:rsid w:val="003E581F"/>
    <w:rsid w:val="003E5E74"/>
    <w:rsid w:val="003E5F16"/>
    <w:rsid w:val="003E634D"/>
    <w:rsid w:val="003E64BB"/>
    <w:rsid w:val="003E6AC1"/>
    <w:rsid w:val="003E7EEA"/>
    <w:rsid w:val="003F01E7"/>
    <w:rsid w:val="003F1330"/>
    <w:rsid w:val="003F137D"/>
    <w:rsid w:val="003F13AA"/>
    <w:rsid w:val="003F18CF"/>
    <w:rsid w:val="003F2BFE"/>
    <w:rsid w:val="003F3285"/>
    <w:rsid w:val="003F35CB"/>
    <w:rsid w:val="003F37F2"/>
    <w:rsid w:val="003F3A44"/>
    <w:rsid w:val="003F5F0A"/>
    <w:rsid w:val="003F6DF4"/>
    <w:rsid w:val="003F7022"/>
    <w:rsid w:val="003F7263"/>
    <w:rsid w:val="003F77C0"/>
    <w:rsid w:val="003F7D77"/>
    <w:rsid w:val="003F7F1B"/>
    <w:rsid w:val="0040033B"/>
    <w:rsid w:val="00400A5E"/>
    <w:rsid w:val="004015B0"/>
    <w:rsid w:val="004016AD"/>
    <w:rsid w:val="00401A15"/>
    <w:rsid w:val="00401C5B"/>
    <w:rsid w:val="00401DB1"/>
    <w:rsid w:val="004020FB"/>
    <w:rsid w:val="0040230D"/>
    <w:rsid w:val="004028D0"/>
    <w:rsid w:val="00402940"/>
    <w:rsid w:val="00403226"/>
    <w:rsid w:val="00403827"/>
    <w:rsid w:val="004040E3"/>
    <w:rsid w:val="004049FD"/>
    <w:rsid w:val="00404D4D"/>
    <w:rsid w:val="004057F7"/>
    <w:rsid w:val="00407690"/>
    <w:rsid w:val="00407CDA"/>
    <w:rsid w:val="004100FD"/>
    <w:rsid w:val="00410279"/>
    <w:rsid w:val="0041029D"/>
    <w:rsid w:val="00410347"/>
    <w:rsid w:val="004104BF"/>
    <w:rsid w:val="0041068A"/>
    <w:rsid w:val="00410DEC"/>
    <w:rsid w:val="0041138F"/>
    <w:rsid w:val="004118D5"/>
    <w:rsid w:val="00411B68"/>
    <w:rsid w:val="004127F8"/>
    <w:rsid w:val="00412EF3"/>
    <w:rsid w:val="004133CD"/>
    <w:rsid w:val="00413549"/>
    <w:rsid w:val="0041398F"/>
    <w:rsid w:val="00414538"/>
    <w:rsid w:val="0041479C"/>
    <w:rsid w:val="0041666C"/>
    <w:rsid w:val="00416787"/>
    <w:rsid w:val="004203CA"/>
    <w:rsid w:val="004208D7"/>
    <w:rsid w:val="00420CA2"/>
    <w:rsid w:val="00421878"/>
    <w:rsid w:val="004225F3"/>
    <w:rsid w:val="004228EE"/>
    <w:rsid w:val="00422BB1"/>
    <w:rsid w:val="00422D87"/>
    <w:rsid w:val="00422F79"/>
    <w:rsid w:val="0042325A"/>
    <w:rsid w:val="0042336F"/>
    <w:rsid w:val="004234EF"/>
    <w:rsid w:val="00423DF0"/>
    <w:rsid w:val="004242F2"/>
    <w:rsid w:val="0042465F"/>
    <w:rsid w:val="004249DB"/>
    <w:rsid w:val="00424C76"/>
    <w:rsid w:val="00425554"/>
    <w:rsid w:val="0042556A"/>
    <w:rsid w:val="004259A5"/>
    <w:rsid w:val="00425B68"/>
    <w:rsid w:val="00425C9F"/>
    <w:rsid w:val="0042602E"/>
    <w:rsid w:val="004268A5"/>
    <w:rsid w:val="004300E1"/>
    <w:rsid w:val="00430294"/>
    <w:rsid w:val="004309CF"/>
    <w:rsid w:val="00430B44"/>
    <w:rsid w:val="00430F27"/>
    <w:rsid w:val="0043104B"/>
    <w:rsid w:val="0043181D"/>
    <w:rsid w:val="004328E4"/>
    <w:rsid w:val="00432937"/>
    <w:rsid w:val="00433299"/>
    <w:rsid w:val="004332D4"/>
    <w:rsid w:val="00433460"/>
    <w:rsid w:val="00433D87"/>
    <w:rsid w:val="00433ECE"/>
    <w:rsid w:val="004347A7"/>
    <w:rsid w:val="00434800"/>
    <w:rsid w:val="004348FC"/>
    <w:rsid w:val="00434975"/>
    <w:rsid w:val="00434AA6"/>
    <w:rsid w:val="00434C3E"/>
    <w:rsid w:val="00434DE9"/>
    <w:rsid w:val="00434F9C"/>
    <w:rsid w:val="00435F09"/>
    <w:rsid w:val="00435F6F"/>
    <w:rsid w:val="00436548"/>
    <w:rsid w:val="00436C20"/>
    <w:rsid w:val="004373A1"/>
    <w:rsid w:val="00440370"/>
    <w:rsid w:val="00440392"/>
    <w:rsid w:val="00440502"/>
    <w:rsid w:val="00440688"/>
    <w:rsid w:val="004412E5"/>
    <w:rsid w:val="004415FC"/>
    <w:rsid w:val="00441989"/>
    <w:rsid w:val="00442112"/>
    <w:rsid w:val="00442822"/>
    <w:rsid w:val="00443751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5DEC"/>
    <w:rsid w:val="00447603"/>
    <w:rsid w:val="00447999"/>
    <w:rsid w:val="00447AC5"/>
    <w:rsid w:val="00447EAD"/>
    <w:rsid w:val="004504A7"/>
    <w:rsid w:val="0045051C"/>
    <w:rsid w:val="00450899"/>
    <w:rsid w:val="004508B7"/>
    <w:rsid w:val="00450909"/>
    <w:rsid w:val="00450ADF"/>
    <w:rsid w:val="00450FE9"/>
    <w:rsid w:val="00451534"/>
    <w:rsid w:val="00451A7B"/>
    <w:rsid w:val="004522A6"/>
    <w:rsid w:val="004529D7"/>
    <w:rsid w:val="00452A11"/>
    <w:rsid w:val="00453105"/>
    <w:rsid w:val="00453BF4"/>
    <w:rsid w:val="00454388"/>
    <w:rsid w:val="00454571"/>
    <w:rsid w:val="004549B7"/>
    <w:rsid w:val="00454E3C"/>
    <w:rsid w:val="0045545C"/>
    <w:rsid w:val="00455AFA"/>
    <w:rsid w:val="00456308"/>
    <w:rsid w:val="004566BE"/>
    <w:rsid w:val="0045682E"/>
    <w:rsid w:val="004568B4"/>
    <w:rsid w:val="004569CC"/>
    <w:rsid w:val="00457142"/>
    <w:rsid w:val="004573A4"/>
    <w:rsid w:val="00457493"/>
    <w:rsid w:val="00457958"/>
    <w:rsid w:val="004601D0"/>
    <w:rsid w:val="00460CC5"/>
    <w:rsid w:val="0046115F"/>
    <w:rsid w:val="0046148D"/>
    <w:rsid w:val="00461535"/>
    <w:rsid w:val="00461A23"/>
    <w:rsid w:val="0046246C"/>
    <w:rsid w:val="004627CF"/>
    <w:rsid w:val="00462977"/>
    <w:rsid w:val="00462DBA"/>
    <w:rsid w:val="004635B7"/>
    <w:rsid w:val="00464027"/>
    <w:rsid w:val="004641CB"/>
    <w:rsid w:val="0046443B"/>
    <w:rsid w:val="004649E4"/>
    <w:rsid w:val="00464BC7"/>
    <w:rsid w:val="004651B8"/>
    <w:rsid w:val="00465580"/>
    <w:rsid w:val="00465972"/>
    <w:rsid w:val="00465E7E"/>
    <w:rsid w:val="00466BB5"/>
    <w:rsid w:val="004672E8"/>
    <w:rsid w:val="004677E9"/>
    <w:rsid w:val="00467ABD"/>
    <w:rsid w:val="00470535"/>
    <w:rsid w:val="004709C6"/>
    <w:rsid w:val="00471183"/>
    <w:rsid w:val="0047123C"/>
    <w:rsid w:val="004714F6"/>
    <w:rsid w:val="00471C38"/>
    <w:rsid w:val="0047289C"/>
    <w:rsid w:val="00472A4E"/>
    <w:rsid w:val="00472E22"/>
    <w:rsid w:val="00472F67"/>
    <w:rsid w:val="004739A1"/>
    <w:rsid w:val="0047430D"/>
    <w:rsid w:val="004746D2"/>
    <w:rsid w:val="00474FDF"/>
    <w:rsid w:val="00475688"/>
    <w:rsid w:val="004758F6"/>
    <w:rsid w:val="004759E3"/>
    <w:rsid w:val="00475C51"/>
    <w:rsid w:val="00476161"/>
    <w:rsid w:val="0047643D"/>
    <w:rsid w:val="00476658"/>
    <w:rsid w:val="00476ABE"/>
    <w:rsid w:val="00476E34"/>
    <w:rsid w:val="00476EE1"/>
    <w:rsid w:val="00477163"/>
    <w:rsid w:val="00477B0E"/>
    <w:rsid w:val="00477CD1"/>
    <w:rsid w:val="00481688"/>
    <w:rsid w:val="004820E0"/>
    <w:rsid w:val="004822CA"/>
    <w:rsid w:val="004822D6"/>
    <w:rsid w:val="004828E1"/>
    <w:rsid w:val="00483F95"/>
    <w:rsid w:val="00484D20"/>
    <w:rsid w:val="004850C1"/>
    <w:rsid w:val="00486D2A"/>
    <w:rsid w:val="00486F54"/>
    <w:rsid w:val="004871B4"/>
    <w:rsid w:val="004872C2"/>
    <w:rsid w:val="004876DD"/>
    <w:rsid w:val="00487855"/>
    <w:rsid w:val="00487943"/>
    <w:rsid w:val="00487A4E"/>
    <w:rsid w:val="00491477"/>
    <w:rsid w:val="0049178A"/>
    <w:rsid w:val="00491C1D"/>
    <w:rsid w:val="00491DF1"/>
    <w:rsid w:val="00492535"/>
    <w:rsid w:val="00492B71"/>
    <w:rsid w:val="004931B7"/>
    <w:rsid w:val="00493435"/>
    <w:rsid w:val="00493DB3"/>
    <w:rsid w:val="004947D4"/>
    <w:rsid w:val="00494B28"/>
    <w:rsid w:val="00495FFF"/>
    <w:rsid w:val="004964B9"/>
    <w:rsid w:val="00496A9F"/>
    <w:rsid w:val="00497358"/>
    <w:rsid w:val="00497FA5"/>
    <w:rsid w:val="004A0302"/>
    <w:rsid w:val="004A03B3"/>
    <w:rsid w:val="004A04D5"/>
    <w:rsid w:val="004A1B07"/>
    <w:rsid w:val="004A2E04"/>
    <w:rsid w:val="004A31F9"/>
    <w:rsid w:val="004A3226"/>
    <w:rsid w:val="004A399F"/>
    <w:rsid w:val="004A4096"/>
    <w:rsid w:val="004A4692"/>
    <w:rsid w:val="004A46BB"/>
    <w:rsid w:val="004A4700"/>
    <w:rsid w:val="004A5809"/>
    <w:rsid w:val="004A60E5"/>
    <w:rsid w:val="004A669F"/>
    <w:rsid w:val="004A6786"/>
    <w:rsid w:val="004A6842"/>
    <w:rsid w:val="004A68EF"/>
    <w:rsid w:val="004A701A"/>
    <w:rsid w:val="004A718C"/>
    <w:rsid w:val="004A7C51"/>
    <w:rsid w:val="004A7DBE"/>
    <w:rsid w:val="004A7E17"/>
    <w:rsid w:val="004A7F94"/>
    <w:rsid w:val="004B08AC"/>
    <w:rsid w:val="004B0D88"/>
    <w:rsid w:val="004B1231"/>
    <w:rsid w:val="004B206E"/>
    <w:rsid w:val="004B229E"/>
    <w:rsid w:val="004B243F"/>
    <w:rsid w:val="004B2771"/>
    <w:rsid w:val="004B29C2"/>
    <w:rsid w:val="004B29E1"/>
    <w:rsid w:val="004B2C52"/>
    <w:rsid w:val="004B2F46"/>
    <w:rsid w:val="004B395D"/>
    <w:rsid w:val="004B39D8"/>
    <w:rsid w:val="004B4194"/>
    <w:rsid w:val="004B457E"/>
    <w:rsid w:val="004B4D62"/>
    <w:rsid w:val="004B55F0"/>
    <w:rsid w:val="004B56C3"/>
    <w:rsid w:val="004B6928"/>
    <w:rsid w:val="004B6D40"/>
    <w:rsid w:val="004B7821"/>
    <w:rsid w:val="004B79FA"/>
    <w:rsid w:val="004B7D94"/>
    <w:rsid w:val="004C07B9"/>
    <w:rsid w:val="004C0DE4"/>
    <w:rsid w:val="004C0FB7"/>
    <w:rsid w:val="004C104B"/>
    <w:rsid w:val="004C157A"/>
    <w:rsid w:val="004C164A"/>
    <w:rsid w:val="004C1F31"/>
    <w:rsid w:val="004C23AE"/>
    <w:rsid w:val="004C2E14"/>
    <w:rsid w:val="004C2FE3"/>
    <w:rsid w:val="004C305A"/>
    <w:rsid w:val="004C32C1"/>
    <w:rsid w:val="004C35EF"/>
    <w:rsid w:val="004C3BCF"/>
    <w:rsid w:val="004C3D04"/>
    <w:rsid w:val="004C3ED7"/>
    <w:rsid w:val="004C4829"/>
    <w:rsid w:val="004C4D30"/>
    <w:rsid w:val="004C4EAB"/>
    <w:rsid w:val="004C512B"/>
    <w:rsid w:val="004C5570"/>
    <w:rsid w:val="004C5A20"/>
    <w:rsid w:val="004C5BD0"/>
    <w:rsid w:val="004C5D52"/>
    <w:rsid w:val="004C5DB0"/>
    <w:rsid w:val="004C60D8"/>
    <w:rsid w:val="004C62EE"/>
    <w:rsid w:val="004C6A0D"/>
    <w:rsid w:val="004C7DAB"/>
    <w:rsid w:val="004D1000"/>
    <w:rsid w:val="004D1C6B"/>
    <w:rsid w:val="004D1CC0"/>
    <w:rsid w:val="004D1D27"/>
    <w:rsid w:val="004D25A9"/>
    <w:rsid w:val="004D2EC3"/>
    <w:rsid w:val="004D2FF6"/>
    <w:rsid w:val="004D3FD6"/>
    <w:rsid w:val="004D405F"/>
    <w:rsid w:val="004D4CE1"/>
    <w:rsid w:val="004D55CA"/>
    <w:rsid w:val="004D5A27"/>
    <w:rsid w:val="004D5C1B"/>
    <w:rsid w:val="004D5F0E"/>
    <w:rsid w:val="004D6626"/>
    <w:rsid w:val="004D6758"/>
    <w:rsid w:val="004D7B00"/>
    <w:rsid w:val="004D7B1A"/>
    <w:rsid w:val="004E05F5"/>
    <w:rsid w:val="004E0830"/>
    <w:rsid w:val="004E169C"/>
    <w:rsid w:val="004E1BF0"/>
    <w:rsid w:val="004E1E6A"/>
    <w:rsid w:val="004E28E1"/>
    <w:rsid w:val="004E2B01"/>
    <w:rsid w:val="004E31FD"/>
    <w:rsid w:val="004E34C7"/>
    <w:rsid w:val="004E356A"/>
    <w:rsid w:val="004E35A4"/>
    <w:rsid w:val="004E375D"/>
    <w:rsid w:val="004E3850"/>
    <w:rsid w:val="004E3A2C"/>
    <w:rsid w:val="004E3AA9"/>
    <w:rsid w:val="004E3D0B"/>
    <w:rsid w:val="004E3E7B"/>
    <w:rsid w:val="004E3FC1"/>
    <w:rsid w:val="004E58EA"/>
    <w:rsid w:val="004E5F65"/>
    <w:rsid w:val="004E6C7A"/>
    <w:rsid w:val="004E708F"/>
    <w:rsid w:val="004E7615"/>
    <w:rsid w:val="004E7CDF"/>
    <w:rsid w:val="004F04D7"/>
    <w:rsid w:val="004F078C"/>
    <w:rsid w:val="004F1324"/>
    <w:rsid w:val="004F19ED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768"/>
    <w:rsid w:val="004F5A2D"/>
    <w:rsid w:val="004F5C09"/>
    <w:rsid w:val="004F5E4E"/>
    <w:rsid w:val="004F63CC"/>
    <w:rsid w:val="004F6678"/>
    <w:rsid w:val="004F687A"/>
    <w:rsid w:val="004F6B28"/>
    <w:rsid w:val="004F6B69"/>
    <w:rsid w:val="004F6C65"/>
    <w:rsid w:val="004F6D2E"/>
    <w:rsid w:val="004F7F0F"/>
    <w:rsid w:val="004F7FBC"/>
    <w:rsid w:val="005001AE"/>
    <w:rsid w:val="005007E7"/>
    <w:rsid w:val="00500F01"/>
    <w:rsid w:val="005012FC"/>
    <w:rsid w:val="005016CA"/>
    <w:rsid w:val="00501EBE"/>
    <w:rsid w:val="005020A9"/>
    <w:rsid w:val="005027A0"/>
    <w:rsid w:val="00503551"/>
    <w:rsid w:val="00503F38"/>
    <w:rsid w:val="005043FC"/>
    <w:rsid w:val="00504A55"/>
    <w:rsid w:val="00505F08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5D5"/>
    <w:rsid w:val="00512D51"/>
    <w:rsid w:val="00512E95"/>
    <w:rsid w:val="00514674"/>
    <w:rsid w:val="0051477F"/>
    <w:rsid w:val="00514C46"/>
    <w:rsid w:val="00514FE0"/>
    <w:rsid w:val="0051543A"/>
    <w:rsid w:val="005155BA"/>
    <w:rsid w:val="00515BCF"/>
    <w:rsid w:val="00515DC3"/>
    <w:rsid w:val="00516083"/>
    <w:rsid w:val="0051635A"/>
    <w:rsid w:val="0051646E"/>
    <w:rsid w:val="005166C3"/>
    <w:rsid w:val="00516EA5"/>
    <w:rsid w:val="005179DA"/>
    <w:rsid w:val="00517D73"/>
    <w:rsid w:val="00517E2A"/>
    <w:rsid w:val="00520C1C"/>
    <w:rsid w:val="00521439"/>
    <w:rsid w:val="00522133"/>
    <w:rsid w:val="0052292E"/>
    <w:rsid w:val="0052373B"/>
    <w:rsid w:val="00523E00"/>
    <w:rsid w:val="0052439F"/>
    <w:rsid w:val="005243EB"/>
    <w:rsid w:val="00525789"/>
    <w:rsid w:val="00525890"/>
    <w:rsid w:val="00526452"/>
    <w:rsid w:val="00526816"/>
    <w:rsid w:val="00526DC2"/>
    <w:rsid w:val="00526F09"/>
    <w:rsid w:val="005270A4"/>
    <w:rsid w:val="00527F4F"/>
    <w:rsid w:val="00530512"/>
    <w:rsid w:val="00530799"/>
    <w:rsid w:val="0053109F"/>
    <w:rsid w:val="005311E8"/>
    <w:rsid w:val="005312C4"/>
    <w:rsid w:val="0053133A"/>
    <w:rsid w:val="00531822"/>
    <w:rsid w:val="005319DF"/>
    <w:rsid w:val="005326D0"/>
    <w:rsid w:val="005327CB"/>
    <w:rsid w:val="00532800"/>
    <w:rsid w:val="00532A38"/>
    <w:rsid w:val="00532A80"/>
    <w:rsid w:val="00532FDA"/>
    <w:rsid w:val="005335E3"/>
    <w:rsid w:val="00533EE8"/>
    <w:rsid w:val="0053417D"/>
    <w:rsid w:val="0053490C"/>
    <w:rsid w:val="00535585"/>
    <w:rsid w:val="00535DFF"/>
    <w:rsid w:val="00536244"/>
    <w:rsid w:val="00536A58"/>
    <w:rsid w:val="00536AB4"/>
    <w:rsid w:val="00537127"/>
    <w:rsid w:val="0053764B"/>
    <w:rsid w:val="00537D70"/>
    <w:rsid w:val="005400BB"/>
    <w:rsid w:val="0054069F"/>
    <w:rsid w:val="00541199"/>
    <w:rsid w:val="00541307"/>
    <w:rsid w:val="00541B60"/>
    <w:rsid w:val="00541DB8"/>
    <w:rsid w:val="00541F9A"/>
    <w:rsid w:val="00542599"/>
    <w:rsid w:val="00542EB4"/>
    <w:rsid w:val="0054300D"/>
    <w:rsid w:val="00543033"/>
    <w:rsid w:val="00543AE4"/>
    <w:rsid w:val="005448B9"/>
    <w:rsid w:val="00544C02"/>
    <w:rsid w:val="00545136"/>
    <w:rsid w:val="00545145"/>
    <w:rsid w:val="005452C1"/>
    <w:rsid w:val="00545B42"/>
    <w:rsid w:val="0054612B"/>
    <w:rsid w:val="00547753"/>
    <w:rsid w:val="005479F5"/>
    <w:rsid w:val="00547D90"/>
    <w:rsid w:val="005501AC"/>
    <w:rsid w:val="005508EF"/>
    <w:rsid w:val="005510E3"/>
    <w:rsid w:val="0055173F"/>
    <w:rsid w:val="00551AE8"/>
    <w:rsid w:val="00551D57"/>
    <w:rsid w:val="00552046"/>
    <w:rsid w:val="00552E11"/>
    <w:rsid w:val="00552FEB"/>
    <w:rsid w:val="0055326B"/>
    <w:rsid w:val="005532A3"/>
    <w:rsid w:val="00553395"/>
    <w:rsid w:val="00553567"/>
    <w:rsid w:val="005538EF"/>
    <w:rsid w:val="0055400F"/>
    <w:rsid w:val="005548DD"/>
    <w:rsid w:val="00554908"/>
    <w:rsid w:val="00555500"/>
    <w:rsid w:val="00555FC3"/>
    <w:rsid w:val="00556027"/>
    <w:rsid w:val="00556506"/>
    <w:rsid w:val="0055659A"/>
    <w:rsid w:val="005565AF"/>
    <w:rsid w:val="00556731"/>
    <w:rsid w:val="00557401"/>
    <w:rsid w:val="0055747C"/>
    <w:rsid w:val="00557D41"/>
    <w:rsid w:val="00557F5B"/>
    <w:rsid w:val="00557FE2"/>
    <w:rsid w:val="00560092"/>
    <w:rsid w:val="00560729"/>
    <w:rsid w:val="00560A86"/>
    <w:rsid w:val="00560D3E"/>
    <w:rsid w:val="00561758"/>
    <w:rsid w:val="00561C64"/>
    <w:rsid w:val="0056218D"/>
    <w:rsid w:val="00562EAD"/>
    <w:rsid w:val="00563222"/>
    <w:rsid w:val="00563AEB"/>
    <w:rsid w:val="00564775"/>
    <w:rsid w:val="00564FAB"/>
    <w:rsid w:val="0056503A"/>
    <w:rsid w:val="00566C28"/>
    <w:rsid w:val="00566EBC"/>
    <w:rsid w:val="00567500"/>
    <w:rsid w:val="0056753D"/>
    <w:rsid w:val="00567811"/>
    <w:rsid w:val="005678B9"/>
    <w:rsid w:val="00567CDA"/>
    <w:rsid w:val="00570163"/>
    <w:rsid w:val="005701B3"/>
    <w:rsid w:val="005702BD"/>
    <w:rsid w:val="005704B1"/>
    <w:rsid w:val="0057096B"/>
    <w:rsid w:val="005709D9"/>
    <w:rsid w:val="005709E4"/>
    <w:rsid w:val="00572749"/>
    <w:rsid w:val="005739F4"/>
    <w:rsid w:val="00573A7F"/>
    <w:rsid w:val="00573EE1"/>
    <w:rsid w:val="0057406C"/>
    <w:rsid w:val="00574602"/>
    <w:rsid w:val="00575051"/>
    <w:rsid w:val="005750DF"/>
    <w:rsid w:val="005758E3"/>
    <w:rsid w:val="00576D03"/>
    <w:rsid w:val="00576D35"/>
    <w:rsid w:val="005773BA"/>
    <w:rsid w:val="005777C8"/>
    <w:rsid w:val="0057796B"/>
    <w:rsid w:val="00577AD5"/>
    <w:rsid w:val="00577F23"/>
    <w:rsid w:val="00580A72"/>
    <w:rsid w:val="0058107B"/>
    <w:rsid w:val="00581181"/>
    <w:rsid w:val="0058149F"/>
    <w:rsid w:val="0058161B"/>
    <w:rsid w:val="005817A5"/>
    <w:rsid w:val="00581DF3"/>
    <w:rsid w:val="00582853"/>
    <w:rsid w:val="00582893"/>
    <w:rsid w:val="00582C76"/>
    <w:rsid w:val="00583A87"/>
    <w:rsid w:val="00583AC2"/>
    <w:rsid w:val="0058403B"/>
    <w:rsid w:val="005840D8"/>
    <w:rsid w:val="005842BA"/>
    <w:rsid w:val="005843E6"/>
    <w:rsid w:val="005845FA"/>
    <w:rsid w:val="00584AC0"/>
    <w:rsid w:val="00585313"/>
    <w:rsid w:val="00585C21"/>
    <w:rsid w:val="00585DFE"/>
    <w:rsid w:val="00586EDD"/>
    <w:rsid w:val="005874CD"/>
    <w:rsid w:val="00587597"/>
    <w:rsid w:val="005875E1"/>
    <w:rsid w:val="0059070C"/>
    <w:rsid w:val="00590D18"/>
    <w:rsid w:val="00590EDD"/>
    <w:rsid w:val="00590FDA"/>
    <w:rsid w:val="005917BC"/>
    <w:rsid w:val="00591988"/>
    <w:rsid w:val="00591C0D"/>
    <w:rsid w:val="0059212F"/>
    <w:rsid w:val="005921C8"/>
    <w:rsid w:val="005922A3"/>
    <w:rsid w:val="0059239E"/>
    <w:rsid w:val="005924DB"/>
    <w:rsid w:val="005929E8"/>
    <w:rsid w:val="00592A2E"/>
    <w:rsid w:val="00593155"/>
    <w:rsid w:val="00593378"/>
    <w:rsid w:val="0059353B"/>
    <w:rsid w:val="005938DB"/>
    <w:rsid w:val="00594413"/>
    <w:rsid w:val="005949FB"/>
    <w:rsid w:val="00594C1A"/>
    <w:rsid w:val="00595106"/>
    <w:rsid w:val="00595692"/>
    <w:rsid w:val="00595B7B"/>
    <w:rsid w:val="00595FE2"/>
    <w:rsid w:val="00596020"/>
    <w:rsid w:val="0059632F"/>
    <w:rsid w:val="00597799"/>
    <w:rsid w:val="005977F9"/>
    <w:rsid w:val="00597A2F"/>
    <w:rsid w:val="00597BA8"/>
    <w:rsid w:val="005A01E7"/>
    <w:rsid w:val="005A02C8"/>
    <w:rsid w:val="005A09E5"/>
    <w:rsid w:val="005A1473"/>
    <w:rsid w:val="005A19F4"/>
    <w:rsid w:val="005A19FF"/>
    <w:rsid w:val="005A2074"/>
    <w:rsid w:val="005A24AE"/>
    <w:rsid w:val="005A28EA"/>
    <w:rsid w:val="005A3394"/>
    <w:rsid w:val="005A403A"/>
    <w:rsid w:val="005A43BE"/>
    <w:rsid w:val="005A4624"/>
    <w:rsid w:val="005A4ED0"/>
    <w:rsid w:val="005A5011"/>
    <w:rsid w:val="005A508D"/>
    <w:rsid w:val="005A5164"/>
    <w:rsid w:val="005A60BA"/>
    <w:rsid w:val="005A761B"/>
    <w:rsid w:val="005B0877"/>
    <w:rsid w:val="005B096F"/>
    <w:rsid w:val="005B0987"/>
    <w:rsid w:val="005B0FB5"/>
    <w:rsid w:val="005B1152"/>
    <w:rsid w:val="005B1191"/>
    <w:rsid w:val="005B1205"/>
    <w:rsid w:val="005B1D3B"/>
    <w:rsid w:val="005B2088"/>
    <w:rsid w:val="005B2466"/>
    <w:rsid w:val="005B2BBB"/>
    <w:rsid w:val="005B2BD3"/>
    <w:rsid w:val="005B2BF5"/>
    <w:rsid w:val="005B2FD3"/>
    <w:rsid w:val="005B3372"/>
    <w:rsid w:val="005B3AD5"/>
    <w:rsid w:val="005B41B3"/>
    <w:rsid w:val="005B4289"/>
    <w:rsid w:val="005B5025"/>
    <w:rsid w:val="005B5111"/>
    <w:rsid w:val="005B5288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485"/>
    <w:rsid w:val="005B75B6"/>
    <w:rsid w:val="005B7F6E"/>
    <w:rsid w:val="005C082F"/>
    <w:rsid w:val="005C12AC"/>
    <w:rsid w:val="005C1C90"/>
    <w:rsid w:val="005C1CEF"/>
    <w:rsid w:val="005C24C2"/>
    <w:rsid w:val="005C286F"/>
    <w:rsid w:val="005C352A"/>
    <w:rsid w:val="005C3964"/>
    <w:rsid w:val="005C3A3A"/>
    <w:rsid w:val="005C428A"/>
    <w:rsid w:val="005C4330"/>
    <w:rsid w:val="005C4554"/>
    <w:rsid w:val="005C4787"/>
    <w:rsid w:val="005C5113"/>
    <w:rsid w:val="005C54B8"/>
    <w:rsid w:val="005C557C"/>
    <w:rsid w:val="005C56B7"/>
    <w:rsid w:val="005C5CDF"/>
    <w:rsid w:val="005C5EC3"/>
    <w:rsid w:val="005C677E"/>
    <w:rsid w:val="005C6B0F"/>
    <w:rsid w:val="005C6C00"/>
    <w:rsid w:val="005C6CD0"/>
    <w:rsid w:val="005C7072"/>
    <w:rsid w:val="005C7345"/>
    <w:rsid w:val="005C741C"/>
    <w:rsid w:val="005C785E"/>
    <w:rsid w:val="005C78B3"/>
    <w:rsid w:val="005C78D5"/>
    <w:rsid w:val="005D00B6"/>
    <w:rsid w:val="005D101F"/>
    <w:rsid w:val="005D1247"/>
    <w:rsid w:val="005D1D60"/>
    <w:rsid w:val="005D205D"/>
    <w:rsid w:val="005D24E3"/>
    <w:rsid w:val="005D2A09"/>
    <w:rsid w:val="005D2F54"/>
    <w:rsid w:val="005D3204"/>
    <w:rsid w:val="005D33D2"/>
    <w:rsid w:val="005D353D"/>
    <w:rsid w:val="005D3FD5"/>
    <w:rsid w:val="005D593D"/>
    <w:rsid w:val="005D63A5"/>
    <w:rsid w:val="005D69A4"/>
    <w:rsid w:val="005D79B5"/>
    <w:rsid w:val="005D7BDA"/>
    <w:rsid w:val="005E0773"/>
    <w:rsid w:val="005E0A1F"/>
    <w:rsid w:val="005E0CA1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EB4"/>
    <w:rsid w:val="005E40C8"/>
    <w:rsid w:val="005E43DF"/>
    <w:rsid w:val="005E48DE"/>
    <w:rsid w:val="005E5620"/>
    <w:rsid w:val="005E566F"/>
    <w:rsid w:val="005E64AF"/>
    <w:rsid w:val="005E6BE9"/>
    <w:rsid w:val="005E71A5"/>
    <w:rsid w:val="005E75B6"/>
    <w:rsid w:val="005E777B"/>
    <w:rsid w:val="005F03D5"/>
    <w:rsid w:val="005F0752"/>
    <w:rsid w:val="005F0860"/>
    <w:rsid w:val="005F14A7"/>
    <w:rsid w:val="005F1B20"/>
    <w:rsid w:val="005F1E18"/>
    <w:rsid w:val="005F27E0"/>
    <w:rsid w:val="005F29C0"/>
    <w:rsid w:val="005F2A66"/>
    <w:rsid w:val="005F2B32"/>
    <w:rsid w:val="005F2C33"/>
    <w:rsid w:val="005F3176"/>
    <w:rsid w:val="005F3549"/>
    <w:rsid w:val="005F3D8C"/>
    <w:rsid w:val="005F54B4"/>
    <w:rsid w:val="005F5576"/>
    <w:rsid w:val="005F5A4E"/>
    <w:rsid w:val="005F5A6F"/>
    <w:rsid w:val="005F5C6D"/>
    <w:rsid w:val="005F5D7E"/>
    <w:rsid w:val="005F5E8E"/>
    <w:rsid w:val="005F60E6"/>
    <w:rsid w:val="005F61DD"/>
    <w:rsid w:val="005F764A"/>
    <w:rsid w:val="0060008E"/>
    <w:rsid w:val="0060034E"/>
    <w:rsid w:val="006005C1"/>
    <w:rsid w:val="0060076C"/>
    <w:rsid w:val="006011A0"/>
    <w:rsid w:val="00602A78"/>
    <w:rsid w:val="00602BCA"/>
    <w:rsid w:val="0060305F"/>
    <w:rsid w:val="00603271"/>
    <w:rsid w:val="006034C7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D24"/>
    <w:rsid w:val="00611BA6"/>
    <w:rsid w:val="00611E58"/>
    <w:rsid w:val="00612D19"/>
    <w:rsid w:val="0061330F"/>
    <w:rsid w:val="00613641"/>
    <w:rsid w:val="00614139"/>
    <w:rsid w:val="00614483"/>
    <w:rsid w:val="0061478C"/>
    <w:rsid w:val="006150AB"/>
    <w:rsid w:val="0061516E"/>
    <w:rsid w:val="006151BC"/>
    <w:rsid w:val="00615204"/>
    <w:rsid w:val="006154F0"/>
    <w:rsid w:val="00615745"/>
    <w:rsid w:val="00615E77"/>
    <w:rsid w:val="006162A3"/>
    <w:rsid w:val="00616C7D"/>
    <w:rsid w:val="0061735F"/>
    <w:rsid w:val="00617B94"/>
    <w:rsid w:val="00617FC1"/>
    <w:rsid w:val="006200A3"/>
    <w:rsid w:val="006205E1"/>
    <w:rsid w:val="006208EE"/>
    <w:rsid w:val="0062091D"/>
    <w:rsid w:val="00620C44"/>
    <w:rsid w:val="0062100E"/>
    <w:rsid w:val="006211A5"/>
    <w:rsid w:val="006219BC"/>
    <w:rsid w:val="00622789"/>
    <w:rsid w:val="00622A55"/>
    <w:rsid w:val="006233C1"/>
    <w:rsid w:val="0062374B"/>
    <w:rsid w:val="006238D8"/>
    <w:rsid w:val="00624194"/>
    <w:rsid w:val="00624649"/>
    <w:rsid w:val="006246FF"/>
    <w:rsid w:val="006249A7"/>
    <w:rsid w:val="006249D1"/>
    <w:rsid w:val="00624D4F"/>
    <w:rsid w:val="00625713"/>
    <w:rsid w:val="00625B22"/>
    <w:rsid w:val="00625C53"/>
    <w:rsid w:val="00626104"/>
    <w:rsid w:val="00626415"/>
    <w:rsid w:val="0062768B"/>
    <w:rsid w:val="00627936"/>
    <w:rsid w:val="00627A49"/>
    <w:rsid w:val="00627D60"/>
    <w:rsid w:val="00627D7C"/>
    <w:rsid w:val="00627E30"/>
    <w:rsid w:val="006303FC"/>
    <w:rsid w:val="006309D1"/>
    <w:rsid w:val="00631716"/>
    <w:rsid w:val="0063179F"/>
    <w:rsid w:val="006317A4"/>
    <w:rsid w:val="00632259"/>
    <w:rsid w:val="00632765"/>
    <w:rsid w:val="00632DD8"/>
    <w:rsid w:val="0063360F"/>
    <w:rsid w:val="006338DA"/>
    <w:rsid w:val="0063390C"/>
    <w:rsid w:val="00633A5E"/>
    <w:rsid w:val="00633F74"/>
    <w:rsid w:val="006344B4"/>
    <w:rsid w:val="00634CDD"/>
    <w:rsid w:val="00634E45"/>
    <w:rsid w:val="0063555B"/>
    <w:rsid w:val="00635AEB"/>
    <w:rsid w:val="0063642C"/>
    <w:rsid w:val="00636EF8"/>
    <w:rsid w:val="00636FEF"/>
    <w:rsid w:val="0063715F"/>
    <w:rsid w:val="00637325"/>
    <w:rsid w:val="006377DB"/>
    <w:rsid w:val="00637D76"/>
    <w:rsid w:val="00637E74"/>
    <w:rsid w:val="00637F19"/>
    <w:rsid w:val="006405A2"/>
    <w:rsid w:val="00640699"/>
    <w:rsid w:val="0064096C"/>
    <w:rsid w:val="006417E0"/>
    <w:rsid w:val="006418D2"/>
    <w:rsid w:val="006419D4"/>
    <w:rsid w:val="00641E1E"/>
    <w:rsid w:val="00642453"/>
    <w:rsid w:val="00643B59"/>
    <w:rsid w:val="006443B2"/>
    <w:rsid w:val="00644875"/>
    <w:rsid w:val="00645210"/>
    <w:rsid w:val="00645933"/>
    <w:rsid w:val="006459B3"/>
    <w:rsid w:val="00645D57"/>
    <w:rsid w:val="00646970"/>
    <w:rsid w:val="00646CD8"/>
    <w:rsid w:val="00646FDD"/>
    <w:rsid w:val="00647C38"/>
    <w:rsid w:val="00647D39"/>
    <w:rsid w:val="006500A2"/>
    <w:rsid w:val="0065058D"/>
    <w:rsid w:val="00650B42"/>
    <w:rsid w:val="00650C5E"/>
    <w:rsid w:val="00651147"/>
    <w:rsid w:val="0065131D"/>
    <w:rsid w:val="006513EF"/>
    <w:rsid w:val="00651DC1"/>
    <w:rsid w:val="00651FD6"/>
    <w:rsid w:val="0065234B"/>
    <w:rsid w:val="0065252C"/>
    <w:rsid w:val="00652C34"/>
    <w:rsid w:val="0065387F"/>
    <w:rsid w:val="00653AC4"/>
    <w:rsid w:val="00653C52"/>
    <w:rsid w:val="006540C1"/>
    <w:rsid w:val="006541CD"/>
    <w:rsid w:val="006544BE"/>
    <w:rsid w:val="00654642"/>
    <w:rsid w:val="00654AF4"/>
    <w:rsid w:val="00654CB8"/>
    <w:rsid w:val="00655292"/>
    <w:rsid w:val="0065561D"/>
    <w:rsid w:val="00655F61"/>
    <w:rsid w:val="006562F3"/>
    <w:rsid w:val="006565D3"/>
    <w:rsid w:val="00656618"/>
    <w:rsid w:val="00656F87"/>
    <w:rsid w:val="00656FC3"/>
    <w:rsid w:val="00657693"/>
    <w:rsid w:val="00657861"/>
    <w:rsid w:val="00657B97"/>
    <w:rsid w:val="00660010"/>
    <w:rsid w:val="00660083"/>
    <w:rsid w:val="00660680"/>
    <w:rsid w:val="00660BFB"/>
    <w:rsid w:val="00660E23"/>
    <w:rsid w:val="00661A10"/>
    <w:rsid w:val="00662A70"/>
    <w:rsid w:val="00662AF9"/>
    <w:rsid w:val="00662C14"/>
    <w:rsid w:val="00662C97"/>
    <w:rsid w:val="00662CBB"/>
    <w:rsid w:val="00662F3E"/>
    <w:rsid w:val="0066398B"/>
    <w:rsid w:val="00663B2F"/>
    <w:rsid w:val="00663F53"/>
    <w:rsid w:val="0066486A"/>
    <w:rsid w:val="006650F3"/>
    <w:rsid w:val="0066527F"/>
    <w:rsid w:val="00666043"/>
    <w:rsid w:val="00666754"/>
    <w:rsid w:val="00666AEA"/>
    <w:rsid w:val="00667FB2"/>
    <w:rsid w:val="00670602"/>
    <w:rsid w:val="00670C26"/>
    <w:rsid w:val="00670D2E"/>
    <w:rsid w:val="0067124A"/>
    <w:rsid w:val="00671E6A"/>
    <w:rsid w:val="006723E7"/>
    <w:rsid w:val="0067269F"/>
    <w:rsid w:val="006726CB"/>
    <w:rsid w:val="0067272F"/>
    <w:rsid w:val="00673BA4"/>
    <w:rsid w:val="00673D68"/>
    <w:rsid w:val="00674C5D"/>
    <w:rsid w:val="00674ED8"/>
    <w:rsid w:val="00675793"/>
    <w:rsid w:val="00675C5E"/>
    <w:rsid w:val="00676638"/>
    <w:rsid w:val="00676E19"/>
    <w:rsid w:val="00676F0B"/>
    <w:rsid w:val="006773D1"/>
    <w:rsid w:val="006801BB"/>
    <w:rsid w:val="006802E3"/>
    <w:rsid w:val="00680CC6"/>
    <w:rsid w:val="0068241B"/>
    <w:rsid w:val="00683889"/>
    <w:rsid w:val="006842A2"/>
    <w:rsid w:val="006848BB"/>
    <w:rsid w:val="00685075"/>
    <w:rsid w:val="00685339"/>
    <w:rsid w:val="00685597"/>
    <w:rsid w:val="00686338"/>
    <w:rsid w:val="00686A7B"/>
    <w:rsid w:val="0068731C"/>
    <w:rsid w:val="006904AD"/>
    <w:rsid w:val="006905F1"/>
    <w:rsid w:val="006912E6"/>
    <w:rsid w:val="006914E9"/>
    <w:rsid w:val="00691815"/>
    <w:rsid w:val="00691E51"/>
    <w:rsid w:val="00692025"/>
    <w:rsid w:val="006920CA"/>
    <w:rsid w:val="00692645"/>
    <w:rsid w:val="006927F0"/>
    <w:rsid w:val="00692C4E"/>
    <w:rsid w:val="00693602"/>
    <w:rsid w:val="006936DB"/>
    <w:rsid w:val="00693801"/>
    <w:rsid w:val="00693F70"/>
    <w:rsid w:val="0069400F"/>
    <w:rsid w:val="006944B8"/>
    <w:rsid w:val="006944D5"/>
    <w:rsid w:val="0069458B"/>
    <w:rsid w:val="00694706"/>
    <w:rsid w:val="00694DF8"/>
    <w:rsid w:val="0069513F"/>
    <w:rsid w:val="006956E0"/>
    <w:rsid w:val="00695D95"/>
    <w:rsid w:val="00695DDA"/>
    <w:rsid w:val="00696136"/>
    <w:rsid w:val="00696243"/>
    <w:rsid w:val="006962E6"/>
    <w:rsid w:val="0069657D"/>
    <w:rsid w:val="00696745"/>
    <w:rsid w:val="00696911"/>
    <w:rsid w:val="00696A8E"/>
    <w:rsid w:val="0069703E"/>
    <w:rsid w:val="00697208"/>
    <w:rsid w:val="00697A32"/>
    <w:rsid w:val="006A06E3"/>
    <w:rsid w:val="006A0B03"/>
    <w:rsid w:val="006A0ECA"/>
    <w:rsid w:val="006A0FE8"/>
    <w:rsid w:val="006A11F4"/>
    <w:rsid w:val="006A14A8"/>
    <w:rsid w:val="006A182D"/>
    <w:rsid w:val="006A1ADF"/>
    <w:rsid w:val="006A23AC"/>
    <w:rsid w:val="006A2835"/>
    <w:rsid w:val="006A3A19"/>
    <w:rsid w:val="006A3B9E"/>
    <w:rsid w:val="006A3D6D"/>
    <w:rsid w:val="006A3D73"/>
    <w:rsid w:val="006A43EA"/>
    <w:rsid w:val="006A471A"/>
    <w:rsid w:val="006A5290"/>
    <w:rsid w:val="006A777A"/>
    <w:rsid w:val="006A7AE9"/>
    <w:rsid w:val="006A7C9D"/>
    <w:rsid w:val="006B0264"/>
    <w:rsid w:val="006B1B64"/>
    <w:rsid w:val="006B1E59"/>
    <w:rsid w:val="006B2995"/>
    <w:rsid w:val="006B2E30"/>
    <w:rsid w:val="006B2F13"/>
    <w:rsid w:val="006B3EFD"/>
    <w:rsid w:val="006B40C8"/>
    <w:rsid w:val="006B472A"/>
    <w:rsid w:val="006B549F"/>
    <w:rsid w:val="006B5B6A"/>
    <w:rsid w:val="006B5F76"/>
    <w:rsid w:val="006B65CB"/>
    <w:rsid w:val="006B6D3C"/>
    <w:rsid w:val="006B6D7B"/>
    <w:rsid w:val="006B765D"/>
    <w:rsid w:val="006C0867"/>
    <w:rsid w:val="006C12F3"/>
    <w:rsid w:val="006C215A"/>
    <w:rsid w:val="006C242A"/>
    <w:rsid w:val="006C24C7"/>
    <w:rsid w:val="006C273C"/>
    <w:rsid w:val="006C374A"/>
    <w:rsid w:val="006C3A0F"/>
    <w:rsid w:val="006C479E"/>
    <w:rsid w:val="006C57FE"/>
    <w:rsid w:val="006C5AB5"/>
    <w:rsid w:val="006C63B1"/>
    <w:rsid w:val="006C63C8"/>
    <w:rsid w:val="006C6AD1"/>
    <w:rsid w:val="006C6E36"/>
    <w:rsid w:val="006C705E"/>
    <w:rsid w:val="006C7216"/>
    <w:rsid w:val="006C7266"/>
    <w:rsid w:val="006D045E"/>
    <w:rsid w:val="006D0B6D"/>
    <w:rsid w:val="006D1549"/>
    <w:rsid w:val="006D1A5F"/>
    <w:rsid w:val="006D21B7"/>
    <w:rsid w:val="006D381C"/>
    <w:rsid w:val="006D39EA"/>
    <w:rsid w:val="006D3CE0"/>
    <w:rsid w:val="006D3DFE"/>
    <w:rsid w:val="006D4801"/>
    <w:rsid w:val="006D487E"/>
    <w:rsid w:val="006D4A33"/>
    <w:rsid w:val="006D5176"/>
    <w:rsid w:val="006D52B3"/>
    <w:rsid w:val="006D53DF"/>
    <w:rsid w:val="006D54F7"/>
    <w:rsid w:val="006D5604"/>
    <w:rsid w:val="006D5CDA"/>
    <w:rsid w:val="006D7902"/>
    <w:rsid w:val="006D7C19"/>
    <w:rsid w:val="006D7C9D"/>
    <w:rsid w:val="006D7D85"/>
    <w:rsid w:val="006D7F0C"/>
    <w:rsid w:val="006E045E"/>
    <w:rsid w:val="006E09E9"/>
    <w:rsid w:val="006E0B21"/>
    <w:rsid w:val="006E171B"/>
    <w:rsid w:val="006E2C6D"/>
    <w:rsid w:val="006E31D1"/>
    <w:rsid w:val="006E33D2"/>
    <w:rsid w:val="006E35C0"/>
    <w:rsid w:val="006E374B"/>
    <w:rsid w:val="006E3B50"/>
    <w:rsid w:val="006E3E59"/>
    <w:rsid w:val="006E44D3"/>
    <w:rsid w:val="006E4705"/>
    <w:rsid w:val="006E470D"/>
    <w:rsid w:val="006E49DF"/>
    <w:rsid w:val="006E4E81"/>
    <w:rsid w:val="006E58CF"/>
    <w:rsid w:val="006E5B60"/>
    <w:rsid w:val="006E6241"/>
    <w:rsid w:val="006E645F"/>
    <w:rsid w:val="006E6F3D"/>
    <w:rsid w:val="006E729E"/>
    <w:rsid w:val="006E7B0F"/>
    <w:rsid w:val="006F0661"/>
    <w:rsid w:val="006F0E41"/>
    <w:rsid w:val="006F105A"/>
    <w:rsid w:val="006F117D"/>
    <w:rsid w:val="006F1195"/>
    <w:rsid w:val="006F13F3"/>
    <w:rsid w:val="006F17CB"/>
    <w:rsid w:val="006F1DBD"/>
    <w:rsid w:val="006F1E00"/>
    <w:rsid w:val="006F2BB6"/>
    <w:rsid w:val="006F2ED5"/>
    <w:rsid w:val="006F301F"/>
    <w:rsid w:val="006F36FF"/>
    <w:rsid w:val="006F4D49"/>
    <w:rsid w:val="006F5265"/>
    <w:rsid w:val="006F52A6"/>
    <w:rsid w:val="006F5847"/>
    <w:rsid w:val="006F5B1A"/>
    <w:rsid w:val="006F5F76"/>
    <w:rsid w:val="006F63B9"/>
    <w:rsid w:val="006F6790"/>
    <w:rsid w:val="006F6F57"/>
    <w:rsid w:val="00700821"/>
    <w:rsid w:val="00700833"/>
    <w:rsid w:val="007010A7"/>
    <w:rsid w:val="007011D1"/>
    <w:rsid w:val="007011D8"/>
    <w:rsid w:val="0070123F"/>
    <w:rsid w:val="00702723"/>
    <w:rsid w:val="0070303A"/>
    <w:rsid w:val="0070328F"/>
    <w:rsid w:val="00704346"/>
    <w:rsid w:val="00704464"/>
    <w:rsid w:val="00704527"/>
    <w:rsid w:val="00704E45"/>
    <w:rsid w:val="0070522E"/>
    <w:rsid w:val="00705254"/>
    <w:rsid w:val="00705BD7"/>
    <w:rsid w:val="007061EC"/>
    <w:rsid w:val="00706461"/>
    <w:rsid w:val="007068C5"/>
    <w:rsid w:val="00706995"/>
    <w:rsid w:val="00706B5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5CA"/>
    <w:rsid w:val="00711E91"/>
    <w:rsid w:val="00712020"/>
    <w:rsid w:val="00712026"/>
    <w:rsid w:val="007121C0"/>
    <w:rsid w:val="00712638"/>
    <w:rsid w:val="0071276A"/>
    <w:rsid w:val="00712B22"/>
    <w:rsid w:val="00712D93"/>
    <w:rsid w:val="00713272"/>
    <w:rsid w:val="007139BF"/>
    <w:rsid w:val="00713C11"/>
    <w:rsid w:val="0071437A"/>
    <w:rsid w:val="007147BD"/>
    <w:rsid w:val="00714A38"/>
    <w:rsid w:val="00714B10"/>
    <w:rsid w:val="00714B64"/>
    <w:rsid w:val="00714BA7"/>
    <w:rsid w:val="00714BB2"/>
    <w:rsid w:val="00714F03"/>
    <w:rsid w:val="00715C06"/>
    <w:rsid w:val="007165D0"/>
    <w:rsid w:val="00716D4E"/>
    <w:rsid w:val="0071717E"/>
    <w:rsid w:val="00717BA5"/>
    <w:rsid w:val="00720A2C"/>
    <w:rsid w:val="00720B85"/>
    <w:rsid w:val="00720C22"/>
    <w:rsid w:val="00720C6E"/>
    <w:rsid w:val="00720E58"/>
    <w:rsid w:val="00720E79"/>
    <w:rsid w:val="00721810"/>
    <w:rsid w:val="00721E15"/>
    <w:rsid w:val="00721E1A"/>
    <w:rsid w:val="00722A15"/>
    <w:rsid w:val="00722BE6"/>
    <w:rsid w:val="00722CD9"/>
    <w:rsid w:val="00722EF9"/>
    <w:rsid w:val="007232F1"/>
    <w:rsid w:val="007236B0"/>
    <w:rsid w:val="00723BF5"/>
    <w:rsid w:val="00723C9F"/>
    <w:rsid w:val="00723F60"/>
    <w:rsid w:val="0072454A"/>
    <w:rsid w:val="007245B1"/>
    <w:rsid w:val="00724952"/>
    <w:rsid w:val="00724CD4"/>
    <w:rsid w:val="00724F9D"/>
    <w:rsid w:val="00725D1A"/>
    <w:rsid w:val="00725DF3"/>
    <w:rsid w:val="00726B7D"/>
    <w:rsid w:val="00726DA8"/>
    <w:rsid w:val="00727285"/>
    <w:rsid w:val="00727380"/>
    <w:rsid w:val="00727D91"/>
    <w:rsid w:val="00727E44"/>
    <w:rsid w:val="00730152"/>
    <w:rsid w:val="007301B7"/>
    <w:rsid w:val="0073071A"/>
    <w:rsid w:val="00730DD2"/>
    <w:rsid w:val="007310E4"/>
    <w:rsid w:val="00731129"/>
    <w:rsid w:val="00732732"/>
    <w:rsid w:val="0073314B"/>
    <w:rsid w:val="007335B2"/>
    <w:rsid w:val="00733934"/>
    <w:rsid w:val="0073397C"/>
    <w:rsid w:val="007339AA"/>
    <w:rsid w:val="00734051"/>
    <w:rsid w:val="00734519"/>
    <w:rsid w:val="0073458B"/>
    <w:rsid w:val="00734B84"/>
    <w:rsid w:val="00734E73"/>
    <w:rsid w:val="007350C9"/>
    <w:rsid w:val="00735103"/>
    <w:rsid w:val="00735735"/>
    <w:rsid w:val="007357CE"/>
    <w:rsid w:val="00735EBF"/>
    <w:rsid w:val="00736342"/>
    <w:rsid w:val="007365ED"/>
    <w:rsid w:val="00736927"/>
    <w:rsid w:val="00737A4B"/>
    <w:rsid w:val="00737D53"/>
    <w:rsid w:val="00740008"/>
    <w:rsid w:val="007405AF"/>
    <w:rsid w:val="00741255"/>
    <w:rsid w:val="00741355"/>
    <w:rsid w:val="00741C56"/>
    <w:rsid w:val="00741C83"/>
    <w:rsid w:val="00741E9A"/>
    <w:rsid w:val="00742891"/>
    <w:rsid w:val="00742C3D"/>
    <w:rsid w:val="00742DAD"/>
    <w:rsid w:val="00742E52"/>
    <w:rsid w:val="0074311B"/>
    <w:rsid w:val="00743455"/>
    <w:rsid w:val="007435B8"/>
    <w:rsid w:val="007444AE"/>
    <w:rsid w:val="007447C6"/>
    <w:rsid w:val="007449FE"/>
    <w:rsid w:val="00744CEC"/>
    <w:rsid w:val="0074514B"/>
    <w:rsid w:val="0074552E"/>
    <w:rsid w:val="00745A05"/>
    <w:rsid w:val="00745F8E"/>
    <w:rsid w:val="0074618B"/>
    <w:rsid w:val="00746564"/>
    <w:rsid w:val="00746721"/>
    <w:rsid w:val="00747741"/>
    <w:rsid w:val="007505F4"/>
    <w:rsid w:val="00750635"/>
    <w:rsid w:val="00750979"/>
    <w:rsid w:val="00751313"/>
    <w:rsid w:val="007514AA"/>
    <w:rsid w:val="00751741"/>
    <w:rsid w:val="00751760"/>
    <w:rsid w:val="007518C9"/>
    <w:rsid w:val="0075218A"/>
    <w:rsid w:val="00752238"/>
    <w:rsid w:val="00752DE0"/>
    <w:rsid w:val="00752E14"/>
    <w:rsid w:val="00753C9D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D42"/>
    <w:rsid w:val="007623B0"/>
    <w:rsid w:val="00762527"/>
    <w:rsid w:val="00762A7D"/>
    <w:rsid w:val="007636DF"/>
    <w:rsid w:val="00763809"/>
    <w:rsid w:val="00763B9E"/>
    <w:rsid w:val="00764588"/>
    <w:rsid w:val="007648FE"/>
    <w:rsid w:val="00764B39"/>
    <w:rsid w:val="007664EA"/>
    <w:rsid w:val="007667C4"/>
    <w:rsid w:val="00766D35"/>
    <w:rsid w:val="007670FC"/>
    <w:rsid w:val="00767282"/>
    <w:rsid w:val="007678B9"/>
    <w:rsid w:val="00767DDD"/>
    <w:rsid w:val="00767F7F"/>
    <w:rsid w:val="00767FFD"/>
    <w:rsid w:val="007703EA"/>
    <w:rsid w:val="00770B47"/>
    <w:rsid w:val="00770C49"/>
    <w:rsid w:val="0077130E"/>
    <w:rsid w:val="007713D7"/>
    <w:rsid w:val="00771BF6"/>
    <w:rsid w:val="0077249A"/>
    <w:rsid w:val="0077262C"/>
    <w:rsid w:val="00772742"/>
    <w:rsid w:val="00772A29"/>
    <w:rsid w:val="00773B3E"/>
    <w:rsid w:val="00773E65"/>
    <w:rsid w:val="007741B0"/>
    <w:rsid w:val="007745D3"/>
    <w:rsid w:val="007746DC"/>
    <w:rsid w:val="00774997"/>
    <w:rsid w:val="00774D8F"/>
    <w:rsid w:val="0077558B"/>
    <w:rsid w:val="007756E4"/>
    <w:rsid w:val="007767E8"/>
    <w:rsid w:val="00776874"/>
    <w:rsid w:val="0077726C"/>
    <w:rsid w:val="00777AAB"/>
    <w:rsid w:val="00777E87"/>
    <w:rsid w:val="007804BC"/>
    <w:rsid w:val="00780FF9"/>
    <w:rsid w:val="00781A7B"/>
    <w:rsid w:val="0078212B"/>
    <w:rsid w:val="0078285C"/>
    <w:rsid w:val="00782B30"/>
    <w:rsid w:val="00782B87"/>
    <w:rsid w:val="00782BD4"/>
    <w:rsid w:val="00782F10"/>
    <w:rsid w:val="007839DF"/>
    <w:rsid w:val="00783A36"/>
    <w:rsid w:val="007845D4"/>
    <w:rsid w:val="00784DF0"/>
    <w:rsid w:val="00785A38"/>
    <w:rsid w:val="00785C2A"/>
    <w:rsid w:val="0078668F"/>
    <w:rsid w:val="0078700E"/>
    <w:rsid w:val="00787339"/>
    <w:rsid w:val="00787B59"/>
    <w:rsid w:val="00787BD9"/>
    <w:rsid w:val="0079009F"/>
    <w:rsid w:val="007900A9"/>
    <w:rsid w:val="00790225"/>
    <w:rsid w:val="007905FD"/>
    <w:rsid w:val="007910C3"/>
    <w:rsid w:val="00791110"/>
    <w:rsid w:val="00791250"/>
    <w:rsid w:val="0079150D"/>
    <w:rsid w:val="0079171B"/>
    <w:rsid w:val="00791AD3"/>
    <w:rsid w:val="00791DE1"/>
    <w:rsid w:val="00793181"/>
    <w:rsid w:val="0079356B"/>
    <w:rsid w:val="007936BD"/>
    <w:rsid w:val="007936C1"/>
    <w:rsid w:val="00793D45"/>
    <w:rsid w:val="00794363"/>
    <w:rsid w:val="007952FD"/>
    <w:rsid w:val="007956EF"/>
    <w:rsid w:val="00795E20"/>
    <w:rsid w:val="00796787"/>
    <w:rsid w:val="007975BD"/>
    <w:rsid w:val="00797B7E"/>
    <w:rsid w:val="00797C7E"/>
    <w:rsid w:val="007A012C"/>
    <w:rsid w:val="007A05A2"/>
    <w:rsid w:val="007A10D6"/>
    <w:rsid w:val="007A12EE"/>
    <w:rsid w:val="007A138C"/>
    <w:rsid w:val="007A1834"/>
    <w:rsid w:val="007A1856"/>
    <w:rsid w:val="007A1E52"/>
    <w:rsid w:val="007A249C"/>
    <w:rsid w:val="007A2A4D"/>
    <w:rsid w:val="007A316C"/>
    <w:rsid w:val="007A31B2"/>
    <w:rsid w:val="007A3629"/>
    <w:rsid w:val="007A385C"/>
    <w:rsid w:val="007A38F5"/>
    <w:rsid w:val="007A398F"/>
    <w:rsid w:val="007A3A6F"/>
    <w:rsid w:val="007A3D24"/>
    <w:rsid w:val="007A4860"/>
    <w:rsid w:val="007A4C9A"/>
    <w:rsid w:val="007A4CAF"/>
    <w:rsid w:val="007A4F7B"/>
    <w:rsid w:val="007A4FB6"/>
    <w:rsid w:val="007A61E4"/>
    <w:rsid w:val="007A62AC"/>
    <w:rsid w:val="007A6E82"/>
    <w:rsid w:val="007A704A"/>
    <w:rsid w:val="007A7242"/>
    <w:rsid w:val="007B0E50"/>
    <w:rsid w:val="007B12B0"/>
    <w:rsid w:val="007B1392"/>
    <w:rsid w:val="007B1785"/>
    <w:rsid w:val="007B215A"/>
    <w:rsid w:val="007B22DC"/>
    <w:rsid w:val="007B24F0"/>
    <w:rsid w:val="007B2533"/>
    <w:rsid w:val="007B34DC"/>
    <w:rsid w:val="007B3A98"/>
    <w:rsid w:val="007B4008"/>
    <w:rsid w:val="007B46D2"/>
    <w:rsid w:val="007B4767"/>
    <w:rsid w:val="007B47FE"/>
    <w:rsid w:val="007B49C4"/>
    <w:rsid w:val="007B4D74"/>
    <w:rsid w:val="007B4DC6"/>
    <w:rsid w:val="007B4EB9"/>
    <w:rsid w:val="007B5132"/>
    <w:rsid w:val="007B69E8"/>
    <w:rsid w:val="007B6C17"/>
    <w:rsid w:val="007B742E"/>
    <w:rsid w:val="007B743C"/>
    <w:rsid w:val="007B7A60"/>
    <w:rsid w:val="007C0165"/>
    <w:rsid w:val="007C048B"/>
    <w:rsid w:val="007C0508"/>
    <w:rsid w:val="007C057E"/>
    <w:rsid w:val="007C1541"/>
    <w:rsid w:val="007C19DF"/>
    <w:rsid w:val="007C25F8"/>
    <w:rsid w:val="007C3FFC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193"/>
    <w:rsid w:val="007C6900"/>
    <w:rsid w:val="007C69A9"/>
    <w:rsid w:val="007C6C60"/>
    <w:rsid w:val="007C6D07"/>
    <w:rsid w:val="007C745C"/>
    <w:rsid w:val="007C7578"/>
    <w:rsid w:val="007C7D08"/>
    <w:rsid w:val="007C7D92"/>
    <w:rsid w:val="007C7E7C"/>
    <w:rsid w:val="007C7F4C"/>
    <w:rsid w:val="007D065E"/>
    <w:rsid w:val="007D0A94"/>
    <w:rsid w:val="007D0B22"/>
    <w:rsid w:val="007D0BD6"/>
    <w:rsid w:val="007D0D5B"/>
    <w:rsid w:val="007D143D"/>
    <w:rsid w:val="007D25B9"/>
    <w:rsid w:val="007D2BE8"/>
    <w:rsid w:val="007D3066"/>
    <w:rsid w:val="007D421B"/>
    <w:rsid w:val="007D4440"/>
    <w:rsid w:val="007D4490"/>
    <w:rsid w:val="007D4579"/>
    <w:rsid w:val="007D4B7A"/>
    <w:rsid w:val="007D51EB"/>
    <w:rsid w:val="007D563E"/>
    <w:rsid w:val="007D58BB"/>
    <w:rsid w:val="007D649D"/>
    <w:rsid w:val="007D6835"/>
    <w:rsid w:val="007D6A93"/>
    <w:rsid w:val="007D6D4D"/>
    <w:rsid w:val="007D7CDE"/>
    <w:rsid w:val="007D7DC7"/>
    <w:rsid w:val="007E01AF"/>
    <w:rsid w:val="007E0772"/>
    <w:rsid w:val="007E0D31"/>
    <w:rsid w:val="007E0E04"/>
    <w:rsid w:val="007E0EF9"/>
    <w:rsid w:val="007E144C"/>
    <w:rsid w:val="007E1A20"/>
    <w:rsid w:val="007E21D9"/>
    <w:rsid w:val="007E2BDD"/>
    <w:rsid w:val="007E322A"/>
    <w:rsid w:val="007E450C"/>
    <w:rsid w:val="007E45CA"/>
    <w:rsid w:val="007E48C0"/>
    <w:rsid w:val="007E4B3F"/>
    <w:rsid w:val="007E5885"/>
    <w:rsid w:val="007E59A7"/>
    <w:rsid w:val="007E61B7"/>
    <w:rsid w:val="007E64E9"/>
    <w:rsid w:val="007E64FF"/>
    <w:rsid w:val="007E6F62"/>
    <w:rsid w:val="007E6FEA"/>
    <w:rsid w:val="007E715F"/>
    <w:rsid w:val="007E7C7B"/>
    <w:rsid w:val="007E7E0F"/>
    <w:rsid w:val="007E7F8F"/>
    <w:rsid w:val="007F015E"/>
    <w:rsid w:val="007F1160"/>
    <w:rsid w:val="007F1E80"/>
    <w:rsid w:val="007F21B0"/>
    <w:rsid w:val="007F2CEB"/>
    <w:rsid w:val="007F2D47"/>
    <w:rsid w:val="007F2DE9"/>
    <w:rsid w:val="007F341B"/>
    <w:rsid w:val="007F3682"/>
    <w:rsid w:val="007F3A0A"/>
    <w:rsid w:val="007F3AA2"/>
    <w:rsid w:val="007F3B45"/>
    <w:rsid w:val="007F3E3E"/>
    <w:rsid w:val="007F45BB"/>
    <w:rsid w:val="007F489B"/>
    <w:rsid w:val="007F4A9E"/>
    <w:rsid w:val="007F4ABC"/>
    <w:rsid w:val="007F4D45"/>
    <w:rsid w:val="007F510F"/>
    <w:rsid w:val="007F545B"/>
    <w:rsid w:val="007F59B2"/>
    <w:rsid w:val="007F6607"/>
    <w:rsid w:val="007F69C9"/>
    <w:rsid w:val="007F7865"/>
    <w:rsid w:val="007F7FB3"/>
    <w:rsid w:val="0080026A"/>
    <w:rsid w:val="00800340"/>
    <w:rsid w:val="00800590"/>
    <w:rsid w:val="00800953"/>
    <w:rsid w:val="00801255"/>
    <w:rsid w:val="0080137E"/>
    <w:rsid w:val="0080197B"/>
    <w:rsid w:val="00801C1F"/>
    <w:rsid w:val="00801F92"/>
    <w:rsid w:val="008021D3"/>
    <w:rsid w:val="008022AB"/>
    <w:rsid w:val="00802849"/>
    <w:rsid w:val="00802971"/>
    <w:rsid w:val="00802CBF"/>
    <w:rsid w:val="00803692"/>
    <w:rsid w:val="008038E3"/>
    <w:rsid w:val="008038F6"/>
    <w:rsid w:val="00804558"/>
    <w:rsid w:val="008047AE"/>
    <w:rsid w:val="00804B21"/>
    <w:rsid w:val="00805330"/>
    <w:rsid w:val="00805483"/>
    <w:rsid w:val="0080575C"/>
    <w:rsid w:val="0080585D"/>
    <w:rsid w:val="008059A6"/>
    <w:rsid w:val="00805D39"/>
    <w:rsid w:val="00806273"/>
    <w:rsid w:val="0080661F"/>
    <w:rsid w:val="00806EFD"/>
    <w:rsid w:val="00807074"/>
    <w:rsid w:val="008075D1"/>
    <w:rsid w:val="008079A6"/>
    <w:rsid w:val="00807E43"/>
    <w:rsid w:val="00807F69"/>
    <w:rsid w:val="008102C3"/>
    <w:rsid w:val="00810368"/>
    <w:rsid w:val="008108B5"/>
    <w:rsid w:val="00810BE7"/>
    <w:rsid w:val="00810F4A"/>
    <w:rsid w:val="00811336"/>
    <w:rsid w:val="0081165D"/>
    <w:rsid w:val="00811B28"/>
    <w:rsid w:val="00812862"/>
    <w:rsid w:val="00812A7A"/>
    <w:rsid w:val="0081362B"/>
    <w:rsid w:val="0081450B"/>
    <w:rsid w:val="0081467F"/>
    <w:rsid w:val="00815339"/>
    <w:rsid w:val="00815813"/>
    <w:rsid w:val="0081591F"/>
    <w:rsid w:val="00815A99"/>
    <w:rsid w:val="00815E5B"/>
    <w:rsid w:val="008160D1"/>
    <w:rsid w:val="008162B3"/>
    <w:rsid w:val="0081640D"/>
    <w:rsid w:val="0081687A"/>
    <w:rsid w:val="008169A1"/>
    <w:rsid w:val="00820160"/>
    <w:rsid w:val="00820199"/>
    <w:rsid w:val="0082022B"/>
    <w:rsid w:val="00820E0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3E69"/>
    <w:rsid w:val="0082488C"/>
    <w:rsid w:val="008251E7"/>
    <w:rsid w:val="00825417"/>
    <w:rsid w:val="00825795"/>
    <w:rsid w:val="0082593E"/>
    <w:rsid w:val="008262BC"/>
    <w:rsid w:val="008266A2"/>
    <w:rsid w:val="008267AE"/>
    <w:rsid w:val="00826823"/>
    <w:rsid w:val="00826B38"/>
    <w:rsid w:val="00826C54"/>
    <w:rsid w:val="00826E29"/>
    <w:rsid w:val="008274A2"/>
    <w:rsid w:val="00830B33"/>
    <w:rsid w:val="0083118A"/>
    <w:rsid w:val="00831784"/>
    <w:rsid w:val="00832727"/>
    <w:rsid w:val="00832934"/>
    <w:rsid w:val="00832A83"/>
    <w:rsid w:val="008337C1"/>
    <w:rsid w:val="00834F23"/>
    <w:rsid w:val="008353B6"/>
    <w:rsid w:val="00836A67"/>
    <w:rsid w:val="00836CEB"/>
    <w:rsid w:val="00836EC0"/>
    <w:rsid w:val="0083725F"/>
    <w:rsid w:val="00840EAF"/>
    <w:rsid w:val="008416BF"/>
    <w:rsid w:val="008416FD"/>
    <w:rsid w:val="0084188F"/>
    <w:rsid w:val="00841DAA"/>
    <w:rsid w:val="00842659"/>
    <w:rsid w:val="0084271F"/>
    <w:rsid w:val="0084293A"/>
    <w:rsid w:val="0084354C"/>
    <w:rsid w:val="0084375D"/>
    <w:rsid w:val="0084416F"/>
    <w:rsid w:val="00844462"/>
    <w:rsid w:val="008449FE"/>
    <w:rsid w:val="00845515"/>
    <w:rsid w:val="00845520"/>
    <w:rsid w:val="0084568A"/>
    <w:rsid w:val="00845FC4"/>
    <w:rsid w:val="008461B0"/>
    <w:rsid w:val="00846C9F"/>
    <w:rsid w:val="00846D16"/>
    <w:rsid w:val="00846F4C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F5F"/>
    <w:rsid w:val="00852073"/>
    <w:rsid w:val="00852142"/>
    <w:rsid w:val="008528CF"/>
    <w:rsid w:val="00852F2D"/>
    <w:rsid w:val="00853510"/>
    <w:rsid w:val="0085388C"/>
    <w:rsid w:val="008538E7"/>
    <w:rsid w:val="00853E5B"/>
    <w:rsid w:val="00854123"/>
    <w:rsid w:val="008542D1"/>
    <w:rsid w:val="00854351"/>
    <w:rsid w:val="00854465"/>
    <w:rsid w:val="008544BD"/>
    <w:rsid w:val="00854946"/>
    <w:rsid w:val="00854B62"/>
    <w:rsid w:val="00854B77"/>
    <w:rsid w:val="00854E58"/>
    <w:rsid w:val="00854E69"/>
    <w:rsid w:val="008558ED"/>
    <w:rsid w:val="00855CFC"/>
    <w:rsid w:val="00855FD5"/>
    <w:rsid w:val="00856049"/>
    <w:rsid w:val="0085632A"/>
    <w:rsid w:val="00856565"/>
    <w:rsid w:val="008568BB"/>
    <w:rsid w:val="00856E96"/>
    <w:rsid w:val="00857287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9CD"/>
    <w:rsid w:val="00862EFD"/>
    <w:rsid w:val="008638FB"/>
    <w:rsid w:val="0086444C"/>
    <w:rsid w:val="008644B1"/>
    <w:rsid w:val="00864768"/>
    <w:rsid w:val="008658AB"/>
    <w:rsid w:val="00865B18"/>
    <w:rsid w:val="0086672E"/>
    <w:rsid w:val="00866CF2"/>
    <w:rsid w:val="008673EB"/>
    <w:rsid w:val="008675EC"/>
    <w:rsid w:val="008679CE"/>
    <w:rsid w:val="00867DA7"/>
    <w:rsid w:val="008705A8"/>
    <w:rsid w:val="0087081A"/>
    <w:rsid w:val="008716AF"/>
    <w:rsid w:val="008718FC"/>
    <w:rsid w:val="00871CC2"/>
    <w:rsid w:val="00871F4F"/>
    <w:rsid w:val="0087200D"/>
    <w:rsid w:val="00872131"/>
    <w:rsid w:val="008723B8"/>
    <w:rsid w:val="008725F5"/>
    <w:rsid w:val="008726CD"/>
    <w:rsid w:val="00873147"/>
    <w:rsid w:val="0087323D"/>
    <w:rsid w:val="00873664"/>
    <w:rsid w:val="00873C1E"/>
    <w:rsid w:val="00873CD6"/>
    <w:rsid w:val="00873DE6"/>
    <w:rsid w:val="00873FBF"/>
    <w:rsid w:val="00874178"/>
    <w:rsid w:val="00874272"/>
    <w:rsid w:val="008743DF"/>
    <w:rsid w:val="0087477C"/>
    <w:rsid w:val="00874C66"/>
    <w:rsid w:val="00874F67"/>
    <w:rsid w:val="008752D6"/>
    <w:rsid w:val="00875A1A"/>
    <w:rsid w:val="00875F4F"/>
    <w:rsid w:val="008762D8"/>
    <w:rsid w:val="008772D9"/>
    <w:rsid w:val="00877B15"/>
    <w:rsid w:val="00877B29"/>
    <w:rsid w:val="008808B9"/>
    <w:rsid w:val="00880B30"/>
    <w:rsid w:val="00880F1D"/>
    <w:rsid w:val="00881662"/>
    <w:rsid w:val="0088172A"/>
    <w:rsid w:val="0088193D"/>
    <w:rsid w:val="00881F90"/>
    <w:rsid w:val="00883ADB"/>
    <w:rsid w:val="008851C4"/>
    <w:rsid w:val="00885696"/>
    <w:rsid w:val="0088570A"/>
    <w:rsid w:val="00885E9D"/>
    <w:rsid w:val="0088636E"/>
    <w:rsid w:val="008864A7"/>
    <w:rsid w:val="0088666A"/>
    <w:rsid w:val="0088688A"/>
    <w:rsid w:val="00886A9E"/>
    <w:rsid w:val="00886DC9"/>
    <w:rsid w:val="00886E1E"/>
    <w:rsid w:val="00886EC7"/>
    <w:rsid w:val="00887184"/>
    <w:rsid w:val="008879EA"/>
    <w:rsid w:val="00890139"/>
    <w:rsid w:val="008912C7"/>
    <w:rsid w:val="008913EF"/>
    <w:rsid w:val="0089160E"/>
    <w:rsid w:val="008921B1"/>
    <w:rsid w:val="00892687"/>
    <w:rsid w:val="0089297E"/>
    <w:rsid w:val="008929B9"/>
    <w:rsid w:val="00893386"/>
    <w:rsid w:val="0089363C"/>
    <w:rsid w:val="00893657"/>
    <w:rsid w:val="00893671"/>
    <w:rsid w:val="008938BB"/>
    <w:rsid w:val="00893985"/>
    <w:rsid w:val="008941FB"/>
    <w:rsid w:val="00894565"/>
    <w:rsid w:val="00894A55"/>
    <w:rsid w:val="00894CC8"/>
    <w:rsid w:val="008950D6"/>
    <w:rsid w:val="00895B46"/>
    <w:rsid w:val="00896474"/>
    <w:rsid w:val="00896DBC"/>
    <w:rsid w:val="00897B59"/>
    <w:rsid w:val="00897C6C"/>
    <w:rsid w:val="00897D1A"/>
    <w:rsid w:val="008A0300"/>
    <w:rsid w:val="008A0905"/>
    <w:rsid w:val="008A0B02"/>
    <w:rsid w:val="008A0E0D"/>
    <w:rsid w:val="008A10C7"/>
    <w:rsid w:val="008A155C"/>
    <w:rsid w:val="008A1721"/>
    <w:rsid w:val="008A180E"/>
    <w:rsid w:val="008A197C"/>
    <w:rsid w:val="008A20AD"/>
    <w:rsid w:val="008A2545"/>
    <w:rsid w:val="008A2636"/>
    <w:rsid w:val="008A35DB"/>
    <w:rsid w:val="008A35E0"/>
    <w:rsid w:val="008A3AF9"/>
    <w:rsid w:val="008A3FBE"/>
    <w:rsid w:val="008A4013"/>
    <w:rsid w:val="008A483D"/>
    <w:rsid w:val="008A4BC9"/>
    <w:rsid w:val="008A4C9C"/>
    <w:rsid w:val="008A5CA0"/>
    <w:rsid w:val="008A6041"/>
    <w:rsid w:val="008A60F8"/>
    <w:rsid w:val="008A654D"/>
    <w:rsid w:val="008A69FE"/>
    <w:rsid w:val="008A6EC7"/>
    <w:rsid w:val="008A6F36"/>
    <w:rsid w:val="008A7286"/>
    <w:rsid w:val="008A7B50"/>
    <w:rsid w:val="008A7D72"/>
    <w:rsid w:val="008B0641"/>
    <w:rsid w:val="008B0EB7"/>
    <w:rsid w:val="008B138E"/>
    <w:rsid w:val="008B17C5"/>
    <w:rsid w:val="008B1C78"/>
    <w:rsid w:val="008B1F87"/>
    <w:rsid w:val="008B2482"/>
    <w:rsid w:val="008B28BD"/>
    <w:rsid w:val="008B2E96"/>
    <w:rsid w:val="008B2F53"/>
    <w:rsid w:val="008B3006"/>
    <w:rsid w:val="008B3139"/>
    <w:rsid w:val="008B3B50"/>
    <w:rsid w:val="008B3D47"/>
    <w:rsid w:val="008B3D8F"/>
    <w:rsid w:val="008B44CB"/>
    <w:rsid w:val="008B46D2"/>
    <w:rsid w:val="008B51CB"/>
    <w:rsid w:val="008B5253"/>
    <w:rsid w:val="008B53D8"/>
    <w:rsid w:val="008B5B1B"/>
    <w:rsid w:val="008B5F6A"/>
    <w:rsid w:val="008B63BE"/>
    <w:rsid w:val="008B640E"/>
    <w:rsid w:val="008B6505"/>
    <w:rsid w:val="008B688D"/>
    <w:rsid w:val="008B70EE"/>
    <w:rsid w:val="008B715C"/>
    <w:rsid w:val="008B75B8"/>
    <w:rsid w:val="008C0EAD"/>
    <w:rsid w:val="008C1442"/>
    <w:rsid w:val="008C1693"/>
    <w:rsid w:val="008C19D9"/>
    <w:rsid w:val="008C1A5E"/>
    <w:rsid w:val="008C1A81"/>
    <w:rsid w:val="008C1E01"/>
    <w:rsid w:val="008C2760"/>
    <w:rsid w:val="008C29FE"/>
    <w:rsid w:val="008C32CA"/>
    <w:rsid w:val="008C3967"/>
    <w:rsid w:val="008C431E"/>
    <w:rsid w:val="008C50E5"/>
    <w:rsid w:val="008C54BD"/>
    <w:rsid w:val="008C54C4"/>
    <w:rsid w:val="008C6056"/>
    <w:rsid w:val="008C6628"/>
    <w:rsid w:val="008C69C9"/>
    <w:rsid w:val="008C6E38"/>
    <w:rsid w:val="008C6F75"/>
    <w:rsid w:val="008C742B"/>
    <w:rsid w:val="008C78F6"/>
    <w:rsid w:val="008C7C18"/>
    <w:rsid w:val="008C7CC4"/>
    <w:rsid w:val="008D0385"/>
    <w:rsid w:val="008D047D"/>
    <w:rsid w:val="008D0B4C"/>
    <w:rsid w:val="008D14C4"/>
    <w:rsid w:val="008D1964"/>
    <w:rsid w:val="008D221A"/>
    <w:rsid w:val="008D24D6"/>
    <w:rsid w:val="008D24E1"/>
    <w:rsid w:val="008D3E6A"/>
    <w:rsid w:val="008D4413"/>
    <w:rsid w:val="008D47EE"/>
    <w:rsid w:val="008D50CE"/>
    <w:rsid w:val="008D53E2"/>
    <w:rsid w:val="008D5908"/>
    <w:rsid w:val="008D5A71"/>
    <w:rsid w:val="008D5AF1"/>
    <w:rsid w:val="008D6A6E"/>
    <w:rsid w:val="008D6B72"/>
    <w:rsid w:val="008D758F"/>
    <w:rsid w:val="008D781F"/>
    <w:rsid w:val="008D7DBE"/>
    <w:rsid w:val="008E02B7"/>
    <w:rsid w:val="008E0AED"/>
    <w:rsid w:val="008E20BE"/>
    <w:rsid w:val="008E241B"/>
    <w:rsid w:val="008E3096"/>
    <w:rsid w:val="008E330C"/>
    <w:rsid w:val="008E332F"/>
    <w:rsid w:val="008E4114"/>
    <w:rsid w:val="008E45EA"/>
    <w:rsid w:val="008E4A1A"/>
    <w:rsid w:val="008E4A3D"/>
    <w:rsid w:val="008E5E01"/>
    <w:rsid w:val="008E69A3"/>
    <w:rsid w:val="008E7CC9"/>
    <w:rsid w:val="008F02A1"/>
    <w:rsid w:val="008F0E69"/>
    <w:rsid w:val="008F12FF"/>
    <w:rsid w:val="008F1462"/>
    <w:rsid w:val="008F3B19"/>
    <w:rsid w:val="008F3D3E"/>
    <w:rsid w:val="008F3F31"/>
    <w:rsid w:val="008F4655"/>
    <w:rsid w:val="008F4779"/>
    <w:rsid w:val="008F51F6"/>
    <w:rsid w:val="008F542B"/>
    <w:rsid w:val="008F543C"/>
    <w:rsid w:val="008F5670"/>
    <w:rsid w:val="008F599F"/>
    <w:rsid w:val="008F5A5E"/>
    <w:rsid w:val="008F63DF"/>
    <w:rsid w:val="008F64E5"/>
    <w:rsid w:val="008F677E"/>
    <w:rsid w:val="008F6B78"/>
    <w:rsid w:val="008F7282"/>
    <w:rsid w:val="008F7C28"/>
    <w:rsid w:val="0090034D"/>
    <w:rsid w:val="0090069D"/>
    <w:rsid w:val="00900821"/>
    <w:rsid w:val="00900EC7"/>
    <w:rsid w:val="00900FFC"/>
    <w:rsid w:val="009011F9"/>
    <w:rsid w:val="00901244"/>
    <w:rsid w:val="00901979"/>
    <w:rsid w:val="00902357"/>
    <w:rsid w:val="0090242A"/>
    <w:rsid w:val="00902C63"/>
    <w:rsid w:val="00902C85"/>
    <w:rsid w:val="009030F7"/>
    <w:rsid w:val="009034D9"/>
    <w:rsid w:val="009046C9"/>
    <w:rsid w:val="009046F1"/>
    <w:rsid w:val="00904883"/>
    <w:rsid w:val="00904B0A"/>
    <w:rsid w:val="00904F84"/>
    <w:rsid w:val="0090538A"/>
    <w:rsid w:val="009055DD"/>
    <w:rsid w:val="00906052"/>
    <w:rsid w:val="0090616A"/>
    <w:rsid w:val="00906527"/>
    <w:rsid w:val="00906BD9"/>
    <w:rsid w:val="00906EA0"/>
    <w:rsid w:val="009077DE"/>
    <w:rsid w:val="00907F4C"/>
    <w:rsid w:val="0091006A"/>
    <w:rsid w:val="009100E1"/>
    <w:rsid w:val="00910B57"/>
    <w:rsid w:val="00910F5A"/>
    <w:rsid w:val="0091148A"/>
    <w:rsid w:val="00912347"/>
    <w:rsid w:val="00912572"/>
    <w:rsid w:val="0091268D"/>
    <w:rsid w:val="0091274E"/>
    <w:rsid w:val="009128F7"/>
    <w:rsid w:val="009129C1"/>
    <w:rsid w:val="00913B74"/>
    <w:rsid w:val="00913EBB"/>
    <w:rsid w:val="009141BB"/>
    <w:rsid w:val="00914B55"/>
    <w:rsid w:val="00914DC4"/>
    <w:rsid w:val="00914E66"/>
    <w:rsid w:val="00915329"/>
    <w:rsid w:val="0091588C"/>
    <w:rsid w:val="00915DB5"/>
    <w:rsid w:val="00915DF4"/>
    <w:rsid w:val="00916068"/>
    <w:rsid w:val="009168D6"/>
    <w:rsid w:val="00916BF5"/>
    <w:rsid w:val="00916CA9"/>
    <w:rsid w:val="00916CCB"/>
    <w:rsid w:val="00917DB8"/>
    <w:rsid w:val="00920EC8"/>
    <w:rsid w:val="00920F9A"/>
    <w:rsid w:val="00921102"/>
    <w:rsid w:val="00921305"/>
    <w:rsid w:val="00921783"/>
    <w:rsid w:val="009217D9"/>
    <w:rsid w:val="00921AC8"/>
    <w:rsid w:val="00921EC6"/>
    <w:rsid w:val="0092206F"/>
    <w:rsid w:val="00922482"/>
    <w:rsid w:val="00922935"/>
    <w:rsid w:val="00922A2B"/>
    <w:rsid w:val="00922C1F"/>
    <w:rsid w:val="00922E63"/>
    <w:rsid w:val="009244C9"/>
    <w:rsid w:val="00924862"/>
    <w:rsid w:val="00924A6C"/>
    <w:rsid w:val="00924ED4"/>
    <w:rsid w:val="00924F63"/>
    <w:rsid w:val="009271AB"/>
    <w:rsid w:val="00927281"/>
    <w:rsid w:val="009273B8"/>
    <w:rsid w:val="009276FA"/>
    <w:rsid w:val="00927A20"/>
    <w:rsid w:val="00930298"/>
    <w:rsid w:val="009302A6"/>
    <w:rsid w:val="00931325"/>
    <w:rsid w:val="009319DC"/>
    <w:rsid w:val="00931AAD"/>
    <w:rsid w:val="00931E6D"/>
    <w:rsid w:val="009326C8"/>
    <w:rsid w:val="009327F0"/>
    <w:rsid w:val="00932D04"/>
    <w:rsid w:val="00932E9E"/>
    <w:rsid w:val="00933B8A"/>
    <w:rsid w:val="00934141"/>
    <w:rsid w:val="009341AA"/>
    <w:rsid w:val="0093429A"/>
    <w:rsid w:val="009352D3"/>
    <w:rsid w:val="009355BB"/>
    <w:rsid w:val="00935789"/>
    <w:rsid w:val="009359C5"/>
    <w:rsid w:val="00935CFA"/>
    <w:rsid w:val="009361E8"/>
    <w:rsid w:val="00936247"/>
    <w:rsid w:val="00936501"/>
    <w:rsid w:val="009366AD"/>
    <w:rsid w:val="009377A1"/>
    <w:rsid w:val="00940850"/>
    <w:rsid w:val="00940B1D"/>
    <w:rsid w:val="00940DA5"/>
    <w:rsid w:val="00941414"/>
    <w:rsid w:val="0094243B"/>
    <w:rsid w:val="009425EB"/>
    <w:rsid w:val="009427D0"/>
    <w:rsid w:val="009428A4"/>
    <w:rsid w:val="00943157"/>
    <w:rsid w:val="0094349D"/>
    <w:rsid w:val="0094368C"/>
    <w:rsid w:val="00943893"/>
    <w:rsid w:val="00944312"/>
    <w:rsid w:val="009443DC"/>
    <w:rsid w:val="00944AE2"/>
    <w:rsid w:val="00944E81"/>
    <w:rsid w:val="0094526B"/>
    <w:rsid w:val="009456EB"/>
    <w:rsid w:val="00945E7E"/>
    <w:rsid w:val="00945E8F"/>
    <w:rsid w:val="009463FD"/>
    <w:rsid w:val="009467FD"/>
    <w:rsid w:val="00946D2E"/>
    <w:rsid w:val="00946E64"/>
    <w:rsid w:val="009472F6"/>
    <w:rsid w:val="0094783F"/>
    <w:rsid w:val="009503E3"/>
    <w:rsid w:val="0095042E"/>
    <w:rsid w:val="0095067F"/>
    <w:rsid w:val="00950B18"/>
    <w:rsid w:val="00950C55"/>
    <w:rsid w:val="00950CB3"/>
    <w:rsid w:val="00952303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67"/>
    <w:rsid w:val="00955AA9"/>
    <w:rsid w:val="00955AB2"/>
    <w:rsid w:val="00955E60"/>
    <w:rsid w:val="00955EC8"/>
    <w:rsid w:val="009560C5"/>
    <w:rsid w:val="0095699A"/>
    <w:rsid w:val="00956B34"/>
    <w:rsid w:val="0095702D"/>
    <w:rsid w:val="009571A6"/>
    <w:rsid w:val="0095752A"/>
    <w:rsid w:val="009575E3"/>
    <w:rsid w:val="009577C1"/>
    <w:rsid w:val="009602BA"/>
    <w:rsid w:val="00960EBB"/>
    <w:rsid w:val="009615D7"/>
    <w:rsid w:val="00961778"/>
    <w:rsid w:val="0096281D"/>
    <w:rsid w:val="00962D17"/>
    <w:rsid w:val="00963D17"/>
    <w:rsid w:val="00963D45"/>
    <w:rsid w:val="009640B5"/>
    <w:rsid w:val="00964459"/>
    <w:rsid w:val="009657D5"/>
    <w:rsid w:val="00965896"/>
    <w:rsid w:val="00965E7A"/>
    <w:rsid w:val="00965F9F"/>
    <w:rsid w:val="00966141"/>
    <w:rsid w:val="009662EC"/>
    <w:rsid w:val="00966611"/>
    <w:rsid w:val="009669CC"/>
    <w:rsid w:val="00967655"/>
    <w:rsid w:val="00967E88"/>
    <w:rsid w:val="0097013D"/>
    <w:rsid w:val="00970418"/>
    <w:rsid w:val="00970F12"/>
    <w:rsid w:val="009710BF"/>
    <w:rsid w:val="00971874"/>
    <w:rsid w:val="00971906"/>
    <w:rsid w:val="00971F83"/>
    <w:rsid w:val="00972061"/>
    <w:rsid w:val="0097245C"/>
    <w:rsid w:val="009725FE"/>
    <w:rsid w:val="00972646"/>
    <w:rsid w:val="0097282B"/>
    <w:rsid w:val="00972DAC"/>
    <w:rsid w:val="0097305C"/>
    <w:rsid w:val="00973A35"/>
    <w:rsid w:val="0097411E"/>
    <w:rsid w:val="0097484C"/>
    <w:rsid w:val="00974A1E"/>
    <w:rsid w:val="00974A34"/>
    <w:rsid w:val="0097559A"/>
    <w:rsid w:val="00975836"/>
    <w:rsid w:val="00975D48"/>
    <w:rsid w:val="0097623F"/>
    <w:rsid w:val="009763C0"/>
    <w:rsid w:val="00976546"/>
    <w:rsid w:val="00976FCF"/>
    <w:rsid w:val="00977487"/>
    <w:rsid w:val="00980A44"/>
    <w:rsid w:val="00980BAC"/>
    <w:rsid w:val="00980C74"/>
    <w:rsid w:val="00980DF0"/>
    <w:rsid w:val="00980F3F"/>
    <w:rsid w:val="00981D1C"/>
    <w:rsid w:val="00982214"/>
    <w:rsid w:val="009823D4"/>
    <w:rsid w:val="00982474"/>
    <w:rsid w:val="00983285"/>
    <w:rsid w:val="00984184"/>
    <w:rsid w:val="00984672"/>
    <w:rsid w:val="00984F97"/>
    <w:rsid w:val="00984F9D"/>
    <w:rsid w:val="0098569D"/>
    <w:rsid w:val="00985A09"/>
    <w:rsid w:val="00986277"/>
    <w:rsid w:val="009866A3"/>
    <w:rsid w:val="0098693D"/>
    <w:rsid w:val="00987689"/>
    <w:rsid w:val="00990343"/>
    <w:rsid w:val="009905E1"/>
    <w:rsid w:val="0099064C"/>
    <w:rsid w:val="0099078A"/>
    <w:rsid w:val="0099097F"/>
    <w:rsid w:val="009913B6"/>
    <w:rsid w:val="00992097"/>
    <w:rsid w:val="00992574"/>
    <w:rsid w:val="00992869"/>
    <w:rsid w:val="00992914"/>
    <w:rsid w:val="00992C47"/>
    <w:rsid w:val="00993776"/>
    <w:rsid w:val="00993832"/>
    <w:rsid w:val="00993A6C"/>
    <w:rsid w:val="00993F15"/>
    <w:rsid w:val="009944B9"/>
    <w:rsid w:val="009947D5"/>
    <w:rsid w:val="00994B69"/>
    <w:rsid w:val="00994BB2"/>
    <w:rsid w:val="00994D7B"/>
    <w:rsid w:val="00994E90"/>
    <w:rsid w:val="0099522A"/>
    <w:rsid w:val="0099551B"/>
    <w:rsid w:val="009955E2"/>
    <w:rsid w:val="00995629"/>
    <w:rsid w:val="009959A5"/>
    <w:rsid w:val="00995C16"/>
    <w:rsid w:val="0099625A"/>
    <w:rsid w:val="009965BC"/>
    <w:rsid w:val="0099662E"/>
    <w:rsid w:val="00996D99"/>
    <w:rsid w:val="00997258"/>
    <w:rsid w:val="00997C19"/>
    <w:rsid w:val="009A0207"/>
    <w:rsid w:val="009A0415"/>
    <w:rsid w:val="009A04CD"/>
    <w:rsid w:val="009A177E"/>
    <w:rsid w:val="009A1AE9"/>
    <w:rsid w:val="009A22E6"/>
    <w:rsid w:val="009A2486"/>
    <w:rsid w:val="009A2690"/>
    <w:rsid w:val="009A26AE"/>
    <w:rsid w:val="009A3307"/>
    <w:rsid w:val="009A3520"/>
    <w:rsid w:val="009A3547"/>
    <w:rsid w:val="009A39FF"/>
    <w:rsid w:val="009A3CB5"/>
    <w:rsid w:val="009A3EAF"/>
    <w:rsid w:val="009A3F33"/>
    <w:rsid w:val="009A42E8"/>
    <w:rsid w:val="009A54AD"/>
    <w:rsid w:val="009A5501"/>
    <w:rsid w:val="009A5AE0"/>
    <w:rsid w:val="009A6621"/>
    <w:rsid w:val="009A6AEA"/>
    <w:rsid w:val="009A6CC5"/>
    <w:rsid w:val="009B1F3A"/>
    <w:rsid w:val="009B26AA"/>
    <w:rsid w:val="009B2766"/>
    <w:rsid w:val="009B32F0"/>
    <w:rsid w:val="009B3EB4"/>
    <w:rsid w:val="009B3F21"/>
    <w:rsid w:val="009B42BE"/>
    <w:rsid w:val="009B5973"/>
    <w:rsid w:val="009B5B48"/>
    <w:rsid w:val="009B62E6"/>
    <w:rsid w:val="009B67C4"/>
    <w:rsid w:val="009B6A3F"/>
    <w:rsid w:val="009B6C5A"/>
    <w:rsid w:val="009B71E1"/>
    <w:rsid w:val="009B775D"/>
    <w:rsid w:val="009C0448"/>
    <w:rsid w:val="009C0615"/>
    <w:rsid w:val="009C0CF8"/>
    <w:rsid w:val="009C125A"/>
    <w:rsid w:val="009C1EB2"/>
    <w:rsid w:val="009C2675"/>
    <w:rsid w:val="009C2839"/>
    <w:rsid w:val="009C2DC4"/>
    <w:rsid w:val="009C3042"/>
    <w:rsid w:val="009C386A"/>
    <w:rsid w:val="009C3DD2"/>
    <w:rsid w:val="009C3E9C"/>
    <w:rsid w:val="009C4A32"/>
    <w:rsid w:val="009C4E12"/>
    <w:rsid w:val="009C63AB"/>
    <w:rsid w:val="009C69D0"/>
    <w:rsid w:val="009C69F4"/>
    <w:rsid w:val="009C7163"/>
    <w:rsid w:val="009C73E5"/>
    <w:rsid w:val="009C75B3"/>
    <w:rsid w:val="009C761D"/>
    <w:rsid w:val="009C77A3"/>
    <w:rsid w:val="009D1082"/>
    <w:rsid w:val="009D11A2"/>
    <w:rsid w:val="009D187E"/>
    <w:rsid w:val="009D20AC"/>
    <w:rsid w:val="009D20C9"/>
    <w:rsid w:val="009D21C8"/>
    <w:rsid w:val="009D26D8"/>
    <w:rsid w:val="009D3099"/>
    <w:rsid w:val="009D30F9"/>
    <w:rsid w:val="009D3192"/>
    <w:rsid w:val="009D31C0"/>
    <w:rsid w:val="009D322C"/>
    <w:rsid w:val="009D334F"/>
    <w:rsid w:val="009D372A"/>
    <w:rsid w:val="009D3A26"/>
    <w:rsid w:val="009D3BAC"/>
    <w:rsid w:val="009D3ED3"/>
    <w:rsid w:val="009D3EDD"/>
    <w:rsid w:val="009D48BA"/>
    <w:rsid w:val="009D4B7E"/>
    <w:rsid w:val="009D4D48"/>
    <w:rsid w:val="009D4DC6"/>
    <w:rsid w:val="009D5106"/>
    <w:rsid w:val="009D66B9"/>
    <w:rsid w:val="009D6B77"/>
    <w:rsid w:val="009D6CE1"/>
    <w:rsid w:val="009D7387"/>
    <w:rsid w:val="009D765E"/>
    <w:rsid w:val="009E030C"/>
    <w:rsid w:val="009E1188"/>
    <w:rsid w:val="009E13C3"/>
    <w:rsid w:val="009E14B2"/>
    <w:rsid w:val="009E1D15"/>
    <w:rsid w:val="009E1DFA"/>
    <w:rsid w:val="009E23ED"/>
    <w:rsid w:val="009E26BC"/>
    <w:rsid w:val="009E28C6"/>
    <w:rsid w:val="009E322C"/>
    <w:rsid w:val="009E3352"/>
    <w:rsid w:val="009E3479"/>
    <w:rsid w:val="009E387D"/>
    <w:rsid w:val="009E453D"/>
    <w:rsid w:val="009E5013"/>
    <w:rsid w:val="009E56B0"/>
    <w:rsid w:val="009E5917"/>
    <w:rsid w:val="009E6223"/>
    <w:rsid w:val="009E6DBB"/>
    <w:rsid w:val="009E725F"/>
    <w:rsid w:val="009E79CF"/>
    <w:rsid w:val="009E7F2E"/>
    <w:rsid w:val="009F009C"/>
    <w:rsid w:val="009F0345"/>
    <w:rsid w:val="009F04F2"/>
    <w:rsid w:val="009F0A3E"/>
    <w:rsid w:val="009F0A8F"/>
    <w:rsid w:val="009F0C75"/>
    <w:rsid w:val="009F1D98"/>
    <w:rsid w:val="009F231C"/>
    <w:rsid w:val="009F2512"/>
    <w:rsid w:val="009F2C7D"/>
    <w:rsid w:val="009F40CE"/>
    <w:rsid w:val="009F4BB7"/>
    <w:rsid w:val="009F4CDA"/>
    <w:rsid w:val="009F59BF"/>
    <w:rsid w:val="009F5F68"/>
    <w:rsid w:val="009F7620"/>
    <w:rsid w:val="009F776E"/>
    <w:rsid w:val="009F7A06"/>
    <w:rsid w:val="00A00F42"/>
    <w:rsid w:val="00A011ED"/>
    <w:rsid w:val="00A01519"/>
    <w:rsid w:val="00A0193B"/>
    <w:rsid w:val="00A0195A"/>
    <w:rsid w:val="00A02D3C"/>
    <w:rsid w:val="00A032EA"/>
    <w:rsid w:val="00A0408F"/>
    <w:rsid w:val="00A04E68"/>
    <w:rsid w:val="00A05975"/>
    <w:rsid w:val="00A05EAA"/>
    <w:rsid w:val="00A0608D"/>
    <w:rsid w:val="00A060BE"/>
    <w:rsid w:val="00A0695E"/>
    <w:rsid w:val="00A07D26"/>
    <w:rsid w:val="00A1036E"/>
    <w:rsid w:val="00A104A1"/>
    <w:rsid w:val="00A1097C"/>
    <w:rsid w:val="00A10AC1"/>
    <w:rsid w:val="00A10D80"/>
    <w:rsid w:val="00A10FC7"/>
    <w:rsid w:val="00A11671"/>
    <w:rsid w:val="00A1187C"/>
    <w:rsid w:val="00A1213D"/>
    <w:rsid w:val="00A12CCC"/>
    <w:rsid w:val="00A12D1A"/>
    <w:rsid w:val="00A12E07"/>
    <w:rsid w:val="00A12F3D"/>
    <w:rsid w:val="00A13A4E"/>
    <w:rsid w:val="00A13C82"/>
    <w:rsid w:val="00A15566"/>
    <w:rsid w:val="00A15B2D"/>
    <w:rsid w:val="00A163CD"/>
    <w:rsid w:val="00A1656E"/>
    <w:rsid w:val="00A16778"/>
    <w:rsid w:val="00A16B57"/>
    <w:rsid w:val="00A16F78"/>
    <w:rsid w:val="00A20224"/>
    <w:rsid w:val="00A20AB8"/>
    <w:rsid w:val="00A20ED7"/>
    <w:rsid w:val="00A21424"/>
    <w:rsid w:val="00A21997"/>
    <w:rsid w:val="00A21F6A"/>
    <w:rsid w:val="00A226A0"/>
    <w:rsid w:val="00A23A98"/>
    <w:rsid w:val="00A24217"/>
    <w:rsid w:val="00A244E9"/>
    <w:rsid w:val="00A244FA"/>
    <w:rsid w:val="00A24622"/>
    <w:rsid w:val="00A246A3"/>
    <w:rsid w:val="00A24A5F"/>
    <w:rsid w:val="00A259A8"/>
    <w:rsid w:val="00A25ABB"/>
    <w:rsid w:val="00A25E39"/>
    <w:rsid w:val="00A26112"/>
    <w:rsid w:val="00A267F3"/>
    <w:rsid w:val="00A26827"/>
    <w:rsid w:val="00A26D47"/>
    <w:rsid w:val="00A26DA7"/>
    <w:rsid w:val="00A26F41"/>
    <w:rsid w:val="00A26F88"/>
    <w:rsid w:val="00A275D1"/>
    <w:rsid w:val="00A27B57"/>
    <w:rsid w:val="00A30C9B"/>
    <w:rsid w:val="00A313B3"/>
    <w:rsid w:val="00A31D00"/>
    <w:rsid w:val="00A32051"/>
    <w:rsid w:val="00A32AE0"/>
    <w:rsid w:val="00A32B77"/>
    <w:rsid w:val="00A32BB4"/>
    <w:rsid w:val="00A33CCF"/>
    <w:rsid w:val="00A34861"/>
    <w:rsid w:val="00A3592C"/>
    <w:rsid w:val="00A35D65"/>
    <w:rsid w:val="00A36B68"/>
    <w:rsid w:val="00A36CF6"/>
    <w:rsid w:val="00A36EC5"/>
    <w:rsid w:val="00A37EDA"/>
    <w:rsid w:val="00A4035D"/>
    <w:rsid w:val="00A40AC6"/>
    <w:rsid w:val="00A413A3"/>
    <w:rsid w:val="00A415A0"/>
    <w:rsid w:val="00A42DAB"/>
    <w:rsid w:val="00A42DF7"/>
    <w:rsid w:val="00A43270"/>
    <w:rsid w:val="00A43F81"/>
    <w:rsid w:val="00A44C91"/>
    <w:rsid w:val="00A4539E"/>
    <w:rsid w:val="00A45B61"/>
    <w:rsid w:val="00A46080"/>
    <w:rsid w:val="00A461CB"/>
    <w:rsid w:val="00A46C6C"/>
    <w:rsid w:val="00A46EB1"/>
    <w:rsid w:val="00A47A54"/>
    <w:rsid w:val="00A47C59"/>
    <w:rsid w:val="00A47D9D"/>
    <w:rsid w:val="00A503C2"/>
    <w:rsid w:val="00A50FEC"/>
    <w:rsid w:val="00A51200"/>
    <w:rsid w:val="00A519C4"/>
    <w:rsid w:val="00A51FC3"/>
    <w:rsid w:val="00A532FC"/>
    <w:rsid w:val="00A53624"/>
    <w:rsid w:val="00A54538"/>
    <w:rsid w:val="00A545BD"/>
    <w:rsid w:val="00A54F72"/>
    <w:rsid w:val="00A55B9B"/>
    <w:rsid w:val="00A565B6"/>
    <w:rsid w:val="00A567E2"/>
    <w:rsid w:val="00A56806"/>
    <w:rsid w:val="00A577D4"/>
    <w:rsid w:val="00A57F15"/>
    <w:rsid w:val="00A60066"/>
    <w:rsid w:val="00A600D3"/>
    <w:rsid w:val="00A60179"/>
    <w:rsid w:val="00A60FCD"/>
    <w:rsid w:val="00A611B2"/>
    <w:rsid w:val="00A61782"/>
    <w:rsid w:val="00A61FDA"/>
    <w:rsid w:val="00A6263F"/>
    <w:rsid w:val="00A62FAD"/>
    <w:rsid w:val="00A6383E"/>
    <w:rsid w:val="00A63850"/>
    <w:rsid w:val="00A644DF"/>
    <w:rsid w:val="00A64787"/>
    <w:rsid w:val="00A648E9"/>
    <w:rsid w:val="00A65F4A"/>
    <w:rsid w:val="00A6654A"/>
    <w:rsid w:val="00A66C0D"/>
    <w:rsid w:val="00A6764D"/>
    <w:rsid w:val="00A67934"/>
    <w:rsid w:val="00A67D4A"/>
    <w:rsid w:val="00A67FEB"/>
    <w:rsid w:val="00A703AE"/>
    <w:rsid w:val="00A70415"/>
    <w:rsid w:val="00A709AE"/>
    <w:rsid w:val="00A70DCB"/>
    <w:rsid w:val="00A70E5B"/>
    <w:rsid w:val="00A71FD1"/>
    <w:rsid w:val="00A720C2"/>
    <w:rsid w:val="00A7226F"/>
    <w:rsid w:val="00A7248F"/>
    <w:rsid w:val="00A72733"/>
    <w:rsid w:val="00A72BC8"/>
    <w:rsid w:val="00A72C04"/>
    <w:rsid w:val="00A72E69"/>
    <w:rsid w:val="00A72FE2"/>
    <w:rsid w:val="00A73341"/>
    <w:rsid w:val="00A748ED"/>
    <w:rsid w:val="00A75386"/>
    <w:rsid w:val="00A7593A"/>
    <w:rsid w:val="00A7597F"/>
    <w:rsid w:val="00A75D3F"/>
    <w:rsid w:val="00A75F8A"/>
    <w:rsid w:val="00A768C8"/>
    <w:rsid w:val="00A76C21"/>
    <w:rsid w:val="00A76F74"/>
    <w:rsid w:val="00A77727"/>
    <w:rsid w:val="00A77D91"/>
    <w:rsid w:val="00A8002D"/>
    <w:rsid w:val="00A80172"/>
    <w:rsid w:val="00A8022B"/>
    <w:rsid w:val="00A806A8"/>
    <w:rsid w:val="00A80E45"/>
    <w:rsid w:val="00A80E78"/>
    <w:rsid w:val="00A81A61"/>
    <w:rsid w:val="00A8226A"/>
    <w:rsid w:val="00A82941"/>
    <w:rsid w:val="00A834D6"/>
    <w:rsid w:val="00A83AD0"/>
    <w:rsid w:val="00A83DBC"/>
    <w:rsid w:val="00A842AD"/>
    <w:rsid w:val="00A84746"/>
    <w:rsid w:val="00A847AE"/>
    <w:rsid w:val="00A84D2C"/>
    <w:rsid w:val="00A85084"/>
    <w:rsid w:val="00A851A5"/>
    <w:rsid w:val="00A855FE"/>
    <w:rsid w:val="00A85836"/>
    <w:rsid w:val="00A85E79"/>
    <w:rsid w:val="00A85F29"/>
    <w:rsid w:val="00A8613B"/>
    <w:rsid w:val="00A86203"/>
    <w:rsid w:val="00A86D62"/>
    <w:rsid w:val="00A878F3"/>
    <w:rsid w:val="00A87949"/>
    <w:rsid w:val="00A87982"/>
    <w:rsid w:val="00A87C2F"/>
    <w:rsid w:val="00A90499"/>
    <w:rsid w:val="00A904F2"/>
    <w:rsid w:val="00A90A9D"/>
    <w:rsid w:val="00A911A0"/>
    <w:rsid w:val="00A91363"/>
    <w:rsid w:val="00A91450"/>
    <w:rsid w:val="00A91B63"/>
    <w:rsid w:val="00A920B1"/>
    <w:rsid w:val="00A92564"/>
    <w:rsid w:val="00A92D37"/>
    <w:rsid w:val="00A92DB9"/>
    <w:rsid w:val="00A9319F"/>
    <w:rsid w:val="00A934FE"/>
    <w:rsid w:val="00A93738"/>
    <w:rsid w:val="00A94084"/>
    <w:rsid w:val="00A9446E"/>
    <w:rsid w:val="00A95366"/>
    <w:rsid w:val="00A95599"/>
    <w:rsid w:val="00A95AEF"/>
    <w:rsid w:val="00A963FB"/>
    <w:rsid w:val="00A96852"/>
    <w:rsid w:val="00A96B95"/>
    <w:rsid w:val="00A96F8B"/>
    <w:rsid w:val="00A9791D"/>
    <w:rsid w:val="00A97D4A"/>
    <w:rsid w:val="00A97DB8"/>
    <w:rsid w:val="00AA01DB"/>
    <w:rsid w:val="00AA0209"/>
    <w:rsid w:val="00AA03A6"/>
    <w:rsid w:val="00AA1128"/>
    <w:rsid w:val="00AA1156"/>
    <w:rsid w:val="00AA1A7C"/>
    <w:rsid w:val="00AA1ADA"/>
    <w:rsid w:val="00AA20B3"/>
    <w:rsid w:val="00AA221D"/>
    <w:rsid w:val="00AA22E4"/>
    <w:rsid w:val="00AA2A7D"/>
    <w:rsid w:val="00AA2A95"/>
    <w:rsid w:val="00AA2ECC"/>
    <w:rsid w:val="00AA3A3E"/>
    <w:rsid w:val="00AA3B94"/>
    <w:rsid w:val="00AA3C7B"/>
    <w:rsid w:val="00AA3C94"/>
    <w:rsid w:val="00AA408E"/>
    <w:rsid w:val="00AA41D4"/>
    <w:rsid w:val="00AA4203"/>
    <w:rsid w:val="00AA45EC"/>
    <w:rsid w:val="00AA4714"/>
    <w:rsid w:val="00AA4775"/>
    <w:rsid w:val="00AA488F"/>
    <w:rsid w:val="00AA4986"/>
    <w:rsid w:val="00AA504B"/>
    <w:rsid w:val="00AA50B7"/>
    <w:rsid w:val="00AA5515"/>
    <w:rsid w:val="00AA567F"/>
    <w:rsid w:val="00AA583C"/>
    <w:rsid w:val="00AA5980"/>
    <w:rsid w:val="00AA5F54"/>
    <w:rsid w:val="00AA65CF"/>
    <w:rsid w:val="00AA67C0"/>
    <w:rsid w:val="00AA6A88"/>
    <w:rsid w:val="00AA7A28"/>
    <w:rsid w:val="00AB02DD"/>
    <w:rsid w:val="00AB045C"/>
    <w:rsid w:val="00AB05BB"/>
    <w:rsid w:val="00AB090C"/>
    <w:rsid w:val="00AB0F9A"/>
    <w:rsid w:val="00AB1160"/>
    <w:rsid w:val="00AB1411"/>
    <w:rsid w:val="00AB142E"/>
    <w:rsid w:val="00AB1C10"/>
    <w:rsid w:val="00AB212D"/>
    <w:rsid w:val="00AB2DEE"/>
    <w:rsid w:val="00AB32C1"/>
    <w:rsid w:val="00AB3552"/>
    <w:rsid w:val="00AB4689"/>
    <w:rsid w:val="00AB49C3"/>
    <w:rsid w:val="00AB55F8"/>
    <w:rsid w:val="00AB5DF2"/>
    <w:rsid w:val="00AB6C4D"/>
    <w:rsid w:val="00AB7866"/>
    <w:rsid w:val="00AC094A"/>
    <w:rsid w:val="00AC0EFF"/>
    <w:rsid w:val="00AC1D3B"/>
    <w:rsid w:val="00AC226A"/>
    <w:rsid w:val="00AC246C"/>
    <w:rsid w:val="00AC2701"/>
    <w:rsid w:val="00AC2FB2"/>
    <w:rsid w:val="00AC32FB"/>
    <w:rsid w:val="00AC3ADE"/>
    <w:rsid w:val="00AC3F58"/>
    <w:rsid w:val="00AC416C"/>
    <w:rsid w:val="00AC4C92"/>
    <w:rsid w:val="00AC4E28"/>
    <w:rsid w:val="00AC4E71"/>
    <w:rsid w:val="00AC4F7E"/>
    <w:rsid w:val="00AC5700"/>
    <w:rsid w:val="00AC5A64"/>
    <w:rsid w:val="00AC5B2D"/>
    <w:rsid w:val="00AC6C17"/>
    <w:rsid w:val="00AC7042"/>
    <w:rsid w:val="00AC752F"/>
    <w:rsid w:val="00AC7B8D"/>
    <w:rsid w:val="00AC7E49"/>
    <w:rsid w:val="00AD099F"/>
    <w:rsid w:val="00AD0C8D"/>
    <w:rsid w:val="00AD17D6"/>
    <w:rsid w:val="00AD1C10"/>
    <w:rsid w:val="00AD2E7B"/>
    <w:rsid w:val="00AD2F8F"/>
    <w:rsid w:val="00AD3685"/>
    <w:rsid w:val="00AD3AEE"/>
    <w:rsid w:val="00AD3BFC"/>
    <w:rsid w:val="00AD3F4F"/>
    <w:rsid w:val="00AD403C"/>
    <w:rsid w:val="00AD4153"/>
    <w:rsid w:val="00AD4838"/>
    <w:rsid w:val="00AD4C23"/>
    <w:rsid w:val="00AD5198"/>
    <w:rsid w:val="00AD5420"/>
    <w:rsid w:val="00AD56CF"/>
    <w:rsid w:val="00AD5DDB"/>
    <w:rsid w:val="00AD5E16"/>
    <w:rsid w:val="00AD5E3E"/>
    <w:rsid w:val="00AD60B8"/>
    <w:rsid w:val="00AD60EF"/>
    <w:rsid w:val="00AD612C"/>
    <w:rsid w:val="00AD70E4"/>
    <w:rsid w:val="00AD734C"/>
    <w:rsid w:val="00AD73C7"/>
    <w:rsid w:val="00AD7922"/>
    <w:rsid w:val="00AE0413"/>
    <w:rsid w:val="00AE05BF"/>
    <w:rsid w:val="00AE064A"/>
    <w:rsid w:val="00AE0D8D"/>
    <w:rsid w:val="00AE1DBC"/>
    <w:rsid w:val="00AE23C8"/>
    <w:rsid w:val="00AE265A"/>
    <w:rsid w:val="00AE26F3"/>
    <w:rsid w:val="00AE308D"/>
    <w:rsid w:val="00AE36D1"/>
    <w:rsid w:val="00AE3DDB"/>
    <w:rsid w:val="00AE4A64"/>
    <w:rsid w:val="00AE5771"/>
    <w:rsid w:val="00AE59FC"/>
    <w:rsid w:val="00AE6AAF"/>
    <w:rsid w:val="00AE6CE9"/>
    <w:rsid w:val="00AE6E97"/>
    <w:rsid w:val="00AE7401"/>
    <w:rsid w:val="00AE758E"/>
    <w:rsid w:val="00AF059D"/>
    <w:rsid w:val="00AF077D"/>
    <w:rsid w:val="00AF0992"/>
    <w:rsid w:val="00AF0C7C"/>
    <w:rsid w:val="00AF0D62"/>
    <w:rsid w:val="00AF0EB3"/>
    <w:rsid w:val="00AF0FA9"/>
    <w:rsid w:val="00AF1281"/>
    <w:rsid w:val="00AF14C8"/>
    <w:rsid w:val="00AF1777"/>
    <w:rsid w:val="00AF1FE7"/>
    <w:rsid w:val="00AF23D9"/>
    <w:rsid w:val="00AF290E"/>
    <w:rsid w:val="00AF29FA"/>
    <w:rsid w:val="00AF37D5"/>
    <w:rsid w:val="00AF381B"/>
    <w:rsid w:val="00AF3F63"/>
    <w:rsid w:val="00AF4345"/>
    <w:rsid w:val="00AF463B"/>
    <w:rsid w:val="00AF4A4B"/>
    <w:rsid w:val="00AF4CC5"/>
    <w:rsid w:val="00AF5319"/>
    <w:rsid w:val="00AF58FB"/>
    <w:rsid w:val="00AF608B"/>
    <w:rsid w:val="00AF641B"/>
    <w:rsid w:val="00AF6A59"/>
    <w:rsid w:val="00AF7BDD"/>
    <w:rsid w:val="00B00C6B"/>
    <w:rsid w:val="00B00F8C"/>
    <w:rsid w:val="00B00FEC"/>
    <w:rsid w:val="00B0174A"/>
    <w:rsid w:val="00B01D5E"/>
    <w:rsid w:val="00B02145"/>
    <w:rsid w:val="00B02C13"/>
    <w:rsid w:val="00B02F0C"/>
    <w:rsid w:val="00B03776"/>
    <w:rsid w:val="00B03ED8"/>
    <w:rsid w:val="00B0401D"/>
    <w:rsid w:val="00B042D2"/>
    <w:rsid w:val="00B047C5"/>
    <w:rsid w:val="00B04E8D"/>
    <w:rsid w:val="00B04F50"/>
    <w:rsid w:val="00B0542F"/>
    <w:rsid w:val="00B05A05"/>
    <w:rsid w:val="00B0642D"/>
    <w:rsid w:val="00B06495"/>
    <w:rsid w:val="00B064F1"/>
    <w:rsid w:val="00B0680C"/>
    <w:rsid w:val="00B06DA3"/>
    <w:rsid w:val="00B109DF"/>
    <w:rsid w:val="00B118E1"/>
    <w:rsid w:val="00B11A39"/>
    <w:rsid w:val="00B11A5F"/>
    <w:rsid w:val="00B11A9A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8E1"/>
    <w:rsid w:val="00B15D73"/>
    <w:rsid w:val="00B15DB9"/>
    <w:rsid w:val="00B1741B"/>
    <w:rsid w:val="00B174A1"/>
    <w:rsid w:val="00B1780E"/>
    <w:rsid w:val="00B17C2E"/>
    <w:rsid w:val="00B17D83"/>
    <w:rsid w:val="00B200D3"/>
    <w:rsid w:val="00B2060E"/>
    <w:rsid w:val="00B20DCF"/>
    <w:rsid w:val="00B20F8A"/>
    <w:rsid w:val="00B215EB"/>
    <w:rsid w:val="00B22522"/>
    <w:rsid w:val="00B2288A"/>
    <w:rsid w:val="00B24D66"/>
    <w:rsid w:val="00B258AF"/>
    <w:rsid w:val="00B2641D"/>
    <w:rsid w:val="00B264B0"/>
    <w:rsid w:val="00B26BB9"/>
    <w:rsid w:val="00B26CDB"/>
    <w:rsid w:val="00B26ECF"/>
    <w:rsid w:val="00B27444"/>
    <w:rsid w:val="00B27734"/>
    <w:rsid w:val="00B27771"/>
    <w:rsid w:val="00B27787"/>
    <w:rsid w:val="00B278D7"/>
    <w:rsid w:val="00B27B80"/>
    <w:rsid w:val="00B27F14"/>
    <w:rsid w:val="00B3091E"/>
    <w:rsid w:val="00B31429"/>
    <w:rsid w:val="00B31602"/>
    <w:rsid w:val="00B319CD"/>
    <w:rsid w:val="00B319FE"/>
    <w:rsid w:val="00B32058"/>
    <w:rsid w:val="00B3232C"/>
    <w:rsid w:val="00B331B8"/>
    <w:rsid w:val="00B33786"/>
    <w:rsid w:val="00B337A4"/>
    <w:rsid w:val="00B34725"/>
    <w:rsid w:val="00B35218"/>
    <w:rsid w:val="00B355F0"/>
    <w:rsid w:val="00B3578C"/>
    <w:rsid w:val="00B36D9E"/>
    <w:rsid w:val="00B37311"/>
    <w:rsid w:val="00B373FB"/>
    <w:rsid w:val="00B37975"/>
    <w:rsid w:val="00B37B77"/>
    <w:rsid w:val="00B4106F"/>
    <w:rsid w:val="00B41BE7"/>
    <w:rsid w:val="00B424F7"/>
    <w:rsid w:val="00B42568"/>
    <w:rsid w:val="00B425B8"/>
    <w:rsid w:val="00B42CC6"/>
    <w:rsid w:val="00B4316E"/>
    <w:rsid w:val="00B4339F"/>
    <w:rsid w:val="00B4381B"/>
    <w:rsid w:val="00B4383C"/>
    <w:rsid w:val="00B439E6"/>
    <w:rsid w:val="00B4403D"/>
    <w:rsid w:val="00B4425E"/>
    <w:rsid w:val="00B447FB"/>
    <w:rsid w:val="00B4564A"/>
    <w:rsid w:val="00B45847"/>
    <w:rsid w:val="00B460A1"/>
    <w:rsid w:val="00B46275"/>
    <w:rsid w:val="00B464C7"/>
    <w:rsid w:val="00B4658A"/>
    <w:rsid w:val="00B46865"/>
    <w:rsid w:val="00B4727E"/>
    <w:rsid w:val="00B4733F"/>
    <w:rsid w:val="00B4758E"/>
    <w:rsid w:val="00B4775D"/>
    <w:rsid w:val="00B47C65"/>
    <w:rsid w:val="00B47CBB"/>
    <w:rsid w:val="00B503D5"/>
    <w:rsid w:val="00B5083E"/>
    <w:rsid w:val="00B50ADB"/>
    <w:rsid w:val="00B51604"/>
    <w:rsid w:val="00B51F64"/>
    <w:rsid w:val="00B52018"/>
    <w:rsid w:val="00B53B4E"/>
    <w:rsid w:val="00B53C5F"/>
    <w:rsid w:val="00B54BD8"/>
    <w:rsid w:val="00B5596C"/>
    <w:rsid w:val="00B569B2"/>
    <w:rsid w:val="00B56FBD"/>
    <w:rsid w:val="00B5715A"/>
    <w:rsid w:val="00B57327"/>
    <w:rsid w:val="00B57411"/>
    <w:rsid w:val="00B6002D"/>
    <w:rsid w:val="00B6010B"/>
    <w:rsid w:val="00B61262"/>
    <w:rsid w:val="00B61720"/>
    <w:rsid w:val="00B61D1A"/>
    <w:rsid w:val="00B6210A"/>
    <w:rsid w:val="00B62158"/>
    <w:rsid w:val="00B6220A"/>
    <w:rsid w:val="00B6289B"/>
    <w:rsid w:val="00B629F3"/>
    <w:rsid w:val="00B63A11"/>
    <w:rsid w:val="00B640CF"/>
    <w:rsid w:val="00B65828"/>
    <w:rsid w:val="00B65E01"/>
    <w:rsid w:val="00B6623C"/>
    <w:rsid w:val="00B665BB"/>
    <w:rsid w:val="00B66800"/>
    <w:rsid w:val="00B668CA"/>
    <w:rsid w:val="00B66AB0"/>
    <w:rsid w:val="00B677D7"/>
    <w:rsid w:val="00B7028D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2E"/>
    <w:rsid w:val="00B742C1"/>
    <w:rsid w:val="00B74720"/>
    <w:rsid w:val="00B74811"/>
    <w:rsid w:val="00B74C99"/>
    <w:rsid w:val="00B75032"/>
    <w:rsid w:val="00B750D5"/>
    <w:rsid w:val="00B751B1"/>
    <w:rsid w:val="00B75535"/>
    <w:rsid w:val="00B7591C"/>
    <w:rsid w:val="00B75D1D"/>
    <w:rsid w:val="00B75E98"/>
    <w:rsid w:val="00B76A3F"/>
    <w:rsid w:val="00B76A7D"/>
    <w:rsid w:val="00B76CE1"/>
    <w:rsid w:val="00B776D5"/>
    <w:rsid w:val="00B77AB5"/>
    <w:rsid w:val="00B77B7E"/>
    <w:rsid w:val="00B77FEB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9E"/>
    <w:rsid w:val="00B840BB"/>
    <w:rsid w:val="00B84C9F"/>
    <w:rsid w:val="00B84D52"/>
    <w:rsid w:val="00B8525F"/>
    <w:rsid w:val="00B856E9"/>
    <w:rsid w:val="00B85774"/>
    <w:rsid w:val="00B85FDB"/>
    <w:rsid w:val="00B86429"/>
    <w:rsid w:val="00B8648F"/>
    <w:rsid w:val="00B866C7"/>
    <w:rsid w:val="00B86EFB"/>
    <w:rsid w:val="00B87563"/>
    <w:rsid w:val="00B87EBC"/>
    <w:rsid w:val="00B87FF0"/>
    <w:rsid w:val="00B902C3"/>
    <w:rsid w:val="00B90825"/>
    <w:rsid w:val="00B9084F"/>
    <w:rsid w:val="00B90862"/>
    <w:rsid w:val="00B90DD5"/>
    <w:rsid w:val="00B912EC"/>
    <w:rsid w:val="00B917AC"/>
    <w:rsid w:val="00B91BC4"/>
    <w:rsid w:val="00B91F77"/>
    <w:rsid w:val="00B9235A"/>
    <w:rsid w:val="00B926AC"/>
    <w:rsid w:val="00B92D82"/>
    <w:rsid w:val="00B92E6B"/>
    <w:rsid w:val="00B93043"/>
    <w:rsid w:val="00B93431"/>
    <w:rsid w:val="00B93500"/>
    <w:rsid w:val="00B93D97"/>
    <w:rsid w:val="00B94392"/>
    <w:rsid w:val="00B955F5"/>
    <w:rsid w:val="00B95663"/>
    <w:rsid w:val="00B95A36"/>
    <w:rsid w:val="00B95CCC"/>
    <w:rsid w:val="00B95F44"/>
    <w:rsid w:val="00B96D3C"/>
    <w:rsid w:val="00B97577"/>
    <w:rsid w:val="00BA0F28"/>
    <w:rsid w:val="00BA0FE9"/>
    <w:rsid w:val="00BA1004"/>
    <w:rsid w:val="00BA139F"/>
    <w:rsid w:val="00BA1A0B"/>
    <w:rsid w:val="00BA1E85"/>
    <w:rsid w:val="00BA2995"/>
    <w:rsid w:val="00BA359B"/>
    <w:rsid w:val="00BA35C7"/>
    <w:rsid w:val="00BA3A93"/>
    <w:rsid w:val="00BA4C18"/>
    <w:rsid w:val="00BA4D05"/>
    <w:rsid w:val="00BA5165"/>
    <w:rsid w:val="00BA5599"/>
    <w:rsid w:val="00BA5A40"/>
    <w:rsid w:val="00BA5FD5"/>
    <w:rsid w:val="00BA62AB"/>
    <w:rsid w:val="00BA7E0B"/>
    <w:rsid w:val="00BB0264"/>
    <w:rsid w:val="00BB0DE3"/>
    <w:rsid w:val="00BB0EA0"/>
    <w:rsid w:val="00BB10CD"/>
    <w:rsid w:val="00BB10F0"/>
    <w:rsid w:val="00BB122E"/>
    <w:rsid w:val="00BB17EB"/>
    <w:rsid w:val="00BB1E90"/>
    <w:rsid w:val="00BB25BB"/>
    <w:rsid w:val="00BB4277"/>
    <w:rsid w:val="00BB464D"/>
    <w:rsid w:val="00BB4A6F"/>
    <w:rsid w:val="00BB4D5E"/>
    <w:rsid w:val="00BB5666"/>
    <w:rsid w:val="00BB56B1"/>
    <w:rsid w:val="00BB5759"/>
    <w:rsid w:val="00BB5A30"/>
    <w:rsid w:val="00BB5B98"/>
    <w:rsid w:val="00BB694F"/>
    <w:rsid w:val="00BB6FAB"/>
    <w:rsid w:val="00BB6FB5"/>
    <w:rsid w:val="00BB7BAC"/>
    <w:rsid w:val="00BC0099"/>
    <w:rsid w:val="00BC08D8"/>
    <w:rsid w:val="00BC08FC"/>
    <w:rsid w:val="00BC202D"/>
    <w:rsid w:val="00BC213B"/>
    <w:rsid w:val="00BC2964"/>
    <w:rsid w:val="00BC2BEC"/>
    <w:rsid w:val="00BC3112"/>
    <w:rsid w:val="00BC3776"/>
    <w:rsid w:val="00BC3D8E"/>
    <w:rsid w:val="00BC3E7F"/>
    <w:rsid w:val="00BC41B5"/>
    <w:rsid w:val="00BC47EE"/>
    <w:rsid w:val="00BC4932"/>
    <w:rsid w:val="00BC4C63"/>
    <w:rsid w:val="00BC54D1"/>
    <w:rsid w:val="00BC572B"/>
    <w:rsid w:val="00BC6308"/>
    <w:rsid w:val="00BC63FE"/>
    <w:rsid w:val="00BC666D"/>
    <w:rsid w:val="00BC67A4"/>
    <w:rsid w:val="00BC6A92"/>
    <w:rsid w:val="00BC6B4D"/>
    <w:rsid w:val="00BC6C4F"/>
    <w:rsid w:val="00BC76AA"/>
    <w:rsid w:val="00BC7CC3"/>
    <w:rsid w:val="00BD0798"/>
    <w:rsid w:val="00BD1290"/>
    <w:rsid w:val="00BD1858"/>
    <w:rsid w:val="00BD19FE"/>
    <w:rsid w:val="00BD1CFB"/>
    <w:rsid w:val="00BD202F"/>
    <w:rsid w:val="00BD2B8F"/>
    <w:rsid w:val="00BD349A"/>
    <w:rsid w:val="00BD35B9"/>
    <w:rsid w:val="00BD36EC"/>
    <w:rsid w:val="00BD39A6"/>
    <w:rsid w:val="00BD4A52"/>
    <w:rsid w:val="00BD51CA"/>
    <w:rsid w:val="00BD5CD2"/>
    <w:rsid w:val="00BD64C3"/>
    <w:rsid w:val="00BD6E31"/>
    <w:rsid w:val="00BD77DE"/>
    <w:rsid w:val="00BD79C2"/>
    <w:rsid w:val="00BE1F2E"/>
    <w:rsid w:val="00BE1FA7"/>
    <w:rsid w:val="00BE2964"/>
    <w:rsid w:val="00BE2AD7"/>
    <w:rsid w:val="00BE2BAA"/>
    <w:rsid w:val="00BE2F0B"/>
    <w:rsid w:val="00BE3204"/>
    <w:rsid w:val="00BE3359"/>
    <w:rsid w:val="00BE4F8D"/>
    <w:rsid w:val="00BE590A"/>
    <w:rsid w:val="00BE6870"/>
    <w:rsid w:val="00BE770F"/>
    <w:rsid w:val="00BE778C"/>
    <w:rsid w:val="00BF01D4"/>
    <w:rsid w:val="00BF0ED0"/>
    <w:rsid w:val="00BF20FB"/>
    <w:rsid w:val="00BF286A"/>
    <w:rsid w:val="00BF2997"/>
    <w:rsid w:val="00BF4C22"/>
    <w:rsid w:val="00BF4CD1"/>
    <w:rsid w:val="00BF4DD7"/>
    <w:rsid w:val="00BF51E4"/>
    <w:rsid w:val="00BF563F"/>
    <w:rsid w:val="00BF6043"/>
    <w:rsid w:val="00BF76ED"/>
    <w:rsid w:val="00BF7B81"/>
    <w:rsid w:val="00C00156"/>
    <w:rsid w:val="00C003C3"/>
    <w:rsid w:val="00C006F6"/>
    <w:rsid w:val="00C00838"/>
    <w:rsid w:val="00C008C6"/>
    <w:rsid w:val="00C00BE6"/>
    <w:rsid w:val="00C00F80"/>
    <w:rsid w:val="00C00F84"/>
    <w:rsid w:val="00C01250"/>
    <w:rsid w:val="00C01619"/>
    <w:rsid w:val="00C01DF0"/>
    <w:rsid w:val="00C03041"/>
    <w:rsid w:val="00C035A3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A57"/>
    <w:rsid w:val="00C107BE"/>
    <w:rsid w:val="00C10BD0"/>
    <w:rsid w:val="00C10C03"/>
    <w:rsid w:val="00C112F7"/>
    <w:rsid w:val="00C1161D"/>
    <w:rsid w:val="00C123CF"/>
    <w:rsid w:val="00C12C1F"/>
    <w:rsid w:val="00C12CC4"/>
    <w:rsid w:val="00C12CE6"/>
    <w:rsid w:val="00C12D9C"/>
    <w:rsid w:val="00C13208"/>
    <w:rsid w:val="00C1323B"/>
    <w:rsid w:val="00C133F5"/>
    <w:rsid w:val="00C1360E"/>
    <w:rsid w:val="00C13819"/>
    <w:rsid w:val="00C13CCA"/>
    <w:rsid w:val="00C142EA"/>
    <w:rsid w:val="00C14AD2"/>
    <w:rsid w:val="00C14CA5"/>
    <w:rsid w:val="00C15678"/>
    <w:rsid w:val="00C15BE1"/>
    <w:rsid w:val="00C160D9"/>
    <w:rsid w:val="00C16B32"/>
    <w:rsid w:val="00C16FF1"/>
    <w:rsid w:val="00C17089"/>
    <w:rsid w:val="00C1715B"/>
    <w:rsid w:val="00C1757F"/>
    <w:rsid w:val="00C17B74"/>
    <w:rsid w:val="00C17BCC"/>
    <w:rsid w:val="00C20358"/>
    <w:rsid w:val="00C20A09"/>
    <w:rsid w:val="00C20AEB"/>
    <w:rsid w:val="00C20D0B"/>
    <w:rsid w:val="00C20F22"/>
    <w:rsid w:val="00C217E0"/>
    <w:rsid w:val="00C21FF8"/>
    <w:rsid w:val="00C220F2"/>
    <w:rsid w:val="00C223A0"/>
    <w:rsid w:val="00C23A99"/>
    <w:rsid w:val="00C23BBD"/>
    <w:rsid w:val="00C2455C"/>
    <w:rsid w:val="00C24638"/>
    <w:rsid w:val="00C26495"/>
    <w:rsid w:val="00C26B58"/>
    <w:rsid w:val="00C27144"/>
    <w:rsid w:val="00C273ED"/>
    <w:rsid w:val="00C27447"/>
    <w:rsid w:val="00C27891"/>
    <w:rsid w:val="00C27D45"/>
    <w:rsid w:val="00C300F5"/>
    <w:rsid w:val="00C30791"/>
    <w:rsid w:val="00C30AED"/>
    <w:rsid w:val="00C30B62"/>
    <w:rsid w:val="00C31073"/>
    <w:rsid w:val="00C314A3"/>
    <w:rsid w:val="00C314B5"/>
    <w:rsid w:val="00C32570"/>
    <w:rsid w:val="00C32C1E"/>
    <w:rsid w:val="00C32D53"/>
    <w:rsid w:val="00C32F69"/>
    <w:rsid w:val="00C33127"/>
    <w:rsid w:val="00C3312E"/>
    <w:rsid w:val="00C33192"/>
    <w:rsid w:val="00C336C1"/>
    <w:rsid w:val="00C33CD5"/>
    <w:rsid w:val="00C34056"/>
    <w:rsid w:val="00C340CF"/>
    <w:rsid w:val="00C34101"/>
    <w:rsid w:val="00C348FE"/>
    <w:rsid w:val="00C34FBC"/>
    <w:rsid w:val="00C35087"/>
    <w:rsid w:val="00C3523B"/>
    <w:rsid w:val="00C35947"/>
    <w:rsid w:val="00C36D9B"/>
    <w:rsid w:val="00C36FFE"/>
    <w:rsid w:val="00C37199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853"/>
    <w:rsid w:val="00C43E4A"/>
    <w:rsid w:val="00C43FD4"/>
    <w:rsid w:val="00C4445E"/>
    <w:rsid w:val="00C44846"/>
    <w:rsid w:val="00C44AC1"/>
    <w:rsid w:val="00C45A51"/>
    <w:rsid w:val="00C466C3"/>
    <w:rsid w:val="00C469E3"/>
    <w:rsid w:val="00C47155"/>
    <w:rsid w:val="00C47987"/>
    <w:rsid w:val="00C47CD2"/>
    <w:rsid w:val="00C47D56"/>
    <w:rsid w:val="00C50CA5"/>
    <w:rsid w:val="00C510DE"/>
    <w:rsid w:val="00C5148E"/>
    <w:rsid w:val="00C516F2"/>
    <w:rsid w:val="00C52452"/>
    <w:rsid w:val="00C536E4"/>
    <w:rsid w:val="00C538AE"/>
    <w:rsid w:val="00C5394B"/>
    <w:rsid w:val="00C53C32"/>
    <w:rsid w:val="00C53CA9"/>
    <w:rsid w:val="00C53E7A"/>
    <w:rsid w:val="00C54492"/>
    <w:rsid w:val="00C544B6"/>
    <w:rsid w:val="00C54565"/>
    <w:rsid w:val="00C54601"/>
    <w:rsid w:val="00C54E26"/>
    <w:rsid w:val="00C55313"/>
    <w:rsid w:val="00C56765"/>
    <w:rsid w:val="00C56A84"/>
    <w:rsid w:val="00C575E8"/>
    <w:rsid w:val="00C5777E"/>
    <w:rsid w:val="00C57EB0"/>
    <w:rsid w:val="00C60984"/>
    <w:rsid w:val="00C60E33"/>
    <w:rsid w:val="00C6111A"/>
    <w:rsid w:val="00C6118C"/>
    <w:rsid w:val="00C61801"/>
    <w:rsid w:val="00C618DF"/>
    <w:rsid w:val="00C62EA5"/>
    <w:rsid w:val="00C63058"/>
    <w:rsid w:val="00C636CB"/>
    <w:rsid w:val="00C65030"/>
    <w:rsid w:val="00C652A1"/>
    <w:rsid w:val="00C655E4"/>
    <w:rsid w:val="00C65738"/>
    <w:rsid w:val="00C6590A"/>
    <w:rsid w:val="00C65CFF"/>
    <w:rsid w:val="00C65FFB"/>
    <w:rsid w:val="00C66663"/>
    <w:rsid w:val="00C668D8"/>
    <w:rsid w:val="00C66BCD"/>
    <w:rsid w:val="00C66E74"/>
    <w:rsid w:val="00C67029"/>
    <w:rsid w:val="00C70B38"/>
    <w:rsid w:val="00C70B43"/>
    <w:rsid w:val="00C70FB1"/>
    <w:rsid w:val="00C71992"/>
    <w:rsid w:val="00C71A56"/>
    <w:rsid w:val="00C730CC"/>
    <w:rsid w:val="00C7391A"/>
    <w:rsid w:val="00C74092"/>
    <w:rsid w:val="00C74423"/>
    <w:rsid w:val="00C751BC"/>
    <w:rsid w:val="00C7532A"/>
    <w:rsid w:val="00C75485"/>
    <w:rsid w:val="00C75721"/>
    <w:rsid w:val="00C757CF"/>
    <w:rsid w:val="00C760A6"/>
    <w:rsid w:val="00C762B7"/>
    <w:rsid w:val="00C76825"/>
    <w:rsid w:val="00C77664"/>
    <w:rsid w:val="00C77C4B"/>
    <w:rsid w:val="00C77D50"/>
    <w:rsid w:val="00C80DC6"/>
    <w:rsid w:val="00C813EF"/>
    <w:rsid w:val="00C814A7"/>
    <w:rsid w:val="00C815E4"/>
    <w:rsid w:val="00C8290C"/>
    <w:rsid w:val="00C83396"/>
    <w:rsid w:val="00C8435F"/>
    <w:rsid w:val="00C84D20"/>
    <w:rsid w:val="00C8512B"/>
    <w:rsid w:val="00C858C8"/>
    <w:rsid w:val="00C85A79"/>
    <w:rsid w:val="00C86242"/>
    <w:rsid w:val="00C86D64"/>
    <w:rsid w:val="00C87B3F"/>
    <w:rsid w:val="00C87CDD"/>
    <w:rsid w:val="00C909EE"/>
    <w:rsid w:val="00C90C18"/>
    <w:rsid w:val="00C90E27"/>
    <w:rsid w:val="00C910ED"/>
    <w:rsid w:val="00C914C9"/>
    <w:rsid w:val="00C91534"/>
    <w:rsid w:val="00C9156F"/>
    <w:rsid w:val="00C91E57"/>
    <w:rsid w:val="00C922CD"/>
    <w:rsid w:val="00C922E8"/>
    <w:rsid w:val="00C92D0B"/>
    <w:rsid w:val="00C93188"/>
    <w:rsid w:val="00C93327"/>
    <w:rsid w:val="00C9389C"/>
    <w:rsid w:val="00C93F1F"/>
    <w:rsid w:val="00C94EF3"/>
    <w:rsid w:val="00C952A9"/>
    <w:rsid w:val="00C9534F"/>
    <w:rsid w:val="00C95E98"/>
    <w:rsid w:val="00C95F67"/>
    <w:rsid w:val="00C961C0"/>
    <w:rsid w:val="00C965E4"/>
    <w:rsid w:val="00C9739A"/>
    <w:rsid w:val="00CA03F7"/>
    <w:rsid w:val="00CA13BF"/>
    <w:rsid w:val="00CA13F7"/>
    <w:rsid w:val="00CA1463"/>
    <w:rsid w:val="00CA14DE"/>
    <w:rsid w:val="00CA28AA"/>
    <w:rsid w:val="00CA2A57"/>
    <w:rsid w:val="00CA2C4B"/>
    <w:rsid w:val="00CA30A9"/>
    <w:rsid w:val="00CA35EC"/>
    <w:rsid w:val="00CA3B5B"/>
    <w:rsid w:val="00CA3D36"/>
    <w:rsid w:val="00CA3EC4"/>
    <w:rsid w:val="00CA3FAB"/>
    <w:rsid w:val="00CA4249"/>
    <w:rsid w:val="00CA4BC7"/>
    <w:rsid w:val="00CA4EF3"/>
    <w:rsid w:val="00CA553A"/>
    <w:rsid w:val="00CA575F"/>
    <w:rsid w:val="00CA6F7C"/>
    <w:rsid w:val="00CA7C31"/>
    <w:rsid w:val="00CA7EC4"/>
    <w:rsid w:val="00CB062E"/>
    <w:rsid w:val="00CB0652"/>
    <w:rsid w:val="00CB0A8A"/>
    <w:rsid w:val="00CB1118"/>
    <w:rsid w:val="00CB138C"/>
    <w:rsid w:val="00CB1BD3"/>
    <w:rsid w:val="00CB1FD9"/>
    <w:rsid w:val="00CB21EF"/>
    <w:rsid w:val="00CB245D"/>
    <w:rsid w:val="00CB26B1"/>
    <w:rsid w:val="00CB2714"/>
    <w:rsid w:val="00CB2824"/>
    <w:rsid w:val="00CB2C75"/>
    <w:rsid w:val="00CB2F95"/>
    <w:rsid w:val="00CB30E7"/>
    <w:rsid w:val="00CB3270"/>
    <w:rsid w:val="00CB377F"/>
    <w:rsid w:val="00CB4134"/>
    <w:rsid w:val="00CB4DA4"/>
    <w:rsid w:val="00CB557A"/>
    <w:rsid w:val="00CB6108"/>
    <w:rsid w:val="00CB644A"/>
    <w:rsid w:val="00CB6482"/>
    <w:rsid w:val="00CB7071"/>
    <w:rsid w:val="00CB75F9"/>
    <w:rsid w:val="00CB7D14"/>
    <w:rsid w:val="00CB7D9F"/>
    <w:rsid w:val="00CC07A1"/>
    <w:rsid w:val="00CC0824"/>
    <w:rsid w:val="00CC08D7"/>
    <w:rsid w:val="00CC0A9A"/>
    <w:rsid w:val="00CC0C1D"/>
    <w:rsid w:val="00CC0EA3"/>
    <w:rsid w:val="00CC156F"/>
    <w:rsid w:val="00CC165B"/>
    <w:rsid w:val="00CC2B9C"/>
    <w:rsid w:val="00CC326E"/>
    <w:rsid w:val="00CC3536"/>
    <w:rsid w:val="00CC357F"/>
    <w:rsid w:val="00CC35DF"/>
    <w:rsid w:val="00CC36B4"/>
    <w:rsid w:val="00CC38EE"/>
    <w:rsid w:val="00CC3A44"/>
    <w:rsid w:val="00CC4E61"/>
    <w:rsid w:val="00CC54A7"/>
    <w:rsid w:val="00CC566D"/>
    <w:rsid w:val="00CC6AA6"/>
    <w:rsid w:val="00CC6ACF"/>
    <w:rsid w:val="00CC722F"/>
    <w:rsid w:val="00CC726E"/>
    <w:rsid w:val="00CC7476"/>
    <w:rsid w:val="00CC75EE"/>
    <w:rsid w:val="00CD0BAE"/>
    <w:rsid w:val="00CD1017"/>
    <w:rsid w:val="00CD129C"/>
    <w:rsid w:val="00CD12BA"/>
    <w:rsid w:val="00CD181E"/>
    <w:rsid w:val="00CD2C45"/>
    <w:rsid w:val="00CD387C"/>
    <w:rsid w:val="00CD474C"/>
    <w:rsid w:val="00CD5589"/>
    <w:rsid w:val="00CD5A30"/>
    <w:rsid w:val="00CD5CCC"/>
    <w:rsid w:val="00CD5CF4"/>
    <w:rsid w:val="00CD6B16"/>
    <w:rsid w:val="00CD6B5E"/>
    <w:rsid w:val="00CD7422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A00"/>
    <w:rsid w:val="00CE2A65"/>
    <w:rsid w:val="00CE3037"/>
    <w:rsid w:val="00CE32AD"/>
    <w:rsid w:val="00CE3361"/>
    <w:rsid w:val="00CE3DF6"/>
    <w:rsid w:val="00CE3F49"/>
    <w:rsid w:val="00CE44DE"/>
    <w:rsid w:val="00CE48AD"/>
    <w:rsid w:val="00CE49B0"/>
    <w:rsid w:val="00CE4A6D"/>
    <w:rsid w:val="00CE4EA8"/>
    <w:rsid w:val="00CE50B5"/>
    <w:rsid w:val="00CE5261"/>
    <w:rsid w:val="00CE5320"/>
    <w:rsid w:val="00CE584B"/>
    <w:rsid w:val="00CE5A0A"/>
    <w:rsid w:val="00CE6C5C"/>
    <w:rsid w:val="00CE6FEE"/>
    <w:rsid w:val="00CE72F6"/>
    <w:rsid w:val="00CE7FF2"/>
    <w:rsid w:val="00CF0E8B"/>
    <w:rsid w:val="00CF1090"/>
    <w:rsid w:val="00CF12DA"/>
    <w:rsid w:val="00CF182E"/>
    <w:rsid w:val="00CF1AB9"/>
    <w:rsid w:val="00CF1B03"/>
    <w:rsid w:val="00CF1B1E"/>
    <w:rsid w:val="00CF1E58"/>
    <w:rsid w:val="00CF1F79"/>
    <w:rsid w:val="00CF2787"/>
    <w:rsid w:val="00CF2B1C"/>
    <w:rsid w:val="00CF2B8E"/>
    <w:rsid w:val="00CF39B2"/>
    <w:rsid w:val="00CF3E3D"/>
    <w:rsid w:val="00CF4060"/>
    <w:rsid w:val="00CF423B"/>
    <w:rsid w:val="00CF52EB"/>
    <w:rsid w:val="00CF585D"/>
    <w:rsid w:val="00CF5CA8"/>
    <w:rsid w:val="00CF667F"/>
    <w:rsid w:val="00CF72BD"/>
    <w:rsid w:val="00CF767E"/>
    <w:rsid w:val="00CF78C0"/>
    <w:rsid w:val="00CF7D57"/>
    <w:rsid w:val="00D004CF"/>
    <w:rsid w:val="00D006D3"/>
    <w:rsid w:val="00D015A8"/>
    <w:rsid w:val="00D024F9"/>
    <w:rsid w:val="00D027E8"/>
    <w:rsid w:val="00D027F9"/>
    <w:rsid w:val="00D02981"/>
    <w:rsid w:val="00D03195"/>
    <w:rsid w:val="00D032AA"/>
    <w:rsid w:val="00D03741"/>
    <w:rsid w:val="00D03A3E"/>
    <w:rsid w:val="00D03B1A"/>
    <w:rsid w:val="00D03E97"/>
    <w:rsid w:val="00D040BB"/>
    <w:rsid w:val="00D04196"/>
    <w:rsid w:val="00D056E9"/>
    <w:rsid w:val="00D05CB6"/>
    <w:rsid w:val="00D06325"/>
    <w:rsid w:val="00D07684"/>
    <w:rsid w:val="00D076A6"/>
    <w:rsid w:val="00D07F59"/>
    <w:rsid w:val="00D1039B"/>
    <w:rsid w:val="00D104B2"/>
    <w:rsid w:val="00D10986"/>
    <w:rsid w:val="00D1113A"/>
    <w:rsid w:val="00D11397"/>
    <w:rsid w:val="00D11644"/>
    <w:rsid w:val="00D11AEA"/>
    <w:rsid w:val="00D11BB2"/>
    <w:rsid w:val="00D12F1F"/>
    <w:rsid w:val="00D13207"/>
    <w:rsid w:val="00D13358"/>
    <w:rsid w:val="00D1342C"/>
    <w:rsid w:val="00D136F9"/>
    <w:rsid w:val="00D13822"/>
    <w:rsid w:val="00D13840"/>
    <w:rsid w:val="00D13A31"/>
    <w:rsid w:val="00D142FA"/>
    <w:rsid w:val="00D14873"/>
    <w:rsid w:val="00D14C06"/>
    <w:rsid w:val="00D14DAF"/>
    <w:rsid w:val="00D15528"/>
    <w:rsid w:val="00D1564A"/>
    <w:rsid w:val="00D156E5"/>
    <w:rsid w:val="00D1589A"/>
    <w:rsid w:val="00D15AF0"/>
    <w:rsid w:val="00D163BD"/>
    <w:rsid w:val="00D16747"/>
    <w:rsid w:val="00D16FCD"/>
    <w:rsid w:val="00D173FD"/>
    <w:rsid w:val="00D175C7"/>
    <w:rsid w:val="00D17A1B"/>
    <w:rsid w:val="00D17E09"/>
    <w:rsid w:val="00D20886"/>
    <w:rsid w:val="00D20D74"/>
    <w:rsid w:val="00D20EE8"/>
    <w:rsid w:val="00D20F89"/>
    <w:rsid w:val="00D22078"/>
    <w:rsid w:val="00D22E00"/>
    <w:rsid w:val="00D23626"/>
    <w:rsid w:val="00D23B71"/>
    <w:rsid w:val="00D251E6"/>
    <w:rsid w:val="00D259B0"/>
    <w:rsid w:val="00D26097"/>
    <w:rsid w:val="00D261C5"/>
    <w:rsid w:val="00D26391"/>
    <w:rsid w:val="00D2699D"/>
    <w:rsid w:val="00D27747"/>
    <w:rsid w:val="00D27BF7"/>
    <w:rsid w:val="00D27FD0"/>
    <w:rsid w:val="00D30028"/>
    <w:rsid w:val="00D30729"/>
    <w:rsid w:val="00D3086B"/>
    <w:rsid w:val="00D30EAF"/>
    <w:rsid w:val="00D314F6"/>
    <w:rsid w:val="00D31A4F"/>
    <w:rsid w:val="00D31BFB"/>
    <w:rsid w:val="00D31D6C"/>
    <w:rsid w:val="00D31D99"/>
    <w:rsid w:val="00D32CDD"/>
    <w:rsid w:val="00D32E0D"/>
    <w:rsid w:val="00D3326D"/>
    <w:rsid w:val="00D33405"/>
    <w:rsid w:val="00D33977"/>
    <w:rsid w:val="00D33F32"/>
    <w:rsid w:val="00D34097"/>
    <w:rsid w:val="00D34E8A"/>
    <w:rsid w:val="00D3544C"/>
    <w:rsid w:val="00D35524"/>
    <w:rsid w:val="00D36C71"/>
    <w:rsid w:val="00D3719F"/>
    <w:rsid w:val="00D371C8"/>
    <w:rsid w:val="00D3721D"/>
    <w:rsid w:val="00D4061B"/>
    <w:rsid w:val="00D40B41"/>
    <w:rsid w:val="00D4178E"/>
    <w:rsid w:val="00D423E5"/>
    <w:rsid w:val="00D431DA"/>
    <w:rsid w:val="00D43450"/>
    <w:rsid w:val="00D43D75"/>
    <w:rsid w:val="00D43F48"/>
    <w:rsid w:val="00D43F90"/>
    <w:rsid w:val="00D44156"/>
    <w:rsid w:val="00D44198"/>
    <w:rsid w:val="00D445B3"/>
    <w:rsid w:val="00D4473E"/>
    <w:rsid w:val="00D453B5"/>
    <w:rsid w:val="00D45977"/>
    <w:rsid w:val="00D46DBF"/>
    <w:rsid w:val="00D46F26"/>
    <w:rsid w:val="00D47591"/>
    <w:rsid w:val="00D50F4A"/>
    <w:rsid w:val="00D51089"/>
    <w:rsid w:val="00D514BF"/>
    <w:rsid w:val="00D51B5F"/>
    <w:rsid w:val="00D52049"/>
    <w:rsid w:val="00D5228C"/>
    <w:rsid w:val="00D52E06"/>
    <w:rsid w:val="00D53650"/>
    <w:rsid w:val="00D53927"/>
    <w:rsid w:val="00D54097"/>
    <w:rsid w:val="00D5467D"/>
    <w:rsid w:val="00D55169"/>
    <w:rsid w:val="00D55204"/>
    <w:rsid w:val="00D553C7"/>
    <w:rsid w:val="00D55BD9"/>
    <w:rsid w:val="00D5648F"/>
    <w:rsid w:val="00D5651D"/>
    <w:rsid w:val="00D57B21"/>
    <w:rsid w:val="00D57B9A"/>
    <w:rsid w:val="00D60190"/>
    <w:rsid w:val="00D602D3"/>
    <w:rsid w:val="00D605A5"/>
    <w:rsid w:val="00D606A0"/>
    <w:rsid w:val="00D60A2F"/>
    <w:rsid w:val="00D60DAB"/>
    <w:rsid w:val="00D61A8A"/>
    <w:rsid w:val="00D62369"/>
    <w:rsid w:val="00D623AA"/>
    <w:rsid w:val="00D62971"/>
    <w:rsid w:val="00D62A24"/>
    <w:rsid w:val="00D62FAC"/>
    <w:rsid w:val="00D635B0"/>
    <w:rsid w:val="00D637A9"/>
    <w:rsid w:val="00D63BE1"/>
    <w:rsid w:val="00D64853"/>
    <w:rsid w:val="00D65280"/>
    <w:rsid w:val="00D6595E"/>
    <w:rsid w:val="00D6616F"/>
    <w:rsid w:val="00D661D4"/>
    <w:rsid w:val="00D6699B"/>
    <w:rsid w:val="00D672A7"/>
    <w:rsid w:val="00D7009E"/>
    <w:rsid w:val="00D70280"/>
    <w:rsid w:val="00D70C63"/>
    <w:rsid w:val="00D710C5"/>
    <w:rsid w:val="00D71705"/>
    <w:rsid w:val="00D71844"/>
    <w:rsid w:val="00D71888"/>
    <w:rsid w:val="00D71B45"/>
    <w:rsid w:val="00D722C1"/>
    <w:rsid w:val="00D72437"/>
    <w:rsid w:val="00D72514"/>
    <w:rsid w:val="00D726A5"/>
    <w:rsid w:val="00D727AC"/>
    <w:rsid w:val="00D72AC2"/>
    <w:rsid w:val="00D72CAE"/>
    <w:rsid w:val="00D72DC2"/>
    <w:rsid w:val="00D735E8"/>
    <w:rsid w:val="00D74660"/>
    <w:rsid w:val="00D74797"/>
    <w:rsid w:val="00D74968"/>
    <w:rsid w:val="00D749D2"/>
    <w:rsid w:val="00D74D9B"/>
    <w:rsid w:val="00D750A2"/>
    <w:rsid w:val="00D75650"/>
    <w:rsid w:val="00D756E8"/>
    <w:rsid w:val="00D774DE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43D6"/>
    <w:rsid w:val="00D85237"/>
    <w:rsid w:val="00D85475"/>
    <w:rsid w:val="00D85A2F"/>
    <w:rsid w:val="00D86605"/>
    <w:rsid w:val="00D86645"/>
    <w:rsid w:val="00D871B1"/>
    <w:rsid w:val="00D87BDC"/>
    <w:rsid w:val="00D9096B"/>
    <w:rsid w:val="00D90D1C"/>
    <w:rsid w:val="00D90D5C"/>
    <w:rsid w:val="00D90ED4"/>
    <w:rsid w:val="00D90FF0"/>
    <w:rsid w:val="00D91023"/>
    <w:rsid w:val="00D9117B"/>
    <w:rsid w:val="00D91263"/>
    <w:rsid w:val="00D91838"/>
    <w:rsid w:val="00D91EF3"/>
    <w:rsid w:val="00D920E8"/>
    <w:rsid w:val="00D92722"/>
    <w:rsid w:val="00D92BF2"/>
    <w:rsid w:val="00D92F98"/>
    <w:rsid w:val="00D93295"/>
    <w:rsid w:val="00D9335B"/>
    <w:rsid w:val="00D93548"/>
    <w:rsid w:val="00D93DAF"/>
    <w:rsid w:val="00D941AE"/>
    <w:rsid w:val="00D94E5E"/>
    <w:rsid w:val="00D94F2C"/>
    <w:rsid w:val="00D95532"/>
    <w:rsid w:val="00D96138"/>
    <w:rsid w:val="00D965AB"/>
    <w:rsid w:val="00D96B07"/>
    <w:rsid w:val="00D96BD2"/>
    <w:rsid w:val="00D9709C"/>
    <w:rsid w:val="00D974EC"/>
    <w:rsid w:val="00D97594"/>
    <w:rsid w:val="00D97E2E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22C1"/>
    <w:rsid w:val="00DA24B0"/>
    <w:rsid w:val="00DA2582"/>
    <w:rsid w:val="00DA2694"/>
    <w:rsid w:val="00DA3228"/>
    <w:rsid w:val="00DA3766"/>
    <w:rsid w:val="00DA3CF1"/>
    <w:rsid w:val="00DA44B4"/>
    <w:rsid w:val="00DA4B0E"/>
    <w:rsid w:val="00DA50E4"/>
    <w:rsid w:val="00DA5BEB"/>
    <w:rsid w:val="00DA6BFD"/>
    <w:rsid w:val="00DA7645"/>
    <w:rsid w:val="00DA7867"/>
    <w:rsid w:val="00DA7963"/>
    <w:rsid w:val="00DA7AC6"/>
    <w:rsid w:val="00DA7E15"/>
    <w:rsid w:val="00DA7F1E"/>
    <w:rsid w:val="00DA7FC8"/>
    <w:rsid w:val="00DB00AB"/>
    <w:rsid w:val="00DB02FF"/>
    <w:rsid w:val="00DB0D93"/>
    <w:rsid w:val="00DB10BD"/>
    <w:rsid w:val="00DB1433"/>
    <w:rsid w:val="00DB197C"/>
    <w:rsid w:val="00DB1AAF"/>
    <w:rsid w:val="00DB26B5"/>
    <w:rsid w:val="00DB28F1"/>
    <w:rsid w:val="00DB2EF5"/>
    <w:rsid w:val="00DB3AA0"/>
    <w:rsid w:val="00DB3C49"/>
    <w:rsid w:val="00DB41B9"/>
    <w:rsid w:val="00DB42C2"/>
    <w:rsid w:val="00DB444B"/>
    <w:rsid w:val="00DB453A"/>
    <w:rsid w:val="00DB4628"/>
    <w:rsid w:val="00DB4714"/>
    <w:rsid w:val="00DB4788"/>
    <w:rsid w:val="00DB4D04"/>
    <w:rsid w:val="00DB510A"/>
    <w:rsid w:val="00DB5178"/>
    <w:rsid w:val="00DB5386"/>
    <w:rsid w:val="00DB5ABE"/>
    <w:rsid w:val="00DB6273"/>
    <w:rsid w:val="00DB6292"/>
    <w:rsid w:val="00DB67E7"/>
    <w:rsid w:val="00DB68BB"/>
    <w:rsid w:val="00DB70FD"/>
    <w:rsid w:val="00DB7F10"/>
    <w:rsid w:val="00DC112E"/>
    <w:rsid w:val="00DC1524"/>
    <w:rsid w:val="00DC1889"/>
    <w:rsid w:val="00DC1CA3"/>
    <w:rsid w:val="00DC2A33"/>
    <w:rsid w:val="00DC3214"/>
    <w:rsid w:val="00DC3579"/>
    <w:rsid w:val="00DC3E0F"/>
    <w:rsid w:val="00DC3F6F"/>
    <w:rsid w:val="00DC43AE"/>
    <w:rsid w:val="00DC45A4"/>
    <w:rsid w:val="00DC466F"/>
    <w:rsid w:val="00DC4841"/>
    <w:rsid w:val="00DC51EE"/>
    <w:rsid w:val="00DC5533"/>
    <w:rsid w:val="00DC5770"/>
    <w:rsid w:val="00DC59D7"/>
    <w:rsid w:val="00DC6E13"/>
    <w:rsid w:val="00DC6E1B"/>
    <w:rsid w:val="00DC70F0"/>
    <w:rsid w:val="00DC7EBE"/>
    <w:rsid w:val="00DD0C77"/>
    <w:rsid w:val="00DD12EF"/>
    <w:rsid w:val="00DD158F"/>
    <w:rsid w:val="00DD16FB"/>
    <w:rsid w:val="00DD1D74"/>
    <w:rsid w:val="00DD235A"/>
    <w:rsid w:val="00DD2381"/>
    <w:rsid w:val="00DD2B1D"/>
    <w:rsid w:val="00DD3821"/>
    <w:rsid w:val="00DD391B"/>
    <w:rsid w:val="00DD45D3"/>
    <w:rsid w:val="00DD48F3"/>
    <w:rsid w:val="00DD4E0C"/>
    <w:rsid w:val="00DD5A2A"/>
    <w:rsid w:val="00DD662B"/>
    <w:rsid w:val="00DD6AEC"/>
    <w:rsid w:val="00DD6C4A"/>
    <w:rsid w:val="00DD6C92"/>
    <w:rsid w:val="00DE01AB"/>
    <w:rsid w:val="00DE0B85"/>
    <w:rsid w:val="00DE12BD"/>
    <w:rsid w:val="00DE1532"/>
    <w:rsid w:val="00DE179B"/>
    <w:rsid w:val="00DE1CB3"/>
    <w:rsid w:val="00DE292D"/>
    <w:rsid w:val="00DE2AA3"/>
    <w:rsid w:val="00DE30D1"/>
    <w:rsid w:val="00DE31E7"/>
    <w:rsid w:val="00DE3B74"/>
    <w:rsid w:val="00DE3CDA"/>
    <w:rsid w:val="00DE40F7"/>
    <w:rsid w:val="00DE47DF"/>
    <w:rsid w:val="00DE48E2"/>
    <w:rsid w:val="00DE4D21"/>
    <w:rsid w:val="00DE5EA6"/>
    <w:rsid w:val="00DE5F41"/>
    <w:rsid w:val="00DE61FB"/>
    <w:rsid w:val="00DE639E"/>
    <w:rsid w:val="00DE647C"/>
    <w:rsid w:val="00DE6B6A"/>
    <w:rsid w:val="00DE730F"/>
    <w:rsid w:val="00DE731D"/>
    <w:rsid w:val="00DE77FD"/>
    <w:rsid w:val="00DE7A1D"/>
    <w:rsid w:val="00DF0A62"/>
    <w:rsid w:val="00DF0A8D"/>
    <w:rsid w:val="00DF0E97"/>
    <w:rsid w:val="00DF11F0"/>
    <w:rsid w:val="00DF1685"/>
    <w:rsid w:val="00DF194C"/>
    <w:rsid w:val="00DF1956"/>
    <w:rsid w:val="00DF1AD2"/>
    <w:rsid w:val="00DF1D62"/>
    <w:rsid w:val="00DF2170"/>
    <w:rsid w:val="00DF2D75"/>
    <w:rsid w:val="00DF2FC2"/>
    <w:rsid w:val="00DF2FF1"/>
    <w:rsid w:val="00DF3116"/>
    <w:rsid w:val="00DF3D62"/>
    <w:rsid w:val="00DF572E"/>
    <w:rsid w:val="00DF5766"/>
    <w:rsid w:val="00DF596A"/>
    <w:rsid w:val="00DF66E8"/>
    <w:rsid w:val="00DF6DA6"/>
    <w:rsid w:val="00DF708D"/>
    <w:rsid w:val="00DF7EB8"/>
    <w:rsid w:val="00E0031E"/>
    <w:rsid w:val="00E006EE"/>
    <w:rsid w:val="00E00FD5"/>
    <w:rsid w:val="00E01956"/>
    <w:rsid w:val="00E02047"/>
    <w:rsid w:val="00E023E5"/>
    <w:rsid w:val="00E02837"/>
    <w:rsid w:val="00E03593"/>
    <w:rsid w:val="00E0443C"/>
    <w:rsid w:val="00E046AE"/>
    <w:rsid w:val="00E04B4F"/>
    <w:rsid w:val="00E0559F"/>
    <w:rsid w:val="00E06FD6"/>
    <w:rsid w:val="00E074C1"/>
    <w:rsid w:val="00E07530"/>
    <w:rsid w:val="00E07655"/>
    <w:rsid w:val="00E07B79"/>
    <w:rsid w:val="00E07CDC"/>
    <w:rsid w:val="00E1006A"/>
    <w:rsid w:val="00E105B9"/>
    <w:rsid w:val="00E10771"/>
    <w:rsid w:val="00E1079E"/>
    <w:rsid w:val="00E109C3"/>
    <w:rsid w:val="00E10F6A"/>
    <w:rsid w:val="00E112FA"/>
    <w:rsid w:val="00E12CED"/>
    <w:rsid w:val="00E13D2C"/>
    <w:rsid w:val="00E13EE3"/>
    <w:rsid w:val="00E1406A"/>
    <w:rsid w:val="00E1421F"/>
    <w:rsid w:val="00E148CD"/>
    <w:rsid w:val="00E14E22"/>
    <w:rsid w:val="00E14FF5"/>
    <w:rsid w:val="00E15713"/>
    <w:rsid w:val="00E16682"/>
    <w:rsid w:val="00E1678A"/>
    <w:rsid w:val="00E17549"/>
    <w:rsid w:val="00E17BAE"/>
    <w:rsid w:val="00E17DB4"/>
    <w:rsid w:val="00E17E85"/>
    <w:rsid w:val="00E17E99"/>
    <w:rsid w:val="00E2002A"/>
    <w:rsid w:val="00E2055A"/>
    <w:rsid w:val="00E20946"/>
    <w:rsid w:val="00E20B35"/>
    <w:rsid w:val="00E20BC1"/>
    <w:rsid w:val="00E20E73"/>
    <w:rsid w:val="00E21F2D"/>
    <w:rsid w:val="00E21FA8"/>
    <w:rsid w:val="00E225FF"/>
    <w:rsid w:val="00E22A26"/>
    <w:rsid w:val="00E22DD9"/>
    <w:rsid w:val="00E2336E"/>
    <w:rsid w:val="00E23655"/>
    <w:rsid w:val="00E23AB9"/>
    <w:rsid w:val="00E23AC4"/>
    <w:rsid w:val="00E23ED2"/>
    <w:rsid w:val="00E24FE3"/>
    <w:rsid w:val="00E25663"/>
    <w:rsid w:val="00E256F7"/>
    <w:rsid w:val="00E25995"/>
    <w:rsid w:val="00E25D57"/>
    <w:rsid w:val="00E261AC"/>
    <w:rsid w:val="00E26257"/>
    <w:rsid w:val="00E264AD"/>
    <w:rsid w:val="00E27074"/>
    <w:rsid w:val="00E276B6"/>
    <w:rsid w:val="00E2793C"/>
    <w:rsid w:val="00E27E1C"/>
    <w:rsid w:val="00E27F3F"/>
    <w:rsid w:val="00E300F2"/>
    <w:rsid w:val="00E300FA"/>
    <w:rsid w:val="00E30C81"/>
    <w:rsid w:val="00E31966"/>
    <w:rsid w:val="00E3203D"/>
    <w:rsid w:val="00E32AE4"/>
    <w:rsid w:val="00E32D6A"/>
    <w:rsid w:val="00E33396"/>
    <w:rsid w:val="00E335C5"/>
    <w:rsid w:val="00E33898"/>
    <w:rsid w:val="00E33D24"/>
    <w:rsid w:val="00E33E8E"/>
    <w:rsid w:val="00E3444F"/>
    <w:rsid w:val="00E34706"/>
    <w:rsid w:val="00E34ED4"/>
    <w:rsid w:val="00E35580"/>
    <w:rsid w:val="00E36110"/>
    <w:rsid w:val="00E36DD5"/>
    <w:rsid w:val="00E3751A"/>
    <w:rsid w:val="00E377A6"/>
    <w:rsid w:val="00E4005E"/>
    <w:rsid w:val="00E4016F"/>
    <w:rsid w:val="00E40A1E"/>
    <w:rsid w:val="00E40ED9"/>
    <w:rsid w:val="00E41CF2"/>
    <w:rsid w:val="00E41D23"/>
    <w:rsid w:val="00E4297F"/>
    <w:rsid w:val="00E4364C"/>
    <w:rsid w:val="00E43657"/>
    <w:rsid w:val="00E438F7"/>
    <w:rsid w:val="00E43E29"/>
    <w:rsid w:val="00E43EE5"/>
    <w:rsid w:val="00E449C3"/>
    <w:rsid w:val="00E44ACD"/>
    <w:rsid w:val="00E44CB9"/>
    <w:rsid w:val="00E45343"/>
    <w:rsid w:val="00E45936"/>
    <w:rsid w:val="00E45B97"/>
    <w:rsid w:val="00E46852"/>
    <w:rsid w:val="00E46AB1"/>
    <w:rsid w:val="00E479FF"/>
    <w:rsid w:val="00E50471"/>
    <w:rsid w:val="00E510F2"/>
    <w:rsid w:val="00E51392"/>
    <w:rsid w:val="00E515B1"/>
    <w:rsid w:val="00E51662"/>
    <w:rsid w:val="00E5269A"/>
    <w:rsid w:val="00E527F9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B8D"/>
    <w:rsid w:val="00E57E87"/>
    <w:rsid w:val="00E60322"/>
    <w:rsid w:val="00E60DE1"/>
    <w:rsid w:val="00E61076"/>
    <w:rsid w:val="00E61812"/>
    <w:rsid w:val="00E624FF"/>
    <w:rsid w:val="00E62CF0"/>
    <w:rsid w:val="00E62E5D"/>
    <w:rsid w:val="00E65073"/>
    <w:rsid w:val="00E65E8C"/>
    <w:rsid w:val="00E6676B"/>
    <w:rsid w:val="00E66800"/>
    <w:rsid w:val="00E66D78"/>
    <w:rsid w:val="00E673C1"/>
    <w:rsid w:val="00E67C5C"/>
    <w:rsid w:val="00E67E55"/>
    <w:rsid w:val="00E70504"/>
    <w:rsid w:val="00E71198"/>
    <w:rsid w:val="00E71BD3"/>
    <w:rsid w:val="00E71C3D"/>
    <w:rsid w:val="00E71E4F"/>
    <w:rsid w:val="00E72486"/>
    <w:rsid w:val="00E724EF"/>
    <w:rsid w:val="00E7264E"/>
    <w:rsid w:val="00E72651"/>
    <w:rsid w:val="00E727AD"/>
    <w:rsid w:val="00E73957"/>
    <w:rsid w:val="00E73C90"/>
    <w:rsid w:val="00E73CA4"/>
    <w:rsid w:val="00E73D3A"/>
    <w:rsid w:val="00E743A1"/>
    <w:rsid w:val="00E749B7"/>
    <w:rsid w:val="00E74BC5"/>
    <w:rsid w:val="00E74F05"/>
    <w:rsid w:val="00E7518B"/>
    <w:rsid w:val="00E7593F"/>
    <w:rsid w:val="00E76497"/>
    <w:rsid w:val="00E76897"/>
    <w:rsid w:val="00E76C33"/>
    <w:rsid w:val="00E77615"/>
    <w:rsid w:val="00E8011B"/>
    <w:rsid w:val="00E801FE"/>
    <w:rsid w:val="00E80768"/>
    <w:rsid w:val="00E80A3F"/>
    <w:rsid w:val="00E80E1E"/>
    <w:rsid w:val="00E81EA0"/>
    <w:rsid w:val="00E82135"/>
    <w:rsid w:val="00E8277E"/>
    <w:rsid w:val="00E82862"/>
    <w:rsid w:val="00E82CA0"/>
    <w:rsid w:val="00E82DAD"/>
    <w:rsid w:val="00E82E17"/>
    <w:rsid w:val="00E83635"/>
    <w:rsid w:val="00E839A5"/>
    <w:rsid w:val="00E84AD4"/>
    <w:rsid w:val="00E8534F"/>
    <w:rsid w:val="00E854EA"/>
    <w:rsid w:val="00E85EC9"/>
    <w:rsid w:val="00E86BAE"/>
    <w:rsid w:val="00E876A3"/>
    <w:rsid w:val="00E87DC5"/>
    <w:rsid w:val="00E90252"/>
    <w:rsid w:val="00E903A5"/>
    <w:rsid w:val="00E90A19"/>
    <w:rsid w:val="00E91460"/>
    <w:rsid w:val="00E915F1"/>
    <w:rsid w:val="00E91C42"/>
    <w:rsid w:val="00E92341"/>
    <w:rsid w:val="00E93148"/>
    <w:rsid w:val="00E93635"/>
    <w:rsid w:val="00E94246"/>
    <w:rsid w:val="00E9455C"/>
    <w:rsid w:val="00E94F06"/>
    <w:rsid w:val="00E95243"/>
    <w:rsid w:val="00E956CB"/>
    <w:rsid w:val="00E95DB6"/>
    <w:rsid w:val="00E960B8"/>
    <w:rsid w:val="00E96514"/>
    <w:rsid w:val="00E96AEE"/>
    <w:rsid w:val="00E96D1C"/>
    <w:rsid w:val="00E977CB"/>
    <w:rsid w:val="00E977CE"/>
    <w:rsid w:val="00E97990"/>
    <w:rsid w:val="00E97D2F"/>
    <w:rsid w:val="00E97EA7"/>
    <w:rsid w:val="00E97FB1"/>
    <w:rsid w:val="00EA1514"/>
    <w:rsid w:val="00EA16E1"/>
    <w:rsid w:val="00EA1767"/>
    <w:rsid w:val="00EA18BD"/>
    <w:rsid w:val="00EA1F8E"/>
    <w:rsid w:val="00EA2360"/>
    <w:rsid w:val="00EA272B"/>
    <w:rsid w:val="00EA2F5D"/>
    <w:rsid w:val="00EA301E"/>
    <w:rsid w:val="00EA3451"/>
    <w:rsid w:val="00EA3834"/>
    <w:rsid w:val="00EA3BA1"/>
    <w:rsid w:val="00EA449C"/>
    <w:rsid w:val="00EA4F1E"/>
    <w:rsid w:val="00EA4F7D"/>
    <w:rsid w:val="00EA51BF"/>
    <w:rsid w:val="00EA5F9C"/>
    <w:rsid w:val="00EA633B"/>
    <w:rsid w:val="00EA659C"/>
    <w:rsid w:val="00EA7206"/>
    <w:rsid w:val="00EB0A68"/>
    <w:rsid w:val="00EB0E6A"/>
    <w:rsid w:val="00EB0FE6"/>
    <w:rsid w:val="00EB1646"/>
    <w:rsid w:val="00EB16EB"/>
    <w:rsid w:val="00EB182C"/>
    <w:rsid w:val="00EB19D9"/>
    <w:rsid w:val="00EB2185"/>
    <w:rsid w:val="00EB2287"/>
    <w:rsid w:val="00EB269D"/>
    <w:rsid w:val="00EB30E8"/>
    <w:rsid w:val="00EB344E"/>
    <w:rsid w:val="00EB45D7"/>
    <w:rsid w:val="00EB47B3"/>
    <w:rsid w:val="00EB4926"/>
    <w:rsid w:val="00EB4B58"/>
    <w:rsid w:val="00EB4E5F"/>
    <w:rsid w:val="00EB5197"/>
    <w:rsid w:val="00EB5629"/>
    <w:rsid w:val="00EB5734"/>
    <w:rsid w:val="00EB5927"/>
    <w:rsid w:val="00EB75EB"/>
    <w:rsid w:val="00EB7605"/>
    <w:rsid w:val="00EB76CB"/>
    <w:rsid w:val="00EC089D"/>
    <w:rsid w:val="00EC0DD3"/>
    <w:rsid w:val="00EC101A"/>
    <w:rsid w:val="00EC1394"/>
    <w:rsid w:val="00EC1470"/>
    <w:rsid w:val="00EC20D7"/>
    <w:rsid w:val="00EC226A"/>
    <w:rsid w:val="00EC229B"/>
    <w:rsid w:val="00EC28DD"/>
    <w:rsid w:val="00EC2EE6"/>
    <w:rsid w:val="00EC3012"/>
    <w:rsid w:val="00EC3713"/>
    <w:rsid w:val="00EC37A0"/>
    <w:rsid w:val="00EC3FA5"/>
    <w:rsid w:val="00EC552D"/>
    <w:rsid w:val="00EC56D4"/>
    <w:rsid w:val="00EC59B5"/>
    <w:rsid w:val="00EC5A97"/>
    <w:rsid w:val="00EC5B93"/>
    <w:rsid w:val="00EC6604"/>
    <w:rsid w:val="00EC7641"/>
    <w:rsid w:val="00EC774B"/>
    <w:rsid w:val="00ED13EB"/>
    <w:rsid w:val="00ED1462"/>
    <w:rsid w:val="00ED14A1"/>
    <w:rsid w:val="00ED17FA"/>
    <w:rsid w:val="00ED1856"/>
    <w:rsid w:val="00ED1CEF"/>
    <w:rsid w:val="00ED24B6"/>
    <w:rsid w:val="00ED25D2"/>
    <w:rsid w:val="00ED27E0"/>
    <w:rsid w:val="00ED31E3"/>
    <w:rsid w:val="00ED34D9"/>
    <w:rsid w:val="00ED35C0"/>
    <w:rsid w:val="00ED3924"/>
    <w:rsid w:val="00ED3F38"/>
    <w:rsid w:val="00ED410B"/>
    <w:rsid w:val="00ED4124"/>
    <w:rsid w:val="00ED5030"/>
    <w:rsid w:val="00ED547D"/>
    <w:rsid w:val="00ED596C"/>
    <w:rsid w:val="00ED5ACF"/>
    <w:rsid w:val="00ED657D"/>
    <w:rsid w:val="00ED7CE5"/>
    <w:rsid w:val="00EE0174"/>
    <w:rsid w:val="00EE01D1"/>
    <w:rsid w:val="00EE083C"/>
    <w:rsid w:val="00EE0D6A"/>
    <w:rsid w:val="00EE12E9"/>
    <w:rsid w:val="00EE13A7"/>
    <w:rsid w:val="00EE2B55"/>
    <w:rsid w:val="00EE2DD1"/>
    <w:rsid w:val="00EE3341"/>
    <w:rsid w:val="00EE3445"/>
    <w:rsid w:val="00EE40E2"/>
    <w:rsid w:val="00EE4436"/>
    <w:rsid w:val="00EE4BBE"/>
    <w:rsid w:val="00EE546C"/>
    <w:rsid w:val="00EE563D"/>
    <w:rsid w:val="00EE5DFC"/>
    <w:rsid w:val="00EE60E7"/>
    <w:rsid w:val="00EE6940"/>
    <w:rsid w:val="00EE6A20"/>
    <w:rsid w:val="00EE6E5C"/>
    <w:rsid w:val="00EE7503"/>
    <w:rsid w:val="00EE7636"/>
    <w:rsid w:val="00EE7F14"/>
    <w:rsid w:val="00EF00A8"/>
    <w:rsid w:val="00EF02E6"/>
    <w:rsid w:val="00EF043D"/>
    <w:rsid w:val="00EF045D"/>
    <w:rsid w:val="00EF0511"/>
    <w:rsid w:val="00EF0908"/>
    <w:rsid w:val="00EF0983"/>
    <w:rsid w:val="00EF0C8C"/>
    <w:rsid w:val="00EF0E21"/>
    <w:rsid w:val="00EF138D"/>
    <w:rsid w:val="00EF152C"/>
    <w:rsid w:val="00EF1821"/>
    <w:rsid w:val="00EF1D2F"/>
    <w:rsid w:val="00EF20C3"/>
    <w:rsid w:val="00EF231B"/>
    <w:rsid w:val="00EF2449"/>
    <w:rsid w:val="00EF2467"/>
    <w:rsid w:val="00EF256C"/>
    <w:rsid w:val="00EF29AE"/>
    <w:rsid w:val="00EF2DAB"/>
    <w:rsid w:val="00EF3393"/>
    <w:rsid w:val="00EF36DE"/>
    <w:rsid w:val="00EF3C6A"/>
    <w:rsid w:val="00EF3C7A"/>
    <w:rsid w:val="00EF3F1A"/>
    <w:rsid w:val="00EF4378"/>
    <w:rsid w:val="00EF463E"/>
    <w:rsid w:val="00EF4AFF"/>
    <w:rsid w:val="00EF541D"/>
    <w:rsid w:val="00EF571F"/>
    <w:rsid w:val="00EF579C"/>
    <w:rsid w:val="00EF57BB"/>
    <w:rsid w:val="00EF585C"/>
    <w:rsid w:val="00EF5B95"/>
    <w:rsid w:val="00EF5D4F"/>
    <w:rsid w:val="00EF60B7"/>
    <w:rsid w:val="00EF613D"/>
    <w:rsid w:val="00EF73B1"/>
    <w:rsid w:val="00EF7D56"/>
    <w:rsid w:val="00F000AB"/>
    <w:rsid w:val="00F00922"/>
    <w:rsid w:val="00F0102C"/>
    <w:rsid w:val="00F0106B"/>
    <w:rsid w:val="00F0137B"/>
    <w:rsid w:val="00F0139C"/>
    <w:rsid w:val="00F01AE4"/>
    <w:rsid w:val="00F020E1"/>
    <w:rsid w:val="00F0221D"/>
    <w:rsid w:val="00F02DE5"/>
    <w:rsid w:val="00F0324F"/>
    <w:rsid w:val="00F03AA2"/>
    <w:rsid w:val="00F043F9"/>
    <w:rsid w:val="00F04E02"/>
    <w:rsid w:val="00F05558"/>
    <w:rsid w:val="00F0595E"/>
    <w:rsid w:val="00F05A7B"/>
    <w:rsid w:val="00F06454"/>
    <w:rsid w:val="00F06CB2"/>
    <w:rsid w:val="00F06E72"/>
    <w:rsid w:val="00F07125"/>
    <w:rsid w:val="00F07C8A"/>
    <w:rsid w:val="00F07D8B"/>
    <w:rsid w:val="00F104D0"/>
    <w:rsid w:val="00F10840"/>
    <w:rsid w:val="00F10BD9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420"/>
    <w:rsid w:val="00F21514"/>
    <w:rsid w:val="00F21AE7"/>
    <w:rsid w:val="00F21B8E"/>
    <w:rsid w:val="00F21CAF"/>
    <w:rsid w:val="00F223BD"/>
    <w:rsid w:val="00F223EA"/>
    <w:rsid w:val="00F22EE2"/>
    <w:rsid w:val="00F232DA"/>
    <w:rsid w:val="00F24874"/>
    <w:rsid w:val="00F24980"/>
    <w:rsid w:val="00F24B20"/>
    <w:rsid w:val="00F24CF3"/>
    <w:rsid w:val="00F24EF6"/>
    <w:rsid w:val="00F25C36"/>
    <w:rsid w:val="00F26145"/>
    <w:rsid w:val="00F26345"/>
    <w:rsid w:val="00F2634C"/>
    <w:rsid w:val="00F26378"/>
    <w:rsid w:val="00F26D6D"/>
    <w:rsid w:val="00F30616"/>
    <w:rsid w:val="00F31281"/>
    <w:rsid w:val="00F319F9"/>
    <w:rsid w:val="00F31E2B"/>
    <w:rsid w:val="00F32661"/>
    <w:rsid w:val="00F32AF9"/>
    <w:rsid w:val="00F33B96"/>
    <w:rsid w:val="00F33D39"/>
    <w:rsid w:val="00F341D9"/>
    <w:rsid w:val="00F346B1"/>
    <w:rsid w:val="00F3484E"/>
    <w:rsid w:val="00F349DE"/>
    <w:rsid w:val="00F34E84"/>
    <w:rsid w:val="00F34FB3"/>
    <w:rsid w:val="00F35532"/>
    <w:rsid w:val="00F3622B"/>
    <w:rsid w:val="00F36323"/>
    <w:rsid w:val="00F36F16"/>
    <w:rsid w:val="00F37507"/>
    <w:rsid w:val="00F3791A"/>
    <w:rsid w:val="00F40042"/>
    <w:rsid w:val="00F408AB"/>
    <w:rsid w:val="00F415F2"/>
    <w:rsid w:val="00F418C7"/>
    <w:rsid w:val="00F42037"/>
    <w:rsid w:val="00F423F6"/>
    <w:rsid w:val="00F42415"/>
    <w:rsid w:val="00F424D3"/>
    <w:rsid w:val="00F4284C"/>
    <w:rsid w:val="00F42A38"/>
    <w:rsid w:val="00F4336F"/>
    <w:rsid w:val="00F433F2"/>
    <w:rsid w:val="00F43455"/>
    <w:rsid w:val="00F443B0"/>
    <w:rsid w:val="00F444E7"/>
    <w:rsid w:val="00F447EA"/>
    <w:rsid w:val="00F448ED"/>
    <w:rsid w:val="00F44943"/>
    <w:rsid w:val="00F44DB9"/>
    <w:rsid w:val="00F453DF"/>
    <w:rsid w:val="00F4737E"/>
    <w:rsid w:val="00F47D5F"/>
    <w:rsid w:val="00F47E5F"/>
    <w:rsid w:val="00F50623"/>
    <w:rsid w:val="00F511EE"/>
    <w:rsid w:val="00F51292"/>
    <w:rsid w:val="00F51D28"/>
    <w:rsid w:val="00F51E4D"/>
    <w:rsid w:val="00F533F9"/>
    <w:rsid w:val="00F539AC"/>
    <w:rsid w:val="00F53D94"/>
    <w:rsid w:val="00F5420D"/>
    <w:rsid w:val="00F54768"/>
    <w:rsid w:val="00F54836"/>
    <w:rsid w:val="00F54ADC"/>
    <w:rsid w:val="00F553E8"/>
    <w:rsid w:val="00F5569D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151A"/>
    <w:rsid w:val="00F626F5"/>
    <w:rsid w:val="00F629DE"/>
    <w:rsid w:val="00F632C0"/>
    <w:rsid w:val="00F63811"/>
    <w:rsid w:val="00F638B4"/>
    <w:rsid w:val="00F6394E"/>
    <w:rsid w:val="00F643C2"/>
    <w:rsid w:val="00F64616"/>
    <w:rsid w:val="00F64A0B"/>
    <w:rsid w:val="00F6557B"/>
    <w:rsid w:val="00F66600"/>
    <w:rsid w:val="00F666B5"/>
    <w:rsid w:val="00F67176"/>
    <w:rsid w:val="00F67275"/>
    <w:rsid w:val="00F67EF9"/>
    <w:rsid w:val="00F700FD"/>
    <w:rsid w:val="00F705F6"/>
    <w:rsid w:val="00F713E2"/>
    <w:rsid w:val="00F7187B"/>
    <w:rsid w:val="00F718A4"/>
    <w:rsid w:val="00F71F69"/>
    <w:rsid w:val="00F722CC"/>
    <w:rsid w:val="00F72698"/>
    <w:rsid w:val="00F728AA"/>
    <w:rsid w:val="00F72AD3"/>
    <w:rsid w:val="00F72C8A"/>
    <w:rsid w:val="00F72CA8"/>
    <w:rsid w:val="00F72D90"/>
    <w:rsid w:val="00F72F5B"/>
    <w:rsid w:val="00F741FA"/>
    <w:rsid w:val="00F7430B"/>
    <w:rsid w:val="00F745D9"/>
    <w:rsid w:val="00F7494C"/>
    <w:rsid w:val="00F7523E"/>
    <w:rsid w:val="00F759D7"/>
    <w:rsid w:val="00F7609A"/>
    <w:rsid w:val="00F76924"/>
    <w:rsid w:val="00F76C4F"/>
    <w:rsid w:val="00F76FD6"/>
    <w:rsid w:val="00F77293"/>
    <w:rsid w:val="00F77C33"/>
    <w:rsid w:val="00F77C4A"/>
    <w:rsid w:val="00F77D71"/>
    <w:rsid w:val="00F808F0"/>
    <w:rsid w:val="00F80927"/>
    <w:rsid w:val="00F80956"/>
    <w:rsid w:val="00F81921"/>
    <w:rsid w:val="00F819E1"/>
    <w:rsid w:val="00F81FBC"/>
    <w:rsid w:val="00F822A0"/>
    <w:rsid w:val="00F83A8B"/>
    <w:rsid w:val="00F83B2E"/>
    <w:rsid w:val="00F84099"/>
    <w:rsid w:val="00F8412E"/>
    <w:rsid w:val="00F843F7"/>
    <w:rsid w:val="00F8476D"/>
    <w:rsid w:val="00F84B12"/>
    <w:rsid w:val="00F85501"/>
    <w:rsid w:val="00F856DE"/>
    <w:rsid w:val="00F85851"/>
    <w:rsid w:val="00F86769"/>
    <w:rsid w:val="00F8676D"/>
    <w:rsid w:val="00F86C16"/>
    <w:rsid w:val="00F87074"/>
    <w:rsid w:val="00F87256"/>
    <w:rsid w:val="00F8798B"/>
    <w:rsid w:val="00F9034D"/>
    <w:rsid w:val="00F90624"/>
    <w:rsid w:val="00F907AF"/>
    <w:rsid w:val="00F90E09"/>
    <w:rsid w:val="00F913D6"/>
    <w:rsid w:val="00F91CBC"/>
    <w:rsid w:val="00F91E36"/>
    <w:rsid w:val="00F922E0"/>
    <w:rsid w:val="00F922ED"/>
    <w:rsid w:val="00F930F1"/>
    <w:rsid w:val="00F9329F"/>
    <w:rsid w:val="00F93A0A"/>
    <w:rsid w:val="00F94A71"/>
    <w:rsid w:val="00F94CCA"/>
    <w:rsid w:val="00F9535C"/>
    <w:rsid w:val="00F953AB"/>
    <w:rsid w:val="00F955E5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4E0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4D9"/>
    <w:rsid w:val="00FA459D"/>
    <w:rsid w:val="00FA4A3B"/>
    <w:rsid w:val="00FA62C1"/>
    <w:rsid w:val="00FA6B17"/>
    <w:rsid w:val="00FA73E4"/>
    <w:rsid w:val="00FA7860"/>
    <w:rsid w:val="00FB0060"/>
    <w:rsid w:val="00FB012F"/>
    <w:rsid w:val="00FB029B"/>
    <w:rsid w:val="00FB0A08"/>
    <w:rsid w:val="00FB0AD3"/>
    <w:rsid w:val="00FB0D58"/>
    <w:rsid w:val="00FB185F"/>
    <w:rsid w:val="00FB1D2F"/>
    <w:rsid w:val="00FB21EE"/>
    <w:rsid w:val="00FB2506"/>
    <w:rsid w:val="00FB306B"/>
    <w:rsid w:val="00FB30A8"/>
    <w:rsid w:val="00FB3784"/>
    <w:rsid w:val="00FB4D41"/>
    <w:rsid w:val="00FB50C2"/>
    <w:rsid w:val="00FB529D"/>
    <w:rsid w:val="00FB56C5"/>
    <w:rsid w:val="00FB57EF"/>
    <w:rsid w:val="00FB59E5"/>
    <w:rsid w:val="00FB5FB0"/>
    <w:rsid w:val="00FB6E9A"/>
    <w:rsid w:val="00FB6F0E"/>
    <w:rsid w:val="00FB7A46"/>
    <w:rsid w:val="00FB7D49"/>
    <w:rsid w:val="00FC06BF"/>
    <w:rsid w:val="00FC0AE4"/>
    <w:rsid w:val="00FC0E21"/>
    <w:rsid w:val="00FC15FD"/>
    <w:rsid w:val="00FC1694"/>
    <w:rsid w:val="00FC1BE6"/>
    <w:rsid w:val="00FC1CA7"/>
    <w:rsid w:val="00FC1CF2"/>
    <w:rsid w:val="00FC1D8B"/>
    <w:rsid w:val="00FC2124"/>
    <w:rsid w:val="00FC2576"/>
    <w:rsid w:val="00FC2A8A"/>
    <w:rsid w:val="00FC2E45"/>
    <w:rsid w:val="00FC351E"/>
    <w:rsid w:val="00FC35DE"/>
    <w:rsid w:val="00FC4398"/>
    <w:rsid w:val="00FC440C"/>
    <w:rsid w:val="00FC4B62"/>
    <w:rsid w:val="00FC4BA2"/>
    <w:rsid w:val="00FC503B"/>
    <w:rsid w:val="00FC5301"/>
    <w:rsid w:val="00FC588B"/>
    <w:rsid w:val="00FC5B26"/>
    <w:rsid w:val="00FC5BD1"/>
    <w:rsid w:val="00FC5F5C"/>
    <w:rsid w:val="00FC6028"/>
    <w:rsid w:val="00FC635D"/>
    <w:rsid w:val="00FC66B8"/>
    <w:rsid w:val="00FC6719"/>
    <w:rsid w:val="00FC6947"/>
    <w:rsid w:val="00FC6E6C"/>
    <w:rsid w:val="00FC6E74"/>
    <w:rsid w:val="00FC7186"/>
    <w:rsid w:val="00FC742F"/>
    <w:rsid w:val="00FC7C89"/>
    <w:rsid w:val="00FD0F61"/>
    <w:rsid w:val="00FD1102"/>
    <w:rsid w:val="00FD1280"/>
    <w:rsid w:val="00FD143C"/>
    <w:rsid w:val="00FD1580"/>
    <w:rsid w:val="00FD1946"/>
    <w:rsid w:val="00FD1D2C"/>
    <w:rsid w:val="00FD1DE0"/>
    <w:rsid w:val="00FD2965"/>
    <w:rsid w:val="00FD2A64"/>
    <w:rsid w:val="00FD2CC3"/>
    <w:rsid w:val="00FD2FEA"/>
    <w:rsid w:val="00FD3D61"/>
    <w:rsid w:val="00FD436D"/>
    <w:rsid w:val="00FD491D"/>
    <w:rsid w:val="00FD49DB"/>
    <w:rsid w:val="00FD4E79"/>
    <w:rsid w:val="00FD5062"/>
    <w:rsid w:val="00FD5C8E"/>
    <w:rsid w:val="00FD692F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FC"/>
    <w:rsid w:val="00FE235B"/>
    <w:rsid w:val="00FE2651"/>
    <w:rsid w:val="00FE26EE"/>
    <w:rsid w:val="00FE27FE"/>
    <w:rsid w:val="00FE2852"/>
    <w:rsid w:val="00FE2F5F"/>
    <w:rsid w:val="00FE393B"/>
    <w:rsid w:val="00FE4145"/>
    <w:rsid w:val="00FE4608"/>
    <w:rsid w:val="00FE4826"/>
    <w:rsid w:val="00FE53DC"/>
    <w:rsid w:val="00FE5DD2"/>
    <w:rsid w:val="00FE66DF"/>
    <w:rsid w:val="00FE6845"/>
    <w:rsid w:val="00FE6AD1"/>
    <w:rsid w:val="00FE78FD"/>
    <w:rsid w:val="00FE7BA2"/>
    <w:rsid w:val="00FF0586"/>
    <w:rsid w:val="00FF08DA"/>
    <w:rsid w:val="00FF09BD"/>
    <w:rsid w:val="00FF1744"/>
    <w:rsid w:val="00FF2265"/>
    <w:rsid w:val="00FF3496"/>
    <w:rsid w:val="00FF3CA1"/>
    <w:rsid w:val="00FF4177"/>
    <w:rsid w:val="00FF4374"/>
    <w:rsid w:val="00FF4675"/>
    <w:rsid w:val="00FF48C8"/>
    <w:rsid w:val="00FF6248"/>
    <w:rsid w:val="00FF69AF"/>
    <w:rsid w:val="00FF7923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0D963A"/>
  <w15:docId w15:val="{29F90630-7AA0-44E5-87E4-7A3CD3A3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0972"/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569CC"/>
    <w:pPr>
      <w:keepNext/>
      <w:keepLines/>
      <w:spacing w:before="40" w:line="276" w:lineRule="auto"/>
      <w:ind w:left="-510"/>
      <w:outlineLvl w:val="1"/>
    </w:pPr>
    <w:rPr>
      <w:rFonts w:asciiTheme="majorHAnsi" w:eastAsiaTheme="majorEastAsia" w:hAnsiTheme="majorHAnsi" w:cstheme="majorBidi"/>
      <w:b/>
      <w:szCs w:val="26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69CC"/>
    <w:rPr>
      <w:rFonts w:asciiTheme="majorHAnsi" w:eastAsiaTheme="majorEastAsia" w:hAnsiTheme="majorHAnsi" w:cstheme="majorBidi"/>
      <w:b/>
      <w:sz w:val="24"/>
      <w:szCs w:val="26"/>
      <w:lang w:eastAsia="en-U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9CC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semiHidden/>
    <w:rsid w:val="0017097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01F92"/>
    <w:rPr>
      <w:rFonts w:ascii="Tahoma" w:hAnsi="Tahoma" w:cs="Tahoma"/>
      <w:sz w:val="24"/>
      <w:szCs w:val="24"/>
      <w:shd w:val="clear" w:color="auto" w:fill="000080"/>
      <w:lang w:val="es-ES_tradnl" w:eastAsia="es-ES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link w:val="TextodegloboCar"/>
    <w:semiHidden/>
    <w:rsid w:val="001709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CC"/>
    <w:rPr>
      <w:rFonts w:ascii="Tahoma" w:hAnsi="Tahoma" w:cs="Tahoma"/>
      <w:sz w:val="16"/>
      <w:szCs w:val="16"/>
      <w:lang w:val="es-ES_tradnl" w:eastAsia="es-ES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463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31E2B"/>
    <w:pPr>
      <w:spacing w:before="100" w:beforeAutospacing="1" w:after="100" w:afterAutospacing="1"/>
    </w:pPr>
    <w:rPr>
      <w:rFonts w:ascii="Times New Roman" w:hAnsi="Times New Roman" w:cs="Times New Roman"/>
      <w:lang w:val="es-MX" w:eastAsia="es-MX"/>
    </w:rPr>
  </w:style>
  <w:style w:type="character" w:styleId="Refdecomentario">
    <w:name w:val="annotation reference"/>
    <w:basedOn w:val="Fuentedeprrafopredeter"/>
    <w:semiHidden/>
    <w:unhideWhenUsed/>
    <w:rsid w:val="00207BB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7BB5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7BB5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207BB5"/>
    <w:rPr>
      <w:rFonts w:ascii="Arial" w:hAnsi="Arial" w:cs="Arial"/>
      <w:sz w:val="24"/>
      <w:szCs w:val="24"/>
      <w:lang w:val="es-ES_tradnl" w:eastAsia="es-ES"/>
    </w:rPr>
  </w:style>
  <w:style w:type="table" w:styleId="Tablaconcuadrcula6concolores-nfasis2">
    <w:name w:val="Grid Table 6 Colorful Accent 2"/>
    <w:basedOn w:val="Tablanormal"/>
    <w:uiPriority w:val="51"/>
    <w:rsid w:val="0074514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9244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6concolores">
    <w:name w:val="Grid Table 6 Colorful"/>
    <w:basedOn w:val="Tablanormal"/>
    <w:uiPriority w:val="51"/>
    <w:rsid w:val="00336D6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2">
    <w:name w:val="List Table 4 Accent 2"/>
    <w:basedOn w:val="Tablanormal"/>
    <w:uiPriority w:val="49"/>
    <w:rsid w:val="00336D65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Listaconvietas2">
    <w:name w:val="List Bullet 2"/>
    <w:basedOn w:val="Normal"/>
    <w:unhideWhenUsed/>
    <w:rsid w:val="00801F92"/>
    <w:pPr>
      <w:numPr>
        <w:numId w:val="33"/>
      </w:numPr>
      <w:contextualSpacing/>
      <w:jc w:val="both"/>
    </w:pPr>
  </w:style>
  <w:style w:type="paragraph" w:styleId="Sangradetextonormal">
    <w:name w:val="Body Text Indent"/>
    <w:basedOn w:val="Normal"/>
    <w:link w:val="SangradetextonormalCar"/>
    <w:semiHidden/>
    <w:unhideWhenUsed/>
    <w:rsid w:val="00801F92"/>
    <w:pPr>
      <w:spacing w:after="120"/>
      <w:ind w:left="283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01F92"/>
    <w:rPr>
      <w:rFonts w:ascii="Arial" w:hAnsi="Arial" w:cs="Arial"/>
      <w:sz w:val="24"/>
      <w:szCs w:val="24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801F92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01F92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26" Type="http://schemas.openxmlformats.org/officeDocument/2006/relationships/chart" Target="charts/chart5.xml"/><Relationship Id="rId39" Type="http://schemas.openxmlformats.org/officeDocument/2006/relationships/chart" Target="charts/chart18.xml"/><Relationship Id="rId21" Type="http://schemas.openxmlformats.org/officeDocument/2006/relationships/footer" Target="footer1.xml"/><Relationship Id="rId34" Type="http://schemas.openxmlformats.org/officeDocument/2006/relationships/chart" Target="charts/chart13.xml"/><Relationship Id="rId42" Type="http://schemas.openxmlformats.org/officeDocument/2006/relationships/chart" Target="charts/chart21.xml"/><Relationship Id="rId47" Type="http://schemas.openxmlformats.org/officeDocument/2006/relationships/chart" Target="charts/chart26.xml"/><Relationship Id="rId50" Type="http://schemas.openxmlformats.org/officeDocument/2006/relationships/chart" Target="charts/chart28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9" Type="http://schemas.openxmlformats.org/officeDocument/2006/relationships/chart" Target="charts/chart8.xml"/><Relationship Id="rId11" Type="http://schemas.openxmlformats.org/officeDocument/2006/relationships/image" Target="media/image1.jpeg"/><Relationship Id="rId24" Type="http://schemas.openxmlformats.org/officeDocument/2006/relationships/chart" Target="charts/chart3.xml"/><Relationship Id="rId32" Type="http://schemas.openxmlformats.org/officeDocument/2006/relationships/chart" Target="charts/chart11.xml"/><Relationship Id="rId37" Type="http://schemas.openxmlformats.org/officeDocument/2006/relationships/chart" Target="charts/chart16.xml"/><Relationship Id="rId40" Type="http://schemas.openxmlformats.org/officeDocument/2006/relationships/chart" Target="charts/chart19.xml"/><Relationship Id="rId45" Type="http://schemas.openxmlformats.org/officeDocument/2006/relationships/chart" Target="charts/chart24.xm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31" Type="http://schemas.openxmlformats.org/officeDocument/2006/relationships/chart" Target="charts/chart10.xml"/><Relationship Id="rId44" Type="http://schemas.openxmlformats.org/officeDocument/2006/relationships/chart" Target="charts/chart23.xm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chart" Target="charts/chart2.xml"/><Relationship Id="rId27" Type="http://schemas.openxmlformats.org/officeDocument/2006/relationships/chart" Target="charts/chart6.xml"/><Relationship Id="rId30" Type="http://schemas.openxmlformats.org/officeDocument/2006/relationships/chart" Target="charts/chart9.xml"/><Relationship Id="rId35" Type="http://schemas.openxmlformats.org/officeDocument/2006/relationships/chart" Target="charts/chart14.xml"/><Relationship Id="rId43" Type="http://schemas.openxmlformats.org/officeDocument/2006/relationships/chart" Target="charts/chart22.xml"/><Relationship Id="rId48" Type="http://schemas.openxmlformats.org/officeDocument/2006/relationships/image" Target="media/image9.jpeg"/><Relationship Id="rId8" Type="http://schemas.openxmlformats.org/officeDocument/2006/relationships/chart" Target="charts/chart1.xml"/><Relationship Id="rId51" Type="http://schemas.openxmlformats.org/officeDocument/2006/relationships/hyperlink" Target="https://www.inegi.org.mx/programas/ensu/default.html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5" Type="http://schemas.openxmlformats.org/officeDocument/2006/relationships/chart" Target="charts/chart4.xml"/><Relationship Id="rId33" Type="http://schemas.openxmlformats.org/officeDocument/2006/relationships/chart" Target="charts/chart12.xml"/><Relationship Id="rId38" Type="http://schemas.openxmlformats.org/officeDocument/2006/relationships/chart" Target="charts/chart17.xml"/><Relationship Id="rId46" Type="http://schemas.openxmlformats.org/officeDocument/2006/relationships/chart" Target="charts/chart25.xml"/><Relationship Id="rId20" Type="http://schemas.openxmlformats.org/officeDocument/2006/relationships/header" Target="header1.xml"/><Relationship Id="rId41" Type="http://schemas.openxmlformats.org/officeDocument/2006/relationships/chart" Target="charts/chart20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chart" Target="charts/chart7.xml"/><Relationship Id="rId36" Type="http://schemas.openxmlformats.org/officeDocument/2006/relationships/chart" Target="charts/chart15.xml"/><Relationship Id="rId49" Type="http://schemas.openxmlformats.org/officeDocument/2006/relationships/chart" Target="charts/chart27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gi.org.mx/programas/ensu/default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3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4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5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6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7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8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9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0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H:\1.-%20Boletines%20y%20Notas\ENSU%20-%20Encuesta%20Nacional%20sobre%20Seguridad%20Urbana\3.-%20Cuadros%20y%20gr&#225;ficas\Graficas%20ENSU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microsoft.com/office/2011/relationships/chartColorStyle" Target="colors5.xml"/><Relationship Id="rId1" Type="http://schemas.microsoft.com/office/2011/relationships/chartStyle" Target="style5.xml"/><Relationship Id="rId5" Type="http://schemas.openxmlformats.org/officeDocument/2006/relationships/chartUserShapes" Target="../drawings/drawing3.xml"/><Relationship Id="rId4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H:\1.-%20Boletines%20y%20Notas\ENSU%20-%20Encuesta%20Nacional%20sobre%20Seguridad%20Urbana\3.-%20Cuadros%20y%20gr&#225;ficas\Graficas%20ENS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378571428571437E-2"/>
          <c:y val="4.4830555555555554E-2"/>
          <c:w val="0.9032837301587302"/>
          <c:h val="0.7359944444444444"/>
        </c:manualLayout>
      </c:layout>
      <c:lineChart>
        <c:grouping val="standard"/>
        <c:varyColors val="0"/>
        <c:ser>
          <c:idx val="0"/>
          <c:order val="0"/>
          <c:tx>
            <c:strRef>
              <c:f>'I 1.2  BD'!$C$4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rgbClr val="97191C"/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0CC3-4565-BCA7-D1DDF20345BB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0CC3-4565-BCA7-D1DDF20345BB}"/>
              </c:ext>
            </c:extLst>
          </c:dPt>
          <c:dPt>
            <c:idx val="32"/>
            <c:marker>
              <c:symbol val="none"/>
            </c:marker>
            <c:bubble3D val="0"/>
            <c:spPr>
              <a:ln w="19050" cap="rnd">
                <a:solidFill>
                  <a:srgbClr val="97191C">
                    <a:alpha val="98000"/>
                  </a:srgb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0CC3-4565-BCA7-D1DDF20345BB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0CC3-4565-BCA7-D1DDF20345BB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0CC3-4565-BCA7-D1DDF20345BB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C3-4565-BCA7-D1DDF20345BB}"/>
                </c:ext>
              </c:extLst>
            </c:dLbl>
            <c:dLbl>
              <c:idx val="33"/>
              <c:layout>
                <c:manualLayout>
                  <c:x val="-4.9607341269841267E-2"/>
                  <c:y val="-3.2883730158730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CC3-4565-BCA7-D1DDF20345BB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CC3-4565-BCA7-D1DDF2034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BD'!$C$5:$C$39</c:f>
              <c:numCache>
                <c:formatCode>0.0</c:formatCode>
                <c:ptCount val="35"/>
                <c:pt idx="0">
                  <c:v>67.998401637679606</c:v>
                </c:pt>
                <c:pt idx="1">
                  <c:v>68.040260505268066</c:v>
                </c:pt>
                <c:pt idx="2">
                  <c:v>72.403793377326394</c:v>
                </c:pt>
                <c:pt idx="3">
                  <c:v>70.203194834243803</c:v>
                </c:pt>
                <c:pt idx="4">
                  <c:v>66.953750233376894</c:v>
                </c:pt>
                <c:pt idx="5">
                  <c:v>67.861966770629607</c:v>
                </c:pt>
                <c:pt idx="6">
                  <c:v>67.942004840475704</c:v>
                </c:pt>
                <c:pt idx="7">
                  <c:v>68.965671574614802</c:v>
                </c:pt>
                <c:pt idx="8">
                  <c:v>67.994183034118095</c:v>
                </c:pt>
                <c:pt idx="9">
                  <c:v>67.745538653441898</c:v>
                </c:pt>
                <c:pt idx="10">
                  <c:v>69.879963683485997</c:v>
                </c:pt>
                <c:pt idx="11">
                  <c:v>70.002479489234503</c:v>
                </c:pt>
                <c:pt idx="12">
                  <c:v>71.936862418418301</c:v>
                </c:pt>
                <c:pt idx="13">
                  <c:v>74.072656123319703</c:v>
                </c:pt>
                <c:pt idx="14">
                  <c:v>72.906217224306204</c:v>
                </c:pt>
                <c:pt idx="15">
                  <c:v>74.860560244830111</c:v>
                </c:pt>
                <c:pt idx="16">
                  <c:v>76.018679331155596</c:v>
                </c:pt>
                <c:pt idx="17">
                  <c:v>75.945440043727672</c:v>
                </c:pt>
                <c:pt idx="18">
                  <c:v>76.809531663452475</c:v>
                </c:pt>
                <c:pt idx="19">
                  <c:v>75.854548717185239</c:v>
                </c:pt>
                <c:pt idx="20">
                  <c:v>74.868763347464721</c:v>
                </c:pt>
                <c:pt idx="21">
                  <c:v>73.723465984841127</c:v>
                </c:pt>
                <c:pt idx="22">
                  <c:v>74.557297095132256</c:v>
                </c:pt>
                <c:pt idx="23" formatCode="#\ ##0.0">
                  <c:v>73.865194345584896</c:v>
                </c:pt>
                <c:pt idx="24" formatCode="#\ ##0.0">
                  <c:v>71.286561337550651</c:v>
                </c:pt>
                <c:pt idx="25">
                  <c:v>72.893989018339795</c:v>
                </c:pt>
                <c:pt idx="26">
                  <c:v>73.393041023620626</c:v>
                </c:pt>
                <c:pt idx="28">
                  <c:v>67.798435356099205</c:v>
                </c:pt>
                <c:pt idx="29">
                  <c:v>68.063908700088604</c:v>
                </c:pt>
                <c:pt idx="30">
                  <c:v>66.425788705103997</c:v>
                </c:pt>
                <c:pt idx="31">
                  <c:v>66.558555168287995</c:v>
                </c:pt>
                <c:pt idx="32">
                  <c:v>64.482490839141803</c:v>
                </c:pt>
                <c:pt idx="33">
                  <c:v>65.806148209579803</c:v>
                </c:pt>
                <c:pt idx="34">
                  <c:v>66.249543784542496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0CC3-4565-BCA7-D1DDF20345BB}"/>
            </c:ext>
          </c:extLst>
        </c:ser>
        <c:ser>
          <c:idx val="1"/>
          <c:order val="1"/>
          <c:tx>
            <c:strRef>
              <c:f>'I 1.2  BD'!$D$4</c:f>
              <c:strCache>
                <c:ptCount val="1"/>
                <c:pt idx="0">
                  <c:v>Hombres</c:v>
                </c:pt>
              </c:strCache>
            </c:strRef>
          </c:tx>
          <c:spPr>
            <a:ln w="1905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circle"/>
              <c:size val="2"/>
              <c:spPr>
                <a:noFill/>
                <a:ln w="12700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0CC3-4565-BCA7-D1DDF20345BB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0CC3-4565-BCA7-D1DDF20345BB}"/>
              </c:ext>
            </c:extLst>
          </c:dPt>
          <c:dPt>
            <c:idx val="3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9-0CC3-4565-BCA7-D1DDF20345BB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12700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0CC3-4565-BCA7-D1DDF20345BB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0CC3-4565-BCA7-D1DDF20345BB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CC3-4565-BCA7-D1DDF20345BB}"/>
                </c:ext>
              </c:extLst>
            </c:dLbl>
            <c:dLbl>
              <c:idx val="33"/>
              <c:layout>
                <c:manualLayout>
                  <c:x val="-5.5436507936508124E-2"/>
                  <c:y val="-3.0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CC3-4565-BCA7-D1DDF20345BB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CC3-4565-BCA7-D1DDF2034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noFill/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BD'!$D$5:$D$39</c:f>
              <c:numCache>
                <c:formatCode>0.0</c:formatCode>
                <c:ptCount val="35"/>
                <c:pt idx="0">
                  <c:v>64.7914878988271</c:v>
                </c:pt>
                <c:pt idx="1">
                  <c:v>62.834419582201086</c:v>
                </c:pt>
                <c:pt idx="2">
                  <c:v>71.108067985011942</c:v>
                </c:pt>
                <c:pt idx="3">
                  <c:v>67.155949613848918</c:v>
                </c:pt>
                <c:pt idx="4">
                  <c:v>65.832970688174925</c:v>
                </c:pt>
                <c:pt idx="5">
                  <c:v>64.710906231758145</c:v>
                </c:pt>
                <c:pt idx="6">
                  <c:v>66.013915134453228</c:v>
                </c:pt>
                <c:pt idx="7">
                  <c:v>64.425705034217813</c:v>
                </c:pt>
                <c:pt idx="8">
                  <c:v>65.826763130159563</c:v>
                </c:pt>
                <c:pt idx="9">
                  <c:v>62.669176918579353</c:v>
                </c:pt>
                <c:pt idx="10">
                  <c:v>65.1059528924158</c:v>
                </c:pt>
                <c:pt idx="11">
                  <c:v>64.166125469765348</c:v>
                </c:pt>
                <c:pt idx="12">
                  <c:v>66.982556467067695</c:v>
                </c:pt>
                <c:pt idx="13">
                  <c:v>68.602619070166938</c:v>
                </c:pt>
                <c:pt idx="14">
                  <c:v>67.515108307016789</c:v>
                </c:pt>
                <c:pt idx="15">
                  <c:v>68.899552958701761</c:v>
                </c:pt>
                <c:pt idx="16">
                  <c:v>71.075927939191629</c:v>
                </c:pt>
                <c:pt idx="17">
                  <c:v>70.591539105082333</c:v>
                </c:pt>
                <c:pt idx="18">
                  <c:v>71.826759762490809</c:v>
                </c:pt>
                <c:pt idx="19">
                  <c:v>71.349658201073908</c:v>
                </c:pt>
                <c:pt idx="20">
                  <c:v>69.178399819607279</c:v>
                </c:pt>
                <c:pt idx="21">
                  <c:v>68.551039115443515</c:v>
                </c:pt>
                <c:pt idx="22">
                  <c:v>68.331237869988414</c:v>
                </c:pt>
                <c:pt idx="23" formatCode="#\ ##0.0">
                  <c:v>68.151617551808698</c:v>
                </c:pt>
                <c:pt idx="24" formatCode="#\ ##0.0">
                  <c:v>65.777577862419633</c:v>
                </c:pt>
                <c:pt idx="25" formatCode="#\ ##0.0">
                  <c:v>67.761870278231598</c:v>
                </c:pt>
                <c:pt idx="26">
                  <c:v>67.248708701652404</c:v>
                </c:pt>
                <c:pt idx="28">
                  <c:v>61.971308956014802</c:v>
                </c:pt>
                <c:pt idx="29">
                  <c:v>62.741990373505097</c:v>
                </c:pt>
                <c:pt idx="30">
                  <c:v>60.886909936351898</c:v>
                </c:pt>
                <c:pt idx="31">
                  <c:v>60.863280252666797</c:v>
                </c:pt>
                <c:pt idx="32">
                  <c:v>58.782962591950401</c:v>
                </c:pt>
                <c:pt idx="33">
                  <c:v>60.2198951554441</c:v>
                </c:pt>
                <c:pt idx="34">
                  <c:v>60.422169850180403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CC3-4565-BCA7-D1DDF20345BB}"/>
            </c:ext>
          </c:extLst>
        </c:ser>
        <c:ser>
          <c:idx val="2"/>
          <c:order val="2"/>
          <c:tx>
            <c:strRef>
              <c:f>'I 1.2  BD'!$E$4</c:f>
              <c:strCache>
                <c:ptCount val="1"/>
                <c:pt idx="0">
                  <c:v>Mujeres</c:v>
                </c:pt>
              </c:strCache>
            </c:strRef>
          </c:tx>
          <c:spPr>
            <a:ln w="19050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E-0CC3-4565-BCA7-D1DDF20345BB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0CC3-4565-BCA7-D1DDF20345BB}"/>
              </c:ext>
            </c:extLst>
          </c:dPt>
          <c:dPt>
            <c:idx val="3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0-0CC3-4565-BCA7-D1DDF20345BB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1-0CC3-4565-BCA7-D1DDF20345BB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2-0CC3-4565-BCA7-D1DDF20345BB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CC3-4565-BCA7-D1DDF20345BB}"/>
                </c:ext>
              </c:extLst>
            </c:dLbl>
            <c:dLbl>
              <c:idx val="33"/>
              <c:layout>
                <c:manualLayout>
                  <c:x val="-4.7087499999999997E-2"/>
                  <c:y val="-3.2883730158730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CC3-4565-BCA7-D1DDF20345BB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0CC3-4565-BCA7-D1DDF20345B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BD'!$E$5:$E$39</c:f>
              <c:numCache>
                <c:formatCode>0.0</c:formatCode>
                <c:ptCount val="35"/>
                <c:pt idx="0">
                  <c:v>70.282279151525387</c:v>
                </c:pt>
                <c:pt idx="1">
                  <c:v>71.728051364792037</c:v>
                </c:pt>
                <c:pt idx="2">
                  <c:v>73.387717323404971</c:v>
                </c:pt>
                <c:pt idx="3">
                  <c:v>72.511357501675477</c:v>
                </c:pt>
                <c:pt idx="4">
                  <c:v>67.73013577324862</c:v>
                </c:pt>
                <c:pt idx="5">
                  <c:v>70.200100315039776</c:v>
                </c:pt>
                <c:pt idx="6">
                  <c:v>69.366322830556797</c:v>
                </c:pt>
                <c:pt idx="7">
                  <c:v>72.553677343030927</c:v>
                </c:pt>
                <c:pt idx="8">
                  <c:v>69.65786031557586</c:v>
                </c:pt>
                <c:pt idx="9">
                  <c:v>71.422756225102049</c:v>
                </c:pt>
                <c:pt idx="10">
                  <c:v>73.874645040271631</c:v>
                </c:pt>
                <c:pt idx="11">
                  <c:v>74.760098406923092</c:v>
                </c:pt>
                <c:pt idx="12">
                  <c:v>76.238601699250566</c:v>
                </c:pt>
                <c:pt idx="13">
                  <c:v>78.777306527990604</c:v>
                </c:pt>
                <c:pt idx="14">
                  <c:v>77.500770907786972</c:v>
                </c:pt>
                <c:pt idx="15">
                  <c:v>80.194103531416488</c:v>
                </c:pt>
                <c:pt idx="16">
                  <c:v>80.322018796139389</c:v>
                </c:pt>
                <c:pt idx="17">
                  <c:v>80.528690927089926</c:v>
                </c:pt>
                <c:pt idx="18">
                  <c:v>81.010342797131102</c:v>
                </c:pt>
                <c:pt idx="19">
                  <c:v>79.560289562564535</c:v>
                </c:pt>
                <c:pt idx="20">
                  <c:v>79.689714029598434</c:v>
                </c:pt>
                <c:pt idx="21">
                  <c:v>77.987814255048534</c:v>
                </c:pt>
                <c:pt idx="22">
                  <c:v>79.621433175311893</c:v>
                </c:pt>
                <c:pt idx="23" formatCode="#\ ##0.0">
                  <c:v>78.650140579525896</c:v>
                </c:pt>
                <c:pt idx="24" formatCode="#\ ##0.0">
                  <c:v>75.911732202060534</c:v>
                </c:pt>
                <c:pt idx="25" formatCode="#\ ##0.0">
                  <c:v>77.218631465611494</c:v>
                </c:pt>
                <c:pt idx="26">
                  <c:v>78.593709409691485</c:v>
                </c:pt>
                <c:pt idx="28">
                  <c:v>72.712773127331204</c:v>
                </c:pt>
                <c:pt idx="29">
                  <c:v>72.579445919283899</c:v>
                </c:pt>
                <c:pt idx="30">
                  <c:v>70.998737774104896</c:v>
                </c:pt>
                <c:pt idx="31">
                  <c:v>71.349953504723999</c:v>
                </c:pt>
                <c:pt idx="32">
                  <c:v>69.110529148059896</c:v>
                </c:pt>
                <c:pt idx="33">
                  <c:v>70.302270744997998</c:v>
                </c:pt>
                <c:pt idx="34">
                  <c:v>71.057842166634899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0CC3-4565-BCA7-D1DDF20345BB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48146600"/>
        <c:axId val="348148952"/>
      </c:lineChart>
      <c:catAx>
        <c:axId val="34814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48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8148952"/>
        <c:scaling>
          <c:orientation val="minMax"/>
          <c:max val="85"/>
          <c:min val="55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#,##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46600"/>
        <c:crossesAt val="1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6.6308762745105804E-2"/>
          <c:y val="0.93864484126984127"/>
          <c:w val="0.8503767339907945"/>
          <c:h val="5.52206349206349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Disparos frecuentes con armas</a:t>
            </a:r>
          </a:p>
        </c:rich>
      </c:tx>
      <c:layout>
        <c:manualLayout>
          <c:xMode val="edge"/>
          <c:yMode val="edge"/>
          <c:x val="0.24843434285700425"/>
          <c:y val="1.093888888888888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22345873015873022"/>
          <c:w val="0.93080897207368285"/>
          <c:h val="0.60234761904761902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BD'!$F$3</c:f>
              <c:strCache>
                <c:ptCount val="1"/>
                <c:pt idx="0">
                  <c:v>Disparos frecuentes con armas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Pt>
            <c:idx val="13"/>
            <c:marker>
              <c:symbol val="none"/>
            </c:marker>
            <c:bubble3D val="0"/>
            <c:spPr>
              <a:ln w="12700">
                <a:solidFill>
                  <a:srgbClr val="D80817"/>
                </a:solidFill>
                <a:prstDash val="sysDot"/>
              </a:ln>
            </c:spPr>
            <c:extLst>
              <c:ext xmlns:c16="http://schemas.microsoft.com/office/drawing/2014/chart" uri="{C3380CC4-5D6E-409C-BE32-E72D297353CC}">
                <c16:uniqueId val="{00000001-2195-4CE2-8DFC-7B65E350D090}"/>
              </c:ext>
            </c:extLst>
          </c:dPt>
          <c:dPt>
            <c:idx val="14"/>
            <c:bubble3D val="0"/>
            <c:spPr>
              <a:ln w="12700">
                <a:solidFill>
                  <a:srgbClr val="D80817"/>
                </a:solidFill>
                <a:prstDash val="sysDot"/>
              </a:ln>
            </c:spPr>
            <c:extLst>
              <c:ext xmlns:c16="http://schemas.microsoft.com/office/drawing/2014/chart" uri="{C3380CC4-5D6E-409C-BE32-E72D297353CC}">
                <c16:uniqueId val="{00000003-2195-4CE2-8DFC-7B65E350D090}"/>
              </c:ext>
            </c:extLst>
          </c:dPt>
          <c:dLbls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95-4CE2-8DFC-7B65E350D09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60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BD'!$F$6:$F$26</c:f>
              <c:numCache>
                <c:formatCode>0.0</c:formatCode>
                <c:ptCount val="21"/>
                <c:pt idx="0">
                  <c:v>32.529578945513997</c:v>
                </c:pt>
                <c:pt idx="1">
                  <c:v>34.911404889259799</c:v>
                </c:pt>
                <c:pt idx="2">
                  <c:v>33.808967454804304</c:v>
                </c:pt>
                <c:pt idx="3">
                  <c:v>37.822292191961502</c:v>
                </c:pt>
                <c:pt idx="4">
                  <c:v>40.032256875332699</c:v>
                </c:pt>
                <c:pt idx="5">
                  <c:v>39.465784947798021</c:v>
                </c:pt>
                <c:pt idx="6">
                  <c:v>40.991435403637603</c:v>
                </c:pt>
                <c:pt idx="7">
                  <c:v>42.816725102343199</c:v>
                </c:pt>
                <c:pt idx="8">
                  <c:v>42.676246354042902</c:v>
                </c:pt>
                <c:pt idx="9">
                  <c:v>42.069257128227697</c:v>
                </c:pt>
                <c:pt idx="10">
                  <c:v>41.444835043323799</c:v>
                </c:pt>
                <c:pt idx="11">
                  <c:v>42.357893188236403</c:v>
                </c:pt>
                <c:pt idx="12">
                  <c:v>41.0315870424282</c:v>
                </c:pt>
                <c:pt idx="14">
                  <c:v>39.604346834344099</c:v>
                </c:pt>
                <c:pt idx="15">
                  <c:v>40.414565371769001</c:v>
                </c:pt>
                <c:pt idx="16">
                  <c:v>38.825691897597402</c:v>
                </c:pt>
                <c:pt idx="17">
                  <c:v>38.160224521679403</c:v>
                </c:pt>
                <c:pt idx="18">
                  <c:v>37.557830172364497</c:v>
                </c:pt>
                <c:pt idx="19">
                  <c:v>39.602367885537497</c:v>
                </c:pt>
                <c:pt idx="20">
                  <c:v>38.855424609652502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195-4CE2-8DFC-7B65E350D0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04888"/>
        <c:axId val="603110768"/>
      </c:lineChart>
      <c:catAx>
        <c:axId val="6031048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03110768"/>
        <c:crossesAt val="0"/>
        <c:auto val="1"/>
        <c:lblAlgn val="ctr"/>
        <c:lblOffset val="50"/>
        <c:tickLblSkip val="1"/>
        <c:tickMarkSkip val="4"/>
        <c:noMultiLvlLbl val="1"/>
      </c:catAx>
      <c:valAx>
        <c:axId val="603110768"/>
        <c:scaling>
          <c:orientation val="minMax"/>
          <c:max val="45"/>
          <c:min val="30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3104888"/>
        <c:crosses val="autoZero"/>
        <c:crossBetween val="between"/>
        <c:majorUnit val="3"/>
      </c:valAx>
      <c:spPr>
        <a:noFill/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55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Bandas violentas o pandillerismo</a:t>
            </a:r>
          </a:p>
        </c:rich>
      </c:tx>
      <c:layout>
        <c:manualLayout>
          <c:xMode val="edge"/>
          <c:yMode val="edge"/>
          <c:x val="0.27117893474056703"/>
          <c:y val="4.9999999999999989E-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9241038585997505"/>
          <c:w val="0.93080897207368285"/>
          <c:h val="0.63339529683317353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BD'!$H$3</c:f>
              <c:strCache>
                <c:ptCount val="1"/>
                <c:pt idx="0">
                  <c:v>Bandas violentas o pandillerismo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dLbl>
              <c:idx val="6"/>
              <c:layout>
                <c:manualLayout>
                  <c:x val="-4.4097096707771857E-2"/>
                  <c:y val="-7.71779970127190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53-46C6-972A-25257A4833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BD'!$H$6:$H$26</c:f>
              <c:numCache>
                <c:formatCode>0.0</c:formatCode>
                <c:ptCount val="21"/>
                <c:pt idx="0">
                  <c:v>34.011998534948297</c:v>
                </c:pt>
                <c:pt idx="1">
                  <c:v>35.1036376857557</c:v>
                </c:pt>
                <c:pt idx="2">
                  <c:v>34.813406439597799</c:v>
                </c:pt>
                <c:pt idx="3">
                  <c:v>35.1604274256675</c:v>
                </c:pt>
                <c:pt idx="4">
                  <c:v>35.927212345474402</c:v>
                </c:pt>
                <c:pt idx="5">
                  <c:v>35.539211770736422</c:v>
                </c:pt>
                <c:pt idx="6">
                  <c:v>37.053815238886898</c:v>
                </c:pt>
                <c:pt idx="7">
                  <c:v>33.348289129539403</c:v>
                </c:pt>
                <c:pt idx="8">
                  <c:v>33.9340433357427</c:v>
                </c:pt>
                <c:pt idx="9">
                  <c:v>33.0788263973363</c:v>
                </c:pt>
                <c:pt idx="10">
                  <c:v>31.9304609260898</c:v>
                </c:pt>
                <c:pt idx="11">
                  <c:v>30.085677516872387</c:v>
                </c:pt>
                <c:pt idx="12">
                  <c:v>30.194542711643901</c:v>
                </c:pt>
                <c:pt idx="14">
                  <c:v>29.349831077346</c:v>
                </c:pt>
                <c:pt idx="15">
                  <c:v>26.7016366430563</c:v>
                </c:pt>
                <c:pt idx="16">
                  <c:v>26.086548860183399</c:v>
                </c:pt>
                <c:pt idx="17">
                  <c:v>26.590212828399999</c:v>
                </c:pt>
                <c:pt idx="18">
                  <c:v>26.672806552999401</c:v>
                </c:pt>
                <c:pt idx="19">
                  <c:v>27.138652961796701</c:v>
                </c:pt>
                <c:pt idx="20">
                  <c:v>26.6079866486903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53-46C6-972A-25257A4833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09200"/>
        <c:axId val="603103320"/>
      </c:lineChart>
      <c:catAx>
        <c:axId val="603109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3103320"/>
        <c:crossesAt val="0"/>
        <c:auto val="1"/>
        <c:lblAlgn val="ctr"/>
        <c:lblOffset val="50"/>
        <c:tickLblSkip val="1"/>
        <c:tickMarkSkip val="4"/>
        <c:noMultiLvlLbl val="1"/>
      </c:catAx>
      <c:valAx>
        <c:axId val="603103320"/>
        <c:scaling>
          <c:orientation val="minMax"/>
          <c:max val="40"/>
          <c:min val="24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crossAx val="603109200"/>
        <c:crosses val="autoZero"/>
        <c:crossBetween val="between"/>
        <c:majorUnit val="4"/>
      </c:valAx>
      <c:spPr>
        <a:noFill/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Tomas irregulares de luz </a:t>
            </a:r>
            <a:br>
              <a:rPr lang="es-MX" sz="700"/>
            </a:br>
            <a:r>
              <a:rPr lang="es-MX" sz="700"/>
              <a:t>(energía eléctrica) o diablitos</a:t>
            </a:r>
          </a:p>
        </c:rich>
      </c:tx>
      <c:layout>
        <c:manualLayout>
          <c:xMode val="edge"/>
          <c:yMode val="edge"/>
          <c:x val="0.28158295017052887"/>
          <c:y val="1.012936507936508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BD'!$I$3</c:f>
              <c:strCache>
                <c:ptCount val="1"/>
                <c:pt idx="0">
                  <c:v>Tomas irregulares de luz (energía eléctrica) o diablitos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BD'!$A$18:$B$26</c:f>
              <c:multiLvlStrCache>
                <c:ptCount val="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'IV 4.2 BD'!$I$18:$I$26</c:f>
              <c:numCache>
                <c:formatCode>General</c:formatCode>
                <c:ptCount val="9"/>
                <c:pt idx="0" formatCode="0.0">
                  <c:v>16.483297438080001</c:v>
                </c:pt>
                <c:pt idx="2" formatCode="0.0">
                  <c:v>14.870224477627699</c:v>
                </c:pt>
                <c:pt idx="3" formatCode="0.0">
                  <c:v>14.4236198908518</c:v>
                </c:pt>
                <c:pt idx="4" formatCode="0.0">
                  <c:v>15.2515869977729</c:v>
                </c:pt>
                <c:pt idx="5" formatCode="0.0">
                  <c:v>14.8214947806879</c:v>
                </c:pt>
                <c:pt idx="6" formatCode="0.0">
                  <c:v>15.292280709968299</c:v>
                </c:pt>
                <c:pt idx="7" formatCode="0.0">
                  <c:v>14.5672086319515</c:v>
                </c:pt>
                <c:pt idx="8" formatCode="0.0">
                  <c:v>13.819807798836701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322-45F6-9FB1-AE037E4710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05672"/>
        <c:axId val="603106456"/>
      </c:lineChart>
      <c:catAx>
        <c:axId val="603105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3106456"/>
        <c:crossesAt val="0"/>
        <c:auto val="1"/>
        <c:lblAlgn val="ctr"/>
        <c:lblOffset val="50"/>
        <c:tickLblSkip val="1"/>
        <c:tickMarkSkip val="4"/>
        <c:noMultiLvlLbl val="1"/>
      </c:catAx>
      <c:valAx>
        <c:axId val="603106456"/>
        <c:scaling>
          <c:orientation val="minMax"/>
          <c:max val="18"/>
          <c:min val="12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crossAx val="603105672"/>
        <c:crosses val="autoZero"/>
        <c:crossBetween val="between"/>
        <c:majorUnit val="2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Robo o venta ilegal de gasolina o </a:t>
            </a:r>
          </a:p>
          <a:p>
            <a:pPr>
              <a:defRPr sz="700"/>
            </a:pPr>
            <a:r>
              <a:rPr lang="es-MX" sz="700"/>
              <a:t>diésel (huachicol)</a:t>
            </a:r>
          </a:p>
        </c:rich>
      </c:tx>
      <c:layout>
        <c:manualLayout>
          <c:xMode val="edge"/>
          <c:yMode val="edge"/>
          <c:x val="0.23291544356409918"/>
          <c:y val="2.020873015873015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BD'!$J$3</c:f>
              <c:strCache>
                <c:ptCount val="1"/>
                <c:pt idx="0">
                  <c:v>Robo o venta ilegal de gasolina o diésel (huachicol)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BD'!$A$15:$B$26</c:f>
              <c:multiLvlStrCache>
                <c:ptCount val="12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</c:lvl>
                <c:lvl>
                  <c:pt idx="3">
                    <c:v>2020</c:v>
                  </c:pt>
                  <c:pt idx="7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'IV 4.2 BD'!$J$15:$J$26</c:f>
              <c:numCache>
                <c:formatCode>0.0</c:formatCode>
                <c:ptCount val="12"/>
                <c:pt idx="0">
                  <c:v>6.0389014575508</c:v>
                </c:pt>
                <c:pt idx="1">
                  <c:v>4.5533338463118804</c:v>
                </c:pt>
                <c:pt idx="2">
                  <c:v>4.0160210510933316</c:v>
                </c:pt>
                <c:pt idx="3">
                  <c:v>4.4100133609567704</c:v>
                </c:pt>
                <c:pt idx="5">
                  <c:v>3.7376731462052799</c:v>
                </c:pt>
                <c:pt idx="6">
                  <c:v>3.4899974865213599</c:v>
                </c:pt>
                <c:pt idx="7">
                  <c:v>3.30433551270308</c:v>
                </c:pt>
                <c:pt idx="8">
                  <c:v>3.3271034223887299</c:v>
                </c:pt>
                <c:pt idx="9">
                  <c:v>3.7702640245497898</c:v>
                </c:pt>
                <c:pt idx="10">
                  <c:v>3.8176595436382099</c:v>
                </c:pt>
                <c:pt idx="11">
                  <c:v>3.0852716406266398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C66-4A59-910D-0B48BD3665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16648"/>
        <c:axId val="603114688"/>
      </c:lineChart>
      <c:catAx>
        <c:axId val="6031166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3114688"/>
        <c:crossesAt val="0"/>
        <c:auto val="1"/>
        <c:lblAlgn val="ctr"/>
        <c:lblOffset val="50"/>
        <c:tickLblSkip val="1"/>
        <c:tickMarkSkip val="1"/>
        <c:noMultiLvlLbl val="1"/>
      </c:catAx>
      <c:valAx>
        <c:axId val="603114688"/>
        <c:scaling>
          <c:orientation val="minMax"/>
          <c:max val="8"/>
          <c:min val="2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crossAx val="603116648"/>
        <c:crosses val="autoZero"/>
        <c:crossBetween val="between"/>
        <c:majorUnit val="2"/>
      </c:valAx>
      <c:spPr>
        <a:noFill/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solidFill>
            <a:sysClr val="windowText" lastClr="000000"/>
          </a:solidFill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705002889804495E-2"/>
          <c:y val="5.5436401240951387E-2"/>
          <c:w val="0.91847043650793647"/>
          <c:h val="0.75391666666666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'VII 7.4'!$B$2</c:f>
              <c:strCache>
                <c:ptCount val="1"/>
                <c:pt idx="0">
                  <c:v>IV T 2021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7.4'!$A$3:$A$8</c:f>
              <c:strCache>
                <c:ptCount val="6"/>
                <c:pt idx="0">
                  <c:v>Vecinos</c:v>
                </c:pt>
                <c:pt idx="1">
                  <c:v>Desconocidos en la calle</c:v>
                </c:pt>
                <c:pt idx="2">
                  <c:v>Autoridades</c:v>
                </c:pt>
                <c:pt idx="3">
                  <c:v>Familiares</c:v>
                </c:pt>
                <c:pt idx="4">
                  <c:v>Establecimientos</c:v>
                </c:pt>
                <c:pt idx="5">
                  <c:v>Compañeros de trabajo o escuela</c:v>
                </c:pt>
              </c:strCache>
            </c:strRef>
          </c:cat>
          <c:val>
            <c:numRef>
              <c:f>'VII 7.4'!$B$3:$B$8</c:f>
              <c:numCache>
                <c:formatCode>0.0</c:formatCode>
                <c:ptCount val="6"/>
                <c:pt idx="0">
                  <c:v>74.958212726366995</c:v>
                </c:pt>
                <c:pt idx="1">
                  <c:v>31.811549250414998</c:v>
                </c:pt>
                <c:pt idx="2">
                  <c:v>15.315640335628901</c:v>
                </c:pt>
                <c:pt idx="3">
                  <c:v>8.9947054077582393</c:v>
                </c:pt>
                <c:pt idx="4">
                  <c:v>4.7645669080017399</c:v>
                </c:pt>
                <c:pt idx="5">
                  <c:v>2.4379334232772001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80-4FEF-AA93-804E9E300FDD}"/>
            </c:ext>
          </c:extLst>
        </c:ser>
        <c:ser>
          <c:idx val="1"/>
          <c:order val="1"/>
          <c:tx>
            <c:strRef>
              <c:f>'VII 7.4'!$C$2</c:f>
              <c:strCache>
                <c:ptCount val="1"/>
                <c:pt idx="0">
                  <c:v>I T 2022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7.4'!$A$3:$A$8</c:f>
              <c:strCache>
                <c:ptCount val="6"/>
                <c:pt idx="0">
                  <c:v>Vecinos</c:v>
                </c:pt>
                <c:pt idx="1">
                  <c:v>Desconocidos en la calle</c:v>
                </c:pt>
                <c:pt idx="2">
                  <c:v>Autoridades</c:v>
                </c:pt>
                <c:pt idx="3">
                  <c:v>Familiares</c:v>
                </c:pt>
                <c:pt idx="4">
                  <c:v>Establecimientos</c:v>
                </c:pt>
                <c:pt idx="5">
                  <c:v>Compañeros de trabajo o escuela</c:v>
                </c:pt>
              </c:strCache>
            </c:strRef>
          </c:cat>
          <c:val>
            <c:numRef>
              <c:f>'VII 7.4'!$C$3:$C$8</c:f>
              <c:numCache>
                <c:formatCode>0.0</c:formatCode>
                <c:ptCount val="6"/>
                <c:pt idx="0">
                  <c:v>72.793364315449097</c:v>
                </c:pt>
                <c:pt idx="1">
                  <c:v>30.020816145516299</c:v>
                </c:pt>
                <c:pt idx="2">
                  <c:v>15.6625831271962</c:v>
                </c:pt>
                <c:pt idx="3">
                  <c:v>8.2401553842831294</c:v>
                </c:pt>
                <c:pt idx="4">
                  <c:v>4.1943605642025998</c:v>
                </c:pt>
                <c:pt idx="5">
                  <c:v>2.7387144953808602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80-4FEF-AA93-804E9E300F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4678792"/>
        <c:axId val="634679968"/>
      </c:barChart>
      <c:catAx>
        <c:axId val="6346787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79968"/>
        <c:crosses val="autoZero"/>
        <c:auto val="1"/>
        <c:lblAlgn val="ctr"/>
        <c:lblOffset val="50"/>
        <c:tickLblSkip val="1"/>
        <c:noMultiLvlLbl val="0"/>
      </c:catAx>
      <c:valAx>
        <c:axId val="634679968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78792"/>
        <c:crosses val="autoZero"/>
        <c:crossBetween val="between"/>
        <c:majorUnit val="30"/>
      </c:valAx>
      <c:spPr>
        <a:noFill/>
        <a:ln w="9525"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46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7.869940476190479E-2"/>
          <c:y val="0.92014325396825392"/>
          <c:w val="0.88795813492063513"/>
          <c:h val="7.4817063492063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310000000000001"/>
          <c:y val="3.3818404556900841E-2"/>
          <c:w val="0.47231666666666666"/>
          <c:h val="0.8835279035172639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'VII 7.2'!$B$5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60000"/>
            </a:solidFill>
            <a:ln w="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7.2'!$A$14:$A$22</c:f>
              <c:strCache>
                <c:ptCount val="9"/>
                <c:pt idx="0">
                  <c:v>Conflictos en el transporte público o privado</c:v>
                </c:pt>
                <c:pt idx="1">
                  <c:v>Problemas con trámites y servidores públicos</c:v>
                </c:pt>
                <c:pt idx="2">
                  <c:v>Molestias por borrachos, drogadictos o pandillas</c:v>
                </c:pt>
                <c:pt idx="3">
                  <c:v>Conflictos con los hijos(as) de los vecinos</c:v>
                </c:pt>
                <c:pt idx="4">
                  <c:v>Chismes o malos entendidos</c:v>
                </c:pt>
                <c:pt idx="5">
                  <c:v>Problemas relacionados con animales domésticos</c:v>
                </c:pt>
                <c:pt idx="6">
                  <c:v>Problemas de estacionamiento</c:v>
                </c:pt>
                <c:pt idx="7">
                  <c:v>Basura tirada o quemada por vecinos</c:v>
                </c:pt>
                <c:pt idx="8">
                  <c:v>Ruido</c:v>
                </c:pt>
              </c:strCache>
            </c:strRef>
          </c:cat>
          <c:val>
            <c:numRef>
              <c:f>'VII 7.2'!$B$14:$B$22</c:f>
              <c:numCache>
                <c:formatCode>0.0</c:formatCode>
                <c:ptCount val="9"/>
                <c:pt idx="0">
                  <c:v>5.8682031416473297</c:v>
                </c:pt>
                <c:pt idx="1">
                  <c:v>4.9039761081909399</c:v>
                </c:pt>
                <c:pt idx="2">
                  <c:v>5.4218214254456498</c:v>
                </c:pt>
                <c:pt idx="3">
                  <c:v>4.12412446003614</c:v>
                </c:pt>
                <c:pt idx="4">
                  <c:v>5.9784343480378697</c:v>
                </c:pt>
                <c:pt idx="5">
                  <c:v>8.0742935253917008</c:v>
                </c:pt>
                <c:pt idx="6">
                  <c:v>9.9523456744215508</c:v>
                </c:pt>
                <c:pt idx="7">
                  <c:v>10.5480436392029</c:v>
                </c:pt>
                <c:pt idx="8">
                  <c:v>12.521291572953499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FB-494F-B1CA-A21105838460}"/>
            </c:ext>
          </c:extLst>
        </c:ser>
        <c:ser>
          <c:idx val="1"/>
          <c:order val="1"/>
          <c:tx>
            <c:strRef>
              <c:f>'VII 7.2'!$C$5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7.2'!$A$14:$A$22</c:f>
              <c:strCache>
                <c:ptCount val="9"/>
                <c:pt idx="0">
                  <c:v>Conflictos en el transporte público o privado</c:v>
                </c:pt>
                <c:pt idx="1">
                  <c:v>Problemas con trámites y servidores públicos</c:v>
                </c:pt>
                <c:pt idx="2">
                  <c:v>Molestias por borrachos, drogadictos o pandillas</c:v>
                </c:pt>
                <c:pt idx="3">
                  <c:v>Conflictos con los hijos(as) de los vecinos</c:v>
                </c:pt>
                <c:pt idx="4">
                  <c:v>Chismes o malos entendidos</c:v>
                </c:pt>
                <c:pt idx="5">
                  <c:v>Problemas relacionados con animales domésticos</c:v>
                </c:pt>
                <c:pt idx="6">
                  <c:v>Problemas de estacionamiento</c:v>
                </c:pt>
                <c:pt idx="7">
                  <c:v>Basura tirada o quemada por vecinos</c:v>
                </c:pt>
                <c:pt idx="8">
                  <c:v>Ruido</c:v>
                </c:pt>
              </c:strCache>
            </c:strRef>
          </c:cat>
          <c:val>
            <c:numRef>
              <c:f>'VII 7.2'!$C$14:$C$22</c:f>
              <c:numCache>
                <c:formatCode>0.0</c:formatCode>
                <c:ptCount val="9"/>
                <c:pt idx="0">
                  <c:v>4.6782224084425801</c:v>
                </c:pt>
                <c:pt idx="1">
                  <c:v>4.8536576716164701</c:v>
                </c:pt>
                <c:pt idx="2">
                  <c:v>4.93406428795846</c:v>
                </c:pt>
                <c:pt idx="3">
                  <c:v>4.9683223292541197</c:v>
                </c:pt>
                <c:pt idx="4">
                  <c:v>5.1711598679352502</c:v>
                </c:pt>
                <c:pt idx="5">
                  <c:v>8.04432857502721</c:v>
                </c:pt>
                <c:pt idx="6">
                  <c:v>9.9942929595526007</c:v>
                </c:pt>
                <c:pt idx="7">
                  <c:v>11.0818194695184</c:v>
                </c:pt>
                <c:pt idx="8">
                  <c:v>13.323925121733501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FB-494F-B1CA-A211058384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4678008"/>
        <c:axId val="634679184"/>
      </c:barChart>
      <c:catAx>
        <c:axId val="6346780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t" anchorCtr="0"/>
          <a:lstStyle/>
          <a:p>
            <a:pPr>
              <a:defRPr sz="800" b="0" i="0" u="none" strike="noStrike" kern="120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79184"/>
        <c:crosses val="autoZero"/>
        <c:auto val="1"/>
        <c:lblAlgn val="ctr"/>
        <c:lblOffset val="100"/>
        <c:noMultiLvlLbl val="0"/>
      </c:catAx>
      <c:valAx>
        <c:axId val="634679184"/>
        <c:scaling>
          <c:orientation val="minMax"/>
          <c:max val="18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78008"/>
        <c:crosses val="autoZero"/>
        <c:crossBetween val="between"/>
        <c:majorUnit val="5"/>
      </c:valAx>
      <c:spPr>
        <a:noFill/>
        <a:ln w="317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delete val="1"/>
      </c:legendEntry>
      <c:layout>
        <c:manualLayout>
          <c:xMode val="edge"/>
          <c:yMode val="edge"/>
          <c:x val="0.18206954851409704"/>
          <c:y val="0.93937771802162051"/>
          <c:w val="0.28398174603174597"/>
          <c:h val="5.88148441817061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DC2C3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470238095238097"/>
          <c:y val="4.2347222222222217E-2"/>
          <c:w val="0.42071428571428582"/>
          <c:h val="0.877809444444444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'VII 7.2'!$B$5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7.2'!$A$6:$A$13</c:f>
              <c:strCache>
                <c:ptCount val="8"/>
                <c:pt idx="0">
                  <c:v>Otro</c:v>
                </c:pt>
                <c:pt idx="1">
                  <c:v>Conflictos por la compra de productos y servicios privados</c:v>
                </c:pt>
                <c:pt idx="2">
                  <c:v>Incumplimiento en cuotas vecinales</c:v>
                </c:pt>
                <c:pt idx="3">
                  <c:v>Ambulantaje</c:v>
                </c:pt>
                <c:pt idx="4">
                  <c:v>Disputas con familiares</c:v>
                </c:pt>
                <c:pt idx="5">
                  <c:v>Grafiti o pintas a su casa</c:v>
                </c:pt>
                <c:pt idx="6">
                  <c:v>Problemas con autoridades relacionadas con seguridad pública</c:v>
                </c:pt>
                <c:pt idx="7">
                  <c:v>Problemas con establecimientos</c:v>
                </c:pt>
              </c:strCache>
            </c:strRef>
          </c:cat>
          <c:val>
            <c:numRef>
              <c:f>'VII 7.2'!$B$6:$B$13</c:f>
              <c:numCache>
                <c:formatCode>0.0</c:formatCode>
                <c:ptCount val="8"/>
                <c:pt idx="0">
                  <c:v>0.43000600560291202</c:v>
                </c:pt>
                <c:pt idx="1">
                  <c:v>1.07284082350778</c:v>
                </c:pt>
                <c:pt idx="2">
                  <c:v>1.89195890633834</c:v>
                </c:pt>
                <c:pt idx="3">
                  <c:v>2.5854173440542301</c:v>
                </c:pt>
                <c:pt idx="4">
                  <c:v>2.2595155097378301</c:v>
                </c:pt>
                <c:pt idx="5">
                  <c:v>2.8483205600271302</c:v>
                </c:pt>
                <c:pt idx="6">
                  <c:v>5.5653633465341699</c:v>
                </c:pt>
                <c:pt idx="7">
                  <c:v>3.6929494806304799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48-4AA6-B4B5-9D705B07DF17}"/>
            </c:ext>
          </c:extLst>
        </c:ser>
        <c:ser>
          <c:idx val="1"/>
          <c:order val="1"/>
          <c:tx>
            <c:strRef>
              <c:f>'VII 7.2'!$C$5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 7.2'!$A$6:$A$13</c:f>
              <c:strCache>
                <c:ptCount val="8"/>
                <c:pt idx="0">
                  <c:v>Otro</c:v>
                </c:pt>
                <c:pt idx="1">
                  <c:v>Conflictos por la compra de productos y servicios privados</c:v>
                </c:pt>
                <c:pt idx="2">
                  <c:v>Incumplimiento en cuotas vecinales</c:v>
                </c:pt>
                <c:pt idx="3">
                  <c:v>Ambulantaje</c:v>
                </c:pt>
                <c:pt idx="4">
                  <c:v>Disputas con familiares</c:v>
                </c:pt>
                <c:pt idx="5">
                  <c:v>Grafiti o pintas a su casa</c:v>
                </c:pt>
                <c:pt idx="6">
                  <c:v>Problemas con autoridades relacionadas con seguridad pública</c:v>
                </c:pt>
                <c:pt idx="7">
                  <c:v>Problemas con establecimientos</c:v>
                </c:pt>
              </c:strCache>
            </c:strRef>
          </c:cat>
          <c:val>
            <c:numRef>
              <c:f>'VII 7.2'!$C$6:$C$13</c:f>
              <c:numCache>
                <c:formatCode>0.0</c:formatCode>
                <c:ptCount val="8"/>
                <c:pt idx="0">
                  <c:v>0.50918924146169298</c:v>
                </c:pt>
                <c:pt idx="1">
                  <c:v>1.0050244988649299</c:v>
                </c:pt>
                <c:pt idx="2">
                  <c:v>1.7132097219498501</c:v>
                </c:pt>
                <c:pt idx="3">
                  <c:v>1.7606097133105001</c:v>
                </c:pt>
                <c:pt idx="4">
                  <c:v>2.5013068153920202</c:v>
                </c:pt>
                <c:pt idx="5">
                  <c:v>2.6552351795826099</c:v>
                </c:pt>
                <c:pt idx="6">
                  <c:v>2.8793260079607501</c:v>
                </c:pt>
                <c:pt idx="7">
                  <c:v>3.4390708055092398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48-4AA6-B4B5-9D705B07D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overlap val="4"/>
        <c:axId val="634657232"/>
        <c:axId val="634658016"/>
      </c:barChart>
      <c:catAx>
        <c:axId val="6346572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58016"/>
        <c:crosses val="autoZero"/>
        <c:auto val="1"/>
        <c:lblAlgn val="ctr"/>
        <c:lblOffset val="100"/>
        <c:noMultiLvlLbl val="0"/>
      </c:catAx>
      <c:valAx>
        <c:axId val="634658016"/>
        <c:scaling>
          <c:orientation val="minMax"/>
          <c:max val="18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ysClr val="windowText" lastClr="00000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57232"/>
        <c:crosses val="autoZero"/>
        <c:crossBetween val="between"/>
        <c:majorUnit val="5"/>
      </c:valAx>
      <c:spPr>
        <a:noFill/>
        <a:ln w="3175"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46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5948611111111111"/>
          <c:y val="0.94451121794871795"/>
          <c:w val="0.28919365079365078"/>
          <c:h val="5.38645061728395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rgbClr val="46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noFill/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Cambió su hábito de llevar objetos de valor</a:t>
            </a:r>
            <a:endParaRPr lang="es-MX" sz="700" baseline="0">
              <a:effectLst/>
            </a:endParaRPr>
          </a:p>
        </c:rich>
      </c:tx>
      <c:layout>
        <c:manualLayout>
          <c:xMode val="edge"/>
          <c:yMode val="edge"/>
          <c:x val="0.16276599624526969"/>
          <c:y val="8.5952380952380894E-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8.0857995821516579E-2"/>
          <c:y val="0.17063174603174605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'V 5.2 BD'!$C$3</c:f>
              <c:strCache>
                <c:ptCount val="1"/>
                <c:pt idx="0">
                  <c:v>Llevar objetos de valor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 5.2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 5.2 BD'!$C$6:$C$26</c:f>
              <c:numCache>
                <c:formatCode>0.0</c:formatCode>
                <c:ptCount val="21"/>
                <c:pt idx="0">
                  <c:v>62.650817612474995</c:v>
                </c:pt>
                <c:pt idx="1">
                  <c:v>61.765424667536337</c:v>
                </c:pt>
                <c:pt idx="2">
                  <c:v>62.4900880818115</c:v>
                </c:pt>
                <c:pt idx="3">
                  <c:v>62.9026650974738</c:v>
                </c:pt>
                <c:pt idx="4">
                  <c:v>66.546418729010696</c:v>
                </c:pt>
                <c:pt idx="5">
                  <c:v>65.482263729639229</c:v>
                </c:pt>
                <c:pt idx="6">
                  <c:v>65.836777242861132</c:v>
                </c:pt>
                <c:pt idx="7">
                  <c:v>61.413021814117684</c:v>
                </c:pt>
                <c:pt idx="8">
                  <c:v>66.371359161382486</c:v>
                </c:pt>
                <c:pt idx="9">
                  <c:v>62.428742797900107</c:v>
                </c:pt>
                <c:pt idx="10">
                  <c:v>59.727046264965864</c:v>
                </c:pt>
                <c:pt idx="11">
                  <c:v>65.135593771270194</c:v>
                </c:pt>
                <c:pt idx="12">
                  <c:v>64.753235156215823</c:v>
                </c:pt>
                <c:pt idx="14">
                  <c:v>61.775894157147405</c:v>
                </c:pt>
                <c:pt idx="15">
                  <c:v>60.573643466070003</c:v>
                </c:pt>
                <c:pt idx="16">
                  <c:v>59.149187956777538</c:v>
                </c:pt>
                <c:pt idx="17">
                  <c:v>56.252713321519579</c:v>
                </c:pt>
                <c:pt idx="18">
                  <c:v>53.382119975376966</c:v>
                </c:pt>
                <c:pt idx="19">
                  <c:v>57.472495390149994</c:v>
                </c:pt>
                <c:pt idx="20">
                  <c:v>55.761397707558224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0B-412A-A32D-5B705CC52A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1082704"/>
        <c:axId val="351088192"/>
      </c:lineChart>
      <c:catAx>
        <c:axId val="3510827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>
                <a:solidFill>
                  <a:sysClr val="windowText" lastClr="000000"/>
                </a:solidFill>
              </a:defRPr>
            </a:pPr>
            <a:endParaRPr lang="es-MX"/>
          </a:p>
        </c:txPr>
        <c:crossAx val="351088192"/>
        <c:crossesAt val="50"/>
        <c:auto val="1"/>
        <c:lblAlgn val="ctr"/>
        <c:lblOffset val="50"/>
        <c:tickLblSkip val="1"/>
        <c:tickMarkSkip val="4"/>
        <c:noMultiLvlLbl val="1"/>
      </c:catAx>
      <c:valAx>
        <c:axId val="351088192"/>
        <c:scaling>
          <c:orientation val="minMax"/>
          <c:max val="70"/>
          <c:min val="52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351082704"/>
        <c:crosses val="autoZero"/>
        <c:crossBetween val="between"/>
        <c:majorUnit val="3"/>
      </c:valAx>
      <c:spPr>
        <a:noFill/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Cambió su hábito de caminar de noche</a:t>
            </a:r>
            <a:r>
              <a:rPr lang="es-MX" sz="700" baseline="0">
                <a:effectLst/>
              </a:rPr>
              <a:t> en alrededores de su vivienda</a:t>
            </a:r>
          </a:p>
        </c:rich>
      </c:tx>
      <c:layout>
        <c:manualLayout>
          <c:xMode val="edge"/>
          <c:yMode val="edge"/>
          <c:x val="0.16572048611111112"/>
          <c:y val="8.6031746031746035E-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22102857142857146"/>
          <c:w val="0.93080897207368285"/>
          <c:h val="0.60477698412698411"/>
        </c:manualLayout>
      </c:layout>
      <c:lineChart>
        <c:grouping val="standard"/>
        <c:varyColors val="0"/>
        <c:ser>
          <c:idx val="0"/>
          <c:order val="0"/>
          <c:tx>
            <c:strRef>
              <c:f>'V 5.2 BD'!$D$3</c:f>
              <c:strCache>
                <c:ptCount val="1"/>
                <c:pt idx="0">
                  <c:v>Caminar de noche en alrededores de su vivienda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 5.2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 5.2 BD'!$D$6:$D$26</c:f>
              <c:numCache>
                <c:formatCode>0.0</c:formatCode>
                <c:ptCount val="21"/>
                <c:pt idx="0">
                  <c:v>51.886640919046201</c:v>
                </c:pt>
                <c:pt idx="1">
                  <c:v>50.295410804074962</c:v>
                </c:pt>
                <c:pt idx="2">
                  <c:v>52.341834598456785</c:v>
                </c:pt>
                <c:pt idx="3">
                  <c:v>53.148772800835822</c:v>
                </c:pt>
                <c:pt idx="4">
                  <c:v>56.074918023969488</c:v>
                </c:pt>
                <c:pt idx="5">
                  <c:v>53.545915793177571</c:v>
                </c:pt>
                <c:pt idx="6">
                  <c:v>55.777006559779331</c:v>
                </c:pt>
                <c:pt idx="7">
                  <c:v>53.163844826284702</c:v>
                </c:pt>
                <c:pt idx="8">
                  <c:v>55.494379321885212</c:v>
                </c:pt>
                <c:pt idx="9">
                  <c:v>51.671404142058918</c:v>
                </c:pt>
                <c:pt idx="10">
                  <c:v>49.93453553459338</c:v>
                </c:pt>
                <c:pt idx="11">
                  <c:v>53.493850887755897</c:v>
                </c:pt>
                <c:pt idx="12">
                  <c:v>53.957794755576835</c:v>
                </c:pt>
                <c:pt idx="14">
                  <c:v>51.914840018404171</c:v>
                </c:pt>
                <c:pt idx="15">
                  <c:v>52.864191913820235</c:v>
                </c:pt>
                <c:pt idx="16">
                  <c:v>51.598174509617067</c:v>
                </c:pt>
                <c:pt idx="17">
                  <c:v>48.745494215714032</c:v>
                </c:pt>
                <c:pt idx="18">
                  <c:v>46.363872582260569</c:v>
                </c:pt>
                <c:pt idx="19">
                  <c:v>49.105066203645094</c:v>
                </c:pt>
                <c:pt idx="20">
                  <c:v>48.415857941923605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5D-4143-835E-B5E4F2F77B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4961144"/>
        <c:axId val="606173432"/>
      </c:lineChart>
      <c:catAx>
        <c:axId val="3449611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6173432"/>
        <c:crosses val="autoZero"/>
        <c:auto val="1"/>
        <c:lblAlgn val="ctr"/>
        <c:lblOffset val="50"/>
        <c:tickLblSkip val="1"/>
        <c:tickMarkSkip val="4"/>
        <c:noMultiLvlLbl val="1"/>
      </c:catAx>
      <c:valAx>
        <c:axId val="606173432"/>
        <c:scaling>
          <c:orientation val="minMax"/>
          <c:max val="60"/>
          <c:min val="4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344961144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Cambió su hábito de permitir que</a:t>
            </a:r>
            <a:r>
              <a:rPr lang="es-MX" sz="700" baseline="0">
                <a:effectLst/>
              </a:rPr>
              <a:t> menores salgan de su vivienda</a:t>
            </a:r>
          </a:p>
        </c:rich>
      </c:tx>
      <c:layout>
        <c:manualLayout>
          <c:xMode val="edge"/>
          <c:yMode val="edge"/>
          <c:x val="0.13333125000000001"/>
          <c:y val="1.0939682539682539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'V 5.2 BD'!$E$3</c:f>
              <c:strCache>
                <c:ptCount val="1"/>
                <c:pt idx="0">
                  <c:v>Permitir que menores salgan de su vivienda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dLbl>
              <c:idx val="6"/>
              <c:layout>
                <c:manualLayout>
                  <c:x val="-4.3914815744177473E-2"/>
                  <c:y val="-7.85526779698883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52-4C47-B605-D716047051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>
                    <a:solidFill>
                      <a:sysClr val="windowText" lastClr="000000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 5.2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 5.2 BD'!$E$6:$E$26</c:f>
              <c:numCache>
                <c:formatCode>0.0</c:formatCode>
                <c:ptCount val="21"/>
                <c:pt idx="0">
                  <c:v>54.508587315308965</c:v>
                </c:pt>
                <c:pt idx="1">
                  <c:v>55.479429273568151</c:v>
                </c:pt>
                <c:pt idx="2">
                  <c:v>54.272192626429607</c:v>
                </c:pt>
                <c:pt idx="3">
                  <c:v>55.949394738135382</c:v>
                </c:pt>
                <c:pt idx="4">
                  <c:v>58.910830746795604</c:v>
                </c:pt>
                <c:pt idx="5">
                  <c:v>58.583697094449995</c:v>
                </c:pt>
                <c:pt idx="6">
                  <c:v>61.135551943368263</c:v>
                </c:pt>
                <c:pt idx="7">
                  <c:v>56.247101142285608</c:v>
                </c:pt>
                <c:pt idx="8">
                  <c:v>58.154834780994769</c:v>
                </c:pt>
                <c:pt idx="9">
                  <c:v>55.705490971531631</c:v>
                </c:pt>
                <c:pt idx="10">
                  <c:v>53.60825649403769</c:v>
                </c:pt>
                <c:pt idx="11">
                  <c:v>53.002058954396873</c:v>
                </c:pt>
                <c:pt idx="12">
                  <c:v>54.887605065196631</c:v>
                </c:pt>
                <c:pt idx="14">
                  <c:v>50.363240827115121</c:v>
                </c:pt>
                <c:pt idx="15">
                  <c:v>50.908690381171482</c:v>
                </c:pt>
                <c:pt idx="16">
                  <c:v>48.27280035889784</c:v>
                </c:pt>
                <c:pt idx="17">
                  <c:v>47.478205516116589</c:v>
                </c:pt>
                <c:pt idx="18">
                  <c:v>44.359591905831529</c:v>
                </c:pt>
                <c:pt idx="19">
                  <c:v>44.783162311819794</c:v>
                </c:pt>
                <c:pt idx="20">
                  <c:v>46.539173640658177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52-4C47-B605-D716047051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6175000"/>
        <c:axId val="606178136"/>
      </c:lineChart>
      <c:catAx>
        <c:axId val="606175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>
                <a:solidFill>
                  <a:sysClr val="windowText" lastClr="000000"/>
                </a:solidFill>
              </a:defRPr>
            </a:pPr>
            <a:endParaRPr lang="es-MX"/>
          </a:p>
        </c:txPr>
        <c:crossAx val="606178136"/>
        <c:crosses val="autoZero"/>
        <c:auto val="1"/>
        <c:lblAlgn val="ctr"/>
        <c:lblOffset val="50"/>
        <c:tickLblSkip val="1"/>
        <c:tickMarkSkip val="4"/>
        <c:noMultiLvlLbl val="1"/>
      </c:catAx>
      <c:valAx>
        <c:axId val="606178136"/>
        <c:scaling>
          <c:orientation val="minMax"/>
          <c:max val="71"/>
          <c:min val="41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>
                <a:solidFill>
                  <a:sysClr val="windowText" lastClr="000000"/>
                </a:solidFill>
              </a:defRPr>
            </a:pPr>
            <a:endParaRPr lang="es-MX"/>
          </a:p>
        </c:txPr>
        <c:crossAx val="606175000"/>
        <c:crosses val="autoZero"/>
        <c:crossBetween val="between"/>
        <c:majorUnit val="6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378571428571437E-2"/>
          <c:y val="4.4830555555555554E-2"/>
          <c:w val="0.9032837301587302"/>
          <c:h val="0.7359944444444444"/>
        </c:manualLayout>
      </c:layout>
      <c:lineChart>
        <c:grouping val="standard"/>
        <c:varyColors val="0"/>
        <c:ser>
          <c:idx val="0"/>
          <c:order val="0"/>
          <c:tx>
            <c:strRef>
              <c:f>'I 1.2  BD'!$C$4</c:f>
              <c:strCache>
                <c:ptCount val="1"/>
                <c:pt idx="0">
                  <c:v>TOTAL</c:v>
                </c:pt>
              </c:strCache>
            </c:strRef>
          </c:tx>
          <c:spPr>
            <a:ln w="19050" cap="rnd">
              <a:solidFill>
                <a:srgbClr val="97191C"/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0-6A23-405B-B3E4-029ED8646E2C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6A23-405B-B3E4-029ED8646E2C}"/>
              </c:ext>
            </c:extLst>
          </c:dPt>
          <c:dPt>
            <c:idx val="32"/>
            <c:marker>
              <c:symbol val="none"/>
            </c:marker>
            <c:bubble3D val="0"/>
            <c:spPr>
              <a:ln w="19050" cap="rnd">
                <a:solidFill>
                  <a:srgbClr val="97191C">
                    <a:alpha val="98000"/>
                  </a:srgb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6A23-405B-B3E4-029ED8646E2C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6A23-405B-B3E4-029ED8646E2C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rgbClr val="C0000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6A23-405B-B3E4-029ED8646E2C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A23-405B-B3E4-029ED8646E2C}"/>
                </c:ext>
              </c:extLst>
            </c:dLbl>
            <c:dLbl>
              <c:idx val="33"/>
              <c:layout>
                <c:manualLayout>
                  <c:x val="-4.9607341269841267E-2"/>
                  <c:y val="-3.28837301587302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A23-405B-B3E4-029ED8646E2C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A23-405B-B3E4-029ED8646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BD'!$C$5:$C$39</c:f>
              <c:numCache>
                <c:formatCode>0.0</c:formatCode>
                <c:ptCount val="35"/>
                <c:pt idx="0">
                  <c:v>67.998401637679606</c:v>
                </c:pt>
                <c:pt idx="1">
                  <c:v>68.040260505268066</c:v>
                </c:pt>
                <c:pt idx="2">
                  <c:v>72.403793377326394</c:v>
                </c:pt>
                <c:pt idx="3">
                  <c:v>70.203194834243803</c:v>
                </c:pt>
                <c:pt idx="4">
                  <c:v>66.953750233376894</c:v>
                </c:pt>
                <c:pt idx="5">
                  <c:v>67.861966770629607</c:v>
                </c:pt>
                <c:pt idx="6">
                  <c:v>67.942004840475704</c:v>
                </c:pt>
                <c:pt idx="7">
                  <c:v>68.965671574614802</c:v>
                </c:pt>
                <c:pt idx="8">
                  <c:v>67.994183034118095</c:v>
                </c:pt>
                <c:pt idx="9">
                  <c:v>67.745538653441898</c:v>
                </c:pt>
                <c:pt idx="10">
                  <c:v>69.879963683485997</c:v>
                </c:pt>
                <c:pt idx="11">
                  <c:v>70.002479489234503</c:v>
                </c:pt>
                <c:pt idx="12">
                  <c:v>71.936862418418301</c:v>
                </c:pt>
                <c:pt idx="13">
                  <c:v>74.072656123319703</c:v>
                </c:pt>
                <c:pt idx="14">
                  <c:v>72.906217224306204</c:v>
                </c:pt>
                <c:pt idx="15">
                  <c:v>74.860560244830111</c:v>
                </c:pt>
                <c:pt idx="16">
                  <c:v>76.018679331155596</c:v>
                </c:pt>
                <c:pt idx="17">
                  <c:v>75.945440043727672</c:v>
                </c:pt>
                <c:pt idx="18">
                  <c:v>76.809531663452475</c:v>
                </c:pt>
                <c:pt idx="19">
                  <c:v>75.854548717185239</c:v>
                </c:pt>
                <c:pt idx="20">
                  <c:v>74.868763347464721</c:v>
                </c:pt>
                <c:pt idx="21">
                  <c:v>73.723465984841127</c:v>
                </c:pt>
                <c:pt idx="22">
                  <c:v>74.557297095132256</c:v>
                </c:pt>
                <c:pt idx="23" formatCode="#\ ##0.0">
                  <c:v>73.865194345584896</c:v>
                </c:pt>
                <c:pt idx="24" formatCode="#\ ##0.0">
                  <c:v>71.286561337550651</c:v>
                </c:pt>
                <c:pt idx="25">
                  <c:v>72.893989018339795</c:v>
                </c:pt>
                <c:pt idx="26">
                  <c:v>73.393041023620626</c:v>
                </c:pt>
                <c:pt idx="28">
                  <c:v>67.798435356099205</c:v>
                </c:pt>
                <c:pt idx="29">
                  <c:v>68.063908700088604</c:v>
                </c:pt>
                <c:pt idx="30">
                  <c:v>66.425788705103997</c:v>
                </c:pt>
                <c:pt idx="31">
                  <c:v>66.558555168287995</c:v>
                </c:pt>
                <c:pt idx="32">
                  <c:v>64.482490839141803</c:v>
                </c:pt>
                <c:pt idx="33">
                  <c:v>65.806148209579803</c:v>
                </c:pt>
                <c:pt idx="34">
                  <c:v>66.249543784542496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6A23-405B-B3E4-029ED8646E2C}"/>
            </c:ext>
          </c:extLst>
        </c:ser>
        <c:ser>
          <c:idx val="1"/>
          <c:order val="1"/>
          <c:tx>
            <c:strRef>
              <c:f>'I 1.2  BD'!$D$4</c:f>
              <c:strCache>
                <c:ptCount val="1"/>
                <c:pt idx="0">
                  <c:v>Hombres</c:v>
                </c:pt>
              </c:strCache>
            </c:strRef>
          </c:tx>
          <c:spPr>
            <a:ln w="1905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circle"/>
              <c:size val="2"/>
              <c:spPr>
                <a:noFill/>
                <a:ln w="12700">
                  <a:noFill/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7-6A23-405B-B3E4-029ED8646E2C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8-6A23-405B-B3E4-029ED8646E2C}"/>
              </c:ext>
            </c:extLst>
          </c:dPt>
          <c:dPt>
            <c:idx val="3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9-6A23-405B-B3E4-029ED8646E2C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12700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A-6A23-405B-B3E4-029ED8646E2C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rgbClr val="002060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B-6A23-405B-B3E4-029ED8646E2C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A23-405B-B3E4-029ED8646E2C}"/>
                </c:ext>
              </c:extLst>
            </c:dLbl>
            <c:dLbl>
              <c:idx val="33"/>
              <c:layout>
                <c:manualLayout>
                  <c:x val="-5.5436507936508124E-2"/>
                  <c:y val="-3.02380952380952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A23-405B-B3E4-029ED8646E2C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A23-405B-B3E4-029ED8646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noFill/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BD'!$D$5:$D$39</c:f>
              <c:numCache>
                <c:formatCode>0.0</c:formatCode>
                <c:ptCount val="35"/>
                <c:pt idx="0">
                  <c:v>64.7914878988271</c:v>
                </c:pt>
                <c:pt idx="1">
                  <c:v>62.834419582201086</c:v>
                </c:pt>
                <c:pt idx="2">
                  <c:v>71.108067985011942</c:v>
                </c:pt>
                <c:pt idx="3">
                  <c:v>67.155949613848918</c:v>
                </c:pt>
                <c:pt idx="4">
                  <c:v>65.832970688174925</c:v>
                </c:pt>
                <c:pt idx="5">
                  <c:v>64.710906231758145</c:v>
                </c:pt>
                <c:pt idx="6">
                  <c:v>66.013915134453228</c:v>
                </c:pt>
                <c:pt idx="7">
                  <c:v>64.425705034217813</c:v>
                </c:pt>
                <c:pt idx="8">
                  <c:v>65.826763130159563</c:v>
                </c:pt>
                <c:pt idx="9">
                  <c:v>62.669176918579353</c:v>
                </c:pt>
                <c:pt idx="10">
                  <c:v>65.1059528924158</c:v>
                </c:pt>
                <c:pt idx="11">
                  <c:v>64.166125469765348</c:v>
                </c:pt>
                <c:pt idx="12">
                  <c:v>66.982556467067695</c:v>
                </c:pt>
                <c:pt idx="13">
                  <c:v>68.602619070166938</c:v>
                </c:pt>
                <c:pt idx="14">
                  <c:v>67.515108307016789</c:v>
                </c:pt>
                <c:pt idx="15">
                  <c:v>68.899552958701761</c:v>
                </c:pt>
                <c:pt idx="16">
                  <c:v>71.075927939191629</c:v>
                </c:pt>
                <c:pt idx="17">
                  <c:v>70.591539105082333</c:v>
                </c:pt>
                <c:pt idx="18">
                  <c:v>71.826759762490809</c:v>
                </c:pt>
                <c:pt idx="19">
                  <c:v>71.349658201073908</c:v>
                </c:pt>
                <c:pt idx="20">
                  <c:v>69.178399819607279</c:v>
                </c:pt>
                <c:pt idx="21">
                  <c:v>68.551039115443515</c:v>
                </c:pt>
                <c:pt idx="22">
                  <c:v>68.331237869988414</c:v>
                </c:pt>
                <c:pt idx="23" formatCode="#\ ##0.0">
                  <c:v>68.151617551808698</c:v>
                </c:pt>
                <c:pt idx="24" formatCode="#\ ##0.0">
                  <c:v>65.777577862419633</c:v>
                </c:pt>
                <c:pt idx="25" formatCode="#\ ##0.0">
                  <c:v>67.761870278231598</c:v>
                </c:pt>
                <c:pt idx="26">
                  <c:v>67.248708701652404</c:v>
                </c:pt>
                <c:pt idx="28">
                  <c:v>61.971308956014802</c:v>
                </c:pt>
                <c:pt idx="29">
                  <c:v>62.741990373505097</c:v>
                </c:pt>
                <c:pt idx="30">
                  <c:v>60.886909936351898</c:v>
                </c:pt>
                <c:pt idx="31">
                  <c:v>60.863280252666797</c:v>
                </c:pt>
                <c:pt idx="32">
                  <c:v>58.782962591950401</c:v>
                </c:pt>
                <c:pt idx="33">
                  <c:v>60.2198951554441</c:v>
                </c:pt>
                <c:pt idx="34">
                  <c:v>60.422169850180403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6A23-405B-B3E4-029ED8646E2C}"/>
            </c:ext>
          </c:extLst>
        </c:ser>
        <c:ser>
          <c:idx val="2"/>
          <c:order val="2"/>
          <c:tx>
            <c:strRef>
              <c:f>'I 1.2  BD'!$E$4</c:f>
              <c:strCache>
                <c:ptCount val="1"/>
                <c:pt idx="0">
                  <c:v>Mujeres</c:v>
                </c:pt>
              </c:strCache>
            </c:strRef>
          </c:tx>
          <c:spPr>
            <a:ln w="19050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dPt>
            <c:idx val="2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E-6A23-405B-B3E4-029ED8646E2C}"/>
              </c:ext>
            </c:extLst>
          </c:dPt>
          <c:dPt>
            <c:idx val="30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F-6A23-405B-B3E4-029ED8646E2C}"/>
              </c:ext>
            </c:extLst>
          </c:dPt>
          <c:dPt>
            <c:idx val="3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10-6A23-405B-B3E4-029ED8646E2C}"/>
              </c:ext>
            </c:extLst>
          </c:dPt>
          <c:dPt>
            <c:idx val="33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1-6A23-405B-B3E4-029ED8646E2C}"/>
              </c:ext>
            </c:extLst>
          </c:dPt>
          <c:dPt>
            <c:idx val="34"/>
            <c:marker>
              <c:symbol val="circle"/>
              <c:size val="2"/>
              <c:spPr>
                <a:noFill/>
                <a:ln w="9525">
                  <a:solidFill>
                    <a:schemeClr val="accent6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12-6A23-405B-B3E4-029ED8646E2C}"/>
              </c:ext>
            </c:extLst>
          </c:dPt>
          <c:dLbls>
            <c:dLbl>
              <c:idx val="3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A23-405B-B3E4-029ED8646E2C}"/>
                </c:ext>
              </c:extLst>
            </c:dLbl>
            <c:dLbl>
              <c:idx val="33"/>
              <c:layout>
                <c:manualLayout>
                  <c:x val="-4.7087499999999997E-2"/>
                  <c:y val="-3.2883730158730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A23-405B-B3E4-029ED8646E2C}"/>
                </c:ext>
              </c:extLst>
            </c:dLbl>
            <c:dLbl>
              <c:idx val="34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A23-405B-B3E4-029ED8646E2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 1.2  BD'!$A$5:$B$39</c:f>
              <c:multiLvlStrCache>
                <c:ptCount val="35"/>
                <c:lvl>
                  <c:pt idx="0">
                    <c:v>Sep</c:v>
                  </c:pt>
                  <c:pt idx="1">
                    <c:v>Dic</c:v>
                  </c:pt>
                  <c:pt idx="2">
                    <c:v>Mar</c:v>
                  </c:pt>
                  <c:pt idx="3">
                    <c:v>Jun</c:v>
                  </c:pt>
                  <c:pt idx="4">
                    <c:v>Sep</c:v>
                  </c:pt>
                  <c:pt idx="5">
                    <c:v>Dic</c:v>
                  </c:pt>
                  <c:pt idx="6">
                    <c:v>Mar</c:v>
                  </c:pt>
                  <c:pt idx="7">
                    <c:v>Jun</c:v>
                  </c:pt>
                  <c:pt idx="8">
                    <c:v>Sep</c:v>
                  </c:pt>
                  <c:pt idx="9">
                    <c:v>Dic</c:v>
                  </c:pt>
                  <c:pt idx="10">
                    <c:v>Mar</c:v>
                  </c:pt>
                  <c:pt idx="11">
                    <c:v>Jun</c:v>
                  </c:pt>
                  <c:pt idx="12">
                    <c:v>Sep</c:v>
                  </c:pt>
                  <c:pt idx="13">
                    <c:v>Dic</c:v>
                  </c:pt>
                  <c:pt idx="14">
                    <c:v>Mar</c:v>
                  </c:pt>
                  <c:pt idx="15">
                    <c:v>Jun</c:v>
                  </c:pt>
                  <c:pt idx="16">
                    <c:v>Sep</c:v>
                  </c:pt>
                  <c:pt idx="17">
                    <c:v>Dic</c:v>
                  </c:pt>
                  <c:pt idx="18">
                    <c:v>Mar</c:v>
                  </c:pt>
                  <c:pt idx="19">
                    <c:v>Jun</c:v>
                  </c:pt>
                  <c:pt idx="20">
                    <c:v>Sep</c:v>
                  </c:pt>
                  <c:pt idx="21">
                    <c:v>Dic</c:v>
                  </c:pt>
                  <c:pt idx="22">
                    <c:v>Mar</c:v>
                  </c:pt>
                  <c:pt idx="23">
                    <c:v>Jun</c:v>
                  </c:pt>
                  <c:pt idx="24">
                    <c:v>Sep</c:v>
                  </c:pt>
                  <c:pt idx="25">
                    <c:v>Dic</c:v>
                  </c:pt>
                  <c:pt idx="26">
                    <c:v>Mar</c:v>
                  </c:pt>
                  <c:pt idx="27">
                    <c:v>Jun</c:v>
                  </c:pt>
                  <c:pt idx="28">
                    <c:v>Sep</c:v>
                  </c:pt>
                  <c:pt idx="29">
                    <c:v>Dic</c:v>
                  </c:pt>
                  <c:pt idx="30">
                    <c:v>Mar</c:v>
                  </c:pt>
                  <c:pt idx="31">
                    <c:v>Jun</c:v>
                  </c:pt>
                  <c:pt idx="32">
                    <c:v>Sep</c:v>
                  </c:pt>
                  <c:pt idx="33">
                    <c:v>Dic</c:v>
                  </c:pt>
                  <c:pt idx="34">
                    <c:v>Mar</c:v>
                  </c:pt>
                </c:lvl>
                <c:lvl>
                  <c:pt idx="0">
                    <c:v>2013</c:v>
                  </c:pt>
                  <c:pt idx="2">
                    <c:v>2014</c:v>
                  </c:pt>
                  <c:pt idx="6">
                    <c:v>2015</c:v>
                  </c:pt>
                  <c:pt idx="10">
                    <c:v>2016</c:v>
                  </c:pt>
                  <c:pt idx="14">
                    <c:v>2017</c:v>
                  </c:pt>
                  <c:pt idx="18">
                    <c:v>2018</c:v>
                  </c:pt>
                  <c:pt idx="22">
                    <c:v>2019</c:v>
                  </c:pt>
                  <c:pt idx="26">
                    <c:v>2020</c:v>
                  </c:pt>
                  <c:pt idx="30">
                    <c:v>2021</c:v>
                  </c:pt>
                  <c:pt idx="34">
                    <c:v>2022</c:v>
                  </c:pt>
                </c:lvl>
              </c:multiLvlStrCache>
            </c:multiLvlStrRef>
          </c:cat>
          <c:val>
            <c:numRef>
              <c:f>'I 1.2  BD'!$E$5:$E$39</c:f>
              <c:numCache>
                <c:formatCode>0.0</c:formatCode>
                <c:ptCount val="35"/>
                <c:pt idx="0">
                  <c:v>70.282279151525387</c:v>
                </c:pt>
                <c:pt idx="1">
                  <c:v>71.728051364792037</c:v>
                </c:pt>
                <c:pt idx="2">
                  <c:v>73.387717323404971</c:v>
                </c:pt>
                <c:pt idx="3">
                  <c:v>72.511357501675477</c:v>
                </c:pt>
                <c:pt idx="4">
                  <c:v>67.73013577324862</c:v>
                </c:pt>
                <c:pt idx="5">
                  <c:v>70.200100315039776</c:v>
                </c:pt>
                <c:pt idx="6">
                  <c:v>69.366322830556797</c:v>
                </c:pt>
                <c:pt idx="7">
                  <c:v>72.553677343030927</c:v>
                </c:pt>
                <c:pt idx="8">
                  <c:v>69.65786031557586</c:v>
                </c:pt>
                <c:pt idx="9">
                  <c:v>71.422756225102049</c:v>
                </c:pt>
                <c:pt idx="10">
                  <c:v>73.874645040271631</c:v>
                </c:pt>
                <c:pt idx="11">
                  <c:v>74.760098406923092</c:v>
                </c:pt>
                <c:pt idx="12">
                  <c:v>76.238601699250566</c:v>
                </c:pt>
                <c:pt idx="13">
                  <c:v>78.777306527990604</c:v>
                </c:pt>
                <c:pt idx="14">
                  <c:v>77.500770907786972</c:v>
                </c:pt>
                <c:pt idx="15">
                  <c:v>80.194103531416488</c:v>
                </c:pt>
                <c:pt idx="16">
                  <c:v>80.322018796139389</c:v>
                </c:pt>
                <c:pt idx="17">
                  <c:v>80.528690927089926</c:v>
                </c:pt>
                <c:pt idx="18">
                  <c:v>81.010342797131102</c:v>
                </c:pt>
                <c:pt idx="19">
                  <c:v>79.560289562564535</c:v>
                </c:pt>
                <c:pt idx="20">
                  <c:v>79.689714029598434</c:v>
                </c:pt>
                <c:pt idx="21">
                  <c:v>77.987814255048534</c:v>
                </c:pt>
                <c:pt idx="22">
                  <c:v>79.621433175311893</c:v>
                </c:pt>
                <c:pt idx="23" formatCode="#\ ##0.0">
                  <c:v>78.650140579525896</c:v>
                </c:pt>
                <c:pt idx="24" formatCode="#\ ##0.0">
                  <c:v>75.911732202060534</c:v>
                </c:pt>
                <c:pt idx="25" formatCode="#\ ##0.0">
                  <c:v>77.218631465611494</c:v>
                </c:pt>
                <c:pt idx="26">
                  <c:v>78.593709409691485</c:v>
                </c:pt>
                <c:pt idx="28">
                  <c:v>72.712773127331204</c:v>
                </c:pt>
                <c:pt idx="29">
                  <c:v>72.579445919283899</c:v>
                </c:pt>
                <c:pt idx="30">
                  <c:v>70.998737774104896</c:v>
                </c:pt>
                <c:pt idx="31">
                  <c:v>71.349953504723999</c:v>
                </c:pt>
                <c:pt idx="32">
                  <c:v>69.110529148059896</c:v>
                </c:pt>
                <c:pt idx="33">
                  <c:v>70.302270744997998</c:v>
                </c:pt>
                <c:pt idx="34">
                  <c:v>71.057842166634899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6A23-405B-B3E4-029ED8646E2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348146600"/>
        <c:axId val="348148952"/>
      </c:lineChart>
      <c:catAx>
        <c:axId val="34814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65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48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48148952"/>
        <c:scaling>
          <c:orientation val="minMax"/>
          <c:max val="85"/>
          <c:min val="55"/>
        </c:scaling>
        <c:delete val="0"/>
        <c:axPos val="l"/>
        <c:majorGridlines>
          <c:spPr>
            <a:ln w="9525" cap="flat" cmpd="sng" algn="ctr">
              <a:solidFill>
                <a:srgbClr val="D9D9D9"/>
              </a:solidFill>
              <a:round/>
            </a:ln>
            <a:effectLst/>
          </c:spPr>
        </c:majorGridlines>
        <c:numFmt formatCode="#,##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46600"/>
        <c:crossesAt val="1"/>
        <c:crossBetween val="midCat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6.6308762745105804E-2"/>
          <c:y val="0.93864484126984127"/>
          <c:w val="0.8503767339907945"/>
          <c:h val="5.52206349206349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Cambió su hábito de visitar parientes</a:t>
            </a:r>
            <a:r>
              <a:rPr lang="es-MX" sz="700" baseline="0">
                <a:effectLst/>
              </a:rPr>
              <a:t> o amigos</a:t>
            </a:r>
          </a:p>
        </c:rich>
      </c:tx>
      <c:layout>
        <c:manualLayout>
          <c:xMode val="edge"/>
          <c:yMode val="edge"/>
          <c:x val="0.15850763752144223"/>
          <c:y val="1.0939682539682539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'V 5.2 BD'!$F$3</c:f>
              <c:strCache>
                <c:ptCount val="1"/>
                <c:pt idx="0">
                  <c:v>Visitar parientes o amigos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 5.2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 5.2 BD'!$F$6:$F$26</c:f>
              <c:numCache>
                <c:formatCode>0.0</c:formatCode>
                <c:ptCount val="21"/>
                <c:pt idx="0">
                  <c:v>33.598319042060886</c:v>
                </c:pt>
                <c:pt idx="1">
                  <c:v>34.259031563623019</c:v>
                </c:pt>
                <c:pt idx="2">
                  <c:v>33.424396675093696</c:v>
                </c:pt>
                <c:pt idx="3">
                  <c:v>35.904950252540473</c:v>
                </c:pt>
                <c:pt idx="4">
                  <c:v>38.509143708286466</c:v>
                </c:pt>
                <c:pt idx="5">
                  <c:v>35.887448146799798</c:v>
                </c:pt>
                <c:pt idx="6">
                  <c:v>38.222226167553856</c:v>
                </c:pt>
                <c:pt idx="7">
                  <c:v>34.56166477278645</c:v>
                </c:pt>
                <c:pt idx="8">
                  <c:v>38.329107265984206</c:v>
                </c:pt>
                <c:pt idx="9">
                  <c:v>36.034172756270202</c:v>
                </c:pt>
                <c:pt idx="10">
                  <c:v>34.888332717758857</c:v>
                </c:pt>
                <c:pt idx="11">
                  <c:v>36.573537719429289</c:v>
                </c:pt>
                <c:pt idx="12">
                  <c:v>36.297823900077042</c:v>
                </c:pt>
                <c:pt idx="14">
                  <c:v>37.306121085531323</c:v>
                </c:pt>
                <c:pt idx="15">
                  <c:v>35.288841611511572</c:v>
                </c:pt>
                <c:pt idx="16">
                  <c:v>34.731632329844132</c:v>
                </c:pt>
                <c:pt idx="17">
                  <c:v>31.694057362692256</c:v>
                </c:pt>
                <c:pt idx="18">
                  <c:v>30.513974865829969</c:v>
                </c:pt>
                <c:pt idx="19">
                  <c:v>32.224903585225434</c:v>
                </c:pt>
                <c:pt idx="20">
                  <c:v>30.312320323647967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790-42F0-81B2-DA53E07B4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6181664"/>
        <c:axId val="606177744"/>
      </c:lineChart>
      <c:catAx>
        <c:axId val="6061816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>
                <a:solidFill>
                  <a:sysClr val="windowText" lastClr="000000"/>
                </a:solidFill>
              </a:defRPr>
            </a:pPr>
            <a:endParaRPr lang="es-MX"/>
          </a:p>
        </c:txPr>
        <c:crossAx val="606177744"/>
        <c:crosses val="autoZero"/>
        <c:auto val="1"/>
        <c:lblAlgn val="ctr"/>
        <c:lblOffset val="50"/>
        <c:tickLblSkip val="1"/>
        <c:tickMarkSkip val="4"/>
        <c:noMultiLvlLbl val="1"/>
      </c:catAx>
      <c:valAx>
        <c:axId val="606177744"/>
        <c:scaling>
          <c:orientation val="minMax"/>
          <c:max val="42"/>
          <c:min val="28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>
                <a:solidFill>
                  <a:sysClr val="windowText" lastClr="000000"/>
                </a:solidFill>
              </a:defRPr>
            </a:pPr>
            <a:endParaRPr lang="es-MX"/>
          </a:p>
        </c:txPr>
        <c:crossAx val="606181664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Marina</a:t>
            </a:r>
            <a:endParaRPr lang="es-MX" sz="700" baseline="0">
              <a:effectLst/>
            </a:endParaRPr>
          </a:p>
        </c:rich>
      </c:tx>
      <c:layout>
        <c:manualLayout>
          <c:xMode val="edge"/>
          <c:yMode val="edge"/>
          <c:x val="0.43504374712189986"/>
          <c:y val="2.064285714285716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0007619047619049"/>
          <c:w val="0.90231009732739187"/>
          <c:h val="0.72572936507936503"/>
        </c:manualLayout>
      </c:layout>
      <c:lineChart>
        <c:grouping val="standard"/>
        <c:varyColors val="0"/>
        <c:ser>
          <c:idx val="0"/>
          <c:order val="0"/>
          <c:tx>
            <c:strRef>
              <c:f>'VI 6.2 BD'!$C$3</c:f>
              <c:strCache>
                <c:ptCount val="1"/>
                <c:pt idx="0">
                  <c:v>MARINA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>
                    <a:solidFill>
                      <a:sysClr val="windowText" lastClr="000000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'VI 6.2 BD'!$A$6:$B$26</c:f>
              <c:multiLvlStrCache>
                <c:ptCount val="21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'VI 6.2 BD'!$C$6:$C$26</c:f>
              <c:numCache>
                <c:formatCode>0.0</c:formatCode>
                <c:ptCount val="21"/>
                <c:pt idx="0">
                  <c:v>85.647889843189958</c:v>
                </c:pt>
                <c:pt idx="1">
                  <c:v>85.624950387609687</c:v>
                </c:pt>
                <c:pt idx="2">
                  <c:v>87.322727590373191</c:v>
                </c:pt>
                <c:pt idx="3">
                  <c:v>85.563349533510333</c:v>
                </c:pt>
                <c:pt idx="4">
                  <c:v>85.065157320141878</c:v>
                </c:pt>
                <c:pt idx="5">
                  <c:v>84.207720501922978</c:v>
                </c:pt>
                <c:pt idx="6">
                  <c:v>85.815952753327068</c:v>
                </c:pt>
                <c:pt idx="7">
                  <c:v>85.107246372222221</c:v>
                </c:pt>
                <c:pt idx="8">
                  <c:v>86.626221846463579</c:v>
                </c:pt>
                <c:pt idx="9">
                  <c:v>86.489086792039757</c:v>
                </c:pt>
                <c:pt idx="10">
                  <c:v>86.122051482057415</c:v>
                </c:pt>
                <c:pt idx="11">
                  <c:v>85.479116813082186</c:v>
                </c:pt>
                <c:pt idx="12">
                  <c:v>86.181952320139871</c:v>
                </c:pt>
                <c:pt idx="14">
                  <c:v>85.892841016421457</c:v>
                </c:pt>
                <c:pt idx="15">
                  <c:v>86.451878285600856</c:v>
                </c:pt>
                <c:pt idx="16">
                  <c:v>87.540432767021699</c:v>
                </c:pt>
                <c:pt idx="17">
                  <c:v>86.465121426254711</c:v>
                </c:pt>
                <c:pt idx="18">
                  <c:v>86.789358351454808</c:v>
                </c:pt>
                <c:pt idx="19">
                  <c:v>84.671249395979359</c:v>
                </c:pt>
                <c:pt idx="20">
                  <c:v>86.006932439206253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59-49C3-BCCE-454CFE6771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660760"/>
        <c:axId val="634661936"/>
      </c:lineChart>
      <c:catAx>
        <c:axId val="6346607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634661936"/>
        <c:crossesAt val="50"/>
        <c:auto val="1"/>
        <c:lblAlgn val="ctr"/>
        <c:lblOffset val="50"/>
        <c:tickLblSkip val="1"/>
        <c:tickMarkSkip val="1"/>
        <c:noMultiLvlLbl val="1"/>
      </c:catAx>
      <c:valAx>
        <c:axId val="634661936"/>
        <c:scaling>
          <c:orientation val="minMax"/>
          <c:max val="92"/>
          <c:min val="80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34660760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>
      <a:outerShdw dist="12700" dir="2700000" algn="ctr" rotWithShape="0">
        <a:schemeClr val="bg1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>
                <a:solidFill>
                  <a:sysClr val="windowText" lastClr="000000"/>
                </a:solidFill>
              </a:defRPr>
            </a:pPr>
            <a:r>
              <a:rPr lang="es-MX" sz="700">
                <a:solidFill>
                  <a:sysClr val="windowText" lastClr="000000"/>
                </a:solidFill>
                <a:effectLst/>
              </a:rPr>
              <a:t>Ejército</a:t>
            </a:r>
            <a:endParaRPr lang="es-MX" sz="700" b="0" i="1">
              <a:solidFill>
                <a:sysClr val="windowText" lastClr="000000"/>
              </a:solidFill>
              <a:effectLst/>
            </a:endParaRPr>
          </a:p>
        </c:rich>
      </c:tx>
      <c:layout>
        <c:manualLayout>
          <c:xMode val="edge"/>
          <c:yMode val="edge"/>
          <c:x val="0.44822478018873296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2023492063492065"/>
          <c:w val="0.93080897207368285"/>
          <c:h val="0.70557063492063488"/>
        </c:manualLayout>
      </c:layout>
      <c:lineChart>
        <c:grouping val="standard"/>
        <c:varyColors val="0"/>
        <c:ser>
          <c:idx val="0"/>
          <c:order val="0"/>
          <c:tx>
            <c:strRef>
              <c:f>'VI 6.2 BD'!$D$3</c:f>
              <c:strCache>
                <c:ptCount val="1"/>
                <c:pt idx="0">
                  <c:v>EJERCITO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'VI 6.2 BD'!$A$6:$B$26</c:f>
              <c:multiLvlStrCache>
                <c:ptCount val="21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'VI 6.2 BD'!$D$6:$D$26</c:f>
              <c:numCache>
                <c:formatCode>0.0</c:formatCode>
                <c:ptCount val="21"/>
                <c:pt idx="0">
                  <c:v>82.948439195394613</c:v>
                </c:pt>
                <c:pt idx="1">
                  <c:v>82.366463200542185</c:v>
                </c:pt>
                <c:pt idx="2">
                  <c:v>84.627869858250222</c:v>
                </c:pt>
                <c:pt idx="3">
                  <c:v>83.18605718205589</c:v>
                </c:pt>
                <c:pt idx="4">
                  <c:v>81.56718322551697</c:v>
                </c:pt>
                <c:pt idx="5">
                  <c:v>80.717909682473575</c:v>
                </c:pt>
                <c:pt idx="6">
                  <c:v>82.423978843089799</c:v>
                </c:pt>
                <c:pt idx="7">
                  <c:v>82.602593729319622</c:v>
                </c:pt>
                <c:pt idx="8">
                  <c:v>84.257281779683296</c:v>
                </c:pt>
                <c:pt idx="9">
                  <c:v>83.206081754063248</c:v>
                </c:pt>
                <c:pt idx="10">
                  <c:v>83.164115380610227</c:v>
                </c:pt>
                <c:pt idx="11">
                  <c:v>83.052694473731066</c:v>
                </c:pt>
                <c:pt idx="12">
                  <c:v>83.378302385900071</c:v>
                </c:pt>
                <c:pt idx="14">
                  <c:v>83.555952529966987</c:v>
                </c:pt>
                <c:pt idx="15">
                  <c:v>83.975805995903968</c:v>
                </c:pt>
                <c:pt idx="16">
                  <c:v>84.886927236656845</c:v>
                </c:pt>
                <c:pt idx="17">
                  <c:v>84.154434310251304</c:v>
                </c:pt>
                <c:pt idx="18">
                  <c:v>84.516231485984946</c:v>
                </c:pt>
                <c:pt idx="19">
                  <c:v>82.781237807007386</c:v>
                </c:pt>
                <c:pt idx="20">
                  <c:v>83.424919270154831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A43-41C9-A8A5-9F3E8FF96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651352"/>
        <c:axId val="634654880"/>
      </c:lineChart>
      <c:catAx>
        <c:axId val="6346513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634654880"/>
        <c:crossesAt val="50"/>
        <c:auto val="1"/>
        <c:lblAlgn val="ctr"/>
        <c:lblOffset val="50"/>
        <c:tickLblSkip val="1"/>
        <c:tickMarkSkip val="1"/>
        <c:noMultiLvlLbl val="1"/>
      </c:catAx>
      <c:valAx>
        <c:axId val="634654880"/>
        <c:scaling>
          <c:orientation val="minMax"/>
          <c:max val="87"/>
          <c:min val="78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34651352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>
      <a:outerShdw dist="12700" dir="2700000" algn="ctr" rotWithShape="0">
        <a:schemeClr val="bg1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Guardia Nacional</a:t>
            </a:r>
            <a:endParaRPr lang="es-MX" sz="700" baseline="0">
              <a:effectLst/>
            </a:endParaRPr>
          </a:p>
        </c:rich>
      </c:tx>
      <c:layout>
        <c:manualLayout>
          <c:xMode val="edge"/>
          <c:yMode val="edge"/>
          <c:x val="0.36273340671176058"/>
          <c:y val="3.23023809523809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3031428571428574"/>
          <c:w val="0.92198958333333336"/>
          <c:h val="0.69549126984126997"/>
        </c:manualLayout>
      </c:layout>
      <c:lineChart>
        <c:grouping val="standard"/>
        <c:varyColors val="0"/>
        <c:ser>
          <c:idx val="0"/>
          <c:order val="0"/>
          <c:tx>
            <c:strRef>
              <c:f>'VI 6.2 BD'!$E$3</c:f>
              <c:strCache>
                <c:ptCount val="1"/>
                <c:pt idx="0">
                  <c:v>GUARDIA NACIONAL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>
                    <a:solidFill>
                      <a:sysClr val="windowText" lastClr="000000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'VI 6.2 BD'!$A$15:$B$26</c:f>
              <c:multiLvlStrCache>
                <c:ptCount val="12"/>
                <c:lvl>
                  <c:pt idx="0">
                    <c:v>Jun</c:v>
                  </c:pt>
                  <c:pt idx="1">
                    <c:v>Sep</c:v>
                  </c:pt>
                  <c:pt idx="2">
                    <c:v>Dic</c:v>
                  </c:pt>
                  <c:pt idx="3">
                    <c:v>Mar</c:v>
                  </c:pt>
                  <c:pt idx="4">
                    <c:v>Jun</c:v>
                  </c:pt>
                  <c:pt idx="5">
                    <c:v>Sep</c:v>
                  </c:pt>
                  <c:pt idx="6">
                    <c:v>Dic</c:v>
                  </c:pt>
                  <c:pt idx="7">
                    <c:v>Mar</c:v>
                  </c:pt>
                  <c:pt idx="8">
                    <c:v>Jun</c:v>
                  </c:pt>
                  <c:pt idx="9">
                    <c:v>Sep</c:v>
                  </c:pt>
                  <c:pt idx="10">
                    <c:v>Dic</c:v>
                  </c:pt>
                  <c:pt idx="11">
                    <c:v>Mar</c:v>
                  </c:pt>
                </c:lvl>
                <c:lvl>
                  <c:pt idx="3">
                    <c:v>2020</c:v>
                  </c:pt>
                  <c:pt idx="7">
                    <c:v>2021</c:v>
                  </c:pt>
                  <c:pt idx="11">
                    <c:v>2022</c:v>
                  </c:pt>
                </c:lvl>
              </c:multiLvlStrCache>
            </c:multiLvlStrRef>
          </c:cat>
          <c:val>
            <c:numRef>
              <c:f>'VI 6.2 BD'!$E$15:$E$26</c:f>
              <c:numCache>
                <c:formatCode>0.0</c:formatCode>
                <c:ptCount val="12"/>
                <c:pt idx="0">
                  <c:v>70.930132329830613</c:v>
                </c:pt>
                <c:pt idx="1">
                  <c:v>67.706475849669829</c:v>
                </c:pt>
                <c:pt idx="2">
                  <c:v>67.893896983194352</c:v>
                </c:pt>
                <c:pt idx="3">
                  <c:v>69.087797091123107</c:v>
                </c:pt>
                <c:pt idx="5">
                  <c:v>73.142477324424547</c:v>
                </c:pt>
                <c:pt idx="6">
                  <c:v>72.654941537107547</c:v>
                </c:pt>
                <c:pt idx="7">
                  <c:v>75.135647875957005</c:v>
                </c:pt>
                <c:pt idx="8">
                  <c:v>74.058168901293598</c:v>
                </c:pt>
                <c:pt idx="9">
                  <c:v>74.386933916623278</c:v>
                </c:pt>
                <c:pt idx="10">
                  <c:v>72.939724585758455</c:v>
                </c:pt>
                <c:pt idx="11">
                  <c:v>73.615701884454509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62F-4163-89CF-992700CCC3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34659192"/>
        <c:axId val="634655664"/>
      </c:lineChart>
      <c:catAx>
        <c:axId val="6346591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634655664"/>
        <c:crossesAt val="50"/>
        <c:auto val="1"/>
        <c:lblAlgn val="ctr"/>
        <c:lblOffset val="50"/>
        <c:tickLblSkip val="1"/>
        <c:tickMarkSkip val="1"/>
        <c:noMultiLvlLbl val="1"/>
      </c:catAx>
      <c:valAx>
        <c:axId val="634655664"/>
        <c:scaling>
          <c:orientation val="minMax"/>
          <c:max val="80"/>
          <c:min val="64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>
                <a:solidFill>
                  <a:sysClr val="windowText" lastClr="000000"/>
                </a:solidFill>
              </a:defRPr>
            </a:pPr>
            <a:endParaRPr lang="es-MX"/>
          </a:p>
        </c:txPr>
        <c:crossAx val="634659192"/>
        <c:crosses val="autoZero"/>
        <c:crossBetween val="between"/>
        <c:majorUnit val="4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>
      <a:outerShdw dist="12700" dir="2700000" algn="ctr" rotWithShape="0">
        <a:schemeClr val="bg1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Policía estatal</a:t>
            </a:r>
            <a:endParaRPr lang="es-MX" sz="700" baseline="0">
              <a:effectLst/>
            </a:endParaRPr>
          </a:p>
        </c:rich>
      </c:tx>
      <c:layout>
        <c:manualLayout>
          <c:xMode val="edge"/>
          <c:yMode val="edge"/>
          <c:x val="0.39322165761824929"/>
          <c:y val="3.230238095238095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3031428571428574"/>
          <c:w val="0.93080897207368285"/>
          <c:h val="0.69549126984126997"/>
        </c:manualLayout>
      </c:layout>
      <c:lineChart>
        <c:grouping val="standard"/>
        <c:varyColors val="0"/>
        <c:ser>
          <c:idx val="0"/>
          <c:order val="0"/>
          <c:tx>
            <c:strRef>
              <c:f>'VI 6.2 BD'!$F$3</c:f>
              <c:strCache>
                <c:ptCount val="1"/>
                <c:pt idx="0">
                  <c:v>POLICIA ESTATAL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>
                    <a:solidFill>
                      <a:sysClr val="windowText" lastClr="000000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'VI 6.2 BD'!$A$6:$B$26</c:f>
              <c:multiLvlStrCache>
                <c:ptCount val="21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'VI 6.2 BD'!$F$6:$F$26</c:f>
              <c:numCache>
                <c:formatCode>0.0</c:formatCode>
                <c:ptCount val="21"/>
                <c:pt idx="0">
                  <c:v>49.439976451686363</c:v>
                </c:pt>
                <c:pt idx="1">
                  <c:v>47.641055811245799</c:v>
                </c:pt>
                <c:pt idx="2">
                  <c:v>50.35853763665574</c:v>
                </c:pt>
                <c:pt idx="3">
                  <c:v>47.038036482978832</c:v>
                </c:pt>
                <c:pt idx="4">
                  <c:v>47.192455978388075</c:v>
                </c:pt>
                <c:pt idx="5">
                  <c:v>46.584092357647258</c:v>
                </c:pt>
                <c:pt idx="6">
                  <c:v>48.584756042017609</c:v>
                </c:pt>
                <c:pt idx="7">
                  <c:v>47.904384682318849</c:v>
                </c:pt>
                <c:pt idx="8">
                  <c:v>49.536837569228872</c:v>
                </c:pt>
                <c:pt idx="9">
                  <c:v>49.775049259153491</c:v>
                </c:pt>
                <c:pt idx="10">
                  <c:v>50.580875722312413</c:v>
                </c:pt>
                <c:pt idx="11">
                  <c:v>48.353531140030647</c:v>
                </c:pt>
                <c:pt idx="12">
                  <c:v>48.458306668379713</c:v>
                </c:pt>
                <c:pt idx="14">
                  <c:v>52.129018194146191</c:v>
                </c:pt>
                <c:pt idx="15">
                  <c:v>51.765892780971676</c:v>
                </c:pt>
                <c:pt idx="16">
                  <c:v>53.808173267657779</c:v>
                </c:pt>
                <c:pt idx="17">
                  <c:v>51.675557125538901</c:v>
                </c:pt>
                <c:pt idx="18">
                  <c:v>52.51973533225042</c:v>
                </c:pt>
                <c:pt idx="19">
                  <c:v>48.999364418184577</c:v>
                </c:pt>
                <c:pt idx="20">
                  <c:v>50.384378662475648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36-457A-A22F-76A1CA5136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6184408"/>
        <c:axId val="606185192"/>
      </c:lineChart>
      <c:catAx>
        <c:axId val="6061844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606185192"/>
        <c:crosses val="autoZero"/>
        <c:auto val="1"/>
        <c:lblAlgn val="ctr"/>
        <c:lblOffset val="50"/>
        <c:tickLblSkip val="1"/>
        <c:tickMarkSkip val="1"/>
        <c:noMultiLvlLbl val="1"/>
      </c:catAx>
      <c:valAx>
        <c:axId val="606185192"/>
        <c:scaling>
          <c:orientation val="minMax"/>
          <c:max val="57"/>
          <c:min val="4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6184408"/>
        <c:crosses val="autoZero"/>
        <c:crossBetween val="between"/>
        <c:majorUnit val="2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>
      <a:outerShdw dist="12700" dir="2700000" algn="ctr" rotWithShape="0">
        <a:schemeClr val="bg1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 b="1"/>
            </a:pPr>
            <a:r>
              <a:rPr lang="es-MX" sz="700" b="1">
                <a:effectLst/>
              </a:rPr>
              <a:t>Policía preventiva municipal</a:t>
            </a:r>
            <a:endParaRPr lang="es-MX" sz="700" b="1" baseline="0">
              <a:effectLst/>
            </a:endParaRPr>
          </a:p>
        </c:rich>
      </c:tx>
      <c:layout>
        <c:manualLayout>
          <c:xMode val="edge"/>
          <c:yMode val="edge"/>
          <c:x val="0.29827500667862461"/>
          <c:y val="2.222301587301587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3031428571428574"/>
          <c:w val="0.93080897207368285"/>
          <c:h val="0.69549126984126997"/>
        </c:manualLayout>
      </c:layout>
      <c:lineChart>
        <c:grouping val="standard"/>
        <c:varyColors val="0"/>
        <c:ser>
          <c:idx val="0"/>
          <c:order val="0"/>
          <c:tx>
            <c:strRef>
              <c:f>'VI 6.2 BD'!$G$3</c:f>
              <c:strCache>
                <c:ptCount val="1"/>
                <c:pt idx="0">
                  <c:v>POLICIA PREVENTIVA MUNICIPAL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dLbl>
              <c:idx val="9"/>
              <c:layout>
                <c:manualLayout>
                  <c:x val="-3.9424354602006016E-2"/>
                  <c:y val="-9.9130158730158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47B-495C-8A13-2EE5E621FECD}"/>
                </c:ext>
              </c:extLst>
            </c:dLbl>
            <c:dLbl>
              <c:idx val="10"/>
              <c:layout>
                <c:manualLayout>
                  <c:x val="-3.9424354602006016E-2"/>
                  <c:y val="-9.9130158730158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47B-495C-8A13-2EE5E621FECD}"/>
                </c:ext>
              </c:extLst>
            </c:dLbl>
            <c:dLbl>
              <c:idx val="18"/>
              <c:layout>
                <c:manualLayout>
                  <c:x val="-3.501819708360944E-2"/>
                  <c:y val="-0.109209523809523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47B-495C-8A13-2EE5E621FEC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'VI 6.2 BD'!$A$6:$B$26</c:f>
              <c:multiLvlStrCache>
                <c:ptCount val="21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'VI 6.2 BD'!$G$6:$G$26</c:f>
              <c:numCache>
                <c:formatCode>0.0</c:formatCode>
                <c:ptCount val="21"/>
                <c:pt idx="0">
                  <c:v>38.481232430979524</c:v>
                </c:pt>
                <c:pt idx="1">
                  <c:v>37.280439746230861</c:v>
                </c:pt>
                <c:pt idx="2">
                  <c:v>40.267650721622886</c:v>
                </c:pt>
                <c:pt idx="3">
                  <c:v>38.494199797973835</c:v>
                </c:pt>
                <c:pt idx="4">
                  <c:v>38.774884888427486</c:v>
                </c:pt>
                <c:pt idx="5">
                  <c:v>39.551849655217943</c:v>
                </c:pt>
                <c:pt idx="6">
                  <c:v>38.635295560893262</c:v>
                </c:pt>
                <c:pt idx="7">
                  <c:v>39.423829262768685</c:v>
                </c:pt>
                <c:pt idx="8">
                  <c:v>39.112266751668763</c:v>
                </c:pt>
                <c:pt idx="9">
                  <c:v>41.41544702649513</c:v>
                </c:pt>
                <c:pt idx="10">
                  <c:v>41.694106213210816</c:v>
                </c:pt>
                <c:pt idx="11">
                  <c:v>40.414624754425702</c:v>
                </c:pt>
                <c:pt idx="12">
                  <c:v>39.885124195119488</c:v>
                </c:pt>
                <c:pt idx="14">
                  <c:v>43.686529711287847</c:v>
                </c:pt>
                <c:pt idx="15">
                  <c:v>43.649008694482745</c:v>
                </c:pt>
                <c:pt idx="16">
                  <c:v>44.560523599559019</c:v>
                </c:pt>
                <c:pt idx="17">
                  <c:v>44.589864742562369</c:v>
                </c:pt>
                <c:pt idx="18">
                  <c:v>47.501006238662264</c:v>
                </c:pt>
                <c:pt idx="19">
                  <c:v>43.108915074686976</c:v>
                </c:pt>
                <c:pt idx="20">
                  <c:v>44.553287784022757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47B-495C-8A13-2EE5E621FE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6185976"/>
        <c:axId val="606184800"/>
      </c:lineChart>
      <c:catAx>
        <c:axId val="606185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00"/>
            </a:pPr>
            <a:endParaRPr lang="es-MX"/>
          </a:p>
        </c:txPr>
        <c:crossAx val="606184800"/>
        <c:crosses val="autoZero"/>
        <c:auto val="1"/>
        <c:lblAlgn val="ctr"/>
        <c:lblOffset val="50"/>
        <c:tickLblSkip val="1"/>
        <c:tickMarkSkip val="1"/>
        <c:noMultiLvlLbl val="1"/>
      </c:catAx>
      <c:valAx>
        <c:axId val="606184800"/>
        <c:scaling>
          <c:orientation val="minMax"/>
          <c:max val="50"/>
          <c:min val="35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6185976"/>
        <c:crosses val="autoZero"/>
        <c:crossBetween val="between"/>
        <c:majorUnit val="3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>
      <a:outerShdw dist="12700" dir="2700000" algn="ctr" rotWithShape="0">
        <a:schemeClr val="bg1"/>
      </a:outerShdw>
    </a:effectLst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340476190476187"/>
          <c:y val="3.3663580246913578E-2"/>
          <c:w val="0.54167777777777781"/>
          <c:h val="0.8748531746031744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'VIII 8.2'!$B$3</c:f>
              <c:strCache>
                <c:ptCount val="1"/>
                <c:pt idx="0">
                  <c:v>Marzo de 2022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rgbClr val="46000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'VIII 8.2'!$A$4:$A$18</c:f>
              <c:strCache>
                <c:ptCount val="15"/>
                <c:pt idx="0">
                  <c:v>Otro</c:v>
                </c:pt>
                <c:pt idx="1">
                  <c:v>Problemas de salud derivados del manejo inadecuado de rastros</c:v>
                </c:pt>
                <c:pt idx="2">
                  <c:v>Mercados y centrales de abasto en mal estado</c:v>
                </c:pt>
                <c:pt idx="3">
                  <c:v>Falta de tratamiento de aguas residuales</c:v>
                </c:pt>
                <c:pt idx="4">
                  <c:v>Ineficiencia en el servicio de limpia y recolección de basura</c:v>
                </c:pt>
                <c:pt idx="5">
                  <c:v>Deficiencias en la red pública de drenaje</c:v>
                </c:pt>
                <c:pt idx="6">
                  <c:v>Servicio de transporte público deficiente</c:v>
                </c:pt>
                <c:pt idx="7">
                  <c:v>Hospitales saturados o con servicio deficiente</c:v>
                </c:pt>
                <c:pt idx="8">
                  <c:v>Parques y jardines descuidados</c:v>
                </c:pt>
                <c:pt idx="9">
                  <c:v>Coladeras tapadas por acumulación de desechos</c:v>
                </c:pt>
                <c:pt idx="10">
                  <c:v>Calles y avenidas con embotellamientos frecuentes</c:v>
                </c:pt>
                <c:pt idx="11">
                  <c:v>Fallas y fugas en el suministro de agua potable</c:v>
                </c:pt>
                <c:pt idx="12">
                  <c:v>Delincuencia (robos, extorsiones, secuestros, fraudes, etc.)</c:v>
                </c:pt>
                <c:pt idx="13">
                  <c:v>Alumbrado público insuficiente</c:v>
                </c:pt>
                <c:pt idx="14">
                  <c:v>Baches en calles y avenidas</c:v>
                </c:pt>
              </c:strCache>
            </c:strRef>
          </c:cat>
          <c:val>
            <c:numRef>
              <c:f>'VIII 8.2'!$B$4:$B$18</c:f>
              <c:numCache>
                <c:formatCode>0.0</c:formatCode>
                <c:ptCount val="15"/>
                <c:pt idx="0">
                  <c:v>1.0940195876855563</c:v>
                </c:pt>
                <c:pt idx="1">
                  <c:v>5.5450446105937115</c:v>
                </c:pt>
                <c:pt idx="2">
                  <c:v>13.424067228174064</c:v>
                </c:pt>
                <c:pt idx="3">
                  <c:v>17.593492676201446</c:v>
                </c:pt>
                <c:pt idx="4">
                  <c:v>25.335070919493003</c:v>
                </c:pt>
                <c:pt idx="5">
                  <c:v>30.643714942139965</c:v>
                </c:pt>
                <c:pt idx="6">
                  <c:v>35.126444405132176</c:v>
                </c:pt>
                <c:pt idx="7">
                  <c:v>35.19100820347262</c:v>
                </c:pt>
                <c:pt idx="8">
                  <c:v>36.113776433445935</c:v>
                </c:pt>
                <c:pt idx="9">
                  <c:v>41.460371021677062</c:v>
                </c:pt>
                <c:pt idx="10">
                  <c:v>43.770150417727301</c:v>
                </c:pt>
                <c:pt idx="11">
                  <c:v>52.560266796576357</c:v>
                </c:pt>
                <c:pt idx="12">
                  <c:v>55.471230077148995</c:v>
                </c:pt>
                <c:pt idx="13">
                  <c:v>58.466655006624947</c:v>
                </c:pt>
                <c:pt idx="14">
                  <c:v>76.58173333126193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90-457C-82FF-79DA746CA076}"/>
            </c:ext>
          </c:extLst>
        </c:ser>
        <c:ser>
          <c:idx val="1"/>
          <c:order val="1"/>
          <c:tx>
            <c:strRef>
              <c:f>'VIII 8.2'!$C$3</c:f>
              <c:strCache>
                <c:ptCount val="1"/>
                <c:pt idx="0">
                  <c:v>Diciembre de 2021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solidFill>
                      <a:srgbClr val="DC2C30"/>
                    </a:solidFill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'VIII 8.2'!$A$4:$A$18</c:f>
              <c:strCache>
                <c:ptCount val="15"/>
                <c:pt idx="0">
                  <c:v>Otro</c:v>
                </c:pt>
                <c:pt idx="1">
                  <c:v>Problemas de salud derivados del manejo inadecuado de rastros</c:v>
                </c:pt>
                <c:pt idx="2">
                  <c:v>Mercados y centrales de abasto en mal estado</c:v>
                </c:pt>
                <c:pt idx="3">
                  <c:v>Falta de tratamiento de aguas residuales</c:v>
                </c:pt>
                <c:pt idx="4">
                  <c:v>Ineficiencia en el servicio de limpia y recolección de basura</c:v>
                </c:pt>
                <c:pt idx="5">
                  <c:v>Deficiencias en la red pública de drenaje</c:v>
                </c:pt>
                <c:pt idx="6">
                  <c:v>Servicio de transporte público deficiente</c:v>
                </c:pt>
                <c:pt idx="7">
                  <c:v>Hospitales saturados o con servicio deficiente</c:v>
                </c:pt>
                <c:pt idx="8">
                  <c:v>Parques y jardines descuidados</c:v>
                </c:pt>
                <c:pt idx="9">
                  <c:v>Coladeras tapadas por acumulación de desechos</c:v>
                </c:pt>
                <c:pt idx="10">
                  <c:v>Calles y avenidas con embotellamientos frecuentes</c:v>
                </c:pt>
                <c:pt idx="11">
                  <c:v>Fallas y fugas en el suministro de agua potable</c:v>
                </c:pt>
                <c:pt idx="12">
                  <c:v>Delincuencia (robos, extorsiones, secuestros, fraudes, etc.)</c:v>
                </c:pt>
                <c:pt idx="13">
                  <c:v>Alumbrado público insuficiente</c:v>
                </c:pt>
                <c:pt idx="14">
                  <c:v>Baches en calles y avenidas</c:v>
                </c:pt>
              </c:strCache>
            </c:strRef>
          </c:cat>
          <c:val>
            <c:numRef>
              <c:f>'VIII 8.2'!$C$4:$C$18</c:f>
              <c:numCache>
                <c:formatCode>0.0</c:formatCode>
                <c:ptCount val="15"/>
                <c:pt idx="0">
                  <c:v>0.78593046782084641</c:v>
                </c:pt>
                <c:pt idx="1">
                  <c:v>7.049550865867876</c:v>
                </c:pt>
                <c:pt idx="2">
                  <c:v>16.830453778621884</c:v>
                </c:pt>
                <c:pt idx="3">
                  <c:v>23.192063588749352</c:v>
                </c:pt>
                <c:pt idx="4">
                  <c:v>28.894943186109924</c:v>
                </c:pt>
                <c:pt idx="5">
                  <c:v>38.095129514046263</c:v>
                </c:pt>
                <c:pt idx="6">
                  <c:v>39.716135950850294</c:v>
                </c:pt>
                <c:pt idx="7">
                  <c:v>40.847574599832015</c:v>
                </c:pt>
                <c:pt idx="8">
                  <c:v>43.492548459040641</c:v>
                </c:pt>
                <c:pt idx="9">
                  <c:v>47.899606730891072</c:v>
                </c:pt>
                <c:pt idx="10">
                  <c:v>48.2992777781865</c:v>
                </c:pt>
                <c:pt idx="11">
                  <c:v>53.572960186386432</c:v>
                </c:pt>
                <c:pt idx="12">
                  <c:v>56.837638023803414</c:v>
                </c:pt>
                <c:pt idx="13">
                  <c:v>60.283324842349415</c:v>
                </c:pt>
                <c:pt idx="14">
                  <c:v>81.161188241800616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90-457C-82FF-79DA746CA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4650960"/>
        <c:axId val="639249776"/>
      </c:barChart>
      <c:catAx>
        <c:axId val="6346509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9249776"/>
        <c:crosses val="autoZero"/>
        <c:auto val="1"/>
        <c:lblAlgn val="ctr"/>
        <c:lblOffset val="100"/>
        <c:noMultiLvlLbl val="0"/>
      </c:catAx>
      <c:valAx>
        <c:axId val="639249776"/>
        <c:scaling>
          <c:orientation val="minMax"/>
          <c:max val="100"/>
        </c:scaling>
        <c:delete val="0"/>
        <c:axPos val="b"/>
        <c:numFmt formatCode="0.0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80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es-MX"/>
          </a:p>
        </c:txPr>
        <c:crossAx val="634650960"/>
        <c:crosses val="autoZero"/>
        <c:crossBetween val="between"/>
      </c:valAx>
      <c:spPr>
        <a:noFill/>
        <a:ln w="952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46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29573293560905356"/>
          <c:y val="0.95814350088224454"/>
          <c:w val="0.53022142857142862"/>
          <c:h val="3.6998842592592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983551587301589"/>
          <c:y val="4.8155808341951052E-2"/>
          <c:w val="0.5891075396825397"/>
          <c:h val="0.834466081871345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'IX 9.1'!$B$4</c:f>
              <c:strCache>
                <c:ptCount val="1"/>
                <c:pt idx="0">
                  <c:v>I T 2022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'IX 9.1'!$A$5:$A$16</c:f>
              <c:strCache>
                <c:ptCount val="12"/>
                <c:pt idx="0">
                  <c:v>Otro</c:v>
                </c:pt>
                <c:pt idx="1">
                  <c:v>Aplicación electrónica ⁴</c:v>
                </c:pt>
                <c:pt idx="2">
                  <c:v>Twitter</c:v>
                </c:pt>
                <c:pt idx="3">
                  <c:v>Por mensajes SMS o alertas de noticias                 en su teléfono celular</c:v>
                </c:pt>
                <c:pt idx="4">
                  <c:v>Leyendo periódicos o revistas en papel</c:v>
                </c:pt>
                <c:pt idx="5">
                  <c:v>Comunicación personal en el entorno                          del trabajo o escuela ³</c:v>
                </c:pt>
                <c:pt idx="6">
                  <c:v>WhatsApp</c:v>
                </c:pt>
                <c:pt idx="7">
                  <c:v>Escuchando noticieros en radio</c:v>
                </c:pt>
                <c:pt idx="8">
                  <c:v>En internet ²</c:v>
                </c:pt>
                <c:pt idx="9">
                  <c:v>Comunicación personal en el entorno                             de la vivienda ¹</c:v>
                </c:pt>
                <c:pt idx="10">
                  <c:v>Facebook</c:v>
                </c:pt>
                <c:pt idx="11">
                  <c:v>Viendo noticieros en televisión</c:v>
                </c:pt>
              </c:strCache>
            </c:strRef>
          </c:cat>
          <c:val>
            <c:numRef>
              <c:f>'IX 9.1'!$B$5:$B$16</c:f>
              <c:numCache>
                <c:formatCode>0.0</c:formatCode>
                <c:ptCount val="12"/>
                <c:pt idx="0">
                  <c:v>0.16990737009551013</c:v>
                </c:pt>
                <c:pt idx="1">
                  <c:v>2.1335120031989638</c:v>
                </c:pt>
                <c:pt idx="2">
                  <c:v>5.6512720250526582</c:v>
                </c:pt>
                <c:pt idx="3">
                  <c:v>8.9321257551445008</c:v>
                </c:pt>
                <c:pt idx="4">
                  <c:v>10.401316069121421</c:v>
                </c:pt>
                <c:pt idx="5">
                  <c:v>16.461508855261052</c:v>
                </c:pt>
                <c:pt idx="6">
                  <c:v>18.571450960374825</c:v>
                </c:pt>
                <c:pt idx="7">
                  <c:v>21.26389096624828</c:v>
                </c:pt>
                <c:pt idx="8">
                  <c:v>21.949345152284501</c:v>
                </c:pt>
                <c:pt idx="9">
                  <c:v>55.134522454092227</c:v>
                </c:pt>
                <c:pt idx="10">
                  <c:v>55.49479997523418</c:v>
                </c:pt>
                <c:pt idx="11">
                  <c:v>63.172074105928189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ED8-4908-9E34-2EDBDC0998FD}"/>
            </c:ext>
          </c:extLst>
        </c:ser>
        <c:ser>
          <c:idx val="1"/>
          <c:order val="1"/>
          <c:tx>
            <c:strRef>
              <c:f>'IX 9.1'!$C$4</c:f>
              <c:strCache>
                <c:ptCount val="1"/>
                <c:pt idx="0">
                  <c:v>I T 2021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'IX 9.1'!$A$5:$A$16</c:f>
              <c:strCache>
                <c:ptCount val="12"/>
                <c:pt idx="0">
                  <c:v>Otro</c:v>
                </c:pt>
                <c:pt idx="1">
                  <c:v>Aplicación electrónica ⁴</c:v>
                </c:pt>
                <c:pt idx="2">
                  <c:v>Twitter</c:v>
                </c:pt>
                <c:pt idx="3">
                  <c:v>Por mensajes SMS o alertas de noticias                 en su teléfono celular</c:v>
                </c:pt>
                <c:pt idx="4">
                  <c:v>Leyendo periódicos o revistas en papel</c:v>
                </c:pt>
                <c:pt idx="5">
                  <c:v>Comunicación personal en el entorno                          del trabajo o escuela ³</c:v>
                </c:pt>
                <c:pt idx="6">
                  <c:v>WhatsApp</c:v>
                </c:pt>
                <c:pt idx="7">
                  <c:v>Escuchando noticieros en radio</c:v>
                </c:pt>
                <c:pt idx="8">
                  <c:v>En internet ²</c:v>
                </c:pt>
                <c:pt idx="9">
                  <c:v>Comunicación personal en el entorno                             de la vivienda ¹</c:v>
                </c:pt>
                <c:pt idx="10">
                  <c:v>Facebook</c:v>
                </c:pt>
                <c:pt idx="11">
                  <c:v>Viendo noticieros en televisión</c:v>
                </c:pt>
              </c:strCache>
            </c:strRef>
          </c:cat>
          <c:val>
            <c:numRef>
              <c:f>'IX 9.1'!$C$5:$C$16</c:f>
              <c:numCache>
                <c:formatCode>0.0</c:formatCode>
                <c:ptCount val="12"/>
                <c:pt idx="0">
                  <c:v>0.21050613144229666</c:v>
                </c:pt>
                <c:pt idx="1">
                  <c:v>2.1208668666942048</c:v>
                </c:pt>
                <c:pt idx="2">
                  <c:v>4.7142599441024791</c:v>
                </c:pt>
                <c:pt idx="3">
                  <c:v>9.9340069558359811</c:v>
                </c:pt>
                <c:pt idx="4">
                  <c:v>13.430785454770602</c:v>
                </c:pt>
                <c:pt idx="5">
                  <c:v>16.447023288055863</c:v>
                </c:pt>
                <c:pt idx="6">
                  <c:v>19.194427434442325</c:v>
                </c:pt>
                <c:pt idx="7">
                  <c:v>25.031926326960889</c:v>
                </c:pt>
                <c:pt idx="8">
                  <c:v>25.060468065783471</c:v>
                </c:pt>
                <c:pt idx="9">
                  <c:v>57.954617914763716</c:v>
                </c:pt>
                <c:pt idx="10">
                  <c:v>53.576669669505449</c:v>
                </c:pt>
                <c:pt idx="11">
                  <c:v>65.541760942186727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ED8-4908-9E34-2EDBDC099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9250168"/>
        <c:axId val="639250952"/>
      </c:barChart>
      <c:catAx>
        <c:axId val="639250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9250952"/>
        <c:crosses val="autoZero"/>
        <c:auto val="1"/>
        <c:lblAlgn val="ctr"/>
        <c:lblOffset val="100"/>
        <c:noMultiLvlLbl val="0"/>
      </c:catAx>
      <c:valAx>
        <c:axId val="639250952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9250168"/>
        <c:crosses val="autoZero"/>
        <c:crossBetween val="between"/>
      </c:valAx>
      <c:spPr>
        <a:noFill/>
        <a:ln w="952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14607936507936509"/>
          <c:y val="0.95275709876543213"/>
          <c:w val="0.76068650793650783"/>
          <c:h val="4.42657407407407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650099206349204"/>
          <c:y val="4.3117283950617286E-2"/>
          <c:w val="0.54917693447785587"/>
          <c:h val="0.8424327160493827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'IX 9.1a'!$C$4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'IX 9.1a'!$A$5:$A$16</c:f>
              <c:strCache>
                <c:ptCount val="12"/>
                <c:pt idx="0">
                  <c:v>Otro</c:v>
                </c:pt>
                <c:pt idx="1">
                  <c:v>Aplicación electrónica ⁴</c:v>
                </c:pt>
                <c:pt idx="2">
                  <c:v>Twitter</c:v>
                </c:pt>
                <c:pt idx="3">
                  <c:v>Leyendo periódicos o revistas en papel</c:v>
                </c:pt>
                <c:pt idx="4">
                  <c:v>Por mensajes SMS o alertas de noticias                       en su teléfono celular</c:v>
                </c:pt>
                <c:pt idx="5">
                  <c:v>Comunicación personal en el entorno              del trabajo o escuela ³</c:v>
                </c:pt>
                <c:pt idx="6">
                  <c:v>WhatsApp</c:v>
                </c:pt>
                <c:pt idx="7">
                  <c:v>En internet ²</c:v>
                </c:pt>
                <c:pt idx="8">
                  <c:v>Escuchando noticieros en radio</c:v>
                </c:pt>
                <c:pt idx="9">
                  <c:v>Facebook</c:v>
                </c:pt>
                <c:pt idx="10">
                  <c:v>Comunicación personal en el entorno                    de la vivienda ¹</c:v>
                </c:pt>
                <c:pt idx="11">
                  <c:v>Viendo noticieros en televisión</c:v>
                </c:pt>
              </c:strCache>
            </c:strRef>
          </c:cat>
          <c:val>
            <c:numRef>
              <c:f>'IX 9.1a'!$C$5:$C$16</c:f>
              <c:numCache>
                <c:formatCode>0.0</c:formatCode>
                <c:ptCount val="12"/>
                <c:pt idx="0">
                  <c:v>0.24025938722494036</c:v>
                </c:pt>
                <c:pt idx="1">
                  <c:v>2.3076147507765485</c:v>
                </c:pt>
                <c:pt idx="2">
                  <c:v>6.9411145066776871</c:v>
                </c:pt>
                <c:pt idx="3">
                  <c:v>12.307193013245127</c:v>
                </c:pt>
                <c:pt idx="4">
                  <c:v>8.1042182470058766</c:v>
                </c:pt>
                <c:pt idx="5">
                  <c:v>18.95249668366667</c:v>
                </c:pt>
                <c:pt idx="6">
                  <c:v>19.465787034034822</c:v>
                </c:pt>
                <c:pt idx="7">
                  <c:v>23.814853293535823</c:v>
                </c:pt>
                <c:pt idx="8">
                  <c:v>21.820921577628905</c:v>
                </c:pt>
                <c:pt idx="9">
                  <c:v>54.845872567646424</c:v>
                </c:pt>
                <c:pt idx="10">
                  <c:v>51.016843451280266</c:v>
                </c:pt>
                <c:pt idx="11">
                  <c:v>60.292821891170853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1C-4C2B-A3A4-AEB99A4D1A8C}"/>
            </c:ext>
          </c:extLst>
        </c:ser>
        <c:ser>
          <c:idx val="1"/>
          <c:order val="1"/>
          <c:tx>
            <c:strRef>
              <c:f>'IX 9.1a'!$B$4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'IX 9.1a'!$A$5:$A$16</c:f>
              <c:strCache>
                <c:ptCount val="12"/>
                <c:pt idx="0">
                  <c:v>Otro</c:v>
                </c:pt>
                <c:pt idx="1">
                  <c:v>Aplicación electrónica ⁴</c:v>
                </c:pt>
                <c:pt idx="2">
                  <c:v>Twitter</c:v>
                </c:pt>
                <c:pt idx="3">
                  <c:v>Leyendo periódicos o revistas en papel</c:v>
                </c:pt>
                <c:pt idx="4">
                  <c:v>Por mensajes SMS o alertas de noticias                       en su teléfono celular</c:v>
                </c:pt>
                <c:pt idx="5">
                  <c:v>Comunicación personal en el entorno              del trabajo o escuela ³</c:v>
                </c:pt>
                <c:pt idx="6">
                  <c:v>WhatsApp</c:v>
                </c:pt>
                <c:pt idx="7">
                  <c:v>En internet ²</c:v>
                </c:pt>
                <c:pt idx="8">
                  <c:v>Escuchando noticieros en radio</c:v>
                </c:pt>
                <c:pt idx="9">
                  <c:v>Facebook</c:v>
                </c:pt>
                <c:pt idx="10">
                  <c:v>Comunicación personal en el entorno                    de la vivienda ¹</c:v>
                </c:pt>
                <c:pt idx="11">
                  <c:v>Viendo noticieros en televisión</c:v>
                </c:pt>
              </c:strCache>
            </c:strRef>
          </c:cat>
          <c:val>
            <c:numRef>
              <c:f>'IX 9.1a'!$B$5:$B$16</c:f>
              <c:numCache>
                <c:formatCode>0.0</c:formatCode>
                <c:ptCount val="12"/>
                <c:pt idx="0">
                  <c:v>0.11185832537131829</c:v>
                </c:pt>
                <c:pt idx="1">
                  <c:v>1.9898558780001303</c:v>
                </c:pt>
                <c:pt idx="2">
                  <c:v>4.5869937433757562</c:v>
                </c:pt>
                <c:pt idx="3">
                  <c:v>8.8287337824656777</c:v>
                </c:pt>
                <c:pt idx="4">
                  <c:v>9.6152510147801404</c:v>
                </c:pt>
                <c:pt idx="5">
                  <c:v>14.406138309275027</c:v>
                </c:pt>
                <c:pt idx="6">
                  <c:v>17.833513984909917</c:v>
                </c:pt>
                <c:pt idx="7">
                  <c:v>20.410072080332444</c:v>
                </c:pt>
                <c:pt idx="8">
                  <c:v>20.80427237687238</c:v>
                </c:pt>
                <c:pt idx="9">
                  <c:v>56.030244695127749</c:v>
                </c:pt>
                <c:pt idx="10">
                  <c:v>58.532112776973044</c:v>
                </c:pt>
                <c:pt idx="11">
                  <c:v>65.54781040186387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1C-4C2B-A3A4-AEB99A4D1A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9253304"/>
        <c:axId val="639245856"/>
      </c:barChart>
      <c:catAx>
        <c:axId val="639253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9245856"/>
        <c:crosses val="autoZero"/>
        <c:auto val="1"/>
        <c:lblAlgn val="ctr"/>
        <c:lblOffset val="100"/>
        <c:noMultiLvlLbl val="0"/>
      </c:catAx>
      <c:valAx>
        <c:axId val="639245856"/>
        <c:scaling>
          <c:orientation val="minMax"/>
          <c:max val="70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9253304"/>
        <c:crosses val="autoZero"/>
        <c:crossBetween val="between"/>
        <c:majorUnit val="10"/>
      </c:valAx>
      <c:spPr>
        <a:noFill/>
        <a:ln w="952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21522519841269841"/>
          <c:y val="0.94786388888888884"/>
          <c:w val="0.58066765873015869"/>
          <c:h val="4.89327160493827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09424603174605"/>
          <c:y val="3.1917901234567898E-2"/>
          <c:w val="0.52882499999999988"/>
          <c:h val="0.851529964395269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'II 2.4 BD'!$B$3:$B$4</c:f>
              <c:strCache>
                <c:ptCount val="2"/>
                <c:pt idx="1">
                  <c:v>Marzo de 2022</c:v>
                </c:pt>
              </c:strCache>
            </c:strRef>
          </c:tx>
          <c:spPr>
            <a:solidFill>
              <a:srgbClr val="460000"/>
            </a:solidFill>
            <a:ln w="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2.4 BD'!$A$5:$A$16</c:f>
              <c:strCache>
                <c:ptCount val="12"/>
                <c:pt idx="0">
                  <c:v>Escuela</c:v>
                </c:pt>
                <c:pt idx="1">
                  <c:v>Casa</c:v>
                </c:pt>
                <c:pt idx="2">
                  <c:v>Trabajo</c:v>
                </c:pt>
                <c:pt idx="3">
                  <c:v>Automóvil</c:v>
                </c:pt>
                <c:pt idx="4">
                  <c:v>Centro comercial</c:v>
                </c:pt>
                <c:pt idx="5">
                  <c:v>Parque recreativo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Calles que habitualmente usa</c:v>
                </c:pt>
                <c:pt idx="9">
                  <c:v>Banco</c:v>
                </c:pt>
                <c:pt idx="10">
                  <c:v>Transporte público</c:v>
                </c:pt>
                <c:pt idx="11">
                  <c:v>Cajero automático localizado en la vía pública</c:v>
                </c:pt>
              </c:strCache>
            </c:strRef>
          </c:cat>
          <c:val>
            <c:numRef>
              <c:f>'II 2.4 BD'!$B$5:$B$16</c:f>
              <c:numCache>
                <c:formatCode>0.0</c:formatCode>
                <c:ptCount val="12"/>
                <c:pt idx="0">
                  <c:v>17.756315560591574</c:v>
                </c:pt>
                <c:pt idx="1">
                  <c:v>19.712685516419498</c:v>
                </c:pt>
                <c:pt idx="2">
                  <c:v>30.311300932143375</c:v>
                </c:pt>
                <c:pt idx="3">
                  <c:v>34.040097680744033</c:v>
                </c:pt>
                <c:pt idx="4">
                  <c:v>34.304906175256832</c:v>
                </c:pt>
                <c:pt idx="5">
                  <c:v>48.075643678224701</c:v>
                </c:pt>
                <c:pt idx="6">
                  <c:v>49.752654122824516</c:v>
                </c:pt>
                <c:pt idx="7">
                  <c:v>51.812852831422653</c:v>
                </c:pt>
                <c:pt idx="8">
                  <c:v>58.587667807796009</c:v>
                </c:pt>
                <c:pt idx="9">
                  <c:v>61.722222389761697</c:v>
                </c:pt>
                <c:pt idx="10">
                  <c:v>70.177596473092805</c:v>
                </c:pt>
                <c:pt idx="11">
                  <c:v>76.353789708618535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C4-470A-BD0F-C6D221D2D50B}"/>
            </c:ext>
          </c:extLst>
        </c:ser>
        <c:ser>
          <c:idx val="1"/>
          <c:order val="1"/>
          <c:tx>
            <c:strRef>
              <c:f>'II 2.4 BD'!$C$3:$C$4</c:f>
              <c:strCache>
                <c:ptCount val="2"/>
                <c:pt idx="1">
                  <c:v>Diciembre de 2021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2.4 BD'!$A$5:$A$16</c:f>
              <c:strCache>
                <c:ptCount val="12"/>
                <c:pt idx="0">
                  <c:v>Escuela</c:v>
                </c:pt>
                <c:pt idx="1">
                  <c:v>Casa</c:v>
                </c:pt>
                <c:pt idx="2">
                  <c:v>Trabajo</c:v>
                </c:pt>
                <c:pt idx="3">
                  <c:v>Automóvil</c:v>
                </c:pt>
                <c:pt idx="4">
                  <c:v>Centro comercial</c:v>
                </c:pt>
                <c:pt idx="5">
                  <c:v>Parque recreativo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Calles que habitualmente usa</c:v>
                </c:pt>
                <c:pt idx="9">
                  <c:v>Banco</c:v>
                </c:pt>
                <c:pt idx="10">
                  <c:v>Transporte público</c:v>
                </c:pt>
                <c:pt idx="11">
                  <c:v>Cajero automático localizado en la vía pública</c:v>
                </c:pt>
              </c:strCache>
            </c:strRef>
          </c:cat>
          <c:val>
            <c:numRef>
              <c:f>'II 2.4 BD'!$C$5:$C$16</c:f>
              <c:numCache>
                <c:formatCode>0.0</c:formatCode>
                <c:ptCount val="12"/>
                <c:pt idx="0">
                  <c:v>15.337723777463042</c:v>
                </c:pt>
                <c:pt idx="1">
                  <c:v>19.979014802460444</c:v>
                </c:pt>
                <c:pt idx="2">
                  <c:v>30.643841947365729</c:v>
                </c:pt>
                <c:pt idx="3">
                  <c:v>34.644913507608003</c:v>
                </c:pt>
                <c:pt idx="4">
                  <c:v>34.233029844327348</c:v>
                </c:pt>
                <c:pt idx="5">
                  <c:v>48.553294595815558</c:v>
                </c:pt>
                <c:pt idx="6">
                  <c:v>50.257002712323349</c:v>
                </c:pt>
                <c:pt idx="7">
                  <c:v>52.22044074779069</c:v>
                </c:pt>
                <c:pt idx="8">
                  <c:v>57.935483942336127</c:v>
                </c:pt>
                <c:pt idx="9">
                  <c:v>62.428092933869415</c:v>
                </c:pt>
                <c:pt idx="10">
                  <c:v>70.229464664103133</c:v>
                </c:pt>
                <c:pt idx="11">
                  <c:v>76.870718851947075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C4-470A-BD0F-C6D221D2D5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4668992"/>
        <c:axId val="634667032"/>
      </c:barChart>
      <c:catAx>
        <c:axId val="6346689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0" spc="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67032"/>
        <c:crosses val="autoZero"/>
        <c:auto val="1"/>
        <c:lblAlgn val="ctr"/>
        <c:lblOffset val="100"/>
        <c:noMultiLvlLbl val="0"/>
      </c:catAx>
      <c:valAx>
        <c:axId val="634667032"/>
        <c:scaling>
          <c:orientation val="minMax"/>
          <c:max val="85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68992"/>
        <c:crosses val="autoZero"/>
        <c:crossBetween val="between"/>
        <c:majorUnit val="10"/>
      </c:valAx>
      <c:spPr>
        <a:noFill/>
        <a:ln w="952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46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21721884920634921"/>
          <c:y val="0.94703919753086419"/>
          <c:w val="0.5685946428571429"/>
          <c:h val="4.93586419753086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1709424603174605"/>
          <c:y val="3.1917901234567898E-2"/>
          <c:w val="0.52882499999999988"/>
          <c:h val="0.8515299643952692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'II 2.4 BD'!$H$4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46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2.4 BD'!$G$5:$G$16</c:f>
              <c:strCache>
                <c:ptCount val="12"/>
                <c:pt idx="0">
                  <c:v>Casa</c:v>
                </c:pt>
                <c:pt idx="1">
                  <c:v>Escuela</c:v>
                </c:pt>
                <c:pt idx="2">
                  <c:v>Trabajo</c:v>
                </c:pt>
                <c:pt idx="3">
                  <c:v>Automóvil</c:v>
                </c:pt>
                <c:pt idx="4">
                  <c:v>Centro comercial</c:v>
                </c:pt>
                <c:pt idx="5">
                  <c:v>Parque recreativo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Calles que habitualmente usa</c:v>
                </c:pt>
                <c:pt idx="9">
                  <c:v>Banco</c:v>
                </c:pt>
                <c:pt idx="10">
                  <c:v>Transporte público</c:v>
                </c:pt>
                <c:pt idx="11">
                  <c:v>Cajero automático localizado en la vía pública</c:v>
                </c:pt>
              </c:strCache>
            </c:strRef>
          </c:cat>
          <c:val>
            <c:numRef>
              <c:f>'II 2.4 BD'!$H$5:$H$16</c:f>
              <c:numCache>
                <c:formatCode>0.0</c:formatCode>
                <c:ptCount val="12"/>
                <c:pt idx="0">
                  <c:v>16.646983062526949</c:v>
                </c:pt>
                <c:pt idx="1">
                  <c:v>12.189476414713313</c:v>
                </c:pt>
                <c:pt idx="2">
                  <c:v>27.836243743214734</c:v>
                </c:pt>
                <c:pt idx="3">
                  <c:v>31.434703398972935</c:v>
                </c:pt>
                <c:pt idx="4">
                  <c:v>27.956944223154533</c:v>
                </c:pt>
                <c:pt idx="5">
                  <c:v>40.726450151297158</c:v>
                </c:pt>
                <c:pt idx="6">
                  <c:v>42.921963150967109</c:v>
                </c:pt>
                <c:pt idx="7">
                  <c:v>47.350192774076156</c:v>
                </c:pt>
                <c:pt idx="8">
                  <c:v>53.116925140668016</c:v>
                </c:pt>
                <c:pt idx="9">
                  <c:v>54.698630470940088</c:v>
                </c:pt>
                <c:pt idx="10">
                  <c:v>64.307049911949164</c:v>
                </c:pt>
                <c:pt idx="11">
                  <c:v>70.489762337583699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D0-4382-8FA2-071FC465573F}"/>
            </c:ext>
          </c:extLst>
        </c:ser>
        <c:ser>
          <c:idx val="1"/>
          <c:order val="1"/>
          <c:tx>
            <c:strRef>
              <c:f>'II 2.4 BD'!$I$4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rgbClr val="DC2C3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'II 2.4 BD'!$G$5:$G$16</c:f>
              <c:strCache>
                <c:ptCount val="12"/>
                <c:pt idx="0">
                  <c:v>Casa</c:v>
                </c:pt>
                <c:pt idx="1">
                  <c:v>Escuela</c:v>
                </c:pt>
                <c:pt idx="2">
                  <c:v>Trabajo</c:v>
                </c:pt>
                <c:pt idx="3">
                  <c:v>Automóvil</c:v>
                </c:pt>
                <c:pt idx="4">
                  <c:v>Centro comercial</c:v>
                </c:pt>
                <c:pt idx="5">
                  <c:v>Parque recreativo o centro recreativo</c:v>
                </c:pt>
                <c:pt idx="6">
                  <c:v>Mercado</c:v>
                </c:pt>
                <c:pt idx="7">
                  <c:v>Carretera</c:v>
                </c:pt>
                <c:pt idx="8">
                  <c:v>Calles que habitualmente usa</c:v>
                </c:pt>
                <c:pt idx="9">
                  <c:v>Banco</c:v>
                </c:pt>
                <c:pt idx="10">
                  <c:v>Transporte público</c:v>
                </c:pt>
                <c:pt idx="11">
                  <c:v>Cajero automático localizado en la vía pública</c:v>
                </c:pt>
              </c:strCache>
            </c:strRef>
          </c:cat>
          <c:val>
            <c:numRef>
              <c:f>'II 2.4 BD'!$I$5:$I$16</c:f>
              <c:numCache>
                <c:formatCode>0.0</c:formatCode>
                <c:ptCount val="12"/>
                <c:pt idx="0">
                  <c:v>22.242266132845451</c:v>
                </c:pt>
                <c:pt idx="1">
                  <c:v>22.993968645950581</c:v>
                </c:pt>
                <c:pt idx="2">
                  <c:v>33.14127924971767</c:v>
                </c:pt>
                <c:pt idx="3">
                  <c:v>36.239982378876967</c:v>
                </c:pt>
                <c:pt idx="4">
                  <c:v>39.602289619415956</c:v>
                </c:pt>
                <c:pt idx="5">
                  <c:v>54.47700892342823</c:v>
                </c:pt>
                <c:pt idx="6">
                  <c:v>55.197707426985211</c:v>
                </c:pt>
                <c:pt idx="7">
                  <c:v>55.64540428225245</c:v>
                </c:pt>
                <c:pt idx="8">
                  <c:v>63.144265098863173</c:v>
                </c:pt>
                <c:pt idx="9">
                  <c:v>68.006506788363623</c:v>
                </c:pt>
                <c:pt idx="10">
                  <c:v>74.769936754454591</c:v>
                </c:pt>
                <c:pt idx="11">
                  <c:v>81.61935768067768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D0-4382-8FA2-071FC46557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634663896"/>
        <c:axId val="634669776"/>
      </c:barChart>
      <c:catAx>
        <c:axId val="6346638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0" spc="0" baseline="0">
                <a:ln>
                  <a:noFill/>
                </a:ln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69776"/>
        <c:crosses val="autoZero"/>
        <c:auto val="1"/>
        <c:lblAlgn val="ctr"/>
        <c:lblOffset val="100"/>
        <c:noMultiLvlLbl val="0"/>
      </c:catAx>
      <c:valAx>
        <c:axId val="634669776"/>
        <c:scaling>
          <c:orientation val="minMax"/>
          <c:max val="85"/>
          <c:min val="0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634663896"/>
        <c:crosses val="autoZero"/>
        <c:crossBetween val="between"/>
        <c:majorUnit val="10"/>
      </c:valAx>
      <c:spPr>
        <a:noFill/>
        <a:ln w="9525"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DC2C3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46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ayout>
        <c:manualLayout>
          <c:xMode val="edge"/>
          <c:yMode val="edge"/>
          <c:x val="0.21721884920634921"/>
          <c:y val="0.94703919753086419"/>
          <c:w val="0.5685946428571429"/>
          <c:h val="4.93586419753086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634920634920628E-2"/>
          <c:y val="5.4874760242077429E-2"/>
          <c:w val="0.92166805555555553"/>
          <c:h val="0.7461865079365078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'III 3.2'!$C$4</c:f>
              <c:strCache>
                <c:ptCount val="1"/>
                <c:pt idx="0">
                  <c:v>Seguirá igual de mal </c:v>
                </c:pt>
              </c:strCache>
            </c:strRef>
          </c:tx>
          <c:spPr>
            <a:solidFill>
              <a:srgbClr val="DC2C30"/>
            </a:solidFill>
            <a:ln>
              <a:noFill/>
            </a:ln>
            <a:effectLst/>
          </c:spPr>
          <c:invertIfNegative val="0"/>
          <c:dPt>
            <c:idx val="25"/>
            <c:invertIfNegative val="0"/>
            <c:bubble3D val="0"/>
            <c:spPr>
              <a:blipFill>
                <a:blip xmlns:r="http://schemas.openxmlformats.org/officeDocument/2006/relationships" r:embed="rId3"/>
                <a:stretch>
                  <a:fillRect/>
                </a:stretch>
              </a:blip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2F-4539-8123-332FD19FE17F}"/>
              </c:ext>
            </c:extLst>
          </c:dPt>
          <c:dLbls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2F-4539-8123-332FD19FE1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0" tIns="0" rIns="0" bIns="0" anchor="b" anchorCtr="0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'III 3.2'!$A$7:$B$39</c:f>
              <c:multiLvlStrCache>
                <c:ptCount val="33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  <c:pt idx="21">
                    <c:v>Jun</c:v>
                  </c:pt>
                  <c:pt idx="22">
                    <c:v>Sep</c:v>
                  </c:pt>
                  <c:pt idx="23">
                    <c:v>Dic</c:v>
                  </c:pt>
                  <c:pt idx="24">
                    <c:v>Mar</c:v>
                  </c:pt>
                  <c:pt idx="25">
                    <c:v>Jun</c:v>
                  </c:pt>
                  <c:pt idx="26">
                    <c:v>Sep</c:v>
                  </c:pt>
                  <c:pt idx="27">
                    <c:v>Dic</c:v>
                  </c:pt>
                  <c:pt idx="28">
                    <c:v>Mar</c:v>
                  </c:pt>
                  <c:pt idx="29">
                    <c:v>Jun</c:v>
                  </c:pt>
                  <c:pt idx="30">
                    <c:v>Sep</c:v>
                  </c:pt>
                  <c:pt idx="31">
                    <c:v>Dic</c:v>
                  </c:pt>
                  <c:pt idx="32">
                    <c:v>Mar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  <c:pt idx="24">
                    <c:v>2020</c:v>
                  </c:pt>
                  <c:pt idx="28">
                    <c:v>2021</c:v>
                  </c:pt>
                  <c:pt idx="32">
                    <c:v>2022</c:v>
                  </c:pt>
                </c:lvl>
              </c:multiLvlStrCache>
            </c:multiLvlStrRef>
          </c:cat>
          <c:val>
            <c:numRef>
              <c:f>'III 3.2'!$C$7:$C$39</c:f>
              <c:numCache>
                <c:formatCode>0.0</c:formatCode>
                <c:ptCount val="33"/>
                <c:pt idx="0">
                  <c:v>37.300353547262702</c:v>
                </c:pt>
                <c:pt idx="1">
                  <c:v>37.177499709149799</c:v>
                </c:pt>
                <c:pt idx="2">
                  <c:v>36.145083209429302</c:v>
                </c:pt>
                <c:pt idx="3">
                  <c:v>35.306141899279403</c:v>
                </c:pt>
                <c:pt idx="4">
                  <c:v>38.092813013830202</c:v>
                </c:pt>
                <c:pt idx="5">
                  <c:v>37.328902593770103</c:v>
                </c:pt>
                <c:pt idx="6">
                  <c:v>34.932447017908999</c:v>
                </c:pt>
                <c:pt idx="7">
                  <c:v>36.270393058505</c:v>
                </c:pt>
                <c:pt idx="8">
                  <c:v>34.605601696953002</c:v>
                </c:pt>
                <c:pt idx="9">
                  <c:v>33.8900212560835</c:v>
                </c:pt>
                <c:pt idx="10">
                  <c:v>35.820792460023299</c:v>
                </c:pt>
                <c:pt idx="11">
                  <c:v>34.708594378454599</c:v>
                </c:pt>
                <c:pt idx="12">
                  <c:v>36.755096977052297</c:v>
                </c:pt>
                <c:pt idx="13">
                  <c:v>36.386958921777897</c:v>
                </c:pt>
                <c:pt idx="14">
                  <c:v>35.455076432929999</c:v>
                </c:pt>
                <c:pt idx="15">
                  <c:v>35.848532967881603</c:v>
                </c:pt>
                <c:pt idx="16">
                  <c:v>36.204571188368</c:v>
                </c:pt>
                <c:pt idx="17">
                  <c:v>35.055602106007399</c:v>
                </c:pt>
                <c:pt idx="18">
                  <c:v>33.177275691749699</c:v>
                </c:pt>
                <c:pt idx="19">
                  <c:v>29.4423823639573</c:v>
                </c:pt>
                <c:pt idx="20">
                  <c:v>32.788559921261097</c:v>
                </c:pt>
                <c:pt idx="21">
                  <c:v>33.381826615591201</c:v>
                </c:pt>
                <c:pt idx="22">
                  <c:v>32.978364572363603</c:v>
                </c:pt>
                <c:pt idx="23">
                  <c:v>33.592669413352802</c:v>
                </c:pt>
                <c:pt idx="24">
                  <c:v>34.484010855021197</c:v>
                </c:pt>
                <c:pt idx="25">
                  <c:v>67</c:v>
                </c:pt>
                <c:pt idx="26">
                  <c:v>33.204958711028397</c:v>
                </c:pt>
                <c:pt idx="27">
                  <c:v>33.320774805176399</c:v>
                </c:pt>
                <c:pt idx="28">
                  <c:v>35.8423380670014</c:v>
                </c:pt>
                <c:pt idx="29">
                  <c:v>34.979318181557304</c:v>
                </c:pt>
                <c:pt idx="30">
                  <c:v>34.6364513547054</c:v>
                </c:pt>
                <c:pt idx="31">
                  <c:v>32.598645028145398</c:v>
                </c:pt>
                <c:pt idx="32">
                  <c:v>35.228619355234898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12F-4539-8123-332FD19FE17F}"/>
            </c:ext>
          </c:extLst>
        </c:ser>
        <c:ser>
          <c:idx val="1"/>
          <c:order val="1"/>
          <c:tx>
            <c:strRef>
              <c:f>'III 3.2'!$D$4</c:f>
              <c:strCache>
                <c:ptCount val="1"/>
                <c:pt idx="0">
                  <c:v>Empeorará</c:v>
                </c:pt>
              </c:strCache>
            </c:strRef>
          </c:tx>
          <c:spPr>
            <a:solidFill>
              <a:srgbClr val="460000"/>
            </a:solidFill>
            <a:ln>
              <a:noFill/>
            </a:ln>
            <a:effectLst/>
          </c:spPr>
          <c:invertIfNegative val="0"/>
          <c:dPt>
            <c:idx val="25"/>
            <c:invertIfNegative val="0"/>
            <c:bubble3D val="0"/>
            <c:spPr>
              <a:noFill/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12F-4539-8123-332FD19FE17F}"/>
              </c:ext>
            </c:extLst>
          </c:dPt>
          <c:dLbls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12F-4539-8123-332FD19FE1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horzOverflow="clip" vert="horz" wrap="square" lIns="0" tIns="0" rIns="0" bIns="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'III 3.2'!$A$7:$B$39</c:f>
              <c:multiLvlStrCache>
                <c:ptCount val="33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  <c:pt idx="21">
                    <c:v>Jun</c:v>
                  </c:pt>
                  <c:pt idx="22">
                    <c:v>Sep</c:v>
                  </c:pt>
                  <c:pt idx="23">
                    <c:v>Dic</c:v>
                  </c:pt>
                  <c:pt idx="24">
                    <c:v>Mar</c:v>
                  </c:pt>
                  <c:pt idx="25">
                    <c:v>Jun</c:v>
                  </c:pt>
                  <c:pt idx="26">
                    <c:v>Sep</c:v>
                  </c:pt>
                  <c:pt idx="27">
                    <c:v>Dic</c:v>
                  </c:pt>
                  <c:pt idx="28">
                    <c:v>Mar</c:v>
                  </c:pt>
                  <c:pt idx="29">
                    <c:v>Jun</c:v>
                  </c:pt>
                  <c:pt idx="30">
                    <c:v>Sep</c:v>
                  </c:pt>
                  <c:pt idx="31">
                    <c:v>Dic</c:v>
                  </c:pt>
                  <c:pt idx="32">
                    <c:v>Mar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  <c:pt idx="24">
                    <c:v>2020</c:v>
                  </c:pt>
                  <c:pt idx="28">
                    <c:v>2021</c:v>
                  </c:pt>
                  <c:pt idx="32">
                    <c:v>2022</c:v>
                  </c:pt>
                </c:lvl>
              </c:multiLvlStrCache>
            </c:multiLvlStrRef>
          </c:cat>
          <c:val>
            <c:numRef>
              <c:f>'III 3.2'!$D$7:$D$39</c:f>
              <c:numCache>
                <c:formatCode>0.0</c:formatCode>
                <c:ptCount val="33"/>
                <c:pt idx="0">
                  <c:v>27.633374525292702</c:v>
                </c:pt>
                <c:pt idx="1">
                  <c:v>27.063709410454699</c:v>
                </c:pt>
                <c:pt idx="2">
                  <c:v>27.3848686321864</c:v>
                </c:pt>
                <c:pt idx="3">
                  <c:v>27.928673486845199</c:v>
                </c:pt>
                <c:pt idx="4">
                  <c:v>24.978639459427701</c:v>
                </c:pt>
                <c:pt idx="5">
                  <c:v>26.321152682913201</c:v>
                </c:pt>
                <c:pt idx="6">
                  <c:v>29.7745502047384</c:v>
                </c:pt>
                <c:pt idx="7">
                  <c:v>26.610983515759099</c:v>
                </c:pt>
                <c:pt idx="8">
                  <c:v>33.310772665179897</c:v>
                </c:pt>
                <c:pt idx="9">
                  <c:v>31.564371861436701</c:v>
                </c:pt>
                <c:pt idx="10">
                  <c:v>34.133139525335302</c:v>
                </c:pt>
                <c:pt idx="11">
                  <c:v>37.367873646283698</c:v>
                </c:pt>
                <c:pt idx="12">
                  <c:v>33.770486826087897</c:v>
                </c:pt>
                <c:pt idx="13">
                  <c:v>36.703501541246098</c:v>
                </c:pt>
                <c:pt idx="14">
                  <c:v>37.403897080397002</c:v>
                </c:pt>
                <c:pt idx="15">
                  <c:v>37.697627470748401</c:v>
                </c:pt>
                <c:pt idx="16">
                  <c:v>36.285013441916703</c:v>
                </c:pt>
                <c:pt idx="17">
                  <c:v>33.175515051222803</c:v>
                </c:pt>
                <c:pt idx="18">
                  <c:v>25.0693805187768</c:v>
                </c:pt>
                <c:pt idx="19">
                  <c:v>19.0223895991065</c:v>
                </c:pt>
                <c:pt idx="20">
                  <c:v>22.235256250275899</c:v>
                </c:pt>
                <c:pt idx="21">
                  <c:v>26.884421776444299</c:v>
                </c:pt>
                <c:pt idx="22">
                  <c:v>26.373897173574999</c:v>
                </c:pt>
                <c:pt idx="23">
                  <c:v>28.924624893321301</c:v>
                </c:pt>
                <c:pt idx="24">
                  <c:v>31.987690630724199</c:v>
                </c:pt>
                <c:pt idx="25">
                  <c:v>0</c:v>
                </c:pt>
                <c:pt idx="26">
                  <c:v>33.3668671665489</c:v>
                </c:pt>
                <c:pt idx="27">
                  <c:v>33.222660649146697</c:v>
                </c:pt>
                <c:pt idx="28">
                  <c:v>26.732383756119201</c:v>
                </c:pt>
                <c:pt idx="29">
                  <c:v>23.929781302002301</c:v>
                </c:pt>
                <c:pt idx="30">
                  <c:v>24.838450484569702</c:v>
                </c:pt>
                <c:pt idx="31">
                  <c:v>26.4543218498888</c:v>
                </c:pt>
                <c:pt idx="32">
                  <c:v>25.048507702210799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12F-4539-8123-332FD19FE1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100"/>
        <c:axId val="348142680"/>
        <c:axId val="348151304"/>
      </c:barChart>
      <c:lineChart>
        <c:grouping val="standard"/>
        <c:varyColors val="0"/>
        <c:ser>
          <c:idx val="2"/>
          <c:order val="2"/>
          <c:spPr>
            <a:ln w="28575" cap="rnd">
              <a:noFill/>
              <a:round/>
            </a:ln>
            <a:effectLst/>
          </c:spPr>
          <c:marker>
            <c:symbol val="none"/>
          </c:marker>
          <c:dLbls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12F-4539-8123-332FD19FE1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0" tIns="0" rIns="0" bIns="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'III 3.2'!$A$7:$B$39</c:f>
              <c:multiLvlStrCache>
                <c:ptCount val="33"/>
                <c:lvl>
                  <c:pt idx="0">
                    <c:v>Mar</c:v>
                  </c:pt>
                  <c:pt idx="1">
                    <c:v>Jun</c:v>
                  </c:pt>
                  <c:pt idx="2">
                    <c:v>Sep</c:v>
                  </c:pt>
                  <c:pt idx="3">
                    <c:v>Dic</c:v>
                  </c:pt>
                  <c:pt idx="4">
                    <c:v>Mar</c:v>
                  </c:pt>
                  <c:pt idx="5">
                    <c:v>Jun</c:v>
                  </c:pt>
                  <c:pt idx="6">
                    <c:v>Sep</c:v>
                  </c:pt>
                  <c:pt idx="7">
                    <c:v>Dic</c:v>
                  </c:pt>
                  <c:pt idx="8">
                    <c:v>Mar</c:v>
                  </c:pt>
                  <c:pt idx="9">
                    <c:v>Jun</c:v>
                  </c:pt>
                  <c:pt idx="10">
                    <c:v>Sep</c:v>
                  </c:pt>
                  <c:pt idx="11">
                    <c:v>Dic</c:v>
                  </c:pt>
                  <c:pt idx="12">
                    <c:v>Mar</c:v>
                  </c:pt>
                  <c:pt idx="13">
                    <c:v>Jun</c:v>
                  </c:pt>
                  <c:pt idx="14">
                    <c:v>Sep</c:v>
                  </c:pt>
                  <c:pt idx="15">
                    <c:v>Dic</c:v>
                  </c:pt>
                  <c:pt idx="16">
                    <c:v>Mar</c:v>
                  </c:pt>
                  <c:pt idx="17">
                    <c:v>Jun</c:v>
                  </c:pt>
                  <c:pt idx="18">
                    <c:v>Sep</c:v>
                  </c:pt>
                  <c:pt idx="19">
                    <c:v>Dic</c:v>
                  </c:pt>
                  <c:pt idx="20">
                    <c:v>Mar</c:v>
                  </c:pt>
                  <c:pt idx="21">
                    <c:v>Jun</c:v>
                  </c:pt>
                  <c:pt idx="22">
                    <c:v>Sep</c:v>
                  </c:pt>
                  <c:pt idx="23">
                    <c:v>Dic</c:v>
                  </c:pt>
                  <c:pt idx="24">
                    <c:v>Mar</c:v>
                  </c:pt>
                  <c:pt idx="25">
                    <c:v>Jun</c:v>
                  </c:pt>
                  <c:pt idx="26">
                    <c:v>Sep</c:v>
                  </c:pt>
                  <c:pt idx="27">
                    <c:v>Dic</c:v>
                  </c:pt>
                  <c:pt idx="28">
                    <c:v>Mar</c:v>
                  </c:pt>
                  <c:pt idx="29">
                    <c:v>Jun</c:v>
                  </c:pt>
                  <c:pt idx="30">
                    <c:v>Sep</c:v>
                  </c:pt>
                  <c:pt idx="31">
                    <c:v>Dic</c:v>
                  </c:pt>
                  <c:pt idx="32">
                    <c:v>Mar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  <c:pt idx="20">
                    <c:v>2019</c:v>
                  </c:pt>
                  <c:pt idx="24">
                    <c:v>2020</c:v>
                  </c:pt>
                  <c:pt idx="28">
                    <c:v>2021</c:v>
                  </c:pt>
                  <c:pt idx="32">
                    <c:v>2022</c:v>
                  </c:pt>
                </c:lvl>
              </c:multiLvlStrCache>
            </c:multiLvlStrRef>
          </c:cat>
          <c:val>
            <c:numRef>
              <c:f>'III 3.2'!$E$7:$E$39</c:f>
              <c:numCache>
                <c:formatCode>0.0</c:formatCode>
                <c:ptCount val="33"/>
                <c:pt idx="0">
                  <c:v>64.900000000000006</c:v>
                </c:pt>
                <c:pt idx="1">
                  <c:v>64.300000000000011</c:v>
                </c:pt>
                <c:pt idx="2">
                  <c:v>63.5</c:v>
                </c:pt>
                <c:pt idx="3">
                  <c:v>63.199999999999996</c:v>
                </c:pt>
                <c:pt idx="4">
                  <c:v>63.1</c:v>
                </c:pt>
                <c:pt idx="5">
                  <c:v>63.599999999999994</c:v>
                </c:pt>
                <c:pt idx="6">
                  <c:v>64.7</c:v>
                </c:pt>
                <c:pt idx="7">
                  <c:v>62.9</c:v>
                </c:pt>
                <c:pt idx="8">
                  <c:v>67.900000000000006</c:v>
                </c:pt>
                <c:pt idx="9">
                  <c:v>65.5</c:v>
                </c:pt>
                <c:pt idx="10">
                  <c:v>69.900000000000006</c:v>
                </c:pt>
                <c:pt idx="11">
                  <c:v>72.099999999999994</c:v>
                </c:pt>
                <c:pt idx="12">
                  <c:v>70.599999999999994</c:v>
                </c:pt>
                <c:pt idx="13">
                  <c:v>73.099999999999994</c:v>
                </c:pt>
                <c:pt idx="14">
                  <c:v>72.900000000000006</c:v>
                </c:pt>
                <c:pt idx="15">
                  <c:v>73.5</c:v>
                </c:pt>
                <c:pt idx="16">
                  <c:v>72.5</c:v>
                </c:pt>
                <c:pt idx="17">
                  <c:v>68.300000000000011</c:v>
                </c:pt>
                <c:pt idx="18">
                  <c:v>58.300000000000004</c:v>
                </c:pt>
                <c:pt idx="19">
                  <c:v>48.4</c:v>
                </c:pt>
                <c:pt idx="20">
                  <c:v>55</c:v>
                </c:pt>
                <c:pt idx="21">
                  <c:v>60.3</c:v>
                </c:pt>
                <c:pt idx="22">
                  <c:v>59.4</c:v>
                </c:pt>
                <c:pt idx="23">
                  <c:v>62.5</c:v>
                </c:pt>
                <c:pt idx="24">
                  <c:v>66.5</c:v>
                </c:pt>
                <c:pt idx="25">
                  <c:v>0</c:v>
                </c:pt>
                <c:pt idx="26">
                  <c:v>66.599999999999994</c:v>
                </c:pt>
                <c:pt idx="27">
                  <c:v>66.5</c:v>
                </c:pt>
                <c:pt idx="28">
                  <c:v>62.5</c:v>
                </c:pt>
                <c:pt idx="29">
                  <c:v>58.9</c:v>
                </c:pt>
                <c:pt idx="30">
                  <c:v>59.400000000000006</c:v>
                </c:pt>
                <c:pt idx="31">
                  <c:v>59.1</c:v>
                </c:pt>
                <c:pt idx="32">
                  <c:v>60.2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E12F-4539-8123-332FD19FE1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8142680"/>
        <c:axId val="348151304"/>
      </c:lineChart>
      <c:catAx>
        <c:axId val="3481426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5400000" spcFirstLastPara="1" vertOverflow="ellipsis" wrap="square" anchor="ctr" anchorCtr="0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51304"/>
        <c:crosses val="autoZero"/>
        <c:auto val="0"/>
        <c:lblAlgn val="ctr"/>
        <c:lblOffset val="50"/>
        <c:noMultiLvlLbl val="0"/>
      </c:catAx>
      <c:valAx>
        <c:axId val="348151304"/>
        <c:scaling>
          <c:orientation val="minMax"/>
          <c:max val="90"/>
          <c:min val="0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348142680"/>
        <c:crosses val="autoZero"/>
        <c:crossBetween val="between"/>
        <c:majorUnit val="20"/>
      </c:valAx>
      <c:spPr>
        <a:noFill/>
        <a:ln w="9525">
          <a:solidFill>
            <a:srgbClr val="D9D9D9"/>
          </a:solidFill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rgbClr val="FF212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6.354227552874811E-2"/>
          <c:y val="0.93759920634920635"/>
          <c:w val="0.9208857403271169"/>
          <c:h val="5.75144051155689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31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  <c:userShapes r:id="rId5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Consumo de alcohol</a:t>
            </a:r>
            <a:r>
              <a:rPr lang="es-MX" sz="700" baseline="0">
                <a:effectLst/>
              </a:rPr>
              <a:t> en las calles</a:t>
            </a:r>
          </a:p>
        </c:rich>
      </c:tx>
      <c:layout>
        <c:manualLayout>
          <c:xMode val="edge"/>
          <c:yMode val="edge"/>
          <c:x val="0.2377756944444444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BD'!$C$3</c:f>
              <c:strCache>
                <c:ptCount val="1"/>
                <c:pt idx="0">
                  <c:v>Consumo de alcohol en las calles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BD'!$C$6:$C$26</c:f>
              <c:numCache>
                <c:formatCode>0.0</c:formatCode>
                <c:ptCount val="21"/>
                <c:pt idx="0">
                  <c:v>64.713982317709707</c:v>
                </c:pt>
                <c:pt idx="1">
                  <c:v>65.427800837125105</c:v>
                </c:pt>
                <c:pt idx="2">
                  <c:v>65.017447087871503</c:v>
                </c:pt>
                <c:pt idx="3">
                  <c:v>65.177303682997206</c:v>
                </c:pt>
                <c:pt idx="4">
                  <c:v>65.394581153884403</c:v>
                </c:pt>
                <c:pt idx="5">
                  <c:v>65.670486395459065</c:v>
                </c:pt>
                <c:pt idx="6">
                  <c:v>66.604605696463906</c:v>
                </c:pt>
                <c:pt idx="7">
                  <c:v>64.792305095954603</c:v>
                </c:pt>
                <c:pt idx="8">
                  <c:v>62.397110071267903</c:v>
                </c:pt>
                <c:pt idx="9">
                  <c:v>64.513949307910707</c:v>
                </c:pt>
                <c:pt idx="10">
                  <c:v>63.514440779662898</c:v>
                </c:pt>
                <c:pt idx="11">
                  <c:v>63.550216899967694</c:v>
                </c:pt>
                <c:pt idx="12">
                  <c:v>62.2919070497341</c:v>
                </c:pt>
                <c:pt idx="14">
                  <c:v>61.314888973456902</c:v>
                </c:pt>
                <c:pt idx="15">
                  <c:v>61.151559570459199</c:v>
                </c:pt>
                <c:pt idx="16">
                  <c:v>60.600884299154401</c:v>
                </c:pt>
                <c:pt idx="17">
                  <c:v>61.8683964633952</c:v>
                </c:pt>
                <c:pt idx="18">
                  <c:v>60.164120998528603</c:v>
                </c:pt>
                <c:pt idx="19">
                  <c:v>61.739688138323203</c:v>
                </c:pt>
                <c:pt idx="20">
                  <c:v>60.691685732687603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5FF-4071-86E0-687C4C1BBB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11552"/>
        <c:axId val="603102536"/>
      </c:lineChart>
      <c:catAx>
        <c:axId val="603111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3102536"/>
        <c:crossesAt val="50"/>
        <c:auto val="1"/>
        <c:lblAlgn val="ctr"/>
        <c:lblOffset val="50"/>
        <c:tickLblSkip val="1"/>
        <c:tickMarkSkip val="4"/>
        <c:noMultiLvlLbl val="1"/>
      </c:catAx>
      <c:valAx>
        <c:axId val="603102536"/>
        <c:scaling>
          <c:orientation val="minMax"/>
          <c:max val="70"/>
          <c:min val="58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3111552"/>
        <c:crosses val="autoZero"/>
        <c:crossBetween val="between"/>
        <c:majorUnit val="2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>
                <a:effectLst/>
              </a:rPr>
              <a:t>Robos o asaltos</a:t>
            </a:r>
            <a:endParaRPr lang="es-MX" sz="700" baseline="0">
              <a:effectLst/>
            </a:endParaRPr>
          </a:p>
        </c:rich>
      </c:tx>
      <c:layout>
        <c:manualLayout>
          <c:xMode val="edge"/>
          <c:yMode val="edge"/>
          <c:x val="0.37941457924053934"/>
          <c:y val="0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6525317460317462"/>
          <c:w val="0.93080897207368285"/>
          <c:h val="0.660552380952381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BD'!$D$3</c:f>
              <c:strCache>
                <c:ptCount val="1"/>
                <c:pt idx="0">
                  <c:v>Robos o asaltos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Pt>
            <c:idx val="13"/>
            <c:marker>
              <c:symbol val="none"/>
            </c:marker>
            <c:bubble3D val="0"/>
            <c:spPr>
              <a:ln w="12700">
                <a:solidFill>
                  <a:srgbClr val="D80817"/>
                </a:solidFill>
                <a:prstDash val="sysDot"/>
              </a:ln>
            </c:spPr>
            <c:extLst>
              <c:ext xmlns:c16="http://schemas.microsoft.com/office/drawing/2014/chart" uri="{C3380CC4-5D6E-409C-BE32-E72D297353CC}">
                <c16:uniqueId val="{00000001-49E2-4E35-B911-D2173FAB3BE7}"/>
              </c:ext>
            </c:extLst>
          </c:dPt>
          <c:dPt>
            <c:idx val="14"/>
            <c:bubble3D val="0"/>
            <c:spPr>
              <a:ln w="12700">
                <a:solidFill>
                  <a:srgbClr val="D80817"/>
                </a:solidFill>
                <a:prstDash val="sysDot"/>
              </a:ln>
            </c:spPr>
            <c:extLst>
              <c:ext xmlns:c16="http://schemas.microsoft.com/office/drawing/2014/chart" uri="{C3380CC4-5D6E-409C-BE32-E72D297353CC}">
                <c16:uniqueId val="{00000003-49E2-4E35-B911-D2173FAB3BE7}"/>
              </c:ext>
            </c:extLst>
          </c:dPt>
          <c:dLbls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E2-4E35-B911-D2173FAB3BE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 sz="600" b="0">
                    <a:solidFill>
                      <a:sysClr val="windowText" lastClr="000000"/>
                    </a:solidFill>
                  </a:defRPr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BD'!$D$6:$D$26</c:f>
              <c:numCache>
                <c:formatCode>0.0</c:formatCode>
                <c:ptCount val="21"/>
                <c:pt idx="0">
                  <c:v>62.970803800227898</c:v>
                </c:pt>
                <c:pt idx="1">
                  <c:v>64.249662071457706</c:v>
                </c:pt>
                <c:pt idx="2">
                  <c:v>64.860238943072503</c:v>
                </c:pt>
                <c:pt idx="3">
                  <c:v>63.536258331577599</c:v>
                </c:pt>
                <c:pt idx="4">
                  <c:v>64.724375112052499</c:v>
                </c:pt>
                <c:pt idx="5">
                  <c:v>66.024746891015823</c:v>
                </c:pt>
                <c:pt idx="6">
                  <c:v>64.605628304396504</c:v>
                </c:pt>
                <c:pt idx="7">
                  <c:v>65.216219629884193</c:v>
                </c:pt>
                <c:pt idx="8">
                  <c:v>64.237408636277493</c:v>
                </c:pt>
                <c:pt idx="9">
                  <c:v>63.201258637520901</c:v>
                </c:pt>
                <c:pt idx="10">
                  <c:v>60.769182826420099</c:v>
                </c:pt>
                <c:pt idx="11">
                  <c:v>61.132138368230279</c:v>
                </c:pt>
                <c:pt idx="12">
                  <c:v>60.631302768412901</c:v>
                </c:pt>
                <c:pt idx="14">
                  <c:v>57.0583009123647</c:v>
                </c:pt>
                <c:pt idx="15">
                  <c:v>56.739659898004398</c:v>
                </c:pt>
                <c:pt idx="16">
                  <c:v>52.731402856004003</c:v>
                </c:pt>
                <c:pt idx="17">
                  <c:v>53.566529154567498</c:v>
                </c:pt>
                <c:pt idx="18">
                  <c:v>53.414743797394699</c:v>
                </c:pt>
                <c:pt idx="19">
                  <c:v>55.6648129681246</c:v>
                </c:pt>
                <c:pt idx="20">
                  <c:v>54.563450726019802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9E2-4E35-B911-D2173FAB3B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10376"/>
        <c:axId val="603112336"/>
      </c:lineChart>
      <c:catAx>
        <c:axId val="603110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 sz="550"/>
            </a:pPr>
            <a:endParaRPr lang="es-MX"/>
          </a:p>
        </c:txPr>
        <c:crossAx val="603112336"/>
        <c:crossesAt val="50"/>
        <c:auto val="1"/>
        <c:lblAlgn val="ctr"/>
        <c:lblOffset val="50"/>
        <c:tickLblSkip val="1"/>
        <c:tickMarkSkip val="4"/>
        <c:noMultiLvlLbl val="1"/>
      </c:catAx>
      <c:valAx>
        <c:axId val="603112336"/>
        <c:scaling>
          <c:orientation val="minMax"/>
          <c:max val="75"/>
          <c:min val="50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550"/>
            </a:pPr>
            <a:endParaRPr lang="es-MX"/>
          </a:p>
        </c:txPr>
        <c:crossAx val="603110376"/>
        <c:crosses val="autoZero"/>
        <c:crossBetween val="between"/>
        <c:majorUnit val="4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6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Vandalismo (grafitis, daños y otros)</a:t>
            </a:r>
          </a:p>
        </c:rich>
      </c:tx>
      <c:layout>
        <c:manualLayout>
          <c:xMode val="edge"/>
          <c:yMode val="edge"/>
          <c:x val="0.23781123841607002"/>
          <c:y val="1.0938888888888887E-2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BD'!$E$3</c:f>
              <c:strCache>
                <c:ptCount val="1"/>
                <c:pt idx="0">
                  <c:v>Vandalismo (grafitis, daños y otros)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60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BD'!$E$6:$E$26</c:f>
              <c:numCache>
                <c:formatCode>0.0</c:formatCode>
                <c:ptCount val="21"/>
                <c:pt idx="0">
                  <c:v>51.793283745602999</c:v>
                </c:pt>
                <c:pt idx="1">
                  <c:v>52.105913506216503</c:v>
                </c:pt>
                <c:pt idx="2">
                  <c:v>50.888730413835702</c:v>
                </c:pt>
                <c:pt idx="3">
                  <c:v>52.373018068200999</c:v>
                </c:pt>
                <c:pt idx="4">
                  <c:v>54.0443903421531</c:v>
                </c:pt>
                <c:pt idx="5">
                  <c:v>52.062153672617285</c:v>
                </c:pt>
                <c:pt idx="6">
                  <c:v>53.383115387356597</c:v>
                </c:pt>
                <c:pt idx="7">
                  <c:v>49.564128282304097</c:v>
                </c:pt>
                <c:pt idx="8">
                  <c:v>50.097250951000902</c:v>
                </c:pt>
                <c:pt idx="9">
                  <c:v>49.046850336478599</c:v>
                </c:pt>
                <c:pt idx="10">
                  <c:v>46.318014728431798</c:v>
                </c:pt>
                <c:pt idx="11">
                  <c:v>45.479181268738728</c:v>
                </c:pt>
                <c:pt idx="12">
                  <c:v>46.270701238508202</c:v>
                </c:pt>
                <c:pt idx="14">
                  <c:v>45.220050414945703</c:v>
                </c:pt>
                <c:pt idx="15">
                  <c:v>41.7562808678435</c:v>
                </c:pt>
                <c:pt idx="16">
                  <c:v>41.806788135253903</c:v>
                </c:pt>
                <c:pt idx="17">
                  <c:v>41.488344314276802</c:v>
                </c:pt>
                <c:pt idx="18">
                  <c:v>42.747972259609597</c:v>
                </c:pt>
                <c:pt idx="19">
                  <c:v>42.656122188282097</c:v>
                </c:pt>
                <c:pt idx="20">
                  <c:v>42.235268722579001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A0-45B0-8EA6-14EECD1081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11160"/>
        <c:axId val="603103712"/>
      </c:lineChart>
      <c:catAx>
        <c:axId val="603111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03103712"/>
        <c:crossesAt val="0"/>
        <c:auto val="1"/>
        <c:lblAlgn val="ctr"/>
        <c:lblOffset val="50"/>
        <c:tickLblSkip val="1"/>
        <c:tickMarkSkip val="4"/>
        <c:noMultiLvlLbl val="1"/>
      </c:catAx>
      <c:valAx>
        <c:axId val="603103712"/>
        <c:scaling>
          <c:orientation val="minMax"/>
          <c:max val="60"/>
          <c:min val="40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3111160"/>
        <c:crosses val="autoZero"/>
        <c:crossBetween val="between"/>
        <c:majorUnit val="4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55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700"/>
            </a:pPr>
            <a:r>
              <a:rPr lang="es-MX" sz="700"/>
              <a:t>Venta o consumo de drogas</a:t>
            </a:r>
          </a:p>
        </c:rich>
      </c:tx>
      <c:layout>
        <c:manualLayout>
          <c:xMode val="edge"/>
          <c:yMode val="edge"/>
          <c:x val="0.27095258522693694"/>
          <c:y val="8.5952380952380894E-4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5.598544266191325E-2"/>
          <c:y val="0.17063170187553914"/>
          <c:w val="0.93080897207368285"/>
          <c:h val="0.65517398081760947"/>
        </c:manualLayout>
      </c:layout>
      <c:lineChart>
        <c:grouping val="standard"/>
        <c:varyColors val="0"/>
        <c:ser>
          <c:idx val="0"/>
          <c:order val="0"/>
          <c:tx>
            <c:strRef>
              <c:f>'IV 4.2 BD'!$G$3</c:f>
              <c:strCache>
                <c:ptCount val="1"/>
                <c:pt idx="0">
                  <c:v>Venta o consumo de drogas</c:v>
                </c:pt>
              </c:strCache>
            </c:strRef>
          </c:tx>
          <c:spPr>
            <a:ln w="12700">
              <a:solidFill>
                <a:srgbClr val="D80817"/>
              </a:solidFill>
            </a:ln>
          </c:spPr>
          <c:marker>
            <c:symbol val="circle"/>
            <c:size val="2"/>
            <c:spPr>
              <a:solidFill>
                <a:srgbClr val="D80817"/>
              </a:solidFill>
              <a:ln>
                <a:solidFill>
                  <a:srgbClr val="D80817"/>
                </a:solidFill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600"/>
                </a:pPr>
                <a:endParaRPr lang="es-MX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'IV 4.2 BD'!$A$6:$B$26</c:f>
              <c:multiLvlStrCache>
                <c:ptCount val="2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  <c:pt idx="8">
                    <c:v>2019</c:v>
                  </c:pt>
                  <c:pt idx="12">
                    <c:v>2020</c:v>
                  </c:pt>
                  <c:pt idx="16">
                    <c:v>2021</c:v>
                  </c:pt>
                  <c:pt idx="20">
                    <c:v>2022</c:v>
                  </c:pt>
                </c:lvl>
              </c:multiLvlStrCache>
            </c:multiLvlStrRef>
          </c:cat>
          <c:val>
            <c:numRef>
              <c:f>'IV 4.2 BD'!$G$6:$G$26</c:f>
              <c:numCache>
                <c:formatCode>0.0</c:formatCode>
                <c:ptCount val="21"/>
                <c:pt idx="0">
                  <c:v>39.992962665464297</c:v>
                </c:pt>
                <c:pt idx="1">
                  <c:v>42.178231430627598</c:v>
                </c:pt>
                <c:pt idx="2">
                  <c:v>43.0533986112222</c:v>
                </c:pt>
                <c:pt idx="3">
                  <c:v>42.915434830415798</c:v>
                </c:pt>
                <c:pt idx="4">
                  <c:v>44.219682752250698</c:v>
                </c:pt>
                <c:pt idx="5">
                  <c:v>45.231909987082169</c:v>
                </c:pt>
                <c:pt idx="6">
                  <c:v>44.473355304680702</c:v>
                </c:pt>
                <c:pt idx="7">
                  <c:v>45.612275147616202</c:v>
                </c:pt>
                <c:pt idx="8">
                  <c:v>42.796389388903002</c:v>
                </c:pt>
                <c:pt idx="9">
                  <c:v>43.8548601682106</c:v>
                </c:pt>
                <c:pt idx="10">
                  <c:v>43.511922971935</c:v>
                </c:pt>
                <c:pt idx="11">
                  <c:v>43.031472575248287</c:v>
                </c:pt>
                <c:pt idx="12">
                  <c:v>42.859310608193802</c:v>
                </c:pt>
                <c:pt idx="14">
                  <c:v>39.678896635783801</c:v>
                </c:pt>
                <c:pt idx="15">
                  <c:v>39.708477579509399</c:v>
                </c:pt>
                <c:pt idx="16">
                  <c:v>38.072347543848203</c:v>
                </c:pt>
                <c:pt idx="17">
                  <c:v>38.356168740603998</c:v>
                </c:pt>
                <c:pt idx="18">
                  <c:v>38.506140381224903</c:v>
                </c:pt>
                <c:pt idx="19">
                  <c:v>40.473732929135402</c:v>
                </c:pt>
                <c:pt idx="20">
                  <c:v>39.252151530549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90B-4BAA-A4DC-23D8015D69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03102928"/>
        <c:axId val="603105280"/>
      </c:lineChart>
      <c:catAx>
        <c:axId val="603102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6350">
            <a:solidFill>
              <a:schemeClr val="tx1"/>
            </a:solidFill>
          </a:ln>
        </c:spPr>
        <c:txPr>
          <a:bodyPr rot="0"/>
          <a:lstStyle/>
          <a:p>
            <a:pPr>
              <a:defRPr/>
            </a:pPr>
            <a:endParaRPr lang="es-MX"/>
          </a:p>
        </c:txPr>
        <c:crossAx val="603105280"/>
        <c:crossesAt val="0"/>
        <c:auto val="1"/>
        <c:lblAlgn val="ctr"/>
        <c:lblOffset val="50"/>
        <c:tickLblSkip val="1"/>
        <c:tickMarkSkip val="4"/>
        <c:noMultiLvlLbl val="1"/>
      </c:catAx>
      <c:valAx>
        <c:axId val="603105280"/>
        <c:scaling>
          <c:orientation val="minMax"/>
          <c:max val="50"/>
          <c:min val="34"/>
        </c:scaling>
        <c:delete val="0"/>
        <c:axPos val="l"/>
        <c:numFmt formatCode="#,##0.0" sourceLinked="0"/>
        <c:majorTickMark val="out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</c:spPr>
        <c:txPr>
          <a:bodyPr/>
          <a:lstStyle/>
          <a:p>
            <a:pPr>
              <a:defRPr sz="600"/>
            </a:pPr>
            <a:endParaRPr lang="es-MX"/>
          </a:p>
        </c:txPr>
        <c:crossAx val="603102928"/>
        <c:crosses val="autoZero"/>
        <c:crossBetween val="between"/>
        <c:majorUnit val="4"/>
      </c:valAx>
      <c:spPr>
        <a:noFill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 sz="550">
          <a:solidFill>
            <a:sysClr val="windowText" lastClr="000000"/>
          </a:solidFill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8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9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0.75217</cdr:x>
      <cdr:y>0.20884</cdr:y>
    </cdr:from>
    <cdr:to>
      <cdr:x>0.79767</cdr:x>
      <cdr:y>0.33745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A918B7B1-E833-4D95-902C-F866900A37CF}"/>
            </a:ext>
          </a:extLst>
        </cdr:cNvPr>
        <cdr:cNvCxnSpPr/>
      </cdr:nvCxnSpPr>
      <cdr:spPr>
        <a:xfrm xmlns:a="http://schemas.openxmlformats.org/drawingml/2006/main">
          <a:off x="3790937" y="526277"/>
          <a:ext cx="229302" cy="32409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6">
              <a:lumMod val="60000"/>
              <a:lumOff val="40000"/>
            </a:schemeClr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0.75001</cdr:x>
      <cdr:y>0.33141</cdr:y>
    </cdr:from>
    <cdr:to>
      <cdr:x>0.79795</cdr:x>
      <cdr:y>0.46416</cdr:y>
    </cdr:to>
    <cdr:cxnSp macro="">
      <cdr:nvCxnSpPr>
        <cdr:cNvPr id="5" name="Conector recto 4">
          <a:extLst xmlns:a="http://schemas.openxmlformats.org/drawingml/2006/main">
            <a:ext uri="{FF2B5EF4-FFF2-40B4-BE49-F238E27FC236}">
              <a16:creationId xmlns:a16="http://schemas.microsoft.com/office/drawing/2014/main" id="{3FAD3943-FFCC-438A-BC7C-B0017DDAC93B}"/>
            </a:ext>
          </a:extLst>
        </cdr:cNvPr>
        <cdr:cNvCxnSpPr/>
      </cdr:nvCxnSpPr>
      <cdr:spPr>
        <a:xfrm xmlns:a="http://schemas.openxmlformats.org/drawingml/2006/main">
          <a:off x="3780051" y="835153"/>
          <a:ext cx="241617" cy="33453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97191C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0.75252</cdr:x>
      <cdr:y>0.48234</cdr:y>
    </cdr:from>
    <cdr:to>
      <cdr:x>0.79767</cdr:x>
      <cdr:y>0.59993</cdr:y>
    </cdr:to>
    <cdr:cxnSp macro="">
      <cdr:nvCxnSpPr>
        <cdr:cNvPr id="7" name="Conector recto 6">
          <a:extLst xmlns:a="http://schemas.openxmlformats.org/drawingml/2006/main">
            <a:ext uri="{FF2B5EF4-FFF2-40B4-BE49-F238E27FC236}">
              <a16:creationId xmlns:a16="http://schemas.microsoft.com/office/drawing/2014/main" id="{1EADEF95-158A-4116-AE8E-5943CC889813}"/>
            </a:ext>
          </a:extLst>
        </cdr:cNvPr>
        <cdr:cNvCxnSpPr/>
      </cdr:nvCxnSpPr>
      <cdr:spPr>
        <a:xfrm xmlns:a="http://schemas.openxmlformats.org/drawingml/2006/main">
          <a:off x="3792697" y="1215497"/>
          <a:ext cx="227542" cy="29633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1">
              <a:lumMod val="75000"/>
            </a:schemeClr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0.13173</cdr:x>
      <cdr:y>0.33627</cdr:y>
    </cdr:from>
    <cdr:to>
      <cdr:x>0.33529</cdr:x>
      <cdr:y>0.50995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378988" y="423706"/>
          <a:ext cx="585617" cy="21883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0.33962</cdr:x>
      <cdr:y>0.56467</cdr:y>
    </cdr:from>
    <cdr:to>
      <cdr:x>0.48308</cdr:x>
      <cdr:y>0.62927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980537" y="711482"/>
          <a:ext cx="414186" cy="81399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0.07697</cdr:x>
      <cdr:y>0.91078</cdr:y>
    </cdr:from>
    <cdr:to>
      <cdr:x>0.13134</cdr:x>
      <cdr:y>0.97516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B328FF34-0EF8-4E61-9D33-3495C4B48BD8}"/>
            </a:ext>
          </a:extLst>
        </cdr:cNvPr>
        <cdr:cNvSpPr txBox="1"/>
      </cdr:nvSpPr>
      <cdr:spPr>
        <a:xfrm xmlns:a="http://schemas.openxmlformats.org/drawingml/2006/main">
          <a:off x="222220" y="1147584"/>
          <a:ext cx="156966" cy="811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>
          <a:spAutoFit/>
        </a:bodyPr>
        <a:lstStyle xmlns:a="http://schemas.openxmlformats.org/drawingml/2006/main"/>
        <a:p xmlns:a="http://schemas.openxmlformats.org/drawingml/2006/main">
          <a:r>
            <a:rPr lang="es-MX" sz="550">
              <a:latin typeface="Arial" panose="020B0604020202020204" pitchFamily="34" charset="0"/>
              <a:cs typeface="Arial" panose="020B0604020202020204" pitchFamily="34" charset="0"/>
            </a:rPr>
            <a:t>2019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0.61599</cdr:x>
      <cdr:y>0.35638</cdr:y>
    </cdr:from>
    <cdr:to>
      <cdr:x>0.68673</cdr:x>
      <cdr:y>0.45573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73464" y="449039"/>
          <a:ext cx="203654" cy="12518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0.61207</cdr:x>
      <cdr:y>0.47128</cdr:y>
    </cdr:from>
    <cdr:to>
      <cdr:x>0.68614</cdr:x>
      <cdr:y>0.54267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62769" y="593813"/>
          <a:ext cx="213319" cy="8994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0.61588</cdr:x>
      <cdr:y>0.52581</cdr:y>
    </cdr:from>
    <cdr:to>
      <cdr:x>0.68761</cdr:x>
      <cdr:y>0.61693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73739" y="662521"/>
          <a:ext cx="206583" cy="11481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0.60948</cdr:x>
      <cdr:y>0.38182</cdr:y>
    </cdr:from>
    <cdr:to>
      <cdr:x>0.68918</cdr:x>
      <cdr:y>0.43933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 flipV="1">
          <a:off x="1755289" y="481096"/>
          <a:ext cx="229536" cy="7246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0.61533</cdr:x>
      <cdr:y>0.44972</cdr:y>
    </cdr:from>
    <cdr:to>
      <cdr:x>0.69451</cdr:x>
      <cdr:y>0.47329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77196" y="566649"/>
          <a:ext cx="228678" cy="2969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0.61337</cdr:x>
      <cdr:y>0.3899</cdr:y>
    </cdr:from>
    <cdr:to>
      <cdr:x>0.6945</cdr:x>
      <cdr:y>0.40183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 flipV="1">
          <a:off x="1767187" y="491272"/>
          <a:ext cx="233745" cy="1503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0.35274</cdr:x>
      <cdr:y>0.4316</cdr:y>
    </cdr:from>
    <cdr:to>
      <cdr:x>0.49185</cdr:x>
      <cdr:y>0.59496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 flipV="1">
          <a:off x="1015891" y="543819"/>
          <a:ext cx="400647" cy="20583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0.08989</cdr:x>
      <cdr:y>0.89355</cdr:y>
    </cdr:from>
    <cdr:to>
      <cdr:x>0.13941</cdr:x>
      <cdr:y>0.95207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2028D9B5-7B85-443B-B1C0-31593CF9BA03}"/>
            </a:ext>
          </a:extLst>
        </cdr:cNvPr>
        <cdr:cNvSpPr txBox="1"/>
      </cdr:nvSpPr>
      <cdr:spPr>
        <a:xfrm xmlns:a="http://schemas.openxmlformats.org/drawingml/2006/main">
          <a:off x="258884" y="1125873"/>
          <a:ext cx="142603" cy="737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lIns="0" tIns="0" rIns="0" bIns="0" rtlCol="0">
          <a:spAutoFit/>
        </a:bodyPr>
        <a:lstStyle xmlns:a="http://schemas.openxmlformats.org/drawingml/2006/main"/>
        <a:p xmlns:a="http://schemas.openxmlformats.org/drawingml/2006/main">
          <a:r>
            <a:rPr lang="es-MX" sz="500">
              <a:latin typeface="Arial" panose="020B0604020202020204" pitchFamily="34" charset="0"/>
              <a:cs typeface="Arial" panose="020B0604020202020204" pitchFamily="34" charset="0"/>
            </a:rPr>
            <a:t>2019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0.61119</cdr:x>
      <cdr:y>0.41096</cdr:y>
    </cdr:from>
    <cdr:to>
      <cdr:x>0.6958</cdr:x>
      <cdr:y>0.62396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 flipV="1">
          <a:off x="1760234" y="517810"/>
          <a:ext cx="243666" cy="26838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0.75217</cdr:x>
      <cdr:y>0.20884</cdr:y>
    </cdr:from>
    <cdr:to>
      <cdr:x>0.79767</cdr:x>
      <cdr:y>0.33745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A918B7B1-E833-4D95-902C-F866900A37CF}"/>
            </a:ext>
          </a:extLst>
        </cdr:cNvPr>
        <cdr:cNvCxnSpPr/>
      </cdr:nvCxnSpPr>
      <cdr:spPr>
        <a:xfrm xmlns:a="http://schemas.openxmlformats.org/drawingml/2006/main">
          <a:off x="3790937" y="526277"/>
          <a:ext cx="229302" cy="32409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6">
              <a:lumMod val="60000"/>
              <a:lumOff val="40000"/>
            </a:schemeClr>
          </a:solidFill>
          <a:prstDash val="sysDot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0.75001</cdr:x>
      <cdr:y>0.33141</cdr:y>
    </cdr:from>
    <cdr:to>
      <cdr:x>0.79795</cdr:x>
      <cdr:y>0.46416</cdr:y>
    </cdr:to>
    <cdr:cxnSp macro="">
      <cdr:nvCxnSpPr>
        <cdr:cNvPr id="5" name="Conector recto 4">
          <a:extLst xmlns:a="http://schemas.openxmlformats.org/drawingml/2006/main">
            <a:ext uri="{FF2B5EF4-FFF2-40B4-BE49-F238E27FC236}">
              <a16:creationId xmlns:a16="http://schemas.microsoft.com/office/drawing/2014/main" id="{3FAD3943-FFCC-438A-BC7C-B0017DDAC93B}"/>
            </a:ext>
          </a:extLst>
        </cdr:cNvPr>
        <cdr:cNvCxnSpPr/>
      </cdr:nvCxnSpPr>
      <cdr:spPr>
        <a:xfrm xmlns:a="http://schemas.openxmlformats.org/drawingml/2006/main">
          <a:off x="3780051" y="835153"/>
          <a:ext cx="241617" cy="33453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97191C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0.75252</cdr:x>
      <cdr:y>0.48234</cdr:y>
    </cdr:from>
    <cdr:to>
      <cdr:x>0.79767</cdr:x>
      <cdr:y>0.59993</cdr:y>
    </cdr:to>
    <cdr:cxnSp macro="">
      <cdr:nvCxnSpPr>
        <cdr:cNvPr id="7" name="Conector recto 6">
          <a:extLst xmlns:a="http://schemas.openxmlformats.org/drawingml/2006/main">
            <a:ext uri="{FF2B5EF4-FFF2-40B4-BE49-F238E27FC236}">
              <a16:creationId xmlns:a16="http://schemas.microsoft.com/office/drawing/2014/main" id="{1EADEF95-158A-4116-AE8E-5943CC889813}"/>
            </a:ext>
          </a:extLst>
        </cdr:cNvPr>
        <cdr:cNvCxnSpPr/>
      </cdr:nvCxnSpPr>
      <cdr:spPr>
        <a:xfrm xmlns:a="http://schemas.openxmlformats.org/drawingml/2006/main">
          <a:off x="3792697" y="1215497"/>
          <a:ext cx="227542" cy="296333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accent1">
              <a:lumMod val="75000"/>
            </a:schemeClr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0.61268</cdr:x>
      <cdr:y>0.42053</cdr:y>
    </cdr:from>
    <cdr:to>
      <cdr:x>0.69446</cdr:x>
      <cdr:y>0.59685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 flipV="1">
          <a:off x="1765940" y="529862"/>
          <a:ext cx="235729" cy="22217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0.95232</cdr:x>
      <cdr:y>0.88388</cdr:y>
    </cdr:from>
    <cdr:to>
      <cdr:x>0.99196</cdr:x>
      <cdr:y>0.9537</cdr:y>
    </cdr:to>
    <cdr:sp macro="" textlink="">
      <cdr:nvSpPr>
        <cdr:cNvPr id="2" name="CuadroTexto 1">
          <a:extLst xmlns:a="http://schemas.openxmlformats.org/drawingml/2006/main">
            <a:ext uri="{FF2B5EF4-FFF2-40B4-BE49-F238E27FC236}">
              <a16:creationId xmlns:a16="http://schemas.microsoft.com/office/drawing/2014/main" id="{1E3488E0-DA33-4039-8894-47C2C0D6375D}"/>
            </a:ext>
          </a:extLst>
        </cdr:cNvPr>
        <cdr:cNvSpPr txBox="1"/>
      </cdr:nvSpPr>
      <cdr:spPr>
        <a:xfrm xmlns:a="http://schemas.openxmlformats.org/drawingml/2006/main">
          <a:off x="4799677" y="2227385"/>
          <a:ext cx="199798" cy="17593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none" lIns="0" tIns="36000" rIns="0" bIns="36000" rtlCol="0">
          <a:spAutoFit/>
        </a:bodyPr>
        <a:lstStyle xmlns:a="http://schemas.openxmlformats.org/drawingml/2006/main"/>
        <a:p xmlns:a="http://schemas.openxmlformats.org/drawingml/2006/main">
          <a:r>
            <a:rPr lang="es-MX" sz="700">
              <a:latin typeface="Arial" panose="020B0604020202020204" pitchFamily="34" charset="0"/>
              <a:cs typeface="Arial" panose="020B0604020202020204" pitchFamily="34" charset="0"/>
            </a:rPr>
            <a:t>2022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0.6126</cdr:x>
      <cdr:y>0.58962</cdr:y>
    </cdr:from>
    <cdr:to>
      <cdr:x>0.68955</cdr:x>
      <cdr:y>0.64361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64290" y="742915"/>
          <a:ext cx="221620" cy="6803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0.61066</cdr:x>
      <cdr:y>0.55063</cdr:y>
    </cdr:from>
    <cdr:to>
      <cdr:x>0.68731</cdr:x>
      <cdr:y>0.63477</cdr:y>
    </cdr:to>
    <cdr:cxnSp macro="">
      <cdr:nvCxnSpPr>
        <cdr:cNvPr id="4" name="Conector recto 3">
          <a:extLst xmlns:a="http://schemas.openxmlformats.org/drawingml/2006/main">
            <a:ext uri="{FF2B5EF4-FFF2-40B4-BE49-F238E27FC236}">
              <a16:creationId xmlns:a16="http://schemas.microsoft.com/office/drawing/2014/main" id="{39A1873B-C2FC-4CB1-A444-948423B9A587}"/>
            </a:ext>
          </a:extLst>
        </cdr:cNvPr>
        <cdr:cNvCxnSpPr/>
      </cdr:nvCxnSpPr>
      <cdr:spPr>
        <a:xfrm xmlns:a="http://schemas.openxmlformats.org/drawingml/2006/main">
          <a:off x="1759982" y="693788"/>
          <a:ext cx="220905" cy="10602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0.61292</cdr:x>
      <cdr:y>0.62219</cdr:y>
    </cdr:from>
    <cdr:to>
      <cdr:x>0.69174</cdr:x>
      <cdr:y>0.64545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66320" y="783955"/>
          <a:ext cx="227134" cy="2930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0.61415</cdr:x>
      <cdr:y>0.47082</cdr:y>
    </cdr:from>
    <cdr:to>
      <cdr:x>0.68926</cdr:x>
      <cdr:y>0.58706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66667" y="593233"/>
          <a:ext cx="216062" cy="146468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0.60899</cdr:x>
      <cdr:y>0.37873</cdr:y>
    </cdr:from>
    <cdr:to>
      <cdr:x>0.69036</cdr:x>
      <cdr:y>0.44194</cdr:y>
    </cdr:to>
    <cdr:cxnSp macro="">
      <cdr:nvCxnSpPr>
        <cdr:cNvPr id="4" name="Conector recto 3">
          <a:extLst xmlns:a="http://schemas.openxmlformats.org/drawingml/2006/main">
            <a:ext uri="{FF2B5EF4-FFF2-40B4-BE49-F238E27FC236}">
              <a16:creationId xmlns:a16="http://schemas.microsoft.com/office/drawing/2014/main" id="{FA6EAB63-AFBF-462B-81AC-91958112A9A3}"/>
            </a:ext>
          </a:extLst>
        </cdr:cNvPr>
        <cdr:cNvCxnSpPr/>
      </cdr:nvCxnSpPr>
      <cdr:spPr>
        <a:xfrm xmlns:a="http://schemas.openxmlformats.org/drawingml/2006/main">
          <a:off x="1758040" y="477206"/>
          <a:ext cx="234883" cy="7964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0.61543</cdr:x>
      <cdr:y>0.57917</cdr:y>
    </cdr:from>
    <cdr:to>
      <cdr:x>0.68293</cdr:x>
      <cdr:y>0.60922</cdr:y>
    </cdr:to>
    <cdr:cxnSp macro="">
      <cdr:nvCxnSpPr>
        <cdr:cNvPr id="3" name="Conector recto 2">
          <a:extLst xmlns:a="http://schemas.openxmlformats.org/drawingml/2006/main">
            <a:ext uri="{FF2B5EF4-FFF2-40B4-BE49-F238E27FC236}">
              <a16:creationId xmlns:a16="http://schemas.microsoft.com/office/drawing/2014/main" id="{514654DA-A8A0-48F3-9F5D-8CD115095040}"/>
            </a:ext>
          </a:extLst>
        </cdr:cNvPr>
        <cdr:cNvCxnSpPr/>
      </cdr:nvCxnSpPr>
      <cdr:spPr>
        <a:xfrm xmlns:a="http://schemas.openxmlformats.org/drawingml/2006/main">
          <a:off x="1776045" y="729754"/>
          <a:ext cx="194795" cy="37863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D80817"/>
          </a:solidFill>
          <a:prstDash val="sysDot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BC7462B-509B-4D39-8B29-D82599F7F486}">
  <we:reference id="f12c312d-282a-4734-8843-05915fdfef0b" version="4.3.3.0" store="EXCatalog" storeType="EXCatalog"/>
  <we:alternateReferences>
    <we:reference id="WA104178141" version="4.3.3.0" store="es-MX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02AC-6081-48D7-B2C5-FB2937C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5580</Words>
  <Characters>30695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Encuesta Nacional de Seguridad Pública Urbana. Primer Trimestre de 2022</vt:lpstr>
    </vt:vector>
  </TitlesOfParts>
  <Company>INEGI</Company>
  <LinksUpToDate>false</LinksUpToDate>
  <CharactersWithSpaces>36203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 Nacional de Seguridad Pública Urbana. Primer Trimestre de 2022</dc:title>
  <dc:creator>INEGI</dc:creator>
  <cp:keywords>PEA Ocupación Desocupación Subocupación</cp:keywords>
  <cp:lastModifiedBy>MORONES RUIZ FABIOLA CRISTINA</cp:lastModifiedBy>
  <cp:revision>2</cp:revision>
  <cp:lastPrinted>2019-05-14T21:50:00Z</cp:lastPrinted>
  <dcterms:created xsi:type="dcterms:W3CDTF">2022-04-19T02:32:00Z</dcterms:created>
  <dcterms:modified xsi:type="dcterms:W3CDTF">2022-04-19T02:32:00Z</dcterms:modified>
  <cp:category>Encuesta Nacional de Ocupación y Empleo</cp:category>
  <cp:version>1</cp:version>
</cp:coreProperties>
</file>