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CF984" w14:textId="77777777" w:rsidR="0060479A" w:rsidRDefault="0060479A" w:rsidP="00F04E66">
      <w:pPr>
        <w:spacing w:after="0" w:line="264" w:lineRule="auto"/>
        <w:jc w:val="center"/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</w:pPr>
      <w:bookmarkStart w:id="0" w:name="_Hlk109207661"/>
    </w:p>
    <w:p w14:paraId="07DCE23E" w14:textId="2583D54A" w:rsidR="00100148" w:rsidRDefault="00F04E66" w:rsidP="00F04E66">
      <w:pPr>
        <w:spacing w:after="0" w:line="264" w:lineRule="auto"/>
        <w:jc w:val="center"/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</w:pPr>
      <w:bookmarkStart w:id="1" w:name="_GoBack"/>
      <w:r w:rsidRPr="00E8766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 xml:space="preserve">CUADROS DE OFERTA Y </w:t>
      </w:r>
      <w:r w:rsidR="00E87660" w:rsidRPr="00E8766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>UTILIZACIÓN</w:t>
      </w:r>
      <w:r w:rsidRPr="00E8766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 xml:space="preserve"> Y MATRICES INSUMO</w:t>
      </w:r>
      <w:r w:rsidR="00C9003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>-</w:t>
      </w:r>
      <w:r w:rsidRPr="00E8766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 xml:space="preserve">PRODUCTO </w:t>
      </w:r>
    </w:p>
    <w:p w14:paraId="0826AD61" w14:textId="500419C7" w:rsidR="00F04E66" w:rsidRPr="00E87660" w:rsidRDefault="00C90030" w:rsidP="00F04E66">
      <w:pPr>
        <w:spacing w:after="0" w:line="264" w:lineRule="auto"/>
        <w:jc w:val="center"/>
        <w:rPr>
          <w:rFonts w:ascii="Arial" w:eastAsia="Arial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>MULTI</w:t>
      </w:r>
      <w:r w:rsidR="00F04E66" w:rsidRPr="00E87660">
        <w:rPr>
          <w:rFonts w:ascii="Arial" w:eastAsia="Helvetica Neue Medium" w:hAnsi="Arial" w:cs="Arial"/>
          <w:b/>
          <w:spacing w:val="-2"/>
          <w:sz w:val="24"/>
          <w:szCs w:val="24"/>
          <w:lang w:val="es-MX"/>
        </w:rPr>
        <w:t>ESTATALES DE MÉXICO</w:t>
      </w:r>
      <w:bookmarkEnd w:id="1"/>
    </w:p>
    <w:p w14:paraId="54FFB481" w14:textId="0FBDB58B" w:rsidR="00F04E66" w:rsidRPr="00E87660" w:rsidRDefault="00F04E66" w:rsidP="000C04B6">
      <w:pPr>
        <w:pStyle w:val="Prrafodelista"/>
        <w:spacing w:after="200" w:line="264" w:lineRule="auto"/>
        <w:ind w:right="284"/>
        <w:jc w:val="both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 </w:t>
      </w:r>
    </w:p>
    <w:p w14:paraId="04A784C8" w14:textId="17372928" w:rsidR="00876EB0" w:rsidRPr="00E87660" w:rsidRDefault="00876EB0" w:rsidP="00385BF6">
      <w:pPr>
        <w:pStyle w:val="Prrafodelista"/>
        <w:numPr>
          <w:ilvl w:val="0"/>
          <w:numId w:val="3"/>
        </w:numPr>
        <w:spacing w:line="264" w:lineRule="auto"/>
        <w:ind w:left="567" w:right="146" w:hanging="567"/>
        <w:contextualSpacing w:val="0"/>
        <w:jc w:val="both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Por primera vez el INEGI publica, como estadística experimental, </w:t>
      </w:r>
      <w:r w:rsidRPr="00E87660">
        <w:rPr>
          <w:rFonts w:ascii="Arial" w:eastAsia="Helvetica Neue Medium" w:hAnsi="Arial" w:cs="Times New Roman"/>
          <w:sz w:val="24"/>
          <w:szCs w:val="24"/>
          <w:lang w:val="es-MX"/>
        </w:rPr>
        <w:t>Cuadros de Oferta y Utilización (COU) y Matrices Insumo-Producto (MIP)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para </w:t>
      </w:r>
      <w:r w:rsidR="00827AB1" w:rsidRPr="00E87660">
        <w:rPr>
          <w:rFonts w:ascii="Arial" w:eastAsia="Helvetica Neue Medium" w:hAnsi="Arial" w:cs="Arial"/>
          <w:sz w:val="24"/>
          <w:szCs w:val="24"/>
          <w:lang w:val="es-MX"/>
        </w:rPr>
        <w:t>l</w:t>
      </w:r>
      <w:r w:rsidR="00827AB1">
        <w:rPr>
          <w:rFonts w:ascii="Arial" w:eastAsia="Helvetica Neue Medium" w:hAnsi="Arial" w:cs="Arial"/>
          <w:sz w:val="24"/>
          <w:szCs w:val="24"/>
          <w:lang w:val="es-MX"/>
        </w:rPr>
        <w:t>a</w:t>
      </w:r>
      <w:r w:rsidR="00827AB1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s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32 </w:t>
      </w:r>
      <w:r w:rsidR="00827AB1">
        <w:rPr>
          <w:rFonts w:ascii="Arial" w:eastAsia="Helvetica Neue Medium" w:hAnsi="Arial" w:cs="Arial"/>
          <w:sz w:val="24"/>
          <w:szCs w:val="24"/>
          <w:lang w:val="es-MX"/>
        </w:rPr>
        <w:t>entidades federativas</w:t>
      </w:r>
      <w:r w:rsidR="00827AB1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de </w:t>
      </w:r>
      <w:r w:rsidR="00827AB1">
        <w:rPr>
          <w:rFonts w:ascii="Arial" w:eastAsia="Helvetica Neue Medium" w:hAnsi="Arial" w:cs="Arial"/>
          <w:sz w:val="24"/>
          <w:szCs w:val="24"/>
          <w:lang w:val="es-MX"/>
        </w:rPr>
        <w:t>México.</w:t>
      </w:r>
      <w:r w:rsidR="00337A81" w:rsidRPr="00337A81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337A81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También presenta COU y MIP </w:t>
      </w:r>
      <w:r w:rsidR="00100148">
        <w:rPr>
          <w:rFonts w:ascii="Arial" w:eastAsia="Helvetica Neue Medium" w:hAnsi="Arial" w:cs="Arial"/>
          <w:sz w:val="24"/>
          <w:szCs w:val="24"/>
          <w:lang w:val="es-MX"/>
        </w:rPr>
        <w:t>m</w:t>
      </w:r>
      <w:r w:rsidR="00337A81" w:rsidRPr="00E87660">
        <w:rPr>
          <w:rFonts w:ascii="Arial" w:eastAsia="Helvetica Neue Medium" w:hAnsi="Arial" w:cs="Arial"/>
          <w:sz w:val="24"/>
          <w:szCs w:val="24"/>
          <w:lang w:val="es-MX"/>
        </w:rPr>
        <w:t>ulti</w:t>
      </w:r>
      <w:r w:rsidR="00100148">
        <w:rPr>
          <w:rFonts w:ascii="Arial" w:eastAsia="Helvetica Neue Medium" w:hAnsi="Arial" w:cs="Arial"/>
          <w:sz w:val="24"/>
          <w:szCs w:val="24"/>
          <w:lang w:val="es-MX"/>
        </w:rPr>
        <w:t>e</w:t>
      </w:r>
      <w:r w:rsidR="00337A81" w:rsidRPr="00E87660">
        <w:rPr>
          <w:rFonts w:ascii="Arial" w:eastAsia="Helvetica Neue Medium" w:hAnsi="Arial" w:cs="Arial"/>
          <w:sz w:val="24"/>
          <w:szCs w:val="24"/>
          <w:lang w:val="es-MX"/>
        </w:rPr>
        <w:t>statales que articulan las tablas individuales de los estados</w:t>
      </w:r>
      <w:r w:rsidR="00103297">
        <w:rPr>
          <w:rFonts w:ascii="Arial" w:eastAsia="Helvetica Neue Medium" w:hAnsi="Arial" w:cs="Arial"/>
          <w:sz w:val="24"/>
          <w:szCs w:val="24"/>
          <w:lang w:val="es-MX"/>
        </w:rPr>
        <w:t>.</w:t>
      </w:r>
    </w:p>
    <w:p w14:paraId="299D9FE9" w14:textId="07294725" w:rsidR="00876EB0" w:rsidRPr="00E87660" w:rsidRDefault="00385BF6" w:rsidP="00385BF6">
      <w:pPr>
        <w:pStyle w:val="Prrafodelista"/>
        <w:numPr>
          <w:ilvl w:val="0"/>
          <w:numId w:val="3"/>
        </w:numPr>
        <w:spacing w:line="264" w:lineRule="auto"/>
        <w:ind w:left="567" w:right="146" w:hanging="567"/>
        <w:contextualSpacing w:val="0"/>
        <w:jc w:val="both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="0010014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e presentan </w:t>
      </w:r>
      <w:r w:rsidR="00100148" w:rsidRPr="00D70255">
        <w:rPr>
          <w:rFonts w:ascii="Arial" w:eastAsia="Helvetica Neue Medium" w:hAnsi="Arial" w:cs="Arial"/>
          <w:sz w:val="24"/>
          <w:szCs w:val="24"/>
          <w:lang w:val="es-MX"/>
        </w:rPr>
        <w:t>675</w:t>
      </w:r>
      <w:r w:rsidR="0010014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cuadros y tablas</w:t>
      </w:r>
      <w:r w:rsidR="00100148">
        <w:rPr>
          <w:rFonts w:ascii="Arial" w:eastAsia="Helvetica Neue Medium" w:hAnsi="Arial" w:cs="Arial"/>
          <w:sz w:val="24"/>
          <w:szCs w:val="24"/>
          <w:lang w:val="es-MX"/>
        </w:rPr>
        <w:t xml:space="preserve"> de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876EB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COU y MIP estatales </w:t>
      </w:r>
      <w:r w:rsidR="00103297">
        <w:rPr>
          <w:rFonts w:ascii="Arial" w:eastAsia="Helvetica Neue Medium" w:hAnsi="Arial" w:cs="Arial"/>
          <w:sz w:val="24"/>
          <w:szCs w:val="24"/>
          <w:lang w:val="es-MX"/>
        </w:rPr>
        <w:t xml:space="preserve">y </w:t>
      </w:r>
      <w:r w:rsidR="00100148">
        <w:rPr>
          <w:rFonts w:ascii="Arial" w:eastAsia="Helvetica Neue Medium" w:hAnsi="Arial" w:cs="Arial"/>
          <w:sz w:val="24"/>
          <w:szCs w:val="24"/>
          <w:lang w:val="es-MX"/>
        </w:rPr>
        <w:t>m</w:t>
      </w:r>
      <w:r w:rsidR="00103297">
        <w:rPr>
          <w:rFonts w:ascii="Arial" w:eastAsia="Helvetica Neue Medium" w:hAnsi="Arial" w:cs="Arial"/>
          <w:sz w:val="24"/>
          <w:szCs w:val="24"/>
          <w:lang w:val="es-MX"/>
        </w:rPr>
        <w:t>ultiestatales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. Estas </w:t>
      </w:r>
      <w:r w:rsidR="00103297">
        <w:rPr>
          <w:rFonts w:ascii="Arial" w:eastAsia="Helvetica Neue Medium" w:hAnsi="Arial" w:cs="Arial"/>
          <w:sz w:val="24"/>
          <w:szCs w:val="24"/>
          <w:lang w:val="es-MX"/>
        </w:rPr>
        <w:t>muestran</w:t>
      </w:r>
      <w:r w:rsidR="00876EB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las compras y ventas de insumos</w:t>
      </w:r>
      <w:r w:rsidR="00103297">
        <w:rPr>
          <w:rFonts w:ascii="Arial" w:eastAsia="Helvetica Neue Medium" w:hAnsi="Arial" w:cs="Arial"/>
          <w:sz w:val="24"/>
          <w:szCs w:val="24"/>
          <w:lang w:val="es-MX"/>
        </w:rPr>
        <w:t xml:space="preserve"> y productos de consumo final</w:t>
      </w:r>
      <w:r w:rsidR="00876EB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entre actividades económicas de cada una de las entidades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del país. </w:t>
      </w:r>
    </w:p>
    <w:p w14:paraId="36CF3259" w14:textId="2D57419B" w:rsidR="00876EB0" w:rsidRPr="00337A81" w:rsidRDefault="00385BF6" w:rsidP="00385BF6">
      <w:pPr>
        <w:pStyle w:val="Prrafodelista"/>
        <w:numPr>
          <w:ilvl w:val="0"/>
          <w:numId w:val="3"/>
        </w:numPr>
        <w:spacing w:line="264" w:lineRule="auto"/>
        <w:ind w:left="567" w:right="146" w:hanging="567"/>
        <w:contextualSpacing w:val="0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Los COU y MIP pueden ser de gran utilidad para las y los </w:t>
      </w:r>
      <w:r w:rsidR="00876EB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funcionarios públicos y analistas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que se interesen en el </w:t>
      </w:r>
      <w:r w:rsidR="00DC40F3">
        <w:rPr>
          <w:rFonts w:ascii="Arial" w:eastAsia="Helvetica Neue Medium" w:hAnsi="Arial" w:cs="Arial"/>
          <w:sz w:val="24"/>
          <w:szCs w:val="24"/>
          <w:lang w:val="es-MX"/>
        </w:rPr>
        <w:t xml:space="preserve">diagnóstico y el diseño de políticas económicas a nivel nacional y regional.  </w:t>
      </w:r>
    </w:p>
    <w:p w14:paraId="0BBF5848" w14:textId="41403F77" w:rsidR="004D7231" w:rsidRDefault="004D7231" w:rsidP="004D7231">
      <w:pPr>
        <w:pStyle w:val="Prrafodelista"/>
        <w:spacing w:after="0" w:line="240" w:lineRule="auto"/>
        <w:rPr>
          <w:rFonts w:ascii="Times New Roman" w:eastAsia="Helvetica Neue Medium" w:hAnsi="Times New Roman" w:cs="Times New Roman"/>
          <w:sz w:val="24"/>
          <w:szCs w:val="24"/>
          <w:lang w:val="es-MX" w:eastAsia="es-MX"/>
        </w:rPr>
      </w:pPr>
    </w:p>
    <w:p w14:paraId="7200747F" w14:textId="4E2359E8" w:rsidR="00A47424" w:rsidRDefault="00340149" w:rsidP="00E87660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Hasta ahora, l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>os C</w:t>
      </w:r>
      <w:r>
        <w:rPr>
          <w:rFonts w:ascii="Arial" w:eastAsia="Times New Roman" w:hAnsi="Arial" w:cs="Arial"/>
          <w:sz w:val="24"/>
          <w:szCs w:val="24"/>
          <w:lang w:val="es-MX"/>
        </w:rPr>
        <w:t>uadros de Oferta y Utilización (C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>OU</w:t>
      </w:r>
      <w:r>
        <w:rPr>
          <w:rFonts w:ascii="Arial" w:eastAsia="Times New Roman" w:hAnsi="Arial" w:cs="Arial"/>
          <w:sz w:val="24"/>
          <w:szCs w:val="24"/>
          <w:lang w:val="es-MX"/>
        </w:rPr>
        <w:t>)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 xml:space="preserve"> y l</w:t>
      </w:r>
      <w:r w:rsidR="00A47424">
        <w:rPr>
          <w:rFonts w:ascii="Arial" w:eastAsia="Times New Roman" w:hAnsi="Arial" w:cs="Arial"/>
          <w:sz w:val="24"/>
          <w:szCs w:val="24"/>
          <w:lang w:val="es-MX"/>
        </w:rPr>
        <w:t xml:space="preserve">as </w:t>
      </w:r>
      <w:r>
        <w:rPr>
          <w:rFonts w:ascii="Arial" w:eastAsia="Times New Roman" w:hAnsi="Arial" w:cs="Arial"/>
          <w:sz w:val="24"/>
          <w:szCs w:val="24"/>
          <w:lang w:val="es-MX"/>
        </w:rPr>
        <w:t>Matrices de Insumo</w:t>
      </w:r>
      <w:r w:rsidR="004618CE">
        <w:rPr>
          <w:rFonts w:ascii="Arial" w:eastAsia="Times New Roman" w:hAnsi="Arial" w:cs="Arial"/>
          <w:sz w:val="24"/>
          <w:szCs w:val="24"/>
          <w:lang w:val="es-MX"/>
        </w:rPr>
        <w:t>-</w:t>
      </w:r>
      <w:r>
        <w:rPr>
          <w:rFonts w:ascii="Arial" w:eastAsia="Times New Roman" w:hAnsi="Arial" w:cs="Arial"/>
          <w:sz w:val="24"/>
          <w:szCs w:val="24"/>
          <w:lang w:val="es-MX"/>
        </w:rPr>
        <w:t>Producto (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>MIP</w:t>
      </w:r>
      <w:r>
        <w:rPr>
          <w:rFonts w:ascii="Arial" w:eastAsia="Times New Roman" w:hAnsi="Arial" w:cs="Arial"/>
          <w:sz w:val="24"/>
          <w:szCs w:val="24"/>
          <w:lang w:val="es-MX"/>
        </w:rPr>
        <w:t>)</w:t>
      </w:r>
      <w:r w:rsidR="00A47424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100148">
        <w:rPr>
          <w:rFonts w:ascii="Arial" w:eastAsia="Times New Roman" w:hAnsi="Arial" w:cs="Arial"/>
          <w:sz w:val="24"/>
          <w:szCs w:val="24"/>
          <w:lang w:val="es-MX"/>
        </w:rPr>
        <w:t>que publica el Instituto Nacional de Estadística y Geografía (INEGI)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100148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73BF0" w:rsidRPr="00385BF6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>como parte del Sistema de Cuentas Nacionales de México</w:t>
      </w:r>
      <w:r w:rsidR="004F51F1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(SCNM)</w:t>
      </w:r>
      <w:r w:rsidR="00385BF6" w:rsidRPr="0046470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  <w:t>,</w:t>
      </w:r>
      <w:r w:rsidR="00373BF0" w:rsidRPr="00385BF6">
        <w:rPr>
          <w:rFonts w:ascii="Arial" w:eastAsia="Times New Roman" w:hAnsi="Arial" w:cs="Arial"/>
          <w:color w:val="000000" w:themeColor="text1"/>
          <w:sz w:val="24"/>
          <w:szCs w:val="24"/>
          <w:lang w:val="es-MX"/>
        </w:rPr>
        <w:t xml:space="preserve"> </w:t>
      </w:r>
      <w:r w:rsidR="00A47424">
        <w:rPr>
          <w:rFonts w:ascii="Arial" w:eastAsia="Times New Roman" w:hAnsi="Arial" w:cs="Arial"/>
          <w:sz w:val="24"/>
          <w:szCs w:val="24"/>
          <w:lang w:val="es-MX"/>
        </w:rPr>
        <w:t xml:space="preserve">presentan la actividad económica de los sectores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únicamente </w:t>
      </w:r>
      <w:r w:rsidR="00A47424">
        <w:rPr>
          <w:rFonts w:ascii="Arial" w:eastAsia="Times New Roman" w:hAnsi="Arial" w:cs="Arial"/>
          <w:sz w:val="24"/>
          <w:szCs w:val="24"/>
          <w:lang w:val="es-MX"/>
        </w:rPr>
        <w:t>a nivel nacional.</w:t>
      </w:r>
      <w:r w:rsidR="002049CE">
        <w:rPr>
          <w:rStyle w:val="Refdenotaalpie"/>
          <w:rFonts w:ascii="Arial" w:eastAsia="Times New Roman" w:hAnsi="Arial" w:cs="Arial"/>
          <w:sz w:val="24"/>
          <w:szCs w:val="24"/>
          <w:lang w:val="es-MX"/>
        </w:rPr>
        <w:footnoteReference w:id="1"/>
      </w:r>
      <w:r w:rsidR="00A47424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</w:p>
    <w:p w14:paraId="55632CFF" w14:textId="0C4E4863" w:rsidR="00C93E80" w:rsidRDefault="00373BF0" w:rsidP="00E87660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La elaboración de los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 xml:space="preserve">COU y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las 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 xml:space="preserve">MIP </w:t>
      </w:r>
      <w:r w:rsidR="00B35C0C">
        <w:rPr>
          <w:rFonts w:ascii="Arial" w:eastAsia="Times New Roman" w:hAnsi="Arial" w:cs="Arial"/>
          <w:sz w:val="24"/>
          <w:szCs w:val="24"/>
          <w:lang w:val="es-MX"/>
        </w:rPr>
        <w:t>estatales</w:t>
      </w:r>
      <w:r w:rsidR="00322826">
        <w:rPr>
          <w:rFonts w:ascii="Arial" w:eastAsia="Times New Roman" w:hAnsi="Arial" w:cs="Arial"/>
          <w:sz w:val="24"/>
          <w:szCs w:val="24"/>
          <w:lang w:val="es-MX"/>
        </w:rPr>
        <w:t xml:space="preserve"> y multiestatales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 —que </w:t>
      </w:r>
      <w:r w:rsidR="00322826">
        <w:rPr>
          <w:rFonts w:ascii="Arial" w:eastAsia="Times New Roman" w:hAnsi="Arial" w:cs="Arial"/>
          <w:sz w:val="24"/>
          <w:szCs w:val="24"/>
          <w:lang w:val="es-MX"/>
        </w:rPr>
        <w:t xml:space="preserve">por primera vez y </w:t>
      </w:r>
      <w:r>
        <w:rPr>
          <w:rFonts w:ascii="Arial" w:eastAsia="Times New Roman" w:hAnsi="Arial" w:cs="Arial"/>
          <w:sz w:val="24"/>
          <w:szCs w:val="24"/>
          <w:lang w:val="es-MX"/>
        </w:rPr>
        <w:t>a partir de hoy se ponen a disposición del público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— parten </w:t>
      </w:r>
      <w:r w:rsidR="00B35C0C">
        <w:rPr>
          <w:rFonts w:ascii="Arial" w:eastAsia="Times New Roman" w:hAnsi="Arial" w:cs="Arial"/>
          <w:sz w:val="24"/>
          <w:szCs w:val="24"/>
          <w:lang w:val="es-MX"/>
        </w:rPr>
        <w:t>de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 que </w:t>
      </w:r>
      <w:r w:rsidR="00B35C0C">
        <w:rPr>
          <w:rFonts w:ascii="Arial" w:eastAsia="Times New Roman" w:hAnsi="Arial" w:cs="Arial"/>
          <w:sz w:val="24"/>
          <w:szCs w:val="24"/>
          <w:lang w:val="es-MX"/>
        </w:rPr>
        <w:t>n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inguna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de las 32 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>entidad</w:t>
      </w:r>
      <w:r>
        <w:rPr>
          <w:rFonts w:ascii="Arial" w:eastAsia="Times New Roman" w:hAnsi="Arial" w:cs="Arial"/>
          <w:sz w:val="24"/>
          <w:szCs w:val="24"/>
          <w:lang w:val="es-MX"/>
        </w:rPr>
        <w:t>es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 federativa</w:t>
      </w:r>
      <w:r>
        <w:rPr>
          <w:rFonts w:ascii="Arial" w:eastAsia="Times New Roman" w:hAnsi="Arial" w:cs="Arial"/>
          <w:sz w:val="24"/>
          <w:szCs w:val="24"/>
          <w:lang w:val="es-MX"/>
        </w:rPr>
        <w:t>s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 tiene autosuficiencia productiva</w:t>
      </w:r>
      <w:r w:rsidR="00322826">
        <w:rPr>
          <w:rFonts w:ascii="Arial" w:eastAsia="Times New Roman" w:hAnsi="Arial" w:cs="Arial"/>
          <w:sz w:val="24"/>
          <w:szCs w:val="24"/>
          <w:lang w:val="es-MX"/>
        </w:rPr>
        <w:t>. C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ada una 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>requiere importar bienes que provienen de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l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o</w:t>
      </w:r>
      <w:r>
        <w:rPr>
          <w:rFonts w:ascii="Arial" w:eastAsia="Times New Roman" w:hAnsi="Arial" w:cs="Arial"/>
          <w:sz w:val="24"/>
          <w:szCs w:val="24"/>
          <w:lang w:val="es-MX"/>
        </w:rPr>
        <w:t>s otr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o</w:t>
      </w:r>
      <w:r>
        <w:rPr>
          <w:rFonts w:ascii="Arial" w:eastAsia="Times New Roman" w:hAnsi="Arial" w:cs="Arial"/>
          <w:sz w:val="24"/>
          <w:szCs w:val="24"/>
          <w:lang w:val="es-MX"/>
        </w:rPr>
        <w:t>s 31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estados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 y del exterior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del país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.</w:t>
      </w:r>
      <w:r w:rsidR="00322826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Además, 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 xml:space="preserve">cada </w:t>
      </w:r>
      <w:r w:rsidR="00385BF6">
        <w:rPr>
          <w:rFonts w:ascii="Arial" w:eastAsia="Times New Roman" w:hAnsi="Arial" w:cs="Arial"/>
          <w:sz w:val="24"/>
          <w:szCs w:val="24"/>
          <w:lang w:val="es-MX"/>
        </w:rPr>
        <w:t xml:space="preserve">estado exporta 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>a otr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o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>s</w:t>
      </w:r>
      <w:r w:rsidR="00322826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40149">
        <w:rPr>
          <w:rFonts w:ascii="Arial" w:eastAsia="Times New Roman" w:hAnsi="Arial" w:cs="Arial"/>
          <w:sz w:val="24"/>
          <w:szCs w:val="24"/>
          <w:lang w:val="es-MX"/>
        </w:rPr>
        <w:t>estados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 y al ex</w:t>
      </w:r>
      <w:r>
        <w:rPr>
          <w:rFonts w:ascii="Arial" w:eastAsia="Times New Roman" w:hAnsi="Arial" w:cs="Arial"/>
          <w:sz w:val="24"/>
          <w:szCs w:val="24"/>
          <w:lang w:val="es-MX"/>
        </w:rPr>
        <w:t>tranjero</w:t>
      </w:r>
      <w:r w:rsidR="00C93E80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</w:p>
    <w:p w14:paraId="12F4EA98" w14:textId="3005DFC7" w:rsidR="00760C5D" w:rsidRDefault="00322826" w:rsidP="00760C5D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L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>a publicación de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las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 xml:space="preserve"> COU y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MIP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estatales y 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>multiestatales constituye un</w:t>
      </w:r>
      <w:r w:rsidR="00C114EB">
        <w:rPr>
          <w:rFonts w:ascii="Arial" w:eastAsia="Times New Roman" w:hAnsi="Arial" w:cs="Arial"/>
          <w:sz w:val="24"/>
          <w:szCs w:val="24"/>
          <w:lang w:val="es-MX"/>
        </w:rPr>
        <w:t xml:space="preserve"> complemento y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avance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B35C0C">
        <w:rPr>
          <w:rFonts w:ascii="Arial" w:eastAsia="Times New Roman" w:hAnsi="Arial" w:cs="Arial"/>
          <w:sz w:val="24"/>
          <w:szCs w:val="24"/>
          <w:lang w:val="es-MX"/>
        </w:rPr>
        <w:t xml:space="preserve">en el desarrollo del 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>marco</w:t>
      </w:r>
      <w:r w:rsidR="00B35C0C">
        <w:rPr>
          <w:rFonts w:ascii="Arial" w:eastAsia="Times New Roman" w:hAnsi="Arial" w:cs="Arial"/>
          <w:sz w:val="24"/>
          <w:szCs w:val="24"/>
          <w:lang w:val="es-MX"/>
        </w:rPr>
        <w:t xml:space="preserve"> actual de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insumo</w:t>
      </w:r>
      <w:r w:rsidR="009D3696">
        <w:rPr>
          <w:rFonts w:ascii="Arial" w:eastAsia="Times New Roman" w:hAnsi="Arial" w:cs="Arial"/>
          <w:sz w:val="24"/>
          <w:szCs w:val="24"/>
          <w:lang w:val="es-MX"/>
        </w:rPr>
        <w:t>-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producto </w:t>
      </w:r>
      <w:r w:rsidR="007914F0">
        <w:rPr>
          <w:rFonts w:ascii="Arial" w:eastAsia="Times New Roman" w:hAnsi="Arial" w:cs="Arial"/>
          <w:sz w:val="24"/>
          <w:szCs w:val="24"/>
          <w:lang w:val="es-MX"/>
        </w:rPr>
        <w:t xml:space="preserve">que </w:t>
      </w:r>
      <w:r w:rsidR="009D3696" w:rsidRPr="00D70255">
        <w:rPr>
          <w:rFonts w:ascii="Arial" w:eastAsia="Times New Roman" w:hAnsi="Arial" w:cs="Arial"/>
          <w:sz w:val="24"/>
          <w:szCs w:val="24"/>
          <w:lang w:val="es-MX"/>
        </w:rPr>
        <w:t>el</w:t>
      </w:r>
      <w:r w:rsidR="009D3696">
        <w:rPr>
          <w:rFonts w:ascii="Arial" w:eastAsia="Times New Roman" w:hAnsi="Arial" w:cs="Arial"/>
          <w:sz w:val="24"/>
          <w:szCs w:val="24"/>
          <w:lang w:val="es-MX"/>
        </w:rPr>
        <w:t xml:space="preserve"> INEGI </w:t>
      </w:r>
      <w:r w:rsidR="007914F0">
        <w:rPr>
          <w:rFonts w:ascii="Arial" w:eastAsia="Times New Roman" w:hAnsi="Arial" w:cs="Arial"/>
          <w:sz w:val="24"/>
          <w:szCs w:val="24"/>
          <w:lang w:val="es-MX"/>
        </w:rPr>
        <w:t>publica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 xml:space="preserve"> cada cinco años. Lo anterior porque 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>incluye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 xml:space="preserve"> COU y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MIP para cada una de las 32 entidades federativas del país, así como 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>estimaciones</w:t>
      </w:r>
      <w:r w:rsidR="00B35C0C" w:rsidRPr="00B35C0C">
        <w:rPr>
          <w:rFonts w:ascii="Arial" w:eastAsia="Times New Roman" w:hAnsi="Arial" w:cs="Arial"/>
          <w:sz w:val="24"/>
          <w:szCs w:val="24"/>
          <w:lang w:val="es-MX"/>
        </w:rPr>
        <w:t xml:space="preserve"> de comercio </w:t>
      </w:r>
      <w:r w:rsidR="007914F0">
        <w:rPr>
          <w:rFonts w:ascii="Arial" w:eastAsia="Times New Roman" w:hAnsi="Arial" w:cs="Arial"/>
          <w:sz w:val="24"/>
          <w:szCs w:val="24"/>
          <w:lang w:val="es-MX"/>
        </w:rPr>
        <w:t xml:space="preserve">entre esos estados, es decir, </w:t>
      </w:r>
      <w:r w:rsidR="009A4324">
        <w:rPr>
          <w:rFonts w:ascii="Arial" w:eastAsia="Times New Roman" w:hAnsi="Arial" w:cs="Arial"/>
          <w:sz w:val="24"/>
          <w:szCs w:val="24"/>
          <w:lang w:val="es-MX"/>
        </w:rPr>
        <w:t>COU y MIP</w:t>
      </w:r>
      <w:r w:rsidR="007914F0">
        <w:rPr>
          <w:rFonts w:ascii="Arial" w:eastAsia="Times New Roman" w:hAnsi="Arial" w:cs="Arial"/>
          <w:sz w:val="24"/>
          <w:szCs w:val="24"/>
          <w:lang w:val="es-MX"/>
        </w:rPr>
        <w:t xml:space="preserve"> de comercio </w:t>
      </w:r>
      <w:r w:rsidR="00373BF0">
        <w:rPr>
          <w:rFonts w:ascii="Arial" w:eastAsia="Times New Roman" w:hAnsi="Arial" w:cs="Arial"/>
          <w:sz w:val="24"/>
          <w:szCs w:val="24"/>
          <w:lang w:val="es-MX"/>
        </w:rPr>
        <w:t>multiestatal</w:t>
      </w:r>
      <w:r w:rsidR="007914F0"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14:paraId="09321076" w14:textId="41182D08" w:rsidR="00B35C0C" w:rsidRDefault="00322826" w:rsidP="00760C5D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>Al</w:t>
      </w:r>
      <w:r w:rsidR="0067598F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implementa</w:t>
      </w:r>
      <w:r>
        <w:rPr>
          <w:rFonts w:ascii="Arial" w:eastAsia="Times New Roman" w:hAnsi="Arial" w:cs="Arial"/>
          <w:sz w:val="24"/>
          <w:szCs w:val="24"/>
          <w:lang w:val="es-MX"/>
        </w:rPr>
        <w:t>r</w:t>
      </w:r>
      <w:r w:rsidR="0067598F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novedades metodológicas</w:t>
      </w:r>
      <w:r>
        <w:rPr>
          <w:rFonts w:ascii="Arial" w:eastAsia="Times New Roman" w:hAnsi="Arial" w:cs="Arial"/>
          <w:sz w:val="24"/>
          <w:szCs w:val="24"/>
          <w:lang w:val="es-MX"/>
        </w:rPr>
        <w:t>, se generaron</w:t>
      </w:r>
      <w:r w:rsidR="0067456D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67456D" w:rsidRPr="00201559">
        <w:rPr>
          <w:rFonts w:ascii="Arial" w:eastAsia="Times New Roman" w:hAnsi="Arial" w:cs="Arial"/>
          <w:iCs/>
          <w:color w:val="000000" w:themeColor="text1"/>
          <w:sz w:val="24"/>
          <w:szCs w:val="24"/>
          <w:lang w:val="es-MX"/>
        </w:rPr>
        <w:t>COU</w:t>
      </w:r>
      <w:r w:rsidRPr="00201559">
        <w:rPr>
          <w:rFonts w:ascii="Arial" w:eastAsia="Times New Roman" w:hAnsi="Arial" w:cs="Arial"/>
          <w:iCs/>
          <w:color w:val="000000" w:themeColor="text1"/>
          <w:sz w:val="24"/>
          <w:szCs w:val="24"/>
          <w:lang w:val="es-MX"/>
        </w:rPr>
        <w:t xml:space="preserve"> </w:t>
      </w:r>
      <w:r w:rsidR="0067598F" w:rsidRPr="00D70255">
        <w:rPr>
          <w:rFonts w:ascii="Arial" w:eastAsia="Times New Roman" w:hAnsi="Arial" w:cs="Arial"/>
          <w:sz w:val="24"/>
          <w:szCs w:val="24"/>
          <w:lang w:val="es-MX"/>
        </w:rPr>
        <w:t>para los estados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 xml:space="preserve"> con </w:t>
      </w:r>
      <w:r w:rsidR="0067598F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mayor detalle en el clasificador de productos que el que </w:t>
      </w:r>
      <w:r w:rsidR="00CF6C93">
        <w:rPr>
          <w:rFonts w:ascii="Arial" w:eastAsia="Times New Roman" w:hAnsi="Arial" w:cs="Arial"/>
          <w:sz w:val="24"/>
          <w:szCs w:val="24"/>
          <w:lang w:val="es-MX"/>
        </w:rPr>
        <w:t>permitían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 xml:space="preserve"> las</w:t>
      </w:r>
      <w:r w:rsidR="0067598F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metodologías previas</w:t>
      </w:r>
      <w:r w:rsidR="0067456D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. </w:t>
      </w:r>
      <w:r w:rsidR="005D4278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Los COU contienen </w:t>
      </w:r>
      <w:r w:rsidR="0067456D" w:rsidRPr="00D70255">
        <w:rPr>
          <w:rFonts w:ascii="Arial" w:eastAsia="Times New Roman" w:hAnsi="Arial" w:cs="Arial"/>
          <w:sz w:val="24"/>
          <w:szCs w:val="24"/>
          <w:lang w:val="es-MX"/>
        </w:rPr>
        <w:t>79 subsectores (productos) y 32 industrias.</w:t>
      </w:r>
      <w:r w:rsidR="0067456D" w:rsidRPr="00D70255">
        <w:rPr>
          <w:rFonts w:eastAsia="Calibri" w:hAnsi="Arial"/>
          <w:color w:val="000000" w:themeColor="text1"/>
          <w:kern w:val="24"/>
          <w:sz w:val="36"/>
          <w:szCs w:val="36"/>
          <w:lang w:val="es-MX"/>
        </w:rPr>
        <w:t xml:space="preserve"> </w:t>
      </w:r>
      <w:r w:rsidR="0067456D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Las MIP estatales </w:t>
      </w:r>
      <w:r w:rsidR="005D4278" w:rsidRPr="00D70255">
        <w:rPr>
          <w:rFonts w:ascii="Arial" w:eastAsia="Times New Roman" w:hAnsi="Arial" w:cs="Arial"/>
          <w:sz w:val="24"/>
          <w:szCs w:val="24"/>
          <w:lang w:val="es-MX"/>
        </w:rPr>
        <w:t>también están disponibles en versiones</w:t>
      </w:r>
      <w:r w:rsidR="005D4278">
        <w:rPr>
          <w:rFonts w:ascii="Arial" w:eastAsia="Times New Roman" w:hAnsi="Arial" w:cs="Arial"/>
          <w:sz w:val="24"/>
          <w:szCs w:val="24"/>
          <w:lang w:val="es-MX"/>
        </w:rPr>
        <w:t xml:space="preserve"> con </w:t>
      </w:r>
      <w:r w:rsidR="0067456D">
        <w:rPr>
          <w:rFonts w:ascii="Arial" w:eastAsia="Times New Roman" w:hAnsi="Arial" w:cs="Arial"/>
          <w:sz w:val="24"/>
          <w:szCs w:val="24"/>
          <w:lang w:val="es-MX"/>
        </w:rPr>
        <w:t>32 industrias</w:t>
      </w:r>
      <w:r w:rsidR="005D4278">
        <w:rPr>
          <w:rFonts w:ascii="Arial" w:eastAsia="Times New Roman" w:hAnsi="Arial" w:cs="Arial"/>
          <w:sz w:val="24"/>
          <w:szCs w:val="24"/>
          <w:lang w:val="es-MX"/>
        </w:rPr>
        <w:t xml:space="preserve"> y 79 productos</w:t>
      </w:r>
      <w:r w:rsidR="0067456D">
        <w:rPr>
          <w:rFonts w:ascii="Arial" w:eastAsia="Times New Roman" w:hAnsi="Arial" w:cs="Arial"/>
          <w:sz w:val="24"/>
          <w:szCs w:val="24"/>
          <w:lang w:val="es-MX"/>
        </w:rPr>
        <w:t>.</w:t>
      </w:r>
      <w:r w:rsidR="00C114EB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</w:p>
    <w:p w14:paraId="268170E5" w14:textId="77777777" w:rsidR="004B31C8" w:rsidRDefault="009D3696" w:rsidP="004B31C8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70255">
        <w:rPr>
          <w:rFonts w:ascii="Arial" w:eastAsia="Times New Roman" w:hAnsi="Arial" w:cs="Arial"/>
          <w:sz w:val="24"/>
          <w:szCs w:val="24"/>
          <w:lang w:val="es-MX"/>
        </w:rPr>
        <w:lastRenderedPageBreak/>
        <w:t>Esta publicación incluye cuadros y matrices en distintas versiones que se adaptan a las necesidades de l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>as y l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>os usuarios, tales como versiones estatales, birregionales (un</w:t>
      </w:r>
      <w:r w:rsidR="00DF43B6">
        <w:rPr>
          <w:rFonts w:ascii="Arial" w:eastAsia="Times New Roman" w:hAnsi="Arial" w:cs="Arial"/>
          <w:sz w:val="24"/>
          <w:szCs w:val="24"/>
          <w:lang w:val="es-MX"/>
        </w:rPr>
        <w:t>a entidad federativa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y el resto del país) y </w:t>
      </w:r>
      <w:r w:rsidR="0058176E">
        <w:rPr>
          <w:rFonts w:ascii="Arial" w:eastAsia="Times New Roman" w:hAnsi="Arial" w:cs="Arial"/>
          <w:sz w:val="24"/>
          <w:szCs w:val="24"/>
          <w:lang w:val="es-MX"/>
        </w:rPr>
        <w:t>m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ultiestatales (32 </w:t>
      </w:r>
      <w:r w:rsidR="00DF43B6">
        <w:rPr>
          <w:rFonts w:ascii="Arial" w:eastAsia="Times New Roman" w:hAnsi="Arial" w:cs="Arial"/>
          <w:sz w:val="24"/>
          <w:szCs w:val="24"/>
          <w:lang w:val="es-MX"/>
        </w:rPr>
        <w:t>entidades federativas</w:t>
      </w:r>
      <w:r w:rsidR="00DF43B6"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y su comercio). </w:t>
      </w:r>
    </w:p>
    <w:p w14:paraId="6ED98741" w14:textId="243000B5" w:rsidR="0083202E" w:rsidRDefault="009D3696" w:rsidP="004B31C8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 w:rsidRPr="00D70255">
        <w:rPr>
          <w:rFonts w:ascii="Arial" w:eastAsia="Times New Roman" w:hAnsi="Arial" w:cs="Arial"/>
          <w:sz w:val="24"/>
          <w:szCs w:val="24"/>
          <w:lang w:val="es-MX"/>
        </w:rPr>
        <w:t>Además, se presentan las tablas de importaciones del resto del mundo, importaciones del resto del país, de márgenes de comercio y transporte, de impuestos sobre los productos netos de subsidios y cuadros valorados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>,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 xml:space="preserve"> tanto a precios básicos como a precios de comprador. En conjunto, se ponen a disposición del público 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 xml:space="preserve">los siguientes </w:t>
      </w:r>
      <w:r w:rsidRPr="00D70255">
        <w:rPr>
          <w:rFonts w:ascii="Arial" w:eastAsia="Times New Roman" w:hAnsi="Arial" w:cs="Arial"/>
          <w:sz w:val="24"/>
          <w:szCs w:val="24"/>
          <w:lang w:val="es-MX"/>
        </w:rPr>
        <w:t>675 cuadros y tablas</w:t>
      </w:r>
      <w:r w:rsidR="004B31C8">
        <w:rPr>
          <w:rFonts w:ascii="Arial" w:eastAsia="Times New Roman" w:hAnsi="Arial" w:cs="Arial"/>
          <w:sz w:val="24"/>
          <w:szCs w:val="24"/>
          <w:lang w:val="es-MX"/>
        </w:rPr>
        <w:t>:</w:t>
      </w:r>
    </w:p>
    <w:p w14:paraId="564A4718" w14:textId="2C9F445A" w:rsidR="00CF6C93" w:rsidRPr="00385BF6" w:rsidRDefault="0083202E" w:rsidP="00385BF6">
      <w:pPr>
        <w:spacing w:after="0" w:line="240" w:lineRule="auto"/>
        <w:ind w:left="-284" w:right="-278"/>
        <w:jc w:val="center"/>
        <w:rPr>
          <w:rFonts w:ascii="Arial" w:eastAsia="Times New Roman" w:hAnsi="Arial" w:cs="Arial"/>
          <w:sz w:val="20"/>
          <w:szCs w:val="20"/>
          <w:lang w:val="es-MX"/>
        </w:rPr>
      </w:pPr>
      <w:r w:rsidRPr="00385BF6">
        <w:rPr>
          <w:rFonts w:ascii="Arial" w:eastAsia="Times New Roman" w:hAnsi="Arial" w:cs="Arial"/>
          <w:sz w:val="20"/>
          <w:szCs w:val="20"/>
          <w:lang w:val="es-MX"/>
        </w:rPr>
        <w:t>Tabla 1</w:t>
      </w:r>
    </w:p>
    <w:p w14:paraId="38D52E53" w14:textId="5BFEBA9F" w:rsidR="0083202E" w:rsidRPr="00385BF6" w:rsidRDefault="0083202E" w:rsidP="00CF6C93">
      <w:pPr>
        <w:spacing w:after="0" w:line="240" w:lineRule="auto"/>
        <w:ind w:left="-284" w:right="-278"/>
        <w:jc w:val="center"/>
        <w:rPr>
          <w:rFonts w:ascii="Arial Negrita" w:eastAsia="Times New Roman" w:hAnsi="Arial Negrita" w:cs="Arial"/>
          <w:b/>
          <w:smallCaps/>
          <w:szCs w:val="24"/>
          <w:lang w:val="es-MX"/>
        </w:rPr>
      </w:pPr>
      <w:r w:rsidRPr="00385BF6">
        <w:rPr>
          <w:rFonts w:ascii="Arial Negrita" w:eastAsia="Times New Roman" w:hAnsi="Arial Negrita" w:cs="Arial"/>
          <w:b/>
          <w:smallCaps/>
          <w:szCs w:val="24"/>
          <w:lang w:val="es-MX"/>
        </w:rPr>
        <w:t>Listado de tabulados disponibles</w:t>
      </w:r>
    </w:p>
    <w:tbl>
      <w:tblPr>
        <w:tblW w:w="5149" w:type="pct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2020"/>
        <w:gridCol w:w="1091"/>
        <w:gridCol w:w="2344"/>
        <w:gridCol w:w="2919"/>
        <w:gridCol w:w="1265"/>
      </w:tblGrid>
      <w:tr w:rsidR="0083202E" w:rsidRPr="0083202E" w14:paraId="52742C6F" w14:textId="77777777" w:rsidTr="00385BF6">
        <w:trPr>
          <w:trHeight w:val="256"/>
          <w:tblHeader/>
        </w:trPr>
        <w:tc>
          <w:tcPr>
            <w:tcW w:w="1048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AD4655" w14:textId="77777777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Tipo de tabla</w:t>
            </w:r>
          </w:p>
        </w:tc>
        <w:tc>
          <w:tcPr>
            <w:tcW w:w="566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6FFCB4" w14:textId="77777777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Cobertura</w:t>
            </w:r>
          </w:p>
        </w:tc>
        <w:tc>
          <w:tcPr>
            <w:tcW w:w="1216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3E465B" w14:textId="77777777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Transacciones</w:t>
            </w:r>
          </w:p>
        </w:tc>
        <w:tc>
          <w:tcPr>
            <w:tcW w:w="1514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1DD70C" w14:textId="77777777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Valuación</w:t>
            </w:r>
          </w:p>
        </w:tc>
        <w:tc>
          <w:tcPr>
            <w:tcW w:w="657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CF8D80" w14:textId="451A91A3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 xml:space="preserve">Número de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tabulados</w:t>
            </w:r>
          </w:p>
        </w:tc>
      </w:tr>
      <w:tr w:rsidR="0083202E" w:rsidRPr="0083202E" w14:paraId="5B76EE7F" w14:textId="77777777" w:rsidTr="00385BF6">
        <w:trPr>
          <w:trHeight w:val="256"/>
        </w:trPr>
        <w:tc>
          <w:tcPr>
            <w:tcW w:w="1048" w:type="pct"/>
            <w:tcBorders>
              <w:top w:val="single" w:sz="8" w:space="0" w:color="1B587C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DD97C5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COU</w:t>
            </w:r>
          </w:p>
        </w:tc>
        <w:tc>
          <w:tcPr>
            <w:tcW w:w="566" w:type="pct"/>
            <w:tcBorders>
              <w:top w:val="single" w:sz="8" w:space="0" w:color="1B587C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84ADB0" w14:textId="35F0A45E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Multi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statal</w:t>
            </w:r>
          </w:p>
        </w:tc>
        <w:tc>
          <w:tcPr>
            <w:tcW w:w="1216" w:type="pct"/>
            <w:tcBorders>
              <w:top w:val="single" w:sz="8" w:space="0" w:color="1B587C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C0811B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single" w:sz="8" w:space="0" w:color="1B587C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9CEFC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single" w:sz="8" w:space="0" w:color="1B587C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A76BA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1</w:t>
            </w:r>
          </w:p>
        </w:tc>
      </w:tr>
      <w:tr w:rsidR="0083202E" w:rsidRPr="0083202E" w14:paraId="62CB7574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10CCD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COU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903C71" w14:textId="4F0ABA28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Bi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="00CF6C9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egional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6B5BB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AA832D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7738D0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090BBCC9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65C09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COU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99B4A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DE102B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Transacciones </w:t>
            </w:r>
          </w:p>
          <w:p w14:paraId="17B417B4" w14:textId="73F6F262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intra</w:t>
            </w:r>
            <w:r w:rsidR="00EA4AD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regionales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FE0E3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74F655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53CDC2C0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9C540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COU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50F95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7A8C8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6DA535" w14:textId="6F2F42F3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Precios de </w:t>
            </w:r>
            <w:r w:rsidR="00CA2508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omprador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67A26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1E7EC701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B5133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Oferta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AF328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31F6B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No aplica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D31250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básicos, vectores de valuación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72719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23FCFA3B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DC6AD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FC7555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4D29A6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Transacciones </w:t>
            </w:r>
          </w:p>
          <w:p w14:paraId="3C2E030A" w14:textId="2E4FBB6B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intra</w:t>
            </w:r>
            <w:r w:rsidR="00EA4AD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regionales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37633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E5DA8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2A48EF82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18821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42E82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D1AE9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2378B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DB2EF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2F757919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F2B7C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807D1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4CDA7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65D6BC" w14:textId="03284F94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Precios de </w:t>
            </w:r>
            <w:r w:rsidR="00CA2508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omprador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B930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371FC7F1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B3750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9E135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58E378" w14:textId="64DA2550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Importaciones interestatales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1B5DE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3EDD1D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73A42AF0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5E712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28230A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DE5491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Importaciones </w:t>
            </w:r>
          </w:p>
          <w:p w14:paraId="55D4F4BF" w14:textId="555F2819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internacionales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BE337A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C.I.F.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C9C555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7E46737A" w14:textId="77777777" w:rsidTr="00385BF6">
        <w:trPr>
          <w:trHeight w:val="297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1029F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265DB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E61AD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A13A8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Impuestos sobre los productos,</w:t>
            </w:r>
          </w:p>
          <w:p w14:paraId="4B4FD16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netos de subsidios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21D76D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101DF46B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D89B8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Cuadro de Utilización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D2BF0A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F7C34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0BD3DC" w14:textId="52C1D8F4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Márgenes de </w:t>
            </w:r>
            <w:r w:rsidR="00CA2508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omercio y </w:t>
            </w:r>
            <w:r w:rsidR="00CA2508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ransporte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CB80ED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22012CBF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366B2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B8F562" w14:textId="7CF2997E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Multi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AA780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CAC28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95EB7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1</w:t>
            </w:r>
          </w:p>
        </w:tc>
      </w:tr>
      <w:tr w:rsidR="0083202E" w:rsidRPr="0083202E" w14:paraId="62FB88E6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53D72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72D0A2" w14:textId="0C03F8EF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Bi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="00CF6C9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egional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BAB74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163C9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1F5B3A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4184240A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BFCEA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6884A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242C9E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Transacciones </w:t>
            </w:r>
          </w:p>
          <w:p w14:paraId="2FB52720" w14:textId="39880C7C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intrar</w:t>
            </w:r>
            <w:r w:rsidR="00EA4AD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egionales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AABC2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0139F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44640421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AC5EF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C463D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37838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BDAA0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FF20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4536741E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FF31D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826F1E0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19D4C6" w14:textId="206EF1A0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Importaciones interestatales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0484D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6864C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09EF1167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98271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Industria por industria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1F855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6F14A5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Importaciones </w:t>
            </w:r>
          </w:p>
          <w:p w14:paraId="284AAC4D" w14:textId="1B77C54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internacionales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C0D61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C.I.F.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E1510C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76E09531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7B604E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2A598B" w14:textId="16F5E294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Multi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B9EEB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084F7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DDE97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1</w:t>
            </w:r>
          </w:p>
        </w:tc>
      </w:tr>
      <w:tr w:rsidR="0083202E" w:rsidRPr="0083202E" w14:paraId="7B8F32B5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814770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9E5459" w14:textId="5150F849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Bi</w:t>
            </w:r>
            <w:r w:rsidR="00CF6C9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="00CF6C93"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egional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16D12B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domésticas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633BC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F852DA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38EF2A6D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994ED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771E54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8375E9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Transacciones </w:t>
            </w:r>
          </w:p>
          <w:p w14:paraId="67756221" w14:textId="7CCD24D5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intra</w:t>
            </w:r>
            <w:r w:rsidR="00EA4AD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</w:t>
            </w: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regionales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4272B8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937B17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4BD613FB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08BB9D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12703F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68DE2D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Transacciones totales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205485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57229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78459BE8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C965F4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593422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31C4CE" w14:textId="650B0B45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Importaciones interestatales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580579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Precios básicos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E7EAEC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7D6EFB6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07625456" w14:textId="77777777" w:rsidTr="00385BF6">
        <w:trPr>
          <w:trHeight w:val="256"/>
        </w:trPr>
        <w:tc>
          <w:tcPr>
            <w:tcW w:w="1048" w:type="pct"/>
            <w:tcBorders>
              <w:top w:val="nil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1195F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Theme="minorEastAsia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MIP Producto por producto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B303F7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Estatal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63EA0AE" w14:textId="77777777" w:rsidR="00EA4A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 xml:space="preserve">Importaciones </w:t>
            </w:r>
          </w:p>
          <w:p w14:paraId="76ABEF65" w14:textId="7BA6EB2E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internacionales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0BFFA3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C.I.F.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5AD321" w14:textId="77777777" w:rsidR="0083202E" w:rsidRPr="00385BF6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385BF6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MX" w:eastAsia="es-MX"/>
              </w:rPr>
              <w:t>32</w:t>
            </w:r>
          </w:p>
        </w:tc>
      </w:tr>
      <w:tr w:rsidR="0083202E" w:rsidRPr="0083202E" w14:paraId="4BE30016" w14:textId="77777777" w:rsidTr="00385BF6">
        <w:trPr>
          <w:trHeight w:val="256"/>
        </w:trPr>
        <w:tc>
          <w:tcPr>
            <w:tcW w:w="1048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4A1552" w14:textId="77777777" w:rsidR="0083202E" w:rsidRPr="00AC0BDB" w:rsidRDefault="0083202E" w:rsidP="008320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566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F20DFD4" w14:textId="77777777" w:rsidR="0083202E" w:rsidRPr="0083202E" w:rsidRDefault="0083202E" w:rsidP="0083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16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379737" w14:textId="77777777" w:rsidR="0083202E" w:rsidRPr="0083202E" w:rsidRDefault="0083202E" w:rsidP="00832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14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EB0F298" w14:textId="78FC80A6" w:rsidR="0083202E" w:rsidRPr="00AC0BDB" w:rsidRDefault="0083202E" w:rsidP="00AC0B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MX" w:eastAsia="es-MX"/>
              </w:rPr>
              <w:t>Total:</w:t>
            </w:r>
          </w:p>
        </w:tc>
        <w:tc>
          <w:tcPr>
            <w:tcW w:w="657" w:type="pct"/>
            <w:tcBorders>
              <w:top w:val="single" w:sz="8" w:space="0" w:color="1B587C"/>
              <w:left w:val="nil"/>
              <w:bottom w:val="single" w:sz="8" w:space="0" w:color="1B587C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579459" w14:textId="77777777" w:rsidR="0083202E" w:rsidRPr="00AC0BDB" w:rsidRDefault="0083202E" w:rsidP="0083202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AC0BDB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 w:eastAsia="es-MX"/>
              </w:rPr>
              <w:t>675</w:t>
            </w:r>
          </w:p>
        </w:tc>
      </w:tr>
    </w:tbl>
    <w:p w14:paraId="5C8B4885" w14:textId="77777777" w:rsidR="0083202E" w:rsidRDefault="0083202E" w:rsidP="001854C1">
      <w:pPr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22F65693" w14:textId="77777777" w:rsidR="004B31C8" w:rsidRDefault="004B31C8" w:rsidP="00385BF6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8DF1DFD" w14:textId="2AC86625" w:rsidR="00E770C0" w:rsidRDefault="00E770C0" w:rsidP="00385BF6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Los diagramas 1 y 2 son un esquema de los cuadros y matrices multiestatales. 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 xml:space="preserve">En ambos casos, se observa un conjunto de matrices resaltadas en la diagonal que representan las transacciones internas de </w:t>
      </w:r>
      <w:r>
        <w:rPr>
          <w:rFonts w:ascii="Arial" w:eastAsia="Helvetica Neue Medium" w:hAnsi="Arial" w:cs="Arial"/>
          <w:sz w:val="24"/>
          <w:szCs w:val="24"/>
          <w:lang w:val="es-MX"/>
        </w:rPr>
        <w:t>las entidades federativas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>. L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>as exportaciones de una entidad a otras se leen horizontalmente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 y las 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 xml:space="preserve">importaciones se registran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de manera vertical. 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 xml:space="preserve">Las identidades contables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>que se aplican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 xml:space="preserve"> a las MIP se cumplen también en el caso multiestatal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: la </w:t>
      </w:r>
      <w:r w:rsidRPr="0058176E">
        <w:rPr>
          <w:rFonts w:ascii="Arial" w:eastAsia="Helvetica Neue Medium" w:hAnsi="Arial" w:cs="Arial"/>
          <w:sz w:val="24"/>
          <w:szCs w:val="24"/>
          <w:lang w:val="es-MX"/>
        </w:rPr>
        <w:t>oferta es igual a la demanda.</w:t>
      </w:r>
    </w:p>
    <w:p w14:paraId="328E487B" w14:textId="77777777" w:rsidR="00E770C0" w:rsidRDefault="00E770C0" w:rsidP="00E770C0">
      <w:pPr>
        <w:spacing w:after="0" w:line="240" w:lineRule="auto"/>
        <w:ind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E69F2F8" w14:textId="35D46469" w:rsidR="00E770C0" w:rsidRPr="00201559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0"/>
          <w:szCs w:val="20"/>
          <w:lang w:val="es-MX"/>
        </w:rPr>
      </w:pPr>
      <w:r w:rsidRPr="00201559">
        <w:rPr>
          <w:rFonts w:ascii="Arial" w:eastAsia="Helvetica Neue Medium" w:hAnsi="Arial" w:cs="Arial"/>
          <w:sz w:val="20"/>
          <w:szCs w:val="20"/>
          <w:lang w:val="es-MX"/>
        </w:rPr>
        <w:t>Diagrama 1</w:t>
      </w:r>
    </w:p>
    <w:p w14:paraId="177F5ACC" w14:textId="22D2F02E" w:rsidR="00E770C0" w:rsidRPr="00385BF6" w:rsidRDefault="00E770C0" w:rsidP="00E770C0">
      <w:pPr>
        <w:spacing w:after="0" w:line="240" w:lineRule="auto"/>
        <w:ind w:right="-278"/>
        <w:jc w:val="center"/>
        <w:rPr>
          <w:rFonts w:ascii="Arial Negrita" w:eastAsia="Helvetica Neue Medium" w:hAnsi="Arial Negrita" w:cs="Arial"/>
          <w:b/>
          <w:smallCaps/>
          <w:szCs w:val="24"/>
          <w:lang w:val="es-MX"/>
        </w:rPr>
      </w:pP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 xml:space="preserve">Estructura de un Cuadro de Oferta y Utilización </w:t>
      </w:r>
      <w:r>
        <w:rPr>
          <w:rFonts w:ascii="Arial Negrita" w:eastAsia="Helvetica Neue Medium" w:hAnsi="Arial Negrita" w:cs="Arial"/>
          <w:b/>
          <w:smallCaps/>
          <w:szCs w:val="24"/>
          <w:lang w:val="es-MX"/>
        </w:rPr>
        <w:t>m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ulti</w:t>
      </w:r>
      <w:r>
        <w:rPr>
          <w:rFonts w:ascii="Arial Negrita" w:eastAsia="Helvetica Neue Medium" w:hAnsi="Arial Negrita" w:cs="Arial"/>
          <w:b/>
          <w:smallCaps/>
          <w:szCs w:val="24"/>
          <w:lang w:val="es-MX"/>
        </w:rPr>
        <w:t>e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statal</w:t>
      </w:r>
    </w:p>
    <w:p w14:paraId="4C660211" w14:textId="77777777" w:rsidR="003D72F0" w:rsidRDefault="003D72F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>
        <w:rPr>
          <w:rFonts w:ascii="Arial" w:eastAsia="Helvetica Neue Medium" w:hAnsi="Arial" w:cs="Arial"/>
          <w:b/>
          <w:bCs/>
          <w:noProof/>
          <w:sz w:val="24"/>
          <w:szCs w:val="24"/>
          <w:lang w:val="es-MX"/>
        </w:rPr>
        <w:drawing>
          <wp:inline distT="0" distB="0" distL="0" distR="0" wp14:anchorId="09D326B8" wp14:editId="3F777941">
            <wp:extent cx="5532717" cy="4606120"/>
            <wp:effectExtent l="0" t="0" r="0" b="4445"/>
            <wp:docPr id="1" name="Imagen 1" descr="figuras v2.pptx -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iguras v2.pptx - PowerPoi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3" t="24932" r="33290" b="7724"/>
                    <a:stretch/>
                  </pic:blipFill>
                  <pic:spPr bwMode="auto">
                    <a:xfrm>
                      <a:off x="0" y="0"/>
                      <a:ext cx="5540395" cy="4612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CDFCC" w14:textId="4ABFBB03" w:rsidR="00E770C0" w:rsidRPr="0046470E" w:rsidRDefault="003D72F0" w:rsidP="0046470E">
      <w:pPr>
        <w:spacing w:after="0" w:line="240" w:lineRule="auto"/>
        <w:ind w:right="-278" w:firstLine="720"/>
        <w:rPr>
          <w:rFonts w:ascii="Arial" w:eastAsia="Helvetica Neue Medium" w:hAnsi="Arial" w:cs="Arial"/>
          <w:sz w:val="20"/>
          <w:szCs w:val="20"/>
          <w:lang w:val="es-MX"/>
        </w:rPr>
      </w:pPr>
      <w:r w:rsidRPr="0046470E">
        <w:rPr>
          <w:rFonts w:ascii="Arial" w:eastAsia="Helvetica Neue Medium" w:hAnsi="Arial" w:cs="Arial"/>
          <w:sz w:val="20"/>
          <w:szCs w:val="20"/>
          <w:lang w:val="es-MX"/>
        </w:rPr>
        <w:t>VBP: Valor Bruto de la Producción</w:t>
      </w:r>
    </w:p>
    <w:p w14:paraId="2592436B" w14:textId="77777777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77311D16" w14:textId="77777777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235BE31" w14:textId="77777777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52CE388A" w14:textId="77777777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C5BDEB3" w14:textId="77777777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7B7B4753" w14:textId="3353BFDF" w:rsidR="00E770C0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2EF4AB26" w14:textId="7B56A22C" w:rsidR="00EA4ADB" w:rsidRDefault="00EA4ADB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5987C3A" w14:textId="77777777" w:rsidR="00EA4ADB" w:rsidRDefault="00EA4ADB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2FA937E2" w14:textId="6FFB1A8A" w:rsidR="00E770C0" w:rsidRPr="00385BF6" w:rsidRDefault="00E770C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0"/>
          <w:szCs w:val="20"/>
          <w:lang w:val="es-MX"/>
        </w:rPr>
      </w:pPr>
      <w:r w:rsidRPr="00385BF6">
        <w:rPr>
          <w:rFonts w:ascii="Arial" w:eastAsia="Helvetica Neue Medium" w:hAnsi="Arial" w:cs="Arial"/>
          <w:sz w:val="20"/>
          <w:szCs w:val="20"/>
          <w:lang w:val="es-MX"/>
        </w:rPr>
        <w:lastRenderedPageBreak/>
        <w:t>Diagrama 2</w:t>
      </w:r>
    </w:p>
    <w:p w14:paraId="5F327575" w14:textId="3948CF9F" w:rsidR="00E770C0" w:rsidRPr="00385BF6" w:rsidRDefault="00E770C0" w:rsidP="00E770C0">
      <w:pPr>
        <w:spacing w:after="0" w:line="240" w:lineRule="auto"/>
        <w:ind w:right="-278"/>
        <w:jc w:val="center"/>
        <w:rPr>
          <w:rFonts w:ascii="Arial Negrita" w:eastAsia="Helvetica Neue Medium" w:hAnsi="Arial Negrita" w:cs="Arial"/>
          <w:b/>
          <w:smallCaps/>
          <w:szCs w:val="24"/>
          <w:lang w:val="es-MX"/>
        </w:rPr>
      </w:pP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Estructura de una Matriz Insumo</w:t>
      </w:r>
      <w:r w:rsidR="004618CE">
        <w:rPr>
          <w:rFonts w:ascii="Arial Negrita" w:eastAsia="Helvetica Neue Medium" w:hAnsi="Arial Negrita" w:cs="Arial"/>
          <w:b/>
          <w:smallCaps/>
          <w:szCs w:val="24"/>
          <w:lang w:val="es-MX"/>
        </w:rPr>
        <w:t>-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 xml:space="preserve">Producto </w:t>
      </w:r>
      <w:r w:rsidR="004618CE">
        <w:rPr>
          <w:rFonts w:ascii="Arial Negrita" w:eastAsia="Helvetica Neue Medium" w:hAnsi="Arial Negrita" w:cs="Arial"/>
          <w:b/>
          <w:smallCaps/>
          <w:szCs w:val="24"/>
          <w:lang w:val="es-MX"/>
        </w:rPr>
        <w:t>m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ulti</w:t>
      </w:r>
      <w:r>
        <w:rPr>
          <w:rFonts w:ascii="Arial Negrita" w:eastAsia="Helvetica Neue Medium" w:hAnsi="Arial Negrita" w:cs="Arial"/>
          <w:b/>
          <w:smallCaps/>
          <w:szCs w:val="24"/>
          <w:lang w:val="es-MX"/>
        </w:rPr>
        <w:t>e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statal</w:t>
      </w:r>
    </w:p>
    <w:p w14:paraId="1685C1C6" w14:textId="353F88C4" w:rsidR="003D72F0" w:rsidRDefault="003D72F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noProof/>
          <w:sz w:val="24"/>
          <w:szCs w:val="24"/>
          <w:lang w:val="es-MX"/>
        </w:rPr>
      </w:pPr>
    </w:p>
    <w:p w14:paraId="2DD0F52D" w14:textId="61F9BFD9" w:rsidR="00E770C0" w:rsidRDefault="003D72F0" w:rsidP="00E770C0">
      <w:pPr>
        <w:spacing w:after="0" w:line="240" w:lineRule="auto"/>
        <w:ind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noProof/>
          <w:sz w:val="24"/>
          <w:szCs w:val="24"/>
          <w:lang w:val="es-MX"/>
        </w:rPr>
        <w:drawing>
          <wp:inline distT="0" distB="0" distL="0" distR="0" wp14:anchorId="3ED78CBB" wp14:editId="10F2D98B">
            <wp:extent cx="3638970" cy="3029803"/>
            <wp:effectExtent l="0" t="0" r="0" b="0"/>
            <wp:docPr id="2" name="Imagen 2" descr="figuras v2.pptx -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iguras v2.pptx - PowerPoin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1" t="17472" r="30189" b="8312"/>
                    <a:stretch/>
                  </pic:blipFill>
                  <pic:spPr bwMode="auto">
                    <a:xfrm>
                      <a:off x="0" y="0"/>
                      <a:ext cx="3715980" cy="3093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2EC9D" w14:textId="77777777" w:rsidR="003D72F0" w:rsidRPr="00934310" w:rsidRDefault="003D72F0" w:rsidP="0046470E">
      <w:pPr>
        <w:spacing w:after="0" w:line="240" w:lineRule="auto"/>
        <w:ind w:left="1440" w:right="-278" w:firstLine="720"/>
        <w:rPr>
          <w:rFonts w:ascii="Arial" w:eastAsia="Helvetica Neue Medium" w:hAnsi="Arial" w:cs="Arial"/>
          <w:sz w:val="20"/>
          <w:szCs w:val="20"/>
          <w:lang w:val="es-MX"/>
        </w:rPr>
      </w:pPr>
      <w:r w:rsidRPr="00934310">
        <w:rPr>
          <w:rFonts w:ascii="Arial" w:eastAsia="Helvetica Neue Medium" w:hAnsi="Arial" w:cs="Arial"/>
          <w:sz w:val="20"/>
          <w:szCs w:val="20"/>
          <w:lang w:val="es-MX"/>
        </w:rPr>
        <w:t>VBP: Valor Bruto de la Producción</w:t>
      </w:r>
    </w:p>
    <w:p w14:paraId="445A99DC" w14:textId="77777777" w:rsidR="00E770C0" w:rsidRDefault="00E770C0" w:rsidP="00E770C0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5DB7A628" w14:textId="5BC6DBAE" w:rsidR="004618CE" w:rsidRDefault="00E770C0" w:rsidP="00E770C0">
      <w:pPr>
        <w:spacing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Para tener una idea cuantitativa de la importancia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del </w:t>
      </w:r>
      <w:r>
        <w:rPr>
          <w:rFonts w:ascii="Arial" w:eastAsia="Helvetica Neue Medium" w:hAnsi="Arial" w:cs="Arial"/>
          <w:sz w:val="24"/>
          <w:szCs w:val="24"/>
          <w:lang w:val="es-MX"/>
        </w:rPr>
        <w:t>comercio entre las entidades federativas y el resto del mundo, en la gráfica 1 se muestra el destino de la producción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. De esta, </w:t>
      </w:r>
      <w:r>
        <w:rPr>
          <w:rFonts w:ascii="Arial" w:eastAsia="Helvetica Neue Medium" w:hAnsi="Arial" w:cs="Arial"/>
          <w:sz w:val="24"/>
          <w:szCs w:val="24"/>
          <w:lang w:val="es-MX"/>
        </w:rPr>
        <w:t>en promedio, 46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.0 </w:t>
      </w:r>
      <w:r>
        <w:rPr>
          <w:rFonts w:ascii="Arial" w:eastAsia="Helvetica Neue Medium" w:hAnsi="Arial" w:cs="Arial"/>
          <w:sz w:val="24"/>
          <w:szCs w:val="24"/>
          <w:lang w:val="es-MX"/>
        </w:rPr>
        <w:t>% se dirige a los mercados locales (de las propias entidades)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, </w:t>
      </w:r>
      <w:r>
        <w:rPr>
          <w:rFonts w:ascii="Arial" w:eastAsia="Helvetica Neue Medium" w:hAnsi="Arial" w:cs="Arial"/>
          <w:sz w:val="24"/>
          <w:szCs w:val="24"/>
          <w:lang w:val="es-MX"/>
        </w:rPr>
        <w:t>36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.0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% 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>se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exporta a otras entidades y 18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.0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% 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>se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exporta a otros países. </w:t>
      </w:r>
    </w:p>
    <w:p w14:paraId="351E6F91" w14:textId="0EEE180A" w:rsidR="004618CE" w:rsidRPr="00385BF6" w:rsidRDefault="004618CE" w:rsidP="00385BF6">
      <w:pPr>
        <w:spacing w:after="0" w:line="240" w:lineRule="auto"/>
        <w:ind w:left="-284" w:right="-278"/>
        <w:jc w:val="center"/>
        <w:rPr>
          <w:rFonts w:ascii="Arial" w:eastAsia="Helvetica Neue Medium" w:hAnsi="Arial" w:cs="Arial"/>
          <w:sz w:val="20"/>
          <w:szCs w:val="20"/>
          <w:lang w:val="es-MX"/>
        </w:rPr>
      </w:pPr>
      <w:r w:rsidRPr="00385BF6">
        <w:rPr>
          <w:rFonts w:ascii="Arial" w:eastAsia="Helvetica Neue Medium" w:hAnsi="Arial" w:cs="Arial"/>
          <w:sz w:val="20"/>
          <w:szCs w:val="20"/>
          <w:lang w:val="es-MX"/>
        </w:rPr>
        <w:t>Gráfica 1</w:t>
      </w:r>
    </w:p>
    <w:p w14:paraId="0B3B33C1" w14:textId="44380B83" w:rsidR="004618CE" w:rsidRPr="00385BF6" w:rsidRDefault="004618CE" w:rsidP="004618CE">
      <w:pPr>
        <w:spacing w:after="0" w:line="240" w:lineRule="auto"/>
        <w:ind w:left="-284" w:right="-278"/>
        <w:jc w:val="center"/>
        <w:rPr>
          <w:rFonts w:ascii="Arial" w:eastAsia="Helvetica Neue Medium" w:hAnsi="Arial" w:cs="Arial"/>
          <w:b/>
          <w:smallCaps/>
          <w:szCs w:val="24"/>
          <w:lang w:val="es-MX"/>
        </w:rPr>
      </w:pPr>
      <w:r w:rsidRPr="00385BF6">
        <w:rPr>
          <w:rFonts w:ascii="Arial" w:eastAsia="Helvetica Neue Medium" w:hAnsi="Arial" w:cs="Arial"/>
          <w:b/>
          <w:smallCaps/>
          <w:szCs w:val="24"/>
          <w:lang w:val="es-MX"/>
        </w:rPr>
        <w:t>Destino de la producción de las entidades federativas</w:t>
      </w:r>
    </w:p>
    <w:p w14:paraId="793D2DA1" w14:textId="77777777" w:rsidR="004618CE" w:rsidRDefault="004618CE" w:rsidP="00EA4ADB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 w:rsidRPr="00AC0BDB">
        <w:rPr>
          <w:rFonts w:ascii="Arial" w:eastAsia="Helvetica Neue Medium" w:hAnsi="Arial" w:cs="Arial"/>
          <w:noProof/>
          <w:sz w:val="24"/>
          <w:szCs w:val="24"/>
        </w:rPr>
        <w:drawing>
          <wp:inline distT="0" distB="0" distL="0" distR="0" wp14:anchorId="67D93627" wp14:editId="2A1316B5">
            <wp:extent cx="5667375" cy="3181350"/>
            <wp:effectExtent l="0" t="0" r="9525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EFB9D5E-DB23-B355-0C50-5B9CB27A7A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E3594E" w14:textId="77777777" w:rsidR="00355865" w:rsidRDefault="00355865" w:rsidP="00E770C0">
      <w:pPr>
        <w:spacing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29F1D3D8" w14:textId="7986EF19" w:rsidR="004618CE" w:rsidRDefault="00E770C0" w:rsidP="00E770C0">
      <w:pPr>
        <w:spacing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>En la gráfica 2 se observa que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, </w:t>
      </w:r>
      <w:r>
        <w:rPr>
          <w:rFonts w:ascii="Arial" w:eastAsia="Helvetica Neue Medium" w:hAnsi="Arial" w:cs="Arial"/>
          <w:sz w:val="24"/>
          <w:szCs w:val="24"/>
          <w:lang w:val="es-MX"/>
        </w:rPr>
        <w:t>de los insumos intermedios de los estados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>,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4618CE">
        <w:rPr>
          <w:rFonts w:ascii="Arial" w:eastAsia="Helvetica Neue Medium" w:hAnsi="Arial" w:cs="Arial"/>
          <w:sz w:val="24"/>
          <w:szCs w:val="24"/>
          <w:lang w:val="es-MX"/>
        </w:rPr>
        <w:t xml:space="preserve">70.0 %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se compra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a otras entidades y al exterior. </w:t>
      </w:r>
    </w:p>
    <w:p w14:paraId="278FC854" w14:textId="6BD0F244" w:rsidR="004618CE" w:rsidRPr="00385BF6" w:rsidRDefault="004618CE" w:rsidP="004618CE">
      <w:pPr>
        <w:spacing w:after="0" w:line="240" w:lineRule="auto"/>
        <w:ind w:left="-284" w:right="-278"/>
        <w:jc w:val="center"/>
        <w:rPr>
          <w:rFonts w:ascii="Arial" w:eastAsia="Helvetica Neue Medium" w:hAnsi="Arial" w:cs="Arial"/>
          <w:sz w:val="20"/>
          <w:szCs w:val="20"/>
          <w:lang w:val="es-MX"/>
        </w:rPr>
      </w:pPr>
      <w:r w:rsidRPr="00385BF6">
        <w:rPr>
          <w:rFonts w:ascii="Arial" w:eastAsia="Helvetica Neue Medium" w:hAnsi="Arial" w:cs="Arial"/>
          <w:sz w:val="20"/>
          <w:szCs w:val="20"/>
          <w:lang w:val="es-MX"/>
        </w:rPr>
        <w:t>Gráfica 2</w:t>
      </w:r>
    </w:p>
    <w:p w14:paraId="4AB80B47" w14:textId="191DCEB6" w:rsidR="004618CE" w:rsidRDefault="004618CE" w:rsidP="004618CE">
      <w:pPr>
        <w:spacing w:after="0"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 w:rsidRPr="00385BF6">
        <w:rPr>
          <w:rFonts w:ascii="Arial Negrita" w:eastAsia="Helvetica Neue Medium" w:hAnsi="Arial Negrita" w:cs="Arial"/>
          <w:b/>
          <w:smallCaps/>
          <w:lang w:val="es-MX"/>
        </w:rPr>
        <w:t>Origen de los insumos de las entidades federativas</w:t>
      </w:r>
      <w:r>
        <w:rPr>
          <w:noProof/>
        </w:rPr>
        <w:drawing>
          <wp:inline distT="0" distB="0" distL="0" distR="0" wp14:anchorId="30569374" wp14:editId="04639BA4">
            <wp:extent cx="5943600" cy="2984500"/>
            <wp:effectExtent l="0" t="0" r="0" b="635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80B93348-8F30-EA69-7C87-2E5424C4C4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76AD76" w14:textId="77777777" w:rsidR="004618CE" w:rsidRDefault="004618CE" w:rsidP="00385BF6">
      <w:pPr>
        <w:spacing w:after="0" w:line="240" w:lineRule="auto"/>
        <w:ind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2CD76F2" w14:textId="471915A9" w:rsidR="00E770C0" w:rsidRDefault="00E770C0" w:rsidP="00E770C0">
      <w:pPr>
        <w:spacing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En la gráfica 3 se muestran los valores de las importaciones y exportaciones como porcentaje del total de esas transacciones. Al analizar los COU y MIP 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>m</w:t>
      </w:r>
      <w:r>
        <w:rPr>
          <w:rFonts w:ascii="Arial" w:eastAsia="Helvetica Neue Medium" w:hAnsi="Arial" w:cs="Arial"/>
          <w:sz w:val="24"/>
          <w:szCs w:val="24"/>
          <w:lang w:val="es-MX"/>
        </w:rPr>
        <w:t>ulti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>e</w:t>
      </w:r>
      <w:r>
        <w:rPr>
          <w:rFonts w:ascii="Arial" w:eastAsia="Helvetica Neue Medium" w:hAnsi="Arial" w:cs="Arial"/>
          <w:sz w:val="24"/>
          <w:szCs w:val="24"/>
          <w:lang w:val="es-MX"/>
        </w:rPr>
        <w:t>statales, se pueden precisar los sectores que, en cada una de las entidades, producen e importan estos bienes y servicios.</w:t>
      </w:r>
    </w:p>
    <w:p w14:paraId="7F58FC93" w14:textId="488F7CC8" w:rsidR="00E770C0" w:rsidRDefault="00E770C0" w:rsidP="00E770C0">
      <w:pPr>
        <w:spacing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Hay una concentración de las transacciones interestatales con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>cinco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entidades que exportan un poco más de 50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 xml:space="preserve">.0 </w:t>
      </w:r>
      <w:r>
        <w:rPr>
          <w:rFonts w:ascii="Arial" w:eastAsia="Helvetica Neue Medium" w:hAnsi="Arial" w:cs="Arial"/>
          <w:sz w:val="24"/>
          <w:szCs w:val="24"/>
          <w:lang w:val="es-MX"/>
        </w:rPr>
        <w:t>% de su producción e importan 30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 xml:space="preserve">.0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% de sus necesidades. Estas son: Ciudad de México, 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>e</w:t>
      </w:r>
      <w:r>
        <w:rPr>
          <w:rFonts w:ascii="Arial" w:eastAsia="Helvetica Neue Medium" w:hAnsi="Arial" w:cs="Arial"/>
          <w:sz w:val="24"/>
          <w:szCs w:val="24"/>
          <w:lang w:val="es-MX"/>
        </w:rPr>
        <w:t>stado de México, Nuevo León, Jalisco, Veracruz y Guanajuato.</w:t>
      </w:r>
    </w:p>
    <w:p w14:paraId="486FFED8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29D9F1C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6F76312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76B7BF19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B7E9FE3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53E6AA3E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CF8D102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4CEA0FB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10A1623A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743EAAF4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0C4DE8AB" w14:textId="77777777" w:rsidR="00355865" w:rsidRDefault="00355865" w:rsidP="00E770C0">
      <w:pPr>
        <w:spacing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F8FBA56" w14:textId="790CA11F" w:rsidR="00355865" w:rsidRPr="00355865" w:rsidRDefault="00E770C0" w:rsidP="00385BF6">
      <w:pPr>
        <w:spacing w:after="0" w:line="240" w:lineRule="auto"/>
        <w:ind w:left="-284" w:right="-278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 w:rsidRPr="00385BF6">
        <w:rPr>
          <w:rFonts w:ascii="Arial" w:eastAsia="Helvetica Neue Medium" w:hAnsi="Arial" w:cs="Arial"/>
          <w:sz w:val="20"/>
          <w:szCs w:val="20"/>
          <w:lang w:val="es-MX"/>
        </w:rPr>
        <w:t>Gráfica 3</w:t>
      </w:r>
      <w:r w:rsidRPr="00355865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</w:p>
    <w:p w14:paraId="484478DD" w14:textId="08A741FF" w:rsidR="00E770C0" w:rsidRPr="00385BF6" w:rsidRDefault="00E770C0" w:rsidP="00355865">
      <w:pPr>
        <w:spacing w:after="0" w:line="240" w:lineRule="auto"/>
        <w:ind w:left="-284" w:right="-278"/>
        <w:jc w:val="center"/>
        <w:rPr>
          <w:rFonts w:ascii="Arial Negrita" w:eastAsia="Helvetica Neue Medium" w:hAnsi="Arial Negrita" w:cs="Arial"/>
          <w:b/>
          <w:smallCaps/>
          <w:szCs w:val="24"/>
          <w:lang w:val="es-MX"/>
        </w:rPr>
      </w:pP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 xml:space="preserve">Importaciones y </w:t>
      </w:r>
      <w:r w:rsidR="00355865">
        <w:rPr>
          <w:rFonts w:ascii="Arial Negrita" w:eastAsia="Helvetica Neue Medium" w:hAnsi="Arial Negrita" w:cs="Arial"/>
          <w:b/>
          <w:smallCaps/>
          <w:szCs w:val="24"/>
          <w:lang w:val="es-MX"/>
        </w:rPr>
        <w:t>e</w:t>
      </w:r>
      <w:r w:rsidRPr="00385BF6">
        <w:rPr>
          <w:rFonts w:ascii="Arial Negrita" w:eastAsia="Helvetica Neue Medium" w:hAnsi="Arial Negrita" w:cs="Arial"/>
          <w:b/>
          <w:smallCaps/>
          <w:szCs w:val="24"/>
          <w:lang w:val="es-MX"/>
        </w:rPr>
        <w:t>xportaciones de insumos de las entidades federativas</w:t>
      </w:r>
    </w:p>
    <w:p w14:paraId="6F6BF7B2" w14:textId="32A60B8B" w:rsidR="00355865" w:rsidRDefault="0046470E" w:rsidP="0046470E">
      <w:pPr>
        <w:spacing w:line="240" w:lineRule="auto"/>
        <w:ind w:left="-284" w:right="-278"/>
        <w:jc w:val="center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 w:rsidRPr="0046470E">
        <w:rPr>
          <w:noProof/>
        </w:rPr>
        <w:drawing>
          <wp:inline distT="0" distB="0" distL="0" distR="0" wp14:anchorId="6F131279" wp14:editId="3463857F">
            <wp:extent cx="5805162" cy="4971600"/>
            <wp:effectExtent l="0" t="0" r="5715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62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A173" w14:textId="19611FEA" w:rsidR="0091742B" w:rsidRPr="00E87660" w:rsidRDefault="00393423" w:rsidP="00E87660">
      <w:pPr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bookmarkStart w:id="2" w:name="_Hlk121568198"/>
      <w:r>
        <w:rPr>
          <w:rFonts w:ascii="Arial" w:eastAsia="Times New Roman" w:hAnsi="Arial" w:cs="Arial"/>
          <w:sz w:val="24"/>
          <w:szCs w:val="24"/>
          <w:lang w:val="es-MX"/>
        </w:rPr>
        <w:t xml:space="preserve">La </w:t>
      </w:r>
      <w:r w:rsidR="00CC3BBA" w:rsidRPr="00E87660">
        <w:rPr>
          <w:rFonts w:ascii="Arial" w:eastAsia="Times New Roman" w:hAnsi="Arial" w:cs="Arial"/>
          <w:sz w:val="24"/>
          <w:szCs w:val="24"/>
          <w:lang w:val="es-MX"/>
        </w:rPr>
        <w:t xml:space="preserve">información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completa </w:t>
      </w:r>
      <w:r w:rsidR="00CC3BBA" w:rsidRPr="00E87660">
        <w:rPr>
          <w:rFonts w:ascii="Arial" w:eastAsia="Times New Roman" w:hAnsi="Arial" w:cs="Arial"/>
          <w:sz w:val="24"/>
          <w:szCs w:val="24"/>
          <w:lang w:val="es-MX"/>
        </w:rPr>
        <w:t>sobre los resultados de l</w:t>
      </w:r>
      <w:r w:rsidR="00CC3BBA" w:rsidRPr="00CC3BBA">
        <w:rPr>
          <w:rFonts w:ascii="Arial" w:eastAsia="Helvetica Neue Medium" w:hAnsi="Arial" w:cs="Arial"/>
          <w:sz w:val="24"/>
          <w:szCs w:val="24"/>
          <w:lang w:val="es-MX"/>
        </w:rPr>
        <w:t xml:space="preserve">os COU y las MIP </w:t>
      </w:r>
      <w:r>
        <w:rPr>
          <w:rFonts w:ascii="Arial" w:eastAsia="Helvetica Neue Medium" w:hAnsi="Arial" w:cs="Arial"/>
          <w:sz w:val="24"/>
          <w:szCs w:val="24"/>
          <w:lang w:val="es-MX"/>
        </w:rPr>
        <w:t>m</w:t>
      </w:r>
      <w:r w:rsidR="005D4278">
        <w:rPr>
          <w:rFonts w:ascii="Arial" w:eastAsia="Helvetica Neue Medium" w:hAnsi="Arial" w:cs="Arial"/>
          <w:sz w:val="24"/>
          <w:szCs w:val="24"/>
          <w:lang w:val="es-MX"/>
        </w:rPr>
        <w:t>ulti</w:t>
      </w:r>
      <w:r>
        <w:rPr>
          <w:rFonts w:ascii="Arial" w:eastAsia="Helvetica Neue Medium" w:hAnsi="Arial" w:cs="Arial"/>
          <w:sz w:val="24"/>
          <w:szCs w:val="24"/>
          <w:lang w:val="es-MX"/>
        </w:rPr>
        <w:t>e</w:t>
      </w:r>
      <w:r w:rsidR="005D4278">
        <w:rPr>
          <w:rFonts w:ascii="Arial" w:eastAsia="Helvetica Neue Medium" w:hAnsi="Arial" w:cs="Arial"/>
          <w:sz w:val="24"/>
          <w:szCs w:val="24"/>
          <w:lang w:val="es-MX"/>
        </w:rPr>
        <w:t>statales</w:t>
      </w:r>
      <w:r w:rsidR="00CC3BBA" w:rsidRPr="00E87660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puede consultars</w:t>
      </w:r>
      <w:r w:rsidR="00CC3BBA">
        <w:rPr>
          <w:rFonts w:ascii="Arial" w:hAnsi="Arial" w:cs="Arial"/>
          <w:color w:val="000000" w:themeColor="text1"/>
          <w:sz w:val="24"/>
          <w:szCs w:val="24"/>
          <w:lang w:val="es-MX"/>
        </w:rPr>
        <w:t>e</w:t>
      </w:r>
      <w:r w:rsidR="00CC3BBA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CC3BBA" w:rsidRPr="00E87660">
        <w:rPr>
          <w:rFonts w:ascii="Arial" w:eastAsia="Times New Roman" w:hAnsi="Arial" w:cs="Arial"/>
          <w:sz w:val="24"/>
          <w:szCs w:val="24"/>
          <w:lang w:val="es-MX"/>
        </w:rPr>
        <w:t>en</w:t>
      </w:r>
      <w:r w:rsidR="00CC3BBA" w:rsidRPr="00E87660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:</w:t>
      </w:r>
      <w:r w:rsidR="00CC3BBA" w:rsidRPr="00CC3BBA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hyperlink r:id="rId13" w:history="1">
        <w:r w:rsidR="0091742B" w:rsidRPr="00B00E8C">
          <w:rPr>
            <w:rStyle w:val="Hipervnculo"/>
            <w:rFonts w:ascii="Arial" w:hAnsi="Arial" w:cs="Arial"/>
            <w:spacing w:val="-1"/>
            <w:sz w:val="24"/>
            <w:szCs w:val="24"/>
            <w:lang w:val="es-MX"/>
          </w:rPr>
          <w:t>http://www.inegi.org.mx/investigacion/coumip/</w:t>
        </w:r>
      </w:hyperlink>
      <w:bookmarkEnd w:id="2"/>
    </w:p>
    <w:p w14:paraId="355900A8" w14:textId="7DCE6AB9" w:rsidR="00E95405" w:rsidRDefault="00E95405" w:rsidP="00E87660">
      <w:pPr>
        <w:ind w:left="-284" w:right="-279"/>
        <w:jc w:val="center"/>
        <w:rPr>
          <w:rFonts w:ascii="Arial" w:eastAsia="Helvetica Neue Medium" w:hAnsi="Arial" w:cs="Arial"/>
          <w:sz w:val="24"/>
          <w:lang w:val="es-MX"/>
        </w:rPr>
      </w:pPr>
    </w:p>
    <w:p w14:paraId="72E12F58" w14:textId="77777777" w:rsidR="0046470E" w:rsidRDefault="0046470E" w:rsidP="00E87660">
      <w:pPr>
        <w:ind w:left="-284" w:right="-279"/>
        <w:jc w:val="center"/>
        <w:rPr>
          <w:rFonts w:ascii="Arial" w:eastAsia="Helvetica Neue Medium" w:hAnsi="Arial" w:cs="Arial"/>
          <w:sz w:val="24"/>
          <w:lang w:val="es-MX"/>
        </w:rPr>
      </w:pPr>
    </w:p>
    <w:p w14:paraId="2CAD574E" w14:textId="3782CD41" w:rsidR="00503730" w:rsidRPr="00385BF6" w:rsidRDefault="00503730" w:rsidP="00503730">
      <w:pPr>
        <w:spacing w:after="0" w:line="264" w:lineRule="auto"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 w:rsidRPr="00385BF6">
        <w:rPr>
          <w:rFonts w:ascii="Arial" w:eastAsia="Helvetica Neue Medium" w:hAnsi="Arial" w:cs="Arial"/>
          <w:sz w:val="24"/>
          <w:szCs w:val="24"/>
          <w:lang w:val="es-MX"/>
        </w:rPr>
        <w:t xml:space="preserve">Para consultas de medios y periodistas, </w:t>
      </w:r>
      <w:r w:rsidR="00355865">
        <w:rPr>
          <w:rFonts w:ascii="Arial" w:eastAsia="Helvetica Neue Medium" w:hAnsi="Arial" w:cs="Arial"/>
          <w:sz w:val="24"/>
          <w:szCs w:val="24"/>
          <w:lang w:val="es-MX"/>
        </w:rPr>
        <w:t>escribi</w:t>
      </w:r>
      <w:r w:rsidRPr="00385BF6">
        <w:rPr>
          <w:rFonts w:ascii="Arial" w:eastAsia="Helvetica Neue Medium" w:hAnsi="Arial" w:cs="Arial"/>
          <w:sz w:val="24"/>
          <w:szCs w:val="24"/>
          <w:lang w:val="es-MX"/>
        </w:rPr>
        <w:t xml:space="preserve">r a: </w:t>
      </w:r>
      <w:hyperlink r:id="rId14" w:history="1">
        <w:r w:rsidRPr="00385BF6">
          <w:rPr>
            <w:rFonts w:ascii="Arial" w:eastAsia="Helvetica Neue Medium" w:hAnsi="Arial" w:cs="Arial"/>
            <w:color w:val="003057"/>
            <w:sz w:val="24"/>
            <w:szCs w:val="24"/>
            <w:u w:val="single"/>
            <w:lang w:val="es-MX"/>
          </w:rPr>
          <w:t>comunicacionsocial@inegi.org.mx</w:t>
        </w:r>
      </w:hyperlink>
      <w:r w:rsidRPr="00385BF6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</w:p>
    <w:p w14:paraId="10FB0FD3" w14:textId="77777777" w:rsidR="00503730" w:rsidRPr="00385BF6" w:rsidRDefault="00503730" w:rsidP="00503730">
      <w:pPr>
        <w:spacing w:after="0" w:line="264" w:lineRule="auto"/>
        <w:ind w:left="-426" w:right="-518"/>
        <w:contextualSpacing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85BF6">
        <w:rPr>
          <w:rFonts w:ascii="Arial" w:eastAsia="Times New Roman" w:hAnsi="Arial" w:cs="Arial"/>
          <w:sz w:val="24"/>
          <w:szCs w:val="24"/>
          <w:lang w:val="es-ES" w:eastAsia="es-ES"/>
        </w:rPr>
        <w:t>o llamar al teléfono (55) 52-78-10-00, ext. 1134, 1260 y 1241.</w:t>
      </w:r>
    </w:p>
    <w:p w14:paraId="0A9AC5E2" w14:textId="77777777" w:rsidR="00503730" w:rsidRPr="00385BF6" w:rsidRDefault="00503730" w:rsidP="00503730">
      <w:pPr>
        <w:spacing w:after="240" w:line="264" w:lineRule="auto"/>
        <w:ind w:left="-426" w:right="-518"/>
        <w:contextualSpacing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EA6135D" w14:textId="786EBBB8" w:rsidR="00503730" w:rsidRPr="00385BF6" w:rsidRDefault="00503730" w:rsidP="00503730">
      <w:pPr>
        <w:spacing w:after="0" w:line="264" w:lineRule="auto"/>
        <w:ind w:left="-426" w:right="-518"/>
        <w:contextualSpacing/>
        <w:jc w:val="center"/>
        <w:rPr>
          <w:rFonts w:ascii="Arial" w:eastAsia="Helvetica Neue Medium" w:hAnsi="Arial" w:cs="Arial"/>
          <w:sz w:val="24"/>
          <w:szCs w:val="24"/>
          <w:lang w:val="es-MX"/>
        </w:rPr>
      </w:pPr>
      <w:r w:rsidRPr="00385BF6">
        <w:rPr>
          <w:rFonts w:ascii="Arial" w:eastAsia="Helvetica Neue Medium" w:hAnsi="Arial" w:cs="Arial"/>
          <w:sz w:val="24"/>
          <w:szCs w:val="24"/>
          <w:lang w:val="es-MX"/>
        </w:rPr>
        <w:t>Dirección de Atención a Medios/ Dirección General Adjunta de Comunicación</w:t>
      </w:r>
    </w:p>
    <w:p w14:paraId="4936E801" w14:textId="77777777" w:rsidR="002654F2" w:rsidRPr="00503730" w:rsidRDefault="002654F2" w:rsidP="00503730">
      <w:pPr>
        <w:spacing w:after="0" w:line="264" w:lineRule="auto"/>
        <w:ind w:left="-426" w:right="-518"/>
        <w:contextualSpacing/>
        <w:jc w:val="center"/>
        <w:rPr>
          <w:rFonts w:ascii="Arial" w:eastAsia="Helvetica Neue Medium" w:hAnsi="Arial" w:cs="Arial"/>
          <w:lang w:val="es-MX"/>
        </w:rPr>
      </w:pPr>
    </w:p>
    <w:p w14:paraId="30A34EAC" w14:textId="77777777" w:rsidR="002654F2" w:rsidRPr="00E87660" w:rsidRDefault="00CC3BBA" w:rsidP="00CC3BBA">
      <w:pPr>
        <w:ind w:left="-425" w:right="-516"/>
        <w:contextualSpacing/>
        <w:jc w:val="center"/>
        <w:rPr>
          <w:noProof/>
          <w:lang w:val="es-MX" w:eastAsia="es-MX"/>
        </w:rPr>
        <w:sectPr w:rsidR="002654F2" w:rsidRPr="00E87660" w:rsidSect="00E770C0">
          <w:headerReference w:type="default" r:id="rId15"/>
          <w:footerReference w:type="default" r:id="rId16"/>
          <w:pgSz w:w="12240" w:h="15840"/>
          <w:pgMar w:top="426" w:right="1440" w:bottom="709" w:left="1440" w:header="720" w:footer="720" w:gutter="0"/>
          <w:cols w:space="720"/>
          <w:docGrid w:linePitch="360"/>
        </w:sectPr>
      </w:pPr>
      <w:r>
        <w:rPr>
          <w:noProof/>
          <w:lang w:eastAsia="es-MX"/>
        </w:rPr>
        <w:drawing>
          <wp:inline distT="0" distB="0" distL="0" distR="0" wp14:anchorId="5F2E870B" wp14:editId="77A8EB17">
            <wp:extent cx="276225" cy="276225"/>
            <wp:effectExtent l="0" t="0" r="9525" b="9525"/>
            <wp:docPr id="11" name="Imagen 11" descr="F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660">
        <w:rPr>
          <w:noProof/>
          <w:lang w:val="es-MX"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16FFA523" wp14:editId="1163964D">
            <wp:extent cx="276225" cy="276225"/>
            <wp:effectExtent l="0" t="0" r="9525" b="9525"/>
            <wp:docPr id="10" name="Imagen 10" descr="I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I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660">
        <w:rPr>
          <w:noProof/>
          <w:lang w:val="es-MX"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686EF805" wp14:editId="7ED9E9A2">
            <wp:extent cx="266700" cy="266700"/>
            <wp:effectExtent l="0" t="0" r="0" b="0"/>
            <wp:docPr id="9" name="Imagen 9" descr="T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T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660">
        <w:rPr>
          <w:noProof/>
          <w:lang w:val="es-MX" w:eastAsia="es-MX"/>
        </w:rPr>
        <w:t xml:space="preserve"> </w:t>
      </w:r>
      <w:r>
        <w:rPr>
          <w:noProof/>
          <w:lang w:eastAsia="es-MX"/>
        </w:rPr>
        <w:drawing>
          <wp:inline distT="0" distB="0" distL="0" distR="0" wp14:anchorId="042DBC86" wp14:editId="30E6F42F">
            <wp:extent cx="257175" cy="257175"/>
            <wp:effectExtent l="0" t="0" r="9525" b="9525"/>
            <wp:docPr id="8" name="Imagen 8" descr="Y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Y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660">
        <w:rPr>
          <w:noProof/>
          <w:lang w:val="es-MX" w:eastAsia="es-MX"/>
        </w:rPr>
        <w:t xml:space="preserve">  </w:t>
      </w:r>
      <w:r>
        <w:rPr>
          <w:noProof/>
          <w:sz w:val="14"/>
          <w:szCs w:val="18"/>
          <w:lang w:eastAsia="es-MX"/>
        </w:rPr>
        <w:drawing>
          <wp:inline distT="0" distB="0" distL="0" distR="0" wp14:anchorId="69A618F3" wp14:editId="74ECF4D7">
            <wp:extent cx="2286000" cy="276225"/>
            <wp:effectExtent l="0" t="0" r="0" b="9525"/>
            <wp:docPr id="7" name="Imagen 7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B2F9" w14:textId="7CDC75E2" w:rsidR="00CC3BBA" w:rsidRPr="00E87660" w:rsidRDefault="00CC3BBA" w:rsidP="00CC3BBA">
      <w:pPr>
        <w:ind w:left="-425" w:right="-516"/>
        <w:contextualSpacing/>
        <w:jc w:val="center"/>
        <w:rPr>
          <w:noProof/>
          <w:lang w:val="es-MX" w:eastAsia="es-MX"/>
        </w:rPr>
      </w:pPr>
    </w:p>
    <w:p w14:paraId="7AFB7587" w14:textId="04491FF6" w:rsidR="00277256" w:rsidRPr="00E87660" w:rsidRDefault="00277256" w:rsidP="00E87660">
      <w:pPr>
        <w:spacing w:after="0" w:line="240" w:lineRule="auto"/>
        <w:ind w:left="-284" w:right="-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r w:rsidRPr="00E87660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lastRenderedPageBreak/>
        <w:t>ANEXO</w:t>
      </w:r>
    </w:p>
    <w:p w14:paraId="62D1E49E" w14:textId="77777777" w:rsidR="00277256" w:rsidRPr="00E87660" w:rsidRDefault="00277256" w:rsidP="00E87660">
      <w:pPr>
        <w:spacing w:after="0" w:line="240" w:lineRule="auto"/>
        <w:ind w:left="-284" w:right="-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</w:p>
    <w:p w14:paraId="3EBD35DC" w14:textId="6152F5B9" w:rsidR="009D3AED" w:rsidRDefault="009D3AED" w:rsidP="00E87660">
      <w:pPr>
        <w:spacing w:after="0" w:line="240" w:lineRule="auto"/>
        <w:ind w:left="-284" w:right="-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r w:rsidRPr="00E87660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NOTA TÉCNICA</w:t>
      </w:r>
    </w:p>
    <w:p w14:paraId="1212CC9C" w14:textId="76403970" w:rsidR="00355865" w:rsidRDefault="00355865" w:rsidP="00E87660">
      <w:pPr>
        <w:spacing w:after="0" w:line="240" w:lineRule="auto"/>
        <w:ind w:left="-284" w:right="-27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</w:p>
    <w:p w14:paraId="721978FC" w14:textId="35809A31" w:rsidR="00355865" w:rsidRDefault="00355865" w:rsidP="00AC3E33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Para </w:t>
      </w:r>
      <w:r w:rsidR="00393423">
        <w:rPr>
          <w:rFonts w:ascii="Arial" w:eastAsia="Times New Roman" w:hAnsi="Arial" w:cs="Arial"/>
          <w:sz w:val="24"/>
          <w:szCs w:val="24"/>
          <w:lang w:val="es-MX"/>
        </w:rPr>
        <w:t xml:space="preserve">diseñar </w:t>
      </w:r>
      <w:r>
        <w:rPr>
          <w:rFonts w:ascii="Arial" w:eastAsia="Times New Roman" w:hAnsi="Arial" w:cs="Arial"/>
          <w:sz w:val="24"/>
          <w:szCs w:val="24"/>
          <w:lang w:val="es-MX"/>
        </w:rPr>
        <w:t>política económica conviene contar con herramientas</w:t>
      </w:r>
      <w:r w:rsidR="00393423">
        <w:rPr>
          <w:rFonts w:ascii="Arial" w:eastAsia="Times New Roman" w:hAnsi="Arial" w:cs="Arial"/>
          <w:sz w:val="24"/>
          <w:szCs w:val="24"/>
          <w:lang w:val="es-MX"/>
        </w:rPr>
        <w:t xml:space="preserve"> que muestren </w:t>
      </w:r>
      <w:r>
        <w:rPr>
          <w:rFonts w:ascii="Arial" w:eastAsia="Times New Roman" w:hAnsi="Arial" w:cs="Arial"/>
          <w:sz w:val="24"/>
          <w:szCs w:val="24"/>
          <w:lang w:val="es-MX"/>
        </w:rPr>
        <w:t>la interdependencia sectorial y regional. Esto permite dar paso a políticas nacionales armonizadas con políticas regionalmente localizadas en el territorio nacional. Esta publicación contribuye a esos fines</w:t>
      </w:r>
      <w:r w:rsidR="00393423">
        <w:rPr>
          <w:rFonts w:ascii="Arial" w:eastAsia="Times New Roman" w:hAnsi="Arial" w:cs="Arial"/>
          <w:sz w:val="24"/>
          <w:szCs w:val="24"/>
          <w:lang w:val="es-MX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es-MX"/>
        </w:rPr>
        <w:t>sus resultados</w:t>
      </w:r>
      <w:r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se enfocan</w:t>
      </w:r>
      <w:r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en</w:t>
      </w:r>
      <w:r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93423">
        <w:rPr>
          <w:rFonts w:ascii="Arial" w:eastAsia="Times New Roman" w:hAnsi="Arial" w:cs="Arial"/>
          <w:sz w:val="24"/>
          <w:szCs w:val="24"/>
          <w:lang w:val="es-MX"/>
        </w:rPr>
        <w:t xml:space="preserve">funcionarias y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funcionarios públicos y analistas 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que se interesen </w:t>
      </w:r>
      <w:r>
        <w:rPr>
          <w:rFonts w:ascii="Arial" w:eastAsia="Helvetica Neue Medium" w:hAnsi="Arial" w:cs="Arial"/>
          <w:sz w:val="24"/>
          <w:szCs w:val="24"/>
          <w:lang w:val="es-MX"/>
        </w:rPr>
        <w:t>en el diagnóstico</w:t>
      </w:r>
      <w:r w:rsidR="00393423">
        <w:rPr>
          <w:rFonts w:ascii="Arial" w:eastAsia="Helvetica Neue Medium" w:hAnsi="Arial" w:cs="Arial"/>
          <w:sz w:val="24"/>
          <w:szCs w:val="24"/>
          <w:lang w:val="es-MX"/>
        </w:rPr>
        <w:t xml:space="preserve"> y </w:t>
      </w:r>
      <w:r>
        <w:rPr>
          <w:rFonts w:ascii="Arial" w:eastAsia="Helvetica Neue Medium" w:hAnsi="Arial" w:cs="Arial"/>
          <w:sz w:val="24"/>
          <w:szCs w:val="24"/>
          <w:lang w:val="es-MX"/>
        </w:rPr>
        <w:t>diseño de políticas económicas a nivel nacional y regional.</w:t>
      </w:r>
    </w:p>
    <w:p w14:paraId="1FD050D7" w14:textId="77777777" w:rsidR="00AC3E33" w:rsidRPr="001854C1" w:rsidRDefault="00AC3E33" w:rsidP="00385BF6">
      <w:pPr>
        <w:spacing w:after="0" w:line="240" w:lineRule="auto"/>
        <w:ind w:left="-284" w:right="-279"/>
        <w:jc w:val="both"/>
        <w:rPr>
          <w:rFonts w:ascii="Arial" w:eastAsia="Times New Roman" w:hAnsi="Arial" w:cs="Arial"/>
          <w:sz w:val="24"/>
          <w:szCs w:val="24"/>
          <w:lang w:val="es-MX"/>
        </w:rPr>
      </w:pPr>
    </w:p>
    <w:p w14:paraId="56435DD9" w14:textId="1693E8F5" w:rsidR="00355865" w:rsidRPr="001854C1" w:rsidRDefault="00091C54" w:rsidP="00385BF6">
      <w:pPr>
        <w:spacing w:after="0" w:line="240" w:lineRule="auto"/>
        <w:ind w:left="-284" w:right="-278"/>
        <w:jc w:val="both"/>
        <w:rPr>
          <w:rFonts w:ascii="Arial" w:eastAsia="Times New Roman" w:hAnsi="Arial" w:cs="Arial"/>
          <w:sz w:val="24"/>
          <w:szCs w:val="24"/>
          <w:lang w:val="es-MX"/>
        </w:rPr>
      </w:pPr>
      <w:r>
        <w:rPr>
          <w:rFonts w:ascii="Arial" w:eastAsia="Times New Roman" w:hAnsi="Arial" w:cs="Arial"/>
          <w:sz w:val="24"/>
          <w:szCs w:val="24"/>
          <w:lang w:val="es-MX"/>
        </w:rPr>
        <w:t xml:space="preserve">Para desarrollar 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>los productos que aquí se anuncian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 se emplea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ron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 técnicas estadísticas de frontera y se integr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ó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 un amplio conjunto de estadísticas 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 xml:space="preserve">que 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genera el INEGI. Sin embargo, </w:t>
      </w:r>
      <w:r>
        <w:rPr>
          <w:rFonts w:ascii="Arial" w:eastAsia="Times New Roman" w:hAnsi="Arial" w:cs="Arial"/>
          <w:sz w:val="24"/>
          <w:szCs w:val="24"/>
          <w:lang w:val="es-MX"/>
        </w:rPr>
        <w:t>al considerar l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o novedoso del proyecto y </w:t>
      </w:r>
      <w:r>
        <w:rPr>
          <w:rFonts w:ascii="Arial" w:eastAsia="Times New Roman" w:hAnsi="Arial" w:cs="Arial"/>
          <w:sz w:val="24"/>
          <w:szCs w:val="24"/>
          <w:lang w:val="es-MX"/>
        </w:rPr>
        <w:t xml:space="preserve">la aplicación de </w:t>
      </w:r>
      <w:r w:rsidR="00355865"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una metodología 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 xml:space="preserve">que se </w:t>
      </w:r>
      <w:r w:rsidR="00355865" w:rsidRPr="001854C1">
        <w:rPr>
          <w:rFonts w:ascii="Arial" w:eastAsia="Times New Roman" w:hAnsi="Arial" w:cs="Arial"/>
          <w:sz w:val="24"/>
          <w:szCs w:val="24"/>
          <w:lang w:val="es-MX"/>
        </w:rPr>
        <w:t>basa en información parcial y modelos económicos y estadísticos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>,</w:t>
      </w:r>
      <w:r w:rsidR="00355865"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>se decid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>ió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 xml:space="preserve"> reportar </w:t>
      </w:r>
      <w:r w:rsidR="00AC3E33">
        <w:rPr>
          <w:rFonts w:ascii="Arial" w:eastAsia="Times New Roman" w:hAnsi="Arial" w:cs="Arial"/>
          <w:sz w:val="24"/>
          <w:szCs w:val="24"/>
          <w:lang w:val="es-MX"/>
        </w:rPr>
        <w:t xml:space="preserve">los COU y las MIP estatales y multiestatales </w:t>
      </w:r>
      <w:r w:rsidR="00355865">
        <w:rPr>
          <w:rFonts w:ascii="Arial" w:eastAsia="Times New Roman" w:hAnsi="Arial" w:cs="Arial"/>
          <w:sz w:val="24"/>
          <w:szCs w:val="24"/>
          <w:lang w:val="es-MX"/>
        </w:rPr>
        <w:t>como</w:t>
      </w:r>
      <w:r w:rsidR="00355865" w:rsidRPr="001854C1">
        <w:rPr>
          <w:rFonts w:ascii="Arial" w:eastAsia="Times New Roman" w:hAnsi="Arial" w:cs="Arial"/>
          <w:sz w:val="24"/>
          <w:szCs w:val="24"/>
          <w:lang w:val="es-MX"/>
        </w:rPr>
        <w:t xml:space="preserve"> </w:t>
      </w:r>
      <w:r w:rsidR="00355865" w:rsidRPr="001854C1">
        <w:rPr>
          <w:rFonts w:ascii="Arial" w:eastAsia="Times New Roman" w:hAnsi="Arial" w:cs="Arial"/>
          <w:i/>
          <w:sz w:val="24"/>
          <w:szCs w:val="24"/>
          <w:lang w:val="es-MX"/>
        </w:rPr>
        <w:t>estadística experimental</w:t>
      </w:r>
      <w:r w:rsidR="00355865" w:rsidRPr="001854C1">
        <w:rPr>
          <w:rFonts w:ascii="Arial" w:eastAsia="Times New Roman" w:hAnsi="Arial" w:cs="Arial"/>
          <w:sz w:val="24"/>
          <w:szCs w:val="24"/>
          <w:lang w:val="es-MX"/>
        </w:rPr>
        <w:t>.</w:t>
      </w:r>
    </w:p>
    <w:p w14:paraId="0BC90B7B" w14:textId="77777777" w:rsidR="00455F26" w:rsidRDefault="00455F26" w:rsidP="00385BF6">
      <w:pPr>
        <w:spacing w:after="0" w:line="240" w:lineRule="auto"/>
        <w:ind w:right="-279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</w:p>
    <w:p w14:paraId="7B6C2983" w14:textId="37D5451C" w:rsidR="00455F26" w:rsidRPr="002A6D51" w:rsidRDefault="00542F71">
      <w:pPr>
        <w:spacing w:after="0" w:line="240" w:lineRule="auto"/>
        <w:ind w:left="-284" w:right="-279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 w:rsidRPr="002A6D51">
        <w:rPr>
          <w:rFonts w:ascii="Arial" w:eastAsia="Helvetica Neue Medium" w:hAnsi="Arial" w:cs="Arial"/>
          <w:b/>
          <w:bCs/>
          <w:sz w:val="24"/>
          <w:szCs w:val="24"/>
          <w:lang w:val="es-MX"/>
        </w:rPr>
        <w:t>Antecedentes</w:t>
      </w:r>
    </w:p>
    <w:p w14:paraId="2E4D5974" w14:textId="77777777" w:rsidR="00542F71" w:rsidRPr="002A6D51" w:rsidRDefault="00542F71">
      <w:pPr>
        <w:spacing w:after="0" w:line="240" w:lineRule="auto"/>
        <w:ind w:left="-284" w:right="-279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</w:p>
    <w:p w14:paraId="5F13726E" w14:textId="0360982C" w:rsidR="00E91A16" w:rsidRDefault="00E91A16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012BAF">
        <w:rPr>
          <w:rFonts w:ascii="Arial" w:eastAsia="Helvetica Neue Medium" w:hAnsi="Arial" w:cs="Arial"/>
          <w:sz w:val="24"/>
          <w:szCs w:val="24"/>
          <w:lang w:val="es-MX"/>
        </w:rPr>
        <w:t>Hay una demanda de información económica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 —</w:t>
      </w:r>
      <w:r w:rsidRPr="00012BAF">
        <w:rPr>
          <w:rFonts w:ascii="Arial" w:eastAsia="Helvetica Neue Medium" w:hAnsi="Arial" w:cs="Arial"/>
          <w:sz w:val="24"/>
          <w:szCs w:val="24"/>
          <w:lang w:val="es-MX"/>
        </w:rPr>
        <w:t xml:space="preserve">debidamente ordenada y orientada al análisis de las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e</w:t>
      </w:r>
      <w:r w:rsidRPr="00012BAF">
        <w:rPr>
          <w:rFonts w:ascii="Arial" w:eastAsia="Helvetica Neue Medium" w:hAnsi="Arial" w:cs="Arial"/>
          <w:sz w:val="24"/>
          <w:szCs w:val="24"/>
          <w:lang w:val="es-MX"/>
        </w:rPr>
        <w:t xml:space="preserve">ntidades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f</w:t>
      </w:r>
      <w:r w:rsidRPr="00012BAF">
        <w:rPr>
          <w:rFonts w:ascii="Arial" w:eastAsia="Helvetica Neue Medium" w:hAnsi="Arial" w:cs="Arial"/>
          <w:sz w:val="24"/>
          <w:szCs w:val="24"/>
          <w:lang w:val="es-MX"/>
        </w:rPr>
        <w:t>ederativas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— para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que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 xml:space="preserve">se </w:t>
      </w:r>
      <w:r w:rsidRPr="00012BAF">
        <w:rPr>
          <w:rFonts w:ascii="Arial" w:eastAsia="Helvetica Neue Medium" w:hAnsi="Arial" w:cs="Arial"/>
          <w:sz w:val="24"/>
          <w:szCs w:val="24"/>
          <w:lang w:val="es-MX"/>
        </w:rPr>
        <w:t xml:space="preserve">extienda y profundice la información que actualmente genera el INEGI acerca de los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e</w:t>
      </w:r>
      <w:r w:rsidRPr="00012BAF">
        <w:rPr>
          <w:rFonts w:ascii="Arial" w:eastAsia="Helvetica Neue Medium" w:hAnsi="Arial" w:cs="Arial"/>
          <w:sz w:val="24"/>
          <w:szCs w:val="24"/>
          <w:lang w:val="es-MX"/>
        </w:rPr>
        <w:t>stados.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</w:p>
    <w:p w14:paraId="2960CA67" w14:textId="28663EB9" w:rsidR="00711DD1" w:rsidRDefault="00711DD1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849BB95" w14:textId="2BBA8B54" w:rsidR="00012BAF" w:rsidRDefault="00542F71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002B0B">
        <w:rPr>
          <w:rFonts w:ascii="Arial" w:eastAsia="Helvetica Neue Medium" w:hAnsi="Arial" w:cs="Arial"/>
          <w:sz w:val="24"/>
          <w:szCs w:val="24"/>
          <w:lang w:val="es-MX"/>
        </w:rPr>
        <w:t xml:space="preserve">Las aplicaciones originales del modelo de insumo producto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 xml:space="preserve">se </w:t>
      </w:r>
      <w:r w:rsidRPr="00002B0B">
        <w:rPr>
          <w:rFonts w:ascii="Arial" w:eastAsia="Helvetica Neue Medium" w:hAnsi="Arial" w:cs="Arial"/>
          <w:sz w:val="24"/>
          <w:szCs w:val="24"/>
          <w:lang w:val="es-MX"/>
        </w:rPr>
        <w:t>realiza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ron</w:t>
      </w:r>
      <w:r w:rsidRPr="00002B0B">
        <w:rPr>
          <w:rFonts w:ascii="Arial" w:eastAsia="Helvetica Neue Medium" w:hAnsi="Arial" w:cs="Arial"/>
          <w:sz w:val="24"/>
          <w:szCs w:val="24"/>
          <w:lang w:val="es-MX"/>
        </w:rPr>
        <w:t xml:space="preserve"> para </w:t>
      </w:r>
      <w:r>
        <w:rPr>
          <w:rFonts w:ascii="Arial" w:eastAsia="Helvetica Neue Medium" w:hAnsi="Arial" w:cs="Arial"/>
          <w:sz w:val="24"/>
          <w:szCs w:val="24"/>
          <w:lang w:val="es-MX"/>
        </w:rPr>
        <w:t>obtener información nacional e</w:t>
      </w:r>
      <w:r w:rsidRPr="00002B0B">
        <w:rPr>
          <w:rFonts w:ascii="Arial" w:eastAsia="Helvetica Neue Medium" w:hAnsi="Arial" w:cs="Arial"/>
          <w:sz w:val="24"/>
          <w:szCs w:val="24"/>
          <w:lang w:val="es-MX"/>
        </w:rPr>
        <w:t>n su conjunto. Sin embargo, el interés en extender esta aplicación, con el mismo marco de análisis a unidades espaciales diferentes del país (usualmente regiones subnacionales), origin</w:t>
      </w:r>
      <w:r>
        <w:rPr>
          <w:rFonts w:ascii="Arial" w:eastAsia="Helvetica Neue Medium" w:hAnsi="Arial" w:cs="Arial"/>
          <w:sz w:val="24"/>
          <w:szCs w:val="24"/>
          <w:lang w:val="es-MX"/>
        </w:rPr>
        <w:t>ó</w:t>
      </w:r>
      <w:r w:rsidRPr="00002B0B">
        <w:rPr>
          <w:rFonts w:ascii="Arial" w:eastAsia="Helvetica Neue Medium" w:hAnsi="Arial" w:cs="Arial"/>
          <w:sz w:val="24"/>
          <w:szCs w:val="24"/>
          <w:lang w:val="es-MX"/>
        </w:rPr>
        <w:t xml:space="preserve"> un conjunto de modelos de insumo producto regionales</w:t>
      </w:r>
      <w:r w:rsidR="001D3779">
        <w:rPr>
          <w:rFonts w:ascii="Arial" w:eastAsia="Helvetica Neue Medium" w:hAnsi="Arial" w:cs="Arial"/>
          <w:sz w:val="24"/>
          <w:szCs w:val="24"/>
          <w:lang w:val="es-MX"/>
        </w:rPr>
        <w:t xml:space="preserve"> que se han estimado en muchos países</w:t>
      </w:r>
      <w:r w:rsidRPr="00002B0B">
        <w:rPr>
          <w:rFonts w:ascii="Arial" w:eastAsia="Helvetica Neue Medium" w:hAnsi="Arial" w:cs="Arial"/>
          <w:sz w:val="24"/>
          <w:szCs w:val="24"/>
          <w:lang w:val="es-MX"/>
        </w:rPr>
        <w:t xml:space="preserve">. </w:t>
      </w:r>
    </w:p>
    <w:p w14:paraId="077FF1EA" w14:textId="77777777" w:rsidR="00012BAF" w:rsidRDefault="00012BAF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9015E95" w14:textId="6C889D36" w:rsidR="00012BAF" w:rsidRDefault="00542F71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2A6D51">
        <w:rPr>
          <w:rFonts w:ascii="Arial" w:eastAsia="Helvetica Neue Medium" w:hAnsi="Arial" w:cs="Arial"/>
          <w:sz w:val="24"/>
          <w:szCs w:val="24"/>
          <w:lang w:val="es-MX"/>
        </w:rPr>
        <w:t>En México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>,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 hay 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>trabajos de insumo producto regionales y estatales desde hace varias décadas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. L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a mayoría de los casos </w:t>
      </w:r>
      <w:r>
        <w:rPr>
          <w:rFonts w:ascii="Arial" w:eastAsia="Helvetica Neue Medium" w:hAnsi="Arial" w:cs="Arial"/>
          <w:sz w:val="24"/>
          <w:szCs w:val="24"/>
          <w:lang w:val="es-MX"/>
        </w:rPr>
        <w:t>consiste en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 trabajar cada región o entidad federativa de forma individual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. Lo anterior </w:t>
      </w:r>
      <w:r w:rsidR="00711DD1">
        <w:rPr>
          <w:rFonts w:ascii="Arial" w:eastAsia="Helvetica Neue Medium" w:hAnsi="Arial" w:cs="Arial"/>
          <w:sz w:val="24"/>
          <w:szCs w:val="24"/>
          <w:lang w:val="es-MX"/>
        </w:rPr>
        <w:t xml:space="preserve">impide la 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comprensión de la </w:t>
      </w:r>
      <w:r w:rsidR="00711DD1">
        <w:rPr>
          <w:rFonts w:ascii="Arial" w:eastAsia="Helvetica Neue Medium" w:hAnsi="Arial" w:cs="Arial"/>
          <w:sz w:val="24"/>
          <w:szCs w:val="24"/>
          <w:lang w:val="es-MX"/>
        </w:rPr>
        <w:t>interdependencia</w:t>
      </w:r>
      <w:r w:rsidR="00711DD1"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entre </w:t>
      </w:r>
      <w:r w:rsidR="00711DD1">
        <w:rPr>
          <w:rFonts w:ascii="Arial" w:eastAsia="Helvetica Neue Medium" w:hAnsi="Arial" w:cs="Arial"/>
          <w:sz w:val="24"/>
          <w:szCs w:val="24"/>
          <w:lang w:val="es-MX"/>
        </w:rPr>
        <w:t>las entidades federativas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 xml:space="preserve"> d</w:t>
      </w:r>
      <w:r>
        <w:rPr>
          <w:rFonts w:ascii="Arial" w:eastAsia="Helvetica Neue Medium" w:hAnsi="Arial" w:cs="Arial"/>
          <w:sz w:val="24"/>
          <w:szCs w:val="24"/>
          <w:lang w:val="es-MX"/>
        </w:rPr>
        <w:t>el país</w:t>
      </w:r>
      <w:r w:rsidRPr="002A6D51">
        <w:rPr>
          <w:rFonts w:ascii="Arial" w:eastAsia="Helvetica Neue Medium" w:hAnsi="Arial" w:cs="Arial"/>
          <w:sz w:val="24"/>
          <w:szCs w:val="24"/>
          <w:lang w:val="es-MX"/>
        </w:rPr>
        <w:t>, por un lado, y su contribución a resultados macroeconómicos, por el otro.</w:t>
      </w:r>
    </w:p>
    <w:p w14:paraId="398EEB4A" w14:textId="77777777" w:rsidR="00AC3E33" w:rsidRDefault="00AC3E33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1F541C17" w14:textId="52393C8F" w:rsidR="00711DD1" w:rsidRDefault="00AC564A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Las aplicaciones que se pueden realizar con un modelo de insumo producto </w:t>
      </w:r>
      <w:r w:rsidR="00C12E63">
        <w:rPr>
          <w:rFonts w:ascii="Arial" w:eastAsia="Helvetica Neue Medium" w:hAnsi="Arial" w:cs="Arial"/>
          <w:sz w:val="24"/>
          <w:szCs w:val="24"/>
          <w:lang w:val="es-MX"/>
        </w:rPr>
        <w:t>nacional</w:t>
      </w:r>
      <w:r w:rsidR="00DF43B6">
        <w:rPr>
          <w:rFonts w:ascii="Arial" w:eastAsia="Helvetica Neue Medium" w:hAnsi="Arial" w:cs="Arial"/>
          <w:sz w:val="24"/>
          <w:szCs w:val="24"/>
          <w:lang w:val="es-MX"/>
        </w:rPr>
        <w:t xml:space="preserve"> también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pueden 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hacerse </w:t>
      </w:r>
      <w:r>
        <w:rPr>
          <w:rFonts w:ascii="Arial" w:eastAsia="Helvetica Neue Medium" w:hAnsi="Arial" w:cs="Arial"/>
          <w:sz w:val="24"/>
          <w:szCs w:val="24"/>
          <w:lang w:val="es-MX"/>
        </w:rPr>
        <w:t>a nivel estatal o regional (un conjunto de estados considerados como una unidad económica)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. Ejemplo de estas son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el análisis de multiplicadores, de encadenamientos productivos, de estimación de impactos de la demanda final sobre el aparato productivo, </w:t>
      </w:r>
      <w:r w:rsidR="00C12E63">
        <w:rPr>
          <w:rFonts w:ascii="Arial" w:eastAsia="Helvetica Neue Medium" w:hAnsi="Arial" w:cs="Arial"/>
          <w:sz w:val="24"/>
          <w:szCs w:val="24"/>
          <w:lang w:val="es-MX"/>
        </w:rPr>
        <w:t xml:space="preserve">de 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modificaciones en la estructura de gastos gubernamentales, </w:t>
      </w:r>
      <w:r w:rsidR="00DF43B6">
        <w:rPr>
          <w:rFonts w:ascii="Arial" w:eastAsia="Helvetica Neue Medium" w:hAnsi="Arial" w:cs="Arial"/>
          <w:sz w:val="24"/>
          <w:szCs w:val="24"/>
          <w:lang w:val="es-MX"/>
        </w:rPr>
        <w:t>etcétera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. </w:t>
      </w:r>
    </w:p>
    <w:p w14:paraId="31ABED9C" w14:textId="77777777" w:rsidR="00711DD1" w:rsidRDefault="00711DD1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89F5E97" w14:textId="47D8E442" w:rsidR="00542F71" w:rsidRDefault="00091C54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Ahora bien, hay 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>peculiaridades derivadas de la heterogeneidad del desarrollo de las entidades federativas que s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o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 xml:space="preserve">lo 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 xml:space="preserve">se 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>pueden aborda</w:t>
      </w:r>
      <w:r w:rsidR="00AC3E33">
        <w:rPr>
          <w:rFonts w:ascii="Arial" w:eastAsia="Helvetica Neue Medium" w:hAnsi="Arial" w:cs="Arial"/>
          <w:sz w:val="24"/>
          <w:szCs w:val="24"/>
          <w:lang w:val="es-MX"/>
        </w:rPr>
        <w:t>r</w:t>
      </w:r>
      <w:r>
        <w:rPr>
          <w:rFonts w:ascii="Arial" w:eastAsia="Helvetica Neue Medium" w:hAnsi="Arial" w:cs="Arial"/>
          <w:sz w:val="24"/>
          <w:szCs w:val="24"/>
          <w:lang w:val="es-MX"/>
        </w:rPr>
        <w:t>,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 xml:space="preserve"> dentro del marco del análisis de insumo producto, a través de herramientas de carácter regional</w:t>
      </w:r>
      <w:r w:rsidR="00711DD1">
        <w:rPr>
          <w:rFonts w:ascii="Arial" w:eastAsia="Helvetica Neue Medium" w:hAnsi="Arial" w:cs="Arial"/>
          <w:sz w:val="24"/>
          <w:szCs w:val="24"/>
          <w:lang w:val="es-MX"/>
        </w:rPr>
        <w:t xml:space="preserve">. Este 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>es el caso</w:t>
      </w:r>
      <w:r w:rsidR="00711DD1">
        <w:rPr>
          <w:rFonts w:ascii="Arial" w:eastAsia="Helvetica Neue Medium" w:hAnsi="Arial" w:cs="Arial"/>
          <w:sz w:val="24"/>
          <w:szCs w:val="24"/>
          <w:lang w:val="es-MX"/>
        </w:rPr>
        <w:t>,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 xml:space="preserve"> por ejemplo, de la </w:t>
      </w:r>
      <w:r w:rsidR="00DF43B6">
        <w:rPr>
          <w:rFonts w:ascii="Arial" w:eastAsia="Helvetica Neue Medium" w:hAnsi="Arial" w:cs="Arial"/>
          <w:sz w:val="24"/>
          <w:szCs w:val="24"/>
          <w:lang w:val="es-MX"/>
        </w:rPr>
        <w:t xml:space="preserve">propagación </w:t>
      </w:r>
      <w:r w:rsidR="00AC564A">
        <w:rPr>
          <w:rFonts w:ascii="Arial" w:eastAsia="Helvetica Neue Medium" w:hAnsi="Arial" w:cs="Arial"/>
          <w:sz w:val="24"/>
          <w:szCs w:val="24"/>
          <w:lang w:val="es-MX"/>
        </w:rPr>
        <w:t xml:space="preserve">de impulsos económicos </w:t>
      </w:r>
      <w:r w:rsidR="006A4BE7">
        <w:rPr>
          <w:rFonts w:ascii="Arial" w:eastAsia="Helvetica Neue Medium" w:hAnsi="Arial" w:cs="Arial"/>
          <w:sz w:val="24"/>
          <w:szCs w:val="24"/>
          <w:lang w:val="es-MX"/>
        </w:rPr>
        <w:t>que se generan a nivel de entidad federativa o</w:t>
      </w:r>
      <w:r w:rsidR="00DA4CCA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6A4BE7">
        <w:rPr>
          <w:rFonts w:ascii="Arial" w:eastAsia="Helvetica Neue Medium" w:hAnsi="Arial" w:cs="Arial"/>
          <w:sz w:val="24"/>
          <w:szCs w:val="24"/>
          <w:lang w:val="es-MX"/>
        </w:rPr>
        <w:t>la</w:t>
      </w:r>
      <w:r w:rsidR="00DA4CCA">
        <w:rPr>
          <w:rFonts w:ascii="Arial" w:eastAsia="Helvetica Neue Medium" w:hAnsi="Arial" w:cs="Arial"/>
          <w:sz w:val="24"/>
          <w:szCs w:val="24"/>
          <w:lang w:val="es-MX"/>
        </w:rPr>
        <w:t xml:space="preserve"> descomposición de impulsos que evalúan impactos intraestatales, </w:t>
      </w:r>
      <w:r w:rsidR="00530F0F">
        <w:rPr>
          <w:rFonts w:ascii="Arial" w:eastAsia="Helvetica Neue Medium" w:hAnsi="Arial" w:cs="Arial"/>
          <w:sz w:val="24"/>
          <w:szCs w:val="24"/>
          <w:lang w:val="es-MX"/>
        </w:rPr>
        <w:t>interestatales</w:t>
      </w:r>
      <w:r w:rsidR="00DA4CCA">
        <w:rPr>
          <w:rFonts w:ascii="Arial" w:eastAsia="Helvetica Neue Medium" w:hAnsi="Arial" w:cs="Arial"/>
          <w:sz w:val="24"/>
          <w:szCs w:val="24"/>
          <w:lang w:val="es-MX"/>
        </w:rPr>
        <w:t xml:space="preserve"> y efectos de realimentación. </w:t>
      </w:r>
      <w:r w:rsidR="00DA5715">
        <w:rPr>
          <w:rFonts w:ascii="Arial" w:eastAsia="Helvetica Neue Medium" w:hAnsi="Arial" w:cs="Arial"/>
          <w:sz w:val="24"/>
          <w:szCs w:val="24"/>
          <w:lang w:val="es-MX"/>
        </w:rPr>
        <w:lastRenderedPageBreak/>
        <w:t>Asimismo, l</w:t>
      </w:r>
      <w:r w:rsidR="00DA4CCA">
        <w:rPr>
          <w:rFonts w:ascii="Arial" w:eastAsia="Helvetica Neue Medium" w:hAnsi="Arial" w:cs="Arial"/>
          <w:sz w:val="24"/>
          <w:szCs w:val="24"/>
          <w:lang w:val="es-MX"/>
        </w:rPr>
        <w:t>os efectos de la especialización inducida por los tratados comerciales tienen un asentamiento geográfico que puede evaluarse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mediante </w:t>
      </w:r>
      <w:r w:rsidR="00DA4CCA">
        <w:rPr>
          <w:rFonts w:ascii="Arial" w:eastAsia="Helvetica Neue Medium" w:hAnsi="Arial" w:cs="Arial"/>
          <w:sz w:val="24"/>
          <w:szCs w:val="24"/>
          <w:lang w:val="es-MX"/>
        </w:rPr>
        <w:t>matrices regionales y estatales. La variedad de los análisis que se pueden realizar con estas herramientas es vasta.</w:t>
      </w:r>
    </w:p>
    <w:p w14:paraId="371143B2" w14:textId="77777777" w:rsidR="00E91A16" w:rsidRDefault="00E91A16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D00EDEA" w14:textId="405D565D" w:rsidR="00791AA1" w:rsidRPr="00E91A16" w:rsidRDefault="00E91A16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b/>
          <w:bCs/>
          <w:sz w:val="24"/>
          <w:szCs w:val="24"/>
          <w:lang w:val="es-MX"/>
        </w:rPr>
      </w:pPr>
      <w:r w:rsidRPr="00AC0BDB">
        <w:rPr>
          <w:rFonts w:ascii="Arial" w:eastAsia="Helvetica Neue Medium" w:hAnsi="Arial" w:cs="Arial"/>
          <w:b/>
          <w:bCs/>
          <w:sz w:val="24"/>
          <w:szCs w:val="24"/>
          <w:lang w:val="es-MX"/>
        </w:rPr>
        <w:t>Meto</w:t>
      </w:r>
      <w:r>
        <w:rPr>
          <w:rFonts w:ascii="Arial" w:eastAsia="Helvetica Neue Medium" w:hAnsi="Arial" w:cs="Arial"/>
          <w:b/>
          <w:bCs/>
          <w:sz w:val="24"/>
          <w:szCs w:val="24"/>
          <w:lang w:val="es-MX"/>
        </w:rPr>
        <w:t>dología de estimación</w:t>
      </w:r>
    </w:p>
    <w:p w14:paraId="7178225B" w14:textId="355BA473" w:rsidR="00542F71" w:rsidRDefault="00542F71">
      <w:pPr>
        <w:spacing w:after="0" w:line="240" w:lineRule="auto"/>
        <w:ind w:left="-284" w:right="-279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D76735B" w14:textId="4BBA20F6" w:rsidR="005864D2" w:rsidRDefault="00791AA1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>La metodología se puede resumir en las siguientes etapas</w:t>
      </w:r>
      <w:r w:rsidR="005864D2" w:rsidRPr="00E87660">
        <w:rPr>
          <w:rFonts w:ascii="Arial" w:eastAsia="Helvetica Neue Medium" w:hAnsi="Arial" w:cs="Arial"/>
          <w:sz w:val="24"/>
          <w:szCs w:val="24"/>
          <w:lang w:val="es-MX"/>
        </w:rPr>
        <w:t>:</w:t>
      </w:r>
    </w:p>
    <w:p w14:paraId="44970892" w14:textId="77777777" w:rsidR="0056459C" w:rsidRPr="00E87660" w:rsidRDefault="0056459C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043444BA" w14:textId="59A1C1B8" w:rsidR="005864D2" w:rsidRPr="00E87660" w:rsidRDefault="005864D2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Como base para la estimación, se utilizaron los COU</w:t>
      </w:r>
      <w:r w:rsidR="003878F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a nivel nacional,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con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año base 2013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>,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y otros productos de información publicados por el INEGI.</w:t>
      </w:r>
    </w:p>
    <w:p w14:paraId="643D3ECD" w14:textId="47107AB7" w:rsidR="005864D2" w:rsidRPr="00E87660" w:rsidRDefault="005864D2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Con información de</w:t>
      </w:r>
      <w:r w:rsidR="00277256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l</w:t>
      </w:r>
      <w:r w:rsidR="00791AA1">
        <w:rPr>
          <w:rFonts w:ascii="Arial" w:eastAsia="Helvetica Neue Medium" w:hAnsi="Arial" w:cs="Arial"/>
          <w:sz w:val="24"/>
          <w:szCs w:val="24"/>
          <w:lang w:val="es-MX"/>
        </w:rPr>
        <w:t>a producción registrada en los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Censo</w:t>
      </w:r>
      <w:r w:rsidR="00277256" w:rsidRPr="00E87660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Económico</w:t>
      </w:r>
      <w:r w:rsidR="00277256" w:rsidRPr="00E87660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>,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se estimaron </w:t>
      </w:r>
      <w:r w:rsidR="00791AA1">
        <w:rPr>
          <w:rFonts w:ascii="Arial" w:eastAsia="Helvetica Neue Medium" w:hAnsi="Arial" w:cs="Arial"/>
          <w:sz w:val="24"/>
          <w:szCs w:val="24"/>
          <w:lang w:val="es-MX"/>
        </w:rPr>
        <w:t xml:space="preserve">ponderadores específicos para las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técnicas de producción esta</w:t>
      </w:r>
      <w:r w:rsidR="00791AA1">
        <w:rPr>
          <w:rFonts w:ascii="Arial" w:eastAsia="Helvetica Neue Medium" w:hAnsi="Arial" w:cs="Arial"/>
          <w:sz w:val="24"/>
          <w:szCs w:val="24"/>
          <w:lang w:val="es-MX"/>
        </w:rPr>
        <w:t>tales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.</w:t>
      </w:r>
    </w:p>
    <w:p w14:paraId="1C9F3742" w14:textId="3BDC53D7" w:rsidR="005864D2" w:rsidRPr="00E87660" w:rsidRDefault="005864D2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Se utilizaron coeficientes de localización de </w:t>
      </w:r>
      <w:proofErr w:type="spellStart"/>
      <w:r w:rsidRPr="00E87660">
        <w:rPr>
          <w:rFonts w:ascii="Arial" w:eastAsia="Helvetica Neue Medium" w:hAnsi="Arial" w:cs="Arial"/>
          <w:sz w:val="24"/>
          <w:szCs w:val="24"/>
          <w:lang w:val="es-MX"/>
        </w:rPr>
        <w:t>Flegg</w:t>
      </w:r>
      <w:proofErr w:type="spellEnd"/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para distinguir el origen de los productos</w:t>
      </w:r>
      <w:r w:rsidR="003878F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y obtener una primera versión</w:t>
      </w:r>
      <w:r w:rsidR="00165760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de los COU.</w:t>
      </w:r>
    </w:p>
    <w:p w14:paraId="2317B153" w14:textId="5A4EBE85" w:rsidR="005864D2" w:rsidRDefault="005864D2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Se utilizó un modelo gravitacional para estimar los flujos bilaterales de comercio entre entidades federativas y para cada actividad económica ofertante y demandante.</w:t>
      </w:r>
    </w:p>
    <w:p w14:paraId="19EFDDE5" w14:textId="7A383848" w:rsidR="00E726EA" w:rsidRPr="00E87660" w:rsidRDefault="00E726EA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 xml:space="preserve">Se </w:t>
      </w:r>
      <w:r w:rsidRPr="006F3DF0">
        <w:rPr>
          <w:rFonts w:ascii="Arial" w:eastAsia="Helvetica Neue Medium" w:hAnsi="Arial" w:cs="Arial"/>
          <w:sz w:val="24"/>
          <w:szCs w:val="24"/>
          <w:lang w:val="es-MX"/>
        </w:rPr>
        <w:t>utilizó un método que asegura la consistencia entre los COU estatales y los COU nacionales (la suma de los estatales es igual al nacional). Para este efecto se empleó una técnica nueva de ajuste triproporcional</w:t>
      </w:r>
      <w:r w:rsidR="00091C54">
        <w:rPr>
          <w:rFonts w:ascii="Arial" w:eastAsia="Helvetica Neue Medium" w:hAnsi="Arial" w:cs="Arial"/>
          <w:sz w:val="24"/>
          <w:szCs w:val="24"/>
          <w:lang w:val="es-MX"/>
        </w:rPr>
        <w:t xml:space="preserve"> que se desarrolló </w:t>
      </w:r>
      <w:r w:rsidRPr="006F3DF0">
        <w:rPr>
          <w:rFonts w:ascii="Arial" w:eastAsia="Helvetica Neue Medium" w:hAnsi="Arial" w:cs="Arial"/>
          <w:sz w:val="24"/>
          <w:szCs w:val="24"/>
          <w:lang w:val="es-MX"/>
        </w:rPr>
        <w:t>recientemente por un equipo de la EUROSTAT.</w:t>
      </w:r>
    </w:p>
    <w:p w14:paraId="4C5498E8" w14:textId="79F1DA34" w:rsidR="005864D2" w:rsidRDefault="005864D2">
      <w:pPr>
        <w:numPr>
          <w:ilvl w:val="0"/>
          <w:numId w:val="4"/>
        </w:numPr>
        <w:spacing w:after="0" w:line="240" w:lineRule="auto"/>
        <w:ind w:left="284" w:right="-278" w:hanging="284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Se construyeron 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las MIP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a partir de los COU </w:t>
      </w:r>
      <w:r w:rsidR="00277256" w:rsidRPr="00E87660">
        <w:rPr>
          <w:rFonts w:ascii="Arial" w:eastAsia="Helvetica Neue Medium" w:hAnsi="Arial" w:cs="Arial"/>
          <w:sz w:val="24"/>
          <w:szCs w:val="24"/>
          <w:lang w:val="es-MX"/>
        </w:rPr>
        <w:t>inter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estatales estimados.</w:t>
      </w:r>
    </w:p>
    <w:p w14:paraId="4E4D0735" w14:textId="7C1A6214" w:rsidR="00DA4CCA" w:rsidRDefault="00DA4CCA">
      <w:pPr>
        <w:spacing w:after="0" w:line="240" w:lineRule="auto"/>
        <w:ind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6325817D" w14:textId="6BE653F3" w:rsidR="0056459C" w:rsidRDefault="000B3E58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La propuesta metodológica que aquí se presenta </w:t>
      </w:r>
      <w:r w:rsidR="00455F26">
        <w:rPr>
          <w:rFonts w:ascii="Arial" w:eastAsia="Helvetica Neue Medium" w:hAnsi="Arial" w:cs="Arial"/>
          <w:sz w:val="24"/>
          <w:szCs w:val="24"/>
          <w:lang w:val="es-MX"/>
        </w:rPr>
        <w:t>considera las últimas aportaciones internacionales en la materia</w:t>
      </w:r>
      <w:r w:rsidR="00C12E63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y </w:t>
      </w:r>
      <w:r w:rsidR="00455F26">
        <w:rPr>
          <w:rFonts w:ascii="Arial" w:eastAsia="Helvetica Neue Medium" w:hAnsi="Arial" w:cs="Arial"/>
          <w:sz w:val="24"/>
          <w:szCs w:val="24"/>
          <w:lang w:val="es-MX"/>
        </w:rPr>
        <w:t xml:space="preserve">las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adapta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a la realidad mexicana. La modernización se logra mediante la adopción de los COU como base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para la estimación</w:t>
      </w:r>
      <w:r w:rsidR="00530F0F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y 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la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aplica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ción de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técnicas más recientes para el balanceo de los cuadros en el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contexto multirregional. </w:t>
      </w:r>
    </w:p>
    <w:p w14:paraId="6D823926" w14:textId="77777777" w:rsidR="00E91A16" w:rsidRDefault="00E91A16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F65B468" w14:textId="395AEA7B" w:rsidR="000B3E58" w:rsidRDefault="000B3E58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La adaptación se da al incorporar en la metodología el que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México c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uenta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con información a nivel nacional para más de 260 ramas de actividad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productiva, mientras que la principal fuente de información regional oficial</w:t>
      </w:r>
      <w:r w:rsidR="00A0338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del PIB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presenta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solo 32 actividades productivas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 xml:space="preserve">.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En lugar de reducir el análisis a 32 actividades desde el principio, </w:t>
      </w:r>
      <w:r w:rsidR="00413426" w:rsidRPr="00D70255">
        <w:rPr>
          <w:rFonts w:ascii="Arial" w:eastAsia="Helvetica Neue Medium" w:hAnsi="Arial" w:cs="Arial"/>
          <w:sz w:val="24"/>
          <w:szCs w:val="24"/>
          <w:lang w:val="es-MX"/>
        </w:rPr>
        <w:t>en esta metodología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 xml:space="preserve">se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aprovec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ha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la información más detallada que 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ofrece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el SCNM y la posibilidad de trabajar con COU rectangulares (más actividades en las filas que en las columnas) para estimar MIP estatales con 32 actividades industriales y 79 subsectores.</w:t>
      </w:r>
    </w:p>
    <w:p w14:paraId="6FE24A85" w14:textId="5751C85A" w:rsidR="00EA4ADB" w:rsidRDefault="00EA4ADB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028658CC" w14:textId="390642E1" w:rsidR="000B3E58" w:rsidRDefault="000B3E58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La adopción de los C</w:t>
      </w:r>
      <w:r w:rsidR="0056459C">
        <w:rPr>
          <w:rFonts w:ascii="Arial" w:eastAsia="Helvetica Neue Medium" w:hAnsi="Arial" w:cs="Arial"/>
          <w:sz w:val="24"/>
          <w:szCs w:val="24"/>
          <w:lang w:val="es-MX"/>
        </w:rPr>
        <w:t>OU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como base para la estimación es un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enfoque que se adopt</w:t>
      </w:r>
      <w:r w:rsidR="004F51F1">
        <w:rPr>
          <w:rFonts w:ascii="Arial" w:eastAsia="Helvetica Neue Medium" w:hAnsi="Arial" w:cs="Arial"/>
          <w:sz w:val="24"/>
          <w:szCs w:val="24"/>
          <w:lang w:val="es-MX"/>
        </w:rPr>
        <w:t>ó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en diversos estudios recientes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. Esto porque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son el punto de arranque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para la estimación del S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CN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desde 1993, e incluyen toda la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información necesaria para crear M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IP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con menos supuestos y más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riqueza de información y flexibilidad para 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la o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el analista.</w:t>
      </w:r>
    </w:p>
    <w:p w14:paraId="741EC6AC" w14:textId="77777777" w:rsidR="009B40DA" w:rsidRPr="00E87660" w:rsidRDefault="009B40DA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5EC33250" w14:textId="77777777" w:rsidR="00EA4ADB" w:rsidRDefault="00725E9C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La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estimación de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técnicas de producción específicas de cada </w:t>
      </w:r>
      <w:r w:rsidR="00C12E63">
        <w:rPr>
          <w:rFonts w:ascii="Arial" w:eastAsia="Helvetica Neue Medium" w:hAnsi="Arial" w:cs="Arial"/>
          <w:sz w:val="24"/>
          <w:szCs w:val="24"/>
          <w:lang w:val="es-MX"/>
        </w:rPr>
        <w:t>entidad federativa</w:t>
      </w:r>
      <w:r w:rsidR="00C12E63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surge de aceptar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que las 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ocho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ramas que, en promedio componen cada una de las 32 actividades estatales, tienen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intensidades distintas al interior del estado. </w:t>
      </w:r>
    </w:p>
    <w:p w14:paraId="00910DB2" w14:textId="2B1BA62F" w:rsidR="000B3E58" w:rsidRDefault="000B3E58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lastRenderedPageBreak/>
        <w:t>Por lo tanto, la agregación de los COU de 260 ramas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de actividad a 32 actividades se realiza con ponderadores específicos por estado. 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Así,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este proceso de regionalización no parte de suponer que los coeficientes técnicos de todos los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estados son iguales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413426" w:rsidRPr="00D70255">
        <w:rPr>
          <w:rFonts w:ascii="Arial" w:eastAsia="Helvetica Neue Medium" w:hAnsi="Arial" w:cs="Arial"/>
          <w:sz w:val="24"/>
          <w:szCs w:val="24"/>
          <w:lang w:val="es-MX"/>
        </w:rPr>
        <w:t>al nivel de 32 actividades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. Los ponderadores utilizados en este paso del proceso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 se estimaron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mediante un modelo de minimización de la entropía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 cruzada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con base en la información de producción</w:t>
      </w:r>
      <w:r w:rsidR="006577F9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de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 xml:space="preserve"> los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Censo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Económico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2014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,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el PIB 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e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stata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l y el </w:t>
      </w:r>
      <w:r w:rsidR="00413426" w:rsidRPr="00D70255">
        <w:rPr>
          <w:rFonts w:ascii="Arial" w:eastAsia="Helvetica Neue Medium" w:hAnsi="Arial" w:cs="Arial"/>
          <w:sz w:val="24"/>
          <w:szCs w:val="24"/>
          <w:lang w:val="es-MX"/>
        </w:rPr>
        <w:t>COU a nivel nacional y por rama de actividad.</w:t>
      </w:r>
    </w:p>
    <w:p w14:paraId="74417BD4" w14:textId="77777777" w:rsidR="009B40DA" w:rsidRPr="00E87660" w:rsidRDefault="009B40DA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5A0EDD54" w14:textId="490FD5C4" w:rsidR="000B3E58" w:rsidRDefault="00725E9C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En lo que se refiere a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la estimación de la demanda final estatal,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se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incorporan fuentes de información específicas para cada componente.</w:t>
      </w:r>
      <w:r w:rsidR="00791AA1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El 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c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onsumo 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p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rivado aprovecha la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información de la Encuesta Nacional de Ingreso</w:t>
      </w:r>
      <w:r w:rsidR="00C90030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y Gasto</w:t>
      </w:r>
      <w:r w:rsidR="00C90030">
        <w:rPr>
          <w:rFonts w:ascii="Arial" w:eastAsia="Helvetica Neue Medium" w:hAnsi="Arial" w:cs="Arial"/>
          <w:sz w:val="24"/>
          <w:szCs w:val="24"/>
          <w:lang w:val="es-MX"/>
        </w:rPr>
        <w:t>s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de los Hogares (ENIGH</w:t>
      </w:r>
      <w:r w:rsidR="0095194E" w:rsidRPr="00E87660">
        <w:rPr>
          <w:rFonts w:ascii="Arial" w:eastAsia="Helvetica Neue Medium" w:hAnsi="Arial" w:cs="Arial"/>
          <w:sz w:val="24"/>
          <w:szCs w:val="24"/>
          <w:lang w:val="es-MX"/>
        </w:rPr>
        <w:t>) para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calcular </w:t>
      </w:r>
      <w:r w:rsidR="00413426" w:rsidRPr="00D70255">
        <w:rPr>
          <w:rFonts w:ascii="Arial" w:eastAsia="Helvetica Neue Medium" w:hAnsi="Arial" w:cs="Arial"/>
          <w:sz w:val="24"/>
          <w:szCs w:val="24"/>
          <w:lang w:val="es-MX"/>
        </w:rPr>
        <w:t xml:space="preserve">los montos y </w:t>
      </w:r>
      <w:r w:rsidR="000B3E58" w:rsidRPr="00D70255">
        <w:rPr>
          <w:rFonts w:ascii="Arial" w:eastAsia="Helvetica Neue Medium" w:hAnsi="Arial" w:cs="Arial"/>
          <w:sz w:val="24"/>
          <w:szCs w:val="24"/>
          <w:lang w:val="es-MX"/>
        </w:rPr>
        <w:t>canastas de consumo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específicas de cada estado. El </w:t>
      </w:r>
      <w:r w:rsidR="00CA54D2" w:rsidRPr="00E87660">
        <w:rPr>
          <w:rFonts w:ascii="Arial" w:eastAsia="Helvetica Neue Medium" w:hAnsi="Arial" w:cs="Arial"/>
          <w:sz w:val="24"/>
          <w:szCs w:val="24"/>
          <w:lang w:val="es-MX"/>
        </w:rPr>
        <w:t>c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onsumo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de </w:t>
      </w:r>
      <w:r w:rsidR="00CA54D2" w:rsidRPr="00E87660">
        <w:rPr>
          <w:rFonts w:ascii="Arial" w:eastAsia="Helvetica Neue Medium" w:hAnsi="Arial" w:cs="Arial"/>
          <w:sz w:val="24"/>
          <w:szCs w:val="24"/>
          <w:lang w:val="es-MX"/>
        </w:rPr>
        <w:t>g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obierno incorpora información sobre la producción de los gobiernos estatales y locales en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rubros como educación, salud y administración pública. La Formación Bruta de Capital Fijo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4F51F1">
        <w:rPr>
          <w:rFonts w:ascii="Arial" w:eastAsia="Helvetica Neue Medium" w:hAnsi="Arial" w:cs="Arial"/>
          <w:sz w:val="24"/>
          <w:szCs w:val="24"/>
          <w:lang w:val="es-MX"/>
        </w:rPr>
        <w:t xml:space="preserve">(FBCF)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incorpora la información disponible de Inversión Extranjera Directa </w:t>
      </w:r>
      <w:r w:rsidR="004F51F1">
        <w:rPr>
          <w:rFonts w:ascii="Arial" w:eastAsia="Helvetica Neue Medium" w:hAnsi="Arial" w:cs="Arial"/>
          <w:sz w:val="24"/>
          <w:szCs w:val="24"/>
          <w:lang w:val="es-MX"/>
        </w:rPr>
        <w:t xml:space="preserve">(IED)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por sector y estado de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destino, así como la estructura de las Tablas de Origen y Destino de la Formación Bruta de</w:t>
      </w:r>
      <w:r w:rsidR="00DB10EB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Capital Fijo.</w:t>
      </w:r>
    </w:p>
    <w:p w14:paraId="0CF49462" w14:textId="77777777" w:rsidR="009B40DA" w:rsidRPr="00E87660" w:rsidRDefault="009B40DA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79FE1D5B" w14:textId="30CE8CBC" w:rsidR="000B3E58" w:rsidRDefault="00725E9C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>La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aplicación de Coeficientes de Localización de </w:t>
      </w:r>
      <w:proofErr w:type="spellStart"/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Fleg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>g</w:t>
      </w:r>
      <w:proofErr w:type="spellEnd"/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diferencian el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origen de los bienes y servicios que hay disponibles en un estado, entre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producción estatal y producción proveniente del resto del país. No solo la matriz de transacciones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intermedias requiere la aplicación de coeficientes de localización, sino también la matriz de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demanda final, dado que los estados no son autosuficientes. Por ello, se plantean modificaciones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en la estimación de los coeficientes de localización para adaptarse a los COU con formato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rectangular (79 filas por 32 columnas). Posteriormente, se aplicó un modelo gravitacional para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determinar el origen y destino de los bienes y servicios, es decir, para la estimación de las tablas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de comercio interestatales.</w:t>
      </w:r>
    </w:p>
    <w:p w14:paraId="2F8DAA18" w14:textId="77777777" w:rsidR="009B40DA" w:rsidRPr="00E87660" w:rsidRDefault="009B40DA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4594AB15" w14:textId="340686A3" w:rsidR="000B3E58" w:rsidRDefault="00725E9C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Una vez que se tiene un </w:t>
      </w:r>
      <w:r w:rsidR="004F51F1">
        <w:rPr>
          <w:rFonts w:ascii="Arial" w:eastAsia="Helvetica Neue Medium" w:hAnsi="Arial" w:cs="Arial"/>
          <w:sz w:val="24"/>
          <w:szCs w:val="24"/>
          <w:lang w:val="es-MX"/>
        </w:rPr>
        <w:t>COU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561C35" w:rsidRPr="00E87660">
        <w:rPr>
          <w:rFonts w:ascii="Arial" w:eastAsia="Helvetica Neue Medium" w:hAnsi="Arial" w:cs="Arial"/>
          <w:sz w:val="24"/>
          <w:szCs w:val="24"/>
          <w:lang w:val="es-MX"/>
        </w:rPr>
        <w:t>inicial,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561C35" w:rsidRPr="00E87660">
        <w:rPr>
          <w:rFonts w:ascii="Arial" w:eastAsia="Helvetica Neue Medium" w:hAnsi="Arial" w:cs="Arial"/>
          <w:sz w:val="24"/>
          <w:szCs w:val="24"/>
          <w:lang w:val="es-MX"/>
        </w:rPr>
        <w:t>se aplica un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proceso de rebalanceo y consolidación de los C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OU interestatales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. A pesar de mantener las estimaciones previas dentro del marco de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restricciones contables predefinidas, se requiere un ajuste final que asegure dos propiedades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holísticas de los cuadros finales: los flujos de oferta y demanda de productos deben estar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perfectamente balanceados entre las regiones, y la suma de todos los 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cuadros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esta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>tales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deben ser iguales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a los COU a nivel nacional. Con 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lo anterior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se consolida la información de los flujos estatales con los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flujos nacionales. Para ello se utilizó la </w:t>
      </w:r>
      <w:r w:rsidR="000B3E58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 xml:space="preserve">técnica del </w:t>
      </w:r>
      <w:r w:rsidR="004F51F1" w:rsidRPr="0046470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  <w:t>«</w:t>
      </w:r>
      <w:r w:rsidR="000B3E58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>RAS Generalizado Multi-Regional</w:t>
      </w:r>
      <w:r w:rsidR="004F51F1" w:rsidRPr="0046470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s-MX"/>
        </w:rPr>
        <w:t>»</w:t>
      </w:r>
      <w:r w:rsidR="004F51F1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 xml:space="preserve"> </w:t>
      </w:r>
      <w:r w:rsidR="000B3E58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>(MR-GRAS</w:t>
      </w:r>
      <w:r w:rsidR="00BA2E58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 xml:space="preserve"> </w:t>
      </w:r>
      <w:r w:rsidR="000B3E58" w:rsidRPr="00385BF6">
        <w:rPr>
          <w:rFonts w:ascii="Arial" w:eastAsia="Helvetica Neue Medium" w:hAnsi="Arial" w:cs="Arial"/>
          <w:color w:val="000000" w:themeColor="text1"/>
          <w:sz w:val="24"/>
          <w:szCs w:val="24"/>
          <w:lang w:val="es-MX"/>
        </w:rPr>
        <w:t xml:space="preserve">por sus siglas en inglés), creada recientemente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para trabajar con este tipo de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0B3E58" w:rsidRPr="00E87660">
        <w:rPr>
          <w:rFonts w:ascii="Arial" w:eastAsia="Helvetica Neue Medium" w:hAnsi="Arial" w:cs="Arial"/>
          <w:sz w:val="24"/>
          <w:szCs w:val="24"/>
          <w:lang w:val="es-MX"/>
        </w:rPr>
        <w:t>esquemas contables regionales.</w:t>
      </w:r>
    </w:p>
    <w:p w14:paraId="1ADE78AA" w14:textId="77777777" w:rsidR="009B40DA" w:rsidRPr="00E87660" w:rsidRDefault="009B40DA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3D5C5491" w14:textId="293AEE77" w:rsidR="009B40DA" w:rsidRDefault="000B3E58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Por último, </w:t>
      </w:r>
      <w:r w:rsidR="00561C35" w:rsidRPr="00E87660">
        <w:rPr>
          <w:rFonts w:ascii="Arial" w:eastAsia="Helvetica Neue Medium" w:hAnsi="Arial" w:cs="Arial"/>
          <w:sz w:val="24"/>
          <w:szCs w:val="24"/>
          <w:lang w:val="es-MX"/>
        </w:rPr>
        <w:t>se realiza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la transformación de los C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 xml:space="preserve">OU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en</w:t>
      </w:r>
      <w:r w:rsidR="00BA2E58"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M</w:t>
      </w:r>
      <w:r w:rsidR="009B40DA">
        <w:rPr>
          <w:rFonts w:ascii="Arial" w:eastAsia="Helvetica Neue Medium" w:hAnsi="Arial" w:cs="Arial"/>
          <w:sz w:val="24"/>
          <w:szCs w:val="24"/>
          <w:lang w:val="es-MX"/>
        </w:rPr>
        <w:t>IP s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>imétricas mediante las técnicas estándar de</w:t>
      </w:r>
      <w:r w:rsidR="00413426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  <w:r w:rsidR="00413426" w:rsidRPr="00D70255">
        <w:rPr>
          <w:rFonts w:ascii="Arial" w:eastAsia="Helvetica Neue Medium" w:hAnsi="Arial" w:cs="Arial"/>
          <w:sz w:val="24"/>
          <w:szCs w:val="24"/>
          <w:lang w:val="es-MX"/>
        </w:rPr>
        <w:t>los manuales internacionales</w:t>
      </w:r>
      <w:r w:rsidR="009D3696" w:rsidRPr="00D70255">
        <w:rPr>
          <w:rFonts w:ascii="Arial" w:eastAsia="Helvetica Neue Medium" w:hAnsi="Arial" w:cs="Arial"/>
          <w:sz w:val="24"/>
          <w:szCs w:val="24"/>
          <w:lang w:val="es-MX"/>
        </w:rPr>
        <w:t xml:space="preserve"> en la materia</w:t>
      </w:r>
      <w:r w:rsidRPr="00D70255">
        <w:rPr>
          <w:rFonts w:ascii="Arial" w:eastAsia="Helvetica Neue Medium" w:hAnsi="Arial" w:cs="Arial"/>
          <w:sz w:val="24"/>
          <w:szCs w:val="24"/>
          <w:lang w:val="es-MX"/>
        </w:rPr>
        <w:t>.</w:t>
      </w:r>
      <w:r w:rsidRPr="00E87660">
        <w:rPr>
          <w:rFonts w:ascii="Arial" w:eastAsia="Helvetica Neue Medium" w:hAnsi="Arial" w:cs="Arial"/>
          <w:sz w:val="24"/>
          <w:szCs w:val="24"/>
          <w:lang w:val="es-MX"/>
        </w:rPr>
        <w:t xml:space="preserve"> </w:t>
      </w:r>
    </w:p>
    <w:p w14:paraId="2F4A34E3" w14:textId="77777777" w:rsidR="00C90030" w:rsidRDefault="00C90030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bookmarkEnd w:id="0"/>
    <w:p w14:paraId="35FB7C99" w14:textId="470CF7B8" w:rsidR="001D3779" w:rsidRDefault="004F51F1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  <w:r>
        <w:rPr>
          <w:rFonts w:ascii="Arial" w:eastAsia="Helvetica Neue Medium" w:hAnsi="Arial" w:cs="Arial"/>
          <w:sz w:val="24"/>
          <w:szCs w:val="24"/>
          <w:lang w:val="es-MX"/>
        </w:rPr>
        <w:t>Se aplicó</w:t>
      </w:r>
      <w:r w:rsidR="001D3779" w:rsidRPr="001D3779">
        <w:rPr>
          <w:rFonts w:ascii="Arial" w:eastAsia="Helvetica Neue Medium" w:hAnsi="Arial" w:cs="Arial"/>
          <w:sz w:val="24"/>
          <w:szCs w:val="24"/>
          <w:lang w:val="es-MX"/>
        </w:rPr>
        <w:t xml:space="preserve"> un tratamiento cuidadoso de la información que ahora presenta el INEGI</w:t>
      </w:r>
      <w:r w:rsidR="00C54CF5">
        <w:rPr>
          <w:rFonts w:ascii="Arial" w:eastAsia="Helvetica Neue Medium" w:hAnsi="Arial" w:cs="Arial"/>
          <w:sz w:val="24"/>
          <w:szCs w:val="24"/>
          <w:lang w:val="es-MX"/>
        </w:rPr>
        <w:t xml:space="preserve">. No obstante lo anterior, las y </w:t>
      </w:r>
      <w:r w:rsidR="001D3779" w:rsidRPr="001D3779">
        <w:rPr>
          <w:rFonts w:ascii="Arial" w:eastAsia="Helvetica Neue Medium" w:hAnsi="Arial" w:cs="Arial"/>
          <w:sz w:val="24"/>
          <w:szCs w:val="24"/>
          <w:lang w:val="es-MX"/>
        </w:rPr>
        <w:t>los usuarios deben considerar que estas herramientas</w:t>
      </w:r>
      <w:r>
        <w:rPr>
          <w:rFonts w:ascii="Arial" w:eastAsia="Helvetica Neue Medium" w:hAnsi="Arial" w:cs="Arial"/>
          <w:sz w:val="24"/>
          <w:szCs w:val="24"/>
          <w:lang w:val="es-MX"/>
        </w:rPr>
        <w:t xml:space="preserve"> emplean</w:t>
      </w:r>
      <w:r w:rsidR="001D3779" w:rsidRPr="001D3779">
        <w:rPr>
          <w:rFonts w:ascii="Arial" w:eastAsia="Helvetica Neue Medium" w:hAnsi="Arial" w:cs="Arial"/>
          <w:sz w:val="24"/>
          <w:szCs w:val="24"/>
          <w:lang w:val="es-MX"/>
        </w:rPr>
        <w:t xml:space="preserve"> una metodología experimental basada en información parcial y modelos económicos y estadísticos; por lo tanto, los resultados son </w:t>
      </w:r>
      <w:r w:rsidR="001D3779" w:rsidRPr="001D3779">
        <w:rPr>
          <w:rFonts w:ascii="Arial" w:eastAsia="Helvetica Neue Medium" w:hAnsi="Arial" w:cs="Arial"/>
          <w:i/>
          <w:sz w:val="24"/>
          <w:szCs w:val="24"/>
          <w:lang w:val="es-MX"/>
        </w:rPr>
        <w:t>estadística experimental</w:t>
      </w:r>
      <w:r w:rsidR="001D3779" w:rsidRPr="001D3779">
        <w:rPr>
          <w:rFonts w:ascii="Arial" w:eastAsia="Helvetica Neue Medium" w:hAnsi="Arial" w:cs="Arial"/>
          <w:sz w:val="24"/>
          <w:szCs w:val="24"/>
          <w:lang w:val="es-MX"/>
        </w:rPr>
        <w:t>.</w:t>
      </w:r>
    </w:p>
    <w:p w14:paraId="45124B5E" w14:textId="7FEFB570" w:rsidR="00E00F32" w:rsidRDefault="00E00F32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p w14:paraId="2A1079EF" w14:textId="39803086" w:rsidR="00E00F32" w:rsidRDefault="00E00F32">
      <w:pPr>
        <w:spacing w:after="0" w:line="240" w:lineRule="auto"/>
        <w:ind w:left="-284" w:right="-278"/>
        <w:jc w:val="both"/>
        <w:rPr>
          <w:rFonts w:ascii="Arial" w:eastAsia="Helvetica Neue Medium" w:hAnsi="Arial" w:cs="Arial"/>
          <w:sz w:val="24"/>
          <w:szCs w:val="24"/>
          <w:lang w:val="es-MX"/>
        </w:rPr>
      </w:pPr>
    </w:p>
    <w:sectPr w:rsidR="00E00F32" w:rsidSect="00EA4ADB">
      <w:headerReference w:type="default" r:id="rId27"/>
      <w:type w:val="continuous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D0EA4" w14:textId="77777777" w:rsidR="00120E3D" w:rsidRDefault="00120E3D" w:rsidP="00F04E66">
      <w:pPr>
        <w:spacing w:after="0" w:line="240" w:lineRule="auto"/>
      </w:pPr>
      <w:r>
        <w:separator/>
      </w:r>
    </w:p>
  </w:endnote>
  <w:endnote w:type="continuationSeparator" w:id="0">
    <w:p w14:paraId="7511DB3D" w14:textId="77777777" w:rsidR="00120E3D" w:rsidRDefault="00120E3D" w:rsidP="00F0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panose1 w:val="00000000000000000000"/>
    <w:charset w:val="00"/>
    <w:family w:val="roman"/>
    <w:notTrueType/>
    <w:pitch w:val="default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DAE7" w14:textId="32F2F347" w:rsidR="00322826" w:rsidRPr="00E87660" w:rsidRDefault="00322826" w:rsidP="00E8766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E87660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ED2B4" w14:textId="77777777" w:rsidR="00120E3D" w:rsidRDefault="00120E3D" w:rsidP="00F04E66">
      <w:pPr>
        <w:spacing w:after="0" w:line="240" w:lineRule="auto"/>
      </w:pPr>
      <w:r>
        <w:separator/>
      </w:r>
    </w:p>
  </w:footnote>
  <w:footnote w:type="continuationSeparator" w:id="0">
    <w:p w14:paraId="0ACA3A98" w14:textId="77777777" w:rsidR="00120E3D" w:rsidRDefault="00120E3D" w:rsidP="00F04E66">
      <w:pPr>
        <w:spacing w:after="0" w:line="240" w:lineRule="auto"/>
      </w:pPr>
      <w:r>
        <w:continuationSeparator/>
      </w:r>
    </w:p>
  </w:footnote>
  <w:footnote w:id="1">
    <w:p w14:paraId="52C5208D" w14:textId="77777777" w:rsidR="00DB7CEA" w:rsidRDefault="00322826" w:rsidP="00385BF6">
      <w:pPr>
        <w:spacing w:after="0" w:line="240" w:lineRule="auto"/>
        <w:ind w:right="-278" w:hanging="142"/>
        <w:jc w:val="both"/>
        <w:rPr>
          <w:rStyle w:val="Hipervnculo"/>
          <w:rFonts w:ascii="Arial" w:hAnsi="Arial" w:cs="Arial"/>
          <w:sz w:val="16"/>
          <w:szCs w:val="16"/>
        </w:rPr>
      </w:pPr>
      <w:r w:rsidRPr="00385BF6">
        <w:rPr>
          <w:rStyle w:val="Refdenotaalpie"/>
          <w:rFonts w:ascii="Arial" w:hAnsi="Arial" w:cs="Arial"/>
          <w:sz w:val="16"/>
          <w:szCs w:val="16"/>
        </w:rPr>
        <w:footnoteRef/>
      </w:r>
      <w:r w:rsidRPr="0046470E">
        <w:rPr>
          <w:rFonts w:ascii="Arial" w:hAnsi="Arial" w:cs="Arial"/>
          <w:sz w:val="16"/>
          <w:szCs w:val="16"/>
          <w:lang w:val="es-MX"/>
        </w:rPr>
        <w:t xml:space="preserve"> </w:t>
      </w:r>
      <w:r w:rsidRPr="00385BF6">
        <w:rPr>
          <w:rFonts w:ascii="Arial" w:eastAsia="Times New Roman" w:hAnsi="Arial" w:cs="Arial"/>
          <w:sz w:val="16"/>
          <w:szCs w:val="16"/>
          <w:lang w:val="es-MX"/>
        </w:rPr>
        <w:t xml:space="preserve">Estas tablas enfatizan la interdependencia sectorial, es decir, la medida en </w:t>
      </w:r>
      <w:r w:rsidR="004B31C8">
        <w:rPr>
          <w:rFonts w:ascii="Arial" w:eastAsia="Times New Roman" w:hAnsi="Arial" w:cs="Arial"/>
          <w:sz w:val="16"/>
          <w:szCs w:val="16"/>
          <w:lang w:val="es-MX"/>
        </w:rPr>
        <w:t xml:space="preserve">la </w:t>
      </w:r>
      <w:r w:rsidRPr="00385BF6">
        <w:rPr>
          <w:rFonts w:ascii="Arial" w:eastAsia="Times New Roman" w:hAnsi="Arial" w:cs="Arial"/>
          <w:sz w:val="16"/>
          <w:szCs w:val="16"/>
          <w:lang w:val="es-MX"/>
        </w:rPr>
        <w:t xml:space="preserve">que uno o varios sectores requieren insumos que producen otros sectores y viceversa. </w:t>
      </w:r>
      <w:r w:rsidR="004B31C8">
        <w:rPr>
          <w:rFonts w:ascii="Arial" w:eastAsia="Times New Roman" w:hAnsi="Arial" w:cs="Arial"/>
          <w:sz w:val="16"/>
          <w:szCs w:val="16"/>
          <w:lang w:val="es-MX"/>
        </w:rPr>
        <w:t>En esas tablas, t</w:t>
      </w:r>
      <w:r w:rsidRPr="00385BF6">
        <w:rPr>
          <w:rFonts w:ascii="Arial" w:eastAsia="Times New Roman" w:hAnsi="Arial" w:cs="Arial"/>
          <w:sz w:val="16"/>
          <w:szCs w:val="16"/>
          <w:lang w:val="es-MX"/>
        </w:rPr>
        <w:t>odos los sectores tienen</w:t>
      </w:r>
      <w:r w:rsidR="004B31C8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385BF6">
        <w:rPr>
          <w:rFonts w:ascii="Arial" w:eastAsia="Times New Roman" w:hAnsi="Arial" w:cs="Arial"/>
          <w:sz w:val="16"/>
          <w:szCs w:val="16"/>
          <w:lang w:val="es-MX"/>
        </w:rPr>
        <w:t>el papel de compradores, por un lado, y de vendedores</w:t>
      </w:r>
      <w:r w:rsidR="004B31C8">
        <w:rPr>
          <w:rFonts w:ascii="Arial" w:eastAsia="Times New Roman" w:hAnsi="Arial" w:cs="Arial"/>
          <w:sz w:val="16"/>
          <w:szCs w:val="16"/>
          <w:lang w:val="es-MX"/>
        </w:rPr>
        <w:t>,</w:t>
      </w:r>
      <w:r w:rsidRPr="00385BF6">
        <w:rPr>
          <w:rFonts w:ascii="Arial" w:eastAsia="Times New Roman" w:hAnsi="Arial" w:cs="Arial"/>
          <w:sz w:val="16"/>
          <w:szCs w:val="16"/>
          <w:lang w:val="es-MX"/>
        </w:rPr>
        <w:t xml:space="preserve"> por el otro.</w:t>
      </w:r>
      <w:r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hyperlink r:id="rId1" w:history="1">
        <w:r w:rsidRPr="00385BF6">
          <w:rPr>
            <w:rStyle w:val="Hipervnculo"/>
            <w:rFonts w:ascii="Arial" w:hAnsi="Arial" w:cs="Arial"/>
            <w:sz w:val="16"/>
            <w:szCs w:val="16"/>
          </w:rPr>
          <w:t>https://www.inegi.org.mx/programas/cou/2013/</w:t>
        </w:r>
      </w:hyperlink>
    </w:p>
    <w:p w14:paraId="48DF84C3" w14:textId="7C4A8B0B" w:rsidR="00322826" w:rsidRPr="002049CE" w:rsidRDefault="00120E3D" w:rsidP="0046470E">
      <w:pPr>
        <w:spacing w:after="0" w:line="240" w:lineRule="auto"/>
        <w:ind w:right="-278"/>
        <w:jc w:val="both"/>
      </w:pPr>
      <w:hyperlink r:id="rId2" w:history="1">
        <w:r w:rsidR="00DB7CEA" w:rsidRPr="00DB7CEA">
          <w:rPr>
            <w:rStyle w:val="Hipervnculo"/>
            <w:rFonts w:ascii="Arial" w:hAnsi="Arial" w:cs="Arial"/>
            <w:sz w:val="16"/>
            <w:szCs w:val="16"/>
          </w:rPr>
          <w:t>https://www.inegi.org.mx/programas/mip/2013/</w:t>
        </w:r>
      </w:hyperlink>
      <w:r w:rsidR="0032282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FD363" w14:textId="6D08865F" w:rsidR="00322826" w:rsidRPr="00E87660" w:rsidRDefault="00322826" w:rsidP="00D943A4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es-MX"/>
      </w:rPr>
    </w:pPr>
    <w:r w:rsidRPr="00E87660">
      <w:rPr>
        <w:rFonts w:ascii="Arial" w:hAnsi="Arial" w:cs="Arial"/>
        <w:b/>
        <w:color w:val="002060"/>
        <w:sz w:val="24"/>
        <w:szCs w:val="24"/>
        <w:lang w:val="es-MX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  <w:lang w:val="es-MX"/>
      </w:rPr>
      <w:t>78</w:t>
    </w:r>
    <w:r w:rsidR="00B00450">
      <w:rPr>
        <w:rFonts w:ascii="Arial" w:hAnsi="Arial" w:cs="Arial"/>
        <w:b/>
        <w:color w:val="002060"/>
        <w:sz w:val="24"/>
        <w:szCs w:val="24"/>
        <w:lang w:val="es-MX"/>
      </w:rPr>
      <w:t>1</w:t>
    </w:r>
    <w:r w:rsidRPr="00E87660">
      <w:rPr>
        <w:rFonts w:ascii="Arial" w:hAnsi="Arial" w:cs="Arial"/>
        <w:b/>
        <w:color w:val="002060"/>
        <w:sz w:val="24"/>
        <w:szCs w:val="24"/>
        <w:lang w:val="es-MX"/>
      </w:rPr>
      <w:t>/22</w:t>
    </w:r>
  </w:p>
  <w:p w14:paraId="5CBD359C" w14:textId="733E9D73" w:rsidR="00322826" w:rsidRDefault="00322826" w:rsidP="00D943A4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 14 DE DICIEMBRE DE 2022</w:t>
    </w:r>
  </w:p>
  <w:p w14:paraId="61BE87CC" w14:textId="536152F5" w:rsidR="00322826" w:rsidRDefault="00322826" w:rsidP="00D943A4">
    <w:pPr>
      <w:pStyle w:val="Encabezado"/>
      <w:framePr w:w="5391" w:hSpace="141" w:wrap="auto" w:vAnchor="text" w:hAnchor="page" w:x="5708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>
      <w:rPr>
        <w:rFonts w:ascii="Arial" w:hAnsi="Arial" w:cs="Arial"/>
        <w:b/>
        <w:color w:val="002060"/>
        <w:sz w:val="24"/>
        <w:szCs w:val="24"/>
      </w:rPr>
      <w:fldChar w:fldCharType="begin"/>
    </w:r>
    <w:r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>
      <w:rPr>
        <w:rFonts w:ascii="Arial" w:hAnsi="Arial" w:cs="Arial"/>
        <w:b/>
        <w:color w:val="002060"/>
        <w:sz w:val="24"/>
        <w:szCs w:val="24"/>
      </w:rPr>
      <w:fldChar w:fldCharType="separate"/>
    </w:r>
    <w:r w:rsidRPr="00E87660">
      <w:rPr>
        <w:rFonts w:ascii="Arial" w:hAnsi="Arial" w:cs="Arial"/>
        <w:color w:val="002060"/>
        <w:sz w:val="24"/>
        <w:szCs w:val="24"/>
        <w:lang w:val="es-MX"/>
      </w:rPr>
      <w:t>1</w:t>
    </w:r>
    <w:r>
      <w:rPr>
        <w:rFonts w:ascii="Arial" w:hAnsi="Arial" w:cs="Arial"/>
        <w:color w:val="002060"/>
        <w:sz w:val="24"/>
        <w:szCs w:val="24"/>
      </w:rPr>
      <w:fldChar w:fldCharType="end"/>
    </w:r>
    <w:r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EA4ADB">
      <w:rPr>
        <w:rFonts w:ascii="Arial" w:hAnsi="Arial" w:cs="Arial"/>
        <w:b/>
        <w:color w:val="002060"/>
        <w:sz w:val="24"/>
        <w:szCs w:val="24"/>
        <w:lang w:val="pt-BR"/>
      </w:rPr>
      <w:t>9</w:t>
    </w:r>
  </w:p>
  <w:p w14:paraId="678425F5" w14:textId="44847FFA" w:rsidR="00322826" w:rsidRPr="00E87660" w:rsidRDefault="00322826" w:rsidP="00E87660">
    <w:pPr>
      <w:pStyle w:val="Encabezado"/>
      <w:ind w:left="-284"/>
      <w:rPr>
        <w:lang w:val="es-MX"/>
      </w:rPr>
    </w:pPr>
    <w:r>
      <w:rPr>
        <w:noProof/>
        <w:lang w:eastAsia="es-MX"/>
      </w:rPr>
      <w:drawing>
        <wp:inline distT="0" distB="0" distL="0" distR="0" wp14:anchorId="6AAA5731" wp14:editId="54F55DF0">
          <wp:extent cx="752475" cy="781050"/>
          <wp:effectExtent l="0" t="0" r="9525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CA58" w14:textId="6A4B58F1" w:rsidR="00322826" w:rsidRDefault="00322826" w:rsidP="00E87660">
    <w:pPr>
      <w:pStyle w:val="Encabezado"/>
      <w:ind w:left="-284" w:right="-279"/>
      <w:jc w:val="center"/>
      <w:rPr>
        <w:lang w:val="es-MX"/>
      </w:rPr>
    </w:pPr>
    <w:r>
      <w:rPr>
        <w:noProof/>
        <w:lang w:eastAsia="es-MX"/>
      </w:rPr>
      <w:drawing>
        <wp:inline distT="0" distB="0" distL="0" distR="0" wp14:anchorId="20100F27" wp14:editId="2321FC79">
          <wp:extent cx="752475" cy="78105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1824A" w14:textId="77777777" w:rsidR="00322826" w:rsidRDefault="003228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72A40"/>
    <w:multiLevelType w:val="hybridMultilevel"/>
    <w:tmpl w:val="1A9632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76905"/>
    <w:multiLevelType w:val="hybridMultilevel"/>
    <w:tmpl w:val="70803810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C686B9D"/>
    <w:multiLevelType w:val="hybridMultilevel"/>
    <w:tmpl w:val="77649DFA"/>
    <w:lvl w:ilvl="0" w:tplc="F4400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D8F6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CE2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68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86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2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06D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AC1C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2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2BF"/>
    <w:multiLevelType w:val="hybridMultilevel"/>
    <w:tmpl w:val="A8BCDDE6"/>
    <w:lvl w:ilvl="0" w:tplc="6F6847AC">
      <w:start w:val="1"/>
      <w:numFmt w:val="bullet"/>
      <w:pStyle w:val="v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8742C"/>
    <w:multiLevelType w:val="hybridMultilevel"/>
    <w:tmpl w:val="1D246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B19F3"/>
    <w:multiLevelType w:val="hybridMultilevel"/>
    <w:tmpl w:val="797AC0B6"/>
    <w:lvl w:ilvl="0" w:tplc="B588B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886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22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8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2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2A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4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B24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0E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B600778-9E52-4E42-8FE6-1D2AFB6BDF4F}"/>
    <w:docVar w:name="dgnword-eventsink" w:val="1857903116768"/>
  </w:docVars>
  <w:rsids>
    <w:rsidRoot w:val="00F04E66"/>
    <w:rsid w:val="00012BAF"/>
    <w:rsid w:val="00014CA1"/>
    <w:rsid w:val="0003574C"/>
    <w:rsid w:val="00037773"/>
    <w:rsid w:val="00051A27"/>
    <w:rsid w:val="00084144"/>
    <w:rsid w:val="0008416E"/>
    <w:rsid w:val="00091C54"/>
    <w:rsid w:val="000A1091"/>
    <w:rsid w:val="000B0B39"/>
    <w:rsid w:val="000B3E58"/>
    <w:rsid w:val="000C04B6"/>
    <w:rsid w:val="000E00CA"/>
    <w:rsid w:val="00100148"/>
    <w:rsid w:val="00101180"/>
    <w:rsid w:val="00103297"/>
    <w:rsid w:val="0011163F"/>
    <w:rsid w:val="001127B4"/>
    <w:rsid w:val="00120E3D"/>
    <w:rsid w:val="001255C2"/>
    <w:rsid w:val="00150C9E"/>
    <w:rsid w:val="00165760"/>
    <w:rsid w:val="001735CE"/>
    <w:rsid w:val="001854C1"/>
    <w:rsid w:val="001925E2"/>
    <w:rsid w:val="00196679"/>
    <w:rsid w:val="001D3779"/>
    <w:rsid w:val="001D3A44"/>
    <w:rsid w:val="00201559"/>
    <w:rsid w:val="002049CE"/>
    <w:rsid w:val="00207078"/>
    <w:rsid w:val="002112C3"/>
    <w:rsid w:val="002213DC"/>
    <w:rsid w:val="00233073"/>
    <w:rsid w:val="002654F2"/>
    <w:rsid w:val="002735F0"/>
    <w:rsid w:val="002753ED"/>
    <w:rsid w:val="00277256"/>
    <w:rsid w:val="00277C6D"/>
    <w:rsid w:val="002A6543"/>
    <w:rsid w:val="002B4635"/>
    <w:rsid w:val="002D05BA"/>
    <w:rsid w:val="002D42E4"/>
    <w:rsid w:val="002D6FD6"/>
    <w:rsid w:val="002D7312"/>
    <w:rsid w:val="00316AB3"/>
    <w:rsid w:val="00316C69"/>
    <w:rsid w:val="00322826"/>
    <w:rsid w:val="003363AC"/>
    <w:rsid w:val="00337A81"/>
    <w:rsid w:val="00340149"/>
    <w:rsid w:val="00355865"/>
    <w:rsid w:val="00355D21"/>
    <w:rsid w:val="00363F75"/>
    <w:rsid w:val="00373BF0"/>
    <w:rsid w:val="0038320E"/>
    <w:rsid w:val="00384F96"/>
    <w:rsid w:val="00385BF6"/>
    <w:rsid w:val="003878F0"/>
    <w:rsid w:val="00393423"/>
    <w:rsid w:val="003A4541"/>
    <w:rsid w:val="003C2EC4"/>
    <w:rsid w:val="003C55A6"/>
    <w:rsid w:val="003D72F0"/>
    <w:rsid w:val="003D7D59"/>
    <w:rsid w:val="003E021A"/>
    <w:rsid w:val="003E0D40"/>
    <w:rsid w:val="003F7240"/>
    <w:rsid w:val="003F7954"/>
    <w:rsid w:val="00413426"/>
    <w:rsid w:val="0042089F"/>
    <w:rsid w:val="00450248"/>
    <w:rsid w:val="00455F26"/>
    <w:rsid w:val="004618CE"/>
    <w:rsid w:val="0046470E"/>
    <w:rsid w:val="0047005B"/>
    <w:rsid w:val="00470505"/>
    <w:rsid w:val="004A4900"/>
    <w:rsid w:val="004B31C8"/>
    <w:rsid w:val="004B78CD"/>
    <w:rsid w:val="004D7231"/>
    <w:rsid w:val="004F51F1"/>
    <w:rsid w:val="00503730"/>
    <w:rsid w:val="00530F0F"/>
    <w:rsid w:val="00542F71"/>
    <w:rsid w:val="00556E4A"/>
    <w:rsid w:val="00561C35"/>
    <w:rsid w:val="0056459C"/>
    <w:rsid w:val="00566CB1"/>
    <w:rsid w:val="00572273"/>
    <w:rsid w:val="00577C9B"/>
    <w:rsid w:val="0058176E"/>
    <w:rsid w:val="005864D2"/>
    <w:rsid w:val="00593410"/>
    <w:rsid w:val="00595749"/>
    <w:rsid w:val="00596C0B"/>
    <w:rsid w:val="005C7DC0"/>
    <w:rsid w:val="005D4278"/>
    <w:rsid w:val="005D7826"/>
    <w:rsid w:val="006044F1"/>
    <w:rsid w:val="0060479A"/>
    <w:rsid w:val="00605740"/>
    <w:rsid w:val="00606F74"/>
    <w:rsid w:val="0060710E"/>
    <w:rsid w:val="00641BB6"/>
    <w:rsid w:val="006577F9"/>
    <w:rsid w:val="0067456D"/>
    <w:rsid w:val="0067598F"/>
    <w:rsid w:val="006762C5"/>
    <w:rsid w:val="006A295B"/>
    <w:rsid w:val="006A4BE7"/>
    <w:rsid w:val="006B312F"/>
    <w:rsid w:val="006D1762"/>
    <w:rsid w:val="006D430F"/>
    <w:rsid w:val="006D72D4"/>
    <w:rsid w:val="00711DD1"/>
    <w:rsid w:val="00722137"/>
    <w:rsid w:val="00725E9C"/>
    <w:rsid w:val="00760C5D"/>
    <w:rsid w:val="007914F0"/>
    <w:rsid w:val="00791AA1"/>
    <w:rsid w:val="007A5A57"/>
    <w:rsid w:val="007A5F84"/>
    <w:rsid w:val="007B5E6F"/>
    <w:rsid w:val="00803917"/>
    <w:rsid w:val="00806806"/>
    <w:rsid w:val="008278DF"/>
    <w:rsid w:val="00827AB1"/>
    <w:rsid w:val="0083202E"/>
    <w:rsid w:val="008458B9"/>
    <w:rsid w:val="00876EB0"/>
    <w:rsid w:val="00897558"/>
    <w:rsid w:val="00897E9E"/>
    <w:rsid w:val="008B52B8"/>
    <w:rsid w:val="008D4DE1"/>
    <w:rsid w:val="008E00E6"/>
    <w:rsid w:val="008F2880"/>
    <w:rsid w:val="00915351"/>
    <w:rsid w:val="0091742B"/>
    <w:rsid w:val="00937361"/>
    <w:rsid w:val="0095194E"/>
    <w:rsid w:val="00953D9D"/>
    <w:rsid w:val="00962102"/>
    <w:rsid w:val="009650BF"/>
    <w:rsid w:val="00965E10"/>
    <w:rsid w:val="00976906"/>
    <w:rsid w:val="00994B0D"/>
    <w:rsid w:val="009A4324"/>
    <w:rsid w:val="009B40DA"/>
    <w:rsid w:val="009B50EC"/>
    <w:rsid w:val="009C66BC"/>
    <w:rsid w:val="009C7CE0"/>
    <w:rsid w:val="009D3696"/>
    <w:rsid w:val="009D3AED"/>
    <w:rsid w:val="009D40B4"/>
    <w:rsid w:val="009D6C2B"/>
    <w:rsid w:val="009E0B78"/>
    <w:rsid w:val="00A0338B"/>
    <w:rsid w:val="00A40C0F"/>
    <w:rsid w:val="00A417AF"/>
    <w:rsid w:val="00A47424"/>
    <w:rsid w:val="00A5570C"/>
    <w:rsid w:val="00A61FED"/>
    <w:rsid w:val="00A773D5"/>
    <w:rsid w:val="00AA010B"/>
    <w:rsid w:val="00AC0BDB"/>
    <w:rsid w:val="00AC3E33"/>
    <w:rsid w:val="00AC564A"/>
    <w:rsid w:val="00AD60EA"/>
    <w:rsid w:val="00AF57CD"/>
    <w:rsid w:val="00B00450"/>
    <w:rsid w:val="00B22DD7"/>
    <w:rsid w:val="00B24DDD"/>
    <w:rsid w:val="00B35C0C"/>
    <w:rsid w:val="00B418E9"/>
    <w:rsid w:val="00B4518D"/>
    <w:rsid w:val="00B51F35"/>
    <w:rsid w:val="00B54CD9"/>
    <w:rsid w:val="00B80155"/>
    <w:rsid w:val="00B85BCA"/>
    <w:rsid w:val="00B920F6"/>
    <w:rsid w:val="00BA2E58"/>
    <w:rsid w:val="00BC35BF"/>
    <w:rsid w:val="00BD4C19"/>
    <w:rsid w:val="00BE1CF6"/>
    <w:rsid w:val="00BF2837"/>
    <w:rsid w:val="00C028EB"/>
    <w:rsid w:val="00C114EB"/>
    <w:rsid w:val="00C12E63"/>
    <w:rsid w:val="00C30410"/>
    <w:rsid w:val="00C400A6"/>
    <w:rsid w:val="00C520FA"/>
    <w:rsid w:val="00C54CF5"/>
    <w:rsid w:val="00C62568"/>
    <w:rsid w:val="00C90030"/>
    <w:rsid w:val="00C93E80"/>
    <w:rsid w:val="00CA2508"/>
    <w:rsid w:val="00CA40A9"/>
    <w:rsid w:val="00CA54D2"/>
    <w:rsid w:val="00CC3BBA"/>
    <w:rsid w:val="00CE3A2D"/>
    <w:rsid w:val="00CF6C93"/>
    <w:rsid w:val="00D14E3A"/>
    <w:rsid w:val="00D45E75"/>
    <w:rsid w:val="00D621FB"/>
    <w:rsid w:val="00D67049"/>
    <w:rsid w:val="00D70255"/>
    <w:rsid w:val="00D71F64"/>
    <w:rsid w:val="00D74136"/>
    <w:rsid w:val="00D943A4"/>
    <w:rsid w:val="00D977C7"/>
    <w:rsid w:val="00DA4CCA"/>
    <w:rsid w:val="00DA5715"/>
    <w:rsid w:val="00DB10EB"/>
    <w:rsid w:val="00DB2255"/>
    <w:rsid w:val="00DB7CEA"/>
    <w:rsid w:val="00DC40F3"/>
    <w:rsid w:val="00DC6182"/>
    <w:rsid w:val="00DE66BF"/>
    <w:rsid w:val="00DF43B6"/>
    <w:rsid w:val="00E00F32"/>
    <w:rsid w:val="00E726EA"/>
    <w:rsid w:val="00E74C03"/>
    <w:rsid w:val="00E770C0"/>
    <w:rsid w:val="00E87660"/>
    <w:rsid w:val="00E91A16"/>
    <w:rsid w:val="00E95319"/>
    <w:rsid w:val="00E95405"/>
    <w:rsid w:val="00E96A5C"/>
    <w:rsid w:val="00E978DC"/>
    <w:rsid w:val="00EA4ADB"/>
    <w:rsid w:val="00EE2629"/>
    <w:rsid w:val="00F04E66"/>
    <w:rsid w:val="00F21FB2"/>
    <w:rsid w:val="00F22F0C"/>
    <w:rsid w:val="00F24D7E"/>
    <w:rsid w:val="00F33FD2"/>
    <w:rsid w:val="00F51C56"/>
    <w:rsid w:val="00F56815"/>
    <w:rsid w:val="00F668BF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25A54"/>
  <w15:chartTrackingRefBased/>
  <w15:docId w15:val="{A6725EA6-CD8D-466E-B676-E1B22DC5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ie">
    <w:name w:val="viñe"/>
    <w:basedOn w:val="Prrafodelista"/>
    <w:qFormat/>
    <w:rsid w:val="00F04E66"/>
    <w:pPr>
      <w:numPr>
        <w:numId w:val="1"/>
      </w:numPr>
      <w:spacing w:after="200" w:line="264" w:lineRule="auto"/>
      <w:ind w:left="714" w:hanging="357"/>
      <w:contextualSpacing w:val="0"/>
      <w:jc w:val="both"/>
    </w:pPr>
    <w:rPr>
      <w:rFonts w:ascii="Arial" w:hAnsi="Arial" w:cs="Arial"/>
      <w:sz w:val="24"/>
      <w:lang w:val="es-MX"/>
    </w:rPr>
  </w:style>
  <w:style w:type="character" w:customStyle="1" w:styleId="pieCar">
    <w:name w:val="pie Car"/>
    <w:basedOn w:val="Fuentedeprrafopredeter"/>
    <w:link w:val="pie"/>
    <w:locked/>
    <w:rsid w:val="00F04E66"/>
    <w:rPr>
      <w:rFonts w:ascii="Times New Roman" w:hAnsi="Times New Roman" w:cs="Times New Roman"/>
      <w:sz w:val="20"/>
      <w:szCs w:val="20"/>
      <w:lang w:val="es-MX"/>
    </w:rPr>
  </w:style>
  <w:style w:type="paragraph" w:customStyle="1" w:styleId="pie">
    <w:name w:val="pie"/>
    <w:basedOn w:val="Textonotapie"/>
    <w:link w:val="pieCar"/>
    <w:qFormat/>
    <w:rsid w:val="00F04E66"/>
    <w:pPr>
      <w:spacing w:after="80"/>
      <w:ind w:left="284" w:hanging="284"/>
      <w:jc w:val="both"/>
    </w:pPr>
    <w:rPr>
      <w:rFonts w:ascii="Times New Roman" w:hAnsi="Times New Roman" w:cs="Times New Roman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F04E66"/>
    <w:rPr>
      <w:vertAlign w:val="superscript"/>
    </w:rPr>
  </w:style>
  <w:style w:type="paragraph" w:styleId="Prrafodelista">
    <w:name w:val="List Paragraph"/>
    <w:basedOn w:val="Normal"/>
    <w:uiPriority w:val="34"/>
    <w:qFormat/>
    <w:rsid w:val="00F04E6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04E6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4E66"/>
    <w:rPr>
      <w:sz w:val="20"/>
      <w:szCs w:val="20"/>
    </w:rPr>
  </w:style>
  <w:style w:type="paragraph" w:styleId="Revisin">
    <w:name w:val="Revision"/>
    <w:hidden/>
    <w:uiPriority w:val="99"/>
    <w:semiHidden/>
    <w:rsid w:val="00DE66B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24D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24D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D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D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D7E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937361"/>
  </w:style>
  <w:style w:type="character" w:styleId="Hipervnculo">
    <w:name w:val="Hyperlink"/>
    <w:basedOn w:val="Fuentedeprrafopredeter"/>
    <w:uiPriority w:val="99"/>
    <w:unhideWhenUsed/>
    <w:rsid w:val="008068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680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D94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943A4"/>
  </w:style>
  <w:style w:type="paragraph" w:styleId="Piedepgina">
    <w:name w:val="footer"/>
    <w:basedOn w:val="Normal"/>
    <w:link w:val="PiedepginaCar"/>
    <w:uiPriority w:val="99"/>
    <w:unhideWhenUsed/>
    <w:rsid w:val="00D94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3A4"/>
  </w:style>
  <w:style w:type="paragraph" w:styleId="Textodeglobo">
    <w:name w:val="Balloon Text"/>
    <w:basedOn w:val="Normal"/>
    <w:link w:val="TextodegloboCar"/>
    <w:uiPriority w:val="99"/>
    <w:semiHidden/>
    <w:unhideWhenUsed/>
    <w:rsid w:val="00D9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3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4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978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835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://www.inegi.org.mx/investigacion/coumip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www.instagram.com/inegi_inform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hyperlink" Target="mailto:comunicacionsocial@inegi.org.mx" TargetMode="External"/><Relationship Id="rId22" Type="http://schemas.openxmlformats.org/officeDocument/2006/relationships/image" Target="media/image7.jpeg"/><Relationship Id="rId27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egi.org.mx/programas/mip/2013/" TargetMode="External"/><Relationship Id="rId1" Type="http://schemas.openxmlformats.org/officeDocument/2006/relationships/hyperlink" Target="https://www.inegi.org.mx/programas/cou/201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Estado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export!$S$2:$S$33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export!$N$2:$N$33</c:f>
              <c:numCache>
                <c:formatCode>#,##0</c:formatCode>
                <c:ptCount val="32"/>
                <c:pt idx="0">
                  <c:v>32.412286312703223</c:v>
                </c:pt>
                <c:pt idx="1">
                  <c:v>37.559583710655033</c:v>
                </c:pt>
                <c:pt idx="2">
                  <c:v>55.681962319599876</c:v>
                </c:pt>
                <c:pt idx="3">
                  <c:v>22.343830793774863</c:v>
                </c:pt>
                <c:pt idx="4">
                  <c:v>28.380381460330025</c:v>
                </c:pt>
                <c:pt idx="5">
                  <c:v>46.96300614022141</c:v>
                </c:pt>
                <c:pt idx="6">
                  <c:v>59.321948382999359</c:v>
                </c:pt>
                <c:pt idx="7">
                  <c:v>24.819740903481748</c:v>
                </c:pt>
                <c:pt idx="8">
                  <c:v>51.746553752191417</c:v>
                </c:pt>
                <c:pt idx="9">
                  <c:v>47.707891083774072</c:v>
                </c:pt>
                <c:pt idx="10">
                  <c:v>48.122012375082349</c:v>
                </c:pt>
                <c:pt idx="11">
                  <c:v>58.647819728126883</c:v>
                </c:pt>
                <c:pt idx="12">
                  <c:v>37.468739676799686</c:v>
                </c:pt>
                <c:pt idx="13">
                  <c:v>50.154486869946538</c:v>
                </c:pt>
                <c:pt idx="14">
                  <c:v>56.293825491561265</c:v>
                </c:pt>
                <c:pt idx="15">
                  <c:v>48.786960289102957</c:v>
                </c:pt>
                <c:pt idx="16">
                  <c:v>42.510634918020315</c:v>
                </c:pt>
                <c:pt idx="17">
                  <c:v>57.542509742338964</c:v>
                </c:pt>
                <c:pt idx="18">
                  <c:v>45.850913789412132</c:v>
                </c:pt>
                <c:pt idx="19">
                  <c:v>51.371626984583543</c:v>
                </c:pt>
                <c:pt idx="20">
                  <c:v>44.63744281265798</c:v>
                </c:pt>
                <c:pt idx="21">
                  <c:v>39.685308507316826</c:v>
                </c:pt>
                <c:pt idx="22">
                  <c:v>62.447817550197811</c:v>
                </c:pt>
                <c:pt idx="23">
                  <c:v>41.197238393572817</c:v>
                </c:pt>
                <c:pt idx="24">
                  <c:v>57.54099730472447</c:v>
                </c:pt>
                <c:pt idx="25">
                  <c:v>49.561714035099094</c:v>
                </c:pt>
                <c:pt idx="26">
                  <c:v>37.723758226766918</c:v>
                </c:pt>
                <c:pt idx="27">
                  <c:v>36.045639900819296</c:v>
                </c:pt>
                <c:pt idx="28">
                  <c:v>37.824973092716931</c:v>
                </c:pt>
                <c:pt idx="29">
                  <c:v>53.615700805603758</c:v>
                </c:pt>
                <c:pt idx="30">
                  <c:v>60.168110335913823</c:v>
                </c:pt>
                <c:pt idx="31">
                  <c:v>38.31871592783957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08-4DD2-A411-AC66F034A660}"/>
            </c:ext>
          </c:extLst>
        </c:ser>
        <c:ser>
          <c:idx val="1"/>
          <c:order val="1"/>
          <c:tx>
            <c:v>Resto del país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export!$S$2:$S$33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export!$O$2:$O$33</c:f>
              <c:numCache>
                <c:formatCode>#,##0</c:formatCode>
                <c:ptCount val="32"/>
                <c:pt idx="0">
                  <c:v>42.751235434732195</c:v>
                </c:pt>
                <c:pt idx="1">
                  <c:v>11.502409411088406</c:v>
                </c:pt>
                <c:pt idx="2">
                  <c:v>42.272273988032552</c:v>
                </c:pt>
                <c:pt idx="3">
                  <c:v>40.216925406323909</c:v>
                </c:pt>
                <c:pt idx="4">
                  <c:v>29.70900751083656</c:v>
                </c:pt>
                <c:pt idx="5">
                  <c:v>49.186226266485143</c:v>
                </c:pt>
                <c:pt idx="6">
                  <c:v>34.008788726311423</c:v>
                </c:pt>
                <c:pt idx="7">
                  <c:v>11.583710178189488</c:v>
                </c:pt>
                <c:pt idx="8">
                  <c:v>46.657780944454984</c:v>
                </c:pt>
                <c:pt idx="9">
                  <c:v>43.1552866372895</c:v>
                </c:pt>
                <c:pt idx="10">
                  <c:v>37.384350379417697</c:v>
                </c:pt>
                <c:pt idx="11">
                  <c:v>38.290071930242455</c:v>
                </c:pt>
                <c:pt idx="12">
                  <c:v>56.298629429970795</c:v>
                </c:pt>
                <c:pt idx="13">
                  <c:v>33.290967047448426</c:v>
                </c:pt>
                <c:pt idx="14">
                  <c:v>33.2571982974439</c:v>
                </c:pt>
                <c:pt idx="15">
                  <c:v>44.114632625925374</c:v>
                </c:pt>
                <c:pt idx="16">
                  <c:v>40.022178335688196</c:v>
                </c:pt>
                <c:pt idx="17">
                  <c:v>39.721406607771975</c:v>
                </c:pt>
                <c:pt idx="18">
                  <c:v>35.23970336588939</c:v>
                </c:pt>
                <c:pt idx="19">
                  <c:v>42.801828024667202</c:v>
                </c:pt>
                <c:pt idx="20">
                  <c:v>40.588077964464773</c:v>
                </c:pt>
                <c:pt idx="21">
                  <c:v>41.442945209528645</c:v>
                </c:pt>
                <c:pt idx="22">
                  <c:v>37.061208975850576</c:v>
                </c:pt>
                <c:pt idx="23">
                  <c:v>39.518289641812828</c:v>
                </c:pt>
                <c:pt idx="24">
                  <c:v>38.590704236793506</c:v>
                </c:pt>
                <c:pt idx="25">
                  <c:v>25.865080627588771</c:v>
                </c:pt>
                <c:pt idx="26">
                  <c:v>41.051817224098066</c:v>
                </c:pt>
                <c:pt idx="27">
                  <c:v>28.576195550284826</c:v>
                </c:pt>
                <c:pt idx="28">
                  <c:v>49.758822423407999</c:v>
                </c:pt>
                <c:pt idx="29">
                  <c:v>36.577431962636311</c:v>
                </c:pt>
                <c:pt idx="30">
                  <c:v>34.344665148948778</c:v>
                </c:pt>
                <c:pt idx="31">
                  <c:v>41.069655595960228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08-4DD2-A411-AC66F034A660}"/>
            </c:ext>
          </c:extLst>
        </c:ser>
        <c:ser>
          <c:idx val="2"/>
          <c:order val="2"/>
          <c:tx>
            <c:v>Resto del mundo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export!$S$2:$S$33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export!$P$2:$P$33</c:f>
              <c:numCache>
                <c:formatCode>#,##0</c:formatCode>
                <c:ptCount val="32"/>
                <c:pt idx="0">
                  <c:v>24.836478252564572</c:v>
                </c:pt>
                <c:pt idx="1">
                  <c:v>50.938006878256573</c:v>
                </c:pt>
                <c:pt idx="2">
                  <c:v>2.0457636923675611</c:v>
                </c:pt>
                <c:pt idx="3">
                  <c:v>37.43924379990127</c:v>
                </c:pt>
                <c:pt idx="4">
                  <c:v>41.910611028833415</c:v>
                </c:pt>
                <c:pt idx="5">
                  <c:v>3.850767593293456</c:v>
                </c:pt>
                <c:pt idx="6">
                  <c:v>6.6692628906892217</c:v>
                </c:pt>
                <c:pt idx="7">
                  <c:v>63.596548918328764</c:v>
                </c:pt>
                <c:pt idx="8">
                  <c:v>1.5956653033535864</c:v>
                </c:pt>
                <c:pt idx="9">
                  <c:v>9.1368222789364317</c:v>
                </c:pt>
                <c:pt idx="10">
                  <c:v>14.493637245499958</c:v>
                </c:pt>
                <c:pt idx="11">
                  <c:v>3.0621083416306432</c:v>
                </c:pt>
                <c:pt idx="12">
                  <c:v>6.2326308932295227</c:v>
                </c:pt>
                <c:pt idx="13">
                  <c:v>16.554546082605011</c:v>
                </c:pt>
                <c:pt idx="14">
                  <c:v>10.448976210994863</c:v>
                </c:pt>
                <c:pt idx="15">
                  <c:v>7.0984070849716643</c:v>
                </c:pt>
                <c:pt idx="16">
                  <c:v>17.467186746291475</c:v>
                </c:pt>
                <c:pt idx="17">
                  <c:v>2.7360836498890451</c:v>
                </c:pt>
                <c:pt idx="18">
                  <c:v>18.909382844698484</c:v>
                </c:pt>
                <c:pt idx="19">
                  <c:v>5.8265449907492561</c:v>
                </c:pt>
                <c:pt idx="20">
                  <c:v>14.774479222877265</c:v>
                </c:pt>
                <c:pt idx="21">
                  <c:v>18.871746283154582</c:v>
                </c:pt>
                <c:pt idx="22">
                  <c:v>0.4909734739515963</c:v>
                </c:pt>
                <c:pt idx="23">
                  <c:v>19.284471964614344</c:v>
                </c:pt>
                <c:pt idx="24">
                  <c:v>3.8682984584820344</c:v>
                </c:pt>
                <c:pt idx="25">
                  <c:v>24.573205337312118</c:v>
                </c:pt>
                <c:pt idx="26">
                  <c:v>21.224424549134994</c:v>
                </c:pt>
                <c:pt idx="27">
                  <c:v>35.378164548895889</c:v>
                </c:pt>
                <c:pt idx="28">
                  <c:v>12.416204483875097</c:v>
                </c:pt>
                <c:pt idx="29">
                  <c:v>9.8068672317599379</c:v>
                </c:pt>
                <c:pt idx="30">
                  <c:v>5.4872245151373935</c:v>
                </c:pt>
                <c:pt idx="31">
                  <c:v>20.611628476200181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08-4DD2-A411-AC66F034A66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100"/>
        <c:axId val="709967615"/>
        <c:axId val="709969279"/>
      </c:barChart>
      <c:catAx>
        <c:axId val="7099676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09969279"/>
        <c:crosses val="autoZero"/>
        <c:auto val="1"/>
        <c:lblAlgn val="ctr"/>
        <c:lblOffset val="100"/>
        <c:noMultiLvlLbl val="0"/>
      </c:catAx>
      <c:valAx>
        <c:axId val="709969279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1100" dirty="0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099676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1673918164075648"/>
          <c:y val="4.5862793808522838E-2"/>
          <c:w val="0.56652146847028739"/>
          <c:h val="6.94324780203162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solidFill>
            <a:sysClr val="windowText" lastClr="000000"/>
          </a:solidFill>
        </a:defRPr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Import!$A$22</c:f>
              <c:strCache>
                <c:ptCount val="1"/>
                <c:pt idx="0">
                  <c:v>Estado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Import!$B$27:$AG$27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Import!$B$22:$AG$22</c:f>
              <c:numCache>
                <c:formatCode>#,##0</c:formatCode>
                <c:ptCount val="32"/>
                <c:pt idx="0">
                  <c:v>20.0970765939574</c:v>
                </c:pt>
                <c:pt idx="1">
                  <c:v>18.00925695610103</c:v>
                </c:pt>
                <c:pt idx="2">
                  <c:v>32.479952806205894</c:v>
                </c:pt>
                <c:pt idx="3">
                  <c:v>7.3180258190064542</c:v>
                </c:pt>
                <c:pt idx="4">
                  <c:v>25.425209849441604</c:v>
                </c:pt>
                <c:pt idx="5">
                  <c:v>30.4061567910402</c:v>
                </c:pt>
                <c:pt idx="6">
                  <c:v>36.075301855669402</c:v>
                </c:pt>
                <c:pt idx="7">
                  <c:v>13.516413193677437</c:v>
                </c:pt>
                <c:pt idx="8">
                  <c:v>47.536857020809862</c:v>
                </c:pt>
                <c:pt idx="9">
                  <c:v>37.526585032433182</c:v>
                </c:pt>
                <c:pt idx="10">
                  <c:v>28.536899386146047</c:v>
                </c:pt>
                <c:pt idx="11">
                  <c:v>26.683636341966512</c:v>
                </c:pt>
                <c:pt idx="12">
                  <c:v>23.302384928513117</c:v>
                </c:pt>
                <c:pt idx="13">
                  <c:v>32.143403587458025</c:v>
                </c:pt>
                <c:pt idx="14">
                  <c:v>29.021183757056701</c:v>
                </c:pt>
                <c:pt idx="15">
                  <c:v>31.366632683401157</c:v>
                </c:pt>
                <c:pt idx="16">
                  <c:v>19.832196534301783</c:v>
                </c:pt>
                <c:pt idx="17">
                  <c:v>23.87538457989632</c:v>
                </c:pt>
                <c:pt idx="18">
                  <c:v>39.435918764919293</c:v>
                </c:pt>
                <c:pt idx="19">
                  <c:v>25.198785165759634</c:v>
                </c:pt>
                <c:pt idx="20">
                  <c:v>28.229562253361458</c:v>
                </c:pt>
                <c:pt idx="21">
                  <c:v>27.050538277912352</c:v>
                </c:pt>
                <c:pt idx="22">
                  <c:v>37.361223664627857</c:v>
                </c:pt>
                <c:pt idx="23">
                  <c:v>29.390388640866767</c:v>
                </c:pt>
                <c:pt idx="24">
                  <c:v>43.373673135594323</c:v>
                </c:pt>
                <c:pt idx="25">
                  <c:v>45.272281652125606</c:v>
                </c:pt>
                <c:pt idx="26">
                  <c:v>43.286957258444637</c:v>
                </c:pt>
                <c:pt idx="27">
                  <c:v>24.37375546836202</c:v>
                </c:pt>
                <c:pt idx="28">
                  <c:v>21.130955567473038</c:v>
                </c:pt>
                <c:pt idx="29">
                  <c:v>38.295558574664106</c:v>
                </c:pt>
                <c:pt idx="30">
                  <c:v>40.04236144538357</c:v>
                </c:pt>
                <c:pt idx="31">
                  <c:v>20.544563464538289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BD-4D93-839C-1A4CE16E427D}"/>
            </c:ext>
          </c:extLst>
        </c:ser>
        <c:ser>
          <c:idx val="1"/>
          <c:order val="1"/>
          <c:tx>
            <c:strRef>
              <c:f>Import!$A$23</c:f>
              <c:strCache>
                <c:ptCount val="1"/>
                <c:pt idx="0">
                  <c:v>Resto del país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Import!$B$27:$AG$27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Import!$B$23:$AG$23</c:f>
              <c:numCache>
                <c:formatCode>#,##0</c:formatCode>
                <c:ptCount val="32"/>
                <c:pt idx="0">
                  <c:v>40.097700475921712</c:v>
                </c:pt>
                <c:pt idx="1">
                  <c:v>32.778438709562067</c:v>
                </c:pt>
                <c:pt idx="2">
                  <c:v>52.630396008355937</c:v>
                </c:pt>
                <c:pt idx="3">
                  <c:v>69.01728444319356</c:v>
                </c:pt>
                <c:pt idx="4">
                  <c:v>37.985842358187092</c:v>
                </c:pt>
                <c:pt idx="5">
                  <c:v>51.325164945540436</c:v>
                </c:pt>
                <c:pt idx="6">
                  <c:v>48.00604390960914</c:v>
                </c:pt>
                <c:pt idx="7">
                  <c:v>33.107543065807711</c:v>
                </c:pt>
                <c:pt idx="8">
                  <c:v>30.005323413504247</c:v>
                </c:pt>
                <c:pt idx="9">
                  <c:v>44.738355546350874</c:v>
                </c:pt>
                <c:pt idx="10">
                  <c:v>38.857975421958187</c:v>
                </c:pt>
                <c:pt idx="11">
                  <c:v>55.451470614427869</c:v>
                </c:pt>
                <c:pt idx="12">
                  <c:v>43.331420051914293</c:v>
                </c:pt>
                <c:pt idx="13">
                  <c:v>27.849106869815216</c:v>
                </c:pt>
                <c:pt idx="14">
                  <c:v>32.129847093505951</c:v>
                </c:pt>
                <c:pt idx="15">
                  <c:v>45.587582846153204</c:v>
                </c:pt>
                <c:pt idx="16">
                  <c:v>44.269496046244981</c:v>
                </c:pt>
                <c:pt idx="17">
                  <c:v>58.421969906866387</c:v>
                </c:pt>
                <c:pt idx="18">
                  <c:v>27.36853020021664</c:v>
                </c:pt>
                <c:pt idx="19">
                  <c:v>53.952452887469285</c:v>
                </c:pt>
                <c:pt idx="20">
                  <c:v>34.775663543211401</c:v>
                </c:pt>
                <c:pt idx="21">
                  <c:v>32.070598828284254</c:v>
                </c:pt>
                <c:pt idx="22">
                  <c:v>47.672599989346523</c:v>
                </c:pt>
                <c:pt idx="23">
                  <c:v>37.371966372214828</c:v>
                </c:pt>
                <c:pt idx="24">
                  <c:v>42.611440348451687</c:v>
                </c:pt>
                <c:pt idx="25">
                  <c:v>25.635670930771603</c:v>
                </c:pt>
                <c:pt idx="26">
                  <c:v>40.619213718284499</c:v>
                </c:pt>
                <c:pt idx="27">
                  <c:v>32.516594620875303</c:v>
                </c:pt>
                <c:pt idx="28">
                  <c:v>47.13065372586329</c:v>
                </c:pt>
                <c:pt idx="29">
                  <c:v>38.279884451004683</c:v>
                </c:pt>
                <c:pt idx="30">
                  <c:v>42.709740641085965</c:v>
                </c:pt>
                <c:pt idx="31">
                  <c:v>56.451430481335116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BD-4D93-839C-1A4CE16E427D}"/>
            </c:ext>
          </c:extLst>
        </c:ser>
        <c:ser>
          <c:idx val="2"/>
          <c:order val="2"/>
          <c:tx>
            <c:strRef>
              <c:f>Import!$A$24</c:f>
              <c:strCache>
                <c:ptCount val="1"/>
                <c:pt idx="0">
                  <c:v>Resto del mundo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Import!$B$27:$AG$27</c:f>
              <c:strCache>
                <c:ptCount val="32"/>
                <c:pt idx="0">
                  <c:v>AGS</c:v>
                </c:pt>
                <c:pt idx="1">
                  <c:v>BC</c:v>
                </c:pt>
                <c:pt idx="2">
                  <c:v>BCS</c:v>
                </c:pt>
                <c:pt idx="3">
                  <c:v>CAMP</c:v>
                </c:pt>
                <c:pt idx="4">
                  <c:v>COAH</c:v>
                </c:pt>
                <c:pt idx="5">
                  <c:v>COL</c:v>
                </c:pt>
                <c:pt idx="6">
                  <c:v>CHIS</c:v>
                </c:pt>
                <c:pt idx="7">
                  <c:v>CHIH</c:v>
                </c:pt>
                <c:pt idx="8">
                  <c:v>CDMX</c:v>
                </c:pt>
                <c:pt idx="9">
                  <c:v>DGO</c:v>
                </c:pt>
                <c:pt idx="10">
                  <c:v>GTO</c:v>
                </c:pt>
                <c:pt idx="11">
                  <c:v>GRO</c:v>
                </c:pt>
                <c:pt idx="12">
                  <c:v>HGO</c:v>
                </c:pt>
                <c:pt idx="13">
                  <c:v>JAL</c:v>
                </c:pt>
                <c:pt idx="14">
                  <c:v>MEX</c:v>
                </c:pt>
                <c:pt idx="15">
                  <c:v>MICH</c:v>
                </c:pt>
                <c:pt idx="16">
                  <c:v>MOR</c:v>
                </c:pt>
                <c:pt idx="17">
                  <c:v>NAY</c:v>
                </c:pt>
                <c:pt idx="18">
                  <c:v>NL</c:v>
                </c:pt>
                <c:pt idx="19">
                  <c:v>OAX</c:v>
                </c:pt>
                <c:pt idx="20">
                  <c:v>PUE</c:v>
                </c:pt>
                <c:pt idx="21">
                  <c:v>QRO</c:v>
                </c:pt>
                <c:pt idx="22">
                  <c:v>QR</c:v>
                </c:pt>
                <c:pt idx="23">
                  <c:v>SLP</c:v>
                </c:pt>
                <c:pt idx="24">
                  <c:v>SIN</c:v>
                </c:pt>
                <c:pt idx="25">
                  <c:v>SON</c:v>
                </c:pt>
                <c:pt idx="26">
                  <c:v>TAB</c:v>
                </c:pt>
                <c:pt idx="27">
                  <c:v>TAMPS</c:v>
                </c:pt>
                <c:pt idx="28">
                  <c:v>TLAX</c:v>
                </c:pt>
                <c:pt idx="29">
                  <c:v>VER</c:v>
                </c:pt>
                <c:pt idx="30">
                  <c:v>YUC</c:v>
                </c:pt>
                <c:pt idx="31">
                  <c:v>ZAC</c:v>
                </c:pt>
              </c:strCache>
            </c:strRef>
          </c:cat>
          <c:val>
            <c:numRef>
              <c:f>Import!$B$24:$AG$24</c:f>
              <c:numCache>
                <c:formatCode>#,##0</c:formatCode>
                <c:ptCount val="32"/>
                <c:pt idx="0">
                  <c:v>39.805222930120884</c:v>
                </c:pt>
                <c:pt idx="1">
                  <c:v>49.212304334336906</c:v>
                </c:pt>
                <c:pt idx="2">
                  <c:v>14.889651185438179</c:v>
                </c:pt>
                <c:pt idx="3">
                  <c:v>23.664689737799989</c:v>
                </c:pt>
                <c:pt idx="4">
                  <c:v>36.588947792371307</c:v>
                </c:pt>
                <c:pt idx="5">
                  <c:v>18.268678263419364</c:v>
                </c:pt>
                <c:pt idx="6">
                  <c:v>15.918654234721455</c:v>
                </c:pt>
                <c:pt idx="7">
                  <c:v>53.376043740514859</c:v>
                </c:pt>
                <c:pt idx="8">
                  <c:v>22.457819565685895</c:v>
                </c:pt>
                <c:pt idx="9">
                  <c:v>17.735059421215944</c:v>
                </c:pt>
                <c:pt idx="10">
                  <c:v>32.605125191895766</c:v>
                </c:pt>
                <c:pt idx="11">
                  <c:v>17.864893043605623</c:v>
                </c:pt>
                <c:pt idx="12">
                  <c:v>33.366195019572594</c:v>
                </c:pt>
                <c:pt idx="13">
                  <c:v>40.007489542726766</c:v>
                </c:pt>
                <c:pt idx="14">
                  <c:v>38.848969149437352</c:v>
                </c:pt>
                <c:pt idx="15">
                  <c:v>23.045784470445636</c:v>
                </c:pt>
                <c:pt idx="16">
                  <c:v>35.898307419453232</c:v>
                </c:pt>
                <c:pt idx="17">
                  <c:v>17.702645513237279</c:v>
                </c:pt>
                <c:pt idx="18">
                  <c:v>33.19555103486406</c:v>
                </c:pt>
                <c:pt idx="19">
                  <c:v>20.848761946771095</c:v>
                </c:pt>
                <c:pt idx="20">
                  <c:v>36.994774203427141</c:v>
                </c:pt>
                <c:pt idx="21">
                  <c:v>40.878862893803394</c:v>
                </c:pt>
                <c:pt idx="22">
                  <c:v>14.96617634602562</c:v>
                </c:pt>
                <c:pt idx="23">
                  <c:v>33.237644986918404</c:v>
                </c:pt>
                <c:pt idx="24">
                  <c:v>14.014886515953995</c:v>
                </c:pt>
                <c:pt idx="25">
                  <c:v>29.092047417102801</c:v>
                </c:pt>
                <c:pt idx="26">
                  <c:v>16.093829023270867</c:v>
                </c:pt>
                <c:pt idx="27">
                  <c:v>43.109649910762684</c:v>
                </c:pt>
                <c:pt idx="28">
                  <c:v>31.738390706663665</c:v>
                </c:pt>
                <c:pt idx="29">
                  <c:v>23.42455697433121</c:v>
                </c:pt>
                <c:pt idx="30">
                  <c:v>17.247897913530466</c:v>
                </c:pt>
                <c:pt idx="31">
                  <c:v>23.004006054126592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BD-4D93-839C-1A4CE16E42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"/>
        <c:overlap val="100"/>
        <c:axId val="529549695"/>
        <c:axId val="529561343"/>
      </c:barChart>
      <c:catAx>
        <c:axId val="529549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29561343"/>
        <c:crosses val="autoZero"/>
        <c:auto val="1"/>
        <c:lblAlgn val="ctr"/>
        <c:lblOffset val="100"/>
        <c:noMultiLvlLbl val="0"/>
      </c:catAx>
      <c:valAx>
        <c:axId val="529561343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29549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2546116831549903"/>
          <c:y val="2.0234545149941364E-2"/>
          <c:w val="0.59549077999865396"/>
          <c:h val="5.8458835502705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alternativ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1D9A78"/>
    </a:accent1>
    <a:accent2>
      <a:srgbClr val="8BC145"/>
    </a:accent2>
    <a:accent3>
      <a:srgbClr val="36AFCE"/>
    </a:accent3>
    <a:accent4>
      <a:srgbClr val="1D6FA9"/>
    </a:accent4>
    <a:accent5>
      <a:srgbClr val="B74919"/>
    </a:accent5>
    <a:accent6>
      <a:srgbClr val="F19D19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alternativ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1D9A78"/>
    </a:accent1>
    <a:accent2>
      <a:srgbClr val="8BC145"/>
    </a:accent2>
    <a:accent3>
      <a:srgbClr val="36AFCE"/>
    </a:accent3>
    <a:accent4>
      <a:srgbClr val="1D6FA9"/>
    </a:accent4>
    <a:accent5>
      <a:srgbClr val="B74919"/>
    </a:accent5>
    <a:accent6>
      <a:srgbClr val="F19D19"/>
    </a:accent6>
    <a:hlink>
      <a:srgbClr val="0563C1"/>
    </a:hlink>
    <a:folHlink>
      <a:srgbClr val="954F72"/>
    </a:folHlink>
  </a:clrScheme>
  <a:fontScheme name="Arial">
    <a:maj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Arial" panose="020B0604020202020204"/>
      <a:ea typeface=""/>
      <a:cs typeface=""/>
      <a:font script="Jpan" typeface="ＭＳ Ｐゴシック"/>
      <a:font script="Hang" typeface="굴림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2606-8493-489B-85E0-261FD6CE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2480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Cuadros de Oferta y Utilización y Matrices insumo-Producto Multiestatales de México</vt:lpstr>
    </vt:vector>
  </TitlesOfParts>
  <Manager>INEGI</Manager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Cuadros de Oferta y Utilización y Matrices insumo-Producto Multiestatales de México</dc:title>
  <dc:subject/>
  <dc:creator>INEGI</dc:creator>
  <cp:keywords/>
  <dc:description/>
  <cp:lastModifiedBy>GUILLEN MEDINA MOISES</cp:lastModifiedBy>
  <cp:revision>6</cp:revision>
  <dcterms:created xsi:type="dcterms:W3CDTF">2022-12-14T20:33:00Z</dcterms:created>
  <dcterms:modified xsi:type="dcterms:W3CDTF">2022-12-14T20:44:00Z</dcterms:modified>
</cp:coreProperties>
</file>