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E2658" w14:textId="0734D552" w:rsidR="004E32AB" w:rsidRDefault="004E32AB" w:rsidP="002B4412">
      <w:pPr>
        <w:spacing w:after="0" w:line="240" w:lineRule="auto"/>
        <w:ind w:left="-567" w:right="-516"/>
        <w:rPr>
          <w:rFonts w:ascii="Arial" w:hAnsi="Arial" w:cs="Arial"/>
          <w:b/>
          <w:sz w:val="24"/>
          <w:szCs w:val="24"/>
        </w:rPr>
      </w:pPr>
    </w:p>
    <w:p w14:paraId="6A090690" w14:textId="495D6BC2" w:rsidR="0041258C" w:rsidRDefault="0041258C" w:rsidP="002B4412">
      <w:pPr>
        <w:spacing w:after="0" w:line="240" w:lineRule="auto"/>
        <w:ind w:left="-567" w:right="-516"/>
        <w:rPr>
          <w:rFonts w:ascii="Arial" w:hAnsi="Arial" w:cs="Arial"/>
          <w:b/>
          <w:sz w:val="24"/>
          <w:szCs w:val="24"/>
        </w:rPr>
      </w:pPr>
    </w:p>
    <w:p w14:paraId="3841CCA5" w14:textId="7C92E5B0" w:rsidR="00407C0F" w:rsidRDefault="00593CF2" w:rsidP="001957FF">
      <w:pPr>
        <w:spacing w:after="0" w:line="240" w:lineRule="auto"/>
        <w:ind w:left="-567" w:right="-516"/>
        <w:jc w:val="center"/>
        <w:rPr>
          <w:rFonts w:ascii="Arial" w:hAnsi="Arial" w:cs="Arial"/>
          <w:b/>
          <w:sz w:val="24"/>
          <w:szCs w:val="24"/>
        </w:rPr>
      </w:pPr>
      <w:r w:rsidRPr="00593CF2">
        <w:rPr>
          <w:rFonts w:ascii="Arial" w:hAnsi="Arial" w:cs="Arial"/>
          <w:b/>
          <w:sz w:val="24"/>
          <w:szCs w:val="24"/>
        </w:rPr>
        <w:t>CONOCIENDO LAS EMPRESAS DE CONSULTORÍA</w:t>
      </w:r>
    </w:p>
    <w:p w14:paraId="631EA41C" w14:textId="298AA5C8" w:rsidR="0041258C" w:rsidRDefault="0041258C" w:rsidP="001957FF">
      <w:pPr>
        <w:spacing w:after="0" w:line="240" w:lineRule="auto"/>
        <w:ind w:left="-567" w:right="-516"/>
        <w:jc w:val="center"/>
        <w:rPr>
          <w:rFonts w:ascii="Arial" w:hAnsi="Arial" w:cs="Arial"/>
          <w:b/>
          <w:sz w:val="24"/>
          <w:szCs w:val="24"/>
        </w:rPr>
      </w:pPr>
    </w:p>
    <w:p w14:paraId="7385C290" w14:textId="7DCF1750" w:rsidR="002A426E" w:rsidRPr="006B7396" w:rsidRDefault="000E63BA" w:rsidP="006B7396">
      <w:pPr>
        <w:pStyle w:val="Prrafodelista"/>
        <w:numPr>
          <w:ilvl w:val="0"/>
          <w:numId w:val="3"/>
        </w:numPr>
        <w:spacing w:after="0" w:line="240" w:lineRule="auto"/>
        <w:ind w:right="191"/>
        <w:jc w:val="both"/>
        <w:rPr>
          <w:rFonts w:ascii="Arial" w:hAnsi="Arial" w:cs="Arial"/>
          <w:sz w:val="24"/>
          <w:szCs w:val="24"/>
        </w:rPr>
      </w:pPr>
      <w:r w:rsidRPr="006B7396">
        <w:rPr>
          <w:rFonts w:ascii="Arial" w:hAnsi="Arial" w:cs="Arial"/>
          <w:sz w:val="24"/>
          <w:szCs w:val="24"/>
        </w:rPr>
        <w:t xml:space="preserve">En 2021, un total de 69 247 </w:t>
      </w:r>
      <w:r w:rsidR="00820252" w:rsidRPr="006B7396">
        <w:rPr>
          <w:rFonts w:ascii="Arial" w:hAnsi="Arial" w:cs="Arial"/>
          <w:sz w:val="24"/>
          <w:szCs w:val="24"/>
        </w:rPr>
        <w:t>empresas ofrecieron servicios de consultoría</w:t>
      </w:r>
      <w:r w:rsidRPr="006B7396">
        <w:rPr>
          <w:rFonts w:ascii="Arial" w:hAnsi="Arial" w:cs="Arial"/>
          <w:sz w:val="24"/>
          <w:szCs w:val="24"/>
        </w:rPr>
        <w:t xml:space="preserve">. </w:t>
      </w:r>
      <w:r w:rsidR="00EA224D" w:rsidRPr="006B7396">
        <w:rPr>
          <w:rFonts w:ascii="Arial" w:hAnsi="Arial" w:cs="Arial"/>
          <w:sz w:val="24"/>
          <w:szCs w:val="24"/>
        </w:rPr>
        <w:t xml:space="preserve">De 2003 a 2021, </w:t>
      </w:r>
      <w:r w:rsidR="00E915BE">
        <w:rPr>
          <w:rFonts w:ascii="Arial" w:hAnsi="Arial" w:cs="Arial"/>
          <w:sz w:val="24"/>
          <w:szCs w:val="24"/>
        </w:rPr>
        <w:t>e</w:t>
      </w:r>
      <w:r w:rsidRPr="006B7396">
        <w:rPr>
          <w:rFonts w:ascii="Arial" w:hAnsi="Arial" w:cs="Arial"/>
          <w:sz w:val="24"/>
          <w:szCs w:val="24"/>
        </w:rPr>
        <w:t xml:space="preserve">stas </w:t>
      </w:r>
      <w:r w:rsidR="002A426E" w:rsidRPr="006B7396">
        <w:rPr>
          <w:rFonts w:ascii="Arial" w:hAnsi="Arial" w:cs="Arial"/>
          <w:sz w:val="24"/>
          <w:szCs w:val="24"/>
        </w:rPr>
        <w:t>registra</w:t>
      </w:r>
      <w:r w:rsidRPr="006B7396">
        <w:rPr>
          <w:rFonts w:ascii="Arial" w:hAnsi="Arial" w:cs="Arial"/>
          <w:sz w:val="24"/>
          <w:szCs w:val="24"/>
        </w:rPr>
        <w:t>ron</w:t>
      </w:r>
      <w:r w:rsidR="002A426E" w:rsidRPr="006B7396">
        <w:rPr>
          <w:rFonts w:ascii="Arial" w:hAnsi="Arial" w:cs="Arial"/>
          <w:sz w:val="24"/>
          <w:szCs w:val="24"/>
        </w:rPr>
        <w:t xml:space="preserve"> un crecimiento promedio anual de </w:t>
      </w:r>
      <w:r w:rsidR="00820252" w:rsidRPr="006B7396">
        <w:rPr>
          <w:rFonts w:ascii="Arial" w:hAnsi="Arial" w:cs="Arial"/>
          <w:sz w:val="24"/>
          <w:szCs w:val="24"/>
        </w:rPr>
        <w:t>2.4</w:t>
      </w:r>
      <w:r w:rsidRPr="006B7396">
        <w:rPr>
          <w:rFonts w:ascii="Arial" w:hAnsi="Arial" w:cs="Arial"/>
          <w:sz w:val="24"/>
          <w:szCs w:val="24"/>
        </w:rPr>
        <w:t xml:space="preserve"> </w:t>
      </w:r>
      <w:r w:rsidR="00EA224D" w:rsidRPr="006B7396">
        <w:rPr>
          <w:rFonts w:ascii="Arial" w:hAnsi="Arial" w:cs="Arial"/>
          <w:sz w:val="24"/>
          <w:szCs w:val="24"/>
        </w:rPr>
        <w:t>por ciento</w:t>
      </w:r>
      <w:r w:rsidR="00820252" w:rsidRPr="006B7396">
        <w:rPr>
          <w:rFonts w:ascii="Arial" w:hAnsi="Arial" w:cs="Arial"/>
          <w:sz w:val="24"/>
          <w:szCs w:val="24"/>
        </w:rPr>
        <w:t>.</w:t>
      </w:r>
    </w:p>
    <w:p w14:paraId="02433829" w14:textId="47F8E1EE" w:rsidR="002309C4" w:rsidRDefault="000E63BA" w:rsidP="002309C4">
      <w:pPr>
        <w:pStyle w:val="Prrafodelista"/>
        <w:numPr>
          <w:ilvl w:val="0"/>
          <w:numId w:val="3"/>
        </w:numPr>
        <w:spacing w:after="0" w:line="240" w:lineRule="auto"/>
        <w:ind w:right="19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Entre 2013 y 2018, e</w:t>
      </w:r>
      <w:r w:rsidR="00130D68">
        <w:rPr>
          <w:rFonts w:ascii="Arial" w:hAnsi="Arial" w:cs="Arial"/>
          <w:sz w:val="24"/>
          <w:szCs w:val="24"/>
        </w:rPr>
        <w:t>l valor de l</w:t>
      </w:r>
      <w:r w:rsidR="002309C4" w:rsidRPr="00820252">
        <w:rPr>
          <w:rFonts w:ascii="Arial" w:hAnsi="Arial" w:cs="Arial"/>
          <w:sz w:val="24"/>
          <w:szCs w:val="24"/>
        </w:rPr>
        <w:t xml:space="preserve">a producción bruta de las empresas de consultoría </w:t>
      </w:r>
      <w:r w:rsidR="002A426E">
        <w:rPr>
          <w:rFonts w:ascii="Arial" w:hAnsi="Arial" w:cs="Arial"/>
          <w:sz w:val="24"/>
          <w:szCs w:val="24"/>
        </w:rPr>
        <w:t xml:space="preserve">aumentó a una tasa </w:t>
      </w:r>
      <w:r w:rsidR="002309C4" w:rsidRPr="00820252">
        <w:rPr>
          <w:rFonts w:ascii="Arial" w:hAnsi="Arial" w:cs="Arial"/>
          <w:sz w:val="24"/>
          <w:szCs w:val="24"/>
        </w:rPr>
        <w:t>promedio anual de 17.3</w:t>
      </w:r>
      <w:r>
        <w:rPr>
          <w:rFonts w:ascii="Arial" w:hAnsi="Arial" w:cs="Arial"/>
          <w:sz w:val="24"/>
          <w:szCs w:val="24"/>
        </w:rPr>
        <w:t xml:space="preserve"> por ciento.</w:t>
      </w:r>
    </w:p>
    <w:p w14:paraId="62A084C1" w14:textId="347B14C0" w:rsidR="00820252" w:rsidRDefault="000E63BA" w:rsidP="00820252">
      <w:pPr>
        <w:pStyle w:val="Prrafodelista"/>
        <w:numPr>
          <w:ilvl w:val="0"/>
          <w:numId w:val="3"/>
        </w:numPr>
        <w:spacing w:after="0" w:line="240" w:lineRule="auto"/>
        <w:ind w:right="19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2018, l</w:t>
      </w:r>
      <w:r w:rsidR="00820252" w:rsidRPr="00820252">
        <w:rPr>
          <w:rFonts w:ascii="Arial" w:hAnsi="Arial" w:cs="Arial"/>
          <w:sz w:val="24"/>
          <w:szCs w:val="24"/>
        </w:rPr>
        <w:t>as empresas de consultoría participaron con 3.6</w:t>
      </w:r>
      <w:r>
        <w:rPr>
          <w:rFonts w:ascii="Arial" w:hAnsi="Arial" w:cs="Arial"/>
          <w:sz w:val="24"/>
          <w:szCs w:val="24"/>
        </w:rPr>
        <w:t xml:space="preserve"> </w:t>
      </w:r>
      <w:r w:rsidR="00820252" w:rsidRPr="00820252">
        <w:rPr>
          <w:rFonts w:ascii="Arial" w:hAnsi="Arial" w:cs="Arial"/>
          <w:sz w:val="24"/>
          <w:szCs w:val="24"/>
        </w:rPr>
        <w:t>% del personal ocupado y</w:t>
      </w:r>
      <w:r w:rsidR="00EA224D">
        <w:rPr>
          <w:rFonts w:ascii="Arial" w:hAnsi="Arial" w:cs="Arial"/>
          <w:sz w:val="24"/>
          <w:szCs w:val="24"/>
        </w:rPr>
        <w:t xml:space="preserve"> con </w:t>
      </w:r>
      <w:r w:rsidR="00820252" w:rsidRPr="00820252">
        <w:rPr>
          <w:rFonts w:ascii="Arial" w:hAnsi="Arial" w:cs="Arial"/>
          <w:sz w:val="24"/>
          <w:szCs w:val="24"/>
        </w:rPr>
        <w:t>1.8</w:t>
      </w:r>
      <w:r>
        <w:rPr>
          <w:rFonts w:ascii="Arial" w:hAnsi="Arial" w:cs="Arial"/>
          <w:sz w:val="24"/>
          <w:szCs w:val="24"/>
        </w:rPr>
        <w:t xml:space="preserve"> </w:t>
      </w:r>
      <w:r w:rsidR="00820252" w:rsidRPr="00820252">
        <w:rPr>
          <w:rFonts w:ascii="Arial" w:hAnsi="Arial" w:cs="Arial"/>
          <w:sz w:val="24"/>
          <w:szCs w:val="24"/>
        </w:rPr>
        <w:t>% de la producción bruta de la economía.</w:t>
      </w:r>
    </w:p>
    <w:p w14:paraId="59E5AD7B" w14:textId="77777777" w:rsidR="002A426E" w:rsidRDefault="002A426E" w:rsidP="00A71ACD">
      <w:pPr>
        <w:spacing w:after="0" w:line="240" w:lineRule="auto"/>
        <w:ind w:left="-567" w:right="-516"/>
        <w:jc w:val="both"/>
        <w:rPr>
          <w:rFonts w:ascii="Arial" w:hAnsi="Arial" w:cs="Arial"/>
          <w:bCs/>
          <w:sz w:val="24"/>
          <w:szCs w:val="24"/>
        </w:rPr>
      </w:pPr>
    </w:p>
    <w:p w14:paraId="18D231D9" w14:textId="70D7E5AF" w:rsidR="00ED6309" w:rsidRPr="00A71ACD" w:rsidRDefault="00A71ACD" w:rsidP="00A71ACD">
      <w:pPr>
        <w:spacing w:after="0" w:line="240" w:lineRule="auto"/>
        <w:ind w:left="-567" w:right="-516"/>
        <w:jc w:val="both"/>
        <w:rPr>
          <w:rFonts w:ascii="Arial" w:hAnsi="Arial" w:cs="Arial"/>
          <w:bCs/>
          <w:sz w:val="24"/>
          <w:szCs w:val="24"/>
        </w:rPr>
      </w:pPr>
      <w:r w:rsidRPr="000E63BA">
        <w:rPr>
          <w:rFonts w:ascii="Arial" w:hAnsi="Arial" w:cs="Arial"/>
          <w:bCs/>
          <w:sz w:val="24"/>
          <w:szCs w:val="24"/>
        </w:rPr>
        <w:t xml:space="preserve">El </w:t>
      </w:r>
      <w:r w:rsidRPr="00EA224D">
        <w:rPr>
          <w:rFonts w:ascii="Arial" w:hAnsi="Arial" w:cs="Arial"/>
          <w:sz w:val="24"/>
          <w:szCs w:val="24"/>
        </w:rPr>
        <w:t>Instituto Nacional de Estadística y Geografía</w:t>
      </w:r>
      <w:r w:rsidRPr="000E63BA">
        <w:rPr>
          <w:rFonts w:ascii="Arial" w:hAnsi="Arial" w:cs="Arial"/>
          <w:bCs/>
          <w:sz w:val="24"/>
          <w:szCs w:val="24"/>
        </w:rPr>
        <w:t xml:space="preserve"> </w:t>
      </w:r>
      <w:r w:rsidRPr="00EA224D">
        <w:rPr>
          <w:rFonts w:ascii="Arial" w:hAnsi="Arial" w:cs="Arial"/>
          <w:sz w:val="24"/>
          <w:szCs w:val="24"/>
        </w:rPr>
        <w:t>(INEGI)</w:t>
      </w:r>
      <w:r w:rsidRPr="000E63BA">
        <w:rPr>
          <w:rFonts w:ascii="Arial" w:hAnsi="Arial" w:cs="Arial"/>
          <w:bCs/>
          <w:sz w:val="24"/>
          <w:szCs w:val="24"/>
        </w:rPr>
        <w:t xml:space="preserve"> y la </w:t>
      </w:r>
      <w:r w:rsidRPr="00EA224D">
        <w:rPr>
          <w:rFonts w:ascii="Arial" w:hAnsi="Arial" w:cs="Arial"/>
          <w:sz w:val="24"/>
          <w:szCs w:val="24"/>
        </w:rPr>
        <w:t>Cámara Nacional de Empresas de Consultoría</w:t>
      </w:r>
      <w:r w:rsidRPr="000E63BA">
        <w:rPr>
          <w:rFonts w:ascii="Arial" w:hAnsi="Arial" w:cs="Arial"/>
          <w:bCs/>
          <w:sz w:val="24"/>
          <w:szCs w:val="24"/>
        </w:rPr>
        <w:t xml:space="preserve"> </w:t>
      </w:r>
      <w:r w:rsidRPr="00EA224D">
        <w:rPr>
          <w:rFonts w:ascii="Arial" w:hAnsi="Arial" w:cs="Arial"/>
          <w:sz w:val="24"/>
          <w:szCs w:val="24"/>
        </w:rPr>
        <w:t>(CNEC)</w:t>
      </w:r>
      <w:r w:rsidRPr="000E63BA">
        <w:rPr>
          <w:rFonts w:ascii="Arial" w:hAnsi="Arial" w:cs="Arial"/>
          <w:bCs/>
          <w:sz w:val="24"/>
          <w:szCs w:val="24"/>
        </w:rPr>
        <w:t xml:space="preserve"> </w:t>
      </w:r>
      <w:r w:rsidR="000E63BA">
        <w:rPr>
          <w:rFonts w:ascii="Arial" w:hAnsi="Arial" w:cs="Arial"/>
          <w:bCs/>
          <w:sz w:val="24"/>
          <w:szCs w:val="24"/>
        </w:rPr>
        <w:t xml:space="preserve">presentan la publicación </w:t>
      </w:r>
      <w:r w:rsidRPr="000E63BA">
        <w:rPr>
          <w:rFonts w:ascii="Arial" w:hAnsi="Arial" w:cs="Arial"/>
          <w:bCs/>
          <w:i/>
          <w:iCs/>
          <w:sz w:val="24"/>
          <w:szCs w:val="24"/>
        </w:rPr>
        <w:t>Conociendo las empresas de consultoría</w:t>
      </w:r>
      <w:r w:rsidR="00EA224D">
        <w:rPr>
          <w:rFonts w:ascii="Arial" w:hAnsi="Arial" w:cs="Arial"/>
          <w:bCs/>
          <w:sz w:val="24"/>
          <w:szCs w:val="24"/>
        </w:rPr>
        <w:t xml:space="preserve">. Esta </w:t>
      </w:r>
      <w:r w:rsidRPr="000E63BA">
        <w:rPr>
          <w:rFonts w:ascii="Arial" w:hAnsi="Arial" w:cs="Arial"/>
          <w:bCs/>
          <w:sz w:val="24"/>
          <w:szCs w:val="24"/>
        </w:rPr>
        <w:t>forma parte de la Colección de estudios sectoriales y regionales del Instituto</w:t>
      </w:r>
      <w:r w:rsidRPr="00A71ACD">
        <w:rPr>
          <w:rFonts w:ascii="Arial" w:hAnsi="Arial" w:cs="Arial"/>
          <w:bCs/>
          <w:sz w:val="24"/>
          <w:szCs w:val="24"/>
        </w:rPr>
        <w:t>.</w:t>
      </w:r>
    </w:p>
    <w:p w14:paraId="17FBB76C" w14:textId="77777777" w:rsidR="00A71ACD" w:rsidRPr="00B64471" w:rsidRDefault="00A71ACD" w:rsidP="00A71ACD">
      <w:pPr>
        <w:spacing w:after="0" w:line="240" w:lineRule="auto"/>
        <w:ind w:left="-567" w:right="-516"/>
        <w:jc w:val="both"/>
        <w:rPr>
          <w:rFonts w:ascii="Arial" w:hAnsi="Arial" w:cs="Arial"/>
          <w:bCs/>
          <w:sz w:val="24"/>
          <w:szCs w:val="24"/>
        </w:rPr>
      </w:pPr>
    </w:p>
    <w:p w14:paraId="6DF02E52" w14:textId="22B94E86" w:rsidR="0041258C" w:rsidRPr="00D05035" w:rsidRDefault="00820252" w:rsidP="00820252">
      <w:pPr>
        <w:spacing w:after="0" w:line="240" w:lineRule="auto"/>
        <w:ind w:left="-567" w:right="-516"/>
        <w:jc w:val="both"/>
        <w:rPr>
          <w:rFonts w:ascii="Arial" w:hAnsi="Arial" w:cs="Arial"/>
          <w:sz w:val="24"/>
          <w:szCs w:val="24"/>
        </w:rPr>
      </w:pPr>
      <w:r w:rsidRPr="00820252">
        <w:rPr>
          <w:rFonts w:ascii="Arial" w:hAnsi="Arial" w:cs="Arial"/>
          <w:sz w:val="24"/>
          <w:szCs w:val="24"/>
        </w:rPr>
        <w:t>E</w:t>
      </w:r>
      <w:r w:rsidR="00EA224D">
        <w:rPr>
          <w:rFonts w:ascii="Arial" w:hAnsi="Arial" w:cs="Arial"/>
          <w:sz w:val="24"/>
          <w:szCs w:val="24"/>
        </w:rPr>
        <w:t xml:space="preserve">l presente </w:t>
      </w:r>
      <w:r w:rsidRPr="00820252">
        <w:rPr>
          <w:rFonts w:ascii="Arial" w:hAnsi="Arial" w:cs="Arial"/>
          <w:sz w:val="24"/>
          <w:szCs w:val="24"/>
        </w:rPr>
        <w:t>documento ofrece un panorama económico de las actividades productivas, el empleo</w:t>
      </w:r>
      <w:r w:rsidR="008F740E">
        <w:rPr>
          <w:rFonts w:ascii="Arial" w:hAnsi="Arial" w:cs="Arial"/>
          <w:sz w:val="24"/>
          <w:szCs w:val="24"/>
        </w:rPr>
        <w:t xml:space="preserve"> y</w:t>
      </w:r>
      <w:r w:rsidRPr="00820252">
        <w:rPr>
          <w:rFonts w:ascii="Arial" w:hAnsi="Arial" w:cs="Arial"/>
          <w:sz w:val="24"/>
          <w:szCs w:val="24"/>
        </w:rPr>
        <w:t xml:space="preserve"> las cadenas</w:t>
      </w:r>
      <w:r>
        <w:rPr>
          <w:rFonts w:ascii="Arial" w:hAnsi="Arial" w:cs="Arial"/>
          <w:sz w:val="24"/>
          <w:szCs w:val="24"/>
        </w:rPr>
        <w:t xml:space="preserve"> </w:t>
      </w:r>
      <w:r w:rsidRPr="00820252">
        <w:rPr>
          <w:rFonts w:ascii="Arial" w:hAnsi="Arial" w:cs="Arial"/>
          <w:sz w:val="24"/>
          <w:szCs w:val="24"/>
        </w:rPr>
        <w:t>productivas, entre otros temas</w:t>
      </w:r>
      <w:r w:rsidR="00EA224D">
        <w:rPr>
          <w:rFonts w:ascii="Arial" w:hAnsi="Arial" w:cs="Arial"/>
          <w:sz w:val="24"/>
          <w:szCs w:val="24"/>
        </w:rPr>
        <w:t>. A</w:t>
      </w:r>
      <w:r w:rsidR="00EA224D">
        <w:rPr>
          <w:rFonts w:ascii="Arial" w:hAnsi="Arial" w:cs="Arial"/>
          <w:sz w:val="24"/>
          <w:szCs w:val="24"/>
          <w:lang w:val="es-ES"/>
        </w:rPr>
        <w:t xml:space="preserve">sí, es posible </w:t>
      </w:r>
      <w:r w:rsidRPr="00820252">
        <w:rPr>
          <w:rFonts w:ascii="Arial" w:hAnsi="Arial" w:cs="Arial"/>
          <w:sz w:val="24"/>
          <w:szCs w:val="24"/>
        </w:rPr>
        <w:t>dimensionar la importancia de las empresas de</w:t>
      </w:r>
      <w:r>
        <w:rPr>
          <w:rFonts w:ascii="Arial" w:hAnsi="Arial" w:cs="Arial"/>
          <w:sz w:val="24"/>
          <w:szCs w:val="24"/>
        </w:rPr>
        <w:t xml:space="preserve"> </w:t>
      </w:r>
      <w:r w:rsidRPr="00820252">
        <w:rPr>
          <w:rFonts w:ascii="Arial" w:hAnsi="Arial" w:cs="Arial"/>
          <w:sz w:val="24"/>
          <w:szCs w:val="24"/>
        </w:rPr>
        <w:t>consultoría en la actividad económica.</w:t>
      </w:r>
    </w:p>
    <w:p w14:paraId="6C8F87E9" w14:textId="77777777" w:rsidR="00ED6309" w:rsidRPr="00D05035" w:rsidRDefault="00ED6309" w:rsidP="0014235C">
      <w:pPr>
        <w:spacing w:after="0" w:line="240" w:lineRule="auto"/>
        <w:ind w:left="-567" w:right="-516"/>
        <w:jc w:val="both"/>
        <w:rPr>
          <w:rFonts w:ascii="Arial" w:hAnsi="Arial" w:cs="Arial"/>
          <w:sz w:val="24"/>
          <w:szCs w:val="24"/>
        </w:rPr>
      </w:pPr>
    </w:p>
    <w:p w14:paraId="661F8F4B" w14:textId="6AAEFE70" w:rsidR="0041258C" w:rsidRPr="00D05035" w:rsidRDefault="0041258C" w:rsidP="0014235C">
      <w:pPr>
        <w:spacing w:after="0" w:line="240" w:lineRule="auto"/>
        <w:ind w:left="-567" w:right="-516"/>
        <w:jc w:val="both"/>
        <w:rPr>
          <w:rFonts w:ascii="Arial Negrita" w:hAnsi="Arial Negrita" w:cs="Arial"/>
          <w:b/>
          <w:bCs/>
          <w:smallCaps/>
          <w:sz w:val="24"/>
          <w:szCs w:val="24"/>
        </w:rPr>
      </w:pPr>
      <w:r w:rsidRPr="00D05035">
        <w:rPr>
          <w:rFonts w:ascii="Arial Negrita" w:hAnsi="Arial Negrita" w:cs="Arial"/>
          <w:b/>
          <w:bCs/>
          <w:smallCaps/>
          <w:sz w:val="24"/>
          <w:szCs w:val="24"/>
        </w:rPr>
        <w:t xml:space="preserve">Algunos aspectos relevantes de </w:t>
      </w:r>
      <w:r w:rsidR="00627DC9" w:rsidRPr="00627DC9">
        <w:rPr>
          <w:rFonts w:ascii="Arial Negrita" w:hAnsi="Arial Negrita" w:cs="Arial"/>
          <w:b/>
          <w:bCs/>
          <w:smallCaps/>
          <w:sz w:val="24"/>
          <w:szCs w:val="24"/>
        </w:rPr>
        <w:t>las empresas de consultoría</w:t>
      </w:r>
    </w:p>
    <w:p w14:paraId="414292CC" w14:textId="4E797015" w:rsidR="0014235C" w:rsidRDefault="0014235C" w:rsidP="0014235C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</w:p>
    <w:p w14:paraId="2441A6BC" w14:textId="19AB4017" w:rsidR="00A24E9A" w:rsidRDefault="00A24E9A" w:rsidP="00A24E9A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  <w:r w:rsidRPr="001D20F4">
        <w:rPr>
          <w:rFonts w:ascii="Arial" w:hAnsi="Arial" w:cs="Arial"/>
          <w:sz w:val="24"/>
          <w:szCs w:val="24"/>
        </w:rPr>
        <w:t>Las empresas de consultoría prestan servicios especializados</w:t>
      </w:r>
      <w:r w:rsidR="00F929EE">
        <w:rPr>
          <w:rFonts w:ascii="Arial" w:hAnsi="Arial" w:cs="Arial"/>
          <w:sz w:val="24"/>
          <w:szCs w:val="24"/>
        </w:rPr>
        <w:t xml:space="preserve"> </w:t>
      </w:r>
      <w:r w:rsidR="00EA224D">
        <w:rPr>
          <w:rFonts w:ascii="Arial" w:hAnsi="Arial" w:cs="Arial"/>
          <w:sz w:val="24"/>
          <w:szCs w:val="24"/>
        </w:rPr>
        <w:t xml:space="preserve">que se relacionan </w:t>
      </w:r>
      <w:r w:rsidRPr="001D20F4">
        <w:rPr>
          <w:rFonts w:ascii="Arial" w:hAnsi="Arial" w:cs="Arial"/>
          <w:sz w:val="24"/>
          <w:szCs w:val="24"/>
        </w:rPr>
        <w:t xml:space="preserve">con la planeación, evaluación, proyecto, diseño, asesoría y gestión para </w:t>
      </w:r>
      <w:r w:rsidR="00EA224D">
        <w:rPr>
          <w:rFonts w:ascii="Arial" w:hAnsi="Arial" w:cs="Arial"/>
          <w:sz w:val="24"/>
          <w:szCs w:val="24"/>
        </w:rPr>
        <w:t xml:space="preserve">mejorar </w:t>
      </w:r>
      <w:r w:rsidRPr="001D20F4">
        <w:rPr>
          <w:rFonts w:ascii="Arial" w:hAnsi="Arial" w:cs="Arial"/>
          <w:sz w:val="24"/>
          <w:szCs w:val="24"/>
        </w:rPr>
        <w:t>la competitividad de los sistemas productivos.</w:t>
      </w:r>
    </w:p>
    <w:p w14:paraId="23CDABB9" w14:textId="77777777" w:rsidR="00A24E9A" w:rsidRDefault="00A24E9A" w:rsidP="0014235C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</w:p>
    <w:p w14:paraId="78F00E88" w14:textId="0CBE665B" w:rsidR="00712916" w:rsidRDefault="000E63BA" w:rsidP="00F6335C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2021, un total de 69 </w:t>
      </w:r>
      <w:r w:rsidR="00F929EE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7 </w:t>
      </w:r>
      <w:r w:rsidR="00F6335C" w:rsidRPr="00F6335C">
        <w:rPr>
          <w:rFonts w:ascii="Arial" w:hAnsi="Arial" w:cs="Arial"/>
          <w:sz w:val="24"/>
          <w:szCs w:val="24"/>
        </w:rPr>
        <w:t>empresas ofreci</w:t>
      </w:r>
      <w:r w:rsidR="00321971">
        <w:rPr>
          <w:rFonts w:ascii="Arial" w:hAnsi="Arial" w:cs="Arial"/>
          <w:sz w:val="24"/>
          <w:szCs w:val="24"/>
        </w:rPr>
        <w:t>ó</w:t>
      </w:r>
      <w:r w:rsidR="00F6335C" w:rsidRPr="00F6335C">
        <w:rPr>
          <w:rFonts w:ascii="Arial" w:hAnsi="Arial" w:cs="Arial"/>
          <w:sz w:val="24"/>
          <w:szCs w:val="24"/>
        </w:rPr>
        <w:t xml:space="preserve"> el servicio de consultoría en el país</w:t>
      </w:r>
      <w:r>
        <w:rPr>
          <w:rFonts w:ascii="Arial" w:hAnsi="Arial" w:cs="Arial"/>
          <w:sz w:val="24"/>
          <w:szCs w:val="24"/>
        </w:rPr>
        <w:t>. E</w:t>
      </w:r>
      <w:r w:rsidR="00F929EE">
        <w:rPr>
          <w:rFonts w:ascii="Arial" w:hAnsi="Arial" w:cs="Arial"/>
          <w:sz w:val="24"/>
          <w:szCs w:val="24"/>
        </w:rPr>
        <w:t xml:space="preserve">ntre 2003 y 2021, </w:t>
      </w:r>
      <w:r w:rsidR="006B7396">
        <w:rPr>
          <w:rFonts w:ascii="Arial" w:hAnsi="Arial" w:cs="Arial"/>
          <w:sz w:val="24"/>
          <w:szCs w:val="24"/>
        </w:rPr>
        <w:t>é</w:t>
      </w:r>
      <w:r w:rsidR="00EA224D">
        <w:rPr>
          <w:rFonts w:ascii="Arial" w:hAnsi="Arial" w:cs="Arial"/>
          <w:sz w:val="24"/>
          <w:szCs w:val="24"/>
        </w:rPr>
        <w:t xml:space="preserve">stas </w:t>
      </w:r>
      <w:r>
        <w:rPr>
          <w:rFonts w:ascii="Arial" w:hAnsi="Arial" w:cs="Arial"/>
          <w:sz w:val="24"/>
          <w:szCs w:val="24"/>
        </w:rPr>
        <w:t>registraron un crecimiento promedio anual de</w:t>
      </w:r>
      <w:r w:rsidR="00F6335C" w:rsidRPr="00F6335C">
        <w:rPr>
          <w:rFonts w:ascii="Arial" w:hAnsi="Arial" w:cs="Arial"/>
          <w:sz w:val="24"/>
          <w:szCs w:val="24"/>
        </w:rPr>
        <w:t xml:space="preserve"> 2.4</w:t>
      </w:r>
      <w:r>
        <w:rPr>
          <w:rFonts w:ascii="Arial" w:hAnsi="Arial" w:cs="Arial"/>
          <w:sz w:val="24"/>
          <w:szCs w:val="24"/>
        </w:rPr>
        <w:t xml:space="preserve"> </w:t>
      </w:r>
      <w:r w:rsidR="00F929EE">
        <w:rPr>
          <w:rFonts w:ascii="Arial" w:hAnsi="Arial" w:cs="Arial"/>
          <w:sz w:val="24"/>
          <w:szCs w:val="24"/>
        </w:rPr>
        <w:t>por ciento.</w:t>
      </w:r>
      <w:r w:rsidR="00F6335C" w:rsidRPr="00F6335C">
        <w:rPr>
          <w:rFonts w:ascii="Arial" w:hAnsi="Arial" w:cs="Arial"/>
          <w:sz w:val="24"/>
          <w:szCs w:val="24"/>
        </w:rPr>
        <w:t xml:space="preserve"> En</w:t>
      </w:r>
      <w:r w:rsidR="00F6335C">
        <w:rPr>
          <w:rFonts w:ascii="Arial" w:hAnsi="Arial" w:cs="Arial"/>
          <w:sz w:val="24"/>
          <w:szCs w:val="24"/>
        </w:rPr>
        <w:t xml:space="preserve"> </w:t>
      </w:r>
      <w:r w:rsidR="00F6335C" w:rsidRPr="00F6335C">
        <w:rPr>
          <w:rFonts w:ascii="Arial" w:hAnsi="Arial" w:cs="Arial"/>
          <w:sz w:val="24"/>
          <w:szCs w:val="24"/>
        </w:rPr>
        <w:t>particular, de 2018 a 2021</w:t>
      </w:r>
      <w:r w:rsidR="00EA224D">
        <w:rPr>
          <w:rFonts w:ascii="Arial" w:hAnsi="Arial" w:cs="Arial"/>
          <w:sz w:val="24"/>
          <w:szCs w:val="24"/>
        </w:rPr>
        <w:t>,</w:t>
      </w:r>
      <w:r w:rsidR="00F6335C" w:rsidRPr="00F6335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aumentaron</w:t>
      </w:r>
      <w:r w:rsidR="00F6335C" w:rsidRPr="00F6335C">
        <w:rPr>
          <w:rFonts w:ascii="Arial" w:hAnsi="Arial" w:cs="Arial"/>
          <w:sz w:val="24"/>
          <w:szCs w:val="24"/>
        </w:rPr>
        <w:t xml:space="preserve"> 3.3</w:t>
      </w:r>
      <w:r>
        <w:rPr>
          <w:rFonts w:ascii="Arial" w:hAnsi="Arial" w:cs="Arial"/>
          <w:sz w:val="24"/>
          <w:szCs w:val="24"/>
        </w:rPr>
        <w:t xml:space="preserve"> </w:t>
      </w:r>
      <w:r w:rsidR="00F6335C" w:rsidRPr="00F6335C">
        <w:rPr>
          <w:rFonts w:ascii="Arial" w:hAnsi="Arial" w:cs="Arial"/>
          <w:sz w:val="24"/>
          <w:szCs w:val="24"/>
        </w:rPr>
        <w:t xml:space="preserve">% en promedio anual, </w:t>
      </w:r>
      <w:r>
        <w:rPr>
          <w:rFonts w:ascii="Arial" w:hAnsi="Arial" w:cs="Arial"/>
          <w:sz w:val="24"/>
          <w:szCs w:val="24"/>
        </w:rPr>
        <w:t>aun con la</w:t>
      </w:r>
      <w:r w:rsidR="00F6335C" w:rsidRPr="00F6335C">
        <w:rPr>
          <w:rFonts w:ascii="Arial" w:hAnsi="Arial" w:cs="Arial"/>
          <w:sz w:val="24"/>
          <w:szCs w:val="24"/>
        </w:rPr>
        <w:t xml:space="preserve"> pandemia</w:t>
      </w:r>
      <w:r w:rsidR="00F6335C">
        <w:rPr>
          <w:rFonts w:ascii="Arial" w:hAnsi="Arial" w:cs="Arial"/>
          <w:sz w:val="24"/>
          <w:szCs w:val="24"/>
        </w:rPr>
        <w:t xml:space="preserve"> </w:t>
      </w:r>
      <w:r w:rsidR="00F6335C" w:rsidRPr="00F6335C">
        <w:rPr>
          <w:rFonts w:ascii="Arial" w:hAnsi="Arial" w:cs="Arial"/>
          <w:sz w:val="24"/>
          <w:szCs w:val="24"/>
        </w:rPr>
        <w:t xml:space="preserve">causada por </w:t>
      </w:r>
      <w:r>
        <w:rPr>
          <w:rFonts w:ascii="Arial" w:hAnsi="Arial" w:cs="Arial"/>
          <w:sz w:val="24"/>
          <w:szCs w:val="24"/>
        </w:rPr>
        <w:t>la</w:t>
      </w:r>
      <w:r w:rsidR="00F6335C" w:rsidRPr="00F6335C">
        <w:rPr>
          <w:rFonts w:ascii="Arial" w:hAnsi="Arial" w:cs="Arial"/>
          <w:sz w:val="24"/>
          <w:szCs w:val="24"/>
        </w:rPr>
        <w:t xml:space="preserve"> COVID-19.</w:t>
      </w:r>
    </w:p>
    <w:p w14:paraId="66D5C6F5" w14:textId="7A34B130" w:rsidR="00712916" w:rsidRDefault="00712916" w:rsidP="0014235C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</w:p>
    <w:p w14:paraId="50F1E9AE" w14:textId="3133CEF3" w:rsidR="00F6335C" w:rsidRDefault="00F6335C" w:rsidP="00F6335C">
      <w:pPr>
        <w:spacing w:after="0" w:line="240" w:lineRule="auto"/>
        <w:ind w:left="-567" w:right="-518"/>
        <w:jc w:val="center"/>
        <w:rPr>
          <w:rFonts w:ascii="Arial Negrita" w:hAnsi="Arial Negrita" w:cs="Arial"/>
          <w:b/>
          <w:bCs/>
          <w:smallCaps/>
        </w:rPr>
      </w:pPr>
      <w:r w:rsidRPr="00EA224D">
        <w:rPr>
          <w:rFonts w:ascii="Arial Negrita" w:hAnsi="Arial Negrita" w:cs="Arial"/>
          <w:b/>
          <w:bCs/>
          <w:smallCaps/>
        </w:rPr>
        <w:t>Empresas de consultoría</w:t>
      </w:r>
    </w:p>
    <w:p w14:paraId="2B9711E0" w14:textId="77777777" w:rsidR="00F43328" w:rsidRPr="00EA224D" w:rsidRDefault="00F43328" w:rsidP="00F6335C">
      <w:pPr>
        <w:spacing w:after="0" w:line="240" w:lineRule="auto"/>
        <w:ind w:left="-567" w:right="-518"/>
        <w:jc w:val="center"/>
        <w:rPr>
          <w:rFonts w:ascii="Arial Negrita" w:hAnsi="Arial Negrita" w:cs="Arial"/>
          <w:b/>
          <w:bCs/>
          <w:smallCaps/>
        </w:rPr>
      </w:pPr>
    </w:p>
    <w:p w14:paraId="284C1FC8" w14:textId="455D9CC3" w:rsidR="00712916" w:rsidRDefault="00F6335C" w:rsidP="00F6335C">
      <w:pPr>
        <w:spacing w:after="0" w:line="240" w:lineRule="auto"/>
        <w:ind w:left="-567" w:right="-518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4218E751" wp14:editId="4268CF82">
            <wp:extent cx="4552950" cy="2000250"/>
            <wp:effectExtent l="0" t="0" r="0" b="0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04E1739B-4068-263E-9AEB-36119C3D4DF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353CEDD" w14:textId="77777777" w:rsidR="00F43328" w:rsidRDefault="00F43328" w:rsidP="00F6335C">
      <w:pPr>
        <w:spacing w:after="0" w:line="240" w:lineRule="auto"/>
        <w:ind w:left="-567" w:right="-518"/>
        <w:jc w:val="center"/>
        <w:rPr>
          <w:rFonts w:ascii="Arial" w:hAnsi="Arial" w:cs="Arial"/>
          <w:sz w:val="24"/>
          <w:szCs w:val="24"/>
        </w:rPr>
      </w:pPr>
    </w:p>
    <w:p w14:paraId="4757364C" w14:textId="16A9F10A" w:rsidR="00712916" w:rsidRPr="00EA224D" w:rsidRDefault="00F6335C" w:rsidP="00541AFF">
      <w:pPr>
        <w:spacing w:after="0" w:line="240" w:lineRule="auto"/>
        <w:ind w:left="1843" w:right="-518" w:hanging="1134"/>
        <w:rPr>
          <w:rFonts w:ascii="Arial" w:hAnsi="Arial" w:cs="Arial"/>
          <w:sz w:val="16"/>
          <w:szCs w:val="16"/>
        </w:rPr>
      </w:pPr>
      <w:r w:rsidRPr="00EA224D">
        <w:rPr>
          <w:rFonts w:ascii="Arial" w:hAnsi="Arial" w:cs="Arial"/>
          <w:sz w:val="16"/>
          <w:szCs w:val="16"/>
        </w:rPr>
        <w:t>Fuentes: INEGI. Censos Económicos 2004, 2009 y 2019</w:t>
      </w:r>
      <w:r w:rsidR="00321971">
        <w:rPr>
          <w:rFonts w:ascii="Arial" w:hAnsi="Arial" w:cs="Arial"/>
          <w:sz w:val="16"/>
          <w:szCs w:val="16"/>
        </w:rPr>
        <w:t xml:space="preserve">. </w:t>
      </w:r>
      <w:r w:rsidRPr="00EA224D">
        <w:rPr>
          <w:rFonts w:ascii="Arial" w:hAnsi="Arial" w:cs="Arial"/>
          <w:sz w:val="16"/>
          <w:szCs w:val="16"/>
        </w:rPr>
        <w:t>Directorio Estadístico Nacional de Unidades Económicas (DENUE), 2021</w:t>
      </w:r>
    </w:p>
    <w:p w14:paraId="20EFBCAE" w14:textId="77777777" w:rsidR="00A2424F" w:rsidRDefault="00A2424F" w:rsidP="00A2424F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</w:p>
    <w:p w14:paraId="735353E9" w14:textId="497ABA4B" w:rsidR="00A2424F" w:rsidRDefault="00F43328" w:rsidP="00A2424F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2013 a 2018, e</w:t>
      </w:r>
      <w:r w:rsidR="00130D68">
        <w:rPr>
          <w:rFonts w:ascii="Arial" w:hAnsi="Arial" w:cs="Arial"/>
          <w:sz w:val="24"/>
          <w:szCs w:val="24"/>
        </w:rPr>
        <w:t>l valor de l</w:t>
      </w:r>
      <w:r w:rsidR="00A2424F" w:rsidRPr="007B5567">
        <w:rPr>
          <w:rFonts w:ascii="Arial" w:hAnsi="Arial" w:cs="Arial"/>
          <w:sz w:val="24"/>
          <w:szCs w:val="24"/>
        </w:rPr>
        <w:t xml:space="preserve">a producción bruta de las empresas de consultoría </w:t>
      </w:r>
      <w:r>
        <w:rPr>
          <w:rFonts w:ascii="Arial" w:hAnsi="Arial" w:cs="Arial"/>
          <w:sz w:val="24"/>
          <w:szCs w:val="24"/>
        </w:rPr>
        <w:t>tuvo</w:t>
      </w:r>
      <w:r w:rsidRPr="007B5567">
        <w:rPr>
          <w:rFonts w:ascii="Arial" w:hAnsi="Arial" w:cs="Arial"/>
          <w:sz w:val="24"/>
          <w:szCs w:val="24"/>
        </w:rPr>
        <w:t xml:space="preserve"> </w:t>
      </w:r>
      <w:r w:rsidR="00A2424F" w:rsidRPr="007B5567">
        <w:rPr>
          <w:rFonts w:ascii="Arial" w:hAnsi="Arial" w:cs="Arial"/>
          <w:sz w:val="24"/>
          <w:szCs w:val="24"/>
        </w:rPr>
        <w:t>un crecimiento promedio anual de 17.3</w:t>
      </w:r>
      <w:r>
        <w:rPr>
          <w:rFonts w:ascii="Arial" w:hAnsi="Arial" w:cs="Arial"/>
          <w:sz w:val="24"/>
          <w:szCs w:val="24"/>
        </w:rPr>
        <w:t xml:space="preserve"> por ciento.</w:t>
      </w:r>
    </w:p>
    <w:p w14:paraId="4B53C5C0" w14:textId="5C196091" w:rsidR="00712916" w:rsidRDefault="00712916" w:rsidP="0014235C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</w:p>
    <w:p w14:paraId="1A03449E" w14:textId="1D9164E7" w:rsidR="007B5567" w:rsidRPr="007B5567" w:rsidRDefault="00F43328" w:rsidP="007B5567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2018, l</w:t>
      </w:r>
      <w:r w:rsidR="007B5567" w:rsidRPr="007B5567">
        <w:rPr>
          <w:rFonts w:ascii="Arial" w:hAnsi="Arial" w:cs="Arial"/>
          <w:sz w:val="24"/>
          <w:szCs w:val="24"/>
        </w:rPr>
        <w:t>as empresas de consultoría</w:t>
      </w:r>
      <w:r w:rsidR="003E0A3D">
        <w:rPr>
          <w:rFonts w:ascii="Arial" w:hAnsi="Arial" w:cs="Arial"/>
          <w:sz w:val="24"/>
          <w:szCs w:val="24"/>
        </w:rPr>
        <w:t xml:space="preserve"> </w:t>
      </w:r>
      <w:r w:rsidR="00EA224D">
        <w:rPr>
          <w:rFonts w:ascii="Arial" w:hAnsi="Arial" w:cs="Arial"/>
          <w:sz w:val="24"/>
          <w:szCs w:val="24"/>
        </w:rPr>
        <w:t xml:space="preserve">participaron </w:t>
      </w:r>
      <w:r w:rsidR="003E0A3D">
        <w:rPr>
          <w:rFonts w:ascii="Arial" w:hAnsi="Arial" w:cs="Arial"/>
          <w:sz w:val="24"/>
          <w:szCs w:val="24"/>
        </w:rPr>
        <w:t xml:space="preserve">en la economía </w:t>
      </w:r>
      <w:r>
        <w:rPr>
          <w:rFonts w:ascii="Arial" w:hAnsi="Arial" w:cs="Arial"/>
          <w:sz w:val="24"/>
          <w:szCs w:val="24"/>
        </w:rPr>
        <w:t>con</w:t>
      </w:r>
      <w:r w:rsidR="007B5567" w:rsidRPr="007B5567">
        <w:rPr>
          <w:rFonts w:ascii="Arial" w:hAnsi="Arial" w:cs="Arial"/>
          <w:sz w:val="24"/>
          <w:szCs w:val="24"/>
        </w:rPr>
        <w:t xml:space="preserve"> 3.6</w:t>
      </w:r>
      <w:r>
        <w:rPr>
          <w:rFonts w:ascii="Arial" w:hAnsi="Arial" w:cs="Arial"/>
          <w:sz w:val="24"/>
          <w:szCs w:val="24"/>
        </w:rPr>
        <w:t xml:space="preserve"> </w:t>
      </w:r>
      <w:r w:rsidR="007B5567" w:rsidRPr="007B5567">
        <w:rPr>
          <w:rFonts w:ascii="Arial" w:hAnsi="Arial" w:cs="Arial"/>
          <w:sz w:val="24"/>
          <w:szCs w:val="24"/>
        </w:rPr>
        <w:t xml:space="preserve">% del personal ocupado y </w:t>
      </w:r>
      <w:r w:rsidR="00EA224D">
        <w:rPr>
          <w:rFonts w:ascii="Arial" w:hAnsi="Arial" w:cs="Arial"/>
          <w:sz w:val="24"/>
          <w:szCs w:val="24"/>
        </w:rPr>
        <w:t xml:space="preserve">con </w:t>
      </w:r>
      <w:r w:rsidR="007B5567" w:rsidRPr="007B5567">
        <w:rPr>
          <w:rFonts w:ascii="Arial" w:hAnsi="Arial" w:cs="Arial"/>
          <w:sz w:val="24"/>
          <w:szCs w:val="24"/>
        </w:rPr>
        <w:t>1.8</w:t>
      </w:r>
      <w:r>
        <w:rPr>
          <w:rFonts w:ascii="Arial" w:hAnsi="Arial" w:cs="Arial"/>
          <w:sz w:val="24"/>
          <w:szCs w:val="24"/>
        </w:rPr>
        <w:t xml:space="preserve"> </w:t>
      </w:r>
      <w:r w:rsidR="007B5567" w:rsidRPr="007B5567">
        <w:rPr>
          <w:rFonts w:ascii="Arial" w:hAnsi="Arial" w:cs="Arial"/>
          <w:sz w:val="24"/>
          <w:szCs w:val="24"/>
        </w:rPr>
        <w:t xml:space="preserve">% de la producción bruta. </w:t>
      </w:r>
      <w:r w:rsidR="003E0A3D">
        <w:rPr>
          <w:rFonts w:ascii="Arial" w:hAnsi="Arial" w:cs="Arial"/>
          <w:sz w:val="24"/>
          <w:szCs w:val="24"/>
        </w:rPr>
        <w:t>S</w:t>
      </w:r>
      <w:r w:rsidR="007B5567" w:rsidRPr="007B5567">
        <w:rPr>
          <w:rFonts w:ascii="Arial" w:hAnsi="Arial" w:cs="Arial"/>
          <w:sz w:val="24"/>
          <w:szCs w:val="24"/>
        </w:rPr>
        <w:t xml:space="preserve">u </w:t>
      </w:r>
      <w:r>
        <w:rPr>
          <w:rFonts w:ascii="Arial" w:hAnsi="Arial" w:cs="Arial"/>
          <w:sz w:val="24"/>
          <w:szCs w:val="24"/>
        </w:rPr>
        <w:t>aportación a</w:t>
      </w:r>
      <w:r w:rsidR="003E0A3D">
        <w:rPr>
          <w:rFonts w:ascii="Arial" w:hAnsi="Arial" w:cs="Arial"/>
          <w:sz w:val="24"/>
          <w:szCs w:val="24"/>
        </w:rPr>
        <w:t xml:space="preserve"> </w:t>
      </w:r>
      <w:r w:rsidR="007B5567" w:rsidRPr="007B5567">
        <w:rPr>
          <w:rFonts w:ascii="Arial" w:hAnsi="Arial" w:cs="Arial"/>
          <w:sz w:val="24"/>
          <w:szCs w:val="24"/>
        </w:rPr>
        <w:t xml:space="preserve">las actividades de servicios fue </w:t>
      </w:r>
      <w:r>
        <w:rPr>
          <w:rFonts w:ascii="Arial" w:hAnsi="Arial" w:cs="Arial"/>
          <w:sz w:val="24"/>
          <w:szCs w:val="24"/>
        </w:rPr>
        <w:t xml:space="preserve">        </w:t>
      </w:r>
      <w:r w:rsidR="007B5567" w:rsidRPr="007B5567">
        <w:rPr>
          <w:rFonts w:ascii="Arial" w:hAnsi="Arial" w:cs="Arial"/>
          <w:sz w:val="24"/>
          <w:szCs w:val="24"/>
        </w:rPr>
        <w:t>8.2</w:t>
      </w:r>
      <w:r>
        <w:rPr>
          <w:rFonts w:ascii="Arial" w:hAnsi="Arial" w:cs="Arial"/>
          <w:sz w:val="24"/>
          <w:szCs w:val="24"/>
        </w:rPr>
        <w:t xml:space="preserve"> </w:t>
      </w:r>
      <w:r w:rsidR="007B5567" w:rsidRPr="007B5567">
        <w:rPr>
          <w:rFonts w:ascii="Arial" w:hAnsi="Arial" w:cs="Arial"/>
          <w:sz w:val="24"/>
          <w:szCs w:val="24"/>
        </w:rPr>
        <w:t>% del personal ocupado y</w:t>
      </w:r>
      <w:r>
        <w:rPr>
          <w:rFonts w:ascii="Arial" w:hAnsi="Arial" w:cs="Arial"/>
          <w:sz w:val="24"/>
          <w:szCs w:val="24"/>
        </w:rPr>
        <w:t xml:space="preserve"> </w:t>
      </w:r>
      <w:r w:rsidR="007B5567" w:rsidRPr="007B5567">
        <w:rPr>
          <w:rFonts w:ascii="Arial" w:hAnsi="Arial" w:cs="Arial"/>
          <w:sz w:val="24"/>
          <w:szCs w:val="24"/>
        </w:rPr>
        <w:t>6.6</w:t>
      </w:r>
      <w:r>
        <w:rPr>
          <w:rFonts w:ascii="Arial" w:hAnsi="Arial" w:cs="Arial"/>
          <w:sz w:val="24"/>
          <w:szCs w:val="24"/>
        </w:rPr>
        <w:t xml:space="preserve"> </w:t>
      </w:r>
      <w:r w:rsidR="007B5567" w:rsidRPr="007B5567">
        <w:rPr>
          <w:rFonts w:ascii="Arial" w:hAnsi="Arial" w:cs="Arial"/>
          <w:sz w:val="24"/>
          <w:szCs w:val="24"/>
        </w:rPr>
        <w:t>% de la producción bruta.</w:t>
      </w:r>
    </w:p>
    <w:p w14:paraId="3CFABD52" w14:textId="49725892" w:rsidR="007B5567" w:rsidRDefault="007B5567" w:rsidP="007B5567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</w:p>
    <w:p w14:paraId="0A6C1B06" w14:textId="6926999C" w:rsidR="007B5567" w:rsidRPr="007B5567" w:rsidRDefault="00F43328" w:rsidP="007B5567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las empresas de consultoría, </w:t>
      </w:r>
      <w:r w:rsidR="00423A0E" w:rsidRPr="007B5567">
        <w:rPr>
          <w:rFonts w:ascii="Arial" w:hAnsi="Arial" w:cs="Arial"/>
          <w:sz w:val="24"/>
          <w:szCs w:val="24"/>
        </w:rPr>
        <w:t>84.5</w:t>
      </w:r>
      <w:r>
        <w:rPr>
          <w:rFonts w:ascii="Arial" w:hAnsi="Arial" w:cs="Arial"/>
          <w:sz w:val="24"/>
          <w:szCs w:val="24"/>
        </w:rPr>
        <w:t xml:space="preserve"> </w:t>
      </w:r>
      <w:r w:rsidR="00423A0E" w:rsidRPr="007B5567">
        <w:rPr>
          <w:rFonts w:ascii="Arial" w:hAnsi="Arial" w:cs="Arial"/>
          <w:sz w:val="24"/>
          <w:szCs w:val="24"/>
        </w:rPr>
        <w:t>%</w:t>
      </w:r>
      <w:r w:rsidR="003E6C2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fue</w:t>
      </w:r>
      <w:r w:rsidR="00E87A2B">
        <w:rPr>
          <w:rFonts w:ascii="Arial" w:hAnsi="Arial" w:cs="Arial"/>
          <w:sz w:val="24"/>
          <w:szCs w:val="24"/>
        </w:rPr>
        <w:t>ron</w:t>
      </w:r>
      <w:r w:rsidR="003E6C26">
        <w:rPr>
          <w:rFonts w:ascii="Arial" w:hAnsi="Arial" w:cs="Arial"/>
          <w:sz w:val="24"/>
          <w:szCs w:val="24"/>
        </w:rPr>
        <w:t xml:space="preserve"> </w:t>
      </w:r>
      <w:r w:rsidR="007B5567" w:rsidRPr="007B5567">
        <w:rPr>
          <w:rFonts w:ascii="Arial" w:hAnsi="Arial" w:cs="Arial"/>
          <w:sz w:val="24"/>
          <w:szCs w:val="24"/>
        </w:rPr>
        <w:t>microempresa</w:t>
      </w:r>
      <w:r w:rsidR="00E87A2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, es decir, </w:t>
      </w:r>
      <w:r w:rsidR="00CC65A2">
        <w:rPr>
          <w:rFonts w:ascii="Arial" w:hAnsi="Arial" w:cs="Arial"/>
          <w:sz w:val="24"/>
          <w:szCs w:val="24"/>
        </w:rPr>
        <w:t xml:space="preserve">que emplean </w:t>
      </w:r>
      <w:r w:rsidR="00EA224D">
        <w:rPr>
          <w:rFonts w:ascii="Arial" w:hAnsi="Arial" w:cs="Arial"/>
          <w:sz w:val="24"/>
          <w:szCs w:val="24"/>
        </w:rPr>
        <w:t xml:space="preserve">hasta </w:t>
      </w:r>
      <w:r w:rsidR="007B5567" w:rsidRPr="007B5567">
        <w:rPr>
          <w:rFonts w:ascii="Arial" w:hAnsi="Arial" w:cs="Arial"/>
          <w:sz w:val="24"/>
          <w:szCs w:val="24"/>
        </w:rPr>
        <w:t>10 personas</w:t>
      </w:r>
      <w:r>
        <w:rPr>
          <w:rFonts w:ascii="Arial" w:hAnsi="Arial" w:cs="Arial"/>
          <w:sz w:val="24"/>
          <w:szCs w:val="24"/>
        </w:rPr>
        <w:t>. L</w:t>
      </w:r>
      <w:r w:rsidR="007B5567" w:rsidRPr="007B5567">
        <w:rPr>
          <w:rFonts w:ascii="Arial" w:hAnsi="Arial" w:cs="Arial"/>
          <w:sz w:val="24"/>
          <w:szCs w:val="24"/>
        </w:rPr>
        <w:t>as empresas medianas</w:t>
      </w:r>
      <w:r w:rsidR="00EA224D">
        <w:rPr>
          <w:rFonts w:ascii="Arial" w:hAnsi="Arial" w:cs="Arial"/>
          <w:sz w:val="24"/>
          <w:szCs w:val="24"/>
        </w:rPr>
        <w:t xml:space="preserve"> —</w:t>
      </w:r>
      <w:r w:rsidR="003E6C26">
        <w:rPr>
          <w:rFonts w:ascii="Arial" w:hAnsi="Arial" w:cs="Arial"/>
          <w:sz w:val="24"/>
          <w:szCs w:val="24"/>
        </w:rPr>
        <w:t xml:space="preserve">que emplean de </w:t>
      </w:r>
      <w:r w:rsidR="007B5567" w:rsidRPr="007B5567">
        <w:rPr>
          <w:rFonts w:ascii="Arial" w:hAnsi="Arial" w:cs="Arial"/>
          <w:sz w:val="24"/>
          <w:szCs w:val="24"/>
        </w:rPr>
        <w:t>51 a 250 personas</w:t>
      </w:r>
      <w:r w:rsidR="00EA224D">
        <w:rPr>
          <w:rFonts w:ascii="Arial" w:hAnsi="Arial" w:cs="Arial"/>
          <w:sz w:val="24"/>
          <w:szCs w:val="24"/>
        </w:rPr>
        <w:t>—</w:t>
      </w:r>
      <w:r w:rsidR="007B5567" w:rsidRPr="007B5567">
        <w:rPr>
          <w:rFonts w:ascii="Arial" w:hAnsi="Arial" w:cs="Arial"/>
          <w:sz w:val="24"/>
          <w:szCs w:val="24"/>
        </w:rPr>
        <w:t xml:space="preserve"> y</w:t>
      </w:r>
      <w:r w:rsidR="00EA224D">
        <w:rPr>
          <w:rFonts w:ascii="Arial" w:hAnsi="Arial" w:cs="Arial"/>
          <w:sz w:val="24"/>
          <w:szCs w:val="24"/>
        </w:rPr>
        <w:t xml:space="preserve"> las </w:t>
      </w:r>
      <w:r w:rsidR="007B5567" w:rsidRPr="007B5567">
        <w:rPr>
          <w:rFonts w:ascii="Arial" w:hAnsi="Arial" w:cs="Arial"/>
          <w:sz w:val="24"/>
          <w:szCs w:val="24"/>
        </w:rPr>
        <w:t>grandes</w:t>
      </w:r>
      <w:r>
        <w:rPr>
          <w:rFonts w:ascii="Arial" w:hAnsi="Arial" w:cs="Arial"/>
          <w:sz w:val="24"/>
          <w:szCs w:val="24"/>
        </w:rPr>
        <w:t xml:space="preserve"> </w:t>
      </w:r>
      <w:r w:rsidR="00EA224D">
        <w:rPr>
          <w:rFonts w:ascii="Arial" w:hAnsi="Arial" w:cs="Arial"/>
          <w:sz w:val="24"/>
          <w:szCs w:val="24"/>
        </w:rPr>
        <w:t>—</w:t>
      </w:r>
      <w:r w:rsidR="00302A50">
        <w:rPr>
          <w:rFonts w:ascii="Arial" w:hAnsi="Arial" w:cs="Arial"/>
          <w:sz w:val="24"/>
          <w:szCs w:val="24"/>
        </w:rPr>
        <w:t xml:space="preserve">que </w:t>
      </w:r>
      <w:r w:rsidR="00EA224D">
        <w:rPr>
          <w:rFonts w:ascii="Arial" w:hAnsi="Arial" w:cs="Arial"/>
          <w:sz w:val="24"/>
          <w:szCs w:val="24"/>
        </w:rPr>
        <w:t xml:space="preserve">son las que </w:t>
      </w:r>
      <w:r w:rsidR="003E6C26">
        <w:rPr>
          <w:rFonts w:ascii="Arial" w:hAnsi="Arial" w:cs="Arial"/>
          <w:sz w:val="24"/>
          <w:szCs w:val="24"/>
        </w:rPr>
        <w:t xml:space="preserve">emplean </w:t>
      </w:r>
      <w:r w:rsidR="000B5105">
        <w:rPr>
          <w:rFonts w:ascii="Arial" w:hAnsi="Arial" w:cs="Arial"/>
          <w:sz w:val="24"/>
          <w:szCs w:val="24"/>
        </w:rPr>
        <w:t xml:space="preserve">a </w:t>
      </w:r>
      <w:r w:rsidR="007B5567" w:rsidRPr="007B5567">
        <w:rPr>
          <w:rFonts w:ascii="Arial" w:hAnsi="Arial" w:cs="Arial"/>
          <w:sz w:val="24"/>
          <w:szCs w:val="24"/>
        </w:rPr>
        <w:t xml:space="preserve">251 </w:t>
      </w:r>
      <w:r w:rsidR="000B5105">
        <w:rPr>
          <w:rFonts w:ascii="Arial" w:hAnsi="Arial" w:cs="Arial"/>
          <w:sz w:val="24"/>
          <w:szCs w:val="24"/>
        </w:rPr>
        <w:t xml:space="preserve">o más </w:t>
      </w:r>
      <w:r w:rsidR="007B5567" w:rsidRPr="007B5567">
        <w:rPr>
          <w:rFonts w:ascii="Arial" w:hAnsi="Arial" w:cs="Arial"/>
          <w:sz w:val="24"/>
          <w:szCs w:val="24"/>
        </w:rPr>
        <w:t>personas</w:t>
      </w:r>
      <w:r w:rsidR="00EA224D">
        <w:rPr>
          <w:rFonts w:ascii="Arial" w:hAnsi="Arial" w:cs="Arial"/>
          <w:sz w:val="24"/>
          <w:szCs w:val="24"/>
        </w:rPr>
        <w:t>—</w:t>
      </w:r>
      <w:r w:rsidR="007B5567" w:rsidRPr="007B5567">
        <w:rPr>
          <w:rFonts w:ascii="Arial" w:hAnsi="Arial" w:cs="Arial"/>
          <w:sz w:val="24"/>
          <w:szCs w:val="24"/>
        </w:rPr>
        <w:t xml:space="preserve"> generaron el mayor número de empleos (64.6%) y la mayor producción bruta (62.8%)</w:t>
      </w:r>
      <w:r w:rsidR="000C76A4" w:rsidRPr="000C76A4">
        <w:rPr>
          <w:rFonts w:ascii="Arial" w:hAnsi="Arial" w:cs="Arial"/>
          <w:sz w:val="24"/>
          <w:szCs w:val="24"/>
        </w:rPr>
        <w:t xml:space="preserve"> </w:t>
      </w:r>
      <w:r w:rsidR="000C76A4">
        <w:rPr>
          <w:rFonts w:ascii="Arial" w:hAnsi="Arial" w:cs="Arial"/>
          <w:sz w:val="24"/>
          <w:szCs w:val="24"/>
        </w:rPr>
        <w:t>en 2018</w:t>
      </w:r>
      <w:r w:rsidR="007B5567" w:rsidRPr="007B5567">
        <w:rPr>
          <w:rFonts w:ascii="Arial" w:hAnsi="Arial" w:cs="Arial"/>
          <w:sz w:val="24"/>
          <w:szCs w:val="24"/>
        </w:rPr>
        <w:t>.</w:t>
      </w:r>
    </w:p>
    <w:p w14:paraId="1462B7D9" w14:textId="77777777" w:rsidR="007B5567" w:rsidRDefault="007B5567" w:rsidP="0014235C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</w:p>
    <w:p w14:paraId="6539D869" w14:textId="669C1309" w:rsidR="00DB587A" w:rsidRPr="00DB587A" w:rsidRDefault="00F43328" w:rsidP="00DB587A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c</w:t>
      </w:r>
      <w:r w:rsidR="00EA224D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anto a </w:t>
      </w:r>
      <w:r w:rsidR="00DB587A" w:rsidRPr="00DB587A">
        <w:rPr>
          <w:rFonts w:ascii="Arial" w:hAnsi="Arial" w:cs="Arial"/>
          <w:sz w:val="24"/>
          <w:szCs w:val="24"/>
        </w:rPr>
        <w:t>los insumos que</w:t>
      </w:r>
      <w:r w:rsidR="00FD1573">
        <w:rPr>
          <w:rFonts w:ascii="Arial" w:hAnsi="Arial" w:cs="Arial"/>
          <w:sz w:val="24"/>
          <w:szCs w:val="24"/>
        </w:rPr>
        <w:t xml:space="preserve"> </w:t>
      </w:r>
      <w:r w:rsidR="00FD1573" w:rsidRPr="00700D96">
        <w:rPr>
          <w:rFonts w:ascii="Arial" w:hAnsi="Arial" w:cs="Arial"/>
          <w:sz w:val="24"/>
          <w:szCs w:val="24"/>
        </w:rPr>
        <w:t>utilizaron</w:t>
      </w:r>
      <w:r w:rsidR="00DB587A" w:rsidRPr="00700D96">
        <w:rPr>
          <w:rFonts w:ascii="Arial" w:hAnsi="Arial" w:cs="Arial"/>
          <w:sz w:val="24"/>
          <w:szCs w:val="24"/>
        </w:rPr>
        <w:t xml:space="preserve"> </w:t>
      </w:r>
      <w:r w:rsidR="00CA3974" w:rsidRPr="00700D96">
        <w:rPr>
          <w:rFonts w:ascii="Arial" w:hAnsi="Arial" w:cs="Arial"/>
          <w:sz w:val="24"/>
          <w:szCs w:val="24"/>
        </w:rPr>
        <w:t>l</w:t>
      </w:r>
      <w:r w:rsidR="00CA3974">
        <w:rPr>
          <w:rFonts w:ascii="Arial" w:hAnsi="Arial" w:cs="Arial"/>
          <w:sz w:val="24"/>
          <w:szCs w:val="24"/>
        </w:rPr>
        <w:t xml:space="preserve">as </w:t>
      </w:r>
      <w:r w:rsidR="00DB587A" w:rsidRPr="00DB587A">
        <w:rPr>
          <w:rFonts w:ascii="Arial" w:hAnsi="Arial" w:cs="Arial"/>
          <w:sz w:val="24"/>
          <w:szCs w:val="24"/>
        </w:rPr>
        <w:t>empresas de consultoría</w:t>
      </w:r>
      <w:r>
        <w:rPr>
          <w:rFonts w:ascii="Arial" w:hAnsi="Arial" w:cs="Arial"/>
          <w:sz w:val="24"/>
          <w:szCs w:val="24"/>
        </w:rPr>
        <w:t>,</w:t>
      </w:r>
      <w:r w:rsidRPr="00DB587A">
        <w:rPr>
          <w:rFonts w:ascii="Arial" w:hAnsi="Arial" w:cs="Arial"/>
          <w:sz w:val="24"/>
          <w:szCs w:val="24"/>
        </w:rPr>
        <w:t xml:space="preserve"> 85</w:t>
      </w:r>
      <w:r>
        <w:rPr>
          <w:rFonts w:ascii="Arial" w:hAnsi="Arial" w:cs="Arial"/>
          <w:sz w:val="24"/>
          <w:szCs w:val="24"/>
        </w:rPr>
        <w:t xml:space="preserve"> </w:t>
      </w:r>
      <w:r w:rsidRPr="00DB587A">
        <w:rPr>
          <w:rFonts w:ascii="Arial" w:hAnsi="Arial" w:cs="Arial"/>
          <w:sz w:val="24"/>
          <w:szCs w:val="24"/>
        </w:rPr>
        <w:t xml:space="preserve">% </w:t>
      </w:r>
      <w:r w:rsidR="00EA224D">
        <w:rPr>
          <w:rFonts w:ascii="Arial" w:hAnsi="Arial" w:cs="Arial"/>
          <w:sz w:val="24"/>
          <w:szCs w:val="24"/>
        </w:rPr>
        <w:t xml:space="preserve">fue de </w:t>
      </w:r>
      <w:r w:rsidR="00DB587A" w:rsidRPr="00DB587A">
        <w:rPr>
          <w:rFonts w:ascii="Arial" w:hAnsi="Arial" w:cs="Arial"/>
          <w:sz w:val="24"/>
          <w:szCs w:val="24"/>
        </w:rPr>
        <w:t>origen nacional</w:t>
      </w:r>
      <w:r w:rsidR="000C76A4">
        <w:rPr>
          <w:rFonts w:ascii="Arial" w:hAnsi="Arial" w:cs="Arial"/>
          <w:sz w:val="24"/>
          <w:szCs w:val="24"/>
        </w:rPr>
        <w:t xml:space="preserve"> en 2018,</w:t>
      </w:r>
      <w:r w:rsidR="00DB587A" w:rsidRPr="00DB587A">
        <w:rPr>
          <w:rFonts w:ascii="Arial" w:hAnsi="Arial" w:cs="Arial"/>
          <w:sz w:val="24"/>
          <w:szCs w:val="24"/>
        </w:rPr>
        <w:t xml:space="preserve"> lo que signific</w:t>
      </w:r>
      <w:r w:rsidR="00EA224D">
        <w:rPr>
          <w:rFonts w:ascii="Arial" w:hAnsi="Arial" w:cs="Arial"/>
          <w:sz w:val="24"/>
          <w:szCs w:val="24"/>
        </w:rPr>
        <w:t>ó</w:t>
      </w:r>
      <w:r w:rsidR="00DB587A" w:rsidRPr="00DB587A">
        <w:rPr>
          <w:rFonts w:ascii="Arial" w:hAnsi="Arial" w:cs="Arial"/>
          <w:sz w:val="24"/>
          <w:szCs w:val="24"/>
        </w:rPr>
        <w:t xml:space="preserve"> un elevado nivel de integración con la economía doméstica y un impacto positivo en otras actividades económicas.</w:t>
      </w:r>
    </w:p>
    <w:p w14:paraId="77302EB9" w14:textId="77777777" w:rsidR="00DB587A" w:rsidRPr="00DB587A" w:rsidRDefault="00DB587A" w:rsidP="00DB587A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</w:p>
    <w:p w14:paraId="3BD51165" w14:textId="0F3C348A" w:rsidR="00F929EE" w:rsidRDefault="00DB587A" w:rsidP="00DB587A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  <w:r w:rsidRPr="00DB587A">
        <w:rPr>
          <w:rFonts w:ascii="Arial" w:hAnsi="Arial" w:cs="Arial"/>
          <w:sz w:val="24"/>
          <w:szCs w:val="24"/>
        </w:rPr>
        <w:t xml:space="preserve">En las empresas de consultoría, 70 de cada 100 </w:t>
      </w:r>
      <w:r w:rsidR="00F43328">
        <w:rPr>
          <w:rFonts w:ascii="Arial" w:hAnsi="Arial" w:cs="Arial"/>
          <w:sz w:val="24"/>
          <w:szCs w:val="24"/>
        </w:rPr>
        <w:t xml:space="preserve">pesos </w:t>
      </w:r>
      <w:r w:rsidRPr="00DB587A">
        <w:rPr>
          <w:rFonts w:ascii="Arial" w:hAnsi="Arial" w:cs="Arial"/>
          <w:sz w:val="24"/>
          <w:szCs w:val="24"/>
        </w:rPr>
        <w:t xml:space="preserve">del valor de la producción corresponden al valor agregado bruto </w:t>
      </w:r>
      <w:r w:rsidR="002864F8">
        <w:rPr>
          <w:rFonts w:ascii="Arial" w:hAnsi="Arial" w:cs="Arial"/>
          <w:sz w:val="24"/>
          <w:szCs w:val="24"/>
        </w:rPr>
        <w:t xml:space="preserve">en 2018, </w:t>
      </w:r>
      <w:r w:rsidRPr="00DB587A">
        <w:rPr>
          <w:rFonts w:ascii="Arial" w:hAnsi="Arial" w:cs="Arial"/>
          <w:sz w:val="24"/>
          <w:szCs w:val="24"/>
        </w:rPr>
        <w:t>que es superior al porcentaje que presenta la economía en su conjunto.</w:t>
      </w:r>
    </w:p>
    <w:p w14:paraId="0F7D3B42" w14:textId="77777777" w:rsidR="00F929EE" w:rsidRPr="00DB587A" w:rsidRDefault="00F929EE" w:rsidP="00DB587A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</w:p>
    <w:p w14:paraId="2D062A01" w14:textId="72750FD4" w:rsidR="00DB587A" w:rsidRPr="00DB587A" w:rsidRDefault="00F43328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l</w:t>
      </w:r>
      <w:r w:rsidR="00DB587A" w:rsidRPr="00DB587A">
        <w:rPr>
          <w:rFonts w:ascii="Arial" w:hAnsi="Arial" w:cs="Arial"/>
          <w:sz w:val="24"/>
          <w:szCs w:val="24"/>
        </w:rPr>
        <w:t>os servicios que ofrecieron las empresas de consultoría</w:t>
      </w:r>
      <w:r>
        <w:rPr>
          <w:rFonts w:ascii="Arial" w:hAnsi="Arial" w:cs="Arial"/>
          <w:sz w:val="24"/>
          <w:szCs w:val="24"/>
        </w:rPr>
        <w:t xml:space="preserve"> </w:t>
      </w:r>
      <w:r w:rsidR="009830CF">
        <w:rPr>
          <w:rFonts w:ascii="Arial" w:hAnsi="Arial" w:cs="Arial"/>
          <w:sz w:val="24"/>
          <w:szCs w:val="24"/>
        </w:rPr>
        <w:t xml:space="preserve">en 2018, </w:t>
      </w:r>
      <w:r w:rsidRPr="00DB587A">
        <w:rPr>
          <w:rFonts w:ascii="Arial" w:hAnsi="Arial" w:cs="Arial"/>
          <w:sz w:val="24"/>
          <w:szCs w:val="24"/>
        </w:rPr>
        <w:t xml:space="preserve">95.5 </w:t>
      </w:r>
      <w:r>
        <w:rPr>
          <w:rFonts w:ascii="Arial" w:hAnsi="Arial" w:cs="Arial"/>
          <w:sz w:val="24"/>
          <w:szCs w:val="24"/>
        </w:rPr>
        <w:t>%</w:t>
      </w:r>
      <w:r w:rsidR="00DB587A" w:rsidRPr="00DB587A">
        <w:rPr>
          <w:rFonts w:ascii="Arial" w:hAnsi="Arial" w:cs="Arial"/>
          <w:sz w:val="24"/>
          <w:szCs w:val="24"/>
        </w:rPr>
        <w:t xml:space="preserve"> se destin</w:t>
      </w:r>
      <w:r w:rsidR="00EA224D">
        <w:rPr>
          <w:rFonts w:ascii="Arial" w:hAnsi="Arial" w:cs="Arial"/>
          <w:sz w:val="24"/>
          <w:szCs w:val="24"/>
        </w:rPr>
        <w:t>ó</w:t>
      </w:r>
      <w:r w:rsidR="00DB587A" w:rsidRPr="00DB587A">
        <w:rPr>
          <w:rFonts w:ascii="Arial" w:hAnsi="Arial" w:cs="Arial"/>
          <w:sz w:val="24"/>
          <w:szCs w:val="24"/>
        </w:rPr>
        <w:t xml:space="preserve"> principalmente a cubrir la demanda intermedia. Esto significa que la mayor parte de sus servicios </w:t>
      </w:r>
      <w:r w:rsidR="00EA224D">
        <w:rPr>
          <w:rFonts w:ascii="Arial" w:hAnsi="Arial" w:cs="Arial"/>
          <w:sz w:val="24"/>
          <w:szCs w:val="24"/>
        </w:rPr>
        <w:t>se canalizó</w:t>
      </w:r>
      <w:r w:rsidR="00DB587A" w:rsidRPr="00DB587A">
        <w:rPr>
          <w:rFonts w:ascii="Arial" w:hAnsi="Arial" w:cs="Arial"/>
          <w:sz w:val="24"/>
          <w:szCs w:val="24"/>
        </w:rPr>
        <w:t xml:space="preserve"> a otras empresas.</w:t>
      </w:r>
    </w:p>
    <w:p w14:paraId="60862BB9" w14:textId="77777777" w:rsidR="00DB587A" w:rsidRPr="00DB587A" w:rsidRDefault="00DB587A" w:rsidP="00DB587A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</w:p>
    <w:p w14:paraId="656F1741" w14:textId="233ADF00" w:rsidR="00FD1573" w:rsidRDefault="00FD1573" w:rsidP="00FD1573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  <w:r w:rsidRPr="00CA3974">
        <w:rPr>
          <w:rFonts w:ascii="Arial" w:hAnsi="Arial" w:cs="Arial"/>
          <w:sz w:val="24"/>
          <w:szCs w:val="24"/>
        </w:rPr>
        <w:t xml:space="preserve">El </w:t>
      </w:r>
      <w:r w:rsidR="00F43328">
        <w:rPr>
          <w:rFonts w:ascii="Arial" w:hAnsi="Arial" w:cs="Arial"/>
          <w:sz w:val="24"/>
          <w:szCs w:val="24"/>
        </w:rPr>
        <w:t>77.0</w:t>
      </w:r>
      <w:r w:rsidR="00F435E0">
        <w:rPr>
          <w:rFonts w:ascii="Arial" w:hAnsi="Arial" w:cs="Arial"/>
          <w:sz w:val="24"/>
          <w:szCs w:val="24"/>
        </w:rPr>
        <w:t xml:space="preserve"> </w:t>
      </w:r>
      <w:r w:rsidR="00F43328">
        <w:rPr>
          <w:rFonts w:ascii="Arial" w:hAnsi="Arial" w:cs="Arial"/>
          <w:sz w:val="24"/>
          <w:szCs w:val="24"/>
        </w:rPr>
        <w:t>% de las</w:t>
      </w:r>
      <w:r w:rsidRPr="00CA3974">
        <w:rPr>
          <w:rFonts w:ascii="Arial" w:hAnsi="Arial" w:cs="Arial"/>
          <w:sz w:val="24"/>
          <w:szCs w:val="24"/>
        </w:rPr>
        <w:t xml:space="preserve"> empresas de consultoría </w:t>
      </w:r>
      <w:r w:rsidR="00EA224D">
        <w:rPr>
          <w:rFonts w:ascii="Arial" w:hAnsi="Arial" w:cs="Arial"/>
          <w:sz w:val="24"/>
          <w:szCs w:val="24"/>
        </w:rPr>
        <w:t xml:space="preserve">usó </w:t>
      </w:r>
      <w:r w:rsidRPr="00CA3974">
        <w:rPr>
          <w:rFonts w:ascii="Arial" w:hAnsi="Arial" w:cs="Arial"/>
          <w:sz w:val="24"/>
          <w:szCs w:val="24"/>
        </w:rPr>
        <w:t>internet</w:t>
      </w:r>
      <w:r w:rsidR="00F435E0" w:rsidRPr="00F435E0">
        <w:rPr>
          <w:rFonts w:ascii="Arial" w:hAnsi="Arial" w:cs="Arial"/>
          <w:sz w:val="24"/>
          <w:szCs w:val="24"/>
        </w:rPr>
        <w:t xml:space="preserve"> </w:t>
      </w:r>
      <w:r w:rsidR="00F435E0">
        <w:rPr>
          <w:rFonts w:ascii="Arial" w:hAnsi="Arial" w:cs="Arial"/>
          <w:sz w:val="24"/>
          <w:szCs w:val="24"/>
        </w:rPr>
        <w:t>en 2018</w:t>
      </w:r>
      <w:r w:rsidR="00EA224D">
        <w:rPr>
          <w:rFonts w:ascii="Arial" w:hAnsi="Arial" w:cs="Arial"/>
          <w:sz w:val="24"/>
          <w:szCs w:val="24"/>
        </w:rPr>
        <w:t xml:space="preserve">. En el </w:t>
      </w:r>
      <w:r w:rsidR="00F43328">
        <w:rPr>
          <w:rFonts w:ascii="Arial" w:hAnsi="Arial" w:cs="Arial"/>
          <w:sz w:val="24"/>
          <w:szCs w:val="24"/>
        </w:rPr>
        <w:t>total de la economía</w:t>
      </w:r>
      <w:r w:rsidR="00EA224D">
        <w:rPr>
          <w:rFonts w:ascii="Arial" w:hAnsi="Arial" w:cs="Arial"/>
          <w:sz w:val="24"/>
          <w:szCs w:val="24"/>
        </w:rPr>
        <w:t xml:space="preserve">, lo usó un 20.7 % de </w:t>
      </w:r>
      <w:r w:rsidR="00B242CA">
        <w:rPr>
          <w:rFonts w:ascii="Arial" w:hAnsi="Arial" w:cs="Arial"/>
          <w:sz w:val="24"/>
          <w:szCs w:val="24"/>
        </w:rPr>
        <w:t>las empresas y negocios.</w:t>
      </w:r>
    </w:p>
    <w:p w14:paraId="1ABD6AF8" w14:textId="77777777" w:rsidR="00FD1573" w:rsidRPr="00DB587A" w:rsidRDefault="00FD1573" w:rsidP="00DB587A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</w:p>
    <w:p w14:paraId="3FF329C9" w14:textId="7148F83F" w:rsidR="00DB587A" w:rsidRPr="00DB587A" w:rsidRDefault="00F435E0" w:rsidP="00DB587A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2018 e</w:t>
      </w:r>
      <w:r w:rsidR="00B242CA">
        <w:rPr>
          <w:rFonts w:ascii="Arial" w:hAnsi="Arial" w:cs="Arial"/>
          <w:sz w:val="24"/>
          <w:szCs w:val="24"/>
        </w:rPr>
        <w:t>l porcentaje de</w:t>
      </w:r>
      <w:r w:rsidR="00DB587A" w:rsidRPr="00DB587A">
        <w:rPr>
          <w:rFonts w:ascii="Arial" w:hAnsi="Arial" w:cs="Arial"/>
          <w:sz w:val="24"/>
          <w:szCs w:val="24"/>
        </w:rPr>
        <w:t xml:space="preserve"> empresas de consultoría que ofrecieron capacitación a su personal </w:t>
      </w:r>
      <w:r w:rsidR="00B242CA">
        <w:rPr>
          <w:rFonts w:ascii="Arial" w:hAnsi="Arial" w:cs="Arial"/>
          <w:sz w:val="24"/>
          <w:szCs w:val="24"/>
        </w:rPr>
        <w:t>fue</w:t>
      </w:r>
      <w:r w:rsidR="00541AFF">
        <w:rPr>
          <w:rFonts w:ascii="Arial" w:hAnsi="Arial" w:cs="Arial"/>
          <w:sz w:val="24"/>
          <w:szCs w:val="24"/>
        </w:rPr>
        <w:t xml:space="preserve"> </w:t>
      </w:r>
      <w:r w:rsidR="00DB587A" w:rsidRPr="00DB587A">
        <w:rPr>
          <w:rFonts w:ascii="Arial" w:hAnsi="Arial" w:cs="Arial"/>
          <w:sz w:val="24"/>
          <w:szCs w:val="24"/>
        </w:rPr>
        <w:t>13.7</w:t>
      </w:r>
      <w:r w:rsidR="00541AFF">
        <w:rPr>
          <w:rFonts w:ascii="Arial" w:hAnsi="Arial" w:cs="Arial"/>
          <w:sz w:val="24"/>
          <w:szCs w:val="24"/>
        </w:rPr>
        <w:t xml:space="preserve"> </w:t>
      </w:r>
      <w:r w:rsidR="00DB587A" w:rsidRPr="00DB587A">
        <w:rPr>
          <w:rFonts w:ascii="Arial" w:hAnsi="Arial" w:cs="Arial"/>
          <w:sz w:val="24"/>
          <w:szCs w:val="24"/>
        </w:rPr>
        <w:t>%</w:t>
      </w:r>
      <w:r w:rsidR="00EA224D">
        <w:rPr>
          <w:rFonts w:ascii="Arial" w:hAnsi="Arial" w:cs="Arial"/>
          <w:sz w:val="24"/>
          <w:szCs w:val="24"/>
        </w:rPr>
        <w:t xml:space="preserve">, porcentaje </w:t>
      </w:r>
      <w:r w:rsidR="00321971">
        <w:rPr>
          <w:rFonts w:ascii="Arial" w:hAnsi="Arial" w:cs="Arial"/>
          <w:sz w:val="24"/>
          <w:szCs w:val="24"/>
        </w:rPr>
        <w:t xml:space="preserve">superior </w:t>
      </w:r>
      <w:r w:rsidR="00EA224D">
        <w:rPr>
          <w:rFonts w:ascii="Arial" w:hAnsi="Arial" w:cs="Arial"/>
          <w:sz w:val="24"/>
          <w:szCs w:val="24"/>
        </w:rPr>
        <w:t xml:space="preserve">al del total </w:t>
      </w:r>
      <w:r w:rsidR="00DB587A" w:rsidRPr="00DB587A">
        <w:rPr>
          <w:rFonts w:ascii="Arial" w:hAnsi="Arial" w:cs="Arial"/>
          <w:sz w:val="24"/>
          <w:szCs w:val="24"/>
        </w:rPr>
        <w:t>de la economía (3.8</w:t>
      </w:r>
      <w:r w:rsidR="00B242CA">
        <w:rPr>
          <w:rFonts w:ascii="Arial" w:hAnsi="Arial" w:cs="Arial"/>
          <w:sz w:val="24"/>
          <w:szCs w:val="24"/>
        </w:rPr>
        <w:t xml:space="preserve"> </w:t>
      </w:r>
      <w:r w:rsidR="00DB587A" w:rsidRPr="00DB587A">
        <w:rPr>
          <w:rFonts w:ascii="Arial" w:hAnsi="Arial" w:cs="Arial"/>
          <w:sz w:val="24"/>
          <w:szCs w:val="24"/>
        </w:rPr>
        <w:t>%).</w:t>
      </w:r>
    </w:p>
    <w:p w14:paraId="182C7130" w14:textId="74310E4B" w:rsidR="00DB587A" w:rsidRDefault="00DB587A" w:rsidP="0014235C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</w:p>
    <w:p w14:paraId="2E47AB27" w14:textId="0316D518" w:rsidR="00316E06" w:rsidRDefault="00B242CA" w:rsidP="0014235C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acuerdo con los Censos Económicos 2019, l</w:t>
      </w:r>
      <w:r w:rsidR="00CA3974" w:rsidRPr="00700D96">
        <w:rPr>
          <w:rFonts w:ascii="Arial" w:hAnsi="Arial" w:cs="Arial"/>
          <w:sz w:val="24"/>
          <w:szCs w:val="24"/>
        </w:rPr>
        <w:t xml:space="preserve">as empresas de consultoría </w:t>
      </w:r>
      <w:r>
        <w:rPr>
          <w:rFonts w:ascii="Arial" w:hAnsi="Arial" w:cs="Arial"/>
          <w:sz w:val="24"/>
          <w:szCs w:val="24"/>
        </w:rPr>
        <w:t xml:space="preserve">generaron </w:t>
      </w:r>
      <w:r w:rsidR="00CA3974" w:rsidRPr="00700D9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</w:t>
      </w:r>
      <w:r w:rsidR="00CA3974" w:rsidRPr="00700D96">
        <w:rPr>
          <w:rFonts w:ascii="Arial" w:hAnsi="Arial" w:cs="Arial"/>
          <w:sz w:val="24"/>
          <w:szCs w:val="24"/>
        </w:rPr>
        <w:t xml:space="preserve">971 669 </w:t>
      </w:r>
      <w:r>
        <w:rPr>
          <w:rFonts w:ascii="Arial" w:hAnsi="Arial" w:cs="Arial"/>
          <w:sz w:val="24"/>
          <w:szCs w:val="24"/>
        </w:rPr>
        <w:t xml:space="preserve">empleos </w:t>
      </w:r>
      <w:r w:rsidR="00CA3974" w:rsidRPr="00700D96">
        <w:rPr>
          <w:rFonts w:ascii="Arial" w:hAnsi="Arial" w:cs="Arial"/>
          <w:sz w:val="24"/>
          <w:szCs w:val="24"/>
        </w:rPr>
        <w:t>en 2018</w:t>
      </w:r>
      <w:r>
        <w:rPr>
          <w:rFonts w:ascii="Arial" w:hAnsi="Arial" w:cs="Arial"/>
          <w:sz w:val="24"/>
          <w:szCs w:val="24"/>
        </w:rPr>
        <w:t>. Por cada 100 empleos,</w:t>
      </w:r>
      <w:r w:rsidR="00CA3974" w:rsidRPr="00700D96">
        <w:rPr>
          <w:rFonts w:ascii="Arial" w:hAnsi="Arial" w:cs="Arial"/>
          <w:sz w:val="24"/>
          <w:szCs w:val="24"/>
        </w:rPr>
        <w:t xml:space="preserve"> 38 </w:t>
      </w:r>
      <w:r>
        <w:rPr>
          <w:rFonts w:ascii="Arial" w:hAnsi="Arial" w:cs="Arial"/>
          <w:sz w:val="24"/>
          <w:szCs w:val="24"/>
        </w:rPr>
        <w:t xml:space="preserve">fueron ocupados por </w:t>
      </w:r>
      <w:r w:rsidR="00CA3974" w:rsidRPr="00700D96">
        <w:rPr>
          <w:rFonts w:ascii="Arial" w:hAnsi="Arial" w:cs="Arial"/>
          <w:sz w:val="24"/>
          <w:szCs w:val="24"/>
        </w:rPr>
        <w:t>mujeres y 62</w:t>
      </w:r>
      <w:r>
        <w:rPr>
          <w:rFonts w:ascii="Arial" w:hAnsi="Arial" w:cs="Arial"/>
          <w:sz w:val="24"/>
          <w:szCs w:val="24"/>
        </w:rPr>
        <w:t xml:space="preserve">, por </w:t>
      </w:r>
      <w:r w:rsidR="00CA3974" w:rsidRPr="00700D96">
        <w:rPr>
          <w:rFonts w:ascii="Arial" w:hAnsi="Arial" w:cs="Arial"/>
          <w:sz w:val="24"/>
          <w:szCs w:val="24"/>
        </w:rPr>
        <w:t>hombres</w:t>
      </w:r>
      <w:r>
        <w:rPr>
          <w:rFonts w:ascii="Arial" w:hAnsi="Arial" w:cs="Arial"/>
          <w:sz w:val="24"/>
          <w:szCs w:val="24"/>
        </w:rPr>
        <w:t>.</w:t>
      </w:r>
    </w:p>
    <w:p w14:paraId="63F329F1" w14:textId="77777777" w:rsidR="00CA3974" w:rsidRDefault="00CA3974" w:rsidP="0014235C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</w:p>
    <w:p w14:paraId="0C810CB1" w14:textId="4A1C5AA1" w:rsidR="007754AE" w:rsidRPr="00ED6309" w:rsidRDefault="00EA224D" w:rsidP="001D20F4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 xml:space="preserve">Para </w:t>
      </w:r>
      <w:r w:rsidR="001D20F4" w:rsidRPr="001D20F4">
        <w:rPr>
          <w:rFonts w:ascii="Arial" w:hAnsi="Arial" w:cs="Arial"/>
          <w:sz w:val="24"/>
          <w:szCs w:val="24"/>
        </w:rPr>
        <w:t>más información sobre los resultados de esta publicación</w:t>
      </w:r>
      <w:r>
        <w:rPr>
          <w:rFonts w:ascii="Arial" w:hAnsi="Arial" w:cs="Arial"/>
          <w:sz w:val="24"/>
          <w:szCs w:val="24"/>
        </w:rPr>
        <w:t xml:space="preserve">, consulte la </w:t>
      </w:r>
      <w:r w:rsidR="007754AE" w:rsidRPr="00ED6309">
        <w:rPr>
          <w:rFonts w:ascii="Arial" w:eastAsia="Times New Roman" w:hAnsi="Arial" w:cs="Arial"/>
          <w:sz w:val="24"/>
          <w:szCs w:val="24"/>
        </w:rPr>
        <w:t>página de</w:t>
      </w:r>
      <w:r>
        <w:rPr>
          <w:rFonts w:ascii="Arial" w:eastAsia="Times New Roman" w:hAnsi="Arial" w:cs="Arial"/>
          <w:sz w:val="24"/>
          <w:szCs w:val="24"/>
        </w:rPr>
        <w:t>l</w:t>
      </w:r>
      <w:r w:rsidR="007754AE" w:rsidRPr="00ED6309">
        <w:rPr>
          <w:rFonts w:ascii="Arial" w:eastAsia="Times New Roman" w:hAnsi="Arial" w:cs="Arial"/>
          <w:sz w:val="24"/>
          <w:szCs w:val="24"/>
        </w:rPr>
        <w:t xml:space="preserve"> Instituto</w:t>
      </w:r>
      <w:r w:rsidR="00040782">
        <w:rPr>
          <w:rFonts w:ascii="Arial" w:eastAsia="Times New Roman" w:hAnsi="Arial" w:cs="Arial"/>
          <w:sz w:val="24"/>
          <w:szCs w:val="24"/>
        </w:rPr>
        <w:t xml:space="preserve"> </w:t>
      </w:r>
      <w:hyperlink r:id="rId9" w:history="1">
        <w:r w:rsidR="00040782" w:rsidRPr="00040782">
          <w:rPr>
            <w:rStyle w:val="Hipervnculo"/>
            <w:rFonts w:ascii="Arial" w:hAnsi="Arial" w:cs="Arial"/>
            <w:sz w:val="24"/>
            <w:szCs w:val="24"/>
          </w:rPr>
          <w:t>https://www.inegi.org.mx/app/biblioteca/ficha.html?upc=889463907138</w:t>
        </w:r>
      </w:hyperlink>
    </w:p>
    <w:p w14:paraId="5450BA46" w14:textId="77777777" w:rsidR="00D05035" w:rsidRPr="003950F8" w:rsidRDefault="00D05035" w:rsidP="007754AE">
      <w:pPr>
        <w:autoSpaceDE w:val="0"/>
        <w:autoSpaceDN w:val="0"/>
        <w:adjustRightInd w:val="0"/>
        <w:ind w:left="-579" w:right="-518" w:firstLine="12"/>
        <w:rPr>
          <w:rStyle w:val="Hipervnculo"/>
          <w:rFonts w:ascii="Arial" w:hAnsi="Arial" w:cs="Arial"/>
          <w:sz w:val="24"/>
          <w:szCs w:val="24"/>
        </w:rPr>
      </w:pPr>
    </w:p>
    <w:tbl>
      <w:tblPr>
        <w:tblStyle w:val="Tablaconcuadrcula"/>
        <w:tblW w:w="7513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3686"/>
      </w:tblGrid>
      <w:tr w:rsidR="007754AE" w:rsidRPr="00AC1D04" w14:paraId="4243A43B" w14:textId="77777777" w:rsidTr="00EA224D">
        <w:trPr>
          <w:trHeight w:val="213"/>
        </w:trPr>
        <w:tc>
          <w:tcPr>
            <w:tcW w:w="3827" w:type="dxa"/>
            <w:vAlign w:val="bottom"/>
          </w:tcPr>
          <w:p w14:paraId="50B1A203" w14:textId="77777777" w:rsidR="007754AE" w:rsidRPr="00993BD6" w:rsidRDefault="007754AE" w:rsidP="00E730BE">
            <w:pPr>
              <w:pStyle w:val="Piedepgina"/>
              <w:jc w:val="center"/>
              <w:rPr>
                <w:rStyle w:val="Hipervnculo"/>
                <w:rFonts w:ascii="Arial" w:hAnsi="Arial" w:cs="Arial"/>
                <w:color w:val="4472C4" w:themeColor="accent1"/>
                <w:lang w:val="es-MX"/>
              </w:rPr>
            </w:pPr>
          </w:p>
          <w:p w14:paraId="49A12CA0" w14:textId="77777777" w:rsidR="007754AE" w:rsidRPr="00EA224D" w:rsidRDefault="00000000" w:rsidP="00E730BE">
            <w:pPr>
              <w:pStyle w:val="Piedepgina"/>
              <w:jc w:val="center"/>
              <w:rPr>
                <w:rStyle w:val="Hipervnculo"/>
                <w:rFonts w:ascii="Arial" w:hAnsi="Arial" w:cs="Arial"/>
                <w:color w:val="4472C4" w:themeColor="accent1"/>
                <w:sz w:val="24"/>
                <w:szCs w:val="24"/>
                <w:lang w:val="es-MX"/>
              </w:rPr>
            </w:pPr>
            <w:hyperlink r:id="rId10" w:history="1">
              <w:r w:rsidR="007754AE" w:rsidRPr="00403D1A">
                <w:rPr>
                  <w:rStyle w:val="Hipervnculo"/>
                  <w:rFonts w:ascii="Arial" w:hAnsi="Arial" w:cs="Arial"/>
                  <w:sz w:val="24"/>
                  <w:szCs w:val="24"/>
                  <w:lang w:val="es-MX"/>
                </w:rPr>
                <w:t>www.inegi.org.mx</w:t>
              </w:r>
            </w:hyperlink>
          </w:p>
          <w:p w14:paraId="4739C04E" w14:textId="77777777" w:rsidR="007754AE" w:rsidRPr="00937070" w:rsidRDefault="007754AE" w:rsidP="00E730BE">
            <w:pPr>
              <w:pStyle w:val="Piedepgina"/>
              <w:jc w:val="center"/>
              <w:rPr>
                <w:rFonts w:ascii="Arial" w:hAnsi="Arial" w:cs="Arial"/>
                <w:color w:val="4472C4" w:themeColor="accent1"/>
                <w:u w:val="single"/>
                <w:lang w:val="es-MX"/>
              </w:rPr>
            </w:pPr>
            <w:r w:rsidRPr="00403D1A">
              <w:rPr>
                <w:rStyle w:val="Hipervnculo"/>
                <w:rFonts w:ascii="Arial" w:hAnsi="Arial" w:cs="Arial"/>
                <w:color w:val="4472C4" w:themeColor="accent1"/>
                <w:sz w:val="24"/>
                <w:szCs w:val="24"/>
                <w:lang w:val="es-MX"/>
              </w:rPr>
              <w:t>@INEGI_INFORMA</w:t>
            </w:r>
          </w:p>
        </w:tc>
        <w:tc>
          <w:tcPr>
            <w:tcW w:w="3686" w:type="dxa"/>
            <w:vAlign w:val="center"/>
          </w:tcPr>
          <w:p w14:paraId="0D93436F" w14:textId="77777777" w:rsidR="007754AE" w:rsidRDefault="007754AE" w:rsidP="00E730BE">
            <w:pPr>
              <w:ind w:left="-109"/>
              <w:jc w:val="center"/>
              <w:rPr>
                <w:rFonts w:ascii="Arial" w:hAnsi="Arial" w:cs="Arial"/>
                <w:lang w:val="es-MX"/>
              </w:rPr>
            </w:pPr>
          </w:p>
          <w:p w14:paraId="658EBDA8" w14:textId="6A79B8AE" w:rsidR="007754AE" w:rsidRPr="00EA224D" w:rsidRDefault="00000000" w:rsidP="00E730BE">
            <w:pPr>
              <w:ind w:left="-109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hyperlink r:id="rId11" w:history="1">
              <w:r w:rsidR="00E5455A" w:rsidRPr="00EA224D">
                <w:rPr>
                  <w:rStyle w:val="Hipervnculo"/>
                  <w:rFonts w:ascii="Arial" w:hAnsi="Arial" w:cs="Arial"/>
                  <w:sz w:val="24"/>
                  <w:szCs w:val="24"/>
                  <w:lang w:val="es-MX"/>
                </w:rPr>
                <w:t>https://www.cnec.org.mx/</w:t>
              </w:r>
            </w:hyperlink>
          </w:p>
          <w:p w14:paraId="300EC90C" w14:textId="4FCCF09A" w:rsidR="007754AE" w:rsidRPr="001D7000" w:rsidRDefault="007D68B5" w:rsidP="00E730BE">
            <w:pPr>
              <w:ind w:left="-109"/>
              <w:jc w:val="center"/>
              <w:rPr>
                <w:rFonts w:ascii="Arial" w:hAnsi="Arial" w:cs="Arial"/>
                <w:color w:val="4472C4" w:themeColor="accent1"/>
                <w:lang w:val="es-MX"/>
              </w:rPr>
            </w:pPr>
            <w:r w:rsidRPr="00EA224D">
              <w:rPr>
                <w:rFonts w:ascii="Arial" w:hAnsi="Arial" w:cs="Arial"/>
                <w:color w:val="4472C4" w:themeColor="accent1"/>
                <w:sz w:val="24"/>
                <w:szCs w:val="24"/>
              </w:rPr>
              <w:t>@CNEC_Mexico</w:t>
            </w:r>
          </w:p>
        </w:tc>
      </w:tr>
    </w:tbl>
    <w:p w14:paraId="3800413A" w14:textId="77777777" w:rsidR="007754AE" w:rsidRPr="00DE0660" w:rsidRDefault="007754AE" w:rsidP="007754AE">
      <w:pPr>
        <w:ind w:left="-567" w:right="-518"/>
        <w:rPr>
          <w:rFonts w:ascii="Arial" w:hAnsi="Arial" w:cs="Arial"/>
          <w:b/>
        </w:rPr>
      </w:pPr>
    </w:p>
    <w:p w14:paraId="4C68FB1B" w14:textId="77777777" w:rsidR="007754AE" w:rsidRPr="003950F8" w:rsidRDefault="007754AE" w:rsidP="007754AE">
      <w:pPr>
        <w:autoSpaceDE w:val="0"/>
        <w:autoSpaceDN w:val="0"/>
        <w:adjustRightInd w:val="0"/>
        <w:ind w:left="-579" w:right="-518" w:firstLine="12"/>
        <w:rPr>
          <w:rStyle w:val="Hipervnculo"/>
          <w:rFonts w:ascii="Arial" w:hAnsi="Arial" w:cs="Arial"/>
          <w:sz w:val="24"/>
          <w:szCs w:val="24"/>
        </w:rPr>
      </w:pPr>
    </w:p>
    <w:p w14:paraId="32EDB250" w14:textId="77777777" w:rsidR="00CB16FB" w:rsidRDefault="00CB16FB" w:rsidP="00407C0F">
      <w:pPr>
        <w:autoSpaceDE w:val="0"/>
        <w:autoSpaceDN w:val="0"/>
        <w:adjustRightInd w:val="0"/>
        <w:ind w:left="-579" w:right="-518"/>
        <w:rPr>
          <w:rFonts w:ascii="Arial" w:hAnsi="Arial" w:cs="Arial"/>
        </w:rPr>
      </w:pPr>
    </w:p>
    <w:sectPr w:rsidR="00CB16FB" w:rsidSect="000E63BA">
      <w:headerReference w:type="default" r:id="rId12"/>
      <w:footerReference w:type="default" r:id="rId13"/>
      <w:type w:val="continuous"/>
      <w:pgSz w:w="12240" w:h="15840"/>
      <w:pgMar w:top="597" w:right="1701" w:bottom="567" w:left="1701" w:header="567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DCFB5" w14:textId="77777777" w:rsidR="006D08E9" w:rsidRDefault="006D08E9" w:rsidP="00407C0F">
      <w:pPr>
        <w:spacing w:after="0" w:line="240" w:lineRule="auto"/>
      </w:pPr>
      <w:r>
        <w:separator/>
      </w:r>
    </w:p>
  </w:endnote>
  <w:endnote w:type="continuationSeparator" w:id="0">
    <w:p w14:paraId="14CE4FA6" w14:textId="77777777" w:rsidR="006D08E9" w:rsidRDefault="006D08E9" w:rsidP="00407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egrita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FB599" w14:textId="77777777" w:rsidR="00B47558" w:rsidRPr="00B47558" w:rsidRDefault="00B47558" w:rsidP="00B47558">
    <w:pPr>
      <w:pStyle w:val="Piedepgina"/>
      <w:jc w:val="center"/>
      <w:rPr>
        <w:b/>
        <w:color w:val="002060"/>
      </w:rPr>
    </w:pPr>
    <w:r w:rsidRPr="00B47558">
      <w:rPr>
        <w:b/>
        <w:color w:val="002060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67F38" w14:textId="77777777" w:rsidR="006D08E9" w:rsidRDefault="006D08E9" w:rsidP="00407C0F">
      <w:pPr>
        <w:spacing w:after="0" w:line="240" w:lineRule="auto"/>
      </w:pPr>
      <w:r>
        <w:separator/>
      </w:r>
    </w:p>
  </w:footnote>
  <w:footnote w:type="continuationSeparator" w:id="0">
    <w:p w14:paraId="3185C8D2" w14:textId="77777777" w:rsidR="006D08E9" w:rsidRDefault="006D08E9" w:rsidP="00407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62FD1" w14:textId="5D9E82E4" w:rsidR="000E63BA" w:rsidRDefault="00F43328" w:rsidP="00ED6309">
    <w:pPr>
      <w:pStyle w:val="Encabezado"/>
      <w:tabs>
        <w:tab w:val="clear" w:pos="4419"/>
        <w:tab w:val="clear" w:pos="8838"/>
      </w:tabs>
      <w:spacing w:before="120"/>
      <w:ind w:left="4536" w:right="-518" w:hanging="567"/>
      <w:jc w:val="right"/>
      <w:rPr>
        <w:rFonts w:ascii="Arial" w:hAnsi="Arial" w:cs="Arial"/>
        <w:noProof/>
        <w:sz w:val="24"/>
        <w:szCs w:val="24"/>
        <w:lang w:eastAsia="es-MX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8ADF89B" wp14:editId="692D8510">
          <wp:simplePos x="0" y="0"/>
          <wp:positionH relativeFrom="margin">
            <wp:posOffset>1062990</wp:posOffset>
          </wp:positionH>
          <wp:positionV relativeFrom="margin">
            <wp:posOffset>-918210</wp:posOffset>
          </wp:positionV>
          <wp:extent cx="1655695" cy="883037"/>
          <wp:effectExtent l="0" t="0" r="1905" b="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5695" cy="8830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E63BA" w:rsidRPr="000D42D4">
      <w:rPr>
        <w:rFonts w:ascii="Arial" w:hAnsi="Arial" w:cs="Arial"/>
        <w:noProof/>
        <w:sz w:val="24"/>
        <w:szCs w:val="24"/>
        <w:lang w:eastAsia="es-MX"/>
      </w:rPr>
      <w:drawing>
        <wp:anchor distT="0" distB="0" distL="114300" distR="114300" simplePos="0" relativeHeight="251659264" behindDoc="0" locked="0" layoutInCell="1" allowOverlap="1" wp14:anchorId="478A6C46" wp14:editId="044D4728">
          <wp:simplePos x="0" y="0"/>
          <wp:positionH relativeFrom="margin">
            <wp:posOffset>-352425</wp:posOffset>
          </wp:positionH>
          <wp:positionV relativeFrom="margin">
            <wp:posOffset>-873760</wp:posOffset>
          </wp:positionV>
          <wp:extent cx="857250" cy="836930"/>
          <wp:effectExtent l="0" t="0" r="0" b="127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DC44C1A" w14:textId="6D12935C" w:rsidR="0041258C" w:rsidRPr="000D42D4" w:rsidRDefault="0041258C" w:rsidP="00ED6309">
    <w:pPr>
      <w:pStyle w:val="Encabezado"/>
      <w:tabs>
        <w:tab w:val="clear" w:pos="4419"/>
        <w:tab w:val="clear" w:pos="8838"/>
      </w:tabs>
      <w:spacing w:before="120"/>
      <w:ind w:left="4536" w:right="-518" w:hanging="567"/>
      <w:jc w:val="right"/>
      <w:rPr>
        <w:rFonts w:ascii="Arial" w:hAnsi="Arial" w:cs="Arial"/>
        <w:b/>
        <w:color w:val="002060"/>
        <w:sz w:val="24"/>
        <w:szCs w:val="24"/>
      </w:rPr>
    </w:pPr>
    <w:r w:rsidRPr="000D42D4">
      <w:rPr>
        <w:rFonts w:ascii="Arial" w:hAnsi="Arial" w:cs="Arial"/>
        <w:noProof/>
        <w:sz w:val="24"/>
        <w:szCs w:val="24"/>
        <w:lang w:eastAsia="es-MX"/>
      </w:rPr>
      <w:t xml:space="preserve"> </w:t>
    </w:r>
    <w:r w:rsidRPr="000D42D4">
      <w:rPr>
        <w:rFonts w:ascii="Arial" w:hAnsi="Arial" w:cs="Arial"/>
        <w:b/>
        <w:color w:val="002060"/>
        <w:sz w:val="24"/>
        <w:szCs w:val="24"/>
      </w:rPr>
      <w:t xml:space="preserve">COMUNICADO DE PRENSA NÚM. </w:t>
    </w:r>
    <w:r w:rsidR="00040782">
      <w:rPr>
        <w:rFonts w:ascii="Arial" w:hAnsi="Arial" w:cs="Arial"/>
        <w:b/>
        <w:color w:val="002060"/>
        <w:sz w:val="24"/>
        <w:szCs w:val="24"/>
      </w:rPr>
      <w:t>510</w:t>
    </w:r>
    <w:r w:rsidRPr="000D42D4">
      <w:rPr>
        <w:rFonts w:ascii="Arial" w:hAnsi="Arial" w:cs="Arial"/>
        <w:b/>
        <w:color w:val="002060"/>
        <w:sz w:val="24"/>
        <w:szCs w:val="24"/>
      </w:rPr>
      <w:t>/</w:t>
    </w:r>
    <w:r w:rsidR="00FE59BE">
      <w:rPr>
        <w:rFonts w:ascii="Arial" w:hAnsi="Arial" w:cs="Arial"/>
        <w:b/>
        <w:color w:val="002060"/>
        <w:sz w:val="24"/>
        <w:szCs w:val="24"/>
      </w:rPr>
      <w:t>22</w:t>
    </w:r>
  </w:p>
  <w:p w14:paraId="7EA84D92" w14:textId="469AD856" w:rsidR="0041258C" w:rsidRPr="000D42D4" w:rsidRDefault="00407C1D" w:rsidP="00ED6309">
    <w:pPr>
      <w:pStyle w:val="Encabezado"/>
      <w:tabs>
        <w:tab w:val="clear" w:pos="4419"/>
        <w:tab w:val="clear" w:pos="8838"/>
      </w:tabs>
      <w:ind w:left="4536" w:right="-518" w:hanging="567"/>
      <w:jc w:val="right"/>
      <w:rPr>
        <w:rFonts w:ascii="Arial" w:hAnsi="Arial" w:cs="Arial"/>
        <w:b/>
        <w:color w:val="002060"/>
        <w:sz w:val="24"/>
        <w:szCs w:val="24"/>
      </w:rPr>
    </w:pPr>
    <w:r>
      <w:rPr>
        <w:rFonts w:ascii="Arial" w:hAnsi="Arial" w:cs="Arial"/>
        <w:b/>
        <w:color w:val="002060"/>
        <w:sz w:val="24"/>
        <w:szCs w:val="24"/>
      </w:rPr>
      <w:t>1</w:t>
    </w:r>
    <w:r w:rsidR="009448CE">
      <w:rPr>
        <w:rFonts w:ascii="Arial" w:hAnsi="Arial" w:cs="Arial"/>
        <w:b/>
        <w:color w:val="002060"/>
        <w:sz w:val="24"/>
        <w:szCs w:val="24"/>
      </w:rPr>
      <w:t>3</w:t>
    </w:r>
    <w:r w:rsidR="0041258C" w:rsidRPr="000D42D4">
      <w:rPr>
        <w:rFonts w:ascii="Arial" w:hAnsi="Arial" w:cs="Arial"/>
        <w:b/>
        <w:color w:val="002060"/>
        <w:sz w:val="24"/>
        <w:szCs w:val="24"/>
      </w:rPr>
      <w:t xml:space="preserve"> DE </w:t>
    </w:r>
    <w:r>
      <w:rPr>
        <w:rFonts w:ascii="Arial" w:hAnsi="Arial" w:cs="Arial"/>
        <w:b/>
        <w:color w:val="002060"/>
        <w:sz w:val="24"/>
        <w:szCs w:val="24"/>
      </w:rPr>
      <w:t>SEPTIEMBRE</w:t>
    </w:r>
    <w:r w:rsidR="0041258C">
      <w:rPr>
        <w:rFonts w:ascii="Arial" w:hAnsi="Arial" w:cs="Arial"/>
        <w:b/>
        <w:color w:val="002060"/>
        <w:sz w:val="24"/>
        <w:szCs w:val="24"/>
      </w:rPr>
      <w:t xml:space="preserve"> </w:t>
    </w:r>
    <w:r w:rsidR="0041258C" w:rsidRPr="000D42D4">
      <w:rPr>
        <w:rFonts w:ascii="Arial" w:hAnsi="Arial" w:cs="Arial"/>
        <w:b/>
        <w:color w:val="002060"/>
        <w:sz w:val="24"/>
        <w:szCs w:val="24"/>
      </w:rPr>
      <w:t>DE 202</w:t>
    </w:r>
    <w:r w:rsidR="0041258C">
      <w:rPr>
        <w:rFonts w:ascii="Arial" w:hAnsi="Arial" w:cs="Arial"/>
        <w:b/>
        <w:color w:val="002060"/>
        <w:sz w:val="24"/>
        <w:szCs w:val="24"/>
      </w:rPr>
      <w:t>2</w:t>
    </w:r>
  </w:p>
  <w:p w14:paraId="19B4C8DC" w14:textId="31BC50C3" w:rsidR="0041258C" w:rsidRPr="000D42D4" w:rsidRDefault="0041258C" w:rsidP="00ED6309">
    <w:pPr>
      <w:pStyle w:val="Encabezado"/>
      <w:tabs>
        <w:tab w:val="clear" w:pos="4419"/>
        <w:tab w:val="clear" w:pos="8838"/>
      </w:tabs>
      <w:ind w:left="3544" w:right="-518" w:firstLine="709"/>
      <w:jc w:val="right"/>
      <w:rPr>
        <w:rFonts w:ascii="Arial" w:hAnsi="Arial" w:cs="Arial"/>
        <w:b/>
        <w:color w:val="002060"/>
        <w:sz w:val="24"/>
        <w:szCs w:val="24"/>
      </w:rPr>
    </w:pPr>
    <w:r w:rsidRPr="000D42D4">
      <w:rPr>
        <w:rFonts w:ascii="Arial" w:hAnsi="Arial" w:cs="Arial"/>
        <w:b/>
        <w:color w:val="002060"/>
        <w:sz w:val="24"/>
        <w:szCs w:val="24"/>
      </w:rPr>
      <w:t xml:space="preserve">PÁGINA </w:t>
    </w:r>
    <w:r w:rsidRPr="000D42D4">
      <w:rPr>
        <w:rFonts w:ascii="Arial" w:hAnsi="Arial" w:cs="Arial"/>
        <w:b/>
        <w:color w:val="002060"/>
        <w:sz w:val="24"/>
        <w:szCs w:val="24"/>
      </w:rPr>
      <w:fldChar w:fldCharType="begin"/>
    </w:r>
    <w:r w:rsidRPr="000D42D4">
      <w:rPr>
        <w:rFonts w:ascii="Arial" w:hAnsi="Arial" w:cs="Arial"/>
        <w:b/>
        <w:color w:val="002060"/>
        <w:sz w:val="24"/>
        <w:szCs w:val="24"/>
      </w:rPr>
      <w:instrText>PAGE</w:instrText>
    </w:r>
    <w:r w:rsidRPr="000D42D4">
      <w:rPr>
        <w:rFonts w:ascii="Arial" w:hAnsi="Arial" w:cs="Arial"/>
        <w:b/>
        <w:color w:val="002060"/>
        <w:sz w:val="24"/>
        <w:szCs w:val="24"/>
      </w:rPr>
      <w:fldChar w:fldCharType="separate"/>
    </w:r>
    <w:r>
      <w:rPr>
        <w:rFonts w:ascii="Arial" w:hAnsi="Arial" w:cs="Arial"/>
        <w:b/>
        <w:color w:val="002060"/>
        <w:sz w:val="24"/>
        <w:szCs w:val="24"/>
      </w:rPr>
      <w:t>1</w:t>
    </w:r>
    <w:r w:rsidRPr="000D42D4">
      <w:rPr>
        <w:rFonts w:ascii="Arial" w:hAnsi="Arial" w:cs="Arial"/>
        <w:b/>
        <w:color w:val="002060"/>
        <w:sz w:val="24"/>
        <w:szCs w:val="24"/>
      </w:rPr>
      <w:fldChar w:fldCharType="end"/>
    </w:r>
    <w:r w:rsidRPr="000D42D4">
      <w:rPr>
        <w:rFonts w:ascii="Arial" w:hAnsi="Arial" w:cs="Arial"/>
        <w:b/>
        <w:color w:val="002060"/>
        <w:sz w:val="24"/>
        <w:szCs w:val="24"/>
      </w:rPr>
      <w:t>/</w:t>
    </w:r>
    <w:r w:rsidR="00F929EE">
      <w:rPr>
        <w:rFonts w:ascii="Arial" w:hAnsi="Arial" w:cs="Arial"/>
        <w:b/>
        <w:color w:val="002060"/>
        <w:sz w:val="24"/>
        <w:szCs w:val="24"/>
      </w:rPr>
      <w:t>2</w:t>
    </w:r>
  </w:p>
  <w:p w14:paraId="3141D213" w14:textId="20732681" w:rsidR="00ED6309" w:rsidRDefault="00ED630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D0100"/>
    <w:multiLevelType w:val="hybridMultilevel"/>
    <w:tmpl w:val="FE6C3658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2A93795C"/>
    <w:multiLevelType w:val="hybridMultilevel"/>
    <w:tmpl w:val="9AC03476"/>
    <w:lvl w:ilvl="0" w:tplc="F2462368">
      <w:numFmt w:val="bullet"/>
      <w:lvlText w:val="-"/>
      <w:lvlJc w:val="left"/>
      <w:pPr>
        <w:ind w:left="-207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 w15:restartNumberingAfterBreak="0">
    <w:nsid w:val="61B07A2B"/>
    <w:multiLevelType w:val="hybridMultilevel"/>
    <w:tmpl w:val="9EB4050E"/>
    <w:lvl w:ilvl="0" w:tplc="1A964CEC">
      <w:numFmt w:val="bullet"/>
      <w:lvlText w:val="-"/>
      <w:lvlJc w:val="left"/>
      <w:pPr>
        <w:ind w:left="153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220022642">
    <w:abstractNumId w:val="2"/>
  </w:num>
  <w:num w:numId="2" w16cid:durableId="1647003425">
    <w:abstractNumId w:val="1"/>
  </w:num>
  <w:num w:numId="3" w16cid:durableId="1510633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C0F"/>
    <w:rsid w:val="00004564"/>
    <w:rsid w:val="00013AB3"/>
    <w:rsid w:val="000169CA"/>
    <w:rsid w:val="00020E10"/>
    <w:rsid w:val="000228BA"/>
    <w:rsid w:val="00024326"/>
    <w:rsid w:val="0002793C"/>
    <w:rsid w:val="000327DB"/>
    <w:rsid w:val="00032B80"/>
    <w:rsid w:val="00032C08"/>
    <w:rsid w:val="0003772D"/>
    <w:rsid w:val="00040782"/>
    <w:rsid w:val="00040E2C"/>
    <w:rsid w:val="00044C06"/>
    <w:rsid w:val="00053999"/>
    <w:rsid w:val="000545C1"/>
    <w:rsid w:val="0007794B"/>
    <w:rsid w:val="00085044"/>
    <w:rsid w:val="0009364A"/>
    <w:rsid w:val="000A3A2E"/>
    <w:rsid w:val="000B5105"/>
    <w:rsid w:val="000B56FB"/>
    <w:rsid w:val="000B57AD"/>
    <w:rsid w:val="000B5A05"/>
    <w:rsid w:val="000B76D0"/>
    <w:rsid w:val="000C0355"/>
    <w:rsid w:val="000C05D3"/>
    <w:rsid w:val="000C4FCD"/>
    <w:rsid w:val="000C5754"/>
    <w:rsid w:val="000C76A4"/>
    <w:rsid w:val="000D249E"/>
    <w:rsid w:val="000D28E8"/>
    <w:rsid w:val="000E63BA"/>
    <w:rsid w:val="000E649D"/>
    <w:rsid w:val="000F19C8"/>
    <w:rsid w:val="00105B3A"/>
    <w:rsid w:val="00122024"/>
    <w:rsid w:val="00130D68"/>
    <w:rsid w:val="001406CE"/>
    <w:rsid w:val="0014235C"/>
    <w:rsid w:val="001437D1"/>
    <w:rsid w:val="00143F5F"/>
    <w:rsid w:val="00146CB2"/>
    <w:rsid w:val="00164D22"/>
    <w:rsid w:val="00166413"/>
    <w:rsid w:val="00167BC7"/>
    <w:rsid w:val="00177247"/>
    <w:rsid w:val="00184069"/>
    <w:rsid w:val="00192C88"/>
    <w:rsid w:val="001957FF"/>
    <w:rsid w:val="001A0B95"/>
    <w:rsid w:val="001A2438"/>
    <w:rsid w:val="001A7BEF"/>
    <w:rsid w:val="001B4D28"/>
    <w:rsid w:val="001C0A68"/>
    <w:rsid w:val="001C474E"/>
    <w:rsid w:val="001D036F"/>
    <w:rsid w:val="001D20F4"/>
    <w:rsid w:val="001D7000"/>
    <w:rsid w:val="001D7484"/>
    <w:rsid w:val="001E1E53"/>
    <w:rsid w:val="001F09B4"/>
    <w:rsid w:val="001F2EA8"/>
    <w:rsid w:val="001F359A"/>
    <w:rsid w:val="001F6778"/>
    <w:rsid w:val="00201B0C"/>
    <w:rsid w:val="00206B2C"/>
    <w:rsid w:val="00211ED3"/>
    <w:rsid w:val="0021537D"/>
    <w:rsid w:val="002171B7"/>
    <w:rsid w:val="002245D2"/>
    <w:rsid w:val="00227693"/>
    <w:rsid w:val="002309C4"/>
    <w:rsid w:val="002354F1"/>
    <w:rsid w:val="00237558"/>
    <w:rsid w:val="00243864"/>
    <w:rsid w:val="00243E09"/>
    <w:rsid w:val="002518F3"/>
    <w:rsid w:val="00252B8B"/>
    <w:rsid w:val="0025453C"/>
    <w:rsid w:val="00254B79"/>
    <w:rsid w:val="00262895"/>
    <w:rsid w:val="0026609B"/>
    <w:rsid w:val="00266390"/>
    <w:rsid w:val="0026682D"/>
    <w:rsid w:val="002724BF"/>
    <w:rsid w:val="002855F2"/>
    <w:rsid w:val="002864F8"/>
    <w:rsid w:val="002A426E"/>
    <w:rsid w:val="002B0E81"/>
    <w:rsid w:val="002B4412"/>
    <w:rsid w:val="002B4825"/>
    <w:rsid w:val="002B543B"/>
    <w:rsid w:val="002C1F95"/>
    <w:rsid w:val="002C3FA2"/>
    <w:rsid w:val="002D617B"/>
    <w:rsid w:val="002E36F4"/>
    <w:rsid w:val="00302A50"/>
    <w:rsid w:val="003071C0"/>
    <w:rsid w:val="0031147D"/>
    <w:rsid w:val="00316E06"/>
    <w:rsid w:val="0031789C"/>
    <w:rsid w:val="00321971"/>
    <w:rsid w:val="00333967"/>
    <w:rsid w:val="003366C2"/>
    <w:rsid w:val="00346198"/>
    <w:rsid w:val="00346E87"/>
    <w:rsid w:val="003554B8"/>
    <w:rsid w:val="00365A72"/>
    <w:rsid w:val="003679C4"/>
    <w:rsid w:val="00367FDF"/>
    <w:rsid w:val="003702CB"/>
    <w:rsid w:val="003727B3"/>
    <w:rsid w:val="00374202"/>
    <w:rsid w:val="00375C71"/>
    <w:rsid w:val="00382721"/>
    <w:rsid w:val="003A41FD"/>
    <w:rsid w:val="003A776B"/>
    <w:rsid w:val="003B0DC5"/>
    <w:rsid w:val="003C1071"/>
    <w:rsid w:val="003C797E"/>
    <w:rsid w:val="003D2EA4"/>
    <w:rsid w:val="003D39B0"/>
    <w:rsid w:val="003D5936"/>
    <w:rsid w:val="003D6E7A"/>
    <w:rsid w:val="003D7065"/>
    <w:rsid w:val="003D7EFC"/>
    <w:rsid w:val="003E0A3D"/>
    <w:rsid w:val="003E5BC7"/>
    <w:rsid w:val="003E6C26"/>
    <w:rsid w:val="003F11B6"/>
    <w:rsid w:val="003F5966"/>
    <w:rsid w:val="003F5C18"/>
    <w:rsid w:val="003F68CC"/>
    <w:rsid w:val="00403D1A"/>
    <w:rsid w:val="00407C0F"/>
    <w:rsid w:val="00407C1D"/>
    <w:rsid w:val="0041258C"/>
    <w:rsid w:val="00414A7D"/>
    <w:rsid w:val="00415EBB"/>
    <w:rsid w:val="00423480"/>
    <w:rsid w:val="00423A0E"/>
    <w:rsid w:val="00432ADC"/>
    <w:rsid w:val="00433FCE"/>
    <w:rsid w:val="00440C70"/>
    <w:rsid w:val="00445286"/>
    <w:rsid w:val="00445A2E"/>
    <w:rsid w:val="00445EBC"/>
    <w:rsid w:val="004476A4"/>
    <w:rsid w:val="00450A7A"/>
    <w:rsid w:val="00461E7B"/>
    <w:rsid w:val="00462DC8"/>
    <w:rsid w:val="00490A12"/>
    <w:rsid w:val="00492634"/>
    <w:rsid w:val="004A2725"/>
    <w:rsid w:val="004A58FA"/>
    <w:rsid w:val="004A68AB"/>
    <w:rsid w:val="004C11F4"/>
    <w:rsid w:val="004C70AE"/>
    <w:rsid w:val="004E32AB"/>
    <w:rsid w:val="004E5E1B"/>
    <w:rsid w:val="004F0424"/>
    <w:rsid w:val="004F506D"/>
    <w:rsid w:val="004F70FD"/>
    <w:rsid w:val="00501358"/>
    <w:rsid w:val="00502E7E"/>
    <w:rsid w:val="00503982"/>
    <w:rsid w:val="0050496E"/>
    <w:rsid w:val="00505874"/>
    <w:rsid w:val="005158D6"/>
    <w:rsid w:val="00515C75"/>
    <w:rsid w:val="00522179"/>
    <w:rsid w:val="00523A29"/>
    <w:rsid w:val="005418C9"/>
    <w:rsid w:val="00541AFF"/>
    <w:rsid w:val="00545345"/>
    <w:rsid w:val="005454E5"/>
    <w:rsid w:val="00552DFB"/>
    <w:rsid w:val="005544B8"/>
    <w:rsid w:val="005576DF"/>
    <w:rsid w:val="00562609"/>
    <w:rsid w:val="0056753D"/>
    <w:rsid w:val="00570BBF"/>
    <w:rsid w:val="00571931"/>
    <w:rsid w:val="00593CF2"/>
    <w:rsid w:val="005951F2"/>
    <w:rsid w:val="005A1427"/>
    <w:rsid w:val="005C3D19"/>
    <w:rsid w:val="005C5856"/>
    <w:rsid w:val="005C7525"/>
    <w:rsid w:val="005F4DDC"/>
    <w:rsid w:val="00602267"/>
    <w:rsid w:val="00612376"/>
    <w:rsid w:val="006145C4"/>
    <w:rsid w:val="0062488C"/>
    <w:rsid w:val="00627DC9"/>
    <w:rsid w:val="0063675A"/>
    <w:rsid w:val="006506C2"/>
    <w:rsid w:val="00653268"/>
    <w:rsid w:val="00655137"/>
    <w:rsid w:val="00657DDC"/>
    <w:rsid w:val="00663EB1"/>
    <w:rsid w:val="006666A9"/>
    <w:rsid w:val="0067586C"/>
    <w:rsid w:val="00687DC7"/>
    <w:rsid w:val="00690D52"/>
    <w:rsid w:val="006929C4"/>
    <w:rsid w:val="006A283F"/>
    <w:rsid w:val="006A407D"/>
    <w:rsid w:val="006B7396"/>
    <w:rsid w:val="006C1653"/>
    <w:rsid w:val="006C6F42"/>
    <w:rsid w:val="006D08E9"/>
    <w:rsid w:val="006D6E58"/>
    <w:rsid w:val="006E0058"/>
    <w:rsid w:val="006E01DE"/>
    <w:rsid w:val="006E213F"/>
    <w:rsid w:val="006E40E8"/>
    <w:rsid w:val="006F0A8A"/>
    <w:rsid w:val="006F1768"/>
    <w:rsid w:val="007001F4"/>
    <w:rsid w:val="00700D96"/>
    <w:rsid w:val="00702369"/>
    <w:rsid w:val="00705CA0"/>
    <w:rsid w:val="00712916"/>
    <w:rsid w:val="00721216"/>
    <w:rsid w:val="00725917"/>
    <w:rsid w:val="00726585"/>
    <w:rsid w:val="007315B9"/>
    <w:rsid w:val="007316D9"/>
    <w:rsid w:val="00744135"/>
    <w:rsid w:val="00747B67"/>
    <w:rsid w:val="007521AB"/>
    <w:rsid w:val="00756ED8"/>
    <w:rsid w:val="00762B45"/>
    <w:rsid w:val="007636F4"/>
    <w:rsid w:val="007754AE"/>
    <w:rsid w:val="00791434"/>
    <w:rsid w:val="00795260"/>
    <w:rsid w:val="007A7433"/>
    <w:rsid w:val="007B0F8F"/>
    <w:rsid w:val="007B18F5"/>
    <w:rsid w:val="007B4193"/>
    <w:rsid w:val="007B5567"/>
    <w:rsid w:val="007B6606"/>
    <w:rsid w:val="007C08C3"/>
    <w:rsid w:val="007C1B3B"/>
    <w:rsid w:val="007C3681"/>
    <w:rsid w:val="007C5D61"/>
    <w:rsid w:val="007C60D1"/>
    <w:rsid w:val="007D10B3"/>
    <w:rsid w:val="007D461C"/>
    <w:rsid w:val="007D68B5"/>
    <w:rsid w:val="007E0073"/>
    <w:rsid w:val="007E2FF3"/>
    <w:rsid w:val="007E3649"/>
    <w:rsid w:val="007F2D54"/>
    <w:rsid w:val="007F40A3"/>
    <w:rsid w:val="00800A55"/>
    <w:rsid w:val="00801655"/>
    <w:rsid w:val="00801A9F"/>
    <w:rsid w:val="00803E1F"/>
    <w:rsid w:val="0081207B"/>
    <w:rsid w:val="00817B74"/>
    <w:rsid w:val="00820252"/>
    <w:rsid w:val="00831791"/>
    <w:rsid w:val="00840333"/>
    <w:rsid w:val="008413CB"/>
    <w:rsid w:val="00844FA5"/>
    <w:rsid w:val="00850681"/>
    <w:rsid w:val="0085189C"/>
    <w:rsid w:val="00882789"/>
    <w:rsid w:val="00894958"/>
    <w:rsid w:val="00895739"/>
    <w:rsid w:val="0089773B"/>
    <w:rsid w:val="008A11D3"/>
    <w:rsid w:val="008B0E2D"/>
    <w:rsid w:val="008B7118"/>
    <w:rsid w:val="008C2420"/>
    <w:rsid w:val="008C3575"/>
    <w:rsid w:val="008C3D47"/>
    <w:rsid w:val="008D1289"/>
    <w:rsid w:val="008F740E"/>
    <w:rsid w:val="0090119A"/>
    <w:rsid w:val="00913261"/>
    <w:rsid w:val="00914A48"/>
    <w:rsid w:val="0091705A"/>
    <w:rsid w:val="00920258"/>
    <w:rsid w:val="00925D62"/>
    <w:rsid w:val="009323A6"/>
    <w:rsid w:val="00937070"/>
    <w:rsid w:val="0094013A"/>
    <w:rsid w:val="009448CE"/>
    <w:rsid w:val="00947BC8"/>
    <w:rsid w:val="00951940"/>
    <w:rsid w:val="00971328"/>
    <w:rsid w:val="009736EE"/>
    <w:rsid w:val="0097447C"/>
    <w:rsid w:val="00980EC3"/>
    <w:rsid w:val="009818C0"/>
    <w:rsid w:val="009830CF"/>
    <w:rsid w:val="00985D5C"/>
    <w:rsid w:val="00986F20"/>
    <w:rsid w:val="009A6D2B"/>
    <w:rsid w:val="009A7218"/>
    <w:rsid w:val="009B1012"/>
    <w:rsid w:val="009B22C3"/>
    <w:rsid w:val="009B29B0"/>
    <w:rsid w:val="009B34A8"/>
    <w:rsid w:val="009B3E41"/>
    <w:rsid w:val="009B56DE"/>
    <w:rsid w:val="009C4898"/>
    <w:rsid w:val="009C5583"/>
    <w:rsid w:val="009D0167"/>
    <w:rsid w:val="009D765C"/>
    <w:rsid w:val="009E3B2A"/>
    <w:rsid w:val="009E4499"/>
    <w:rsid w:val="009F011F"/>
    <w:rsid w:val="009F20AA"/>
    <w:rsid w:val="009F4924"/>
    <w:rsid w:val="009F6ABD"/>
    <w:rsid w:val="00A05187"/>
    <w:rsid w:val="00A0539C"/>
    <w:rsid w:val="00A15D02"/>
    <w:rsid w:val="00A170C5"/>
    <w:rsid w:val="00A2424F"/>
    <w:rsid w:val="00A24E9A"/>
    <w:rsid w:val="00A27366"/>
    <w:rsid w:val="00A437A6"/>
    <w:rsid w:val="00A60CA1"/>
    <w:rsid w:val="00A70911"/>
    <w:rsid w:val="00A716FD"/>
    <w:rsid w:val="00A71ACD"/>
    <w:rsid w:val="00A874AC"/>
    <w:rsid w:val="00A937B4"/>
    <w:rsid w:val="00AB0B14"/>
    <w:rsid w:val="00AC0643"/>
    <w:rsid w:val="00AC1D04"/>
    <w:rsid w:val="00AD2F9C"/>
    <w:rsid w:val="00AD59A2"/>
    <w:rsid w:val="00AD6019"/>
    <w:rsid w:val="00AE761E"/>
    <w:rsid w:val="00AF26A9"/>
    <w:rsid w:val="00AF76B9"/>
    <w:rsid w:val="00B0111E"/>
    <w:rsid w:val="00B0319E"/>
    <w:rsid w:val="00B032B8"/>
    <w:rsid w:val="00B05CF0"/>
    <w:rsid w:val="00B14721"/>
    <w:rsid w:val="00B14BE8"/>
    <w:rsid w:val="00B1607F"/>
    <w:rsid w:val="00B179DA"/>
    <w:rsid w:val="00B179FD"/>
    <w:rsid w:val="00B242CA"/>
    <w:rsid w:val="00B24910"/>
    <w:rsid w:val="00B25D54"/>
    <w:rsid w:val="00B26F4D"/>
    <w:rsid w:val="00B37E07"/>
    <w:rsid w:val="00B461DA"/>
    <w:rsid w:val="00B4638C"/>
    <w:rsid w:val="00B47558"/>
    <w:rsid w:val="00B64471"/>
    <w:rsid w:val="00B65E2B"/>
    <w:rsid w:val="00B667D3"/>
    <w:rsid w:val="00B74325"/>
    <w:rsid w:val="00B76216"/>
    <w:rsid w:val="00B92137"/>
    <w:rsid w:val="00B92CE8"/>
    <w:rsid w:val="00B93BF2"/>
    <w:rsid w:val="00BA394A"/>
    <w:rsid w:val="00BB2238"/>
    <w:rsid w:val="00BB6FD9"/>
    <w:rsid w:val="00BC0135"/>
    <w:rsid w:val="00BC5689"/>
    <w:rsid w:val="00BC6333"/>
    <w:rsid w:val="00BC7DBC"/>
    <w:rsid w:val="00BD0D82"/>
    <w:rsid w:val="00BD66E3"/>
    <w:rsid w:val="00BE7045"/>
    <w:rsid w:val="00BF3C50"/>
    <w:rsid w:val="00BF64CF"/>
    <w:rsid w:val="00C034EB"/>
    <w:rsid w:val="00C038C0"/>
    <w:rsid w:val="00C2552F"/>
    <w:rsid w:val="00C26069"/>
    <w:rsid w:val="00C3352A"/>
    <w:rsid w:val="00C33564"/>
    <w:rsid w:val="00C405EC"/>
    <w:rsid w:val="00C40DBB"/>
    <w:rsid w:val="00C4467A"/>
    <w:rsid w:val="00C54BF7"/>
    <w:rsid w:val="00C60F07"/>
    <w:rsid w:val="00C82207"/>
    <w:rsid w:val="00C85C09"/>
    <w:rsid w:val="00C903B4"/>
    <w:rsid w:val="00C954C9"/>
    <w:rsid w:val="00CA3974"/>
    <w:rsid w:val="00CB16FB"/>
    <w:rsid w:val="00CB47E4"/>
    <w:rsid w:val="00CC2FDB"/>
    <w:rsid w:val="00CC5120"/>
    <w:rsid w:val="00CC65A2"/>
    <w:rsid w:val="00CE0454"/>
    <w:rsid w:val="00CE26A5"/>
    <w:rsid w:val="00CF0751"/>
    <w:rsid w:val="00CF2A92"/>
    <w:rsid w:val="00D05035"/>
    <w:rsid w:val="00D17DC1"/>
    <w:rsid w:val="00D21E23"/>
    <w:rsid w:val="00D22602"/>
    <w:rsid w:val="00D24031"/>
    <w:rsid w:val="00D50DB2"/>
    <w:rsid w:val="00D62A7A"/>
    <w:rsid w:val="00D62F07"/>
    <w:rsid w:val="00D638A3"/>
    <w:rsid w:val="00D66757"/>
    <w:rsid w:val="00D75337"/>
    <w:rsid w:val="00D8461D"/>
    <w:rsid w:val="00D872EC"/>
    <w:rsid w:val="00D87ECC"/>
    <w:rsid w:val="00D913F0"/>
    <w:rsid w:val="00D92343"/>
    <w:rsid w:val="00DA54A9"/>
    <w:rsid w:val="00DA6873"/>
    <w:rsid w:val="00DB587A"/>
    <w:rsid w:val="00DB67A8"/>
    <w:rsid w:val="00DC0D1C"/>
    <w:rsid w:val="00DD3076"/>
    <w:rsid w:val="00DD39D9"/>
    <w:rsid w:val="00DD7F11"/>
    <w:rsid w:val="00DE0660"/>
    <w:rsid w:val="00DE43F9"/>
    <w:rsid w:val="00DF3A39"/>
    <w:rsid w:val="00DF4894"/>
    <w:rsid w:val="00E00FA0"/>
    <w:rsid w:val="00E01716"/>
    <w:rsid w:val="00E046FE"/>
    <w:rsid w:val="00E060FF"/>
    <w:rsid w:val="00E064A8"/>
    <w:rsid w:val="00E15DCC"/>
    <w:rsid w:val="00E34159"/>
    <w:rsid w:val="00E34FB0"/>
    <w:rsid w:val="00E530D1"/>
    <w:rsid w:val="00E5455A"/>
    <w:rsid w:val="00E5595D"/>
    <w:rsid w:val="00E61598"/>
    <w:rsid w:val="00E6594E"/>
    <w:rsid w:val="00E65BB2"/>
    <w:rsid w:val="00E67A82"/>
    <w:rsid w:val="00E8045E"/>
    <w:rsid w:val="00E808C6"/>
    <w:rsid w:val="00E851A2"/>
    <w:rsid w:val="00E85372"/>
    <w:rsid w:val="00E87A2B"/>
    <w:rsid w:val="00E915BE"/>
    <w:rsid w:val="00E94BBC"/>
    <w:rsid w:val="00EA1592"/>
    <w:rsid w:val="00EA224D"/>
    <w:rsid w:val="00EA3945"/>
    <w:rsid w:val="00EB3240"/>
    <w:rsid w:val="00EC1485"/>
    <w:rsid w:val="00ED6309"/>
    <w:rsid w:val="00EE433A"/>
    <w:rsid w:val="00EE601F"/>
    <w:rsid w:val="00EF1D70"/>
    <w:rsid w:val="00EF77BE"/>
    <w:rsid w:val="00F00755"/>
    <w:rsid w:val="00F01B9B"/>
    <w:rsid w:val="00F023E3"/>
    <w:rsid w:val="00F136A6"/>
    <w:rsid w:val="00F20CB7"/>
    <w:rsid w:val="00F24677"/>
    <w:rsid w:val="00F27FFC"/>
    <w:rsid w:val="00F306EA"/>
    <w:rsid w:val="00F33D7B"/>
    <w:rsid w:val="00F4017F"/>
    <w:rsid w:val="00F43328"/>
    <w:rsid w:val="00F435E0"/>
    <w:rsid w:val="00F436B2"/>
    <w:rsid w:val="00F46347"/>
    <w:rsid w:val="00F5233A"/>
    <w:rsid w:val="00F6335C"/>
    <w:rsid w:val="00F64704"/>
    <w:rsid w:val="00F64CB1"/>
    <w:rsid w:val="00F67584"/>
    <w:rsid w:val="00F85F03"/>
    <w:rsid w:val="00F929EE"/>
    <w:rsid w:val="00FA6778"/>
    <w:rsid w:val="00FB0E98"/>
    <w:rsid w:val="00FB141A"/>
    <w:rsid w:val="00FB3726"/>
    <w:rsid w:val="00FB38A8"/>
    <w:rsid w:val="00FC3EE5"/>
    <w:rsid w:val="00FD0673"/>
    <w:rsid w:val="00FD1573"/>
    <w:rsid w:val="00FD472A"/>
    <w:rsid w:val="00FD7E9B"/>
    <w:rsid w:val="00FE59BE"/>
    <w:rsid w:val="00FF4789"/>
    <w:rsid w:val="00FF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88A8BC"/>
  <w15:chartTrackingRefBased/>
  <w15:docId w15:val="{35EC998C-9787-40C7-A7F4-C2971F1FE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57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07C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07C0F"/>
  </w:style>
  <w:style w:type="paragraph" w:styleId="Piedepgina">
    <w:name w:val="footer"/>
    <w:basedOn w:val="Normal"/>
    <w:link w:val="PiedepginaCar"/>
    <w:uiPriority w:val="99"/>
    <w:unhideWhenUsed/>
    <w:rsid w:val="00407C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7C0F"/>
  </w:style>
  <w:style w:type="character" w:styleId="Hipervnculo">
    <w:name w:val="Hyperlink"/>
    <w:basedOn w:val="Fuentedeprrafopredeter"/>
    <w:uiPriority w:val="99"/>
    <w:unhideWhenUsed/>
    <w:rsid w:val="00407C0F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407C0F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B4755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B4755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39"/>
    <w:rsid w:val="00B4755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DE0660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47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47E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7E364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E364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E364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E364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E3649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2375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7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nec.org.mx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negi.org.m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egi.org.mx/app/biblioteca/ficha.html?upc=889463907138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5.3885636047382161E-2"/>
          <c:y val="1.2917644219341872E-2"/>
          <c:w val="0.94611436395261783"/>
          <c:h val="0.8975289391991860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Tabla!$B$5</c:f>
              <c:strCache>
                <c:ptCount val="1"/>
                <c:pt idx="0">
                  <c:v>Empresas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Tabla!$A$6:$A$10</c:f>
              <c:strCache>
                <c:ptCount val="5"/>
                <c:pt idx="0">
                  <c:v>2003</c:v>
                </c:pt>
                <c:pt idx="1">
                  <c:v>2008</c:v>
                </c:pt>
                <c:pt idx="2">
                  <c:v>2013</c:v>
                </c:pt>
                <c:pt idx="3">
                  <c:v>2018</c:v>
                </c:pt>
                <c:pt idx="4">
                  <c:v>2021</c:v>
                </c:pt>
              </c:strCache>
            </c:strRef>
          </c:cat>
          <c:val>
            <c:numRef>
              <c:f>Tabla!$B$6:$B$10</c:f>
              <c:numCache>
                <c:formatCode>###\ ###\ ###</c:formatCode>
                <c:ptCount val="5"/>
                <c:pt idx="0">
                  <c:v>44823</c:v>
                </c:pt>
                <c:pt idx="1">
                  <c:v>56299</c:v>
                </c:pt>
                <c:pt idx="2">
                  <c:v>60358</c:v>
                </c:pt>
                <c:pt idx="3">
                  <c:v>62815</c:v>
                </c:pt>
                <c:pt idx="4">
                  <c:v>69247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1CF-4D4F-BF10-3D4FFC05281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0"/>
        <c:overlap val="-27"/>
        <c:axId val="1893760064"/>
        <c:axId val="1893764640"/>
      </c:barChart>
      <c:catAx>
        <c:axId val="18937600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381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893764640"/>
        <c:crosses val="autoZero"/>
        <c:auto val="1"/>
        <c:lblAlgn val="ctr"/>
        <c:lblOffset val="100"/>
        <c:noMultiLvlLbl val="0"/>
      </c:catAx>
      <c:valAx>
        <c:axId val="1893764640"/>
        <c:scaling>
          <c:orientation val="minMax"/>
        </c:scaling>
        <c:delete val="0"/>
        <c:axPos val="l"/>
        <c:numFmt formatCode="###\ ###\ ###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893760064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D53E0-521F-41A1-B959-0A4457C6F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COLLAZO GALLEGOS MARCOS DARIO</dc:creator>
  <cp:keywords/>
  <dc:description/>
  <cp:lastModifiedBy>MORONES RUIZ FABIOLA CRISTINA</cp:lastModifiedBy>
  <cp:revision>2</cp:revision>
  <dcterms:created xsi:type="dcterms:W3CDTF">2022-09-13T15:13:00Z</dcterms:created>
  <dcterms:modified xsi:type="dcterms:W3CDTF">2022-09-13T15:13:00Z</dcterms:modified>
</cp:coreProperties>
</file>