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9C295" w14:textId="780719BF" w:rsidR="003A2821" w:rsidRDefault="003A2821" w:rsidP="00B673EC">
      <w:pPr>
        <w:jc w:val="center"/>
        <w:rPr>
          <w:rFonts w:ascii="Montserrat" w:hAnsi="Montserrat"/>
          <w:b/>
          <w:i/>
          <w:sz w:val="24"/>
          <w:szCs w:val="24"/>
        </w:rPr>
      </w:pPr>
    </w:p>
    <w:p w14:paraId="1F385279" w14:textId="651BA825" w:rsidR="003F76D2" w:rsidRPr="003D077B" w:rsidRDefault="000C3994" w:rsidP="00B673EC">
      <w:pPr>
        <w:jc w:val="center"/>
        <w:rPr>
          <w:rFonts w:ascii="Arial" w:hAnsi="Arial" w:cs="Arial"/>
          <w:b/>
          <w:iCs/>
          <w:sz w:val="24"/>
          <w:szCs w:val="24"/>
        </w:rPr>
      </w:pPr>
      <w:r w:rsidRPr="003D077B">
        <w:rPr>
          <w:rFonts w:ascii="Arial" w:hAnsi="Arial" w:cs="Arial"/>
          <w:b/>
          <w:iCs/>
          <w:sz w:val="24"/>
          <w:szCs w:val="24"/>
        </w:rPr>
        <w:t>SRE E INEGI INICIAN LA INSTALACIÓN DE UN CENTRO DE OBSERVACIÓN GEOESPACIAL EN TRINIDAD Y TOBAGO, EN EL MARCO DE LA ALCE</w:t>
      </w:r>
    </w:p>
    <w:p w14:paraId="43A6D464" w14:textId="6912C2EB" w:rsidR="00522F0C" w:rsidRPr="000C3994" w:rsidRDefault="00522F0C" w:rsidP="00522F0C">
      <w:pPr>
        <w:pStyle w:val="Prrafodelista"/>
        <w:ind w:left="-567" w:right="-518"/>
        <w:jc w:val="both"/>
        <w:rPr>
          <w:rFonts w:ascii="Arial" w:hAnsi="Arial" w:cs="Arial"/>
          <w:sz w:val="24"/>
          <w:szCs w:val="24"/>
        </w:rPr>
      </w:pPr>
    </w:p>
    <w:p w14:paraId="722EC675" w14:textId="73643B57" w:rsidR="00522F0C" w:rsidRPr="000C3994" w:rsidRDefault="00522F0C" w:rsidP="000C3994">
      <w:pPr>
        <w:pStyle w:val="Prrafodelista"/>
        <w:numPr>
          <w:ilvl w:val="0"/>
          <w:numId w:val="12"/>
        </w:numPr>
        <w:ind w:left="709" w:right="900" w:hanging="283"/>
        <w:jc w:val="both"/>
        <w:rPr>
          <w:rFonts w:ascii="Arial" w:hAnsi="Arial" w:cs="Arial"/>
          <w:sz w:val="24"/>
          <w:szCs w:val="24"/>
        </w:rPr>
      </w:pPr>
      <w:r w:rsidRPr="000C3994">
        <w:rPr>
          <w:rFonts w:ascii="Arial" w:hAnsi="Arial" w:cs="Arial"/>
          <w:sz w:val="24"/>
          <w:szCs w:val="24"/>
        </w:rPr>
        <w:t>El Centro de Observación Geoespacial estará ubicado en el Campus St. Augustine de la Universidad de las Indias Occidentales.</w:t>
      </w:r>
    </w:p>
    <w:p w14:paraId="0780774F" w14:textId="488DA7D0" w:rsidR="00522F0C" w:rsidRPr="000C3994" w:rsidRDefault="00522F0C" w:rsidP="000C3994">
      <w:pPr>
        <w:pStyle w:val="Prrafodelista"/>
        <w:numPr>
          <w:ilvl w:val="0"/>
          <w:numId w:val="12"/>
        </w:numPr>
        <w:ind w:left="709" w:right="900" w:hanging="283"/>
        <w:jc w:val="both"/>
        <w:rPr>
          <w:rFonts w:ascii="Arial" w:hAnsi="Arial" w:cs="Arial"/>
          <w:sz w:val="24"/>
          <w:szCs w:val="24"/>
        </w:rPr>
      </w:pPr>
      <w:r w:rsidRPr="000C3994">
        <w:rPr>
          <w:rFonts w:ascii="Arial" w:hAnsi="Arial" w:cs="Arial"/>
          <w:sz w:val="24"/>
          <w:szCs w:val="24"/>
        </w:rPr>
        <w:t xml:space="preserve">El Centro permitirá que los países de la región del Gran Caribe obtengan y procesen información geoespacial útil en materia de prevención de desastres, cambio climático, crecimiento urbano y recursos naturales, entre otros. </w:t>
      </w:r>
    </w:p>
    <w:p w14:paraId="666DCE77" w14:textId="43A9583F" w:rsidR="00522F0C" w:rsidRPr="000C3994" w:rsidRDefault="00522F0C" w:rsidP="000C3994">
      <w:pPr>
        <w:pStyle w:val="Prrafodelista"/>
        <w:numPr>
          <w:ilvl w:val="0"/>
          <w:numId w:val="12"/>
        </w:numPr>
        <w:ind w:left="709" w:right="900" w:hanging="283"/>
        <w:jc w:val="both"/>
        <w:rPr>
          <w:rFonts w:ascii="Arial" w:hAnsi="Arial" w:cs="Arial"/>
          <w:sz w:val="24"/>
          <w:szCs w:val="24"/>
        </w:rPr>
      </w:pPr>
      <w:r w:rsidRPr="000C3994">
        <w:rPr>
          <w:rFonts w:ascii="Arial" w:hAnsi="Arial" w:cs="Arial"/>
          <w:sz w:val="24"/>
          <w:szCs w:val="24"/>
        </w:rPr>
        <w:t>Este Centro se integrará a la Agencia Latinoamericana y Caribeña del Espacio una vez que concluya su proceso de constitución.</w:t>
      </w:r>
    </w:p>
    <w:p w14:paraId="1D9690FC" w14:textId="5FF74F20" w:rsidR="00522F0C" w:rsidRPr="000C3994" w:rsidRDefault="00522F0C" w:rsidP="000C3994">
      <w:pPr>
        <w:spacing w:after="120" w:line="276" w:lineRule="auto"/>
        <w:ind w:left="-567" w:right="-518"/>
        <w:jc w:val="both"/>
        <w:rPr>
          <w:rFonts w:ascii="Arial" w:eastAsia="Montserrat" w:hAnsi="Arial" w:cs="Arial"/>
          <w:color w:val="000000"/>
          <w:sz w:val="24"/>
          <w:szCs w:val="24"/>
        </w:rPr>
      </w:pPr>
      <w:r w:rsidRPr="000C3994">
        <w:rPr>
          <w:rFonts w:ascii="Arial" w:eastAsia="Montserrat" w:hAnsi="Arial" w:cs="Arial"/>
          <w:color w:val="000000"/>
          <w:sz w:val="24"/>
          <w:szCs w:val="24"/>
        </w:rPr>
        <w:t xml:space="preserve">En el marco de la constitución de la Agencia Latinoamericana y Caribeña del Espacio (ALCE), </w:t>
      </w:r>
      <w:r w:rsidR="00D73C66" w:rsidRPr="000C3994">
        <w:rPr>
          <w:rFonts w:ascii="Arial" w:eastAsia="Montserrat" w:hAnsi="Arial" w:cs="Arial"/>
          <w:color w:val="000000"/>
          <w:sz w:val="24"/>
          <w:szCs w:val="24"/>
        </w:rPr>
        <w:t xml:space="preserve">la Secretaría de Relaciones Exteriores (SRE) y </w:t>
      </w:r>
      <w:r w:rsidRPr="000C3994">
        <w:rPr>
          <w:rFonts w:ascii="Arial" w:eastAsia="Montserrat" w:hAnsi="Arial" w:cs="Arial"/>
          <w:color w:val="000000"/>
          <w:sz w:val="24"/>
          <w:szCs w:val="24"/>
        </w:rPr>
        <w:t xml:space="preserve">el Instituto Nacional de Estadística y Geografía (INEGI) firmaron un acuerdo con la Universidad de las Indias Occidentales (UWI) para instalar un Centro de Observación Geoespacial. </w:t>
      </w:r>
    </w:p>
    <w:p w14:paraId="3444E0A6" w14:textId="130443DE" w:rsidR="00522F0C" w:rsidRPr="000C3994" w:rsidRDefault="00522F0C" w:rsidP="000C3994">
      <w:pPr>
        <w:spacing w:after="120" w:line="276" w:lineRule="auto"/>
        <w:ind w:left="-567" w:right="-518"/>
        <w:jc w:val="both"/>
        <w:rPr>
          <w:rFonts w:ascii="Arial" w:eastAsia="Montserrat" w:hAnsi="Arial" w:cs="Arial"/>
          <w:color w:val="000000"/>
          <w:sz w:val="24"/>
          <w:szCs w:val="24"/>
        </w:rPr>
      </w:pPr>
      <w:r w:rsidRPr="000C3994">
        <w:rPr>
          <w:rFonts w:ascii="Arial" w:eastAsia="Montserrat" w:hAnsi="Arial" w:cs="Arial"/>
          <w:color w:val="000000"/>
          <w:sz w:val="24"/>
          <w:szCs w:val="24"/>
        </w:rPr>
        <w:t>El Centro tendrá su sede en el campus universitario de St. Augustine, en Trinidad y Tobago. Ahí se instalará equipo especializado que permit</w:t>
      </w:r>
      <w:r w:rsidR="00012787" w:rsidRPr="000C3994">
        <w:rPr>
          <w:rFonts w:ascii="Arial" w:eastAsia="Montserrat" w:hAnsi="Arial" w:cs="Arial"/>
          <w:color w:val="000000"/>
          <w:sz w:val="24"/>
          <w:szCs w:val="24"/>
        </w:rPr>
        <w:t>irá</w:t>
      </w:r>
      <w:r w:rsidRPr="000C3994">
        <w:rPr>
          <w:rFonts w:ascii="Arial" w:eastAsia="Montserrat" w:hAnsi="Arial" w:cs="Arial"/>
          <w:color w:val="000000"/>
          <w:sz w:val="24"/>
          <w:szCs w:val="24"/>
        </w:rPr>
        <w:t xml:space="preserve"> procesar y generar información geoespacial accesible y gratuita para toda la región del Caribe.</w:t>
      </w:r>
    </w:p>
    <w:p w14:paraId="7BA05EAD" w14:textId="5640BC06" w:rsidR="00D15E2A" w:rsidRPr="000C3994" w:rsidRDefault="00522F0C" w:rsidP="000C3994">
      <w:pPr>
        <w:pStyle w:val="NormalWeb"/>
        <w:spacing w:line="276" w:lineRule="auto"/>
        <w:ind w:left="-567" w:right="-518"/>
        <w:jc w:val="both"/>
        <w:rPr>
          <w:rFonts w:ascii="Arial" w:hAnsi="Arial" w:cs="Arial"/>
          <w:bCs/>
        </w:rPr>
      </w:pPr>
      <w:r w:rsidRPr="000C3994">
        <w:rPr>
          <w:rFonts w:ascii="Arial" w:hAnsi="Arial" w:cs="Arial"/>
          <w:bCs/>
        </w:rPr>
        <w:t>En la ceremonia encabezada por</w:t>
      </w:r>
      <w:r w:rsidR="00DF51F3" w:rsidRPr="000C3994">
        <w:rPr>
          <w:rFonts w:ascii="Arial" w:hAnsi="Arial" w:cs="Arial"/>
          <w:bCs/>
        </w:rPr>
        <w:t xml:space="preserve"> el secretario de Relaciones Exteriores, </w:t>
      </w:r>
      <w:r w:rsidRPr="000C3994">
        <w:rPr>
          <w:rFonts w:ascii="Arial" w:hAnsi="Arial" w:cs="Arial"/>
          <w:bCs/>
        </w:rPr>
        <w:t>Marcelo Ebrard Casaubon,</w:t>
      </w:r>
      <w:r w:rsidR="00DF51F3" w:rsidRPr="000C3994">
        <w:rPr>
          <w:rFonts w:ascii="Arial" w:hAnsi="Arial" w:cs="Arial"/>
          <w:bCs/>
        </w:rPr>
        <w:t xml:space="preserve"> </w:t>
      </w:r>
      <w:r w:rsidRPr="000C3994">
        <w:rPr>
          <w:rFonts w:ascii="Arial" w:hAnsi="Arial" w:cs="Arial"/>
          <w:bCs/>
        </w:rPr>
        <w:t xml:space="preserve">se destacó que, mediante este proyecto, se </w:t>
      </w:r>
      <w:r w:rsidR="00BF263B" w:rsidRPr="000C3994">
        <w:rPr>
          <w:rFonts w:ascii="Arial" w:hAnsi="Arial" w:cs="Arial"/>
          <w:bCs/>
        </w:rPr>
        <w:t xml:space="preserve">refuerza </w:t>
      </w:r>
      <w:r w:rsidR="008C6A81" w:rsidRPr="000C3994">
        <w:rPr>
          <w:rFonts w:ascii="Arial" w:hAnsi="Arial" w:cs="Arial"/>
          <w:bCs/>
        </w:rPr>
        <w:t>los lazos de amistad</w:t>
      </w:r>
      <w:r w:rsidR="00BF263B" w:rsidRPr="000C3994">
        <w:rPr>
          <w:rFonts w:ascii="Arial" w:hAnsi="Arial" w:cs="Arial"/>
          <w:bCs/>
        </w:rPr>
        <w:t xml:space="preserve"> de México con los países miembros de la Comunidad del Caribe (CARICOM)</w:t>
      </w:r>
      <w:r w:rsidR="008C6A81" w:rsidRPr="000C3994">
        <w:rPr>
          <w:rFonts w:ascii="Arial" w:hAnsi="Arial" w:cs="Arial"/>
          <w:bCs/>
        </w:rPr>
        <w:t xml:space="preserve">, </w:t>
      </w:r>
      <w:r w:rsidRPr="000C3994">
        <w:rPr>
          <w:rFonts w:ascii="Arial" w:hAnsi="Arial" w:cs="Arial"/>
          <w:bCs/>
        </w:rPr>
        <w:t>para que cuente</w:t>
      </w:r>
      <w:r w:rsidR="008C6A81" w:rsidRPr="000C3994">
        <w:rPr>
          <w:rFonts w:ascii="Arial" w:hAnsi="Arial" w:cs="Arial"/>
          <w:bCs/>
        </w:rPr>
        <w:t>n</w:t>
      </w:r>
      <w:r w:rsidRPr="000C3994">
        <w:rPr>
          <w:rFonts w:ascii="Arial" w:hAnsi="Arial" w:cs="Arial"/>
          <w:bCs/>
        </w:rPr>
        <w:t xml:space="preserve"> con información útil para la toma de decisiones en materia de uso de suelo, cambio climático y prevención de desastres. Lo anterior beneficiará a los países de la región porque esta es vulnerable a diversos fenómenos meteorológicos.</w:t>
      </w:r>
      <w:r w:rsidRPr="000C3994" w:rsidDel="00E56456">
        <w:rPr>
          <w:rFonts w:ascii="Arial" w:hAnsi="Arial" w:cs="Arial"/>
          <w:bCs/>
        </w:rPr>
        <w:t xml:space="preserve"> </w:t>
      </w:r>
    </w:p>
    <w:p w14:paraId="4F47760C" w14:textId="0F49BC7B" w:rsidR="003B60BA" w:rsidRPr="000C3994" w:rsidRDefault="00D15E2A" w:rsidP="000C3994">
      <w:pPr>
        <w:pStyle w:val="NormalWeb"/>
        <w:spacing w:line="276" w:lineRule="auto"/>
        <w:ind w:left="-567" w:right="-518"/>
        <w:jc w:val="both"/>
        <w:rPr>
          <w:rFonts w:ascii="Arial" w:hAnsi="Arial" w:cs="Arial"/>
          <w:bCs/>
          <w:lang w:val="es-ES"/>
        </w:rPr>
      </w:pPr>
      <w:r w:rsidRPr="000C3994">
        <w:rPr>
          <w:rFonts w:ascii="Arial" w:hAnsi="Arial" w:cs="Arial"/>
          <w:bCs/>
        </w:rPr>
        <w:t xml:space="preserve">En su intervención, el canciller Ebrard señaló que el Centro </w:t>
      </w:r>
      <w:r w:rsidRPr="000C3994">
        <w:rPr>
          <w:rFonts w:ascii="Arial" w:hAnsi="Arial" w:cs="Arial"/>
          <w:bCs/>
        </w:rPr>
        <w:br/>
        <w:t>“</w:t>
      </w:r>
      <w:r w:rsidRPr="000C3994">
        <w:rPr>
          <w:rFonts w:ascii="Arial" w:hAnsi="Arial" w:cs="Arial"/>
          <w:bCs/>
          <w:lang w:val="es-ES"/>
        </w:rPr>
        <w:t>nos va a permitir tener otro nivel cualitativo de trabajo junto con el Caribe, para protegerse mejor respecto al impacto del cambio climático que va a ser cada vez más agudo”.</w:t>
      </w:r>
      <w:r w:rsidR="003B60BA" w:rsidRPr="000C3994">
        <w:rPr>
          <w:rFonts w:ascii="Arial" w:hAnsi="Arial" w:cs="Arial"/>
          <w:bCs/>
        </w:rPr>
        <w:t xml:space="preserve"> </w:t>
      </w:r>
      <w:r w:rsidR="003B60BA" w:rsidRPr="000C3994">
        <w:rPr>
          <w:rFonts w:ascii="Arial" w:hAnsi="Arial" w:cs="Arial"/>
          <w:bCs/>
          <w:lang w:val="es-ES"/>
        </w:rPr>
        <w:t>“Esta es una herramienta para apoyarles, de manera que puedan organizarse mejor, prever y estar mucho mejor informados de lo que puede ocurrir en los próximos meses y años”, puntualizó.</w:t>
      </w:r>
    </w:p>
    <w:p w14:paraId="50623988" w14:textId="25121D07" w:rsidR="00D15E2A" w:rsidRPr="000C3994" w:rsidRDefault="000E0613" w:rsidP="000C3994">
      <w:pPr>
        <w:pStyle w:val="NormalWeb"/>
        <w:spacing w:line="276" w:lineRule="auto"/>
        <w:ind w:left="-567" w:right="-518"/>
        <w:jc w:val="both"/>
        <w:rPr>
          <w:rFonts w:ascii="Arial" w:hAnsi="Arial" w:cs="Arial"/>
          <w:bCs/>
        </w:rPr>
      </w:pPr>
      <w:r w:rsidRPr="000C3994">
        <w:rPr>
          <w:rFonts w:ascii="Arial" w:hAnsi="Arial" w:cs="Arial"/>
          <w:bCs/>
          <w:lang w:val="es-ES"/>
        </w:rPr>
        <w:t xml:space="preserve">“Estamos haciendo cosas como Comunidad de Estados Latinoamericanos y </w:t>
      </w:r>
      <w:proofErr w:type="gramStart"/>
      <w:r w:rsidRPr="000C3994">
        <w:rPr>
          <w:rFonts w:ascii="Arial" w:hAnsi="Arial" w:cs="Arial"/>
          <w:bCs/>
          <w:lang w:val="es-ES"/>
        </w:rPr>
        <w:t>Caribeños</w:t>
      </w:r>
      <w:proofErr w:type="gramEnd"/>
      <w:r w:rsidRPr="000C3994">
        <w:rPr>
          <w:rFonts w:ascii="Arial" w:hAnsi="Arial" w:cs="Arial"/>
          <w:bCs/>
          <w:lang w:val="es-ES"/>
        </w:rPr>
        <w:t>, destinadas a la cooperación, es decir, que nuestra Comunidad se convierte en el principal instrumento de cooperación en la región, y eso es exactamente lo que estamos buscando entre todas y todos”, destacó.</w:t>
      </w:r>
    </w:p>
    <w:p w14:paraId="4ED1EF6E" w14:textId="1D86DA98" w:rsidR="00304A44" w:rsidRPr="000C3994" w:rsidRDefault="00522F0C" w:rsidP="000C3994">
      <w:pPr>
        <w:pStyle w:val="NormalWeb"/>
        <w:spacing w:line="276" w:lineRule="auto"/>
        <w:ind w:left="-567" w:right="-518"/>
        <w:jc w:val="both"/>
        <w:rPr>
          <w:rFonts w:ascii="Arial" w:hAnsi="Arial" w:cs="Arial"/>
          <w:bCs/>
        </w:rPr>
      </w:pPr>
      <w:r w:rsidRPr="000C3994">
        <w:rPr>
          <w:rFonts w:ascii="Arial" w:hAnsi="Arial" w:cs="Arial"/>
          <w:bCs/>
        </w:rPr>
        <w:lastRenderedPageBreak/>
        <w:t xml:space="preserve">La presidenta del INEGI, Graciela Márquez Colín, </w:t>
      </w:r>
      <w:r w:rsidR="00304A44" w:rsidRPr="000C3994">
        <w:rPr>
          <w:rFonts w:ascii="Arial" w:hAnsi="Arial" w:cs="Arial"/>
          <w:bCs/>
        </w:rPr>
        <w:t>destacó</w:t>
      </w:r>
      <w:r w:rsidR="00E90BEA" w:rsidRPr="000C3994">
        <w:rPr>
          <w:rFonts w:ascii="Arial" w:hAnsi="Arial" w:cs="Arial"/>
          <w:bCs/>
        </w:rPr>
        <w:t xml:space="preserve"> que en los últimos 25 años la información geoespacial se ha convertido en una herramiental fundamental para la toma de decisiones. Asimismo, reconoció </w:t>
      </w:r>
      <w:r w:rsidR="00304A44" w:rsidRPr="000C3994">
        <w:rPr>
          <w:rFonts w:ascii="Arial" w:hAnsi="Arial" w:cs="Arial"/>
          <w:bCs/>
        </w:rPr>
        <w:t>la importancia</w:t>
      </w:r>
      <w:r w:rsidR="00E90BEA" w:rsidRPr="000C3994">
        <w:rPr>
          <w:rFonts w:ascii="Arial" w:hAnsi="Arial" w:cs="Arial"/>
          <w:bCs/>
        </w:rPr>
        <w:t xml:space="preserve"> de</w:t>
      </w:r>
      <w:r w:rsidR="00304A44" w:rsidRPr="000C3994">
        <w:rPr>
          <w:rFonts w:ascii="Arial" w:hAnsi="Arial" w:cs="Arial"/>
          <w:bCs/>
        </w:rPr>
        <w:t xml:space="preserve"> la firma</w:t>
      </w:r>
      <w:r w:rsidR="00E90BEA" w:rsidRPr="000C3994">
        <w:rPr>
          <w:rFonts w:ascii="Arial" w:hAnsi="Arial" w:cs="Arial"/>
          <w:bCs/>
        </w:rPr>
        <w:t xml:space="preserve"> </w:t>
      </w:r>
      <w:r w:rsidR="00012787" w:rsidRPr="000C3994">
        <w:rPr>
          <w:rFonts w:ascii="Arial" w:hAnsi="Arial" w:cs="Arial"/>
          <w:bCs/>
        </w:rPr>
        <w:t>este</w:t>
      </w:r>
      <w:r w:rsidR="00E90BEA" w:rsidRPr="000C3994">
        <w:rPr>
          <w:rFonts w:ascii="Arial" w:hAnsi="Arial" w:cs="Arial"/>
          <w:bCs/>
        </w:rPr>
        <w:t xml:space="preserve"> acuerdo</w:t>
      </w:r>
      <w:r w:rsidR="00012787" w:rsidRPr="000C3994">
        <w:rPr>
          <w:rFonts w:ascii="Arial" w:hAnsi="Arial" w:cs="Arial"/>
          <w:bCs/>
        </w:rPr>
        <w:t>,</w:t>
      </w:r>
      <w:r w:rsidR="00E90BEA" w:rsidRPr="000C3994">
        <w:rPr>
          <w:rFonts w:ascii="Arial" w:hAnsi="Arial" w:cs="Arial"/>
          <w:bCs/>
        </w:rPr>
        <w:t xml:space="preserve"> que permite hacer efectiva </w:t>
      </w:r>
      <w:r w:rsidR="00304A44" w:rsidRPr="000C3994">
        <w:rPr>
          <w:rFonts w:ascii="Arial" w:hAnsi="Arial" w:cs="Arial"/>
          <w:bCs/>
        </w:rPr>
        <w:t>la colaboración entre instituciones académicas</w:t>
      </w:r>
      <w:r w:rsidR="00E90BEA" w:rsidRPr="000C3994">
        <w:rPr>
          <w:rFonts w:ascii="Arial" w:hAnsi="Arial" w:cs="Arial"/>
          <w:bCs/>
        </w:rPr>
        <w:t xml:space="preserve"> </w:t>
      </w:r>
      <w:r w:rsidR="00304A44" w:rsidRPr="000C3994">
        <w:rPr>
          <w:rFonts w:ascii="Arial" w:hAnsi="Arial" w:cs="Arial"/>
          <w:bCs/>
        </w:rPr>
        <w:t xml:space="preserve">y de gobierno </w:t>
      </w:r>
      <w:r w:rsidR="00E90BEA" w:rsidRPr="000C3994">
        <w:rPr>
          <w:rFonts w:ascii="Arial" w:hAnsi="Arial" w:cs="Arial"/>
          <w:bCs/>
        </w:rPr>
        <w:t xml:space="preserve">en torno al uso de la información geoespacial. </w:t>
      </w:r>
    </w:p>
    <w:p w14:paraId="5BA1B4B5" w14:textId="72ED6254" w:rsidR="00331284" w:rsidRPr="000C3994" w:rsidRDefault="00331284" w:rsidP="000C3994">
      <w:pPr>
        <w:pStyle w:val="NormalWeb"/>
        <w:spacing w:line="276" w:lineRule="auto"/>
        <w:ind w:left="-567" w:right="-518"/>
        <w:jc w:val="both"/>
        <w:rPr>
          <w:rFonts w:ascii="Arial" w:hAnsi="Arial" w:cs="Arial"/>
          <w:bCs/>
        </w:rPr>
      </w:pPr>
      <w:r w:rsidRPr="000C3994">
        <w:rPr>
          <w:rFonts w:ascii="Arial" w:hAnsi="Arial" w:cs="Arial"/>
          <w:bCs/>
        </w:rPr>
        <w:t xml:space="preserve">Márquez Colín precisó que esta </w:t>
      </w:r>
      <w:r w:rsidR="00522F0C" w:rsidRPr="000C3994">
        <w:rPr>
          <w:rFonts w:ascii="Arial" w:hAnsi="Arial" w:cs="Arial"/>
          <w:bCs/>
        </w:rPr>
        <w:t>colaboración estrechará los lazos del Instituto con la región de</w:t>
      </w:r>
      <w:r w:rsidRPr="000C3994">
        <w:rPr>
          <w:rFonts w:ascii="Arial" w:hAnsi="Arial" w:cs="Arial"/>
          <w:bCs/>
        </w:rPr>
        <w:t xml:space="preserve"> las Américas. Agregó, que </w:t>
      </w:r>
      <w:r w:rsidR="00CC1E89" w:rsidRPr="000C3994">
        <w:rPr>
          <w:rFonts w:ascii="Arial" w:hAnsi="Arial" w:cs="Arial"/>
          <w:bCs/>
        </w:rPr>
        <w:t>las acciones conjuntas del INEGI, la SRE y la UWI promoverán el desarrollo tecnológico y la sostentabilidad de la región.</w:t>
      </w:r>
    </w:p>
    <w:p w14:paraId="1CF05E9A" w14:textId="77777777" w:rsidR="00522F0C" w:rsidRPr="000C3994" w:rsidRDefault="00522F0C" w:rsidP="000C3994">
      <w:pPr>
        <w:pStyle w:val="NormalWeb"/>
        <w:spacing w:line="276" w:lineRule="auto"/>
        <w:ind w:left="-567" w:right="-518"/>
        <w:jc w:val="both"/>
        <w:rPr>
          <w:rFonts w:ascii="Arial" w:hAnsi="Arial" w:cs="Arial"/>
          <w:bCs/>
        </w:rPr>
      </w:pPr>
      <w:r w:rsidRPr="000C3994">
        <w:rPr>
          <w:rFonts w:ascii="Arial" w:hAnsi="Arial" w:cs="Arial"/>
          <w:bCs/>
        </w:rPr>
        <w:t>Por su parte, el vicerrector de la Universidad de las Indias Occidentales campus St. Augustine</w:t>
      </w:r>
      <w:r w:rsidRPr="000C3994">
        <w:rPr>
          <w:rFonts w:ascii="Arial" w:hAnsi="Arial" w:cs="Arial"/>
        </w:rPr>
        <w:t xml:space="preserve">, </w:t>
      </w:r>
      <w:r w:rsidRPr="000C3994">
        <w:rPr>
          <w:rFonts w:ascii="Arial" w:hAnsi="Arial" w:cs="Arial"/>
          <w:bCs/>
        </w:rPr>
        <w:t>Brian Copeland, agradeció la iniciativa de México. Esta no solo beneficiará a la Universidad y a Trinidad y Tobago, sino que proveerá de servicios a toda la región del Caribe. Asimismo, con la capacitación que reciban por parte de especialistas del INEGI, tendrán personal con las habilidades técnicas para aprovechar la información en este centro de observación geoespacial.</w:t>
      </w:r>
    </w:p>
    <w:p w14:paraId="3196A06B" w14:textId="77777777" w:rsidR="00DF51F3" w:rsidRPr="000C3994" w:rsidRDefault="00522F0C" w:rsidP="000C3994">
      <w:pPr>
        <w:pStyle w:val="NormalWeb"/>
        <w:spacing w:line="276" w:lineRule="auto"/>
        <w:ind w:left="-567" w:right="-518"/>
        <w:jc w:val="both"/>
        <w:rPr>
          <w:rFonts w:ascii="Arial" w:hAnsi="Arial" w:cs="Arial"/>
          <w:bCs/>
        </w:rPr>
      </w:pPr>
      <w:r w:rsidRPr="000C3994">
        <w:rPr>
          <w:rFonts w:ascii="Arial" w:hAnsi="Arial" w:cs="Arial"/>
          <w:bCs/>
        </w:rPr>
        <w:t xml:space="preserve">El Ministro de Relaciones Exteriores y Asuntos de la CARICOM de Trinidad y Tobago, Amery Browne, testigo de honor de esta suscripción, agradeció el apoyo que México ha dado al Caribe a través de su Presidencia Pro Tempore de la </w:t>
      </w:r>
      <w:r w:rsidRPr="000C3994">
        <w:rPr>
          <w:rFonts w:ascii="Arial" w:eastAsia="Montserrat" w:hAnsi="Arial" w:cs="Arial"/>
          <w:color w:val="000000"/>
        </w:rPr>
        <w:t xml:space="preserve">Comunidad de Estados Latinoamericanos y Caribeños (CELAC) </w:t>
      </w:r>
      <w:r w:rsidRPr="000C3994">
        <w:rPr>
          <w:rFonts w:ascii="Arial" w:hAnsi="Arial" w:cs="Arial"/>
          <w:bCs/>
        </w:rPr>
        <w:t>entre 2020 y 2022. También agradeció los diversos proyectos de cooperación que se impulsan hasta hoy.</w:t>
      </w:r>
    </w:p>
    <w:p w14:paraId="4C69FE0E" w14:textId="7A94EA94" w:rsidR="00522F0C" w:rsidRPr="000C3994" w:rsidRDefault="00522F0C" w:rsidP="000C3994">
      <w:pPr>
        <w:pStyle w:val="NormalWeb"/>
        <w:spacing w:line="276" w:lineRule="auto"/>
        <w:ind w:left="-567" w:right="-518"/>
        <w:jc w:val="both"/>
        <w:rPr>
          <w:rFonts w:ascii="Arial" w:hAnsi="Arial" w:cs="Arial"/>
          <w:bCs/>
        </w:rPr>
      </w:pPr>
      <w:r w:rsidRPr="000C3994">
        <w:rPr>
          <w:rFonts w:ascii="Arial" w:hAnsi="Arial" w:cs="Arial"/>
          <w:bCs/>
        </w:rPr>
        <w:t>El objetivo del Memorándum suscrito es que, por medio de las imágenes satelitales y otras fuentes de datos, el Caribe desarrolle capacidades de generación de información geográfica y estadística. Esta permitirá que los Estados tomen decisiones de políticas públicas en materia de prevención de desastres, cambio climático, crecimiento urbano, recursos naturales y otros factores que impactan la calidad de vida de sus habitantes.</w:t>
      </w:r>
    </w:p>
    <w:p w14:paraId="19443D33" w14:textId="77777777" w:rsidR="00522F0C" w:rsidRPr="000C3994" w:rsidRDefault="00522F0C" w:rsidP="000C3994">
      <w:pPr>
        <w:spacing w:after="120" w:line="276" w:lineRule="auto"/>
        <w:ind w:left="-567" w:right="-518"/>
        <w:jc w:val="both"/>
        <w:rPr>
          <w:rFonts w:ascii="Arial" w:eastAsia="Times New Roman" w:hAnsi="Arial" w:cs="Arial"/>
          <w:bCs/>
          <w:sz w:val="24"/>
          <w:szCs w:val="24"/>
          <w:lang w:eastAsia="es-ES_tradnl"/>
        </w:rPr>
      </w:pPr>
      <w:r w:rsidRPr="000C3994">
        <w:rPr>
          <w:rFonts w:ascii="Arial" w:eastAsia="Times New Roman" w:hAnsi="Arial" w:cs="Arial"/>
          <w:bCs/>
          <w:sz w:val="24"/>
          <w:szCs w:val="24"/>
          <w:lang w:eastAsia="es-ES_tradnl"/>
        </w:rPr>
        <w:t xml:space="preserve">El proyecto tiene tres componentes clave para su realización: la inversión en infraestructura —en este caso servidores y equipo especializado a instalarse en el campus St. Augustine de la Universidad de las Indias Occidentales en Trinidad y Tobago—, el mantenimiento de programadores especializados para la gestión de recursos computacionales y la capacitación para formar especialistas en el Caribe con las habilidades técnicas necesarias para procesar imágenes satelitales e información que sirva a sus proyectos. </w:t>
      </w:r>
    </w:p>
    <w:p w14:paraId="69EC8665" w14:textId="7C51609C" w:rsidR="00522F0C" w:rsidRPr="000C3994" w:rsidRDefault="00DF51F3" w:rsidP="000C3994">
      <w:pPr>
        <w:spacing w:line="276" w:lineRule="auto"/>
        <w:ind w:left="-567" w:right="-518"/>
        <w:jc w:val="both"/>
        <w:rPr>
          <w:rFonts w:ascii="Arial" w:hAnsi="Arial" w:cs="Arial"/>
          <w:sz w:val="24"/>
          <w:szCs w:val="24"/>
        </w:rPr>
      </w:pPr>
      <w:r w:rsidRPr="000C3994">
        <w:rPr>
          <w:rFonts w:ascii="Arial" w:eastAsia="Montserrat" w:hAnsi="Arial" w:cs="Arial"/>
          <w:sz w:val="24"/>
          <w:szCs w:val="24"/>
        </w:rPr>
        <w:t>L</w:t>
      </w:r>
      <w:r w:rsidR="00522F0C" w:rsidRPr="000C3994">
        <w:rPr>
          <w:rFonts w:ascii="Arial" w:eastAsia="Montserrat" w:hAnsi="Arial" w:cs="Arial"/>
          <w:sz w:val="24"/>
          <w:szCs w:val="24"/>
        </w:rPr>
        <w:t xml:space="preserve">a constitución de la </w:t>
      </w:r>
      <w:r w:rsidR="00522F0C" w:rsidRPr="000C3994">
        <w:rPr>
          <w:rFonts w:ascii="Arial" w:eastAsia="Montserrat" w:hAnsi="Arial" w:cs="Arial"/>
          <w:color w:val="000000"/>
          <w:sz w:val="24"/>
          <w:szCs w:val="24"/>
        </w:rPr>
        <w:t>ALCE fue uno de los proyectos que impulsó la Presidencia Pro Tempore mexicana de la CELAC.</w:t>
      </w:r>
    </w:p>
    <w:p w14:paraId="0E5A922F" w14:textId="77777777" w:rsidR="00522F0C" w:rsidRPr="000C3994" w:rsidRDefault="00522F0C" w:rsidP="00522F0C">
      <w:pPr>
        <w:spacing w:line="276" w:lineRule="auto"/>
        <w:ind w:right="49"/>
        <w:jc w:val="both"/>
        <w:rPr>
          <w:rFonts w:ascii="Arial" w:hAnsi="Arial" w:cs="Arial"/>
          <w:sz w:val="24"/>
          <w:szCs w:val="24"/>
        </w:rPr>
      </w:pPr>
    </w:p>
    <w:sectPr w:rsidR="00522F0C" w:rsidRPr="000C3994" w:rsidSect="005B5C55">
      <w:headerReference w:type="default" r:id="rId7"/>
      <w:footerReference w:type="default" r:id="rId8"/>
      <w:pgSz w:w="12240" w:h="15840"/>
      <w:pgMar w:top="2126"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9AE95" w14:textId="77777777" w:rsidR="004C1E4E" w:rsidRDefault="004C1E4E" w:rsidP="00274D69">
      <w:pPr>
        <w:spacing w:after="0" w:line="240" w:lineRule="auto"/>
      </w:pPr>
      <w:r>
        <w:separator/>
      </w:r>
    </w:p>
  </w:endnote>
  <w:endnote w:type="continuationSeparator" w:id="0">
    <w:p w14:paraId="7B81DAE9" w14:textId="77777777" w:rsidR="004C1E4E" w:rsidRDefault="004C1E4E" w:rsidP="0027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swiss"/>
    <w:pitch w:val="variable"/>
    <w:sig w:usb0="00000003" w:usb1="0200E0A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AD9E" w14:textId="671FD5A0" w:rsidR="000C3994" w:rsidRPr="000C3994" w:rsidRDefault="000C3994" w:rsidP="000C3994">
    <w:pPr>
      <w:pStyle w:val="Piedepgina"/>
      <w:jc w:val="center"/>
      <w:rPr>
        <w:rFonts w:ascii="Arial" w:hAnsi="Arial" w:cs="Arial"/>
        <w:b/>
        <w:color w:val="002060"/>
        <w:sz w:val="20"/>
        <w:szCs w:val="20"/>
      </w:rPr>
    </w:pPr>
    <w:r w:rsidRPr="000C3994">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1A69A" w14:textId="77777777" w:rsidR="004C1E4E" w:rsidRDefault="004C1E4E" w:rsidP="00274D69">
      <w:pPr>
        <w:spacing w:after="0" w:line="240" w:lineRule="auto"/>
      </w:pPr>
      <w:r>
        <w:separator/>
      </w:r>
    </w:p>
  </w:footnote>
  <w:footnote w:type="continuationSeparator" w:id="0">
    <w:p w14:paraId="26D8A10B" w14:textId="77777777" w:rsidR="004C1E4E" w:rsidRDefault="004C1E4E" w:rsidP="00274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C1CB" w14:textId="5334B410" w:rsidR="000C3994" w:rsidRPr="00DB3024" w:rsidRDefault="000C3994" w:rsidP="000C3994">
    <w:pPr>
      <w:tabs>
        <w:tab w:val="left" w:pos="5103"/>
      </w:tabs>
      <w:spacing w:after="0" w:line="265" w:lineRule="exact"/>
      <w:ind w:right="-801"/>
      <w:jc w:val="right"/>
      <w:rPr>
        <w:rFonts w:ascii="Arial" w:eastAsia="Arial" w:hAnsi="Arial" w:cs="Arial"/>
      </w:rPr>
    </w:pPr>
    <w:r w:rsidRPr="00DB3024">
      <w:rPr>
        <w:rFonts w:ascii="Arial" w:hAnsi="Arial" w:cs="Arial"/>
        <w:noProof/>
        <w:lang w:eastAsia="es-MX"/>
      </w:rPr>
      <w:drawing>
        <wp:anchor distT="0" distB="0" distL="114300" distR="114300" simplePos="0" relativeHeight="251661312" behindDoc="0" locked="0" layoutInCell="1" allowOverlap="1" wp14:anchorId="02BD84B9" wp14:editId="6EACAC2E">
          <wp:simplePos x="0" y="0"/>
          <wp:positionH relativeFrom="margin">
            <wp:posOffset>-356235</wp:posOffset>
          </wp:positionH>
          <wp:positionV relativeFrom="margin">
            <wp:posOffset>-862965</wp:posOffset>
          </wp:positionV>
          <wp:extent cx="571500" cy="591820"/>
          <wp:effectExtent l="0" t="0" r="0" b="0"/>
          <wp:wrapSquare wrapText="bothSides"/>
          <wp:docPr id="4" name="Imagen 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91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3024">
      <w:rPr>
        <w:rFonts w:ascii="Arial" w:hAnsi="Arial" w:cs="Arial"/>
        <w:noProof/>
      </w:rPr>
      <w:drawing>
        <wp:anchor distT="0" distB="0" distL="114300" distR="114300" simplePos="0" relativeHeight="251666432" behindDoc="0" locked="0" layoutInCell="1" allowOverlap="1" wp14:anchorId="37767823" wp14:editId="42B22F0C">
          <wp:simplePos x="0" y="0"/>
          <wp:positionH relativeFrom="margin">
            <wp:posOffset>358140</wp:posOffset>
          </wp:positionH>
          <wp:positionV relativeFrom="margin">
            <wp:posOffset>-802640</wp:posOffset>
          </wp:positionV>
          <wp:extent cx="2828925" cy="477520"/>
          <wp:effectExtent l="0" t="0" r="9525" b="0"/>
          <wp:wrapSquare wrapText="bothSides"/>
          <wp:docPr id="5" name="Imagen 5"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rotWithShape="1">
                  <a:blip r:embed="rId2">
                    <a:extLst>
                      <a:ext uri="{28A0092B-C50C-407E-A947-70E740481C1C}">
                        <a14:useLocalDpi xmlns:a14="http://schemas.microsoft.com/office/drawing/2010/main" val="0"/>
                      </a:ext>
                    </a:extLst>
                  </a:blip>
                  <a:srcRect l="-25" t="25802" r="26686" b="23283"/>
                  <a:stretch/>
                </pic:blipFill>
                <pic:spPr bwMode="auto">
                  <a:xfrm>
                    <a:off x="0" y="0"/>
                    <a:ext cx="2828925" cy="477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b/>
        <w:color w:val="002060"/>
      </w:rPr>
      <w:t xml:space="preserve">  </w:t>
    </w:r>
    <w:r w:rsidRPr="00DB3024">
      <w:rPr>
        <w:rFonts w:ascii="Arial" w:hAnsi="Arial" w:cs="Arial"/>
        <w:b/>
        <w:color w:val="002060"/>
      </w:rPr>
      <w:t>COMUNICADO</w:t>
    </w:r>
    <w:r w:rsidRPr="00DB3024">
      <w:rPr>
        <w:rFonts w:ascii="Arial" w:hAnsi="Arial" w:cs="Arial"/>
        <w:b/>
        <w:color w:val="002060"/>
        <w:spacing w:val="-11"/>
      </w:rPr>
      <w:t xml:space="preserve"> </w:t>
    </w:r>
    <w:r w:rsidRPr="00DB3024">
      <w:rPr>
        <w:rFonts w:ascii="Arial" w:hAnsi="Arial" w:cs="Arial"/>
        <w:b/>
        <w:color w:val="002060"/>
      </w:rPr>
      <w:t>DE</w:t>
    </w:r>
    <w:r w:rsidRPr="00DB3024">
      <w:rPr>
        <w:rFonts w:ascii="Arial" w:hAnsi="Arial" w:cs="Arial"/>
        <w:b/>
        <w:color w:val="002060"/>
        <w:spacing w:val="-11"/>
      </w:rPr>
      <w:t xml:space="preserve"> P</w:t>
    </w:r>
    <w:r w:rsidRPr="00DB3024">
      <w:rPr>
        <w:rFonts w:ascii="Arial" w:hAnsi="Arial" w:cs="Arial"/>
        <w:b/>
        <w:color w:val="002060"/>
        <w:spacing w:val="-1"/>
      </w:rPr>
      <w:t>RENSA</w:t>
    </w:r>
    <w:r w:rsidRPr="00DB3024">
      <w:rPr>
        <w:rFonts w:ascii="Arial" w:hAnsi="Arial" w:cs="Arial"/>
        <w:b/>
        <w:color w:val="002060"/>
        <w:spacing w:val="-11"/>
      </w:rPr>
      <w:t xml:space="preserve"> </w:t>
    </w:r>
    <w:r w:rsidRPr="00DB3024">
      <w:rPr>
        <w:rFonts w:ascii="Arial" w:hAnsi="Arial" w:cs="Arial"/>
        <w:b/>
        <w:color w:val="002060"/>
      </w:rPr>
      <w:t>NÚM.</w:t>
    </w:r>
    <w:r>
      <w:rPr>
        <w:rFonts w:ascii="Arial" w:hAnsi="Arial" w:cs="Arial"/>
        <w:b/>
        <w:color w:val="002060"/>
      </w:rPr>
      <w:t xml:space="preserve"> 400</w:t>
    </w:r>
    <w:r w:rsidRPr="00DB3024">
      <w:rPr>
        <w:rFonts w:ascii="Arial" w:hAnsi="Arial" w:cs="Arial"/>
        <w:b/>
        <w:color w:val="002060"/>
      </w:rPr>
      <w:t>/22</w:t>
    </w:r>
  </w:p>
  <w:p w14:paraId="19B878B1" w14:textId="19951D1E" w:rsidR="000C3994" w:rsidRPr="00DB3024" w:rsidRDefault="000C3994" w:rsidP="000C3994">
    <w:pPr>
      <w:tabs>
        <w:tab w:val="center" w:pos="5018"/>
        <w:tab w:val="right" w:pos="10037"/>
      </w:tabs>
      <w:spacing w:after="0"/>
      <w:ind w:right="-801"/>
      <w:jc w:val="right"/>
      <w:rPr>
        <w:rFonts w:ascii="Arial" w:eastAsia="Arial" w:hAnsi="Arial" w:cs="Arial"/>
      </w:rPr>
    </w:pPr>
    <w:r>
      <w:rPr>
        <w:rFonts w:ascii="Arial" w:hAnsi="Arial" w:cs="Arial"/>
        <w:b/>
        <w:color w:val="002060"/>
      </w:rPr>
      <w:t xml:space="preserve">  28</w:t>
    </w:r>
    <w:r w:rsidRPr="00DB3024">
      <w:rPr>
        <w:rFonts w:ascii="Arial" w:hAnsi="Arial" w:cs="Arial"/>
        <w:b/>
        <w:color w:val="002060"/>
        <w:spacing w:val="-6"/>
      </w:rPr>
      <w:t xml:space="preserve"> </w:t>
    </w:r>
    <w:r w:rsidRPr="00DB3024">
      <w:rPr>
        <w:rFonts w:ascii="Arial" w:hAnsi="Arial" w:cs="Arial"/>
        <w:b/>
        <w:color w:val="002060"/>
      </w:rPr>
      <w:t>DE</w:t>
    </w:r>
    <w:r w:rsidRPr="00DB3024">
      <w:rPr>
        <w:rFonts w:ascii="Arial" w:hAnsi="Arial" w:cs="Arial"/>
        <w:b/>
        <w:color w:val="002060"/>
        <w:spacing w:val="-5"/>
      </w:rPr>
      <w:t xml:space="preserve"> </w:t>
    </w:r>
    <w:r w:rsidRPr="00DB3024">
      <w:rPr>
        <w:rFonts w:ascii="Arial" w:hAnsi="Arial" w:cs="Arial"/>
        <w:b/>
        <w:color w:val="002060"/>
      </w:rPr>
      <w:t>JULIO</w:t>
    </w:r>
    <w:r w:rsidRPr="00DB3024">
      <w:rPr>
        <w:rFonts w:ascii="Arial" w:hAnsi="Arial" w:cs="Arial"/>
        <w:b/>
        <w:color w:val="002060"/>
        <w:spacing w:val="-6"/>
      </w:rPr>
      <w:t xml:space="preserve"> </w:t>
    </w:r>
    <w:r w:rsidRPr="00DB3024">
      <w:rPr>
        <w:rFonts w:ascii="Arial" w:hAnsi="Arial" w:cs="Arial"/>
        <w:b/>
        <w:color w:val="002060"/>
      </w:rPr>
      <w:t>DE</w:t>
    </w:r>
    <w:r w:rsidRPr="00DB3024">
      <w:rPr>
        <w:rFonts w:ascii="Arial" w:hAnsi="Arial" w:cs="Arial"/>
        <w:b/>
        <w:color w:val="002060"/>
        <w:spacing w:val="-5"/>
      </w:rPr>
      <w:t xml:space="preserve"> </w:t>
    </w:r>
    <w:r w:rsidRPr="00DB3024">
      <w:rPr>
        <w:rFonts w:ascii="Arial" w:hAnsi="Arial" w:cs="Arial"/>
        <w:b/>
        <w:color w:val="002060"/>
      </w:rPr>
      <w:t>2022</w:t>
    </w:r>
  </w:p>
  <w:p w14:paraId="54FAE029" w14:textId="77777777" w:rsidR="000C3994" w:rsidRPr="00DB3024" w:rsidRDefault="000C3994" w:rsidP="000C3994">
    <w:pPr>
      <w:spacing w:after="0"/>
      <w:ind w:right="-801"/>
      <w:jc w:val="right"/>
      <w:rPr>
        <w:rFonts w:ascii="Arial" w:eastAsia="Arial" w:hAnsi="Arial" w:cs="Arial"/>
      </w:rPr>
    </w:pPr>
    <w:r w:rsidRPr="00DB3024">
      <w:rPr>
        <w:rFonts w:ascii="Arial" w:hAnsi="Arial" w:cs="Arial"/>
        <w:b/>
        <w:color w:val="002060"/>
      </w:rPr>
      <w:t>PÁGINA</w:t>
    </w:r>
    <w:r w:rsidRPr="00DB3024">
      <w:rPr>
        <w:rFonts w:ascii="Arial" w:hAnsi="Arial" w:cs="Arial"/>
        <w:b/>
        <w:color w:val="002060"/>
        <w:spacing w:val="-13"/>
      </w:rPr>
      <w:t xml:space="preserve"> </w:t>
    </w:r>
    <w:r w:rsidRPr="00DB3024">
      <w:rPr>
        <w:rFonts w:ascii="Arial" w:hAnsi="Arial" w:cs="Arial"/>
      </w:rPr>
      <w:fldChar w:fldCharType="begin"/>
    </w:r>
    <w:r w:rsidRPr="00DB3024">
      <w:rPr>
        <w:rFonts w:ascii="Arial" w:hAnsi="Arial" w:cs="Arial"/>
        <w:b/>
        <w:color w:val="002060"/>
      </w:rPr>
      <w:instrText xml:space="preserve"> PAGE </w:instrText>
    </w:r>
    <w:r w:rsidRPr="00DB3024">
      <w:rPr>
        <w:rFonts w:ascii="Arial" w:hAnsi="Arial" w:cs="Arial"/>
      </w:rPr>
      <w:fldChar w:fldCharType="separate"/>
    </w:r>
    <w:r>
      <w:rPr>
        <w:rFonts w:ascii="Arial" w:hAnsi="Arial" w:cs="Arial"/>
      </w:rPr>
      <w:t>1</w:t>
    </w:r>
    <w:r w:rsidRPr="00DB3024">
      <w:rPr>
        <w:rFonts w:ascii="Arial" w:hAnsi="Arial" w:cs="Arial"/>
      </w:rPr>
      <w:fldChar w:fldCharType="end"/>
    </w:r>
    <w:r w:rsidRPr="00DB3024">
      <w:rPr>
        <w:rFonts w:ascii="Arial" w:hAnsi="Arial" w:cs="Arial"/>
        <w:b/>
        <w:color w:val="002060"/>
      </w:rPr>
      <w:t>/</w:t>
    </w:r>
    <w:r>
      <w:rPr>
        <w:rFonts w:ascii="Arial" w:hAnsi="Arial" w:cs="Arial"/>
        <w:b/>
        <w:color w:val="002060"/>
      </w:rPr>
      <w:t>2</w:t>
    </w:r>
  </w:p>
  <w:p w14:paraId="474B0E99" w14:textId="1268A2A8" w:rsidR="00274D69" w:rsidRDefault="00274D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C69E8"/>
    <w:multiLevelType w:val="hybridMultilevel"/>
    <w:tmpl w:val="6F2447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80030FC"/>
    <w:multiLevelType w:val="hybridMultilevel"/>
    <w:tmpl w:val="E07EDAA8"/>
    <w:lvl w:ilvl="0" w:tplc="4AEE053A">
      <w:numFmt w:val="bullet"/>
      <w:lvlText w:val="-"/>
      <w:lvlJc w:val="left"/>
      <w:pPr>
        <w:ind w:left="720" w:hanging="360"/>
      </w:pPr>
      <w:rPr>
        <w:rFonts w:ascii="Montserrat" w:eastAsiaTheme="minorHAnsi" w:hAnsi="Montserra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DCB7A8B"/>
    <w:multiLevelType w:val="hybridMultilevel"/>
    <w:tmpl w:val="CF14DC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393849"/>
    <w:multiLevelType w:val="multilevel"/>
    <w:tmpl w:val="FF8AF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4748C4"/>
    <w:multiLevelType w:val="hybridMultilevel"/>
    <w:tmpl w:val="78408A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E76556"/>
    <w:multiLevelType w:val="hybridMultilevel"/>
    <w:tmpl w:val="49026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0376C4"/>
    <w:multiLevelType w:val="multilevel"/>
    <w:tmpl w:val="FBDA9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A04545"/>
    <w:multiLevelType w:val="hybridMultilevel"/>
    <w:tmpl w:val="6006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2911077"/>
    <w:multiLevelType w:val="hybridMultilevel"/>
    <w:tmpl w:val="9378D1E6"/>
    <w:lvl w:ilvl="0" w:tplc="1A907F5E">
      <w:numFmt w:val="bullet"/>
      <w:lvlText w:val=""/>
      <w:lvlJc w:val="left"/>
      <w:pPr>
        <w:ind w:left="568" w:hanging="286"/>
      </w:pPr>
      <w:rPr>
        <w:rFonts w:ascii="Wingdings" w:eastAsia="Wingdings" w:hAnsi="Wingdings" w:cs="Wingdings" w:hint="default"/>
        <w:w w:val="100"/>
        <w:sz w:val="22"/>
        <w:szCs w:val="22"/>
        <w:lang w:val="es-ES" w:eastAsia="en-US" w:bidi="ar-SA"/>
      </w:rPr>
    </w:lvl>
    <w:lvl w:ilvl="1" w:tplc="C4800EC2">
      <w:numFmt w:val="bullet"/>
      <w:lvlText w:val="•"/>
      <w:lvlJc w:val="left"/>
      <w:pPr>
        <w:ind w:left="1311" w:hanging="286"/>
      </w:pPr>
      <w:rPr>
        <w:rFonts w:hint="default"/>
        <w:lang w:val="es-ES" w:eastAsia="en-US" w:bidi="ar-SA"/>
      </w:rPr>
    </w:lvl>
    <w:lvl w:ilvl="2" w:tplc="8FFAE6C2">
      <w:numFmt w:val="bullet"/>
      <w:lvlText w:val="•"/>
      <w:lvlJc w:val="left"/>
      <w:pPr>
        <w:ind w:left="2062" w:hanging="286"/>
      </w:pPr>
      <w:rPr>
        <w:rFonts w:hint="default"/>
        <w:lang w:val="es-ES" w:eastAsia="en-US" w:bidi="ar-SA"/>
      </w:rPr>
    </w:lvl>
    <w:lvl w:ilvl="3" w:tplc="273444E4">
      <w:numFmt w:val="bullet"/>
      <w:lvlText w:val="•"/>
      <w:lvlJc w:val="left"/>
      <w:pPr>
        <w:ind w:left="2813" w:hanging="286"/>
      </w:pPr>
      <w:rPr>
        <w:rFonts w:hint="default"/>
        <w:lang w:val="es-ES" w:eastAsia="en-US" w:bidi="ar-SA"/>
      </w:rPr>
    </w:lvl>
    <w:lvl w:ilvl="4" w:tplc="640C9696">
      <w:numFmt w:val="bullet"/>
      <w:lvlText w:val="•"/>
      <w:lvlJc w:val="left"/>
      <w:pPr>
        <w:ind w:left="3565" w:hanging="286"/>
      </w:pPr>
      <w:rPr>
        <w:rFonts w:hint="default"/>
        <w:lang w:val="es-ES" w:eastAsia="en-US" w:bidi="ar-SA"/>
      </w:rPr>
    </w:lvl>
    <w:lvl w:ilvl="5" w:tplc="9948CE46">
      <w:numFmt w:val="bullet"/>
      <w:lvlText w:val="•"/>
      <w:lvlJc w:val="left"/>
      <w:pPr>
        <w:ind w:left="4316" w:hanging="286"/>
      </w:pPr>
      <w:rPr>
        <w:rFonts w:hint="default"/>
        <w:lang w:val="es-ES" w:eastAsia="en-US" w:bidi="ar-SA"/>
      </w:rPr>
    </w:lvl>
    <w:lvl w:ilvl="6" w:tplc="EA6E1D1A">
      <w:numFmt w:val="bullet"/>
      <w:lvlText w:val="•"/>
      <w:lvlJc w:val="left"/>
      <w:pPr>
        <w:ind w:left="5067" w:hanging="286"/>
      </w:pPr>
      <w:rPr>
        <w:rFonts w:hint="default"/>
        <w:lang w:val="es-ES" w:eastAsia="en-US" w:bidi="ar-SA"/>
      </w:rPr>
    </w:lvl>
    <w:lvl w:ilvl="7" w:tplc="D2F48894">
      <w:numFmt w:val="bullet"/>
      <w:lvlText w:val="•"/>
      <w:lvlJc w:val="left"/>
      <w:pPr>
        <w:ind w:left="5819" w:hanging="286"/>
      </w:pPr>
      <w:rPr>
        <w:rFonts w:hint="default"/>
        <w:lang w:val="es-ES" w:eastAsia="en-US" w:bidi="ar-SA"/>
      </w:rPr>
    </w:lvl>
    <w:lvl w:ilvl="8" w:tplc="18F4C882">
      <w:numFmt w:val="bullet"/>
      <w:lvlText w:val="•"/>
      <w:lvlJc w:val="left"/>
      <w:pPr>
        <w:ind w:left="6570" w:hanging="286"/>
      </w:pPr>
      <w:rPr>
        <w:rFonts w:hint="default"/>
        <w:lang w:val="es-ES" w:eastAsia="en-US" w:bidi="ar-SA"/>
      </w:rPr>
    </w:lvl>
  </w:abstractNum>
  <w:abstractNum w:abstractNumId="9" w15:restartNumberingAfterBreak="0">
    <w:nsid w:val="63BE2A28"/>
    <w:multiLevelType w:val="hybridMultilevel"/>
    <w:tmpl w:val="FBA45E88"/>
    <w:lvl w:ilvl="0" w:tplc="080A000D">
      <w:start w:val="1"/>
      <w:numFmt w:val="bullet"/>
      <w:lvlText w:val=""/>
      <w:lvlJc w:val="left"/>
      <w:pPr>
        <w:ind w:left="1547" w:hanging="360"/>
      </w:pPr>
      <w:rPr>
        <w:rFonts w:ascii="Wingdings" w:hAnsi="Wingdings" w:hint="default"/>
      </w:rPr>
    </w:lvl>
    <w:lvl w:ilvl="1" w:tplc="080A0003" w:tentative="1">
      <w:start w:val="1"/>
      <w:numFmt w:val="bullet"/>
      <w:lvlText w:val="o"/>
      <w:lvlJc w:val="left"/>
      <w:pPr>
        <w:ind w:left="2267" w:hanging="360"/>
      </w:pPr>
      <w:rPr>
        <w:rFonts w:ascii="Courier New" w:hAnsi="Courier New" w:cs="Courier New" w:hint="default"/>
      </w:rPr>
    </w:lvl>
    <w:lvl w:ilvl="2" w:tplc="080A0005" w:tentative="1">
      <w:start w:val="1"/>
      <w:numFmt w:val="bullet"/>
      <w:lvlText w:val=""/>
      <w:lvlJc w:val="left"/>
      <w:pPr>
        <w:ind w:left="2987" w:hanging="360"/>
      </w:pPr>
      <w:rPr>
        <w:rFonts w:ascii="Wingdings" w:hAnsi="Wingdings" w:hint="default"/>
      </w:rPr>
    </w:lvl>
    <w:lvl w:ilvl="3" w:tplc="080A0001" w:tentative="1">
      <w:start w:val="1"/>
      <w:numFmt w:val="bullet"/>
      <w:lvlText w:val=""/>
      <w:lvlJc w:val="left"/>
      <w:pPr>
        <w:ind w:left="3707" w:hanging="360"/>
      </w:pPr>
      <w:rPr>
        <w:rFonts w:ascii="Symbol" w:hAnsi="Symbol" w:hint="default"/>
      </w:rPr>
    </w:lvl>
    <w:lvl w:ilvl="4" w:tplc="080A0003" w:tentative="1">
      <w:start w:val="1"/>
      <w:numFmt w:val="bullet"/>
      <w:lvlText w:val="o"/>
      <w:lvlJc w:val="left"/>
      <w:pPr>
        <w:ind w:left="4427" w:hanging="360"/>
      </w:pPr>
      <w:rPr>
        <w:rFonts w:ascii="Courier New" w:hAnsi="Courier New" w:cs="Courier New" w:hint="default"/>
      </w:rPr>
    </w:lvl>
    <w:lvl w:ilvl="5" w:tplc="080A0005" w:tentative="1">
      <w:start w:val="1"/>
      <w:numFmt w:val="bullet"/>
      <w:lvlText w:val=""/>
      <w:lvlJc w:val="left"/>
      <w:pPr>
        <w:ind w:left="5147" w:hanging="360"/>
      </w:pPr>
      <w:rPr>
        <w:rFonts w:ascii="Wingdings" w:hAnsi="Wingdings" w:hint="default"/>
      </w:rPr>
    </w:lvl>
    <w:lvl w:ilvl="6" w:tplc="080A0001" w:tentative="1">
      <w:start w:val="1"/>
      <w:numFmt w:val="bullet"/>
      <w:lvlText w:val=""/>
      <w:lvlJc w:val="left"/>
      <w:pPr>
        <w:ind w:left="5867" w:hanging="360"/>
      </w:pPr>
      <w:rPr>
        <w:rFonts w:ascii="Symbol" w:hAnsi="Symbol" w:hint="default"/>
      </w:rPr>
    </w:lvl>
    <w:lvl w:ilvl="7" w:tplc="080A0003" w:tentative="1">
      <w:start w:val="1"/>
      <w:numFmt w:val="bullet"/>
      <w:lvlText w:val="o"/>
      <w:lvlJc w:val="left"/>
      <w:pPr>
        <w:ind w:left="6587" w:hanging="360"/>
      </w:pPr>
      <w:rPr>
        <w:rFonts w:ascii="Courier New" w:hAnsi="Courier New" w:cs="Courier New" w:hint="default"/>
      </w:rPr>
    </w:lvl>
    <w:lvl w:ilvl="8" w:tplc="080A0005" w:tentative="1">
      <w:start w:val="1"/>
      <w:numFmt w:val="bullet"/>
      <w:lvlText w:val=""/>
      <w:lvlJc w:val="left"/>
      <w:pPr>
        <w:ind w:left="7307" w:hanging="360"/>
      </w:pPr>
      <w:rPr>
        <w:rFonts w:ascii="Wingdings" w:hAnsi="Wingdings" w:hint="default"/>
      </w:rPr>
    </w:lvl>
  </w:abstractNum>
  <w:abstractNum w:abstractNumId="10" w15:restartNumberingAfterBreak="0">
    <w:nsid w:val="650D7726"/>
    <w:multiLevelType w:val="hybridMultilevel"/>
    <w:tmpl w:val="A022C88E"/>
    <w:lvl w:ilvl="0" w:tplc="080A0005">
      <w:start w:val="1"/>
      <w:numFmt w:val="bullet"/>
      <w:lvlText w:val=""/>
      <w:lvlJc w:val="left"/>
      <w:pPr>
        <w:ind w:left="827" w:hanging="360"/>
      </w:pPr>
      <w:rPr>
        <w:rFonts w:ascii="Wingdings" w:hAnsi="Wingdings" w:hint="default"/>
      </w:rPr>
    </w:lvl>
    <w:lvl w:ilvl="1" w:tplc="080A0003" w:tentative="1">
      <w:start w:val="1"/>
      <w:numFmt w:val="bullet"/>
      <w:lvlText w:val="o"/>
      <w:lvlJc w:val="left"/>
      <w:pPr>
        <w:ind w:left="1547" w:hanging="360"/>
      </w:pPr>
      <w:rPr>
        <w:rFonts w:ascii="Courier New" w:hAnsi="Courier New" w:cs="Courier New" w:hint="default"/>
      </w:rPr>
    </w:lvl>
    <w:lvl w:ilvl="2" w:tplc="080A0005" w:tentative="1">
      <w:start w:val="1"/>
      <w:numFmt w:val="bullet"/>
      <w:lvlText w:val=""/>
      <w:lvlJc w:val="left"/>
      <w:pPr>
        <w:ind w:left="2267" w:hanging="360"/>
      </w:pPr>
      <w:rPr>
        <w:rFonts w:ascii="Wingdings" w:hAnsi="Wingdings" w:hint="default"/>
      </w:rPr>
    </w:lvl>
    <w:lvl w:ilvl="3" w:tplc="080A0001" w:tentative="1">
      <w:start w:val="1"/>
      <w:numFmt w:val="bullet"/>
      <w:lvlText w:val=""/>
      <w:lvlJc w:val="left"/>
      <w:pPr>
        <w:ind w:left="2987" w:hanging="360"/>
      </w:pPr>
      <w:rPr>
        <w:rFonts w:ascii="Symbol" w:hAnsi="Symbol" w:hint="default"/>
      </w:rPr>
    </w:lvl>
    <w:lvl w:ilvl="4" w:tplc="080A0003" w:tentative="1">
      <w:start w:val="1"/>
      <w:numFmt w:val="bullet"/>
      <w:lvlText w:val="o"/>
      <w:lvlJc w:val="left"/>
      <w:pPr>
        <w:ind w:left="3707" w:hanging="360"/>
      </w:pPr>
      <w:rPr>
        <w:rFonts w:ascii="Courier New" w:hAnsi="Courier New" w:cs="Courier New" w:hint="default"/>
      </w:rPr>
    </w:lvl>
    <w:lvl w:ilvl="5" w:tplc="080A0005" w:tentative="1">
      <w:start w:val="1"/>
      <w:numFmt w:val="bullet"/>
      <w:lvlText w:val=""/>
      <w:lvlJc w:val="left"/>
      <w:pPr>
        <w:ind w:left="4427" w:hanging="360"/>
      </w:pPr>
      <w:rPr>
        <w:rFonts w:ascii="Wingdings" w:hAnsi="Wingdings" w:hint="default"/>
      </w:rPr>
    </w:lvl>
    <w:lvl w:ilvl="6" w:tplc="080A0001" w:tentative="1">
      <w:start w:val="1"/>
      <w:numFmt w:val="bullet"/>
      <w:lvlText w:val=""/>
      <w:lvlJc w:val="left"/>
      <w:pPr>
        <w:ind w:left="5147" w:hanging="360"/>
      </w:pPr>
      <w:rPr>
        <w:rFonts w:ascii="Symbol" w:hAnsi="Symbol" w:hint="default"/>
      </w:rPr>
    </w:lvl>
    <w:lvl w:ilvl="7" w:tplc="080A0003" w:tentative="1">
      <w:start w:val="1"/>
      <w:numFmt w:val="bullet"/>
      <w:lvlText w:val="o"/>
      <w:lvlJc w:val="left"/>
      <w:pPr>
        <w:ind w:left="5867" w:hanging="360"/>
      </w:pPr>
      <w:rPr>
        <w:rFonts w:ascii="Courier New" w:hAnsi="Courier New" w:cs="Courier New" w:hint="default"/>
      </w:rPr>
    </w:lvl>
    <w:lvl w:ilvl="8" w:tplc="080A0005" w:tentative="1">
      <w:start w:val="1"/>
      <w:numFmt w:val="bullet"/>
      <w:lvlText w:val=""/>
      <w:lvlJc w:val="left"/>
      <w:pPr>
        <w:ind w:left="6587" w:hanging="360"/>
      </w:pPr>
      <w:rPr>
        <w:rFonts w:ascii="Wingdings" w:hAnsi="Wingdings" w:hint="default"/>
      </w:rPr>
    </w:lvl>
  </w:abstractNum>
  <w:abstractNum w:abstractNumId="11" w15:restartNumberingAfterBreak="0">
    <w:nsid w:val="6C8A49E4"/>
    <w:multiLevelType w:val="hybridMultilevel"/>
    <w:tmpl w:val="DF3697FE"/>
    <w:lvl w:ilvl="0" w:tplc="7D8CDFBE">
      <w:numFmt w:val="bullet"/>
      <w:lvlText w:val=""/>
      <w:lvlJc w:val="left"/>
      <w:pPr>
        <w:ind w:left="566" w:hanging="284"/>
      </w:pPr>
      <w:rPr>
        <w:rFonts w:ascii="Wingdings" w:eastAsia="Wingdings" w:hAnsi="Wingdings" w:cs="Wingdings" w:hint="default"/>
        <w:w w:val="100"/>
        <w:sz w:val="22"/>
        <w:szCs w:val="22"/>
        <w:lang w:val="es-ES" w:eastAsia="en-US" w:bidi="ar-SA"/>
      </w:rPr>
    </w:lvl>
    <w:lvl w:ilvl="1" w:tplc="120A8BAE">
      <w:numFmt w:val="bullet"/>
      <w:lvlText w:val="•"/>
      <w:lvlJc w:val="left"/>
      <w:pPr>
        <w:ind w:left="1311" w:hanging="284"/>
      </w:pPr>
      <w:rPr>
        <w:rFonts w:hint="default"/>
        <w:lang w:val="es-ES" w:eastAsia="en-US" w:bidi="ar-SA"/>
      </w:rPr>
    </w:lvl>
    <w:lvl w:ilvl="2" w:tplc="1D7A57B4">
      <w:numFmt w:val="bullet"/>
      <w:lvlText w:val="•"/>
      <w:lvlJc w:val="left"/>
      <w:pPr>
        <w:ind w:left="2062" w:hanging="284"/>
      </w:pPr>
      <w:rPr>
        <w:rFonts w:hint="default"/>
        <w:lang w:val="es-ES" w:eastAsia="en-US" w:bidi="ar-SA"/>
      </w:rPr>
    </w:lvl>
    <w:lvl w:ilvl="3" w:tplc="1F6851FE">
      <w:numFmt w:val="bullet"/>
      <w:lvlText w:val="•"/>
      <w:lvlJc w:val="left"/>
      <w:pPr>
        <w:ind w:left="2813" w:hanging="284"/>
      </w:pPr>
      <w:rPr>
        <w:rFonts w:hint="default"/>
        <w:lang w:val="es-ES" w:eastAsia="en-US" w:bidi="ar-SA"/>
      </w:rPr>
    </w:lvl>
    <w:lvl w:ilvl="4" w:tplc="D0EA1C0A">
      <w:numFmt w:val="bullet"/>
      <w:lvlText w:val="•"/>
      <w:lvlJc w:val="left"/>
      <w:pPr>
        <w:ind w:left="3565" w:hanging="284"/>
      </w:pPr>
      <w:rPr>
        <w:rFonts w:hint="default"/>
        <w:lang w:val="es-ES" w:eastAsia="en-US" w:bidi="ar-SA"/>
      </w:rPr>
    </w:lvl>
    <w:lvl w:ilvl="5" w:tplc="2A88014A">
      <w:numFmt w:val="bullet"/>
      <w:lvlText w:val="•"/>
      <w:lvlJc w:val="left"/>
      <w:pPr>
        <w:ind w:left="4316" w:hanging="284"/>
      </w:pPr>
      <w:rPr>
        <w:rFonts w:hint="default"/>
        <w:lang w:val="es-ES" w:eastAsia="en-US" w:bidi="ar-SA"/>
      </w:rPr>
    </w:lvl>
    <w:lvl w:ilvl="6" w:tplc="D1C2B7FC">
      <w:numFmt w:val="bullet"/>
      <w:lvlText w:val="•"/>
      <w:lvlJc w:val="left"/>
      <w:pPr>
        <w:ind w:left="5067" w:hanging="284"/>
      </w:pPr>
      <w:rPr>
        <w:rFonts w:hint="default"/>
        <w:lang w:val="es-ES" w:eastAsia="en-US" w:bidi="ar-SA"/>
      </w:rPr>
    </w:lvl>
    <w:lvl w:ilvl="7" w:tplc="C24A1B28">
      <w:numFmt w:val="bullet"/>
      <w:lvlText w:val="•"/>
      <w:lvlJc w:val="left"/>
      <w:pPr>
        <w:ind w:left="5819" w:hanging="284"/>
      </w:pPr>
      <w:rPr>
        <w:rFonts w:hint="default"/>
        <w:lang w:val="es-ES" w:eastAsia="en-US" w:bidi="ar-SA"/>
      </w:rPr>
    </w:lvl>
    <w:lvl w:ilvl="8" w:tplc="3F4E17D6">
      <w:numFmt w:val="bullet"/>
      <w:lvlText w:val="•"/>
      <w:lvlJc w:val="left"/>
      <w:pPr>
        <w:ind w:left="6570" w:hanging="284"/>
      </w:pPr>
      <w:rPr>
        <w:rFonts w:hint="default"/>
        <w:lang w:val="es-ES" w:eastAsia="en-US" w:bidi="ar-SA"/>
      </w:rPr>
    </w:lvl>
  </w:abstractNum>
  <w:num w:numId="1" w16cid:durableId="43917130">
    <w:abstractNumId w:val="8"/>
  </w:num>
  <w:num w:numId="2" w16cid:durableId="674652689">
    <w:abstractNumId w:val="10"/>
  </w:num>
  <w:num w:numId="3" w16cid:durableId="479658704">
    <w:abstractNumId w:val="9"/>
  </w:num>
  <w:num w:numId="4" w16cid:durableId="1265110987">
    <w:abstractNumId w:val="1"/>
  </w:num>
  <w:num w:numId="5" w16cid:durableId="1440176547">
    <w:abstractNumId w:val="4"/>
  </w:num>
  <w:num w:numId="6" w16cid:durableId="1878350176">
    <w:abstractNumId w:val="11"/>
  </w:num>
  <w:num w:numId="7" w16cid:durableId="999311210">
    <w:abstractNumId w:val="3"/>
  </w:num>
  <w:num w:numId="8" w16cid:durableId="21589463">
    <w:abstractNumId w:val="0"/>
  </w:num>
  <w:num w:numId="9" w16cid:durableId="878904937">
    <w:abstractNumId w:val="6"/>
  </w:num>
  <w:num w:numId="10" w16cid:durableId="952058969">
    <w:abstractNumId w:val="5"/>
  </w:num>
  <w:num w:numId="11" w16cid:durableId="1137919073">
    <w:abstractNumId w:val="2"/>
  </w:num>
  <w:num w:numId="12" w16cid:durableId="1937669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8C"/>
    <w:rsid w:val="00012787"/>
    <w:rsid w:val="00031E18"/>
    <w:rsid w:val="00043795"/>
    <w:rsid w:val="000C3994"/>
    <w:rsid w:val="000E0613"/>
    <w:rsid w:val="00101ACA"/>
    <w:rsid w:val="00116F4A"/>
    <w:rsid w:val="00154F89"/>
    <w:rsid w:val="00155E3D"/>
    <w:rsid w:val="00176490"/>
    <w:rsid w:val="0019757A"/>
    <w:rsid w:val="001B0A4B"/>
    <w:rsid w:val="001B3021"/>
    <w:rsid w:val="001C0742"/>
    <w:rsid w:val="001D65BE"/>
    <w:rsid w:val="001E40C3"/>
    <w:rsid w:val="0020458C"/>
    <w:rsid w:val="00241F10"/>
    <w:rsid w:val="00274D69"/>
    <w:rsid w:val="002839AE"/>
    <w:rsid w:val="002954BD"/>
    <w:rsid w:val="002A2499"/>
    <w:rsid w:val="002F75FF"/>
    <w:rsid w:val="00304A44"/>
    <w:rsid w:val="00313573"/>
    <w:rsid w:val="003156BF"/>
    <w:rsid w:val="0032152C"/>
    <w:rsid w:val="00323739"/>
    <w:rsid w:val="00331284"/>
    <w:rsid w:val="00342C20"/>
    <w:rsid w:val="003A2821"/>
    <w:rsid w:val="003B60BA"/>
    <w:rsid w:val="003C74FA"/>
    <w:rsid w:val="003D077B"/>
    <w:rsid w:val="003F76D2"/>
    <w:rsid w:val="0041260F"/>
    <w:rsid w:val="00467C7A"/>
    <w:rsid w:val="004713A7"/>
    <w:rsid w:val="004723C3"/>
    <w:rsid w:val="00490F33"/>
    <w:rsid w:val="004B4816"/>
    <w:rsid w:val="004C1E4E"/>
    <w:rsid w:val="004F2E95"/>
    <w:rsid w:val="00501960"/>
    <w:rsid w:val="00522F0C"/>
    <w:rsid w:val="00571B60"/>
    <w:rsid w:val="00597F0F"/>
    <w:rsid w:val="005A1139"/>
    <w:rsid w:val="005B0EDA"/>
    <w:rsid w:val="005B3E04"/>
    <w:rsid w:val="005B5C55"/>
    <w:rsid w:val="005C04D9"/>
    <w:rsid w:val="005E4FE8"/>
    <w:rsid w:val="0066063A"/>
    <w:rsid w:val="006807FF"/>
    <w:rsid w:val="006A686C"/>
    <w:rsid w:val="006B0591"/>
    <w:rsid w:val="006B208D"/>
    <w:rsid w:val="006B4DBC"/>
    <w:rsid w:val="006E0907"/>
    <w:rsid w:val="00701C08"/>
    <w:rsid w:val="00723CF5"/>
    <w:rsid w:val="00737FB8"/>
    <w:rsid w:val="00753AB4"/>
    <w:rsid w:val="0076514C"/>
    <w:rsid w:val="00784B49"/>
    <w:rsid w:val="007C6070"/>
    <w:rsid w:val="007D3892"/>
    <w:rsid w:val="007D4004"/>
    <w:rsid w:val="007E0FEA"/>
    <w:rsid w:val="008C499D"/>
    <w:rsid w:val="008C6A81"/>
    <w:rsid w:val="008D6688"/>
    <w:rsid w:val="00900836"/>
    <w:rsid w:val="009136C5"/>
    <w:rsid w:val="00921843"/>
    <w:rsid w:val="00962C4C"/>
    <w:rsid w:val="00964FE4"/>
    <w:rsid w:val="009A0F55"/>
    <w:rsid w:val="009E5873"/>
    <w:rsid w:val="009E710C"/>
    <w:rsid w:val="00A02D2B"/>
    <w:rsid w:val="00A055F8"/>
    <w:rsid w:val="00A441A9"/>
    <w:rsid w:val="00A5406A"/>
    <w:rsid w:val="00A9265F"/>
    <w:rsid w:val="00A942FD"/>
    <w:rsid w:val="00AC3EF2"/>
    <w:rsid w:val="00AE74C1"/>
    <w:rsid w:val="00AF0AE5"/>
    <w:rsid w:val="00B673EC"/>
    <w:rsid w:val="00B91194"/>
    <w:rsid w:val="00BC0416"/>
    <w:rsid w:val="00BD1130"/>
    <w:rsid w:val="00BD1162"/>
    <w:rsid w:val="00BF263B"/>
    <w:rsid w:val="00C60EB6"/>
    <w:rsid w:val="00C64A5F"/>
    <w:rsid w:val="00C720B3"/>
    <w:rsid w:val="00C85E92"/>
    <w:rsid w:val="00CA3754"/>
    <w:rsid w:val="00CC1E89"/>
    <w:rsid w:val="00CC45F6"/>
    <w:rsid w:val="00CC6D04"/>
    <w:rsid w:val="00D15E2A"/>
    <w:rsid w:val="00D217D4"/>
    <w:rsid w:val="00D2341F"/>
    <w:rsid w:val="00D4311F"/>
    <w:rsid w:val="00D73C66"/>
    <w:rsid w:val="00D74570"/>
    <w:rsid w:val="00D829E1"/>
    <w:rsid w:val="00D96094"/>
    <w:rsid w:val="00DF37B1"/>
    <w:rsid w:val="00DF4252"/>
    <w:rsid w:val="00DF51F3"/>
    <w:rsid w:val="00E26A44"/>
    <w:rsid w:val="00E27F1A"/>
    <w:rsid w:val="00E41C63"/>
    <w:rsid w:val="00E476A6"/>
    <w:rsid w:val="00E73A57"/>
    <w:rsid w:val="00E871BD"/>
    <w:rsid w:val="00E90BEA"/>
    <w:rsid w:val="00F0584E"/>
    <w:rsid w:val="00F3122C"/>
    <w:rsid w:val="00F46F13"/>
    <w:rsid w:val="00F7268F"/>
    <w:rsid w:val="00FA4B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721B9"/>
  <w15:chartTrackingRefBased/>
  <w15:docId w15:val="{11AEACC5-C724-4E4E-AD4B-EC1C24A22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D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4D69"/>
  </w:style>
  <w:style w:type="paragraph" w:styleId="Piedepgina">
    <w:name w:val="footer"/>
    <w:basedOn w:val="Normal"/>
    <w:link w:val="PiedepginaCar"/>
    <w:uiPriority w:val="99"/>
    <w:unhideWhenUsed/>
    <w:rsid w:val="00274D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4D69"/>
  </w:style>
  <w:style w:type="paragraph" w:customStyle="1" w:styleId="Sinespaciado1">
    <w:name w:val="Sin espaciado1"/>
    <w:next w:val="Sinespaciado"/>
    <w:link w:val="SinespaciadoCar"/>
    <w:uiPriority w:val="1"/>
    <w:qFormat/>
    <w:rsid w:val="00274D69"/>
    <w:pPr>
      <w:spacing w:after="0" w:line="240" w:lineRule="auto"/>
    </w:pPr>
    <w:rPr>
      <w:rFonts w:ascii="Calibri" w:eastAsia="Calibri" w:hAnsi="Calibri" w:cs="Calibri"/>
      <w:sz w:val="24"/>
      <w:szCs w:val="24"/>
      <w:lang w:val="es-ES" w:eastAsia="es-MX"/>
    </w:rPr>
  </w:style>
  <w:style w:type="character" w:customStyle="1" w:styleId="SinespaciadoCar">
    <w:name w:val="Sin espaciado Car"/>
    <w:basedOn w:val="Fuentedeprrafopredeter"/>
    <w:link w:val="Sinespaciado1"/>
    <w:uiPriority w:val="1"/>
    <w:locked/>
    <w:rsid w:val="00274D69"/>
    <w:rPr>
      <w:rFonts w:ascii="Calibri" w:eastAsia="Calibri" w:hAnsi="Calibri" w:cs="Calibri"/>
      <w:sz w:val="24"/>
      <w:szCs w:val="24"/>
      <w:lang w:val="es-ES" w:eastAsia="es-MX"/>
    </w:rPr>
  </w:style>
  <w:style w:type="paragraph" w:styleId="Sinespaciado">
    <w:name w:val="No Spacing"/>
    <w:uiPriority w:val="1"/>
    <w:qFormat/>
    <w:rsid w:val="00274D69"/>
    <w:pPr>
      <w:spacing w:after="0" w:line="240" w:lineRule="auto"/>
    </w:pPr>
  </w:style>
  <w:style w:type="table" w:customStyle="1" w:styleId="TableNormal1">
    <w:name w:val="Table Normal1"/>
    <w:uiPriority w:val="2"/>
    <w:semiHidden/>
    <w:unhideWhenUsed/>
    <w:qFormat/>
    <w:rsid w:val="006B05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0591"/>
    <w:pPr>
      <w:widowControl w:val="0"/>
      <w:autoSpaceDE w:val="0"/>
      <w:autoSpaceDN w:val="0"/>
      <w:spacing w:before="3" w:after="0" w:line="240" w:lineRule="auto"/>
      <w:ind w:left="110"/>
    </w:pPr>
    <w:rPr>
      <w:rFonts w:ascii="Verdana" w:eastAsia="Verdana" w:hAnsi="Verdana" w:cs="Verdana"/>
      <w:lang w:val="es-ES"/>
    </w:rPr>
  </w:style>
  <w:style w:type="paragraph" w:styleId="Prrafodelista">
    <w:name w:val="List Paragraph"/>
    <w:basedOn w:val="Normal"/>
    <w:uiPriority w:val="34"/>
    <w:qFormat/>
    <w:rsid w:val="00D829E1"/>
    <w:pPr>
      <w:ind w:left="720"/>
      <w:contextualSpacing/>
    </w:pPr>
  </w:style>
  <w:style w:type="table" w:styleId="Tablaconcuadrcula">
    <w:name w:val="Table Grid"/>
    <w:basedOn w:val="Tablanormal"/>
    <w:uiPriority w:val="39"/>
    <w:rsid w:val="0031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B3021"/>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777">
      <w:bodyDiv w:val="1"/>
      <w:marLeft w:val="0"/>
      <w:marRight w:val="0"/>
      <w:marTop w:val="0"/>
      <w:marBottom w:val="0"/>
      <w:divBdr>
        <w:top w:val="none" w:sz="0" w:space="0" w:color="auto"/>
        <w:left w:val="none" w:sz="0" w:space="0" w:color="auto"/>
        <w:bottom w:val="none" w:sz="0" w:space="0" w:color="auto"/>
        <w:right w:val="none" w:sz="0" w:space="0" w:color="auto"/>
      </w:divBdr>
      <w:divsChild>
        <w:div w:id="1520268623">
          <w:marLeft w:val="0"/>
          <w:marRight w:val="0"/>
          <w:marTop w:val="0"/>
          <w:marBottom w:val="0"/>
          <w:divBdr>
            <w:top w:val="none" w:sz="0" w:space="0" w:color="auto"/>
            <w:left w:val="none" w:sz="0" w:space="0" w:color="auto"/>
            <w:bottom w:val="none" w:sz="0" w:space="0" w:color="auto"/>
            <w:right w:val="none" w:sz="0" w:space="0" w:color="auto"/>
          </w:divBdr>
          <w:divsChild>
            <w:div w:id="252861746">
              <w:marLeft w:val="0"/>
              <w:marRight w:val="0"/>
              <w:marTop w:val="0"/>
              <w:marBottom w:val="0"/>
              <w:divBdr>
                <w:top w:val="none" w:sz="0" w:space="0" w:color="auto"/>
                <w:left w:val="none" w:sz="0" w:space="0" w:color="auto"/>
                <w:bottom w:val="none" w:sz="0" w:space="0" w:color="auto"/>
                <w:right w:val="none" w:sz="0" w:space="0" w:color="auto"/>
              </w:divBdr>
              <w:divsChild>
                <w:div w:id="13873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09565">
      <w:bodyDiv w:val="1"/>
      <w:marLeft w:val="0"/>
      <w:marRight w:val="0"/>
      <w:marTop w:val="0"/>
      <w:marBottom w:val="0"/>
      <w:divBdr>
        <w:top w:val="none" w:sz="0" w:space="0" w:color="auto"/>
        <w:left w:val="none" w:sz="0" w:space="0" w:color="auto"/>
        <w:bottom w:val="none" w:sz="0" w:space="0" w:color="auto"/>
        <w:right w:val="none" w:sz="0" w:space="0" w:color="auto"/>
      </w:divBdr>
      <w:divsChild>
        <w:div w:id="1480076525">
          <w:marLeft w:val="0"/>
          <w:marRight w:val="0"/>
          <w:marTop w:val="0"/>
          <w:marBottom w:val="0"/>
          <w:divBdr>
            <w:top w:val="none" w:sz="0" w:space="0" w:color="auto"/>
            <w:left w:val="none" w:sz="0" w:space="0" w:color="auto"/>
            <w:bottom w:val="none" w:sz="0" w:space="0" w:color="auto"/>
            <w:right w:val="none" w:sz="0" w:space="0" w:color="auto"/>
          </w:divBdr>
          <w:divsChild>
            <w:div w:id="1245915645">
              <w:marLeft w:val="0"/>
              <w:marRight w:val="0"/>
              <w:marTop w:val="0"/>
              <w:marBottom w:val="0"/>
              <w:divBdr>
                <w:top w:val="none" w:sz="0" w:space="0" w:color="auto"/>
                <w:left w:val="none" w:sz="0" w:space="0" w:color="auto"/>
                <w:bottom w:val="none" w:sz="0" w:space="0" w:color="auto"/>
                <w:right w:val="none" w:sz="0" w:space="0" w:color="auto"/>
              </w:divBdr>
              <w:divsChild>
                <w:div w:id="19881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92254">
      <w:bodyDiv w:val="1"/>
      <w:marLeft w:val="0"/>
      <w:marRight w:val="0"/>
      <w:marTop w:val="0"/>
      <w:marBottom w:val="0"/>
      <w:divBdr>
        <w:top w:val="none" w:sz="0" w:space="0" w:color="auto"/>
        <w:left w:val="none" w:sz="0" w:space="0" w:color="auto"/>
        <w:bottom w:val="none" w:sz="0" w:space="0" w:color="auto"/>
        <w:right w:val="none" w:sz="0" w:space="0" w:color="auto"/>
      </w:divBdr>
    </w:div>
    <w:div w:id="15866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755</Words>
  <Characters>4158</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MORONES RUIZ FABIOLA CRISTINA</cp:lastModifiedBy>
  <cp:revision>4</cp:revision>
  <dcterms:created xsi:type="dcterms:W3CDTF">2022-07-28T18:29:00Z</dcterms:created>
  <dcterms:modified xsi:type="dcterms:W3CDTF">2022-07-28T18:42:00Z</dcterms:modified>
</cp:coreProperties>
</file>